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jc w:val="center"/>
        <w:rPr>
          <w:rFonts w:ascii="宋体" w:hAnsi="宋体"/>
          <w:b/>
          <w:color w:val="auto"/>
          <w:sz w:val="48"/>
          <w:szCs w:val="48"/>
          <w:highlight w:val="none"/>
        </w:rPr>
      </w:pPr>
      <w:r>
        <w:rPr>
          <w:rFonts w:hint="eastAsia" w:ascii="宋体" w:hAnsi="宋体"/>
          <w:b/>
          <w:color w:val="auto"/>
          <w:sz w:val="48"/>
          <w:szCs w:val="48"/>
          <w:highlight w:val="none"/>
        </w:rPr>
        <w:t>宁波市鄞州区城区内河水质日常</w:t>
      </w:r>
    </w:p>
    <w:p>
      <w:pPr>
        <w:spacing w:beforeLines="50"/>
        <w:jc w:val="center"/>
        <w:rPr>
          <w:rFonts w:ascii="宋体" w:hAnsi="宋体"/>
          <w:b/>
          <w:color w:val="auto"/>
          <w:sz w:val="48"/>
          <w:szCs w:val="48"/>
          <w:highlight w:val="none"/>
        </w:rPr>
      </w:pPr>
      <w:r>
        <w:rPr>
          <w:rFonts w:hint="eastAsia" w:ascii="宋体" w:hAnsi="宋体"/>
          <w:b/>
          <w:color w:val="auto"/>
          <w:sz w:val="48"/>
          <w:szCs w:val="48"/>
          <w:highlight w:val="none"/>
        </w:rPr>
        <w:t>养护项目</w:t>
      </w:r>
    </w:p>
    <w:p>
      <w:pPr>
        <w:spacing w:beforeLines="50"/>
        <w:jc w:val="center"/>
        <w:rPr>
          <w:rFonts w:ascii="宋体" w:hAnsi="宋体"/>
          <w:b/>
          <w:color w:val="auto"/>
          <w:sz w:val="48"/>
          <w:szCs w:val="48"/>
          <w:highlight w:val="none"/>
        </w:rPr>
      </w:pPr>
    </w:p>
    <w:p>
      <w:pPr>
        <w:spacing w:beforeLines="50"/>
        <w:jc w:val="center"/>
        <w:rPr>
          <w:rFonts w:ascii="宋体" w:hAnsi="宋体"/>
          <w:b/>
          <w:color w:val="auto"/>
          <w:sz w:val="48"/>
          <w:szCs w:val="48"/>
          <w:highlight w:val="none"/>
        </w:rPr>
      </w:pPr>
    </w:p>
    <w:p>
      <w:pPr>
        <w:spacing w:beforeLines="50"/>
        <w:jc w:val="center"/>
        <w:rPr>
          <w:rFonts w:ascii="宋体" w:hAnsi="宋体"/>
          <w:b/>
          <w:color w:val="auto"/>
          <w:sz w:val="48"/>
          <w:szCs w:val="48"/>
          <w:highlight w:val="none"/>
        </w:rPr>
      </w:pPr>
    </w:p>
    <w:p>
      <w:pPr>
        <w:pStyle w:val="21"/>
        <w:ind w:firstLine="404"/>
        <w:rPr>
          <w:color w:val="auto"/>
          <w:highlight w:val="none"/>
        </w:rPr>
      </w:pPr>
    </w:p>
    <w:p>
      <w:pPr>
        <w:spacing w:beforeLines="50"/>
        <w:jc w:val="center"/>
        <w:rPr>
          <w:rFonts w:ascii="宋体" w:hAnsi="宋体"/>
          <w:color w:val="auto"/>
          <w:sz w:val="52"/>
          <w:szCs w:val="52"/>
          <w:highlight w:val="none"/>
        </w:rPr>
      </w:pPr>
      <w:r>
        <w:rPr>
          <w:rFonts w:hint="eastAsia" w:ascii="宋体" w:hAnsi="宋体"/>
          <w:color w:val="auto"/>
          <w:sz w:val="52"/>
          <w:szCs w:val="52"/>
          <w:highlight w:val="none"/>
        </w:rPr>
        <w:t>公开招标采购文件</w:t>
      </w:r>
    </w:p>
    <w:p>
      <w:pPr>
        <w:snapToGrid w:val="0"/>
        <w:spacing w:beforeLines="50" w:line="360" w:lineRule="auto"/>
        <w:rPr>
          <w:rFonts w:ascii="宋体" w:hAnsi="宋体"/>
          <w:color w:val="auto"/>
          <w:sz w:val="30"/>
          <w:szCs w:val="72"/>
          <w:highlight w:val="none"/>
        </w:rPr>
      </w:pPr>
    </w:p>
    <w:p>
      <w:pPr>
        <w:snapToGrid w:val="0"/>
        <w:spacing w:beforeLines="50" w:line="360" w:lineRule="auto"/>
        <w:rPr>
          <w:rFonts w:ascii="宋体" w:hAnsi="宋体"/>
          <w:color w:val="auto"/>
          <w:sz w:val="30"/>
          <w:szCs w:val="72"/>
          <w:highlight w:val="none"/>
        </w:rPr>
      </w:pPr>
    </w:p>
    <w:p>
      <w:pPr>
        <w:pStyle w:val="21"/>
        <w:ind w:firstLine="404"/>
        <w:rPr>
          <w:color w:val="auto"/>
          <w:highlight w:val="none"/>
        </w:rPr>
      </w:pPr>
    </w:p>
    <w:p>
      <w:pPr>
        <w:snapToGrid w:val="0"/>
        <w:spacing w:beforeLines="50" w:line="360" w:lineRule="auto"/>
        <w:rPr>
          <w:rFonts w:ascii="宋体" w:hAnsi="宋体"/>
          <w:color w:val="auto"/>
          <w:sz w:val="30"/>
          <w:szCs w:val="72"/>
          <w:highlight w:val="none"/>
        </w:rPr>
      </w:pPr>
    </w:p>
    <w:p>
      <w:pPr>
        <w:snapToGrid w:val="0"/>
        <w:spacing w:beforeLines="50" w:line="360" w:lineRule="auto"/>
        <w:rPr>
          <w:rFonts w:ascii="宋体" w:hAnsi="宋体"/>
          <w:color w:val="auto"/>
          <w:sz w:val="30"/>
          <w:szCs w:val="72"/>
          <w:highlight w:val="none"/>
        </w:rPr>
      </w:pPr>
    </w:p>
    <w:p>
      <w:pPr>
        <w:pStyle w:val="2"/>
        <w:rPr>
          <w:highlight w:val="none"/>
        </w:rPr>
      </w:pP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Ansi="宋体"/>
          <w:b/>
          <w:color w:val="auto"/>
          <w:sz w:val="32"/>
          <w:szCs w:val="32"/>
          <w:highlight w:val="none"/>
        </w:rPr>
      </w:pPr>
      <w:r>
        <w:rPr>
          <w:rFonts w:hAnsi="宋体"/>
          <w:b/>
          <w:bCs/>
          <w:color w:val="auto"/>
          <w:sz w:val="30"/>
          <w:szCs w:val="30"/>
          <w:highlight w:val="none"/>
        </w:rPr>
        <w:t>项目编号：</w:t>
      </w:r>
      <w:r>
        <w:rPr>
          <w:rFonts w:hint="eastAsia" w:hAnsi="宋体"/>
          <w:b/>
          <w:color w:val="auto"/>
          <w:sz w:val="32"/>
          <w:szCs w:val="32"/>
          <w:highlight w:val="none"/>
        </w:rPr>
        <w:t>ZJLB2020-ZB-010</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Ansi="宋体"/>
          <w:color w:val="auto"/>
          <w:sz w:val="30"/>
          <w:szCs w:val="72"/>
          <w:highlight w:val="none"/>
        </w:rPr>
      </w:pPr>
      <w:r>
        <w:rPr>
          <w:rFonts w:hint="eastAsia" w:hAnsi="宋体"/>
          <w:b/>
          <w:color w:val="auto"/>
          <w:sz w:val="30"/>
          <w:szCs w:val="72"/>
          <w:highlight w:val="none"/>
        </w:rPr>
        <w:t>项目名称：宁波市鄞州区城区内河水质日常养护项目</w:t>
      </w:r>
    </w:p>
    <w:p>
      <w:pPr>
        <w:keepNext w:val="0"/>
        <w:keepLines w:val="0"/>
        <w:pageBreakBefore w:val="0"/>
        <w:widowControl w:val="0"/>
        <w:kinsoku/>
        <w:wordWrap/>
        <w:overflowPunct/>
        <w:topLinePunct w:val="0"/>
        <w:autoSpaceDE/>
        <w:autoSpaceDN/>
        <w:bidi w:val="0"/>
        <w:adjustRightInd/>
        <w:snapToGrid w:val="0"/>
        <w:spacing w:line="360" w:lineRule="auto"/>
        <w:ind w:left="1494" w:hanging="1494" w:hangingChars="496"/>
        <w:textAlignment w:val="auto"/>
        <w:rPr>
          <w:rFonts w:ascii="宋体" w:hAnsi="宋体"/>
          <w:b/>
          <w:color w:val="auto"/>
          <w:sz w:val="30"/>
          <w:szCs w:val="72"/>
          <w:highlight w:val="none"/>
        </w:rPr>
      </w:pPr>
      <w:r>
        <w:rPr>
          <w:rFonts w:hint="eastAsia" w:ascii="宋体" w:hAnsi="宋体"/>
          <w:b/>
          <w:color w:val="auto"/>
          <w:sz w:val="30"/>
          <w:szCs w:val="72"/>
          <w:highlight w:val="none"/>
        </w:rPr>
        <w:t>采购单位：宁波市鄞州区城区内河管理中心</w:t>
      </w:r>
    </w:p>
    <w:p>
      <w:pPr>
        <w:keepNext w:val="0"/>
        <w:keepLines w:val="0"/>
        <w:pageBreakBefore w:val="0"/>
        <w:widowControl w:val="0"/>
        <w:kinsoku/>
        <w:wordWrap/>
        <w:overflowPunct/>
        <w:topLinePunct w:val="0"/>
        <w:autoSpaceDE/>
        <w:autoSpaceDN/>
        <w:bidi w:val="0"/>
        <w:adjustRightInd/>
        <w:snapToGrid w:val="0"/>
        <w:spacing w:line="360" w:lineRule="auto"/>
        <w:ind w:left="1494" w:hanging="1494" w:hangingChars="496"/>
        <w:textAlignment w:val="auto"/>
        <w:rPr>
          <w:rFonts w:hAnsi="宋体"/>
          <w:b/>
          <w:color w:val="auto"/>
          <w:sz w:val="30"/>
          <w:szCs w:val="48"/>
          <w:highlight w:val="none"/>
        </w:rPr>
      </w:pPr>
      <w:r>
        <w:rPr>
          <w:rFonts w:hint="eastAsia" w:ascii="宋体" w:hAnsi="宋体"/>
          <w:b/>
          <w:color w:val="auto"/>
          <w:sz w:val="30"/>
          <w:szCs w:val="72"/>
          <w:highlight w:val="none"/>
        </w:rPr>
        <w:t>代理机构：浙江绿邦招标代理有限公司</w:t>
      </w:r>
    </w:p>
    <w:p>
      <w:pPr>
        <w:pStyle w:val="11"/>
        <w:snapToGrid w:val="0"/>
        <w:spacing w:beforeLines="0" w:afterLines="0" w:line="360" w:lineRule="auto"/>
        <w:rPr>
          <w:rFonts w:hAnsi="宋体"/>
          <w:b/>
          <w:bCs/>
          <w:color w:val="auto"/>
          <w:w w:val="95"/>
          <w:sz w:val="30"/>
          <w:szCs w:val="30"/>
          <w:highlight w:val="none"/>
        </w:rPr>
      </w:pPr>
    </w:p>
    <w:p>
      <w:pPr>
        <w:pStyle w:val="11"/>
        <w:snapToGrid w:val="0"/>
        <w:spacing w:beforeLines="0" w:afterLines="0" w:line="360" w:lineRule="auto"/>
        <w:rPr>
          <w:rFonts w:hAnsi="宋体"/>
          <w:b/>
          <w:bCs/>
          <w:color w:val="auto"/>
          <w:w w:val="95"/>
          <w:sz w:val="30"/>
          <w:szCs w:val="30"/>
          <w:highlight w:val="none"/>
        </w:rPr>
      </w:pPr>
    </w:p>
    <w:p>
      <w:pPr>
        <w:snapToGrid w:val="0"/>
        <w:spacing w:beforeLines="50" w:line="360" w:lineRule="auto"/>
        <w:jc w:val="center"/>
        <w:rPr>
          <w:rFonts w:ascii="宋体" w:hAnsi="宋体"/>
          <w:b/>
          <w:bCs/>
          <w:color w:val="auto"/>
          <w:w w:val="95"/>
          <w:sz w:val="30"/>
          <w:szCs w:val="30"/>
          <w:highlight w:val="none"/>
        </w:rPr>
      </w:pPr>
      <w:r>
        <w:rPr>
          <w:rFonts w:ascii="宋体" w:hAnsi="宋体"/>
          <w:b/>
          <w:bCs/>
          <w:color w:val="auto"/>
          <w:w w:val="95"/>
          <w:sz w:val="30"/>
          <w:szCs w:val="30"/>
          <w:highlight w:val="none"/>
        </w:rPr>
        <w:t>20</w:t>
      </w:r>
      <w:r>
        <w:rPr>
          <w:rFonts w:hint="eastAsia" w:ascii="宋体" w:hAnsi="宋体"/>
          <w:b/>
          <w:bCs/>
          <w:color w:val="auto"/>
          <w:w w:val="95"/>
          <w:sz w:val="30"/>
          <w:szCs w:val="30"/>
          <w:highlight w:val="none"/>
        </w:rPr>
        <w:t>2</w:t>
      </w:r>
      <w:r>
        <w:rPr>
          <w:rFonts w:hint="eastAsia" w:ascii="宋体" w:hAnsi="宋体"/>
          <w:b/>
          <w:bCs/>
          <w:color w:val="auto"/>
          <w:w w:val="95"/>
          <w:sz w:val="30"/>
          <w:szCs w:val="30"/>
          <w:highlight w:val="none"/>
          <w:lang w:val="en-US" w:eastAsia="zh-CN"/>
        </w:rPr>
        <w:t>1</w:t>
      </w:r>
      <w:r>
        <w:rPr>
          <w:rFonts w:hint="eastAsia" w:ascii="宋体" w:hAnsi="宋体"/>
          <w:b/>
          <w:bCs/>
          <w:color w:val="auto"/>
          <w:w w:val="95"/>
          <w:sz w:val="30"/>
          <w:szCs w:val="30"/>
          <w:highlight w:val="none"/>
        </w:rPr>
        <w:t>年</w:t>
      </w:r>
      <w:r>
        <w:rPr>
          <w:rFonts w:hint="eastAsia" w:ascii="宋体" w:hAnsi="宋体"/>
          <w:b/>
          <w:bCs/>
          <w:color w:val="auto"/>
          <w:w w:val="95"/>
          <w:sz w:val="30"/>
          <w:szCs w:val="30"/>
          <w:highlight w:val="none"/>
          <w:lang w:val="en-US" w:eastAsia="zh-CN"/>
        </w:rPr>
        <w:t>02</w:t>
      </w:r>
      <w:r>
        <w:rPr>
          <w:rFonts w:hint="eastAsia" w:ascii="宋体" w:hAnsi="宋体"/>
          <w:b/>
          <w:bCs/>
          <w:color w:val="auto"/>
          <w:w w:val="95"/>
          <w:sz w:val="30"/>
          <w:szCs w:val="30"/>
          <w:highlight w:val="none"/>
        </w:rPr>
        <w:t>月</w:t>
      </w:r>
    </w:p>
    <w:p>
      <w:pPr>
        <w:rPr>
          <w:rFonts w:hint="eastAsia"/>
          <w:color w:val="auto"/>
          <w:sz w:val="48"/>
          <w:szCs w:val="48"/>
          <w:highlight w:val="none"/>
          <w:lang w:val="zh-CN"/>
        </w:rPr>
      </w:pPr>
      <w:r>
        <w:rPr>
          <w:rFonts w:hint="eastAsia"/>
          <w:color w:val="auto"/>
          <w:sz w:val="48"/>
          <w:szCs w:val="48"/>
          <w:highlight w:val="none"/>
          <w:lang w:val="zh-CN"/>
        </w:rPr>
        <w:br w:type="page"/>
      </w:r>
    </w:p>
    <w:p>
      <w:pPr>
        <w:rPr>
          <w:rFonts w:hint="eastAsia"/>
          <w:color w:val="auto"/>
          <w:sz w:val="48"/>
          <w:szCs w:val="48"/>
          <w:highlight w:val="none"/>
          <w:lang w:val="zh-CN"/>
        </w:rPr>
      </w:pPr>
      <w:r>
        <w:rPr>
          <w:rFonts w:hint="eastAsia"/>
          <w:color w:val="auto"/>
          <w:sz w:val="48"/>
          <w:szCs w:val="48"/>
          <w:highlight w:val="none"/>
          <w:lang w:val="zh-CN"/>
        </w:rPr>
        <w:br w:type="page"/>
      </w:r>
    </w:p>
    <w:p>
      <w:pPr>
        <w:jc w:val="center"/>
        <w:rPr>
          <w:color w:val="auto"/>
          <w:sz w:val="48"/>
          <w:szCs w:val="48"/>
          <w:highlight w:val="none"/>
          <w:lang w:val="zh-CN"/>
        </w:rPr>
      </w:pPr>
      <w:r>
        <w:rPr>
          <w:rFonts w:hint="eastAsia"/>
          <w:color w:val="auto"/>
          <w:sz w:val="48"/>
          <w:szCs w:val="48"/>
          <w:highlight w:val="none"/>
          <w:lang w:val="zh-CN"/>
        </w:rPr>
        <w:t>目  录</w:t>
      </w:r>
    </w:p>
    <w:p>
      <w:pPr>
        <w:rPr>
          <w:color w:val="auto"/>
          <w:highlight w:val="none"/>
          <w:lang w:val="zh-CN"/>
        </w:rPr>
      </w:pPr>
    </w:p>
    <w:p>
      <w:pPr>
        <w:jc w:val="center"/>
        <w:rPr>
          <w:rFonts w:ascii="宋体" w:hAnsi="宋体"/>
          <w:color w:val="auto"/>
          <w:highlight w:val="none"/>
        </w:rPr>
      </w:pPr>
    </w:p>
    <w:p>
      <w:pPr>
        <w:pStyle w:val="39"/>
        <w:tabs>
          <w:tab w:val="right" w:leader="dot" w:pos="8306"/>
        </w:tabs>
        <w:spacing w:line="360" w:lineRule="auto"/>
        <w:rPr>
          <w:color w:val="auto"/>
          <w:sz w:val="28"/>
          <w:szCs w:val="28"/>
          <w:highlight w:val="none"/>
        </w:rPr>
      </w:pPr>
      <w:r>
        <w:rPr>
          <w:rFonts w:hint="eastAsia"/>
          <w:color w:val="auto"/>
          <w:highlight w:val="none"/>
          <w:lang w:val="zh-CN"/>
        </w:rPr>
        <w:fldChar w:fldCharType="begin"/>
      </w:r>
      <w:r>
        <w:rPr>
          <w:rFonts w:hint="eastAsia"/>
          <w:color w:val="auto"/>
          <w:highlight w:val="none"/>
          <w:lang w:val="zh-CN"/>
        </w:rPr>
        <w:instrText xml:space="preserve">TOC \o "1-1" \h \u </w:instrText>
      </w:r>
      <w:r>
        <w:rPr>
          <w:rFonts w:hint="eastAsia"/>
          <w:color w:val="auto"/>
          <w:highlight w:val="none"/>
          <w:lang w:val="zh-CN"/>
        </w:rPr>
        <w:fldChar w:fldCharType="separate"/>
      </w:r>
      <w:r>
        <w:rPr>
          <w:color w:val="auto"/>
          <w:highlight w:val="none"/>
        </w:rPr>
        <w:fldChar w:fldCharType="begin"/>
      </w:r>
      <w:r>
        <w:rPr>
          <w:color w:val="auto"/>
          <w:highlight w:val="none"/>
        </w:rPr>
        <w:instrText xml:space="preserve"> HYPERLINK \l "_Toc24006" </w:instrText>
      </w:r>
      <w:r>
        <w:rPr>
          <w:color w:val="auto"/>
          <w:highlight w:val="none"/>
        </w:rPr>
        <w:fldChar w:fldCharType="separate"/>
      </w:r>
      <w:r>
        <w:rPr>
          <w:rFonts w:hint="eastAsia"/>
          <w:color w:val="auto"/>
          <w:sz w:val="28"/>
          <w:szCs w:val="28"/>
          <w:highlight w:val="none"/>
        </w:rPr>
        <w:t>第一章  采购公告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_Toc24006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color w:val="auto"/>
          <w:sz w:val="28"/>
          <w:szCs w:val="28"/>
          <w:highlight w:val="none"/>
        </w:rPr>
        <w:fldChar w:fldCharType="end"/>
      </w:r>
    </w:p>
    <w:p>
      <w:pPr>
        <w:pStyle w:val="39"/>
        <w:tabs>
          <w:tab w:val="right" w:leader="dot" w:pos="8306"/>
        </w:tabs>
        <w:spacing w:line="360" w:lineRule="auto"/>
        <w:rPr>
          <w:color w:val="auto"/>
          <w:sz w:val="28"/>
          <w:szCs w:val="28"/>
          <w:highlight w:val="none"/>
        </w:rPr>
      </w:pPr>
      <w:r>
        <w:rPr>
          <w:color w:val="auto"/>
          <w:highlight w:val="none"/>
        </w:rPr>
        <w:fldChar w:fldCharType="begin"/>
      </w:r>
      <w:r>
        <w:rPr>
          <w:color w:val="auto"/>
          <w:highlight w:val="none"/>
        </w:rPr>
        <w:instrText xml:space="preserve"> HYPERLINK \l "_Toc21267" </w:instrText>
      </w:r>
      <w:r>
        <w:rPr>
          <w:color w:val="auto"/>
          <w:highlight w:val="none"/>
        </w:rPr>
        <w:fldChar w:fldCharType="separate"/>
      </w:r>
      <w:r>
        <w:rPr>
          <w:rFonts w:hint="eastAsia"/>
          <w:color w:val="auto"/>
          <w:sz w:val="28"/>
          <w:szCs w:val="28"/>
          <w:highlight w:val="none"/>
        </w:rPr>
        <w:t>第二章  采购需求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_Toc21267 </w:instrText>
      </w:r>
      <w:r>
        <w:rPr>
          <w:color w:val="auto"/>
          <w:sz w:val="28"/>
          <w:szCs w:val="28"/>
          <w:highlight w:val="none"/>
        </w:rPr>
        <w:fldChar w:fldCharType="separate"/>
      </w:r>
      <w:r>
        <w:rPr>
          <w:color w:val="auto"/>
          <w:sz w:val="28"/>
          <w:szCs w:val="28"/>
          <w:highlight w:val="none"/>
        </w:rPr>
        <w:t>5</w:t>
      </w:r>
      <w:r>
        <w:rPr>
          <w:color w:val="auto"/>
          <w:sz w:val="28"/>
          <w:szCs w:val="28"/>
          <w:highlight w:val="none"/>
        </w:rPr>
        <w:fldChar w:fldCharType="end"/>
      </w:r>
      <w:r>
        <w:rPr>
          <w:color w:val="auto"/>
          <w:sz w:val="28"/>
          <w:szCs w:val="28"/>
          <w:highlight w:val="none"/>
        </w:rPr>
        <w:fldChar w:fldCharType="end"/>
      </w:r>
    </w:p>
    <w:p>
      <w:pPr>
        <w:pStyle w:val="39"/>
        <w:tabs>
          <w:tab w:val="right" w:leader="dot" w:pos="8306"/>
        </w:tabs>
        <w:spacing w:line="360" w:lineRule="auto"/>
        <w:rPr>
          <w:color w:val="auto"/>
          <w:sz w:val="28"/>
          <w:szCs w:val="28"/>
          <w:highlight w:val="none"/>
        </w:rPr>
      </w:pPr>
      <w:r>
        <w:rPr>
          <w:color w:val="auto"/>
          <w:highlight w:val="none"/>
        </w:rPr>
        <w:fldChar w:fldCharType="begin"/>
      </w:r>
      <w:r>
        <w:rPr>
          <w:color w:val="auto"/>
          <w:highlight w:val="none"/>
        </w:rPr>
        <w:instrText xml:space="preserve"> HYPERLINK \l "_Toc3358" </w:instrText>
      </w:r>
      <w:r>
        <w:rPr>
          <w:color w:val="auto"/>
          <w:highlight w:val="none"/>
        </w:rPr>
        <w:fldChar w:fldCharType="separate"/>
      </w:r>
      <w:r>
        <w:rPr>
          <w:rFonts w:hint="eastAsia"/>
          <w:color w:val="auto"/>
          <w:sz w:val="28"/>
          <w:szCs w:val="28"/>
          <w:highlight w:val="none"/>
        </w:rPr>
        <w:t xml:space="preserve">第三章  </w:t>
      </w:r>
      <w:r>
        <w:rPr>
          <w:rFonts w:hint="eastAsia"/>
          <w:color w:val="auto"/>
          <w:sz w:val="28"/>
          <w:szCs w:val="28"/>
          <w:highlight w:val="none"/>
          <w:lang w:eastAsia="zh-CN"/>
        </w:rPr>
        <w:t>投标人</w:t>
      </w:r>
      <w:r>
        <w:rPr>
          <w:rFonts w:hint="eastAsia"/>
          <w:color w:val="auto"/>
          <w:sz w:val="28"/>
          <w:szCs w:val="28"/>
          <w:highlight w:val="none"/>
        </w:rPr>
        <w:t>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_Toc3358 </w:instrText>
      </w:r>
      <w:r>
        <w:rPr>
          <w:color w:val="auto"/>
          <w:sz w:val="28"/>
          <w:szCs w:val="28"/>
          <w:highlight w:val="none"/>
        </w:rPr>
        <w:fldChar w:fldCharType="separate"/>
      </w:r>
      <w:r>
        <w:rPr>
          <w:color w:val="auto"/>
          <w:sz w:val="28"/>
          <w:szCs w:val="28"/>
          <w:highlight w:val="none"/>
        </w:rPr>
        <w:t>36</w:t>
      </w:r>
      <w:r>
        <w:rPr>
          <w:color w:val="auto"/>
          <w:sz w:val="28"/>
          <w:szCs w:val="28"/>
          <w:highlight w:val="none"/>
        </w:rPr>
        <w:fldChar w:fldCharType="end"/>
      </w:r>
      <w:r>
        <w:rPr>
          <w:color w:val="auto"/>
          <w:sz w:val="28"/>
          <w:szCs w:val="28"/>
          <w:highlight w:val="none"/>
        </w:rPr>
        <w:fldChar w:fldCharType="end"/>
      </w:r>
    </w:p>
    <w:p>
      <w:pPr>
        <w:pStyle w:val="39"/>
        <w:tabs>
          <w:tab w:val="right" w:leader="dot" w:pos="8306"/>
        </w:tabs>
        <w:spacing w:line="360" w:lineRule="auto"/>
        <w:rPr>
          <w:color w:val="auto"/>
          <w:sz w:val="28"/>
          <w:szCs w:val="28"/>
          <w:highlight w:val="none"/>
        </w:rPr>
      </w:pPr>
      <w:r>
        <w:rPr>
          <w:color w:val="auto"/>
          <w:highlight w:val="none"/>
        </w:rPr>
        <w:fldChar w:fldCharType="begin"/>
      </w:r>
      <w:r>
        <w:rPr>
          <w:color w:val="auto"/>
          <w:highlight w:val="none"/>
        </w:rPr>
        <w:instrText xml:space="preserve"> HYPERLINK \l "_Toc18779" </w:instrText>
      </w:r>
      <w:r>
        <w:rPr>
          <w:color w:val="auto"/>
          <w:highlight w:val="none"/>
        </w:rPr>
        <w:fldChar w:fldCharType="separate"/>
      </w:r>
      <w:r>
        <w:rPr>
          <w:rFonts w:hint="eastAsia"/>
          <w:color w:val="auto"/>
          <w:sz w:val="28"/>
          <w:szCs w:val="28"/>
          <w:highlight w:val="none"/>
        </w:rPr>
        <w:t>第四章  评标办法及评分标准</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_Toc18779 </w:instrText>
      </w:r>
      <w:r>
        <w:rPr>
          <w:color w:val="auto"/>
          <w:sz w:val="28"/>
          <w:szCs w:val="28"/>
          <w:highlight w:val="none"/>
        </w:rPr>
        <w:fldChar w:fldCharType="separate"/>
      </w:r>
      <w:r>
        <w:rPr>
          <w:color w:val="auto"/>
          <w:sz w:val="28"/>
          <w:szCs w:val="28"/>
          <w:highlight w:val="none"/>
        </w:rPr>
        <w:t>51</w:t>
      </w:r>
      <w:r>
        <w:rPr>
          <w:color w:val="auto"/>
          <w:sz w:val="28"/>
          <w:szCs w:val="28"/>
          <w:highlight w:val="none"/>
        </w:rPr>
        <w:fldChar w:fldCharType="end"/>
      </w:r>
      <w:r>
        <w:rPr>
          <w:color w:val="auto"/>
          <w:sz w:val="28"/>
          <w:szCs w:val="28"/>
          <w:highlight w:val="none"/>
        </w:rPr>
        <w:fldChar w:fldCharType="end"/>
      </w:r>
    </w:p>
    <w:p>
      <w:pPr>
        <w:pStyle w:val="39"/>
        <w:tabs>
          <w:tab w:val="right" w:leader="dot" w:pos="8306"/>
        </w:tabs>
        <w:spacing w:line="360" w:lineRule="auto"/>
        <w:rPr>
          <w:color w:val="auto"/>
          <w:sz w:val="28"/>
          <w:szCs w:val="28"/>
          <w:highlight w:val="none"/>
        </w:rPr>
      </w:pPr>
      <w:r>
        <w:rPr>
          <w:color w:val="auto"/>
          <w:highlight w:val="none"/>
        </w:rPr>
        <w:fldChar w:fldCharType="begin"/>
      </w:r>
      <w:r>
        <w:rPr>
          <w:color w:val="auto"/>
          <w:highlight w:val="none"/>
        </w:rPr>
        <w:instrText xml:space="preserve"> HYPERLINK \l "_Toc27895" </w:instrText>
      </w:r>
      <w:r>
        <w:rPr>
          <w:color w:val="auto"/>
          <w:highlight w:val="none"/>
        </w:rPr>
        <w:fldChar w:fldCharType="separate"/>
      </w:r>
      <w:r>
        <w:rPr>
          <w:rFonts w:hint="eastAsia"/>
          <w:color w:val="auto"/>
          <w:sz w:val="28"/>
          <w:szCs w:val="28"/>
          <w:highlight w:val="none"/>
        </w:rPr>
        <w:t>第五章  政府采购合同主要条款</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_Toc27895 </w:instrText>
      </w:r>
      <w:r>
        <w:rPr>
          <w:color w:val="auto"/>
          <w:sz w:val="28"/>
          <w:szCs w:val="28"/>
          <w:highlight w:val="none"/>
        </w:rPr>
        <w:fldChar w:fldCharType="separate"/>
      </w:r>
      <w:r>
        <w:rPr>
          <w:color w:val="auto"/>
          <w:sz w:val="28"/>
          <w:szCs w:val="28"/>
          <w:highlight w:val="none"/>
        </w:rPr>
        <w:t>56</w:t>
      </w:r>
      <w:r>
        <w:rPr>
          <w:color w:val="auto"/>
          <w:sz w:val="28"/>
          <w:szCs w:val="28"/>
          <w:highlight w:val="none"/>
        </w:rPr>
        <w:fldChar w:fldCharType="end"/>
      </w:r>
      <w:r>
        <w:rPr>
          <w:color w:val="auto"/>
          <w:sz w:val="28"/>
          <w:szCs w:val="28"/>
          <w:highlight w:val="none"/>
        </w:rPr>
        <w:fldChar w:fldCharType="end"/>
      </w:r>
    </w:p>
    <w:p>
      <w:pPr>
        <w:pStyle w:val="39"/>
        <w:tabs>
          <w:tab w:val="right" w:leader="dot" w:pos="8306"/>
        </w:tabs>
        <w:spacing w:line="360" w:lineRule="auto"/>
        <w:rPr>
          <w:color w:val="auto"/>
          <w:highlight w:val="none"/>
        </w:rPr>
      </w:pPr>
      <w:r>
        <w:rPr>
          <w:color w:val="auto"/>
          <w:highlight w:val="none"/>
        </w:rPr>
        <w:fldChar w:fldCharType="begin"/>
      </w:r>
      <w:r>
        <w:rPr>
          <w:color w:val="auto"/>
          <w:highlight w:val="none"/>
        </w:rPr>
        <w:instrText xml:space="preserve"> HYPERLINK \l "_Toc29402" </w:instrText>
      </w:r>
      <w:r>
        <w:rPr>
          <w:color w:val="auto"/>
          <w:highlight w:val="none"/>
        </w:rPr>
        <w:fldChar w:fldCharType="separate"/>
      </w:r>
      <w:r>
        <w:rPr>
          <w:rFonts w:hint="eastAsia"/>
          <w:color w:val="auto"/>
          <w:sz w:val="28"/>
          <w:szCs w:val="28"/>
          <w:highlight w:val="none"/>
        </w:rPr>
        <w:t>第六章  投标文件格式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_Toc29402 </w:instrText>
      </w:r>
      <w:r>
        <w:rPr>
          <w:color w:val="auto"/>
          <w:sz w:val="28"/>
          <w:szCs w:val="28"/>
          <w:highlight w:val="none"/>
        </w:rPr>
        <w:fldChar w:fldCharType="separate"/>
      </w:r>
      <w:r>
        <w:rPr>
          <w:color w:val="auto"/>
          <w:sz w:val="28"/>
          <w:szCs w:val="28"/>
          <w:highlight w:val="none"/>
        </w:rPr>
        <w:t>62</w:t>
      </w:r>
      <w:r>
        <w:rPr>
          <w:color w:val="auto"/>
          <w:sz w:val="28"/>
          <w:szCs w:val="28"/>
          <w:highlight w:val="none"/>
        </w:rPr>
        <w:fldChar w:fldCharType="end"/>
      </w:r>
      <w:r>
        <w:rPr>
          <w:color w:val="auto"/>
          <w:sz w:val="28"/>
          <w:szCs w:val="28"/>
          <w:highlight w:val="none"/>
        </w:rPr>
        <w:fldChar w:fldCharType="end"/>
      </w:r>
    </w:p>
    <w:p>
      <w:pPr>
        <w:pStyle w:val="21"/>
        <w:ind w:left="0" w:leftChars="0" w:firstLine="0" w:firstLineChars="0"/>
        <w:rPr>
          <w:color w:val="auto"/>
          <w:highlight w:val="none"/>
          <w:lang w:val="zh-CN"/>
        </w:rPr>
      </w:pPr>
      <w:r>
        <w:rPr>
          <w:rFonts w:hint="eastAsia"/>
          <w:color w:val="auto"/>
          <w:highlight w:val="none"/>
          <w:lang w:val="zh-CN"/>
        </w:rPr>
        <w:fldChar w:fldCharType="end"/>
      </w:r>
    </w:p>
    <w:p>
      <w:pPr>
        <w:pStyle w:val="16"/>
        <w:tabs>
          <w:tab w:val="right" w:leader="dot" w:pos="8306"/>
        </w:tabs>
        <w:spacing w:line="600" w:lineRule="auto"/>
        <w:rPr>
          <w:color w:val="auto"/>
          <w:highlight w:val="none"/>
        </w:rPr>
      </w:pPr>
      <w:r>
        <w:rPr>
          <w:b w:val="0"/>
          <w:color w:val="auto"/>
          <w:sz w:val="28"/>
          <w:szCs w:val="28"/>
          <w:highlight w:val="none"/>
        </w:rPr>
        <w:fldChar w:fldCharType="begin"/>
      </w:r>
      <w:r>
        <w:rPr>
          <w:b w:val="0"/>
          <w:color w:val="auto"/>
          <w:sz w:val="28"/>
          <w:szCs w:val="28"/>
          <w:highlight w:val="none"/>
        </w:rPr>
        <w:instrText xml:space="preserve"> TOC \o "1-3" \h \z \u </w:instrText>
      </w:r>
      <w:r>
        <w:rPr>
          <w:b w:val="0"/>
          <w:color w:val="auto"/>
          <w:sz w:val="28"/>
          <w:szCs w:val="28"/>
          <w:highlight w:val="none"/>
        </w:rPr>
        <w:fldChar w:fldCharType="separate"/>
      </w:r>
    </w:p>
    <w:p>
      <w:pPr>
        <w:spacing w:line="360" w:lineRule="auto"/>
        <w:rPr>
          <w:color w:val="auto"/>
          <w:highlight w:val="none"/>
        </w:rPr>
      </w:pPr>
      <w:r>
        <w:rPr>
          <w:color w:val="auto"/>
          <w:szCs w:val="28"/>
          <w:highlight w:val="none"/>
        </w:rPr>
        <w:fldChar w:fldCharType="end"/>
      </w:r>
    </w:p>
    <w:p>
      <w:pPr>
        <w:pStyle w:val="16"/>
        <w:tabs>
          <w:tab w:val="right" w:leader="dot" w:pos="8721"/>
        </w:tabs>
        <w:spacing w:line="360" w:lineRule="auto"/>
        <w:rPr>
          <w:rFonts w:ascii="宋体" w:hAnsi="宋体"/>
          <w:b w:val="0"/>
          <w:color w:val="auto"/>
          <w:sz w:val="30"/>
          <w:szCs w:val="30"/>
          <w:highlight w:val="none"/>
        </w:rPr>
      </w:pPr>
      <w:r>
        <w:rPr>
          <w:rFonts w:ascii="宋体" w:hAnsi="宋体"/>
          <w:b w:val="0"/>
          <w:color w:val="auto"/>
          <w:sz w:val="30"/>
          <w:szCs w:val="30"/>
          <w:highlight w:val="none"/>
        </w:rPr>
        <w:fldChar w:fldCharType="begin"/>
      </w:r>
      <w:r>
        <w:rPr>
          <w:rFonts w:ascii="宋体" w:hAnsi="宋体"/>
          <w:b w:val="0"/>
          <w:color w:val="auto"/>
          <w:sz w:val="30"/>
          <w:szCs w:val="30"/>
          <w:highlight w:val="none"/>
        </w:rPr>
        <w:instrText xml:space="preserve"> TOC \o "1-3" \h \z \u </w:instrText>
      </w:r>
      <w:r>
        <w:rPr>
          <w:rFonts w:ascii="宋体" w:hAnsi="宋体"/>
          <w:b w:val="0"/>
          <w:color w:val="auto"/>
          <w:sz w:val="30"/>
          <w:szCs w:val="30"/>
          <w:highlight w:val="none"/>
        </w:rPr>
        <w:fldChar w:fldCharType="separate"/>
      </w:r>
    </w:p>
    <w:p>
      <w:pPr>
        <w:pStyle w:val="11"/>
        <w:spacing w:beforeLines="0" w:afterLines="0" w:line="360" w:lineRule="auto"/>
        <w:jc w:val="center"/>
        <w:rPr>
          <w:rFonts w:hAnsi="宋体"/>
          <w:b/>
          <w:color w:val="auto"/>
          <w:sz w:val="30"/>
          <w:szCs w:val="30"/>
          <w:highlight w:val="none"/>
        </w:rPr>
      </w:pPr>
      <w:r>
        <w:rPr>
          <w:rFonts w:hAnsi="宋体"/>
          <w:b/>
          <w:color w:val="auto"/>
          <w:sz w:val="30"/>
          <w:szCs w:val="30"/>
          <w:highlight w:val="none"/>
        </w:rPr>
        <w:fldChar w:fldCharType="end"/>
      </w:r>
    </w:p>
    <w:p>
      <w:pPr>
        <w:pStyle w:val="11"/>
        <w:spacing w:beforeLines="0" w:afterLines="0" w:line="360" w:lineRule="auto"/>
        <w:rPr>
          <w:rFonts w:hAnsi="宋体"/>
          <w:b/>
          <w:color w:val="auto"/>
          <w:sz w:val="30"/>
          <w:szCs w:val="30"/>
          <w:highlight w:val="none"/>
        </w:rPr>
      </w:pPr>
    </w:p>
    <w:p>
      <w:pPr>
        <w:pStyle w:val="11"/>
        <w:spacing w:beforeLines="0" w:afterLines="0" w:line="360" w:lineRule="auto"/>
        <w:jc w:val="center"/>
        <w:rPr>
          <w:rFonts w:hAnsi="宋体"/>
          <w:b/>
          <w:color w:val="auto"/>
          <w:sz w:val="30"/>
          <w:szCs w:val="30"/>
          <w:highlight w:val="none"/>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p>
    <w:p>
      <w:pPr>
        <w:pStyle w:val="3"/>
        <w:rPr>
          <w:color w:val="auto"/>
          <w:highlight w:val="none"/>
        </w:rPr>
      </w:pPr>
      <w:bookmarkStart w:id="0" w:name="_Toc1077"/>
      <w:bookmarkStart w:id="1" w:name="_Toc24006"/>
      <w:r>
        <w:rPr>
          <w:rFonts w:hint="eastAsia"/>
          <w:color w:val="auto"/>
          <w:highlight w:val="none"/>
        </w:rPr>
        <w:t>第一章  采购公告</w:t>
      </w:r>
      <w:bookmarkEnd w:id="0"/>
      <w:bookmarkEnd w:id="1"/>
    </w:p>
    <w:p>
      <w:pPr>
        <w:spacing w:line="360" w:lineRule="auto"/>
        <w:rPr>
          <w:rFonts w:ascii="宋体" w:hAnsi="宋体"/>
          <w:color w:val="auto"/>
          <w:highlight w:val="none"/>
        </w:rPr>
      </w:pPr>
    </w:p>
    <w:p>
      <w:pPr>
        <w:pBdr>
          <w:top w:val="single" w:color="auto" w:sz="4" w:space="1"/>
          <w:left w:val="single" w:color="auto" w:sz="4" w:space="4"/>
          <w:bottom w:val="single" w:color="auto" w:sz="4" w:space="1"/>
          <w:right w:val="single" w:color="auto" w:sz="4" w:space="4"/>
        </w:pBd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项目概况</w:t>
      </w:r>
    </w:p>
    <w:p>
      <w:pPr>
        <w:pBdr>
          <w:top w:val="single" w:color="auto" w:sz="4" w:space="1"/>
          <w:left w:val="single" w:color="auto" w:sz="4" w:space="4"/>
          <w:bottom w:val="single" w:color="auto" w:sz="4" w:space="1"/>
          <w:right w:val="single" w:color="auto" w:sz="4" w:space="4"/>
        </w:pBd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宁波市鄞州区城区内河水质日常养护项目</w:t>
      </w:r>
      <w:r>
        <w:rPr>
          <w:rFonts w:hint="eastAsia" w:ascii="宋体" w:hAnsi="宋体" w:cs="宋体"/>
          <w:color w:val="auto"/>
          <w:szCs w:val="21"/>
          <w:highlight w:val="none"/>
        </w:rPr>
        <w:t>招标项目的潜在</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应在</w:t>
      </w:r>
      <w:r>
        <w:rPr>
          <w:rFonts w:hint="eastAsia" w:ascii="宋体" w:hAnsi="宋体" w:cs="宋体"/>
          <w:color w:val="auto"/>
          <w:szCs w:val="21"/>
          <w:highlight w:val="none"/>
          <w:u w:val="single"/>
        </w:rPr>
        <w:t>政府采购云平台</w:t>
      </w:r>
      <w:r>
        <w:rPr>
          <w:rFonts w:hint="eastAsia" w:ascii="宋体" w:hAnsi="宋体" w:cs="宋体"/>
          <w:color w:val="auto"/>
          <w:szCs w:val="21"/>
          <w:highlight w:val="none"/>
        </w:rPr>
        <w:t>获取招标文件，并于</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1</w:t>
      </w:r>
      <w:r>
        <w:rPr>
          <w:rFonts w:hint="eastAsia" w:ascii="宋体" w:hAnsi="宋体" w:cs="宋体"/>
          <w:bCs/>
          <w:color w:val="auto"/>
          <w:szCs w:val="21"/>
          <w:highlight w:val="none"/>
          <w:u w:val="single"/>
        </w:rPr>
        <w:t>年</w:t>
      </w:r>
      <w:r>
        <w:rPr>
          <w:rFonts w:hint="eastAsia" w:ascii="宋体" w:hAnsi="宋体" w:cs="宋体"/>
          <w:bCs/>
          <w:color w:val="auto"/>
          <w:szCs w:val="21"/>
          <w:highlight w:val="none"/>
          <w:u w:val="single"/>
          <w:lang w:val="en-US" w:eastAsia="zh-CN"/>
        </w:rPr>
        <w:t>02</w:t>
      </w:r>
      <w:r>
        <w:rPr>
          <w:rFonts w:hint="eastAsia" w:ascii="宋体" w:hAnsi="宋体" w:cs="宋体"/>
          <w:bCs/>
          <w:color w:val="auto"/>
          <w:szCs w:val="21"/>
          <w:highlight w:val="none"/>
          <w:u w:val="single"/>
        </w:rPr>
        <w:t>月</w:t>
      </w:r>
      <w:r>
        <w:rPr>
          <w:rFonts w:hint="eastAsia" w:ascii="宋体" w:hAnsi="宋体" w:cs="宋体"/>
          <w:bCs/>
          <w:color w:val="auto"/>
          <w:szCs w:val="21"/>
          <w:highlight w:val="none"/>
          <w:u w:val="single"/>
          <w:lang w:val="en-US" w:eastAsia="zh-CN"/>
        </w:rPr>
        <w:t>22</w:t>
      </w:r>
      <w:r>
        <w:rPr>
          <w:rFonts w:hint="eastAsia" w:ascii="宋体" w:hAnsi="宋体" w:cs="宋体"/>
          <w:bCs/>
          <w:color w:val="auto"/>
          <w:szCs w:val="21"/>
          <w:highlight w:val="none"/>
          <w:u w:val="single"/>
        </w:rPr>
        <w:t>日</w:t>
      </w:r>
      <w:r>
        <w:rPr>
          <w:rFonts w:hint="eastAsia" w:ascii="宋体" w:hAnsi="宋体" w:cs="宋体"/>
          <w:bCs/>
          <w:color w:val="auto"/>
          <w:szCs w:val="21"/>
          <w:highlight w:val="none"/>
          <w:u w:val="single"/>
          <w:lang w:val="en-US" w:eastAsia="zh-CN"/>
        </w:rPr>
        <w:t>09</w:t>
      </w:r>
      <w:r>
        <w:rPr>
          <w:rFonts w:hint="eastAsia" w:ascii="宋体" w:hAnsi="宋体" w:cs="宋体"/>
          <w:bCs/>
          <w:color w:val="auto"/>
          <w:szCs w:val="21"/>
          <w:highlight w:val="none"/>
          <w:u w:val="single"/>
        </w:rPr>
        <w:t>点00分（</w:t>
      </w:r>
      <w:r>
        <w:rPr>
          <w:rFonts w:hint="eastAsia" w:ascii="宋体" w:hAnsi="宋体" w:cs="宋体"/>
          <w:bCs/>
          <w:color w:val="auto"/>
          <w:szCs w:val="21"/>
          <w:highlight w:val="none"/>
        </w:rPr>
        <w:t>北京时间）前递交投标文件</w:t>
      </w:r>
      <w:r>
        <w:rPr>
          <w:rFonts w:hint="eastAsia" w:ascii="宋体" w:hAnsi="宋体" w:cs="宋体"/>
          <w:color w:val="auto"/>
          <w:szCs w:val="21"/>
          <w:highlight w:val="none"/>
        </w:rPr>
        <w:t>。</w:t>
      </w:r>
    </w:p>
    <w:p>
      <w:pPr>
        <w:pStyle w:val="20"/>
        <w:keepNext w:val="0"/>
        <w:keepLines w:val="0"/>
        <w:pageBreakBefore w:val="0"/>
        <w:widowControl/>
        <w:shd w:val="clear"/>
        <w:kinsoku/>
        <w:wordWrap/>
        <w:overflowPunct/>
        <w:topLinePunct w:val="0"/>
        <w:autoSpaceDE/>
        <w:autoSpaceDN/>
        <w:bidi w:val="0"/>
        <w:adjustRightInd w:val="0"/>
        <w:snapToGrid w:val="0"/>
        <w:spacing w:before="157" w:beforeLines="50" w:beforeAutospacing="0" w:afterAutospacing="0" w:line="360" w:lineRule="auto"/>
        <w:jc w:val="both"/>
        <w:textAlignment w:val="auto"/>
        <w:rPr>
          <w:rFonts w:ascii="宋体" w:hAnsi="宋体" w:cs="宋体"/>
          <w:color w:val="auto"/>
          <w:sz w:val="21"/>
          <w:szCs w:val="21"/>
          <w:highlight w:val="none"/>
        </w:rPr>
      </w:pPr>
      <w:r>
        <w:rPr>
          <w:rStyle w:val="25"/>
          <w:rFonts w:hint="eastAsia" w:ascii="宋体" w:hAnsi="宋体" w:cs="宋体"/>
          <w:color w:val="auto"/>
          <w:sz w:val="21"/>
          <w:szCs w:val="21"/>
          <w:highlight w:val="none"/>
          <w:shd w:val="clear" w:color="auto" w:fill="FFFFFF"/>
        </w:rPr>
        <w:t>一、项目基本情况</w:t>
      </w:r>
    </w:p>
    <w:p>
      <w:pPr>
        <w:pStyle w:val="20"/>
        <w:shd w:val="clear"/>
        <w:adjustRightInd w:val="0"/>
        <w:snapToGrid w:val="0"/>
        <w:spacing w:beforeAutospacing="0" w:afterAutospacing="0"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shd w:val="clear" w:color="auto" w:fill="FFFFFF"/>
        </w:rPr>
        <w:t>项目编号：ZJLB2020-ZB-010</w:t>
      </w:r>
    </w:p>
    <w:p>
      <w:pPr>
        <w:pStyle w:val="20"/>
        <w:shd w:val="clear"/>
        <w:adjustRightInd w:val="0"/>
        <w:snapToGrid w:val="0"/>
        <w:spacing w:beforeAutospacing="0" w:afterAutospacing="0"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shd w:val="clear" w:color="auto" w:fill="FFFFFF"/>
        </w:rPr>
        <w:t>项目名称：宁波市鄞州区城区内河水质日常养护项目</w:t>
      </w:r>
    </w:p>
    <w:p>
      <w:pPr>
        <w:pStyle w:val="20"/>
        <w:shd w:val="clear"/>
        <w:adjustRightInd w:val="0"/>
        <w:snapToGrid w:val="0"/>
        <w:spacing w:beforeAutospacing="0" w:afterAutospacing="0" w:line="360" w:lineRule="auto"/>
        <w:ind w:firstLine="420" w:firstLineChars="200"/>
        <w:rPr>
          <w:rFonts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招标范围、服务期限、服务内容及采购预算</w:t>
      </w:r>
    </w:p>
    <w:tbl>
      <w:tblPr>
        <w:tblStyle w:val="2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534"/>
        <w:gridCol w:w="3080"/>
        <w:gridCol w:w="1503"/>
        <w:gridCol w:w="1389"/>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4" w:hRule="atLeast"/>
          <w:jc w:val="center"/>
        </w:trPr>
        <w:tc>
          <w:tcPr>
            <w:tcW w:w="427" w:type="dxa"/>
            <w:tcBorders>
              <w:tl2br w:val="nil"/>
              <w:tr2bl w:val="nil"/>
            </w:tcBorders>
            <w:vAlign w:val="center"/>
          </w:tcPr>
          <w:p>
            <w:pPr>
              <w:shd w:val="clear"/>
              <w:snapToGrid w:val="0"/>
              <w:jc w:val="center"/>
              <w:rPr>
                <w:rFonts w:ascii="宋体" w:hAnsi="宋体" w:cs="Arial"/>
                <w:b/>
                <w:color w:val="auto"/>
                <w:szCs w:val="21"/>
                <w:highlight w:val="none"/>
              </w:rPr>
            </w:pPr>
            <w:r>
              <w:rPr>
                <w:color w:val="auto"/>
                <w:szCs w:val="21"/>
                <w:highlight w:val="none"/>
              </w:rPr>
              <w:t>标段</w:t>
            </w:r>
          </w:p>
        </w:tc>
        <w:tc>
          <w:tcPr>
            <w:tcW w:w="1534" w:type="dxa"/>
            <w:tcBorders>
              <w:tl2br w:val="nil"/>
              <w:tr2bl w:val="nil"/>
            </w:tcBorders>
            <w:vAlign w:val="center"/>
          </w:tcPr>
          <w:p>
            <w:pPr>
              <w:shd w:val="clear"/>
              <w:snapToGrid w:val="0"/>
              <w:jc w:val="center"/>
              <w:rPr>
                <w:rFonts w:ascii="宋体" w:hAnsi="宋体" w:cs="Arial"/>
                <w:b/>
                <w:color w:val="auto"/>
                <w:szCs w:val="21"/>
                <w:highlight w:val="none"/>
              </w:rPr>
            </w:pPr>
            <w:r>
              <w:rPr>
                <w:color w:val="auto"/>
                <w:szCs w:val="21"/>
                <w:highlight w:val="none"/>
              </w:rPr>
              <w:t>招标范围</w:t>
            </w:r>
          </w:p>
        </w:tc>
        <w:tc>
          <w:tcPr>
            <w:tcW w:w="3080" w:type="dxa"/>
            <w:tcBorders>
              <w:tl2br w:val="nil"/>
              <w:tr2bl w:val="nil"/>
            </w:tcBorders>
            <w:vAlign w:val="center"/>
          </w:tcPr>
          <w:p>
            <w:pPr>
              <w:shd w:val="clear"/>
              <w:snapToGrid w:val="0"/>
              <w:jc w:val="center"/>
              <w:rPr>
                <w:rFonts w:ascii="宋体" w:hAnsi="宋体" w:cs="Arial"/>
                <w:b/>
                <w:color w:val="auto"/>
                <w:szCs w:val="21"/>
                <w:highlight w:val="none"/>
              </w:rPr>
            </w:pPr>
            <w:r>
              <w:rPr>
                <w:color w:val="auto"/>
                <w:szCs w:val="21"/>
                <w:highlight w:val="none"/>
              </w:rPr>
              <w:t>服务内容</w:t>
            </w:r>
          </w:p>
        </w:tc>
        <w:tc>
          <w:tcPr>
            <w:tcW w:w="1503" w:type="dxa"/>
            <w:tcBorders>
              <w:tl2br w:val="nil"/>
              <w:tr2bl w:val="nil"/>
            </w:tcBorders>
            <w:vAlign w:val="center"/>
          </w:tcPr>
          <w:p>
            <w:pPr>
              <w:shd w:val="clear"/>
              <w:snapToGrid w:val="0"/>
              <w:jc w:val="center"/>
              <w:rPr>
                <w:rFonts w:hint="eastAsia"/>
                <w:color w:val="auto"/>
                <w:szCs w:val="21"/>
                <w:highlight w:val="none"/>
              </w:rPr>
            </w:pPr>
            <w:r>
              <w:rPr>
                <w:color w:val="auto"/>
                <w:szCs w:val="21"/>
                <w:highlight w:val="none"/>
              </w:rPr>
              <w:t>服务期限</w:t>
            </w:r>
          </w:p>
        </w:tc>
        <w:tc>
          <w:tcPr>
            <w:tcW w:w="1389" w:type="dxa"/>
            <w:tcBorders>
              <w:tl2br w:val="nil"/>
              <w:tr2bl w:val="nil"/>
            </w:tcBorders>
            <w:vAlign w:val="center"/>
          </w:tcPr>
          <w:p>
            <w:pPr>
              <w:shd w:val="clear"/>
              <w:snapToGrid w:val="0"/>
              <w:jc w:val="center"/>
              <w:rPr>
                <w:rFonts w:hint="eastAsia"/>
                <w:color w:val="auto"/>
                <w:szCs w:val="21"/>
                <w:highlight w:val="none"/>
              </w:rPr>
            </w:pPr>
            <w:r>
              <w:rPr>
                <w:rFonts w:hint="eastAsia"/>
                <w:color w:val="auto"/>
                <w:szCs w:val="21"/>
                <w:highlight w:val="none"/>
              </w:rPr>
              <w:t>采购预算</w:t>
            </w:r>
          </w:p>
          <w:p>
            <w:pPr>
              <w:shd w:val="clear"/>
              <w:snapToGrid w:val="0"/>
              <w:jc w:val="center"/>
              <w:rPr>
                <w:color w:val="auto"/>
                <w:szCs w:val="21"/>
                <w:highlight w:val="none"/>
              </w:rPr>
            </w:pPr>
            <w:r>
              <w:rPr>
                <w:rFonts w:hint="eastAsia"/>
                <w:color w:val="auto"/>
                <w:szCs w:val="21"/>
                <w:highlight w:val="none"/>
              </w:rPr>
              <w:t>（最高限价）</w:t>
            </w:r>
          </w:p>
          <w:p>
            <w:pPr>
              <w:shd w:val="clear"/>
              <w:snapToGrid w:val="0"/>
              <w:jc w:val="center"/>
              <w:rPr>
                <w:color w:val="auto"/>
                <w:szCs w:val="21"/>
                <w:highlight w:val="none"/>
              </w:rPr>
            </w:pPr>
            <w:r>
              <w:rPr>
                <w:rFonts w:hint="eastAsia"/>
                <w:color w:val="auto"/>
                <w:szCs w:val="21"/>
                <w:highlight w:val="none"/>
              </w:rPr>
              <w:t>（万元/年）</w:t>
            </w:r>
          </w:p>
        </w:tc>
        <w:tc>
          <w:tcPr>
            <w:tcW w:w="1445" w:type="dxa"/>
            <w:tcBorders>
              <w:tl2br w:val="nil"/>
              <w:tr2bl w:val="nil"/>
            </w:tcBorders>
            <w:vAlign w:val="center"/>
          </w:tcPr>
          <w:p>
            <w:pPr>
              <w:shd w:val="clear"/>
              <w:snapToGrid w:val="0"/>
              <w:jc w:val="center"/>
              <w:rPr>
                <w:rFonts w:hint="eastAsia"/>
                <w:color w:val="auto"/>
                <w:szCs w:val="21"/>
                <w:highlight w:val="none"/>
              </w:rPr>
            </w:pPr>
            <w:r>
              <w:rPr>
                <w:rFonts w:hint="eastAsia"/>
                <w:color w:val="auto"/>
                <w:szCs w:val="21"/>
                <w:highlight w:val="none"/>
              </w:rPr>
              <w:t>采购预算</w:t>
            </w:r>
          </w:p>
          <w:p>
            <w:pPr>
              <w:shd w:val="clear"/>
              <w:snapToGrid w:val="0"/>
              <w:jc w:val="center"/>
              <w:rPr>
                <w:color w:val="auto"/>
                <w:szCs w:val="21"/>
                <w:highlight w:val="none"/>
              </w:rPr>
            </w:pPr>
            <w:r>
              <w:rPr>
                <w:rFonts w:hint="eastAsia"/>
                <w:color w:val="auto"/>
                <w:szCs w:val="21"/>
                <w:highlight w:val="none"/>
              </w:rPr>
              <w:t>（最高限价）</w:t>
            </w:r>
          </w:p>
          <w:p>
            <w:pPr>
              <w:shd w:val="clear"/>
              <w:snapToGrid w:val="0"/>
              <w:jc w:val="center"/>
              <w:rPr>
                <w:color w:val="auto"/>
                <w:szCs w:val="21"/>
                <w:highlight w:val="none"/>
              </w:rPr>
            </w:pPr>
            <w:r>
              <w:rPr>
                <w:rFonts w:hint="eastAsia"/>
                <w:color w:val="auto"/>
                <w:szCs w:val="21"/>
                <w:highlight w:val="none"/>
              </w:rPr>
              <w:t>（万元/三年）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27" w:type="dxa"/>
            <w:vMerge w:val="restart"/>
            <w:tcBorders>
              <w:tl2br w:val="nil"/>
              <w:tr2bl w:val="nil"/>
            </w:tcBorders>
            <w:vAlign w:val="center"/>
          </w:tcPr>
          <w:p>
            <w:pPr>
              <w:shd w:val="clear"/>
              <w:snapToGrid w:val="0"/>
              <w:jc w:val="center"/>
              <w:rPr>
                <w:rFonts w:ascii="宋体" w:hAnsi="宋体" w:cs="Arial"/>
                <w:b/>
                <w:color w:val="auto"/>
                <w:szCs w:val="21"/>
                <w:highlight w:val="none"/>
              </w:rPr>
            </w:pPr>
            <w:r>
              <w:rPr>
                <w:rFonts w:hint="eastAsia" w:ascii="宋体" w:hAnsi="宋体" w:cs="Arial"/>
                <w:b/>
                <w:color w:val="auto"/>
                <w:szCs w:val="21"/>
                <w:highlight w:val="none"/>
              </w:rPr>
              <w:t>一</w:t>
            </w:r>
          </w:p>
        </w:tc>
        <w:tc>
          <w:tcPr>
            <w:tcW w:w="1534" w:type="dxa"/>
            <w:tcBorders>
              <w:tl2br w:val="nil"/>
              <w:tr2bl w:val="nil"/>
            </w:tcBorders>
            <w:vAlign w:val="center"/>
          </w:tcPr>
          <w:p>
            <w:pPr>
              <w:shd w:val="clear"/>
              <w:jc w:val="center"/>
              <w:rPr>
                <w:rFonts w:ascii="宋体" w:hAnsi="宋体" w:cs="Arial"/>
                <w:b/>
                <w:color w:val="auto"/>
                <w:szCs w:val="21"/>
                <w:highlight w:val="none"/>
              </w:rPr>
            </w:pPr>
            <w:r>
              <w:rPr>
                <w:rFonts w:hint="eastAsia"/>
                <w:color w:val="auto"/>
                <w:szCs w:val="21"/>
                <w:highlight w:val="none"/>
                <w:lang w:val="en-US" w:eastAsia="zh-CN"/>
              </w:rPr>
              <w:t>8</w:t>
            </w:r>
            <w:r>
              <w:rPr>
                <w:rFonts w:hint="eastAsia"/>
                <w:color w:val="auto"/>
                <w:szCs w:val="21"/>
                <w:highlight w:val="none"/>
              </w:rPr>
              <w:t>条河道</w:t>
            </w:r>
            <w:r>
              <w:rPr>
                <w:rFonts w:hint="eastAsia"/>
                <w:color w:val="auto"/>
                <w:szCs w:val="21"/>
                <w:highlight w:val="none"/>
                <w:lang w:eastAsia="zh-CN"/>
              </w:rPr>
              <w:t>（</w:t>
            </w:r>
            <w:r>
              <w:rPr>
                <w:rFonts w:hint="eastAsia"/>
                <w:color w:val="auto"/>
                <w:szCs w:val="21"/>
                <w:highlight w:val="none"/>
                <w:lang w:val="en-US" w:eastAsia="zh-CN"/>
              </w:rPr>
              <w:t>段</w:t>
            </w:r>
            <w:r>
              <w:rPr>
                <w:rFonts w:hint="eastAsia"/>
                <w:color w:val="auto"/>
                <w:szCs w:val="21"/>
                <w:highlight w:val="none"/>
                <w:lang w:eastAsia="zh-CN"/>
              </w:rPr>
              <w:t>）</w:t>
            </w:r>
            <w:r>
              <w:rPr>
                <w:rFonts w:hint="eastAsia"/>
                <w:color w:val="auto"/>
                <w:szCs w:val="21"/>
                <w:highlight w:val="none"/>
              </w:rPr>
              <w:t>日常养护</w:t>
            </w:r>
          </w:p>
        </w:tc>
        <w:tc>
          <w:tcPr>
            <w:tcW w:w="3080" w:type="dxa"/>
            <w:tcBorders>
              <w:tl2br w:val="nil"/>
              <w:tr2bl w:val="nil"/>
            </w:tcBorders>
            <w:vAlign w:val="center"/>
          </w:tcPr>
          <w:p>
            <w:pPr>
              <w:shd w:val="clear"/>
              <w:snapToGrid w:val="0"/>
              <w:jc w:val="center"/>
              <w:rPr>
                <w:rFonts w:ascii="宋体" w:hAnsi="宋体" w:cs="Arial"/>
                <w:b/>
                <w:color w:val="auto"/>
                <w:szCs w:val="21"/>
                <w:highlight w:val="none"/>
              </w:rPr>
            </w:pPr>
            <w:r>
              <w:rPr>
                <w:rFonts w:hint="eastAsia"/>
                <w:color w:val="auto"/>
                <w:szCs w:val="21"/>
                <w:highlight w:val="none"/>
                <w:lang w:val="en-US" w:eastAsia="zh-CN"/>
              </w:rPr>
              <w:t>日常</w:t>
            </w:r>
            <w:r>
              <w:rPr>
                <w:color w:val="auto"/>
                <w:szCs w:val="21"/>
                <w:highlight w:val="none"/>
              </w:rPr>
              <w:t>养护水域长度共计</w:t>
            </w:r>
            <w:r>
              <w:rPr>
                <w:rFonts w:hint="eastAsia"/>
                <w:color w:val="auto"/>
                <w:szCs w:val="21"/>
                <w:highlight w:val="none"/>
              </w:rPr>
              <w:t>11159.00</w:t>
            </w:r>
            <w:r>
              <w:rPr>
                <w:color w:val="auto"/>
                <w:szCs w:val="21"/>
                <w:highlight w:val="none"/>
              </w:rPr>
              <w:t>m，养护水域面积共计</w:t>
            </w:r>
            <w:r>
              <w:rPr>
                <w:rFonts w:hint="eastAsia"/>
                <w:bCs/>
                <w:color w:val="auto"/>
                <w:szCs w:val="21"/>
                <w:highlight w:val="none"/>
              </w:rPr>
              <w:t>278252.00</w:t>
            </w:r>
            <w:r>
              <w:rPr>
                <w:color w:val="auto"/>
                <w:szCs w:val="21"/>
                <w:highlight w:val="none"/>
              </w:rPr>
              <w:t>m</w:t>
            </w:r>
            <w:r>
              <w:rPr>
                <w:color w:val="auto"/>
                <w:szCs w:val="21"/>
                <w:highlight w:val="none"/>
                <w:vertAlign w:val="superscript"/>
              </w:rPr>
              <w:t>2</w:t>
            </w:r>
            <w:r>
              <w:rPr>
                <w:color w:val="auto"/>
                <w:szCs w:val="21"/>
                <w:highlight w:val="none"/>
              </w:rPr>
              <w:t>，</w:t>
            </w:r>
            <w:r>
              <w:rPr>
                <w:bCs/>
                <w:color w:val="auto"/>
                <w:szCs w:val="21"/>
                <w:highlight w:val="none"/>
              </w:rPr>
              <w:t>详见招标需求</w:t>
            </w:r>
          </w:p>
        </w:tc>
        <w:tc>
          <w:tcPr>
            <w:tcW w:w="1503" w:type="dxa"/>
            <w:vMerge w:val="restart"/>
            <w:tcBorders>
              <w:tl2br w:val="nil"/>
              <w:tr2bl w:val="nil"/>
            </w:tcBorders>
            <w:vAlign w:val="center"/>
          </w:tcPr>
          <w:p>
            <w:pPr>
              <w:shd w:val="clear"/>
              <w:snapToGrid w:val="0"/>
              <w:jc w:val="center"/>
              <w:rPr>
                <w:rFonts w:hint="eastAsia" w:ascii="宋体" w:hAnsi="宋体" w:cs="Arial"/>
                <w:b/>
                <w:color w:val="auto"/>
                <w:szCs w:val="21"/>
                <w:highlight w:val="none"/>
                <w:lang w:val="en-US" w:eastAsia="zh-CN"/>
              </w:rPr>
            </w:pPr>
            <w:r>
              <w:rPr>
                <w:color w:val="auto"/>
                <w:szCs w:val="21"/>
                <w:highlight w:val="none"/>
                <w:shd w:val="clear"/>
              </w:rPr>
              <w:t>总期限</w:t>
            </w:r>
            <w:r>
              <w:rPr>
                <w:rFonts w:hint="eastAsia"/>
                <w:color w:val="auto"/>
                <w:szCs w:val="21"/>
                <w:highlight w:val="none"/>
                <w:shd w:val="clear"/>
                <w:lang w:eastAsia="zh-CN"/>
              </w:rPr>
              <w:t>合计三年</w:t>
            </w:r>
            <w:r>
              <w:rPr>
                <w:color w:val="auto"/>
                <w:szCs w:val="21"/>
                <w:highlight w:val="none"/>
                <w:shd w:val="clear"/>
              </w:rPr>
              <w:t>，合同一年一签，</w:t>
            </w:r>
            <w:r>
              <w:rPr>
                <w:rFonts w:hint="eastAsia"/>
                <w:color w:val="auto"/>
                <w:szCs w:val="21"/>
                <w:highlight w:val="none"/>
                <w:shd w:val="clear"/>
              </w:rPr>
              <w:t>采购单位</w:t>
            </w:r>
            <w:r>
              <w:rPr>
                <w:color w:val="auto"/>
                <w:szCs w:val="21"/>
                <w:highlight w:val="none"/>
                <w:shd w:val="clear"/>
              </w:rPr>
              <w:t>根据中标人在</w:t>
            </w:r>
            <w:r>
              <w:rPr>
                <w:rFonts w:hint="eastAsia"/>
                <w:color w:val="auto"/>
                <w:szCs w:val="21"/>
                <w:highlight w:val="none"/>
                <w:shd w:val="clear"/>
                <w:lang w:eastAsia="zh-CN"/>
              </w:rPr>
              <w:t>上一年度</w:t>
            </w:r>
            <w:r>
              <w:rPr>
                <w:color w:val="auto"/>
                <w:szCs w:val="21"/>
                <w:highlight w:val="none"/>
                <w:shd w:val="clear"/>
              </w:rPr>
              <w:t>合同履约情况</w:t>
            </w:r>
            <w:r>
              <w:rPr>
                <w:rFonts w:hint="eastAsia"/>
                <w:color w:val="auto"/>
                <w:szCs w:val="21"/>
                <w:highlight w:val="none"/>
                <w:shd w:val="clear"/>
              </w:rPr>
              <w:t>、</w:t>
            </w:r>
            <w:r>
              <w:rPr>
                <w:color w:val="auto"/>
                <w:szCs w:val="21"/>
                <w:highlight w:val="none"/>
                <w:shd w:val="clear"/>
              </w:rPr>
              <w:t>财政资金审批情况</w:t>
            </w:r>
            <w:r>
              <w:rPr>
                <w:rFonts w:hint="eastAsia"/>
                <w:color w:val="auto"/>
                <w:szCs w:val="21"/>
                <w:highlight w:val="none"/>
                <w:shd w:val="clear"/>
              </w:rPr>
              <w:t>及河</w:t>
            </w:r>
            <w:r>
              <w:rPr>
                <w:rFonts w:hint="eastAsia"/>
                <w:color w:val="auto"/>
                <w:szCs w:val="21"/>
                <w:highlight w:val="none"/>
              </w:rPr>
              <w:t>道养护的必要性</w:t>
            </w:r>
            <w:r>
              <w:rPr>
                <w:color w:val="auto"/>
                <w:szCs w:val="21"/>
                <w:highlight w:val="none"/>
              </w:rPr>
              <w:t>决定</w:t>
            </w:r>
            <w:r>
              <w:rPr>
                <w:rFonts w:hint="eastAsia"/>
                <w:color w:val="auto"/>
                <w:szCs w:val="21"/>
                <w:highlight w:val="none"/>
                <w:lang w:eastAsia="zh-CN"/>
              </w:rPr>
              <w:t>是否续签、</w:t>
            </w:r>
            <w:r>
              <w:rPr>
                <w:rFonts w:hint="eastAsia" w:ascii="宋体" w:hAnsi="宋体" w:cs="宋体"/>
                <w:color w:val="auto"/>
                <w:highlight w:val="none"/>
                <w:lang w:eastAsia="zh-CN"/>
              </w:rPr>
              <w:t>增减养护河道（段）。</w:t>
            </w:r>
          </w:p>
        </w:tc>
        <w:tc>
          <w:tcPr>
            <w:tcW w:w="1389" w:type="dxa"/>
            <w:vMerge w:val="restart"/>
            <w:tcBorders>
              <w:tl2br w:val="nil"/>
              <w:tr2bl w:val="nil"/>
            </w:tcBorders>
            <w:vAlign w:val="center"/>
          </w:tcPr>
          <w:p>
            <w:pPr>
              <w:keepNext w:val="0"/>
              <w:keepLines w:val="0"/>
              <w:widowControl/>
              <w:suppressLineNumbers w:val="0"/>
              <w:jc w:val="center"/>
              <w:textAlignment w:val="center"/>
              <w:rPr>
                <w:rFonts w:hint="default" w:ascii="宋体" w:hAnsi="宋体" w:eastAsia="宋体" w:cs="Arial"/>
                <w:b/>
                <w:bCs/>
                <w:color w:val="auto"/>
                <w:szCs w:val="21"/>
                <w:highlight w:val="none"/>
                <w:lang w:val="en-US" w:eastAsia="zh-CN"/>
              </w:rPr>
            </w:pPr>
            <w:r>
              <w:rPr>
                <w:rFonts w:hint="eastAsia" w:ascii="宋体" w:hAnsi="宋体" w:eastAsia="宋体" w:cs="宋体"/>
                <w:b/>
                <w:bCs/>
                <w:i w:val="0"/>
                <w:color w:val="000000"/>
                <w:kern w:val="0"/>
                <w:sz w:val="22"/>
                <w:szCs w:val="22"/>
                <w:highlight w:val="none"/>
                <w:u w:val="none"/>
                <w:lang w:val="en-US" w:eastAsia="zh-CN" w:bidi="ar"/>
              </w:rPr>
              <w:t>590</w:t>
            </w:r>
          </w:p>
        </w:tc>
        <w:tc>
          <w:tcPr>
            <w:tcW w:w="1445" w:type="dxa"/>
            <w:vMerge w:val="restart"/>
            <w:tcBorders>
              <w:tl2br w:val="nil"/>
              <w:tr2bl w:val="nil"/>
            </w:tcBorders>
            <w:vAlign w:val="center"/>
          </w:tcPr>
          <w:p>
            <w:pPr>
              <w:keepNext w:val="0"/>
              <w:keepLines w:val="0"/>
              <w:widowControl/>
              <w:suppressLineNumbers w:val="0"/>
              <w:jc w:val="center"/>
              <w:textAlignment w:val="center"/>
              <w:rPr>
                <w:rFonts w:hint="default" w:ascii="宋体" w:hAnsi="宋体" w:eastAsia="宋体" w:cs="Arial"/>
                <w:b/>
                <w:bCs/>
                <w:color w:val="auto"/>
                <w:szCs w:val="21"/>
                <w:highlight w:val="none"/>
                <w:lang w:val="en-US" w:eastAsia="zh-CN"/>
              </w:rPr>
            </w:pPr>
            <w:r>
              <w:rPr>
                <w:rFonts w:hint="eastAsia" w:ascii="宋体" w:hAnsi="宋体" w:eastAsia="宋体" w:cs="宋体"/>
                <w:b/>
                <w:bCs/>
                <w:i w:val="0"/>
                <w:color w:val="000000"/>
                <w:kern w:val="0"/>
                <w:sz w:val="22"/>
                <w:szCs w:val="22"/>
                <w:highlight w:val="none"/>
                <w:u w:val="none"/>
                <w:lang w:val="en-US" w:eastAsia="zh-CN" w:bidi="ar"/>
              </w:rPr>
              <w:t>1770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27" w:type="dxa"/>
            <w:vMerge w:val="continue"/>
            <w:tcBorders>
              <w:tl2br w:val="nil"/>
              <w:tr2bl w:val="nil"/>
            </w:tcBorders>
            <w:vAlign w:val="center"/>
          </w:tcPr>
          <w:p>
            <w:pPr>
              <w:shd w:val="clear"/>
              <w:snapToGrid w:val="0"/>
              <w:jc w:val="center"/>
              <w:rPr>
                <w:rFonts w:hint="eastAsia" w:ascii="宋体" w:hAnsi="宋体" w:cs="Arial"/>
                <w:b/>
                <w:color w:val="auto"/>
                <w:szCs w:val="21"/>
                <w:highlight w:val="none"/>
              </w:rPr>
            </w:pPr>
          </w:p>
        </w:tc>
        <w:tc>
          <w:tcPr>
            <w:tcW w:w="1534" w:type="dxa"/>
            <w:tcBorders>
              <w:tl2br w:val="nil"/>
              <w:tr2bl w:val="nil"/>
            </w:tcBorders>
            <w:vAlign w:val="center"/>
          </w:tcPr>
          <w:p>
            <w:pPr>
              <w:shd w:val="clear"/>
              <w:jc w:val="center"/>
              <w:rPr>
                <w:rFonts w:hint="eastAsia"/>
                <w:color w:val="auto"/>
                <w:szCs w:val="21"/>
                <w:highlight w:val="none"/>
              </w:rPr>
            </w:pPr>
            <w:r>
              <w:rPr>
                <w:rFonts w:hint="eastAsia"/>
                <w:color w:val="auto"/>
                <w:szCs w:val="21"/>
                <w:highlight w:val="none"/>
                <w:lang w:val="en-US" w:eastAsia="zh-CN"/>
              </w:rPr>
              <w:t>5</w:t>
            </w:r>
            <w:r>
              <w:rPr>
                <w:rFonts w:hint="eastAsia"/>
                <w:color w:val="auto"/>
                <w:szCs w:val="21"/>
                <w:highlight w:val="none"/>
              </w:rPr>
              <w:t>条河道</w:t>
            </w:r>
            <w:r>
              <w:rPr>
                <w:rFonts w:hint="eastAsia"/>
                <w:color w:val="auto"/>
                <w:szCs w:val="21"/>
                <w:highlight w:val="none"/>
                <w:lang w:eastAsia="zh-CN"/>
              </w:rPr>
              <w:t>（</w:t>
            </w:r>
            <w:r>
              <w:rPr>
                <w:rFonts w:hint="eastAsia"/>
                <w:color w:val="auto"/>
                <w:szCs w:val="21"/>
                <w:highlight w:val="none"/>
                <w:lang w:val="en-US" w:eastAsia="zh-CN"/>
              </w:rPr>
              <w:t>段</w:t>
            </w:r>
            <w:r>
              <w:rPr>
                <w:rFonts w:hint="eastAsia"/>
                <w:color w:val="auto"/>
                <w:szCs w:val="21"/>
                <w:highlight w:val="none"/>
                <w:lang w:eastAsia="zh-CN"/>
              </w:rPr>
              <w:t>）</w:t>
            </w:r>
            <w:r>
              <w:rPr>
                <w:rFonts w:hint="eastAsia"/>
                <w:color w:val="auto"/>
                <w:szCs w:val="21"/>
                <w:highlight w:val="none"/>
              </w:rPr>
              <w:t>应急养护</w:t>
            </w:r>
          </w:p>
        </w:tc>
        <w:tc>
          <w:tcPr>
            <w:tcW w:w="3080" w:type="dxa"/>
            <w:tcBorders>
              <w:tl2br w:val="nil"/>
              <w:tr2bl w:val="nil"/>
            </w:tcBorders>
            <w:vAlign w:val="center"/>
          </w:tcPr>
          <w:p>
            <w:pPr>
              <w:shd w:val="clear"/>
              <w:snapToGrid w:val="0"/>
              <w:jc w:val="center"/>
              <w:rPr>
                <w:color w:val="auto"/>
                <w:szCs w:val="21"/>
                <w:highlight w:val="none"/>
              </w:rPr>
            </w:pPr>
            <w:r>
              <w:rPr>
                <w:rFonts w:hint="eastAsia"/>
                <w:color w:val="auto"/>
                <w:szCs w:val="21"/>
                <w:highlight w:val="none"/>
                <w:lang w:val="en-US" w:eastAsia="zh-CN"/>
              </w:rPr>
              <w:t>应急</w:t>
            </w:r>
            <w:r>
              <w:rPr>
                <w:color w:val="auto"/>
                <w:szCs w:val="21"/>
                <w:highlight w:val="none"/>
              </w:rPr>
              <w:t>养护水域长度共计</w:t>
            </w:r>
            <w:r>
              <w:rPr>
                <w:rFonts w:hint="eastAsia"/>
                <w:color w:val="auto"/>
                <w:szCs w:val="21"/>
                <w:highlight w:val="none"/>
              </w:rPr>
              <w:t>9765.86</w:t>
            </w:r>
            <w:r>
              <w:rPr>
                <w:color w:val="auto"/>
                <w:szCs w:val="21"/>
                <w:highlight w:val="none"/>
              </w:rPr>
              <w:t>m，养护水域面积共计</w:t>
            </w:r>
            <w:r>
              <w:rPr>
                <w:rFonts w:hint="eastAsia"/>
                <w:bCs/>
                <w:color w:val="auto"/>
                <w:szCs w:val="21"/>
                <w:highlight w:val="none"/>
              </w:rPr>
              <w:t>229865.59</w:t>
            </w:r>
            <w:r>
              <w:rPr>
                <w:color w:val="auto"/>
                <w:szCs w:val="21"/>
                <w:highlight w:val="none"/>
              </w:rPr>
              <w:t>m</w:t>
            </w:r>
            <w:r>
              <w:rPr>
                <w:color w:val="auto"/>
                <w:szCs w:val="21"/>
                <w:highlight w:val="none"/>
                <w:vertAlign w:val="superscript"/>
              </w:rPr>
              <w:t>2</w:t>
            </w:r>
            <w:r>
              <w:rPr>
                <w:color w:val="auto"/>
                <w:szCs w:val="21"/>
                <w:highlight w:val="none"/>
              </w:rPr>
              <w:t>，</w:t>
            </w:r>
            <w:r>
              <w:rPr>
                <w:bCs/>
                <w:color w:val="auto"/>
                <w:szCs w:val="21"/>
                <w:highlight w:val="none"/>
              </w:rPr>
              <w:t>详见招标需求</w:t>
            </w:r>
          </w:p>
        </w:tc>
        <w:tc>
          <w:tcPr>
            <w:tcW w:w="1503" w:type="dxa"/>
            <w:vMerge w:val="continue"/>
            <w:tcBorders>
              <w:tl2br w:val="nil"/>
              <w:tr2bl w:val="nil"/>
            </w:tcBorders>
            <w:vAlign w:val="center"/>
          </w:tcPr>
          <w:p>
            <w:pPr>
              <w:shd w:val="clear"/>
              <w:snapToGrid w:val="0"/>
              <w:jc w:val="center"/>
              <w:rPr>
                <w:rFonts w:hint="eastAsia" w:ascii="宋体" w:hAnsi="宋体" w:eastAsia="宋体" w:cs="Arial"/>
                <w:b w:val="0"/>
                <w:bCs/>
                <w:color w:val="auto"/>
                <w:szCs w:val="21"/>
                <w:highlight w:val="none"/>
                <w:lang w:val="en-US" w:eastAsia="zh-CN"/>
              </w:rPr>
            </w:pPr>
          </w:p>
        </w:tc>
        <w:tc>
          <w:tcPr>
            <w:tcW w:w="1389" w:type="dxa"/>
            <w:vMerge w:val="continue"/>
            <w:tcBorders>
              <w:bottom w:val="single" w:color="000000" w:sz="4" w:space="0"/>
              <w:tl2br w:val="nil"/>
              <w:tr2bl w:val="nil"/>
            </w:tcBorders>
            <w:vAlign w:val="center"/>
          </w:tcPr>
          <w:p>
            <w:pPr>
              <w:shd w:val="clear"/>
              <w:snapToGrid w:val="0"/>
              <w:jc w:val="center"/>
              <w:rPr>
                <w:rFonts w:hint="eastAsia" w:ascii="宋体" w:hAnsi="宋体" w:eastAsia="宋体" w:cs="Arial"/>
                <w:b/>
                <w:bCs/>
                <w:color w:val="auto"/>
                <w:szCs w:val="21"/>
                <w:highlight w:val="none"/>
                <w:lang w:val="en-US" w:eastAsia="zh-CN"/>
              </w:rPr>
            </w:pPr>
          </w:p>
        </w:tc>
        <w:tc>
          <w:tcPr>
            <w:tcW w:w="1445" w:type="dxa"/>
            <w:vMerge w:val="continue"/>
            <w:tcBorders>
              <w:bottom w:val="single" w:color="000000" w:sz="4" w:space="0"/>
              <w:tl2br w:val="nil"/>
              <w:tr2bl w:val="nil"/>
            </w:tcBorders>
            <w:vAlign w:val="center"/>
          </w:tcPr>
          <w:p>
            <w:pPr>
              <w:shd w:val="clear"/>
              <w:snapToGrid w:val="0"/>
              <w:jc w:val="center"/>
              <w:rPr>
                <w:rFonts w:hint="eastAsia" w:ascii="宋体" w:hAnsi="宋体" w:eastAsia="宋体" w:cs="Arial"/>
                <w:b/>
                <w:bCs/>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27" w:type="dxa"/>
            <w:vMerge w:val="restart"/>
            <w:tcBorders>
              <w:tl2br w:val="nil"/>
              <w:tr2bl w:val="nil"/>
            </w:tcBorders>
            <w:vAlign w:val="center"/>
          </w:tcPr>
          <w:p>
            <w:pPr>
              <w:shd w:val="clear"/>
              <w:snapToGrid w:val="0"/>
              <w:jc w:val="center"/>
              <w:rPr>
                <w:rFonts w:ascii="宋体" w:hAnsi="宋体" w:cs="Arial"/>
                <w:b/>
                <w:color w:val="auto"/>
                <w:szCs w:val="21"/>
                <w:highlight w:val="none"/>
              </w:rPr>
            </w:pPr>
            <w:r>
              <w:rPr>
                <w:rFonts w:hint="eastAsia" w:ascii="宋体" w:hAnsi="宋体" w:cs="Arial"/>
                <w:b/>
                <w:color w:val="auto"/>
                <w:szCs w:val="21"/>
                <w:highlight w:val="none"/>
              </w:rPr>
              <w:t>二</w:t>
            </w:r>
          </w:p>
        </w:tc>
        <w:tc>
          <w:tcPr>
            <w:tcW w:w="1534" w:type="dxa"/>
            <w:tcBorders>
              <w:tl2br w:val="nil"/>
              <w:tr2bl w:val="nil"/>
            </w:tcBorders>
            <w:vAlign w:val="center"/>
          </w:tcPr>
          <w:p>
            <w:pPr>
              <w:shd w:val="clear"/>
              <w:jc w:val="center"/>
              <w:rPr>
                <w:rFonts w:ascii="宋体" w:hAnsi="宋体" w:cs="Arial"/>
                <w:b/>
                <w:color w:val="auto"/>
                <w:szCs w:val="21"/>
                <w:highlight w:val="none"/>
              </w:rPr>
            </w:pPr>
            <w:r>
              <w:rPr>
                <w:rFonts w:hint="eastAsia"/>
                <w:color w:val="auto"/>
                <w:szCs w:val="21"/>
                <w:highlight w:val="none"/>
                <w:lang w:val="en-US" w:eastAsia="zh-CN"/>
              </w:rPr>
              <w:t>10</w:t>
            </w:r>
            <w:r>
              <w:rPr>
                <w:rFonts w:hint="eastAsia"/>
                <w:color w:val="auto"/>
                <w:szCs w:val="21"/>
                <w:highlight w:val="none"/>
              </w:rPr>
              <w:t>条河道</w:t>
            </w:r>
            <w:r>
              <w:rPr>
                <w:rFonts w:hint="eastAsia"/>
                <w:color w:val="auto"/>
                <w:szCs w:val="21"/>
                <w:highlight w:val="none"/>
                <w:lang w:eastAsia="zh-CN"/>
              </w:rPr>
              <w:t>（</w:t>
            </w:r>
            <w:r>
              <w:rPr>
                <w:rFonts w:hint="eastAsia"/>
                <w:color w:val="auto"/>
                <w:szCs w:val="21"/>
                <w:highlight w:val="none"/>
                <w:lang w:val="en-US" w:eastAsia="zh-CN"/>
              </w:rPr>
              <w:t>段</w:t>
            </w:r>
            <w:r>
              <w:rPr>
                <w:rFonts w:hint="eastAsia"/>
                <w:color w:val="auto"/>
                <w:szCs w:val="21"/>
                <w:highlight w:val="none"/>
                <w:lang w:eastAsia="zh-CN"/>
              </w:rPr>
              <w:t>）</w:t>
            </w:r>
            <w:r>
              <w:rPr>
                <w:rFonts w:hint="eastAsia"/>
                <w:color w:val="auto"/>
                <w:szCs w:val="21"/>
                <w:highlight w:val="none"/>
              </w:rPr>
              <w:t>日常养护</w:t>
            </w:r>
          </w:p>
        </w:tc>
        <w:tc>
          <w:tcPr>
            <w:tcW w:w="3080" w:type="dxa"/>
            <w:tcBorders>
              <w:tl2br w:val="nil"/>
              <w:tr2bl w:val="nil"/>
            </w:tcBorders>
            <w:vAlign w:val="center"/>
          </w:tcPr>
          <w:p>
            <w:pPr>
              <w:shd w:val="clear"/>
              <w:snapToGrid w:val="0"/>
              <w:jc w:val="center"/>
              <w:rPr>
                <w:rFonts w:ascii="宋体" w:hAnsi="宋体" w:cs="Arial"/>
                <w:b/>
                <w:color w:val="auto"/>
                <w:szCs w:val="21"/>
                <w:highlight w:val="none"/>
              </w:rPr>
            </w:pPr>
            <w:r>
              <w:rPr>
                <w:rFonts w:hint="eastAsia"/>
                <w:color w:val="auto"/>
                <w:szCs w:val="21"/>
                <w:highlight w:val="none"/>
                <w:lang w:val="en-US" w:eastAsia="zh-CN"/>
              </w:rPr>
              <w:t>日常</w:t>
            </w:r>
            <w:r>
              <w:rPr>
                <w:color w:val="auto"/>
                <w:szCs w:val="21"/>
                <w:highlight w:val="none"/>
              </w:rPr>
              <w:t>养护水域长度共计</w:t>
            </w:r>
            <w:r>
              <w:rPr>
                <w:rFonts w:hint="eastAsia"/>
                <w:color w:val="auto"/>
                <w:szCs w:val="21"/>
                <w:highlight w:val="none"/>
              </w:rPr>
              <w:t>14356.00</w:t>
            </w:r>
            <w:r>
              <w:rPr>
                <w:color w:val="auto"/>
                <w:szCs w:val="21"/>
                <w:highlight w:val="none"/>
              </w:rPr>
              <w:t>m，养护水域面积共计</w:t>
            </w:r>
            <w:r>
              <w:rPr>
                <w:rFonts w:hint="eastAsia"/>
                <w:bCs/>
                <w:color w:val="auto"/>
                <w:szCs w:val="21"/>
                <w:highlight w:val="none"/>
              </w:rPr>
              <w:t>251774.00</w:t>
            </w:r>
            <w:r>
              <w:rPr>
                <w:color w:val="auto"/>
                <w:szCs w:val="21"/>
                <w:highlight w:val="none"/>
              </w:rPr>
              <w:t>m</w:t>
            </w:r>
            <w:r>
              <w:rPr>
                <w:color w:val="auto"/>
                <w:szCs w:val="21"/>
                <w:highlight w:val="none"/>
                <w:vertAlign w:val="superscript"/>
              </w:rPr>
              <w:t>2</w:t>
            </w:r>
            <w:r>
              <w:rPr>
                <w:color w:val="auto"/>
                <w:szCs w:val="21"/>
                <w:highlight w:val="none"/>
              </w:rPr>
              <w:t>，</w:t>
            </w:r>
            <w:r>
              <w:rPr>
                <w:bCs/>
                <w:color w:val="auto"/>
                <w:szCs w:val="21"/>
                <w:highlight w:val="none"/>
              </w:rPr>
              <w:t>详见招标需求</w:t>
            </w:r>
          </w:p>
        </w:tc>
        <w:tc>
          <w:tcPr>
            <w:tcW w:w="1503" w:type="dxa"/>
            <w:vMerge w:val="continue"/>
            <w:tcBorders>
              <w:tl2br w:val="nil"/>
              <w:tr2bl w:val="nil"/>
            </w:tcBorders>
            <w:vAlign w:val="center"/>
          </w:tcPr>
          <w:p>
            <w:pPr>
              <w:shd w:val="clear"/>
              <w:snapToGrid w:val="0"/>
              <w:jc w:val="center"/>
              <w:rPr>
                <w:rFonts w:hint="eastAsia" w:ascii="宋体" w:hAnsi="宋体" w:cs="Arial"/>
                <w:b/>
                <w:color w:val="auto"/>
                <w:szCs w:val="21"/>
                <w:highlight w:val="none"/>
                <w:lang w:val="en-US" w:eastAsia="zh-CN"/>
              </w:rPr>
            </w:pPr>
          </w:p>
        </w:tc>
        <w:tc>
          <w:tcPr>
            <w:tcW w:w="1389" w:type="dxa"/>
            <w:vMerge w:val="restart"/>
            <w:tcBorders>
              <w:top w:val="single" w:color="000000" w:sz="4" w:space="0"/>
              <w:tl2br w:val="nil"/>
              <w:tr2bl w:val="nil"/>
            </w:tcBorders>
            <w:vAlign w:val="center"/>
          </w:tcPr>
          <w:p>
            <w:pPr>
              <w:keepNext w:val="0"/>
              <w:keepLines w:val="0"/>
              <w:widowControl/>
              <w:suppressLineNumbers w:val="0"/>
              <w:jc w:val="center"/>
              <w:textAlignment w:val="center"/>
              <w:rPr>
                <w:rFonts w:hint="default" w:ascii="宋体" w:hAnsi="宋体" w:eastAsia="宋体" w:cs="Arial"/>
                <w:b/>
                <w:bCs/>
                <w:color w:val="auto"/>
                <w:szCs w:val="21"/>
                <w:highlight w:val="none"/>
                <w:lang w:val="en-US" w:eastAsia="zh-CN"/>
              </w:rPr>
            </w:pPr>
            <w:r>
              <w:rPr>
                <w:rFonts w:hint="eastAsia" w:ascii="宋体" w:hAnsi="宋体" w:eastAsia="宋体" w:cs="宋体"/>
                <w:b/>
                <w:bCs/>
                <w:i w:val="0"/>
                <w:color w:val="000000"/>
                <w:kern w:val="0"/>
                <w:sz w:val="22"/>
                <w:szCs w:val="22"/>
                <w:highlight w:val="none"/>
                <w:u w:val="none"/>
                <w:lang w:val="en-US" w:eastAsia="zh-CN" w:bidi="ar"/>
              </w:rPr>
              <w:t>590</w:t>
            </w:r>
          </w:p>
        </w:tc>
        <w:tc>
          <w:tcPr>
            <w:tcW w:w="1445" w:type="dxa"/>
            <w:vMerge w:val="restart"/>
            <w:tcBorders>
              <w:top w:val="single" w:color="000000" w:sz="4" w:space="0"/>
              <w:tl2br w:val="nil"/>
              <w:tr2bl w:val="nil"/>
            </w:tcBorders>
            <w:vAlign w:val="center"/>
          </w:tcPr>
          <w:p>
            <w:pPr>
              <w:keepNext w:val="0"/>
              <w:keepLines w:val="0"/>
              <w:widowControl/>
              <w:suppressLineNumbers w:val="0"/>
              <w:jc w:val="center"/>
              <w:textAlignment w:val="center"/>
              <w:rPr>
                <w:rFonts w:hint="default" w:ascii="宋体" w:hAnsi="宋体" w:eastAsia="宋体" w:cs="Arial"/>
                <w:b/>
                <w:bCs/>
                <w:color w:val="auto"/>
                <w:szCs w:val="21"/>
                <w:highlight w:val="none"/>
                <w:lang w:val="en-US" w:eastAsia="zh-CN"/>
              </w:rPr>
            </w:pPr>
            <w:r>
              <w:rPr>
                <w:rFonts w:hint="eastAsia" w:ascii="宋体" w:hAnsi="宋体" w:eastAsia="宋体" w:cs="宋体"/>
                <w:b/>
                <w:bCs/>
                <w:i w:val="0"/>
                <w:color w:val="000000"/>
                <w:kern w:val="0"/>
                <w:sz w:val="22"/>
                <w:szCs w:val="22"/>
                <w:highlight w:val="none"/>
                <w:u w:val="none"/>
                <w:lang w:val="en-US" w:eastAsia="zh-CN" w:bidi="ar"/>
              </w:rPr>
              <w:t>1770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5" w:hRule="atLeast"/>
          <w:jc w:val="center"/>
        </w:trPr>
        <w:tc>
          <w:tcPr>
            <w:tcW w:w="427" w:type="dxa"/>
            <w:vMerge w:val="continue"/>
            <w:tcBorders>
              <w:tl2br w:val="nil"/>
              <w:tr2bl w:val="nil"/>
            </w:tcBorders>
            <w:vAlign w:val="center"/>
          </w:tcPr>
          <w:p>
            <w:pPr>
              <w:shd w:val="clear"/>
              <w:snapToGrid w:val="0"/>
              <w:jc w:val="center"/>
              <w:rPr>
                <w:rFonts w:hint="eastAsia" w:ascii="宋体" w:hAnsi="宋体" w:cs="Arial"/>
                <w:b/>
                <w:color w:val="auto"/>
                <w:szCs w:val="21"/>
                <w:highlight w:val="none"/>
              </w:rPr>
            </w:pPr>
          </w:p>
        </w:tc>
        <w:tc>
          <w:tcPr>
            <w:tcW w:w="1534" w:type="dxa"/>
            <w:tcBorders>
              <w:tl2br w:val="nil"/>
              <w:tr2bl w:val="nil"/>
            </w:tcBorders>
            <w:vAlign w:val="center"/>
          </w:tcPr>
          <w:p>
            <w:pPr>
              <w:shd w:val="clear"/>
              <w:jc w:val="center"/>
              <w:rPr>
                <w:rFonts w:hint="eastAsia"/>
                <w:color w:val="auto"/>
                <w:szCs w:val="21"/>
                <w:highlight w:val="none"/>
              </w:rPr>
            </w:pPr>
            <w:r>
              <w:rPr>
                <w:rFonts w:hint="eastAsia"/>
                <w:color w:val="auto"/>
                <w:szCs w:val="21"/>
                <w:highlight w:val="none"/>
                <w:lang w:val="en-US" w:eastAsia="zh-CN"/>
              </w:rPr>
              <w:t>2</w:t>
            </w:r>
            <w:r>
              <w:rPr>
                <w:rFonts w:hint="eastAsia"/>
                <w:color w:val="auto"/>
                <w:szCs w:val="21"/>
                <w:highlight w:val="none"/>
              </w:rPr>
              <w:t>条河道</w:t>
            </w:r>
            <w:r>
              <w:rPr>
                <w:rFonts w:hint="eastAsia"/>
                <w:color w:val="auto"/>
                <w:szCs w:val="21"/>
                <w:highlight w:val="none"/>
                <w:lang w:eastAsia="zh-CN"/>
              </w:rPr>
              <w:t>（</w:t>
            </w:r>
            <w:r>
              <w:rPr>
                <w:rFonts w:hint="eastAsia"/>
                <w:color w:val="auto"/>
                <w:szCs w:val="21"/>
                <w:highlight w:val="none"/>
                <w:lang w:val="en-US" w:eastAsia="zh-CN"/>
              </w:rPr>
              <w:t>段</w:t>
            </w:r>
            <w:r>
              <w:rPr>
                <w:rFonts w:hint="eastAsia"/>
                <w:color w:val="auto"/>
                <w:szCs w:val="21"/>
                <w:highlight w:val="none"/>
                <w:lang w:eastAsia="zh-CN"/>
              </w:rPr>
              <w:t>）</w:t>
            </w:r>
            <w:r>
              <w:rPr>
                <w:rFonts w:hint="eastAsia"/>
                <w:color w:val="auto"/>
                <w:szCs w:val="21"/>
                <w:highlight w:val="none"/>
              </w:rPr>
              <w:t>应急养护</w:t>
            </w:r>
          </w:p>
        </w:tc>
        <w:tc>
          <w:tcPr>
            <w:tcW w:w="3080" w:type="dxa"/>
            <w:tcBorders>
              <w:top w:val="single" w:color="000000" w:sz="4" w:space="0"/>
              <w:bottom w:val="single" w:color="000000" w:sz="4" w:space="0"/>
              <w:tl2br w:val="nil"/>
              <w:tr2bl w:val="nil"/>
            </w:tcBorders>
            <w:vAlign w:val="center"/>
          </w:tcPr>
          <w:p>
            <w:pPr>
              <w:shd w:val="clear"/>
              <w:snapToGrid w:val="0"/>
              <w:jc w:val="center"/>
              <w:rPr>
                <w:color w:val="auto"/>
                <w:szCs w:val="21"/>
                <w:highlight w:val="none"/>
              </w:rPr>
            </w:pPr>
            <w:r>
              <w:rPr>
                <w:rFonts w:hint="eastAsia"/>
                <w:color w:val="auto"/>
                <w:szCs w:val="21"/>
                <w:highlight w:val="none"/>
              </w:rPr>
              <w:t>应急</w:t>
            </w:r>
            <w:r>
              <w:rPr>
                <w:color w:val="auto"/>
                <w:szCs w:val="21"/>
                <w:highlight w:val="none"/>
              </w:rPr>
              <w:t>养护水域长度共计</w:t>
            </w:r>
          </w:p>
          <w:p>
            <w:pPr>
              <w:shd w:val="clear"/>
              <w:snapToGrid w:val="0"/>
              <w:jc w:val="center"/>
              <w:rPr>
                <w:color w:val="auto"/>
                <w:szCs w:val="21"/>
                <w:highlight w:val="none"/>
              </w:rPr>
            </w:pPr>
            <w:r>
              <w:rPr>
                <w:rFonts w:hint="eastAsia"/>
                <w:color w:val="auto"/>
                <w:szCs w:val="21"/>
                <w:highlight w:val="none"/>
              </w:rPr>
              <w:t>2980.00</w:t>
            </w:r>
            <w:r>
              <w:rPr>
                <w:color w:val="auto"/>
                <w:szCs w:val="21"/>
                <w:highlight w:val="none"/>
              </w:rPr>
              <w:t>m，养护水域面积共计</w:t>
            </w:r>
            <w:r>
              <w:rPr>
                <w:rFonts w:hint="eastAsia"/>
                <w:bCs/>
                <w:color w:val="auto"/>
                <w:szCs w:val="21"/>
                <w:highlight w:val="none"/>
              </w:rPr>
              <w:t>105092.99</w:t>
            </w:r>
            <w:r>
              <w:rPr>
                <w:color w:val="auto"/>
                <w:szCs w:val="21"/>
                <w:highlight w:val="none"/>
              </w:rPr>
              <w:t>m</w:t>
            </w:r>
            <w:r>
              <w:rPr>
                <w:color w:val="auto"/>
                <w:szCs w:val="21"/>
                <w:highlight w:val="none"/>
                <w:vertAlign w:val="superscript"/>
              </w:rPr>
              <w:t>2</w:t>
            </w:r>
            <w:r>
              <w:rPr>
                <w:color w:val="auto"/>
                <w:szCs w:val="21"/>
                <w:highlight w:val="none"/>
              </w:rPr>
              <w:t>，</w:t>
            </w:r>
            <w:r>
              <w:rPr>
                <w:bCs/>
                <w:color w:val="auto"/>
                <w:szCs w:val="21"/>
                <w:highlight w:val="none"/>
              </w:rPr>
              <w:t>详见招标需求</w:t>
            </w:r>
          </w:p>
        </w:tc>
        <w:tc>
          <w:tcPr>
            <w:tcW w:w="1503" w:type="dxa"/>
            <w:vMerge w:val="continue"/>
            <w:tcBorders>
              <w:tl2br w:val="nil"/>
              <w:tr2bl w:val="nil"/>
            </w:tcBorders>
            <w:vAlign w:val="center"/>
          </w:tcPr>
          <w:p>
            <w:pPr>
              <w:shd w:val="clear"/>
              <w:snapToGrid w:val="0"/>
              <w:jc w:val="center"/>
              <w:rPr>
                <w:rFonts w:ascii="宋体" w:hAnsi="宋体" w:cs="Arial"/>
                <w:b/>
                <w:color w:val="auto"/>
                <w:szCs w:val="21"/>
                <w:highlight w:val="none"/>
              </w:rPr>
            </w:pPr>
          </w:p>
        </w:tc>
        <w:tc>
          <w:tcPr>
            <w:tcW w:w="1389" w:type="dxa"/>
            <w:vMerge w:val="continue"/>
            <w:tcBorders>
              <w:tl2br w:val="nil"/>
              <w:tr2bl w:val="nil"/>
            </w:tcBorders>
            <w:vAlign w:val="center"/>
          </w:tcPr>
          <w:p>
            <w:pPr>
              <w:shd w:val="clear"/>
              <w:snapToGrid w:val="0"/>
              <w:jc w:val="center"/>
              <w:rPr>
                <w:rFonts w:ascii="宋体" w:hAnsi="宋体" w:cs="Arial"/>
                <w:b/>
                <w:bCs/>
                <w:color w:val="auto"/>
                <w:szCs w:val="21"/>
                <w:highlight w:val="none"/>
              </w:rPr>
            </w:pPr>
          </w:p>
        </w:tc>
        <w:tc>
          <w:tcPr>
            <w:tcW w:w="1445" w:type="dxa"/>
            <w:vMerge w:val="continue"/>
            <w:tcBorders>
              <w:tl2br w:val="nil"/>
              <w:tr2bl w:val="nil"/>
            </w:tcBorders>
            <w:vAlign w:val="center"/>
          </w:tcPr>
          <w:p>
            <w:pPr>
              <w:shd w:val="clear"/>
              <w:snapToGrid w:val="0"/>
              <w:jc w:val="center"/>
              <w:rPr>
                <w:rFonts w:ascii="宋体" w:hAnsi="宋体" w:cs="Arial"/>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27" w:type="dxa"/>
            <w:vMerge w:val="restart"/>
            <w:tcBorders>
              <w:tl2br w:val="nil"/>
              <w:tr2bl w:val="nil"/>
            </w:tcBorders>
            <w:vAlign w:val="center"/>
          </w:tcPr>
          <w:p>
            <w:pPr>
              <w:shd w:val="clear"/>
              <w:snapToGrid w:val="0"/>
              <w:jc w:val="center"/>
              <w:rPr>
                <w:rFonts w:ascii="宋体" w:hAnsi="宋体" w:cs="Arial"/>
                <w:b/>
                <w:color w:val="auto"/>
                <w:szCs w:val="21"/>
                <w:highlight w:val="none"/>
              </w:rPr>
            </w:pPr>
            <w:r>
              <w:rPr>
                <w:rFonts w:hint="eastAsia" w:ascii="宋体" w:hAnsi="宋体" w:cs="Arial"/>
                <w:b/>
                <w:color w:val="auto"/>
                <w:szCs w:val="21"/>
                <w:highlight w:val="none"/>
              </w:rPr>
              <w:t>三</w:t>
            </w:r>
          </w:p>
        </w:tc>
        <w:tc>
          <w:tcPr>
            <w:tcW w:w="1534" w:type="dxa"/>
            <w:tcBorders>
              <w:tl2br w:val="nil"/>
              <w:tr2bl w:val="nil"/>
            </w:tcBorders>
            <w:vAlign w:val="center"/>
          </w:tcPr>
          <w:p>
            <w:pPr>
              <w:shd w:val="clear"/>
              <w:jc w:val="center"/>
              <w:rPr>
                <w:rFonts w:ascii="宋体" w:hAnsi="宋体" w:cs="Arial"/>
                <w:b/>
                <w:color w:val="auto"/>
                <w:szCs w:val="21"/>
                <w:highlight w:val="none"/>
              </w:rPr>
            </w:pPr>
            <w:r>
              <w:rPr>
                <w:rFonts w:hint="eastAsia"/>
                <w:color w:val="auto"/>
                <w:szCs w:val="21"/>
                <w:highlight w:val="none"/>
                <w:lang w:val="en-US" w:eastAsia="zh-CN"/>
              </w:rPr>
              <w:t>6</w:t>
            </w:r>
            <w:r>
              <w:rPr>
                <w:rFonts w:hint="eastAsia"/>
                <w:color w:val="auto"/>
                <w:szCs w:val="21"/>
                <w:highlight w:val="none"/>
              </w:rPr>
              <w:t>条河道</w:t>
            </w:r>
            <w:r>
              <w:rPr>
                <w:rFonts w:hint="eastAsia"/>
                <w:color w:val="auto"/>
                <w:szCs w:val="21"/>
                <w:highlight w:val="none"/>
                <w:lang w:eastAsia="zh-CN"/>
              </w:rPr>
              <w:t>（</w:t>
            </w:r>
            <w:r>
              <w:rPr>
                <w:rFonts w:hint="eastAsia"/>
                <w:color w:val="auto"/>
                <w:szCs w:val="21"/>
                <w:highlight w:val="none"/>
                <w:lang w:val="en-US" w:eastAsia="zh-CN"/>
              </w:rPr>
              <w:t>段</w:t>
            </w:r>
            <w:r>
              <w:rPr>
                <w:rFonts w:hint="eastAsia"/>
                <w:color w:val="auto"/>
                <w:szCs w:val="21"/>
                <w:highlight w:val="none"/>
                <w:lang w:eastAsia="zh-CN"/>
              </w:rPr>
              <w:t>）</w:t>
            </w:r>
            <w:r>
              <w:rPr>
                <w:rFonts w:hint="eastAsia"/>
                <w:color w:val="auto"/>
                <w:szCs w:val="21"/>
                <w:highlight w:val="none"/>
              </w:rPr>
              <w:t>日常养护</w:t>
            </w:r>
          </w:p>
        </w:tc>
        <w:tc>
          <w:tcPr>
            <w:tcW w:w="3080" w:type="dxa"/>
            <w:tcBorders>
              <w:top w:val="single" w:color="000000" w:sz="4" w:space="0"/>
              <w:tl2br w:val="nil"/>
              <w:tr2bl w:val="nil"/>
            </w:tcBorders>
            <w:vAlign w:val="center"/>
          </w:tcPr>
          <w:p>
            <w:pPr>
              <w:shd w:val="clear"/>
              <w:snapToGrid w:val="0"/>
              <w:jc w:val="center"/>
              <w:rPr>
                <w:rFonts w:ascii="宋体" w:hAnsi="宋体" w:cs="Arial"/>
                <w:b/>
                <w:color w:val="auto"/>
                <w:szCs w:val="21"/>
                <w:highlight w:val="none"/>
              </w:rPr>
            </w:pPr>
            <w:r>
              <w:rPr>
                <w:rFonts w:hint="eastAsia"/>
                <w:color w:val="auto"/>
                <w:szCs w:val="21"/>
                <w:highlight w:val="none"/>
                <w:lang w:val="en-US" w:eastAsia="zh-CN"/>
              </w:rPr>
              <w:t>日常</w:t>
            </w:r>
            <w:r>
              <w:rPr>
                <w:color w:val="auto"/>
                <w:szCs w:val="21"/>
                <w:highlight w:val="none"/>
              </w:rPr>
              <w:t>养护水域长度共计</w:t>
            </w:r>
            <w:r>
              <w:rPr>
                <w:rFonts w:hint="eastAsia"/>
                <w:color w:val="auto"/>
                <w:szCs w:val="21"/>
                <w:highlight w:val="none"/>
              </w:rPr>
              <w:t>10087.58</w:t>
            </w:r>
            <w:r>
              <w:rPr>
                <w:color w:val="auto"/>
                <w:szCs w:val="21"/>
                <w:highlight w:val="none"/>
              </w:rPr>
              <w:t>m，养护水域面积共计</w:t>
            </w:r>
            <w:r>
              <w:rPr>
                <w:rFonts w:hint="eastAsia"/>
                <w:bCs/>
                <w:color w:val="auto"/>
                <w:szCs w:val="21"/>
                <w:highlight w:val="none"/>
              </w:rPr>
              <w:t>143428.00</w:t>
            </w:r>
            <w:r>
              <w:rPr>
                <w:color w:val="auto"/>
                <w:szCs w:val="21"/>
                <w:highlight w:val="none"/>
              </w:rPr>
              <w:t>m</w:t>
            </w:r>
            <w:r>
              <w:rPr>
                <w:color w:val="auto"/>
                <w:szCs w:val="21"/>
                <w:highlight w:val="none"/>
                <w:vertAlign w:val="superscript"/>
              </w:rPr>
              <w:t>2</w:t>
            </w:r>
            <w:r>
              <w:rPr>
                <w:color w:val="auto"/>
                <w:szCs w:val="21"/>
                <w:highlight w:val="none"/>
              </w:rPr>
              <w:t>，</w:t>
            </w:r>
            <w:r>
              <w:rPr>
                <w:bCs/>
                <w:color w:val="auto"/>
                <w:szCs w:val="21"/>
                <w:highlight w:val="none"/>
              </w:rPr>
              <w:t>详见招标需求</w:t>
            </w:r>
          </w:p>
        </w:tc>
        <w:tc>
          <w:tcPr>
            <w:tcW w:w="1503" w:type="dxa"/>
            <w:vMerge w:val="continue"/>
            <w:tcBorders>
              <w:tl2br w:val="nil"/>
              <w:tr2bl w:val="nil"/>
            </w:tcBorders>
            <w:vAlign w:val="center"/>
          </w:tcPr>
          <w:p>
            <w:pPr>
              <w:shd w:val="clear"/>
              <w:snapToGrid w:val="0"/>
              <w:jc w:val="center"/>
              <w:rPr>
                <w:rFonts w:hint="eastAsia" w:ascii="宋体" w:hAnsi="宋体" w:cs="Arial"/>
                <w:b/>
                <w:color w:val="auto"/>
                <w:szCs w:val="21"/>
                <w:highlight w:val="none"/>
                <w:lang w:val="en-US" w:eastAsia="zh-CN"/>
              </w:rPr>
            </w:pPr>
          </w:p>
        </w:tc>
        <w:tc>
          <w:tcPr>
            <w:tcW w:w="1389" w:type="dxa"/>
            <w:vMerge w:val="restart"/>
            <w:tcBorders>
              <w:tl2br w:val="nil"/>
              <w:tr2bl w:val="nil"/>
            </w:tcBorders>
            <w:vAlign w:val="center"/>
          </w:tcPr>
          <w:p>
            <w:pPr>
              <w:keepNext w:val="0"/>
              <w:keepLines w:val="0"/>
              <w:widowControl/>
              <w:suppressLineNumbers w:val="0"/>
              <w:jc w:val="center"/>
              <w:textAlignment w:val="center"/>
              <w:rPr>
                <w:rFonts w:ascii="宋体" w:hAnsi="宋体" w:eastAsia="宋体" w:cs="Arial"/>
                <w:b/>
                <w:bCs/>
                <w:color w:val="auto"/>
                <w:kern w:val="2"/>
                <w:sz w:val="21"/>
                <w:szCs w:val="21"/>
                <w:highlight w:val="none"/>
                <w:lang w:val="en-US" w:eastAsia="zh-CN" w:bidi="ar-SA"/>
              </w:rPr>
            </w:pPr>
            <w:r>
              <w:rPr>
                <w:rFonts w:hint="eastAsia" w:ascii="宋体" w:hAnsi="宋体" w:eastAsia="宋体" w:cs="宋体"/>
                <w:b/>
                <w:bCs/>
                <w:i w:val="0"/>
                <w:color w:val="000000"/>
                <w:kern w:val="0"/>
                <w:sz w:val="22"/>
                <w:szCs w:val="22"/>
                <w:highlight w:val="none"/>
                <w:u w:val="none"/>
                <w:lang w:val="en-US" w:eastAsia="zh-CN" w:bidi="ar"/>
              </w:rPr>
              <w:t>390</w:t>
            </w:r>
          </w:p>
        </w:tc>
        <w:tc>
          <w:tcPr>
            <w:tcW w:w="1445" w:type="dxa"/>
            <w:vMerge w:val="restart"/>
            <w:tcBorders>
              <w:tl2br w:val="nil"/>
              <w:tr2bl w:val="nil"/>
            </w:tcBorders>
            <w:vAlign w:val="center"/>
          </w:tcPr>
          <w:p>
            <w:pPr>
              <w:keepNext w:val="0"/>
              <w:keepLines w:val="0"/>
              <w:widowControl/>
              <w:suppressLineNumbers w:val="0"/>
              <w:jc w:val="center"/>
              <w:textAlignment w:val="center"/>
              <w:rPr>
                <w:rFonts w:ascii="宋体" w:hAnsi="宋体" w:eastAsia="宋体" w:cs="Arial"/>
                <w:b/>
                <w:bCs/>
                <w:color w:val="auto"/>
                <w:kern w:val="2"/>
                <w:sz w:val="21"/>
                <w:szCs w:val="21"/>
                <w:highlight w:val="none"/>
                <w:lang w:val="en-US" w:eastAsia="zh-CN" w:bidi="ar-SA"/>
              </w:rPr>
            </w:pPr>
            <w:r>
              <w:rPr>
                <w:rFonts w:hint="eastAsia" w:ascii="宋体" w:hAnsi="宋体" w:eastAsia="宋体" w:cs="宋体"/>
                <w:b/>
                <w:bCs/>
                <w:i w:val="0"/>
                <w:color w:val="000000"/>
                <w:kern w:val="0"/>
                <w:sz w:val="22"/>
                <w:szCs w:val="22"/>
                <w:highlight w:val="none"/>
                <w:u w:val="none"/>
                <w:lang w:val="en-US" w:eastAsia="zh-CN" w:bidi="ar"/>
              </w:rPr>
              <w:t>1170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27" w:type="dxa"/>
            <w:vMerge w:val="continue"/>
            <w:tcBorders>
              <w:tl2br w:val="nil"/>
              <w:tr2bl w:val="nil"/>
            </w:tcBorders>
            <w:vAlign w:val="center"/>
          </w:tcPr>
          <w:p>
            <w:pPr>
              <w:shd w:val="clear"/>
              <w:snapToGrid w:val="0"/>
              <w:jc w:val="center"/>
              <w:rPr>
                <w:rFonts w:hint="eastAsia" w:ascii="宋体" w:hAnsi="宋体" w:cs="Arial"/>
                <w:b/>
                <w:color w:val="auto"/>
                <w:szCs w:val="21"/>
                <w:highlight w:val="none"/>
              </w:rPr>
            </w:pPr>
          </w:p>
        </w:tc>
        <w:tc>
          <w:tcPr>
            <w:tcW w:w="1534" w:type="dxa"/>
            <w:tcBorders>
              <w:tl2br w:val="nil"/>
              <w:tr2bl w:val="nil"/>
            </w:tcBorders>
            <w:vAlign w:val="center"/>
          </w:tcPr>
          <w:p>
            <w:pPr>
              <w:shd w:val="clear"/>
              <w:jc w:val="center"/>
              <w:rPr>
                <w:rFonts w:hint="eastAsia"/>
                <w:color w:val="auto"/>
                <w:szCs w:val="21"/>
                <w:highlight w:val="none"/>
              </w:rPr>
            </w:pPr>
            <w:r>
              <w:rPr>
                <w:rFonts w:hint="eastAsia"/>
                <w:color w:val="auto"/>
                <w:szCs w:val="21"/>
                <w:highlight w:val="none"/>
                <w:lang w:val="en-US" w:eastAsia="zh-CN"/>
              </w:rPr>
              <w:t>3</w:t>
            </w:r>
            <w:r>
              <w:rPr>
                <w:rFonts w:hint="eastAsia"/>
                <w:color w:val="auto"/>
                <w:szCs w:val="21"/>
                <w:highlight w:val="none"/>
              </w:rPr>
              <w:t>条河道</w:t>
            </w:r>
            <w:r>
              <w:rPr>
                <w:rFonts w:hint="eastAsia"/>
                <w:color w:val="auto"/>
                <w:szCs w:val="21"/>
                <w:highlight w:val="none"/>
                <w:lang w:eastAsia="zh-CN"/>
              </w:rPr>
              <w:t>（</w:t>
            </w:r>
            <w:r>
              <w:rPr>
                <w:rFonts w:hint="eastAsia"/>
                <w:color w:val="auto"/>
                <w:szCs w:val="21"/>
                <w:highlight w:val="none"/>
                <w:lang w:val="en-US" w:eastAsia="zh-CN"/>
              </w:rPr>
              <w:t>段</w:t>
            </w:r>
            <w:r>
              <w:rPr>
                <w:rFonts w:hint="eastAsia"/>
                <w:color w:val="auto"/>
                <w:szCs w:val="21"/>
                <w:highlight w:val="none"/>
                <w:lang w:eastAsia="zh-CN"/>
              </w:rPr>
              <w:t>）</w:t>
            </w:r>
            <w:r>
              <w:rPr>
                <w:rFonts w:hint="eastAsia"/>
                <w:color w:val="auto"/>
                <w:szCs w:val="21"/>
                <w:highlight w:val="none"/>
              </w:rPr>
              <w:t>应急养护</w:t>
            </w:r>
          </w:p>
        </w:tc>
        <w:tc>
          <w:tcPr>
            <w:tcW w:w="3080" w:type="dxa"/>
            <w:tcBorders>
              <w:top w:val="single" w:color="000000" w:sz="4" w:space="0"/>
              <w:tl2br w:val="nil"/>
              <w:tr2bl w:val="nil"/>
            </w:tcBorders>
            <w:vAlign w:val="center"/>
          </w:tcPr>
          <w:p>
            <w:pPr>
              <w:shd w:val="clear"/>
              <w:snapToGrid w:val="0"/>
              <w:jc w:val="center"/>
              <w:rPr>
                <w:color w:val="auto"/>
                <w:szCs w:val="21"/>
                <w:highlight w:val="none"/>
              </w:rPr>
            </w:pPr>
            <w:r>
              <w:rPr>
                <w:rFonts w:hint="eastAsia"/>
                <w:color w:val="auto"/>
                <w:szCs w:val="21"/>
                <w:highlight w:val="none"/>
              </w:rPr>
              <w:t>应急</w:t>
            </w:r>
            <w:r>
              <w:rPr>
                <w:color w:val="auto"/>
                <w:szCs w:val="21"/>
                <w:highlight w:val="none"/>
              </w:rPr>
              <w:t>养护水域长度共计</w:t>
            </w:r>
            <w:r>
              <w:rPr>
                <w:rFonts w:hint="eastAsia"/>
                <w:color w:val="auto"/>
                <w:szCs w:val="21"/>
                <w:highlight w:val="none"/>
              </w:rPr>
              <w:t>3946.90</w:t>
            </w:r>
            <w:r>
              <w:rPr>
                <w:color w:val="auto"/>
                <w:szCs w:val="21"/>
                <w:highlight w:val="none"/>
              </w:rPr>
              <w:t>m，养护水域面积共计</w:t>
            </w:r>
            <w:r>
              <w:rPr>
                <w:rFonts w:hint="eastAsia"/>
                <w:bCs/>
                <w:color w:val="auto"/>
                <w:szCs w:val="21"/>
                <w:highlight w:val="none"/>
              </w:rPr>
              <w:t>83697.97</w:t>
            </w:r>
            <w:r>
              <w:rPr>
                <w:color w:val="auto"/>
                <w:szCs w:val="21"/>
                <w:highlight w:val="none"/>
              </w:rPr>
              <w:t>m</w:t>
            </w:r>
            <w:r>
              <w:rPr>
                <w:color w:val="auto"/>
                <w:szCs w:val="21"/>
                <w:highlight w:val="none"/>
                <w:vertAlign w:val="superscript"/>
              </w:rPr>
              <w:t>2</w:t>
            </w:r>
            <w:r>
              <w:rPr>
                <w:color w:val="auto"/>
                <w:szCs w:val="21"/>
                <w:highlight w:val="none"/>
              </w:rPr>
              <w:t>，</w:t>
            </w:r>
            <w:r>
              <w:rPr>
                <w:bCs/>
                <w:color w:val="auto"/>
                <w:szCs w:val="21"/>
                <w:highlight w:val="none"/>
              </w:rPr>
              <w:t>详见招标需求</w:t>
            </w:r>
          </w:p>
        </w:tc>
        <w:tc>
          <w:tcPr>
            <w:tcW w:w="1503" w:type="dxa"/>
            <w:vMerge w:val="continue"/>
            <w:tcBorders>
              <w:tl2br w:val="nil"/>
              <w:tr2bl w:val="nil"/>
            </w:tcBorders>
            <w:vAlign w:val="center"/>
          </w:tcPr>
          <w:p>
            <w:pPr>
              <w:shd w:val="clear"/>
              <w:snapToGrid w:val="0"/>
              <w:jc w:val="center"/>
              <w:rPr>
                <w:rFonts w:ascii="宋体" w:hAnsi="宋体" w:eastAsia="宋体" w:cs="Arial"/>
                <w:b/>
                <w:color w:val="auto"/>
                <w:kern w:val="2"/>
                <w:sz w:val="21"/>
                <w:szCs w:val="21"/>
                <w:highlight w:val="none"/>
                <w:lang w:val="en-US" w:eastAsia="zh-CN" w:bidi="ar-SA"/>
              </w:rPr>
            </w:pPr>
          </w:p>
        </w:tc>
        <w:tc>
          <w:tcPr>
            <w:tcW w:w="1389" w:type="dxa"/>
            <w:vMerge w:val="continue"/>
            <w:tcBorders>
              <w:tl2br w:val="nil"/>
              <w:tr2bl w:val="nil"/>
            </w:tcBorders>
            <w:vAlign w:val="center"/>
          </w:tcPr>
          <w:p>
            <w:pPr>
              <w:shd w:val="clear"/>
              <w:snapToGrid w:val="0"/>
              <w:jc w:val="center"/>
              <w:rPr>
                <w:rFonts w:ascii="宋体" w:hAnsi="宋体" w:eastAsia="宋体" w:cs="Arial"/>
                <w:b/>
                <w:bCs/>
                <w:color w:val="auto"/>
                <w:kern w:val="2"/>
                <w:sz w:val="21"/>
                <w:szCs w:val="21"/>
                <w:highlight w:val="none"/>
                <w:lang w:val="en-US" w:eastAsia="zh-CN" w:bidi="ar-SA"/>
              </w:rPr>
            </w:pPr>
          </w:p>
        </w:tc>
        <w:tc>
          <w:tcPr>
            <w:tcW w:w="1445" w:type="dxa"/>
            <w:vMerge w:val="continue"/>
            <w:tcBorders>
              <w:tl2br w:val="nil"/>
              <w:tr2bl w:val="nil"/>
            </w:tcBorders>
            <w:vAlign w:val="center"/>
          </w:tcPr>
          <w:p>
            <w:pPr>
              <w:shd w:val="clear"/>
              <w:snapToGrid w:val="0"/>
              <w:jc w:val="center"/>
              <w:rPr>
                <w:rFonts w:ascii="宋体" w:hAnsi="宋体" w:eastAsia="宋体" w:cs="Arial"/>
                <w:b/>
                <w:bCs/>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27" w:type="dxa"/>
            <w:vMerge w:val="restart"/>
            <w:tcBorders>
              <w:tl2br w:val="nil"/>
              <w:tr2bl w:val="nil"/>
            </w:tcBorders>
            <w:vAlign w:val="center"/>
          </w:tcPr>
          <w:p>
            <w:pPr>
              <w:shd w:val="clear"/>
              <w:snapToGrid w:val="0"/>
              <w:jc w:val="center"/>
              <w:rPr>
                <w:rFonts w:ascii="宋体" w:hAnsi="宋体" w:cs="Arial"/>
                <w:bCs/>
                <w:color w:val="auto"/>
                <w:szCs w:val="21"/>
                <w:highlight w:val="none"/>
              </w:rPr>
            </w:pPr>
            <w:r>
              <w:rPr>
                <w:rFonts w:hint="eastAsia" w:ascii="宋体" w:hAnsi="宋体" w:cs="Arial"/>
                <w:bCs/>
                <w:color w:val="auto"/>
                <w:szCs w:val="21"/>
                <w:highlight w:val="none"/>
              </w:rPr>
              <w:t>四</w:t>
            </w:r>
          </w:p>
        </w:tc>
        <w:tc>
          <w:tcPr>
            <w:tcW w:w="1534" w:type="dxa"/>
            <w:tcBorders>
              <w:bottom w:val="single" w:color="000000" w:sz="4" w:space="0"/>
              <w:tl2br w:val="nil"/>
              <w:tr2bl w:val="nil"/>
            </w:tcBorders>
            <w:vAlign w:val="center"/>
          </w:tcPr>
          <w:p>
            <w:pPr>
              <w:shd w:val="clear"/>
              <w:jc w:val="center"/>
              <w:rPr>
                <w:rFonts w:ascii="宋体" w:hAnsi="宋体" w:cs="Arial"/>
                <w:b/>
                <w:color w:val="auto"/>
                <w:szCs w:val="21"/>
                <w:highlight w:val="none"/>
              </w:rPr>
            </w:pPr>
            <w:r>
              <w:rPr>
                <w:rFonts w:hint="eastAsia"/>
                <w:color w:val="auto"/>
                <w:szCs w:val="21"/>
                <w:highlight w:val="none"/>
                <w:lang w:val="en-US" w:eastAsia="zh-CN"/>
              </w:rPr>
              <w:t>8</w:t>
            </w:r>
            <w:r>
              <w:rPr>
                <w:rFonts w:hint="eastAsia"/>
                <w:color w:val="auto"/>
                <w:szCs w:val="21"/>
                <w:highlight w:val="none"/>
              </w:rPr>
              <w:t>条河道</w:t>
            </w:r>
            <w:r>
              <w:rPr>
                <w:rFonts w:hint="eastAsia"/>
                <w:color w:val="auto"/>
                <w:szCs w:val="21"/>
                <w:highlight w:val="none"/>
                <w:lang w:eastAsia="zh-CN"/>
              </w:rPr>
              <w:t>（</w:t>
            </w:r>
            <w:r>
              <w:rPr>
                <w:rFonts w:hint="eastAsia"/>
                <w:color w:val="auto"/>
                <w:szCs w:val="21"/>
                <w:highlight w:val="none"/>
                <w:lang w:val="en-US" w:eastAsia="zh-CN"/>
              </w:rPr>
              <w:t>段</w:t>
            </w:r>
            <w:r>
              <w:rPr>
                <w:rFonts w:hint="eastAsia"/>
                <w:color w:val="auto"/>
                <w:szCs w:val="21"/>
                <w:highlight w:val="none"/>
                <w:lang w:eastAsia="zh-CN"/>
              </w:rPr>
              <w:t>）</w:t>
            </w:r>
            <w:r>
              <w:rPr>
                <w:rFonts w:hint="eastAsia"/>
                <w:color w:val="auto"/>
                <w:szCs w:val="21"/>
                <w:highlight w:val="none"/>
              </w:rPr>
              <w:t>日常养护</w:t>
            </w:r>
          </w:p>
        </w:tc>
        <w:tc>
          <w:tcPr>
            <w:tcW w:w="3080" w:type="dxa"/>
            <w:tcBorders>
              <w:bottom w:val="single" w:color="000000" w:sz="4" w:space="0"/>
              <w:tl2br w:val="nil"/>
              <w:tr2bl w:val="nil"/>
            </w:tcBorders>
            <w:vAlign w:val="center"/>
          </w:tcPr>
          <w:p>
            <w:pPr>
              <w:shd w:val="clear"/>
              <w:snapToGrid w:val="0"/>
              <w:jc w:val="center"/>
              <w:rPr>
                <w:color w:val="auto"/>
                <w:szCs w:val="21"/>
                <w:highlight w:val="none"/>
              </w:rPr>
            </w:pPr>
            <w:r>
              <w:rPr>
                <w:rFonts w:hint="eastAsia"/>
                <w:color w:val="auto"/>
                <w:szCs w:val="21"/>
                <w:highlight w:val="none"/>
                <w:lang w:val="en-US" w:eastAsia="zh-CN"/>
              </w:rPr>
              <w:t>日常</w:t>
            </w:r>
            <w:r>
              <w:rPr>
                <w:color w:val="auto"/>
                <w:szCs w:val="21"/>
                <w:highlight w:val="none"/>
              </w:rPr>
              <w:t>养护水域长度共计</w:t>
            </w:r>
          </w:p>
          <w:p>
            <w:pPr>
              <w:shd w:val="clear"/>
              <w:snapToGrid w:val="0"/>
              <w:jc w:val="center"/>
              <w:rPr>
                <w:rFonts w:ascii="宋体" w:hAnsi="宋体" w:cs="Arial"/>
                <w:b/>
                <w:color w:val="auto"/>
                <w:szCs w:val="21"/>
                <w:highlight w:val="none"/>
              </w:rPr>
            </w:pPr>
            <w:r>
              <w:rPr>
                <w:rFonts w:hint="eastAsia"/>
                <w:color w:val="auto"/>
                <w:szCs w:val="21"/>
                <w:highlight w:val="none"/>
              </w:rPr>
              <w:t xml:space="preserve">6493.00 </w:t>
            </w:r>
            <w:r>
              <w:rPr>
                <w:color w:val="auto"/>
                <w:szCs w:val="21"/>
                <w:highlight w:val="none"/>
              </w:rPr>
              <w:t>m，养护水域面积共计</w:t>
            </w:r>
            <w:r>
              <w:rPr>
                <w:rFonts w:hint="eastAsia"/>
                <w:color w:val="auto"/>
                <w:szCs w:val="21"/>
                <w:highlight w:val="none"/>
              </w:rPr>
              <w:t>117250.00</w:t>
            </w:r>
            <w:r>
              <w:rPr>
                <w:color w:val="auto"/>
                <w:szCs w:val="21"/>
                <w:highlight w:val="none"/>
              </w:rPr>
              <w:t>m</w:t>
            </w:r>
            <w:r>
              <w:rPr>
                <w:color w:val="auto"/>
                <w:szCs w:val="21"/>
                <w:highlight w:val="none"/>
                <w:vertAlign w:val="superscript"/>
              </w:rPr>
              <w:t>2</w:t>
            </w:r>
            <w:r>
              <w:rPr>
                <w:color w:val="auto"/>
                <w:szCs w:val="21"/>
                <w:highlight w:val="none"/>
              </w:rPr>
              <w:t>，</w:t>
            </w:r>
            <w:r>
              <w:rPr>
                <w:bCs/>
                <w:color w:val="auto"/>
                <w:szCs w:val="21"/>
                <w:highlight w:val="none"/>
              </w:rPr>
              <w:t>详见招标需求</w:t>
            </w:r>
          </w:p>
        </w:tc>
        <w:tc>
          <w:tcPr>
            <w:tcW w:w="1503" w:type="dxa"/>
            <w:vMerge w:val="continue"/>
            <w:tcBorders>
              <w:tl2br w:val="nil"/>
              <w:tr2bl w:val="nil"/>
            </w:tcBorders>
            <w:vAlign w:val="center"/>
          </w:tcPr>
          <w:p>
            <w:pPr>
              <w:shd w:val="clear"/>
              <w:snapToGrid w:val="0"/>
              <w:jc w:val="center"/>
              <w:rPr>
                <w:rFonts w:hint="eastAsia" w:ascii="宋体" w:hAnsi="宋体" w:cs="Arial"/>
                <w:b/>
                <w:color w:val="auto"/>
                <w:szCs w:val="21"/>
                <w:highlight w:val="none"/>
                <w:lang w:val="en-US" w:eastAsia="zh-CN"/>
              </w:rPr>
            </w:pPr>
          </w:p>
        </w:tc>
        <w:tc>
          <w:tcPr>
            <w:tcW w:w="1389" w:type="dxa"/>
            <w:vMerge w:val="restart"/>
            <w:tcBorders>
              <w:tl2br w:val="nil"/>
              <w:tr2bl w:val="nil"/>
            </w:tcBorders>
            <w:vAlign w:val="center"/>
          </w:tcPr>
          <w:p>
            <w:pPr>
              <w:keepNext w:val="0"/>
              <w:keepLines w:val="0"/>
              <w:widowControl/>
              <w:suppressLineNumbers w:val="0"/>
              <w:jc w:val="center"/>
              <w:textAlignment w:val="center"/>
              <w:rPr>
                <w:rFonts w:hint="default" w:ascii="宋体" w:hAnsi="宋体" w:eastAsia="宋体" w:cs="Arial"/>
                <w:b/>
                <w:bCs/>
                <w:color w:val="auto"/>
                <w:szCs w:val="21"/>
                <w:highlight w:val="none"/>
                <w:lang w:val="en-US" w:eastAsia="zh-CN"/>
              </w:rPr>
            </w:pPr>
            <w:r>
              <w:rPr>
                <w:rFonts w:hint="eastAsia" w:ascii="宋体" w:hAnsi="宋体" w:eastAsia="宋体" w:cs="宋体"/>
                <w:b/>
                <w:bCs/>
                <w:i w:val="0"/>
                <w:color w:val="000000"/>
                <w:kern w:val="0"/>
                <w:sz w:val="22"/>
                <w:szCs w:val="22"/>
                <w:highlight w:val="none"/>
                <w:u w:val="none"/>
                <w:lang w:val="en-US" w:eastAsia="zh-CN" w:bidi="ar"/>
              </w:rPr>
              <w:t>270</w:t>
            </w:r>
          </w:p>
        </w:tc>
        <w:tc>
          <w:tcPr>
            <w:tcW w:w="1445" w:type="dxa"/>
            <w:vMerge w:val="restart"/>
            <w:tcBorders>
              <w:tl2br w:val="nil"/>
              <w:tr2bl w:val="nil"/>
            </w:tcBorders>
            <w:vAlign w:val="center"/>
          </w:tcPr>
          <w:p>
            <w:pPr>
              <w:keepNext w:val="0"/>
              <w:keepLines w:val="0"/>
              <w:widowControl/>
              <w:suppressLineNumbers w:val="0"/>
              <w:jc w:val="center"/>
              <w:textAlignment w:val="center"/>
              <w:rPr>
                <w:rFonts w:hint="default" w:ascii="宋体" w:hAnsi="宋体" w:eastAsia="宋体" w:cs="Arial"/>
                <w:b/>
                <w:bCs/>
                <w:color w:val="auto"/>
                <w:szCs w:val="21"/>
                <w:highlight w:val="none"/>
                <w:lang w:val="en-US" w:eastAsia="zh-CN"/>
              </w:rPr>
            </w:pPr>
            <w:r>
              <w:rPr>
                <w:rFonts w:hint="eastAsia" w:ascii="宋体" w:hAnsi="宋体" w:eastAsia="宋体" w:cs="宋体"/>
                <w:b/>
                <w:bCs/>
                <w:i w:val="0"/>
                <w:color w:val="000000"/>
                <w:kern w:val="0"/>
                <w:sz w:val="22"/>
                <w:szCs w:val="22"/>
                <w:highlight w:val="none"/>
                <w:u w:val="none"/>
                <w:lang w:val="en-US" w:eastAsia="zh-CN" w:bidi="ar"/>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27" w:type="dxa"/>
            <w:vMerge w:val="continue"/>
            <w:tcBorders>
              <w:tl2br w:val="nil"/>
              <w:tr2bl w:val="nil"/>
            </w:tcBorders>
            <w:vAlign w:val="center"/>
          </w:tcPr>
          <w:p>
            <w:pPr>
              <w:shd w:val="clear"/>
              <w:snapToGrid w:val="0"/>
              <w:jc w:val="center"/>
              <w:rPr>
                <w:rFonts w:hint="eastAsia" w:ascii="宋体" w:hAnsi="宋体" w:cs="Arial"/>
                <w:bCs/>
                <w:color w:val="auto"/>
                <w:szCs w:val="21"/>
                <w:highlight w:val="none"/>
              </w:rPr>
            </w:pPr>
          </w:p>
        </w:tc>
        <w:tc>
          <w:tcPr>
            <w:tcW w:w="1534" w:type="dxa"/>
            <w:tcBorders>
              <w:top w:val="single" w:color="000000" w:sz="4" w:space="0"/>
              <w:tl2br w:val="nil"/>
              <w:tr2bl w:val="nil"/>
            </w:tcBorders>
            <w:vAlign w:val="center"/>
          </w:tcPr>
          <w:p>
            <w:pPr>
              <w:shd w:val="clear"/>
              <w:jc w:val="center"/>
              <w:rPr>
                <w:rFonts w:hint="eastAsia"/>
                <w:color w:val="auto"/>
                <w:szCs w:val="21"/>
                <w:highlight w:val="none"/>
              </w:rPr>
            </w:pPr>
            <w:r>
              <w:rPr>
                <w:rFonts w:hint="eastAsia"/>
                <w:color w:val="auto"/>
                <w:szCs w:val="21"/>
                <w:highlight w:val="none"/>
                <w:lang w:val="en-US" w:eastAsia="zh-CN"/>
              </w:rPr>
              <w:t>2</w:t>
            </w:r>
            <w:r>
              <w:rPr>
                <w:rFonts w:hint="eastAsia"/>
                <w:color w:val="auto"/>
                <w:szCs w:val="21"/>
                <w:highlight w:val="none"/>
              </w:rPr>
              <w:t>条河道</w:t>
            </w:r>
            <w:r>
              <w:rPr>
                <w:rFonts w:hint="eastAsia"/>
                <w:color w:val="auto"/>
                <w:szCs w:val="21"/>
                <w:highlight w:val="none"/>
                <w:lang w:eastAsia="zh-CN"/>
              </w:rPr>
              <w:t>（</w:t>
            </w:r>
            <w:r>
              <w:rPr>
                <w:rFonts w:hint="eastAsia"/>
                <w:color w:val="auto"/>
                <w:szCs w:val="21"/>
                <w:highlight w:val="none"/>
                <w:lang w:val="en-US" w:eastAsia="zh-CN"/>
              </w:rPr>
              <w:t>段</w:t>
            </w:r>
            <w:r>
              <w:rPr>
                <w:rFonts w:hint="eastAsia"/>
                <w:color w:val="auto"/>
                <w:szCs w:val="21"/>
                <w:highlight w:val="none"/>
                <w:lang w:eastAsia="zh-CN"/>
              </w:rPr>
              <w:t>）</w:t>
            </w:r>
            <w:r>
              <w:rPr>
                <w:rFonts w:hint="eastAsia"/>
                <w:color w:val="auto"/>
                <w:szCs w:val="21"/>
                <w:highlight w:val="none"/>
              </w:rPr>
              <w:t>应急养护</w:t>
            </w:r>
          </w:p>
        </w:tc>
        <w:tc>
          <w:tcPr>
            <w:tcW w:w="3080" w:type="dxa"/>
            <w:tcBorders>
              <w:top w:val="single" w:color="000000" w:sz="4" w:space="0"/>
              <w:tl2br w:val="nil"/>
              <w:tr2bl w:val="nil"/>
            </w:tcBorders>
            <w:vAlign w:val="center"/>
          </w:tcPr>
          <w:p>
            <w:pPr>
              <w:shd w:val="clear"/>
              <w:snapToGrid w:val="0"/>
              <w:jc w:val="center"/>
              <w:rPr>
                <w:color w:val="auto"/>
                <w:szCs w:val="21"/>
                <w:highlight w:val="none"/>
              </w:rPr>
            </w:pPr>
            <w:r>
              <w:rPr>
                <w:rFonts w:hint="eastAsia"/>
                <w:color w:val="auto"/>
                <w:szCs w:val="21"/>
                <w:highlight w:val="none"/>
              </w:rPr>
              <w:t>应急</w:t>
            </w:r>
            <w:r>
              <w:rPr>
                <w:color w:val="auto"/>
                <w:szCs w:val="21"/>
                <w:highlight w:val="none"/>
              </w:rPr>
              <w:t>养护水域长度共计</w:t>
            </w:r>
            <w:r>
              <w:rPr>
                <w:rFonts w:hint="eastAsia"/>
                <w:color w:val="auto"/>
                <w:szCs w:val="21"/>
                <w:highlight w:val="none"/>
              </w:rPr>
              <w:t>491.00</w:t>
            </w:r>
            <w:r>
              <w:rPr>
                <w:color w:val="auto"/>
                <w:szCs w:val="21"/>
                <w:highlight w:val="none"/>
              </w:rPr>
              <w:t>m，养护水域面积共计</w:t>
            </w:r>
            <w:r>
              <w:rPr>
                <w:rFonts w:hint="eastAsia"/>
                <w:color w:val="auto"/>
                <w:szCs w:val="21"/>
                <w:highlight w:val="none"/>
              </w:rPr>
              <w:t>11580.00</w:t>
            </w:r>
            <w:r>
              <w:rPr>
                <w:color w:val="auto"/>
                <w:szCs w:val="21"/>
                <w:highlight w:val="none"/>
              </w:rPr>
              <w:t>m</w:t>
            </w:r>
            <w:r>
              <w:rPr>
                <w:color w:val="auto"/>
                <w:szCs w:val="21"/>
                <w:highlight w:val="none"/>
                <w:vertAlign w:val="superscript"/>
              </w:rPr>
              <w:t>2</w:t>
            </w:r>
            <w:r>
              <w:rPr>
                <w:color w:val="auto"/>
                <w:szCs w:val="21"/>
                <w:highlight w:val="none"/>
              </w:rPr>
              <w:t>，</w:t>
            </w:r>
            <w:r>
              <w:rPr>
                <w:bCs/>
                <w:color w:val="auto"/>
                <w:szCs w:val="21"/>
                <w:highlight w:val="none"/>
              </w:rPr>
              <w:t>详见招标需求</w:t>
            </w:r>
          </w:p>
        </w:tc>
        <w:tc>
          <w:tcPr>
            <w:tcW w:w="1503" w:type="dxa"/>
            <w:vMerge w:val="continue"/>
            <w:tcBorders>
              <w:tl2br w:val="nil"/>
              <w:tr2bl w:val="nil"/>
            </w:tcBorders>
            <w:vAlign w:val="center"/>
          </w:tcPr>
          <w:p>
            <w:pPr>
              <w:shd w:val="clear"/>
              <w:snapToGrid w:val="0"/>
              <w:jc w:val="center"/>
              <w:rPr>
                <w:rFonts w:ascii="宋体" w:hAnsi="宋体" w:cs="Arial"/>
                <w:b/>
                <w:color w:val="auto"/>
                <w:szCs w:val="21"/>
                <w:highlight w:val="none"/>
              </w:rPr>
            </w:pPr>
          </w:p>
        </w:tc>
        <w:tc>
          <w:tcPr>
            <w:tcW w:w="1389" w:type="dxa"/>
            <w:vMerge w:val="continue"/>
            <w:tcBorders>
              <w:tl2br w:val="nil"/>
              <w:tr2bl w:val="nil"/>
            </w:tcBorders>
            <w:vAlign w:val="center"/>
          </w:tcPr>
          <w:p>
            <w:pPr>
              <w:shd w:val="clear"/>
              <w:snapToGrid w:val="0"/>
              <w:jc w:val="center"/>
              <w:rPr>
                <w:rFonts w:ascii="宋体" w:hAnsi="宋体" w:cs="Arial"/>
                <w:b/>
                <w:bCs/>
                <w:color w:val="auto"/>
                <w:szCs w:val="21"/>
                <w:highlight w:val="none"/>
              </w:rPr>
            </w:pPr>
          </w:p>
        </w:tc>
        <w:tc>
          <w:tcPr>
            <w:tcW w:w="1445" w:type="dxa"/>
            <w:vMerge w:val="continue"/>
            <w:tcBorders>
              <w:tl2br w:val="nil"/>
              <w:tr2bl w:val="nil"/>
            </w:tcBorders>
            <w:vAlign w:val="center"/>
          </w:tcPr>
          <w:p>
            <w:pPr>
              <w:shd w:val="clear"/>
              <w:snapToGrid w:val="0"/>
              <w:jc w:val="center"/>
              <w:rPr>
                <w:rFonts w:ascii="宋体" w:hAnsi="宋体" w:cs="Arial"/>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27" w:type="dxa"/>
            <w:vMerge w:val="restart"/>
            <w:tcBorders>
              <w:tl2br w:val="nil"/>
              <w:tr2bl w:val="nil"/>
            </w:tcBorders>
            <w:vAlign w:val="center"/>
          </w:tcPr>
          <w:p>
            <w:pPr>
              <w:shd w:val="clear"/>
              <w:snapToGrid w:val="0"/>
              <w:jc w:val="center"/>
              <w:rPr>
                <w:rFonts w:ascii="宋体" w:hAnsi="宋体" w:cs="Arial"/>
                <w:bCs/>
                <w:color w:val="auto"/>
                <w:szCs w:val="21"/>
                <w:highlight w:val="none"/>
              </w:rPr>
            </w:pPr>
            <w:r>
              <w:rPr>
                <w:rFonts w:hint="eastAsia" w:ascii="宋体" w:hAnsi="宋体" w:cs="Arial"/>
                <w:bCs/>
                <w:color w:val="auto"/>
                <w:szCs w:val="21"/>
                <w:highlight w:val="none"/>
              </w:rPr>
              <w:t>五</w:t>
            </w:r>
          </w:p>
        </w:tc>
        <w:tc>
          <w:tcPr>
            <w:tcW w:w="1534" w:type="dxa"/>
            <w:tcBorders>
              <w:tl2br w:val="nil"/>
              <w:tr2bl w:val="nil"/>
            </w:tcBorders>
            <w:vAlign w:val="center"/>
          </w:tcPr>
          <w:p>
            <w:pPr>
              <w:shd w:val="clear"/>
              <w:jc w:val="center"/>
              <w:rPr>
                <w:rFonts w:ascii="宋体" w:hAnsi="宋体" w:cs="Arial"/>
                <w:b/>
                <w:color w:val="auto"/>
                <w:szCs w:val="21"/>
                <w:highlight w:val="none"/>
              </w:rPr>
            </w:pPr>
            <w:r>
              <w:rPr>
                <w:rFonts w:hint="eastAsia"/>
                <w:color w:val="auto"/>
                <w:szCs w:val="21"/>
                <w:highlight w:val="none"/>
                <w:lang w:val="en-US" w:eastAsia="zh-CN"/>
              </w:rPr>
              <w:t>8</w:t>
            </w:r>
            <w:r>
              <w:rPr>
                <w:rFonts w:hint="eastAsia"/>
                <w:color w:val="auto"/>
                <w:szCs w:val="21"/>
                <w:highlight w:val="none"/>
              </w:rPr>
              <w:t>条河道</w:t>
            </w:r>
            <w:r>
              <w:rPr>
                <w:rFonts w:hint="eastAsia"/>
                <w:color w:val="auto"/>
                <w:szCs w:val="21"/>
                <w:highlight w:val="none"/>
                <w:lang w:eastAsia="zh-CN"/>
              </w:rPr>
              <w:t>（</w:t>
            </w:r>
            <w:r>
              <w:rPr>
                <w:rFonts w:hint="eastAsia"/>
                <w:color w:val="auto"/>
                <w:szCs w:val="21"/>
                <w:highlight w:val="none"/>
                <w:lang w:val="en-US" w:eastAsia="zh-CN"/>
              </w:rPr>
              <w:t>段</w:t>
            </w:r>
            <w:r>
              <w:rPr>
                <w:rFonts w:hint="eastAsia"/>
                <w:color w:val="auto"/>
                <w:szCs w:val="21"/>
                <w:highlight w:val="none"/>
                <w:lang w:eastAsia="zh-CN"/>
              </w:rPr>
              <w:t>）</w:t>
            </w:r>
            <w:r>
              <w:rPr>
                <w:rFonts w:hint="eastAsia"/>
                <w:color w:val="auto"/>
                <w:szCs w:val="21"/>
                <w:highlight w:val="none"/>
              </w:rPr>
              <w:t>日常养护</w:t>
            </w:r>
          </w:p>
        </w:tc>
        <w:tc>
          <w:tcPr>
            <w:tcW w:w="3080" w:type="dxa"/>
            <w:tcBorders>
              <w:tl2br w:val="nil"/>
              <w:tr2bl w:val="nil"/>
            </w:tcBorders>
            <w:vAlign w:val="center"/>
          </w:tcPr>
          <w:p>
            <w:pPr>
              <w:shd w:val="clear"/>
              <w:snapToGrid w:val="0"/>
              <w:jc w:val="center"/>
              <w:rPr>
                <w:rFonts w:ascii="宋体" w:hAnsi="宋体" w:cs="Arial"/>
                <w:b/>
                <w:color w:val="auto"/>
                <w:szCs w:val="21"/>
                <w:highlight w:val="none"/>
              </w:rPr>
            </w:pPr>
            <w:r>
              <w:rPr>
                <w:rFonts w:hint="eastAsia"/>
                <w:color w:val="auto"/>
                <w:szCs w:val="21"/>
                <w:highlight w:val="none"/>
                <w:lang w:val="en-US" w:eastAsia="zh-CN"/>
              </w:rPr>
              <w:t>日常</w:t>
            </w:r>
            <w:r>
              <w:rPr>
                <w:color w:val="auto"/>
                <w:szCs w:val="21"/>
                <w:highlight w:val="none"/>
              </w:rPr>
              <w:t>养护水域长度共计</w:t>
            </w:r>
            <w:r>
              <w:rPr>
                <w:rFonts w:hint="eastAsia"/>
                <w:color w:val="auto"/>
                <w:szCs w:val="21"/>
                <w:highlight w:val="none"/>
              </w:rPr>
              <w:t>8196.00</w:t>
            </w:r>
            <w:r>
              <w:rPr>
                <w:color w:val="auto"/>
                <w:szCs w:val="21"/>
                <w:highlight w:val="none"/>
              </w:rPr>
              <w:t>m，养护水域面积共计</w:t>
            </w:r>
            <w:r>
              <w:rPr>
                <w:rFonts w:hint="eastAsia"/>
                <w:bCs/>
                <w:color w:val="auto"/>
                <w:szCs w:val="21"/>
                <w:highlight w:val="none"/>
              </w:rPr>
              <w:t>145654.00</w:t>
            </w:r>
            <w:r>
              <w:rPr>
                <w:color w:val="auto"/>
                <w:szCs w:val="21"/>
                <w:highlight w:val="none"/>
              </w:rPr>
              <w:t>m</w:t>
            </w:r>
            <w:r>
              <w:rPr>
                <w:color w:val="auto"/>
                <w:szCs w:val="21"/>
                <w:highlight w:val="none"/>
                <w:vertAlign w:val="superscript"/>
              </w:rPr>
              <w:t>2</w:t>
            </w:r>
            <w:r>
              <w:rPr>
                <w:color w:val="auto"/>
                <w:szCs w:val="21"/>
                <w:highlight w:val="none"/>
              </w:rPr>
              <w:t>，</w:t>
            </w:r>
            <w:r>
              <w:rPr>
                <w:bCs/>
                <w:color w:val="auto"/>
                <w:szCs w:val="21"/>
                <w:highlight w:val="none"/>
              </w:rPr>
              <w:t>详见招标需求</w:t>
            </w:r>
          </w:p>
        </w:tc>
        <w:tc>
          <w:tcPr>
            <w:tcW w:w="1503" w:type="dxa"/>
            <w:vMerge w:val="continue"/>
            <w:tcBorders>
              <w:tl2br w:val="nil"/>
              <w:tr2bl w:val="nil"/>
            </w:tcBorders>
            <w:vAlign w:val="center"/>
          </w:tcPr>
          <w:p>
            <w:pPr>
              <w:shd w:val="clear"/>
              <w:snapToGrid w:val="0"/>
              <w:jc w:val="center"/>
              <w:rPr>
                <w:rFonts w:hint="eastAsia" w:ascii="宋体" w:hAnsi="宋体" w:cs="Arial"/>
                <w:b/>
                <w:color w:val="auto"/>
                <w:szCs w:val="21"/>
                <w:highlight w:val="none"/>
                <w:lang w:val="en-US" w:eastAsia="zh-CN"/>
              </w:rPr>
            </w:pPr>
          </w:p>
        </w:tc>
        <w:tc>
          <w:tcPr>
            <w:tcW w:w="1389" w:type="dxa"/>
            <w:vMerge w:val="restart"/>
            <w:tcBorders>
              <w:tl2br w:val="nil"/>
              <w:tr2bl w:val="nil"/>
            </w:tcBorders>
            <w:vAlign w:val="center"/>
          </w:tcPr>
          <w:p>
            <w:pPr>
              <w:keepNext w:val="0"/>
              <w:keepLines w:val="0"/>
              <w:widowControl/>
              <w:suppressLineNumbers w:val="0"/>
              <w:jc w:val="center"/>
              <w:textAlignment w:val="center"/>
              <w:rPr>
                <w:rFonts w:hint="default" w:ascii="宋体" w:hAnsi="宋体" w:eastAsia="宋体" w:cs="Arial"/>
                <w:b/>
                <w:bCs/>
                <w:color w:val="auto"/>
                <w:szCs w:val="21"/>
                <w:highlight w:val="none"/>
                <w:lang w:val="en-US" w:eastAsia="zh-CN"/>
              </w:rPr>
            </w:pPr>
            <w:r>
              <w:rPr>
                <w:rFonts w:hint="eastAsia" w:ascii="宋体" w:hAnsi="宋体" w:eastAsia="宋体" w:cs="宋体"/>
                <w:b/>
                <w:bCs/>
                <w:i w:val="0"/>
                <w:color w:val="000000"/>
                <w:kern w:val="0"/>
                <w:sz w:val="22"/>
                <w:szCs w:val="22"/>
                <w:highlight w:val="none"/>
                <w:u w:val="none"/>
                <w:lang w:val="en-US" w:eastAsia="zh-CN" w:bidi="ar"/>
              </w:rPr>
              <w:t>340</w:t>
            </w:r>
          </w:p>
        </w:tc>
        <w:tc>
          <w:tcPr>
            <w:tcW w:w="1445" w:type="dxa"/>
            <w:vMerge w:val="restart"/>
            <w:tcBorders>
              <w:tl2br w:val="nil"/>
              <w:tr2bl w:val="nil"/>
            </w:tcBorders>
            <w:vAlign w:val="center"/>
          </w:tcPr>
          <w:p>
            <w:pPr>
              <w:keepNext w:val="0"/>
              <w:keepLines w:val="0"/>
              <w:widowControl/>
              <w:suppressLineNumbers w:val="0"/>
              <w:jc w:val="center"/>
              <w:textAlignment w:val="center"/>
              <w:rPr>
                <w:rFonts w:hint="default" w:ascii="宋体" w:hAnsi="宋体" w:eastAsia="宋体" w:cs="Arial"/>
                <w:b/>
                <w:bCs/>
                <w:color w:val="auto"/>
                <w:szCs w:val="21"/>
                <w:highlight w:val="none"/>
                <w:lang w:val="en-US" w:eastAsia="zh-CN"/>
              </w:rPr>
            </w:pPr>
            <w:r>
              <w:rPr>
                <w:rFonts w:hint="eastAsia" w:ascii="宋体" w:hAnsi="宋体" w:eastAsia="宋体" w:cs="宋体"/>
                <w:b/>
                <w:bCs/>
                <w:i w:val="0"/>
                <w:color w:val="000000"/>
                <w:kern w:val="0"/>
                <w:sz w:val="22"/>
                <w:szCs w:val="22"/>
                <w:highlight w:val="none"/>
                <w:u w:val="none"/>
                <w:lang w:val="en-US" w:eastAsia="zh-CN" w:bidi="ar"/>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27" w:type="dxa"/>
            <w:vMerge w:val="continue"/>
            <w:tcBorders>
              <w:tl2br w:val="nil"/>
              <w:tr2bl w:val="nil"/>
            </w:tcBorders>
            <w:vAlign w:val="center"/>
          </w:tcPr>
          <w:p>
            <w:pPr>
              <w:shd w:val="clear"/>
              <w:snapToGrid w:val="0"/>
              <w:jc w:val="center"/>
              <w:rPr>
                <w:rFonts w:hint="eastAsia" w:ascii="宋体" w:hAnsi="宋体" w:cs="Arial"/>
                <w:bCs/>
                <w:color w:val="auto"/>
                <w:szCs w:val="21"/>
                <w:highlight w:val="none"/>
              </w:rPr>
            </w:pPr>
          </w:p>
        </w:tc>
        <w:tc>
          <w:tcPr>
            <w:tcW w:w="1534" w:type="dxa"/>
            <w:tcBorders>
              <w:tl2br w:val="nil"/>
              <w:tr2bl w:val="nil"/>
            </w:tcBorders>
            <w:vAlign w:val="center"/>
          </w:tcPr>
          <w:p>
            <w:pPr>
              <w:shd w:val="clear"/>
              <w:jc w:val="center"/>
              <w:rPr>
                <w:rFonts w:hint="eastAsia"/>
                <w:color w:val="auto"/>
                <w:szCs w:val="21"/>
                <w:highlight w:val="none"/>
              </w:rPr>
            </w:pPr>
            <w:r>
              <w:rPr>
                <w:rFonts w:hint="eastAsia"/>
                <w:color w:val="auto"/>
                <w:szCs w:val="21"/>
                <w:highlight w:val="none"/>
                <w:lang w:val="en-US" w:eastAsia="zh-CN"/>
              </w:rPr>
              <w:t>1</w:t>
            </w:r>
            <w:r>
              <w:rPr>
                <w:rFonts w:hint="eastAsia"/>
                <w:color w:val="auto"/>
                <w:szCs w:val="21"/>
                <w:highlight w:val="none"/>
              </w:rPr>
              <w:t>条河道</w:t>
            </w:r>
            <w:r>
              <w:rPr>
                <w:rFonts w:hint="eastAsia"/>
                <w:color w:val="auto"/>
                <w:szCs w:val="21"/>
                <w:highlight w:val="none"/>
                <w:lang w:eastAsia="zh-CN"/>
              </w:rPr>
              <w:t>（</w:t>
            </w:r>
            <w:r>
              <w:rPr>
                <w:rFonts w:hint="eastAsia"/>
                <w:color w:val="auto"/>
                <w:szCs w:val="21"/>
                <w:highlight w:val="none"/>
                <w:lang w:val="en-US" w:eastAsia="zh-CN"/>
              </w:rPr>
              <w:t>段</w:t>
            </w:r>
            <w:r>
              <w:rPr>
                <w:rFonts w:hint="eastAsia"/>
                <w:color w:val="auto"/>
                <w:szCs w:val="21"/>
                <w:highlight w:val="none"/>
                <w:lang w:eastAsia="zh-CN"/>
              </w:rPr>
              <w:t>）</w:t>
            </w:r>
            <w:r>
              <w:rPr>
                <w:rFonts w:hint="eastAsia"/>
                <w:color w:val="auto"/>
                <w:szCs w:val="21"/>
                <w:highlight w:val="none"/>
              </w:rPr>
              <w:t>应急养护</w:t>
            </w:r>
          </w:p>
        </w:tc>
        <w:tc>
          <w:tcPr>
            <w:tcW w:w="3080" w:type="dxa"/>
            <w:tcBorders>
              <w:top w:val="single" w:color="000000" w:sz="4" w:space="0"/>
              <w:tl2br w:val="nil"/>
              <w:tr2bl w:val="nil"/>
            </w:tcBorders>
            <w:vAlign w:val="center"/>
          </w:tcPr>
          <w:p>
            <w:pPr>
              <w:shd w:val="clear"/>
              <w:snapToGrid w:val="0"/>
              <w:jc w:val="center"/>
              <w:rPr>
                <w:color w:val="auto"/>
                <w:szCs w:val="21"/>
                <w:highlight w:val="none"/>
              </w:rPr>
            </w:pPr>
            <w:r>
              <w:rPr>
                <w:rFonts w:hint="eastAsia"/>
                <w:color w:val="auto"/>
                <w:szCs w:val="21"/>
                <w:highlight w:val="none"/>
              </w:rPr>
              <w:t>应急</w:t>
            </w:r>
            <w:r>
              <w:rPr>
                <w:color w:val="auto"/>
                <w:szCs w:val="21"/>
                <w:highlight w:val="none"/>
              </w:rPr>
              <w:t>养护水域长度共计</w:t>
            </w:r>
            <w:r>
              <w:rPr>
                <w:rFonts w:hint="eastAsia"/>
                <w:color w:val="auto"/>
                <w:szCs w:val="21"/>
                <w:highlight w:val="none"/>
              </w:rPr>
              <w:t>2741.00</w:t>
            </w:r>
            <w:r>
              <w:rPr>
                <w:color w:val="auto"/>
                <w:szCs w:val="21"/>
                <w:highlight w:val="none"/>
              </w:rPr>
              <w:t>m，养护水域面积共计</w:t>
            </w:r>
            <w:r>
              <w:rPr>
                <w:rFonts w:hint="eastAsia"/>
                <w:bCs/>
                <w:color w:val="auto"/>
                <w:szCs w:val="21"/>
                <w:highlight w:val="none"/>
              </w:rPr>
              <w:t>102627.05</w:t>
            </w:r>
            <w:r>
              <w:rPr>
                <w:color w:val="auto"/>
                <w:szCs w:val="21"/>
                <w:highlight w:val="none"/>
              </w:rPr>
              <w:t>m</w:t>
            </w:r>
            <w:r>
              <w:rPr>
                <w:color w:val="auto"/>
                <w:szCs w:val="21"/>
                <w:highlight w:val="none"/>
                <w:vertAlign w:val="superscript"/>
              </w:rPr>
              <w:t>2</w:t>
            </w:r>
            <w:r>
              <w:rPr>
                <w:color w:val="auto"/>
                <w:szCs w:val="21"/>
                <w:highlight w:val="none"/>
              </w:rPr>
              <w:t>，</w:t>
            </w:r>
            <w:r>
              <w:rPr>
                <w:bCs/>
                <w:color w:val="auto"/>
                <w:szCs w:val="21"/>
                <w:highlight w:val="none"/>
              </w:rPr>
              <w:t>详见招标需求</w:t>
            </w:r>
          </w:p>
        </w:tc>
        <w:tc>
          <w:tcPr>
            <w:tcW w:w="1503" w:type="dxa"/>
            <w:vMerge w:val="continue"/>
            <w:tcBorders>
              <w:tl2br w:val="nil"/>
              <w:tr2bl w:val="nil"/>
            </w:tcBorders>
            <w:vAlign w:val="center"/>
          </w:tcPr>
          <w:p>
            <w:pPr>
              <w:shd w:val="clear"/>
              <w:snapToGrid w:val="0"/>
              <w:jc w:val="center"/>
              <w:rPr>
                <w:rFonts w:ascii="宋体" w:hAnsi="宋体" w:cs="Arial"/>
                <w:b/>
                <w:color w:val="auto"/>
                <w:szCs w:val="21"/>
                <w:highlight w:val="none"/>
              </w:rPr>
            </w:pPr>
          </w:p>
        </w:tc>
        <w:tc>
          <w:tcPr>
            <w:tcW w:w="1389" w:type="dxa"/>
            <w:vMerge w:val="continue"/>
            <w:tcBorders>
              <w:tl2br w:val="nil"/>
              <w:tr2bl w:val="nil"/>
            </w:tcBorders>
            <w:vAlign w:val="center"/>
          </w:tcPr>
          <w:p>
            <w:pPr>
              <w:shd w:val="clear"/>
              <w:snapToGrid w:val="0"/>
              <w:jc w:val="center"/>
              <w:rPr>
                <w:rFonts w:ascii="宋体" w:hAnsi="宋体" w:cs="Arial"/>
                <w:b/>
                <w:bCs/>
                <w:color w:val="auto"/>
                <w:szCs w:val="21"/>
                <w:highlight w:val="none"/>
              </w:rPr>
            </w:pPr>
          </w:p>
        </w:tc>
        <w:tc>
          <w:tcPr>
            <w:tcW w:w="1445" w:type="dxa"/>
            <w:vMerge w:val="continue"/>
            <w:tcBorders>
              <w:tl2br w:val="nil"/>
              <w:tr2bl w:val="nil"/>
            </w:tcBorders>
            <w:vAlign w:val="center"/>
          </w:tcPr>
          <w:p>
            <w:pPr>
              <w:shd w:val="clear"/>
              <w:snapToGrid w:val="0"/>
              <w:jc w:val="center"/>
              <w:rPr>
                <w:rFonts w:ascii="宋体" w:hAnsi="宋体" w:cs="Arial"/>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27" w:type="dxa"/>
            <w:vMerge w:val="restart"/>
            <w:tcBorders>
              <w:tl2br w:val="nil"/>
              <w:tr2bl w:val="nil"/>
            </w:tcBorders>
            <w:vAlign w:val="center"/>
          </w:tcPr>
          <w:p>
            <w:pPr>
              <w:shd w:val="clear"/>
              <w:snapToGrid w:val="0"/>
              <w:jc w:val="center"/>
              <w:rPr>
                <w:rFonts w:ascii="宋体" w:hAnsi="宋体" w:cs="Arial"/>
                <w:bCs/>
                <w:color w:val="auto"/>
                <w:szCs w:val="21"/>
                <w:highlight w:val="none"/>
              </w:rPr>
            </w:pPr>
            <w:r>
              <w:rPr>
                <w:rFonts w:hint="eastAsia" w:ascii="宋体" w:hAnsi="宋体" w:cs="Arial"/>
                <w:bCs/>
                <w:color w:val="auto"/>
                <w:szCs w:val="21"/>
                <w:highlight w:val="none"/>
              </w:rPr>
              <w:t>六</w:t>
            </w:r>
          </w:p>
        </w:tc>
        <w:tc>
          <w:tcPr>
            <w:tcW w:w="1534" w:type="dxa"/>
            <w:tcBorders>
              <w:bottom w:val="single" w:color="000000" w:sz="4" w:space="0"/>
              <w:tl2br w:val="nil"/>
              <w:tr2bl w:val="nil"/>
            </w:tcBorders>
            <w:vAlign w:val="center"/>
          </w:tcPr>
          <w:p>
            <w:pPr>
              <w:shd w:val="clear"/>
              <w:jc w:val="center"/>
              <w:rPr>
                <w:rFonts w:ascii="宋体" w:hAnsi="宋体" w:cs="Arial"/>
                <w:b/>
                <w:color w:val="auto"/>
                <w:szCs w:val="21"/>
                <w:highlight w:val="none"/>
              </w:rPr>
            </w:pPr>
            <w:r>
              <w:rPr>
                <w:rFonts w:hint="eastAsia"/>
                <w:color w:val="auto"/>
                <w:szCs w:val="21"/>
                <w:highlight w:val="none"/>
                <w:lang w:val="en-US" w:eastAsia="zh-CN"/>
              </w:rPr>
              <w:t>11</w:t>
            </w:r>
            <w:r>
              <w:rPr>
                <w:rFonts w:hint="eastAsia"/>
                <w:color w:val="auto"/>
                <w:szCs w:val="21"/>
                <w:highlight w:val="none"/>
              </w:rPr>
              <w:t>条河道</w:t>
            </w:r>
            <w:r>
              <w:rPr>
                <w:rFonts w:hint="eastAsia"/>
                <w:color w:val="auto"/>
                <w:szCs w:val="21"/>
                <w:highlight w:val="none"/>
                <w:lang w:eastAsia="zh-CN"/>
              </w:rPr>
              <w:t>（</w:t>
            </w:r>
            <w:r>
              <w:rPr>
                <w:rFonts w:hint="eastAsia"/>
                <w:color w:val="auto"/>
                <w:szCs w:val="21"/>
                <w:highlight w:val="none"/>
                <w:lang w:val="en-US" w:eastAsia="zh-CN"/>
              </w:rPr>
              <w:t>段</w:t>
            </w:r>
            <w:r>
              <w:rPr>
                <w:rFonts w:hint="eastAsia"/>
                <w:color w:val="auto"/>
                <w:szCs w:val="21"/>
                <w:highlight w:val="none"/>
                <w:lang w:eastAsia="zh-CN"/>
              </w:rPr>
              <w:t>）</w:t>
            </w:r>
            <w:r>
              <w:rPr>
                <w:rFonts w:hint="eastAsia"/>
                <w:color w:val="auto"/>
                <w:szCs w:val="21"/>
                <w:highlight w:val="none"/>
              </w:rPr>
              <w:t>日常养护</w:t>
            </w:r>
          </w:p>
        </w:tc>
        <w:tc>
          <w:tcPr>
            <w:tcW w:w="3080" w:type="dxa"/>
            <w:tcBorders>
              <w:bottom w:val="single" w:color="000000" w:sz="4" w:space="0"/>
              <w:tl2br w:val="nil"/>
              <w:tr2bl w:val="nil"/>
            </w:tcBorders>
            <w:vAlign w:val="center"/>
          </w:tcPr>
          <w:p>
            <w:pPr>
              <w:shd w:val="clear"/>
              <w:snapToGrid w:val="0"/>
              <w:jc w:val="center"/>
              <w:rPr>
                <w:rFonts w:ascii="宋体" w:hAnsi="宋体" w:cs="Arial"/>
                <w:b/>
                <w:color w:val="auto"/>
                <w:szCs w:val="21"/>
                <w:highlight w:val="none"/>
              </w:rPr>
            </w:pPr>
            <w:r>
              <w:rPr>
                <w:rFonts w:hint="eastAsia"/>
                <w:color w:val="auto"/>
                <w:szCs w:val="21"/>
                <w:highlight w:val="none"/>
                <w:lang w:val="en-US" w:eastAsia="zh-CN"/>
              </w:rPr>
              <w:t>日常</w:t>
            </w:r>
            <w:r>
              <w:rPr>
                <w:color w:val="auto"/>
                <w:szCs w:val="21"/>
                <w:highlight w:val="none"/>
              </w:rPr>
              <w:t>养护水域长度共计</w:t>
            </w:r>
            <w:r>
              <w:rPr>
                <w:rFonts w:hint="eastAsia"/>
                <w:color w:val="auto"/>
                <w:szCs w:val="21"/>
                <w:highlight w:val="none"/>
              </w:rPr>
              <w:t>10544.00</w:t>
            </w:r>
            <w:r>
              <w:rPr>
                <w:color w:val="auto"/>
                <w:szCs w:val="21"/>
                <w:highlight w:val="none"/>
              </w:rPr>
              <w:t>m，养护水域面积共计</w:t>
            </w:r>
            <w:r>
              <w:rPr>
                <w:rFonts w:hint="eastAsia"/>
                <w:bCs/>
                <w:color w:val="auto"/>
                <w:szCs w:val="21"/>
                <w:highlight w:val="none"/>
              </w:rPr>
              <w:t>166001.00</w:t>
            </w:r>
            <w:r>
              <w:rPr>
                <w:color w:val="auto"/>
                <w:szCs w:val="21"/>
                <w:highlight w:val="none"/>
              </w:rPr>
              <w:t>m</w:t>
            </w:r>
            <w:r>
              <w:rPr>
                <w:color w:val="auto"/>
                <w:szCs w:val="21"/>
                <w:highlight w:val="none"/>
                <w:vertAlign w:val="superscript"/>
              </w:rPr>
              <w:t>2</w:t>
            </w:r>
            <w:r>
              <w:rPr>
                <w:color w:val="auto"/>
                <w:szCs w:val="21"/>
                <w:highlight w:val="none"/>
              </w:rPr>
              <w:t>，</w:t>
            </w:r>
            <w:r>
              <w:rPr>
                <w:bCs/>
                <w:color w:val="auto"/>
                <w:szCs w:val="21"/>
                <w:highlight w:val="none"/>
              </w:rPr>
              <w:t>详见招标需求</w:t>
            </w:r>
          </w:p>
        </w:tc>
        <w:tc>
          <w:tcPr>
            <w:tcW w:w="1503" w:type="dxa"/>
            <w:vMerge w:val="continue"/>
            <w:tcBorders>
              <w:tl2br w:val="nil"/>
              <w:tr2bl w:val="nil"/>
            </w:tcBorders>
            <w:vAlign w:val="center"/>
          </w:tcPr>
          <w:p>
            <w:pPr>
              <w:shd w:val="clear"/>
              <w:snapToGrid w:val="0"/>
              <w:jc w:val="center"/>
              <w:rPr>
                <w:rFonts w:hint="eastAsia" w:ascii="宋体" w:hAnsi="宋体" w:cs="Arial"/>
                <w:b/>
                <w:color w:val="auto"/>
                <w:szCs w:val="21"/>
                <w:highlight w:val="none"/>
                <w:lang w:val="en-US" w:eastAsia="zh-CN"/>
              </w:rPr>
            </w:pPr>
          </w:p>
        </w:tc>
        <w:tc>
          <w:tcPr>
            <w:tcW w:w="1389" w:type="dxa"/>
            <w:vMerge w:val="restart"/>
            <w:tcBorders>
              <w:tl2br w:val="nil"/>
              <w:tr2bl w:val="nil"/>
            </w:tcBorders>
            <w:vAlign w:val="center"/>
          </w:tcPr>
          <w:p>
            <w:pPr>
              <w:keepNext w:val="0"/>
              <w:keepLines w:val="0"/>
              <w:widowControl/>
              <w:suppressLineNumbers w:val="0"/>
              <w:jc w:val="center"/>
              <w:textAlignment w:val="center"/>
              <w:rPr>
                <w:rFonts w:hint="default" w:ascii="宋体" w:hAnsi="宋体" w:eastAsia="宋体" w:cs="Arial"/>
                <w:b/>
                <w:bCs/>
                <w:color w:val="auto"/>
                <w:szCs w:val="21"/>
                <w:highlight w:val="none"/>
                <w:lang w:val="en-US" w:eastAsia="zh-CN"/>
              </w:rPr>
            </w:pPr>
            <w:r>
              <w:rPr>
                <w:rFonts w:hint="eastAsia" w:ascii="宋体" w:hAnsi="宋体" w:eastAsia="宋体" w:cs="宋体"/>
                <w:b/>
                <w:bCs/>
                <w:i w:val="0"/>
                <w:color w:val="000000"/>
                <w:kern w:val="0"/>
                <w:sz w:val="22"/>
                <w:szCs w:val="22"/>
                <w:highlight w:val="none"/>
                <w:u w:val="none"/>
                <w:lang w:val="en-US" w:eastAsia="zh-CN" w:bidi="ar"/>
              </w:rPr>
              <w:t>375</w:t>
            </w:r>
          </w:p>
        </w:tc>
        <w:tc>
          <w:tcPr>
            <w:tcW w:w="1445" w:type="dxa"/>
            <w:vMerge w:val="restart"/>
            <w:tcBorders>
              <w:tl2br w:val="nil"/>
              <w:tr2bl w:val="nil"/>
            </w:tcBorders>
            <w:vAlign w:val="center"/>
          </w:tcPr>
          <w:p>
            <w:pPr>
              <w:keepNext w:val="0"/>
              <w:keepLines w:val="0"/>
              <w:widowControl/>
              <w:suppressLineNumbers w:val="0"/>
              <w:jc w:val="center"/>
              <w:textAlignment w:val="center"/>
              <w:rPr>
                <w:rFonts w:hint="default" w:ascii="宋体" w:hAnsi="宋体" w:eastAsia="宋体" w:cs="Arial"/>
                <w:b/>
                <w:bCs/>
                <w:color w:val="auto"/>
                <w:szCs w:val="21"/>
                <w:highlight w:val="none"/>
                <w:lang w:val="en-US" w:eastAsia="zh-CN"/>
              </w:rPr>
            </w:pPr>
            <w:r>
              <w:rPr>
                <w:rFonts w:hint="eastAsia" w:ascii="宋体" w:hAnsi="宋体" w:eastAsia="宋体" w:cs="宋体"/>
                <w:b/>
                <w:bCs/>
                <w:i w:val="0"/>
                <w:color w:val="000000"/>
                <w:kern w:val="0"/>
                <w:sz w:val="22"/>
                <w:szCs w:val="22"/>
                <w:highlight w:val="none"/>
                <w:u w:val="none"/>
                <w:lang w:val="en-US" w:eastAsia="zh-CN" w:bidi="ar"/>
              </w:rPr>
              <w:t>1125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27" w:type="dxa"/>
            <w:vMerge w:val="continue"/>
            <w:tcBorders>
              <w:tl2br w:val="nil"/>
              <w:tr2bl w:val="nil"/>
            </w:tcBorders>
            <w:vAlign w:val="center"/>
          </w:tcPr>
          <w:p>
            <w:pPr>
              <w:shd w:val="clear"/>
              <w:snapToGrid w:val="0"/>
              <w:jc w:val="center"/>
              <w:rPr>
                <w:rFonts w:hint="eastAsia" w:ascii="宋体" w:hAnsi="宋体" w:cs="Arial"/>
                <w:bCs/>
                <w:color w:val="auto"/>
                <w:szCs w:val="21"/>
                <w:highlight w:val="none"/>
              </w:rPr>
            </w:pPr>
          </w:p>
        </w:tc>
        <w:tc>
          <w:tcPr>
            <w:tcW w:w="1534" w:type="dxa"/>
            <w:tcBorders>
              <w:top w:val="single" w:color="000000" w:sz="4" w:space="0"/>
              <w:tl2br w:val="nil"/>
              <w:tr2bl w:val="nil"/>
            </w:tcBorders>
            <w:vAlign w:val="center"/>
          </w:tcPr>
          <w:p>
            <w:pPr>
              <w:shd w:val="clear"/>
              <w:jc w:val="center"/>
              <w:rPr>
                <w:rFonts w:hint="eastAsia"/>
                <w:color w:val="auto"/>
                <w:szCs w:val="21"/>
                <w:highlight w:val="none"/>
              </w:rPr>
            </w:pPr>
            <w:r>
              <w:rPr>
                <w:rFonts w:hint="eastAsia"/>
                <w:color w:val="auto"/>
                <w:szCs w:val="21"/>
                <w:highlight w:val="none"/>
                <w:lang w:val="en-US" w:eastAsia="zh-CN"/>
              </w:rPr>
              <w:t>2</w:t>
            </w:r>
            <w:r>
              <w:rPr>
                <w:rFonts w:hint="eastAsia"/>
                <w:color w:val="auto"/>
                <w:szCs w:val="21"/>
                <w:highlight w:val="none"/>
              </w:rPr>
              <w:t>条河道</w:t>
            </w:r>
            <w:r>
              <w:rPr>
                <w:rFonts w:hint="eastAsia"/>
                <w:color w:val="auto"/>
                <w:szCs w:val="21"/>
                <w:highlight w:val="none"/>
                <w:lang w:eastAsia="zh-CN"/>
              </w:rPr>
              <w:t>（</w:t>
            </w:r>
            <w:r>
              <w:rPr>
                <w:rFonts w:hint="eastAsia"/>
                <w:color w:val="auto"/>
                <w:szCs w:val="21"/>
                <w:highlight w:val="none"/>
                <w:lang w:val="en-US" w:eastAsia="zh-CN"/>
              </w:rPr>
              <w:t>段</w:t>
            </w:r>
            <w:r>
              <w:rPr>
                <w:rFonts w:hint="eastAsia"/>
                <w:color w:val="auto"/>
                <w:szCs w:val="21"/>
                <w:highlight w:val="none"/>
                <w:lang w:eastAsia="zh-CN"/>
              </w:rPr>
              <w:t>）</w:t>
            </w:r>
            <w:r>
              <w:rPr>
                <w:rFonts w:hint="eastAsia"/>
                <w:color w:val="auto"/>
                <w:szCs w:val="21"/>
                <w:highlight w:val="none"/>
              </w:rPr>
              <w:t>应急养护</w:t>
            </w:r>
          </w:p>
        </w:tc>
        <w:tc>
          <w:tcPr>
            <w:tcW w:w="3080" w:type="dxa"/>
            <w:tcBorders>
              <w:top w:val="single" w:color="000000" w:sz="4" w:space="0"/>
              <w:tl2br w:val="nil"/>
              <w:tr2bl w:val="nil"/>
            </w:tcBorders>
            <w:vAlign w:val="center"/>
          </w:tcPr>
          <w:p>
            <w:pPr>
              <w:shd w:val="clear"/>
              <w:snapToGrid w:val="0"/>
              <w:jc w:val="center"/>
              <w:rPr>
                <w:color w:val="auto"/>
                <w:szCs w:val="21"/>
                <w:highlight w:val="none"/>
              </w:rPr>
            </w:pPr>
            <w:r>
              <w:rPr>
                <w:rFonts w:hint="eastAsia"/>
                <w:color w:val="auto"/>
                <w:szCs w:val="21"/>
                <w:highlight w:val="none"/>
              </w:rPr>
              <w:t>应急</w:t>
            </w:r>
            <w:r>
              <w:rPr>
                <w:color w:val="auto"/>
                <w:szCs w:val="21"/>
                <w:highlight w:val="none"/>
              </w:rPr>
              <w:t>养护水域长度共计</w:t>
            </w:r>
            <w:r>
              <w:rPr>
                <w:rFonts w:hint="eastAsia"/>
                <w:color w:val="auto"/>
                <w:szCs w:val="21"/>
                <w:highlight w:val="none"/>
              </w:rPr>
              <w:t>2486.57</w:t>
            </w:r>
            <w:r>
              <w:rPr>
                <w:color w:val="auto"/>
                <w:szCs w:val="21"/>
                <w:highlight w:val="none"/>
              </w:rPr>
              <w:t>m，养护水域面积共计</w:t>
            </w:r>
            <w:r>
              <w:rPr>
                <w:rFonts w:hint="eastAsia"/>
                <w:bCs/>
                <w:color w:val="auto"/>
                <w:szCs w:val="21"/>
                <w:highlight w:val="none"/>
              </w:rPr>
              <w:t>76954.77</w:t>
            </w:r>
            <w:r>
              <w:rPr>
                <w:color w:val="auto"/>
                <w:szCs w:val="21"/>
                <w:highlight w:val="none"/>
              </w:rPr>
              <w:t>m</w:t>
            </w:r>
            <w:r>
              <w:rPr>
                <w:color w:val="auto"/>
                <w:szCs w:val="21"/>
                <w:highlight w:val="none"/>
                <w:vertAlign w:val="superscript"/>
              </w:rPr>
              <w:t>2</w:t>
            </w:r>
            <w:r>
              <w:rPr>
                <w:color w:val="auto"/>
                <w:szCs w:val="21"/>
                <w:highlight w:val="none"/>
              </w:rPr>
              <w:t>，</w:t>
            </w:r>
            <w:r>
              <w:rPr>
                <w:bCs/>
                <w:color w:val="auto"/>
                <w:szCs w:val="21"/>
                <w:highlight w:val="none"/>
              </w:rPr>
              <w:t>详见招标需求</w:t>
            </w:r>
          </w:p>
        </w:tc>
        <w:tc>
          <w:tcPr>
            <w:tcW w:w="1503" w:type="dxa"/>
            <w:vMerge w:val="continue"/>
            <w:tcBorders>
              <w:tl2br w:val="nil"/>
              <w:tr2bl w:val="nil"/>
            </w:tcBorders>
            <w:vAlign w:val="center"/>
          </w:tcPr>
          <w:p>
            <w:pPr>
              <w:shd w:val="clear"/>
              <w:snapToGrid w:val="0"/>
              <w:jc w:val="center"/>
              <w:rPr>
                <w:rFonts w:ascii="宋体" w:hAnsi="宋体" w:cs="Arial"/>
                <w:b/>
                <w:color w:val="auto"/>
                <w:szCs w:val="21"/>
                <w:highlight w:val="none"/>
              </w:rPr>
            </w:pPr>
          </w:p>
        </w:tc>
        <w:tc>
          <w:tcPr>
            <w:tcW w:w="1389" w:type="dxa"/>
            <w:vMerge w:val="continue"/>
            <w:tcBorders>
              <w:tl2br w:val="nil"/>
              <w:tr2bl w:val="nil"/>
            </w:tcBorders>
            <w:vAlign w:val="center"/>
          </w:tcPr>
          <w:p>
            <w:pPr>
              <w:shd w:val="clear"/>
              <w:snapToGrid w:val="0"/>
              <w:jc w:val="center"/>
              <w:rPr>
                <w:rFonts w:ascii="宋体" w:hAnsi="宋体" w:cs="Arial"/>
                <w:b/>
                <w:bCs/>
                <w:color w:val="auto"/>
                <w:szCs w:val="21"/>
                <w:highlight w:val="none"/>
              </w:rPr>
            </w:pPr>
          </w:p>
        </w:tc>
        <w:tc>
          <w:tcPr>
            <w:tcW w:w="1445" w:type="dxa"/>
            <w:vMerge w:val="continue"/>
            <w:tcBorders>
              <w:tl2br w:val="nil"/>
              <w:tr2bl w:val="nil"/>
            </w:tcBorders>
            <w:vAlign w:val="center"/>
          </w:tcPr>
          <w:p>
            <w:pPr>
              <w:shd w:val="clear"/>
              <w:snapToGrid w:val="0"/>
              <w:jc w:val="center"/>
              <w:rPr>
                <w:rFonts w:ascii="宋体" w:hAnsi="宋体" w:cs="Arial"/>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27" w:type="dxa"/>
            <w:vMerge w:val="restart"/>
            <w:tcBorders>
              <w:tl2br w:val="nil"/>
              <w:tr2bl w:val="nil"/>
            </w:tcBorders>
            <w:vAlign w:val="center"/>
          </w:tcPr>
          <w:p>
            <w:pPr>
              <w:shd w:val="clear"/>
              <w:snapToGrid w:val="0"/>
              <w:jc w:val="center"/>
              <w:rPr>
                <w:rFonts w:ascii="宋体" w:hAnsi="宋体" w:cs="Arial"/>
                <w:bCs/>
                <w:color w:val="auto"/>
                <w:szCs w:val="21"/>
                <w:highlight w:val="none"/>
              </w:rPr>
            </w:pPr>
            <w:r>
              <w:rPr>
                <w:rFonts w:hint="eastAsia" w:ascii="宋体" w:hAnsi="宋体" w:cs="Arial"/>
                <w:bCs/>
                <w:color w:val="auto"/>
                <w:szCs w:val="21"/>
                <w:highlight w:val="none"/>
              </w:rPr>
              <w:t>七</w:t>
            </w:r>
          </w:p>
        </w:tc>
        <w:tc>
          <w:tcPr>
            <w:tcW w:w="1534" w:type="dxa"/>
            <w:tcBorders>
              <w:tl2br w:val="nil"/>
              <w:tr2bl w:val="nil"/>
            </w:tcBorders>
            <w:vAlign w:val="center"/>
          </w:tcPr>
          <w:p>
            <w:pPr>
              <w:shd w:val="clear"/>
              <w:jc w:val="center"/>
              <w:rPr>
                <w:rFonts w:ascii="宋体" w:hAnsi="宋体" w:cs="Arial"/>
                <w:b/>
                <w:color w:val="auto"/>
                <w:szCs w:val="21"/>
                <w:highlight w:val="none"/>
              </w:rPr>
            </w:pPr>
            <w:r>
              <w:rPr>
                <w:rFonts w:hint="eastAsia"/>
                <w:color w:val="auto"/>
                <w:szCs w:val="21"/>
                <w:highlight w:val="none"/>
                <w:lang w:val="en-US" w:eastAsia="zh-CN"/>
              </w:rPr>
              <w:t>9</w:t>
            </w:r>
            <w:r>
              <w:rPr>
                <w:rFonts w:hint="eastAsia"/>
                <w:color w:val="auto"/>
                <w:szCs w:val="21"/>
                <w:highlight w:val="none"/>
              </w:rPr>
              <w:t>条河道</w:t>
            </w:r>
            <w:r>
              <w:rPr>
                <w:rFonts w:hint="eastAsia"/>
                <w:color w:val="auto"/>
                <w:szCs w:val="21"/>
                <w:highlight w:val="none"/>
                <w:lang w:eastAsia="zh-CN"/>
              </w:rPr>
              <w:t>（</w:t>
            </w:r>
            <w:r>
              <w:rPr>
                <w:rFonts w:hint="eastAsia"/>
                <w:color w:val="auto"/>
                <w:szCs w:val="21"/>
                <w:highlight w:val="none"/>
                <w:lang w:val="en-US" w:eastAsia="zh-CN"/>
              </w:rPr>
              <w:t>段</w:t>
            </w:r>
            <w:r>
              <w:rPr>
                <w:rFonts w:hint="eastAsia"/>
                <w:color w:val="auto"/>
                <w:szCs w:val="21"/>
                <w:highlight w:val="none"/>
                <w:lang w:eastAsia="zh-CN"/>
              </w:rPr>
              <w:t>）</w:t>
            </w:r>
            <w:r>
              <w:rPr>
                <w:rFonts w:hint="eastAsia"/>
                <w:color w:val="auto"/>
                <w:szCs w:val="21"/>
                <w:highlight w:val="none"/>
              </w:rPr>
              <w:t>日常养护</w:t>
            </w:r>
          </w:p>
        </w:tc>
        <w:tc>
          <w:tcPr>
            <w:tcW w:w="3080" w:type="dxa"/>
            <w:tcBorders>
              <w:tl2br w:val="nil"/>
              <w:tr2bl w:val="nil"/>
            </w:tcBorders>
            <w:vAlign w:val="center"/>
          </w:tcPr>
          <w:p>
            <w:pPr>
              <w:shd w:val="clear"/>
              <w:snapToGrid w:val="0"/>
              <w:jc w:val="center"/>
              <w:rPr>
                <w:rFonts w:ascii="宋体" w:hAnsi="宋体" w:cs="Arial"/>
                <w:b/>
                <w:color w:val="auto"/>
                <w:szCs w:val="21"/>
                <w:highlight w:val="none"/>
              </w:rPr>
            </w:pPr>
            <w:r>
              <w:rPr>
                <w:rFonts w:hint="eastAsia"/>
                <w:color w:val="auto"/>
                <w:szCs w:val="21"/>
                <w:highlight w:val="none"/>
                <w:lang w:val="en-US" w:eastAsia="zh-CN"/>
              </w:rPr>
              <w:t>日常</w:t>
            </w:r>
            <w:r>
              <w:rPr>
                <w:color w:val="auto"/>
                <w:szCs w:val="21"/>
                <w:highlight w:val="none"/>
              </w:rPr>
              <w:t>养护水域长度共计</w:t>
            </w:r>
            <w:r>
              <w:rPr>
                <w:rFonts w:hint="eastAsia"/>
                <w:color w:val="auto"/>
                <w:szCs w:val="21"/>
                <w:highlight w:val="none"/>
              </w:rPr>
              <w:t>11100.00</w:t>
            </w:r>
            <w:r>
              <w:rPr>
                <w:color w:val="auto"/>
                <w:szCs w:val="21"/>
                <w:highlight w:val="none"/>
              </w:rPr>
              <w:t>m，养护水域面积共计</w:t>
            </w:r>
            <w:r>
              <w:rPr>
                <w:rFonts w:hint="eastAsia"/>
                <w:bCs/>
                <w:color w:val="auto"/>
                <w:szCs w:val="21"/>
                <w:highlight w:val="none"/>
              </w:rPr>
              <w:t>179910.00</w:t>
            </w:r>
            <w:r>
              <w:rPr>
                <w:color w:val="auto"/>
                <w:szCs w:val="21"/>
                <w:highlight w:val="none"/>
              </w:rPr>
              <w:t>m</w:t>
            </w:r>
            <w:r>
              <w:rPr>
                <w:color w:val="auto"/>
                <w:szCs w:val="21"/>
                <w:highlight w:val="none"/>
                <w:vertAlign w:val="superscript"/>
              </w:rPr>
              <w:t>2</w:t>
            </w:r>
            <w:r>
              <w:rPr>
                <w:color w:val="auto"/>
                <w:szCs w:val="21"/>
                <w:highlight w:val="none"/>
              </w:rPr>
              <w:t>，</w:t>
            </w:r>
            <w:r>
              <w:rPr>
                <w:bCs/>
                <w:color w:val="auto"/>
                <w:szCs w:val="21"/>
                <w:highlight w:val="none"/>
              </w:rPr>
              <w:t>详见招标需求</w:t>
            </w:r>
          </w:p>
        </w:tc>
        <w:tc>
          <w:tcPr>
            <w:tcW w:w="1503" w:type="dxa"/>
            <w:vMerge w:val="continue"/>
            <w:tcBorders>
              <w:tl2br w:val="nil"/>
              <w:tr2bl w:val="nil"/>
            </w:tcBorders>
            <w:vAlign w:val="center"/>
          </w:tcPr>
          <w:p>
            <w:pPr>
              <w:shd w:val="clear"/>
              <w:snapToGrid w:val="0"/>
              <w:jc w:val="center"/>
              <w:rPr>
                <w:rFonts w:hint="eastAsia" w:ascii="宋体" w:hAnsi="宋体" w:cs="Arial"/>
                <w:b/>
                <w:color w:val="auto"/>
                <w:szCs w:val="21"/>
                <w:highlight w:val="none"/>
                <w:lang w:val="en-US" w:eastAsia="zh-CN"/>
              </w:rPr>
            </w:pPr>
          </w:p>
        </w:tc>
        <w:tc>
          <w:tcPr>
            <w:tcW w:w="1389" w:type="dxa"/>
            <w:vMerge w:val="restart"/>
            <w:tcBorders>
              <w:tl2br w:val="nil"/>
              <w:tr2bl w:val="nil"/>
            </w:tcBorders>
            <w:vAlign w:val="center"/>
          </w:tcPr>
          <w:p>
            <w:pPr>
              <w:keepNext w:val="0"/>
              <w:keepLines w:val="0"/>
              <w:widowControl/>
              <w:suppressLineNumbers w:val="0"/>
              <w:jc w:val="center"/>
              <w:textAlignment w:val="center"/>
              <w:rPr>
                <w:rFonts w:hint="default" w:ascii="宋体" w:hAnsi="宋体" w:cs="Arial"/>
                <w:b/>
                <w:bCs/>
                <w:color w:val="auto"/>
                <w:szCs w:val="21"/>
                <w:highlight w:val="none"/>
                <w:lang w:val="en-US"/>
              </w:rPr>
            </w:pPr>
            <w:r>
              <w:rPr>
                <w:rFonts w:hint="eastAsia" w:ascii="宋体" w:hAnsi="宋体" w:eastAsia="宋体" w:cs="宋体"/>
                <w:b/>
                <w:bCs/>
                <w:i w:val="0"/>
                <w:color w:val="000000"/>
                <w:kern w:val="0"/>
                <w:sz w:val="22"/>
                <w:szCs w:val="22"/>
                <w:highlight w:val="none"/>
                <w:u w:val="none"/>
                <w:lang w:val="en-US" w:eastAsia="zh-CN" w:bidi="ar"/>
              </w:rPr>
              <w:t>390</w:t>
            </w:r>
          </w:p>
        </w:tc>
        <w:tc>
          <w:tcPr>
            <w:tcW w:w="1445" w:type="dxa"/>
            <w:vMerge w:val="restart"/>
            <w:tcBorders>
              <w:tl2br w:val="nil"/>
              <w:tr2bl w:val="nil"/>
            </w:tcBorders>
            <w:vAlign w:val="center"/>
          </w:tcPr>
          <w:p>
            <w:pPr>
              <w:keepNext w:val="0"/>
              <w:keepLines w:val="0"/>
              <w:widowControl/>
              <w:suppressLineNumbers w:val="0"/>
              <w:jc w:val="center"/>
              <w:textAlignment w:val="center"/>
              <w:rPr>
                <w:rFonts w:ascii="宋体" w:hAnsi="宋体" w:cs="Arial"/>
                <w:b/>
                <w:bCs/>
                <w:color w:val="auto"/>
                <w:szCs w:val="21"/>
                <w:highlight w:val="none"/>
              </w:rPr>
            </w:pPr>
            <w:r>
              <w:rPr>
                <w:rFonts w:hint="eastAsia" w:ascii="宋体" w:hAnsi="宋体" w:eastAsia="宋体" w:cs="宋体"/>
                <w:b/>
                <w:bCs/>
                <w:i w:val="0"/>
                <w:color w:val="000000"/>
                <w:kern w:val="0"/>
                <w:sz w:val="22"/>
                <w:szCs w:val="22"/>
                <w:highlight w:val="none"/>
                <w:u w:val="none"/>
                <w:lang w:val="en-US" w:eastAsia="zh-CN" w:bidi="ar"/>
              </w:rPr>
              <w:t>1170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27" w:type="dxa"/>
            <w:vMerge w:val="continue"/>
            <w:tcBorders>
              <w:tl2br w:val="nil"/>
              <w:tr2bl w:val="nil"/>
            </w:tcBorders>
            <w:vAlign w:val="center"/>
          </w:tcPr>
          <w:p>
            <w:pPr>
              <w:shd w:val="clear"/>
              <w:snapToGrid w:val="0"/>
              <w:jc w:val="center"/>
              <w:rPr>
                <w:rFonts w:hint="eastAsia" w:ascii="宋体" w:hAnsi="宋体" w:cs="Arial"/>
                <w:bCs/>
                <w:color w:val="auto"/>
                <w:szCs w:val="21"/>
                <w:highlight w:val="none"/>
              </w:rPr>
            </w:pPr>
          </w:p>
        </w:tc>
        <w:tc>
          <w:tcPr>
            <w:tcW w:w="1534" w:type="dxa"/>
            <w:tcBorders>
              <w:tl2br w:val="nil"/>
              <w:tr2bl w:val="nil"/>
            </w:tcBorders>
            <w:vAlign w:val="center"/>
          </w:tcPr>
          <w:p>
            <w:pPr>
              <w:shd w:val="clear"/>
              <w:snapToGrid w:val="0"/>
              <w:jc w:val="center"/>
              <w:rPr>
                <w:rFonts w:hint="eastAsia"/>
                <w:color w:val="auto"/>
                <w:szCs w:val="21"/>
                <w:highlight w:val="none"/>
              </w:rPr>
            </w:pPr>
            <w:r>
              <w:rPr>
                <w:rFonts w:hint="eastAsia"/>
                <w:color w:val="auto"/>
                <w:szCs w:val="21"/>
                <w:highlight w:val="none"/>
                <w:lang w:val="en-US" w:eastAsia="zh-CN"/>
              </w:rPr>
              <w:t>1</w:t>
            </w:r>
            <w:r>
              <w:rPr>
                <w:rFonts w:hint="eastAsia"/>
                <w:color w:val="auto"/>
                <w:szCs w:val="21"/>
                <w:highlight w:val="none"/>
              </w:rPr>
              <w:t>条河道</w:t>
            </w:r>
            <w:r>
              <w:rPr>
                <w:rFonts w:hint="eastAsia"/>
                <w:color w:val="auto"/>
                <w:szCs w:val="21"/>
                <w:highlight w:val="none"/>
                <w:lang w:eastAsia="zh-CN"/>
              </w:rPr>
              <w:t>（</w:t>
            </w:r>
            <w:r>
              <w:rPr>
                <w:rFonts w:hint="eastAsia"/>
                <w:color w:val="auto"/>
                <w:szCs w:val="21"/>
                <w:highlight w:val="none"/>
                <w:lang w:val="en-US" w:eastAsia="zh-CN"/>
              </w:rPr>
              <w:t>段</w:t>
            </w:r>
            <w:r>
              <w:rPr>
                <w:rFonts w:hint="eastAsia"/>
                <w:color w:val="auto"/>
                <w:szCs w:val="21"/>
                <w:highlight w:val="none"/>
                <w:lang w:eastAsia="zh-CN"/>
              </w:rPr>
              <w:t>）</w:t>
            </w:r>
            <w:r>
              <w:rPr>
                <w:rFonts w:hint="eastAsia"/>
                <w:color w:val="auto"/>
                <w:szCs w:val="21"/>
                <w:highlight w:val="none"/>
              </w:rPr>
              <w:t>应急养护</w:t>
            </w:r>
          </w:p>
        </w:tc>
        <w:tc>
          <w:tcPr>
            <w:tcW w:w="3080" w:type="dxa"/>
            <w:tcBorders>
              <w:top w:val="single" w:color="000000" w:sz="4" w:space="0"/>
              <w:tl2br w:val="nil"/>
              <w:tr2bl w:val="nil"/>
            </w:tcBorders>
            <w:vAlign w:val="center"/>
          </w:tcPr>
          <w:p>
            <w:pPr>
              <w:shd w:val="clear"/>
              <w:snapToGrid w:val="0"/>
              <w:jc w:val="center"/>
              <w:rPr>
                <w:color w:val="auto"/>
                <w:szCs w:val="21"/>
                <w:highlight w:val="none"/>
              </w:rPr>
            </w:pPr>
            <w:r>
              <w:rPr>
                <w:rFonts w:hint="eastAsia"/>
                <w:color w:val="auto"/>
                <w:szCs w:val="21"/>
                <w:highlight w:val="none"/>
              </w:rPr>
              <w:t>应急</w:t>
            </w:r>
            <w:r>
              <w:rPr>
                <w:color w:val="auto"/>
                <w:szCs w:val="21"/>
                <w:highlight w:val="none"/>
              </w:rPr>
              <w:t>养护水域长度共计</w:t>
            </w:r>
            <w:r>
              <w:rPr>
                <w:rFonts w:hint="eastAsia"/>
                <w:color w:val="auto"/>
                <w:szCs w:val="21"/>
                <w:highlight w:val="none"/>
              </w:rPr>
              <w:t>2677.61</w:t>
            </w:r>
            <w:r>
              <w:rPr>
                <w:color w:val="auto"/>
                <w:szCs w:val="21"/>
                <w:highlight w:val="none"/>
              </w:rPr>
              <w:t>m，养护水域面积共计</w:t>
            </w:r>
            <w:r>
              <w:rPr>
                <w:rFonts w:hint="eastAsia"/>
                <w:bCs/>
                <w:color w:val="auto"/>
                <w:szCs w:val="21"/>
                <w:highlight w:val="none"/>
              </w:rPr>
              <w:t>98072.83</w:t>
            </w:r>
            <w:r>
              <w:rPr>
                <w:color w:val="auto"/>
                <w:szCs w:val="21"/>
                <w:highlight w:val="none"/>
              </w:rPr>
              <w:t>m</w:t>
            </w:r>
            <w:r>
              <w:rPr>
                <w:color w:val="auto"/>
                <w:szCs w:val="21"/>
                <w:highlight w:val="none"/>
                <w:vertAlign w:val="superscript"/>
              </w:rPr>
              <w:t>2</w:t>
            </w:r>
            <w:r>
              <w:rPr>
                <w:color w:val="auto"/>
                <w:szCs w:val="21"/>
                <w:highlight w:val="none"/>
              </w:rPr>
              <w:t>，</w:t>
            </w:r>
            <w:r>
              <w:rPr>
                <w:bCs/>
                <w:color w:val="auto"/>
                <w:szCs w:val="21"/>
                <w:highlight w:val="none"/>
              </w:rPr>
              <w:t>详见招标需求</w:t>
            </w:r>
          </w:p>
        </w:tc>
        <w:tc>
          <w:tcPr>
            <w:tcW w:w="1503" w:type="dxa"/>
            <w:vMerge w:val="continue"/>
            <w:tcBorders>
              <w:tl2br w:val="nil"/>
              <w:tr2bl w:val="nil"/>
            </w:tcBorders>
            <w:vAlign w:val="center"/>
          </w:tcPr>
          <w:p>
            <w:pPr>
              <w:shd w:val="clear"/>
              <w:snapToGrid w:val="0"/>
              <w:jc w:val="center"/>
              <w:rPr>
                <w:rFonts w:ascii="宋体" w:hAnsi="宋体" w:cs="Arial"/>
                <w:b/>
                <w:color w:val="auto"/>
                <w:szCs w:val="21"/>
                <w:highlight w:val="none"/>
              </w:rPr>
            </w:pPr>
          </w:p>
        </w:tc>
        <w:tc>
          <w:tcPr>
            <w:tcW w:w="1389" w:type="dxa"/>
            <w:vMerge w:val="continue"/>
            <w:tcBorders>
              <w:tl2br w:val="nil"/>
              <w:tr2bl w:val="nil"/>
            </w:tcBorders>
            <w:vAlign w:val="center"/>
          </w:tcPr>
          <w:p>
            <w:pPr>
              <w:shd w:val="clear"/>
              <w:snapToGrid w:val="0"/>
              <w:jc w:val="center"/>
              <w:rPr>
                <w:rFonts w:ascii="宋体" w:hAnsi="宋体" w:cs="Arial"/>
                <w:b/>
                <w:bCs/>
                <w:color w:val="auto"/>
                <w:szCs w:val="21"/>
                <w:highlight w:val="none"/>
              </w:rPr>
            </w:pPr>
          </w:p>
        </w:tc>
        <w:tc>
          <w:tcPr>
            <w:tcW w:w="1445" w:type="dxa"/>
            <w:vMerge w:val="continue"/>
            <w:tcBorders>
              <w:tl2br w:val="nil"/>
              <w:tr2bl w:val="nil"/>
            </w:tcBorders>
            <w:vAlign w:val="center"/>
          </w:tcPr>
          <w:p>
            <w:pPr>
              <w:shd w:val="clear"/>
              <w:snapToGrid w:val="0"/>
              <w:jc w:val="center"/>
              <w:rPr>
                <w:rFonts w:ascii="宋体" w:hAnsi="宋体" w:cs="Arial"/>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27" w:type="dxa"/>
            <w:vMerge w:val="restart"/>
            <w:tcBorders>
              <w:tl2br w:val="nil"/>
              <w:tr2bl w:val="nil"/>
            </w:tcBorders>
            <w:vAlign w:val="center"/>
          </w:tcPr>
          <w:p>
            <w:pPr>
              <w:shd w:val="clear"/>
              <w:snapToGrid w:val="0"/>
              <w:jc w:val="center"/>
              <w:rPr>
                <w:rFonts w:ascii="宋体" w:hAnsi="宋体" w:cs="Arial"/>
                <w:bCs/>
                <w:color w:val="auto"/>
                <w:szCs w:val="21"/>
                <w:highlight w:val="none"/>
              </w:rPr>
            </w:pPr>
            <w:r>
              <w:rPr>
                <w:rFonts w:hint="eastAsia" w:ascii="宋体" w:hAnsi="宋体" w:cs="Arial"/>
                <w:bCs/>
                <w:color w:val="auto"/>
                <w:szCs w:val="21"/>
                <w:highlight w:val="none"/>
              </w:rPr>
              <w:t>八</w:t>
            </w:r>
          </w:p>
        </w:tc>
        <w:tc>
          <w:tcPr>
            <w:tcW w:w="1534" w:type="dxa"/>
            <w:tcBorders>
              <w:bottom w:val="single" w:color="000000" w:sz="4" w:space="0"/>
              <w:tl2br w:val="nil"/>
              <w:tr2bl w:val="nil"/>
            </w:tcBorders>
            <w:vAlign w:val="center"/>
          </w:tcPr>
          <w:p>
            <w:pPr>
              <w:shd w:val="clear"/>
              <w:jc w:val="center"/>
              <w:rPr>
                <w:rFonts w:ascii="宋体" w:hAnsi="宋体" w:cs="Arial"/>
                <w:b/>
                <w:color w:val="auto"/>
                <w:szCs w:val="21"/>
                <w:highlight w:val="none"/>
              </w:rPr>
            </w:pPr>
            <w:r>
              <w:rPr>
                <w:rFonts w:hint="eastAsia"/>
                <w:color w:val="auto"/>
                <w:szCs w:val="21"/>
                <w:highlight w:val="none"/>
                <w:lang w:val="en-US" w:eastAsia="zh-CN"/>
              </w:rPr>
              <w:t>7</w:t>
            </w:r>
            <w:r>
              <w:rPr>
                <w:rFonts w:hint="eastAsia"/>
                <w:color w:val="auto"/>
                <w:szCs w:val="21"/>
                <w:highlight w:val="none"/>
              </w:rPr>
              <w:t>条河道</w:t>
            </w:r>
            <w:r>
              <w:rPr>
                <w:rFonts w:hint="eastAsia"/>
                <w:color w:val="auto"/>
                <w:szCs w:val="21"/>
                <w:highlight w:val="none"/>
                <w:lang w:eastAsia="zh-CN"/>
              </w:rPr>
              <w:t>（</w:t>
            </w:r>
            <w:r>
              <w:rPr>
                <w:rFonts w:hint="eastAsia"/>
                <w:color w:val="auto"/>
                <w:szCs w:val="21"/>
                <w:highlight w:val="none"/>
                <w:lang w:val="en-US" w:eastAsia="zh-CN"/>
              </w:rPr>
              <w:t>段</w:t>
            </w:r>
            <w:r>
              <w:rPr>
                <w:rFonts w:hint="eastAsia"/>
                <w:color w:val="auto"/>
                <w:szCs w:val="21"/>
                <w:highlight w:val="none"/>
                <w:lang w:eastAsia="zh-CN"/>
              </w:rPr>
              <w:t>）</w:t>
            </w:r>
            <w:r>
              <w:rPr>
                <w:rFonts w:hint="eastAsia"/>
                <w:color w:val="auto"/>
                <w:szCs w:val="21"/>
                <w:highlight w:val="none"/>
              </w:rPr>
              <w:t>日常养护</w:t>
            </w:r>
          </w:p>
        </w:tc>
        <w:tc>
          <w:tcPr>
            <w:tcW w:w="3080" w:type="dxa"/>
            <w:tcBorders>
              <w:bottom w:val="single" w:color="000000" w:sz="4" w:space="0"/>
              <w:tl2br w:val="nil"/>
              <w:tr2bl w:val="nil"/>
            </w:tcBorders>
            <w:vAlign w:val="center"/>
          </w:tcPr>
          <w:p>
            <w:pPr>
              <w:shd w:val="clear"/>
              <w:snapToGrid w:val="0"/>
              <w:jc w:val="center"/>
              <w:rPr>
                <w:rFonts w:ascii="宋体" w:hAnsi="宋体" w:cs="Arial"/>
                <w:b/>
                <w:color w:val="auto"/>
                <w:szCs w:val="21"/>
                <w:highlight w:val="none"/>
              </w:rPr>
            </w:pPr>
            <w:r>
              <w:rPr>
                <w:rFonts w:hint="eastAsia"/>
                <w:color w:val="auto"/>
                <w:szCs w:val="21"/>
                <w:highlight w:val="none"/>
                <w:lang w:val="en-US" w:eastAsia="zh-CN"/>
              </w:rPr>
              <w:t>日常</w:t>
            </w:r>
            <w:r>
              <w:rPr>
                <w:color w:val="auto"/>
                <w:szCs w:val="21"/>
                <w:highlight w:val="none"/>
              </w:rPr>
              <w:t>养护水域长度共计</w:t>
            </w:r>
            <w:r>
              <w:rPr>
                <w:rFonts w:hint="eastAsia"/>
                <w:color w:val="auto"/>
                <w:szCs w:val="21"/>
                <w:highlight w:val="none"/>
              </w:rPr>
              <w:t>8838.00</w:t>
            </w:r>
            <w:r>
              <w:rPr>
                <w:color w:val="auto"/>
                <w:szCs w:val="21"/>
                <w:highlight w:val="none"/>
              </w:rPr>
              <w:t>m，养护水域面积共计</w:t>
            </w:r>
            <w:r>
              <w:rPr>
                <w:rFonts w:hint="eastAsia"/>
                <w:bCs/>
                <w:color w:val="auto"/>
                <w:szCs w:val="21"/>
                <w:highlight w:val="none"/>
              </w:rPr>
              <w:t>162388.00</w:t>
            </w:r>
            <w:r>
              <w:rPr>
                <w:color w:val="auto"/>
                <w:szCs w:val="21"/>
                <w:highlight w:val="none"/>
              </w:rPr>
              <w:t>m</w:t>
            </w:r>
            <w:r>
              <w:rPr>
                <w:color w:val="auto"/>
                <w:szCs w:val="21"/>
                <w:highlight w:val="none"/>
                <w:vertAlign w:val="superscript"/>
              </w:rPr>
              <w:t>2</w:t>
            </w:r>
            <w:r>
              <w:rPr>
                <w:color w:val="auto"/>
                <w:szCs w:val="21"/>
                <w:highlight w:val="none"/>
              </w:rPr>
              <w:t>，</w:t>
            </w:r>
            <w:r>
              <w:rPr>
                <w:bCs/>
                <w:color w:val="auto"/>
                <w:szCs w:val="21"/>
                <w:highlight w:val="none"/>
              </w:rPr>
              <w:t>详见招标需求</w:t>
            </w:r>
          </w:p>
        </w:tc>
        <w:tc>
          <w:tcPr>
            <w:tcW w:w="1503" w:type="dxa"/>
            <w:vMerge w:val="continue"/>
            <w:tcBorders>
              <w:tl2br w:val="nil"/>
              <w:tr2bl w:val="nil"/>
            </w:tcBorders>
            <w:vAlign w:val="center"/>
          </w:tcPr>
          <w:p>
            <w:pPr>
              <w:shd w:val="clear"/>
              <w:snapToGrid w:val="0"/>
              <w:jc w:val="center"/>
              <w:rPr>
                <w:rFonts w:hint="eastAsia" w:ascii="宋体" w:hAnsi="宋体" w:cs="Arial"/>
                <w:b/>
                <w:color w:val="auto"/>
                <w:szCs w:val="21"/>
                <w:highlight w:val="none"/>
                <w:lang w:val="en-US" w:eastAsia="zh-CN"/>
              </w:rPr>
            </w:pPr>
          </w:p>
        </w:tc>
        <w:tc>
          <w:tcPr>
            <w:tcW w:w="1389" w:type="dxa"/>
            <w:vMerge w:val="restart"/>
            <w:tcBorders>
              <w:tl2br w:val="nil"/>
              <w:tr2bl w:val="nil"/>
            </w:tcBorders>
            <w:vAlign w:val="center"/>
          </w:tcPr>
          <w:p>
            <w:pPr>
              <w:keepNext w:val="0"/>
              <w:keepLines w:val="0"/>
              <w:widowControl/>
              <w:suppressLineNumbers w:val="0"/>
              <w:jc w:val="center"/>
              <w:textAlignment w:val="center"/>
              <w:rPr>
                <w:rFonts w:hint="default" w:ascii="宋体" w:hAnsi="宋体" w:eastAsia="宋体" w:cs="Arial"/>
                <w:b/>
                <w:bCs/>
                <w:color w:val="auto"/>
                <w:szCs w:val="21"/>
                <w:highlight w:val="none"/>
                <w:lang w:val="en-US" w:eastAsia="zh-CN"/>
              </w:rPr>
            </w:pPr>
            <w:r>
              <w:rPr>
                <w:rFonts w:hint="eastAsia" w:ascii="宋体" w:hAnsi="宋体" w:eastAsia="宋体" w:cs="宋体"/>
                <w:b/>
                <w:bCs/>
                <w:i w:val="0"/>
                <w:color w:val="000000"/>
                <w:kern w:val="0"/>
                <w:sz w:val="22"/>
                <w:szCs w:val="22"/>
                <w:highlight w:val="none"/>
                <w:u w:val="none"/>
                <w:lang w:val="en-US" w:eastAsia="zh-CN" w:bidi="ar"/>
              </w:rPr>
              <w:t>380</w:t>
            </w:r>
          </w:p>
        </w:tc>
        <w:tc>
          <w:tcPr>
            <w:tcW w:w="1445" w:type="dxa"/>
            <w:vMerge w:val="restart"/>
            <w:tcBorders>
              <w:tl2br w:val="nil"/>
              <w:tr2bl w:val="nil"/>
            </w:tcBorders>
            <w:vAlign w:val="center"/>
          </w:tcPr>
          <w:p>
            <w:pPr>
              <w:keepNext w:val="0"/>
              <w:keepLines w:val="0"/>
              <w:widowControl/>
              <w:suppressLineNumbers w:val="0"/>
              <w:jc w:val="center"/>
              <w:textAlignment w:val="center"/>
              <w:rPr>
                <w:rFonts w:hint="default" w:ascii="宋体" w:hAnsi="宋体" w:eastAsia="宋体" w:cs="Arial"/>
                <w:b/>
                <w:bCs/>
                <w:color w:val="auto"/>
                <w:szCs w:val="21"/>
                <w:highlight w:val="none"/>
                <w:lang w:val="en-US" w:eastAsia="zh-CN"/>
              </w:rPr>
            </w:pPr>
            <w:r>
              <w:rPr>
                <w:rFonts w:hint="eastAsia" w:ascii="宋体" w:hAnsi="宋体" w:eastAsia="宋体" w:cs="宋体"/>
                <w:b/>
                <w:bCs/>
                <w:i w:val="0"/>
                <w:color w:val="000000"/>
                <w:kern w:val="0"/>
                <w:sz w:val="22"/>
                <w:szCs w:val="22"/>
                <w:highlight w:val="none"/>
                <w:u w:val="none"/>
                <w:lang w:val="en-US" w:eastAsia="zh-CN" w:bidi="ar"/>
              </w:rPr>
              <w:t>1140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27" w:type="dxa"/>
            <w:vMerge w:val="continue"/>
            <w:tcBorders>
              <w:tl2br w:val="nil"/>
              <w:tr2bl w:val="nil"/>
            </w:tcBorders>
            <w:vAlign w:val="center"/>
          </w:tcPr>
          <w:p>
            <w:pPr>
              <w:shd w:val="clear"/>
              <w:snapToGrid w:val="0"/>
              <w:jc w:val="center"/>
              <w:rPr>
                <w:rFonts w:hint="eastAsia" w:ascii="宋体" w:hAnsi="宋体" w:cs="Arial"/>
                <w:bCs/>
                <w:color w:val="auto"/>
                <w:szCs w:val="21"/>
                <w:highlight w:val="none"/>
              </w:rPr>
            </w:pPr>
          </w:p>
        </w:tc>
        <w:tc>
          <w:tcPr>
            <w:tcW w:w="1534" w:type="dxa"/>
            <w:tcBorders>
              <w:top w:val="single" w:color="000000" w:sz="4" w:space="0"/>
              <w:tl2br w:val="nil"/>
              <w:tr2bl w:val="nil"/>
            </w:tcBorders>
            <w:vAlign w:val="center"/>
          </w:tcPr>
          <w:p>
            <w:pPr>
              <w:shd w:val="clear"/>
              <w:jc w:val="center"/>
              <w:rPr>
                <w:rFonts w:hint="eastAsia"/>
                <w:color w:val="auto"/>
                <w:szCs w:val="21"/>
                <w:highlight w:val="none"/>
              </w:rPr>
            </w:pPr>
            <w:r>
              <w:rPr>
                <w:rFonts w:hint="eastAsia"/>
                <w:color w:val="auto"/>
                <w:szCs w:val="21"/>
                <w:highlight w:val="none"/>
                <w:lang w:val="en-US" w:eastAsia="zh-CN"/>
              </w:rPr>
              <w:t>1</w:t>
            </w:r>
            <w:r>
              <w:rPr>
                <w:rFonts w:hint="eastAsia"/>
                <w:color w:val="auto"/>
                <w:szCs w:val="21"/>
                <w:highlight w:val="none"/>
              </w:rPr>
              <w:t>条河道</w:t>
            </w:r>
            <w:r>
              <w:rPr>
                <w:rFonts w:hint="eastAsia"/>
                <w:color w:val="auto"/>
                <w:szCs w:val="21"/>
                <w:highlight w:val="none"/>
                <w:lang w:eastAsia="zh-CN"/>
              </w:rPr>
              <w:t>（</w:t>
            </w:r>
            <w:r>
              <w:rPr>
                <w:rFonts w:hint="eastAsia"/>
                <w:color w:val="auto"/>
                <w:szCs w:val="21"/>
                <w:highlight w:val="none"/>
                <w:lang w:val="en-US" w:eastAsia="zh-CN"/>
              </w:rPr>
              <w:t>段</w:t>
            </w:r>
            <w:r>
              <w:rPr>
                <w:rFonts w:hint="eastAsia"/>
                <w:color w:val="auto"/>
                <w:szCs w:val="21"/>
                <w:highlight w:val="none"/>
                <w:lang w:eastAsia="zh-CN"/>
              </w:rPr>
              <w:t>）</w:t>
            </w:r>
            <w:r>
              <w:rPr>
                <w:rFonts w:hint="eastAsia"/>
                <w:color w:val="auto"/>
                <w:szCs w:val="21"/>
                <w:highlight w:val="none"/>
              </w:rPr>
              <w:t>应急养护</w:t>
            </w:r>
          </w:p>
        </w:tc>
        <w:tc>
          <w:tcPr>
            <w:tcW w:w="3080" w:type="dxa"/>
            <w:tcBorders>
              <w:top w:val="single" w:color="000000" w:sz="4" w:space="0"/>
              <w:tl2br w:val="nil"/>
              <w:tr2bl w:val="nil"/>
            </w:tcBorders>
            <w:vAlign w:val="center"/>
          </w:tcPr>
          <w:p>
            <w:pPr>
              <w:shd w:val="clear"/>
              <w:snapToGrid w:val="0"/>
              <w:jc w:val="center"/>
              <w:rPr>
                <w:color w:val="auto"/>
                <w:szCs w:val="21"/>
                <w:highlight w:val="none"/>
              </w:rPr>
            </w:pPr>
            <w:r>
              <w:rPr>
                <w:rFonts w:hint="eastAsia"/>
                <w:color w:val="auto"/>
                <w:szCs w:val="21"/>
                <w:highlight w:val="none"/>
              </w:rPr>
              <w:t>应急</w:t>
            </w:r>
            <w:r>
              <w:rPr>
                <w:color w:val="auto"/>
                <w:szCs w:val="21"/>
                <w:highlight w:val="none"/>
              </w:rPr>
              <w:t>养护水域长度共计</w:t>
            </w:r>
            <w:r>
              <w:rPr>
                <w:rFonts w:hint="eastAsia"/>
                <w:color w:val="auto"/>
                <w:szCs w:val="21"/>
                <w:highlight w:val="none"/>
              </w:rPr>
              <w:t>1957.00</w:t>
            </w:r>
            <w:r>
              <w:rPr>
                <w:color w:val="auto"/>
                <w:szCs w:val="21"/>
                <w:highlight w:val="none"/>
              </w:rPr>
              <w:t>m，养护水域面积共计</w:t>
            </w:r>
            <w:r>
              <w:rPr>
                <w:rFonts w:hint="eastAsia"/>
                <w:bCs/>
                <w:color w:val="auto"/>
                <w:szCs w:val="21"/>
                <w:highlight w:val="none"/>
              </w:rPr>
              <w:t>70741.00</w:t>
            </w:r>
            <w:r>
              <w:rPr>
                <w:color w:val="auto"/>
                <w:szCs w:val="21"/>
                <w:highlight w:val="none"/>
              </w:rPr>
              <w:t>m</w:t>
            </w:r>
            <w:r>
              <w:rPr>
                <w:color w:val="auto"/>
                <w:szCs w:val="21"/>
                <w:highlight w:val="none"/>
                <w:vertAlign w:val="superscript"/>
              </w:rPr>
              <w:t>2</w:t>
            </w:r>
            <w:r>
              <w:rPr>
                <w:color w:val="auto"/>
                <w:szCs w:val="21"/>
                <w:highlight w:val="none"/>
              </w:rPr>
              <w:t>，</w:t>
            </w:r>
            <w:r>
              <w:rPr>
                <w:bCs/>
                <w:color w:val="auto"/>
                <w:szCs w:val="21"/>
                <w:highlight w:val="none"/>
              </w:rPr>
              <w:t>详见招标需求</w:t>
            </w:r>
          </w:p>
        </w:tc>
        <w:tc>
          <w:tcPr>
            <w:tcW w:w="1503" w:type="dxa"/>
            <w:vMerge w:val="continue"/>
            <w:tcBorders>
              <w:tl2br w:val="nil"/>
              <w:tr2bl w:val="nil"/>
            </w:tcBorders>
            <w:vAlign w:val="center"/>
          </w:tcPr>
          <w:p>
            <w:pPr>
              <w:shd w:val="clear"/>
              <w:snapToGrid w:val="0"/>
              <w:jc w:val="center"/>
              <w:rPr>
                <w:rFonts w:ascii="宋体" w:hAnsi="宋体" w:cs="Arial"/>
                <w:b/>
                <w:color w:val="auto"/>
                <w:szCs w:val="21"/>
                <w:highlight w:val="none"/>
              </w:rPr>
            </w:pPr>
          </w:p>
        </w:tc>
        <w:tc>
          <w:tcPr>
            <w:tcW w:w="1389" w:type="dxa"/>
            <w:vMerge w:val="continue"/>
            <w:tcBorders>
              <w:tl2br w:val="nil"/>
              <w:tr2bl w:val="nil"/>
            </w:tcBorders>
            <w:vAlign w:val="center"/>
          </w:tcPr>
          <w:p>
            <w:pPr>
              <w:shd w:val="clear"/>
              <w:snapToGrid w:val="0"/>
              <w:jc w:val="center"/>
              <w:rPr>
                <w:rFonts w:ascii="宋体" w:hAnsi="宋体" w:cs="Arial"/>
                <w:b/>
                <w:bCs/>
                <w:color w:val="auto"/>
                <w:szCs w:val="21"/>
                <w:highlight w:val="none"/>
              </w:rPr>
            </w:pPr>
          </w:p>
        </w:tc>
        <w:tc>
          <w:tcPr>
            <w:tcW w:w="1445" w:type="dxa"/>
            <w:vMerge w:val="continue"/>
            <w:tcBorders>
              <w:tl2br w:val="nil"/>
              <w:tr2bl w:val="nil"/>
            </w:tcBorders>
            <w:vAlign w:val="center"/>
          </w:tcPr>
          <w:p>
            <w:pPr>
              <w:shd w:val="clear"/>
              <w:snapToGrid w:val="0"/>
              <w:jc w:val="center"/>
              <w:rPr>
                <w:rFonts w:ascii="宋体" w:hAnsi="宋体" w:cs="Arial"/>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427" w:type="dxa"/>
            <w:vMerge w:val="restart"/>
            <w:tcBorders>
              <w:tl2br w:val="nil"/>
              <w:tr2bl w:val="nil"/>
            </w:tcBorders>
            <w:vAlign w:val="center"/>
          </w:tcPr>
          <w:p>
            <w:pPr>
              <w:shd w:val="clear"/>
              <w:snapToGrid w:val="0"/>
              <w:jc w:val="center"/>
              <w:rPr>
                <w:rFonts w:ascii="宋体" w:hAnsi="宋体" w:cs="Arial"/>
                <w:bCs/>
                <w:color w:val="auto"/>
                <w:szCs w:val="21"/>
                <w:highlight w:val="none"/>
              </w:rPr>
            </w:pPr>
            <w:r>
              <w:rPr>
                <w:rFonts w:hint="eastAsia" w:ascii="宋体" w:hAnsi="宋体" w:cs="Arial"/>
                <w:bCs/>
                <w:color w:val="auto"/>
                <w:szCs w:val="21"/>
                <w:highlight w:val="none"/>
              </w:rPr>
              <w:t>九</w:t>
            </w:r>
          </w:p>
        </w:tc>
        <w:tc>
          <w:tcPr>
            <w:tcW w:w="1534" w:type="dxa"/>
            <w:tcBorders>
              <w:tl2br w:val="nil"/>
              <w:tr2bl w:val="nil"/>
            </w:tcBorders>
            <w:vAlign w:val="center"/>
          </w:tcPr>
          <w:p>
            <w:pPr>
              <w:shd w:val="clear"/>
              <w:jc w:val="center"/>
              <w:rPr>
                <w:rFonts w:ascii="宋体" w:hAnsi="宋体" w:cs="Arial"/>
                <w:b/>
                <w:color w:val="auto"/>
                <w:szCs w:val="21"/>
                <w:highlight w:val="none"/>
              </w:rPr>
            </w:pPr>
            <w:r>
              <w:rPr>
                <w:rFonts w:hint="eastAsia"/>
                <w:color w:val="auto"/>
                <w:szCs w:val="21"/>
                <w:highlight w:val="none"/>
                <w:lang w:val="en-US" w:eastAsia="zh-CN"/>
              </w:rPr>
              <w:t>7</w:t>
            </w:r>
            <w:r>
              <w:rPr>
                <w:rFonts w:hint="eastAsia"/>
                <w:color w:val="auto"/>
                <w:szCs w:val="21"/>
                <w:highlight w:val="none"/>
              </w:rPr>
              <w:t>条河道</w:t>
            </w:r>
            <w:r>
              <w:rPr>
                <w:rFonts w:hint="eastAsia"/>
                <w:color w:val="auto"/>
                <w:szCs w:val="21"/>
                <w:highlight w:val="none"/>
                <w:lang w:eastAsia="zh-CN"/>
              </w:rPr>
              <w:t>（</w:t>
            </w:r>
            <w:r>
              <w:rPr>
                <w:rFonts w:hint="eastAsia"/>
                <w:color w:val="auto"/>
                <w:szCs w:val="21"/>
                <w:highlight w:val="none"/>
                <w:lang w:val="en-US" w:eastAsia="zh-CN"/>
              </w:rPr>
              <w:t>段</w:t>
            </w:r>
            <w:r>
              <w:rPr>
                <w:rFonts w:hint="eastAsia"/>
                <w:color w:val="auto"/>
                <w:szCs w:val="21"/>
                <w:highlight w:val="none"/>
                <w:lang w:eastAsia="zh-CN"/>
              </w:rPr>
              <w:t>）</w:t>
            </w:r>
            <w:r>
              <w:rPr>
                <w:rFonts w:hint="eastAsia"/>
                <w:color w:val="auto"/>
                <w:szCs w:val="21"/>
                <w:highlight w:val="none"/>
              </w:rPr>
              <w:t>日常养护</w:t>
            </w:r>
          </w:p>
        </w:tc>
        <w:tc>
          <w:tcPr>
            <w:tcW w:w="3080" w:type="dxa"/>
            <w:tcBorders>
              <w:tl2br w:val="nil"/>
              <w:tr2bl w:val="nil"/>
            </w:tcBorders>
            <w:vAlign w:val="center"/>
          </w:tcPr>
          <w:p>
            <w:pPr>
              <w:shd w:val="clear"/>
              <w:snapToGrid w:val="0"/>
              <w:jc w:val="center"/>
              <w:rPr>
                <w:rFonts w:ascii="宋体" w:hAnsi="宋体" w:cs="Arial"/>
                <w:b/>
                <w:color w:val="auto"/>
                <w:szCs w:val="21"/>
                <w:highlight w:val="none"/>
              </w:rPr>
            </w:pPr>
            <w:r>
              <w:rPr>
                <w:rFonts w:hint="eastAsia"/>
                <w:color w:val="auto"/>
                <w:szCs w:val="21"/>
                <w:highlight w:val="none"/>
                <w:lang w:val="en-US" w:eastAsia="zh-CN"/>
              </w:rPr>
              <w:t>日常</w:t>
            </w:r>
            <w:r>
              <w:rPr>
                <w:color w:val="auto"/>
                <w:szCs w:val="21"/>
                <w:highlight w:val="none"/>
              </w:rPr>
              <w:t>养护水域长度共计</w:t>
            </w:r>
            <w:r>
              <w:rPr>
                <w:rFonts w:hint="eastAsia"/>
                <w:color w:val="auto"/>
                <w:szCs w:val="21"/>
                <w:highlight w:val="none"/>
              </w:rPr>
              <w:t>8011.00</w:t>
            </w:r>
            <w:r>
              <w:rPr>
                <w:color w:val="auto"/>
                <w:szCs w:val="21"/>
                <w:highlight w:val="none"/>
              </w:rPr>
              <w:t>m，养护水域面积共计</w:t>
            </w:r>
            <w:r>
              <w:rPr>
                <w:rFonts w:hint="eastAsia"/>
                <w:bCs/>
                <w:color w:val="auto"/>
                <w:szCs w:val="21"/>
                <w:highlight w:val="none"/>
              </w:rPr>
              <w:t>98040.00</w:t>
            </w:r>
            <w:r>
              <w:rPr>
                <w:color w:val="auto"/>
                <w:szCs w:val="21"/>
                <w:highlight w:val="none"/>
              </w:rPr>
              <w:t>m</w:t>
            </w:r>
            <w:r>
              <w:rPr>
                <w:color w:val="auto"/>
                <w:szCs w:val="21"/>
                <w:highlight w:val="none"/>
                <w:vertAlign w:val="superscript"/>
              </w:rPr>
              <w:t>2</w:t>
            </w:r>
            <w:r>
              <w:rPr>
                <w:color w:val="auto"/>
                <w:szCs w:val="21"/>
                <w:highlight w:val="none"/>
              </w:rPr>
              <w:t>，</w:t>
            </w:r>
            <w:r>
              <w:rPr>
                <w:bCs/>
                <w:color w:val="auto"/>
                <w:szCs w:val="21"/>
                <w:highlight w:val="none"/>
              </w:rPr>
              <w:t>详见招标需求</w:t>
            </w:r>
          </w:p>
        </w:tc>
        <w:tc>
          <w:tcPr>
            <w:tcW w:w="1503" w:type="dxa"/>
            <w:vMerge w:val="continue"/>
            <w:tcBorders>
              <w:tl2br w:val="nil"/>
              <w:tr2bl w:val="nil"/>
            </w:tcBorders>
            <w:vAlign w:val="center"/>
          </w:tcPr>
          <w:p>
            <w:pPr>
              <w:shd w:val="clear"/>
              <w:snapToGrid w:val="0"/>
              <w:jc w:val="center"/>
              <w:rPr>
                <w:rFonts w:hint="eastAsia" w:ascii="宋体" w:hAnsi="宋体" w:cs="Arial"/>
                <w:b/>
                <w:color w:val="auto"/>
                <w:szCs w:val="21"/>
                <w:highlight w:val="none"/>
                <w:lang w:val="en-US" w:eastAsia="zh-CN"/>
              </w:rPr>
            </w:pPr>
          </w:p>
        </w:tc>
        <w:tc>
          <w:tcPr>
            <w:tcW w:w="1389" w:type="dxa"/>
            <w:vMerge w:val="restart"/>
            <w:tcBorders>
              <w:tl2br w:val="nil"/>
              <w:tr2bl w:val="nil"/>
            </w:tcBorders>
            <w:vAlign w:val="center"/>
          </w:tcPr>
          <w:p>
            <w:pPr>
              <w:keepNext w:val="0"/>
              <w:keepLines w:val="0"/>
              <w:widowControl/>
              <w:suppressLineNumbers w:val="0"/>
              <w:jc w:val="center"/>
              <w:textAlignment w:val="center"/>
              <w:rPr>
                <w:rFonts w:hint="default" w:ascii="宋体" w:hAnsi="宋体" w:eastAsia="宋体" w:cs="Arial"/>
                <w:b/>
                <w:bCs/>
                <w:color w:val="auto"/>
                <w:szCs w:val="21"/>
                <w:highlight w:val="none"/>
                <w:lang w:val="en-US" w:eastAsia="zh-CN"/>
              </w:rPr>
            </w:pPr>
            <w:r>
              <w:rPr>
                <w:rFonts w:hint="eastAsia" w:ascii="宋体" w:hAnsi="宋体" w:eastAsia="宋体" w:cs="宋体"/>
                <w:b/>
                <w:bCs/>
                <w:i w:val="0"/>
                <w:color w:val="000000"/>
                <w:kern w:val="0"/>
                <w:sz w:val="22"/>
                <w:szCs w:val="22"/>
                <w:highlight w:val="none"/>
                <w:u w:val="none"/>
                <w:lang w:val="en-US" w:eastAsia="zh-CN" w:bidi="ar"/>
              </w:rPr>
              <w:t>270</w:t>
            </w:r>
          </w:p>
        </w:tc>
        <w:tc>
          <w:tcPr>
            <w:tcW w:w="1445" w:type="dxa"/>
            <w:vMerge w:val="restart"/>
            <w:tcBorders>
              <w:tl2br w:val="nil"/>
              <w:tr2bl w:val="nil"/>
            </w:tcBorders>
            <w:vAlign w:val="center"/>
          </w:tcPr>
          <w:p>
            <w:pPr>
              <w:keepNext w:val="0"/>
              <w:keepLines w:val="0"/>
              <w:widowControl/>
              <w:suppressLineNumbers w:val="0"/>
              <w:jc w:val="center"/>
              <w:textAlignment w:val="center"/>
              <w:rPr>
                <w:rFonts w:hint="default" w:ascii="宋体" w:hAnsi="宋体" w:eastAsia="宋体" w:cs="Arial"/>
                <w:b/>
                <w:bCs/>
                <w:color w:val="auto"/>
                <w:szCs w:val="21"/>
                <w:highlight w:val="none"/>
                <w:lang w:val="en-US" w:eastAsia="zh-CN"/>
              </w:rPr>
            </w:pPr>
            <w:r>
              <w:rPr>
                <w:rFonts w:hint="eastAsia" w:ascii="宋体" w:hAnsi="宋体" w:eastAsia="宋体" w:cs="宋体"/>
                <w:b/>
                <w:bCs/>
                <w:i w:val="0"/>
                <w:color w:val="000000"/>
                <w:kern w:val="0"/>
                <w:sz w:val="22"/>
                <w:szCs w:val="22"/>
                <w:highlight w:val="none"/>
                <w:u w:val="none"/>
                <w:lang w:val="en-US" w:eastAsia="zh-CN" w:bidi="ar"/>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27" w:type="dxa"/>
            <w:vMerge w:val="continue"/>
            <w:tcBorders>
              <w:tl2br w:val="nil"/>
              <w:tr2bl w:val="nil"/>
            </w:tcBorders>
            <w:vAlign w:val="center"/>
          </w:tcPr>
          <w:p>
            <w:pPr>
              <w:shd w:val="clear"/>
              <w:snapToGrid w:val="0"/>
              <w:jc w:val="center"/>
              <w:rPr>
                <w:rFonts w:hint="eastAsia" w:ascii="宋体" w:hAnsi="宋体" w:cs="Arial"/>
                <w:bCs/>
                <w:color w:val="auto"/>
                <w:szCs w:val="21"/>
                <w:highlight w:val="none"/>
              </w:rPr>
            </w:pPr>
          </w:p>
        </w:tc>
        <w:tc>
          <w:tcPr>
            <w:tcW w:w="1534" w:type="dxa"/>
            <w:tcBorders>
              <w:tl2br w:val="nil"/>
              <w:tr2bl w:val="nil"/>
            </w:tcBorders>
            <w:vAlign w:val="center"/>
          </w:tcPr>
          <w:p>
            <w:pPr>
              <w:shd w:val="clear"/>
              <w:snapToGrid w:val="0"/>
              <w:jc w:val="center"/>
              <w:rPr>
                <w:rFonts w:hint="eastAsia"/>
                <w:color w:val="auto"/>
                <w:szCs w:val="21"/>
                <w:highlight w:val="none"/>
              </w:rPr>
            </w:pPr>
            <w:r>
              <w:rPr>
                <w:rFonts w:hint="eastAsia"/>
                <w:color w:val="auto"/>
                <w:szCs w:val="21"/>
                <w:highlight w:val="none"/>
                <w:lang w:val="en-US" w:eastAsia="zh-CN"/>
              </w:rPr>
              <w:t>1</w:t>
            </w:r>
            <w:r>
              <w:rPr>
                <w:rFonts w:hint="eastAsia"/>
                <w:color w:val="auto"/>
                <w:szCs w:val="21"/>
                <w:highlight w:val="none"/>
              </w:rPr>
              <w:t>条河道</w:t>
            </w:r>
            <w:r>
              <w:rPr>
                <w:rFonts w:hint="eastAsia"/>
                <w:color w:val="auto"/>
                <w:szCs w:val="21"/>
                <w:highlight w:val="none"/>
                <w:lang w:eastAsia="zh-CN"/>
              </w:rPr>
              <w:t>（</w:t>
            </w:r>
            <w:r>
              <w:rPr>
                <w:rFonts w:hint="eastAsia"/>
                <w:color w:val="auto"/>
                <w:szCs w:val="21"/>
                <w:highlight w:val="none"/>
                <w:lang w:val="en-US" w:eastAsia="zh-CN"/>
              </w:rPr>
              <w:t>段</w:t>
            </w:r>
            <w:r>
              <w:rPr>
                <w:rFonts w:hint="eastAsia"/>
                <w:color w:val="auto"/>
                <w:szCs w:val="21"/>
                <w:highlight w:val="none"/>
                <w:lang w:eastAsia="zh-CN"/>
              </w:rPr>
              <w:t>）</w:t>
            </w:r>
            <w:r>
              <w:rPr>
                <w:rFonts w:hint="eastAsia"/>
                <w:color w:val="auto"/>
                <w:szCs w:val="21"/>
                <w:highlight w:val="none"/>
              </w:rPr>
              <w:t>应急养护</w:t>
            </w:r>
          </w:p>
        </w:tc>
        <w:tc>
          <w:tcPr>
            <w:tcW w:w="3080" w:type="dxa"/>
            <w:tcBorders>
              <w:top w:val="single" w:color="000000" w:sz="4" w:space="0"/>
              <w:bottom w:val="single" w:color="000000" w:sz="4" w:space="0"/>
              <w:tl2br w:val="nil"/>
              <w:tr2bl w:val="nil"/>
            </w:tcBorders>
            <w:vAlign w:val="center"/>
          </w:tcPr>
          <w:p>
            <w:pPr>
              <w:shd w:val="clear"/>
              <w:snapToGrid w:val="0"/>
              <w:jc w:val="center"/>
              <w:rPr>
                <w:color w:val="auto"/>
                <w:szCs w:val="21"/>
                <w:highlight w:val="none"/>
              </w:rPr>
            </w:pPr>
            <w:r>
              <w:rPr>
                <w:rFonts w:hint="eastAsia"/>
                <w:color w:val="auto"/>
                <w:szCs w:val="21"/>
                <w:highlight w:val="none"/>
              </w:rPr>
              <w:t>应急</w:t>
            </w:r>
            <w:r>
              <w:rPr>
                <w:color w:val="auto"/>
                <w:szCs w:val="21"/>
                <w:highlight w:val="none"/>
              </w:rPr>
              <w:t>养护水域长度共计</w:t>
            </w:r>
            <w:r>
              <w:rPr>
                <w:rFonts w:hint="eastAsia"/>
                <w:color w:val="auto"/>
                <w:szCs w:val="21"/>
                <w:highlight w:val="none"/>
              </w:rPr>
              <w:t>1424.00</w:t>
            </w:r>
            <w:r>
              <w:rPr>
                <w:color w:val="auto"/>
                <w:szCs w:val="21"/>
                <w:highlight w:val="none"/>
              </w:rPr>
              <w:t>m，养护水域面积共计</w:t>
            </w:r>
            <w:r>
              <w:rPr>
                <w:rFonts w:hint="eastAsia"/>
                <w:bCs/>
                <w:color w:val="auto"/>
                <w:szCs w:val="21"/>
                <w:highlight w:val="none"/>
              </w:rPr>
              <w:t>45352.00</w:t>
            </w:r>
            <w:r>
              <w:rPr>
                <w:color w:val="auto"/>
                <w:szCs w:val="21"/>
                <w:highlight w:val="none"/>
              </w:rPr>
              <w:t>m</w:t>
            </w:r>
            <w:r>
              <w:rPr>
                <w:color w:val="auto"/>
                <w:szCs w:val="21"/>
                <w:highlight w:val="none"/>
                <w:vertAlign w:val="superscript"/>
              </w:rPr>
              <w:t>2</w:t>
            </w:r>
            <w:r>
              <w:rPr>
                <w:color w:val="auto"/>
                <w:szCs w:val="21"/>
                <w:highlight w:val="none"/>
              </w:rPr>
              <w:t>，</w:t>
            </w:r>
            <w:r>
              <w:rPr>
                <w:bCs/>
                <w:color w:val="auto"/>
                <w:szCs w:val="21"/>
                <w:highlight w:val="none"/>
              </w:rPr>
              <w:t>详见招标需求</w:t>
            </w:r>
          </w:p>
        </w:tc>
        <w:tc>
          <w:tcPr>
            <w:tcW w:w="1503" w:type="dxa"/>
            <w:vMerge w:val="continue"/>
            <w:tcBorders>
              <w:tl2br w:val="nil"/>
              <w:tr2bl w:val="nil"/>
            </w:tcBorders>
            <w:vAlign w:val="center"/>
          </w:tcPr>
          <w:p>
            <w:pPr>
              <w:shd w:val="clear"/>
              <w:snapToGrid w:val="0"/>
              <w:jc w:val="center"/>
              <w:rPr>
                <w:rFonts w:ascii="宋体" w:hAnsi="宋体" w:cs="Arial"/>
                <w:b/>
                <w:color w:val="auto"/>
                <w:szCs w:val="21"/>
                <w:highlight w:val="none"/>
              </w:rPr>
            </w:pPr>
          </w:p>
        </w:tc>
        <w:tc>
          <w:tcPr>
            <w:tcW w:w="1389" w:type="dxa"/>
            <w:vMerge w:val="continue"/>
            <w:tcBorders>
              <w:bottom w:val="single" w:color="000000" w:sz="4" w:space="0"/>
              <w:tl2br w:val="nil"/>
              <w:tr2bl w:val="nil"/>
            </w:tcBorders>
            <w:vAlign w:val="center"/>
          </w:tcPr>
          <w:p>
            <w:pPr>
              <w:shd w:val="clear"/>
              <w:snapToGrid w:val="0"/>
              <w:jc w:val="center"/>
              <w:rPr>
                <w:rFonts w:ascii="宋体" w:hAnsi="宋体" w:cs="Arial"/>
                <w:b/>
                <w:bCs/>
                <w:color w:val="auto"/>
                <w:szCs w:val="21"/>
                <w:highlight w:val="none"/>
              </w:rPr>
            </w:pPr>
          </w:p>
        </w:tc>
        <w:tc>
          <w:tcPr>
            <w:tcW w:w="1445" w:type="dxa"/>
            <w:vMerge w:val="continue"/>
            <w:tcBorders>
              <w:bottom w:val="single" w:color="000000" w:sz="4" w:space="0"/>
              <w:tl2br w:val="nil"/>
              <w:tr2bl w:val="nil"/>
            </w:tcBorders>
            <w:vAlign w:val="center"/>
          </w:tcPr>
          <w:p>
            <w:pPr>
              <w:shd w:val="clear"/>
              <w:snapToGrid w:val="0"/>
              <w:jc w:val="center"/>
              <w:rPr>
                <w:rFonts w:ascii="宋体" w:hAnsi="宋体" w:cs="Arial"/>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27" w:type="dxa"/>
            <w:vMerge w:val="restart"/>
            <w:tcBorders>
              <w:tl2br w:val="nil"/>
              <w:tr2bl w:val="nil"/>
            </w:tcBorders>
            <w:vAlign w:val="center"/>
          </w:tcPr>
          <w:p>
            <w:pPr>
              <w:shd w:val="clear"/>
              <w:snapToGrid w:val="0"/>
              <w:jc w:val="center"/>
              <w:rPr>
                <w:rFonts w:hint="eastAsia" w:ascii="宋体" w:hAnsi="宋体" w:eastAsia="宋体" w:cs="Arial"/>
                <w:bCs/>
                <w:color w:val="auto"/>
                <w:kern w:val="2"/>
                <w:sz w:val="21"/>
                <w:szCs w:val="21"/>
                <w:highlight w:val="none"/>
                <w:lang w:val="en-US" w:eastAsia="zh-CN" w:bidi="ar-SA"/>
              </w:rPr>
            </w:pPr>
            <w:r>
              <w:rPr>
                <w:rFonts w:hint="eastAsia" w:ascii="宋体" w:hAnsi="宋体" w:cs="Arial"/>
                <w:bCs/>
                <w:color w:val="auto"/>
                <w:szCs w:val="21"/>
                <w:highlight w:val="none"/>
                <w:lang w:val="en-US" w:eastAsia="zh-CN"/>
              </w:rPr>
              <w:t>十</w:t>
            </w:r>
          </w:p>
        </w:tc>
        <w:tc>
          <w:tcPr>
            <w:tcW w:w="1534" w:type="dxa"/>
            <w:tcBorders>
              <w:tl2br w:val="nil"/>
              <w:tr2bl w:val="nil"/>
            </w:tcBorders>
            <w:vAlign w:val="center"/>
          </w:tcPr>
          <w:p>
            <w:pPr>
              <w:shd w:val="clear"/>
              <w:jc w:val="center"/>
              <w:rPr>
                <w:rFonts w:hint="eastAsia" w:ascii="宋体" w:hAnsi="宋体" w:eastAsia="宋体" w:cs="Arial"/>
                <w:b/>
                <w:color w:val="auto"/>
                <w:kern w:val="2"/>
                <w:sz w:val="21"/>
                <w:szCs w:val="21"/>
                <w:highlight w:val="none"/>
                <w:lang w:val="en-US" w:eastAsia="zh-CN" w:bidi="ar-SA"/>
              </w:rPr>
            </w:pPr>
            <w:r>
              <w:rPr>
                <w:rFonts w:hint="eastAsia"/>
                <w:color w:val="auto"/>
                <w:szCs w:val="21"/>
                <w:highlight w:val="none"/>
                <w:lang w:val="en-US" w:eastAsia="zh-CN"/>
              </w:rPr>
              <w:t>9</w:t>
            </w:r>
            <w:r>
              <w:rPr>
                <w:rFonts w:hint="eastAsia"/>
                <w:color w:val="auto"/>
                <w:szCs w:val="21"/>
                <w:highlight w:val="none"/>
              </w:rPr>
              <w:t>条河道</w:t>
            </w:r>
            <w:r>
              <w:rPr>
                <w:rFonts w:hint="eastAsia"/>
                <w:color w:val="auto"/>
                <w:szCs w:val="21"/>
                <w:highlight w:val="none"/>
                <w:lang w:eastAsia="zh-CN"/>
              </w:rPr>
              <w:t>（</w:t>
            </w:r>
            <w:r>
              <w:rPr>
                <w:rFonts w:hint="eastAsia"/>
                <w:color w:val="auto"/>
                <w:szCs w:val="21"/>
                <w:highlight w:val="none"/>
                <w:lang w:val="en-US" w:eastAsia="zh-CN"/>
              </w:rPr>
              <w:t>段</w:t>
            </w:r>
            <w:r>
              <w:rPr>
                <w:rFonts w:hint="eastAsia"/>
                <w:color w:val="auto"/>
                <w:szCs w:val="21"/>
                <w:highlight w:val="none"/>
                <w:lang w:eastAsia="zh-CN"/>
              </w:rPr>
              <w:t>）</w:t>
            </w:r>
            <w:r>
              <w:rPr>
                <w:rFonts w:hint="eastAsia"/>
                <w:color w:val="auto"/>
                <w:szCs w:val="21"/>
                <w:highlight w:val="none"/>
              </w:rPr>
              <w:t>日常养护</w:t>
            </w:r>
          </w:p>
        </w:tc>
        <w:tc>
          <w:tcPr>
            <w:tcW w:w="3080" w:type="dxa"/>
            <w:tcBorders>
              <w:top w:val="single" w:color="000000" w:sz="4" w:space="0"/>
              <w:bottom w:val="single" w:color="000000" w:sz="4" w:space="0"/>
              <w:tl2br w:val="nil"/>
              <w:tr2bl w:val="nil"/>
            </w:tcBorders>
            <w:vAlign w:val="center"/>
          </w:tcPr>
          <w:p>
            <w:pPr>
              <w:shd w:val="clear"/>
              <w:snapToGrid w:val="0"/>
              <w:jc w:val="center"/>
              <w:rPr>
                <w:rFonts w:ascii="宋体" w:hAnsi="宋体" w:eastAsia="宋体" w:cs="Arial"/>
                <w:b/>
                <w:color w:val="auto"/>
                <w:kern w:val="2"/>
                <w:sz w:val="21"/>
                <w:szCs w:val="21"/>
                <w:highlight w:val="none"/>
                <w:lang w:val="en-US" w:eastAsia="zh-CN" w:bidi="ar-SA"/>
              </w:rPr>
            </w:pPr>
            <w:r>
              <w:rPr>
                <w:rFonts w:hint="eastAsia"/>
                <w:color w:val="auto"/>
                <w:szCs w:val="21"/>
                <w:highlight w:val="none"/>
                <w:lang w:val="en-US" w:eastAsia="zh-CN"/>
              </w:rPr>
              <w:t>日常</w:t>
            </w:r>
            <w:r>
              <w:rPr>
                <w:color w:val="auto"/>
                <w:szCs w:val="21"/>
                <w:highlight w:val="none"/>
              </w:rPr>
              <w:t>养护水域长度共计</w:t>
            </w:r>
            <w:r>
              <w:rPr>
                <w:rFonts w:hint="eastAsia"/>
                <w:color w:val="auto"/>
                <w:szCs w:val="21"/>
                <w:highlight w:val="none"/>
              </w:rPr>
              <w:t>6940.00</w:t>
            </w:r>
            <w:r>
              <w:rPr>
                <w:color w:val="auto"/>
                <w:szCs w:val="21"/>
                <w:highlight w:val="none"/>
              </w:rPr>
              <w:t>m，养护水域面积共计</w:t>
            </w:r>
            <w:r>
              <w:rPr>
                <w:rFonts w:hint="eastAsia"/>
                <w:bCs/>
                <w:color w:val="auto"/>
                <w:szCs w:val="21"/>
                <w:highlight w:val="none"/>
              </w:rPr>
              <w:t>86207.00</w:t>
            </w:r>
            <w:r>
              <w:rPr>
                <w:color w:val="auto"/>
                <w:szCs w:val="21"/>
                <w:highlight w:val="none"/>
              </w:rPr>
              <w:t>m</w:t>
            </w:r>
            <w:r>
              <w:rPr>
                <w:color w:val="auto"/>
                <w:szCs w:val="21"/>
                <w:highlight w:val="none"/>
                <w:vertAlign w:val="superscript"/>
              </w:rPr>
              <w:t>2</w:t>
            </w:r>
            <w:r>
              <w:rPr>
                <w:color w:val="auto"/>
                <w:szCs w:val="21"/>
                <w:highlight w:val="none"/>
              </w:rPr>
              <w:t>，</w:t>
            </w:r>
            <w:r>
              <w:rPr>
                <w:bCs/>
                <w:color w:val="auto"/>
                <w:szCs w:val="21"/>
                <w:highlight w:val="none"/>
              </w:rPr>
              <w:t>详见招标需求</w:t>
            </w:r>
          </w:p>
        </w:tc>
        <w:tc>
          <w:tcPr>
            <w:tcW w:w="1503" w:type="dxa"/>
            <w:vMerge w:val="continue"/>
            <w:tcBorders>
              <w:tl2br w:val="nil"/>
              <w:tr2bl w:val="nil"/>
            </w:tcBorders>
            <w:vAlign w:val="center"/>
          </w:tcPr>
          <w:p>
            <w:pPr>
              <w:shd w:val="clear"/>
              <w:snapToGrid w:val="0"/>
              <w:jc w:val="center"/>
              <w:rPr>
                <w:rFonts w:hint="eastAsia" w:ascii="宋体" w:hAnsi="宋体" w:cs="Arial"/>
                <w:b/>
                <w:color w:val="auto"/>
                <w:kern w:val="2"/>
                <w:sz w:val="21"/>
                <w:szCs w:val="21"/>
                <w:highlight w:val="none"/>
                <w:lang w:val="en-US" w:eastAsia="zh-CN" w:bidi="ar-SA"/>
              </w:rPr>
            </w:pPr>
          </w:p>
        </w:tc>
        <w:tc>
          <w:tcPr>
            <w:tcW w:w="1389" w:type="dxa"/>
            <w:vMerge w:val="restart"/>
            <w:tcBorders>
              <w:top w:val="single" w:color="000000" w:sz="4" w:space="0"/>
              <w:tl2br w:val="nil"/>
              <w:tr2bl w:val="nil"/>
            </w:tcBorders>
            <w:vAlign w:val="center"/>
          </w:tcPr>
          <w:p>
            <w:pPr>
              <w:keepNext w:val="0"/>
              <w:keepLines w:val="0"/>
              <w:widowControl/>
              <w:suppressLineNumbers w:val="0"/>
              <w:jc w:val="center"/>
              <w:textAlignment w:val="center"/>
              <w:rPr>
                <w:rFonts w:hint="default" w:ascii="宋体" w:hAnsi="宋体" w:eastAsia="宋体" w:cs="Arial"/>
                <w:b/>
                <w:bCs/>
                <w:color w:val="auto"/>
                <w:kern w:val="2"/>
                <w:sz w:val="21"/>
                <w:szCs w:val="21"/>
                <w:highlight w:val="none"/>
                <w:lang w:val="en-US" w:eastAsia="zh-CN" w:bidi="ar-SA"/>
              </w:rPr>
            </w:pPr>
            <w:r>
              <w:rPr>
                <w:rFonts w:hint="eastAsia" w:ascii="宋体" w:hAnsi="宋体" w:eastAsia="宋体" w:cs="宋体"/>
                <w:b/>
                <w:bCs/>
                <w:i w:val="0"/>
                <w:color w:val="000000"/>
                <w:kern w:val="0"/>
                <w:sz w:val="22"/>
                <w:szCs w:val="22"/>
                <w:highlight w:val="none"/>
                <w:u w:val="none"/>
                <w:lang w:val="en-US" w:eastAsia="zh-CN" w:bidi="ar"/>
              </w:rPr>
              <w:t>245</w:t>
            </w:r>
          </w:p>
        </w:tc>
        <w:tc>
          <w:tcPr>
            <w:tcW w:w="1445" w:type="dxa"/>
            <w:vMerge w:val="restart"/>
            <w:tcBorders>
              <w:top w:val="single" w:color="000000" w:sz="4" w:space="0"/>
              <w:tl2br w:val="nil"/>
              <w:tr2bl w:val="nil"/>
            </w:tcBorders>
            <w:vAlign w:val="center"/>
          </w:tcPr>
          <w:p>
            <w:pPr>
              <w:keepNext w:val="0"/>
              <w:keepLines w:val="0"/>
              <w:widowControl/>
              <w:suppressLineNumbers w:val="0"/>
              <w:jc w:val="center"/>
              <w:textAlignment w:val="center"/>
              <w:rPr>
                <w:rFonts w:hint="default" w:ascii="宋体" w:hAnsi="宋体" w:eastAsia="宋体" w:cs="Arial"/>
                <w:b/>
                <w:bCs/>
                <w:color w:val="auto"/>
                <w:kern w:val="2"/>
                <w:sz w:val="21"/>
                <w:szCs w:val="21"/>
                <w:highlight w:val="none"/>
                <w:lang w:val="en-US" w:eastAsia="zh-CN" w:bidi="ar-SA"/>
              </w:rPr>
            </w:pPr>
            <w:r>
              <w:rPr>
                <w:rFonts w:hint="eastAsia" w:ascii="宋体" w:hAnsi="宋体" w:eastAsia="宋体" w:cs="宋体"/>
                <w:b/>
                <w:bCs/>
                <w:i w:val="0"/>
                <w:color w:val="000000"/>
                <w:kern w:val="0"/>
                <w:sz w:val="22"/>
                <w:szCs w:val="22"/>
                <w:highlight w:val="none"/>
                <w:u w:val="none"/>
                <w:lang w:val="en-US" w:eastAsia="zh-CN" w:bidi="ar"/>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27" w:type="dxa"/>
            <w:vMerge w:val="continue"/>
            <w:tcBorders>
              <w:tl2br w:val="nil"/>
              <w:tr2bl w:val="nil"/>
            </w:tcBorders>
            <w:vAlign w:val="center"/>
          </w:tcPr>
          <w:p>
            <w:pPr>
              <w:shd w:val="clear"/>
              <w:snapToGrid w:val="0"/>
              <w:jc w:val="center"/>
              <w:rPr>
                <w:rFonts w:hint="eastAsia" w:ascii="宋体" w:hAnsi="宋体" w:cs="Arial"/>
                <w:bCs/>
                <w:color w:val="auto"/>
                <w:szCs w:val="21"/>
                <w:highlight w:val="none"/>
              </w:rPr>
            </w:pPr>
          </w:p>
        </w:tc>
        <w:tc>
          <w:tcPr>
            <w:tcW w:w="1534" w:type="dxa"/>
            <w:tcBorders>
              <w:tl2br w:val="nil"/>
              <w:tr2bl w:val="nil"/>
            </w:tcBorders>
            <w:vAlign w:val="center"/>
          </w:tcPr>
          <w:p>
            <w:pPr>
              <w:shd w:val="clear"/>
              <w:jc w:val="center"/>
              <w:rPr>
                <w:rFonts w:hint="eastAsia"/>
                <w:color w:val="auto"/>
                <w:szCs w:val="21"/>
                <w:highlight w:val="none"/>
              </w:rPr>
            </w:pPr>
            <w:r>
              <w:rPr>
                <w:rFonts w:hint="eastAsia"/>
                <w:color w:val="auto"/>
                <w:szCs w:val="21"/>
                <w:highlight w:val="none"/>
                <w:lang w:val="en-US" w:eastAsia="zh-CN"/>
              </w:rPr>
              <w:t>1</w:t>
            </w:r>
            <w:r>
              <w:rPr>
                <w:rFonts w:hint="eastAsia"/>
                <w:color w:val="auto"/>
                <w:szCs w:val="21"/>
                <w:highlight w:val="none"/>
              </w:rPr>
              <w:t>条河道</w:t>
            </w:r>
            <w:r>
              <w:rPr>
                <w:rFonts w:hint="eastAsia"/>
                <w:color w:val="auto"/>
                <w:szCs w:val="21"/>
                <w:highlight w:val="none"/>
                <w:lang w:eastAsia="zh-CN"/>
              </w:rPr>
              <w:t>（</w:t>
            </w:r>
            <w:r>
              <w:rPr>
                <w:rFonts w:hint="eastAsia"/>
                <w:color w:val="auto"/>
                <w:szCs w:val="21"/>
                <w:highlight w:val="none"/>
                <w:lang w:val="en-US" w:eastAsia="zh-CN"/>
              </w:rPr>
              <w:t>段</w:t>
            </w:r>
            <w:r>
              <w:rPr>
                <w:rFonts w:hint="eastAsia"/>
                <w:color w:val="auto"/>
                <w:szCs w:val="21"/>
                <w:highlight w:val="none"/>
                <w:lang w:eastAsia="zh-CN"/>
              </w:rPr>
              <w:t>）</w:t>
            </w:r>
            <w:r>
              <w:rPr>
                <w:rFonts w:hint="eastAsia"/>
                <w:color w:val="auto"/>
                <w:szCs w:val="21"/>
                <w:highlight w:val="none"/>
              </w:rPr>
              <w:t>应急养护</w:t>
            </w:r>
          </w:p>
        </w:tc>
        <w:tc>
          <w:tcPr>
            <w:tcW w:w="3080" w:type="dxa"/>
            <w:tcBorders>
              <w:top w:val="single" w:color="000000" w:sz="4" w:space="0"/>
              <w:tl2br w:val="nil"/>
              <w:tr2bl w:val="nil"/>
            </w:tcBorders>
            <w:vAlign w:val="center"/>
          </w:tcPr>
          <w:p>
            <w:pPr>
              <w:shd w:val="clear"/>
              <w:snapToGrid w:val="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应急</w:t>
            </w:r>
            <w:r>
              <w:rPr>
                <w:color w:val="auto"/>
                <w:szCs w:val="21"/>
                <w:highlight w:val="none"/>
              </w:rPr>
              <w:t>养护水域长度共计</w:t>
            </w:r>
            <w:r>
              <w:rPr>
                <w:rFonts w:hint="eastAsia"/>
                <w:color w:val="auto"/>
                <w:szCs w:val="21"/>
                <w:highlight w:val="none"/>
              </w:rPr>
              <w:t>702.00</w:t>
            </w:r>
            <w:r>
              <w:rPr>
                <w:color w:val="auto"/>
                <w:szCs w:val="21"/>
                <w:highlight w:val="none"/>
              </w:rPr>
              <w:t>m，养护水域面积共计</w:t>
            </w:r>
            <w:r>
              <w:rPr>
                <w:rFonts w:hint="eastAsia"/>
                <w:bCs/>
                <w:color w:val="auto"/>
                <w:szCs w:val="21"/>
                <w:highlight w:val="none"/>
              </w:rPr>
              <w:t>9578.00</w:t>
            </w:r>
            <w:r>
              <w:rPr>
                <w:color w:val="auto"/>
                <w:szCs w:val="21"/>
                <w:highlight w:val="none"/>
              </w:rPr>
              <w:t>m</w:t>
            </w:r>
            <w:r>
              <w:rPr>
                <w:color w:val="auto"/>
                <w:szCs w:val="21"/>
                <w:highlight w:val="none"/>
                <w:vertAlign w:val="superscript"/>
              </w:rPr>
              <w:t>2</w:t>
            </w:r>
            <w:r>
              <w:rPr>
                <w:color w:val="auto"/>
                <w:szCs w:val="21"/>
                <w:highlight w:val="none"/>
              </w:rPr>
              <w:t>，</w:t>
            </w:r>
            <w:r>
              <w:rPr>
                <w:bCs/>
                <w:color w:val="auto"/>
                <w:szCs w:val="21"/>
                <w:highlight w:val="none"/>
              </w:rPr>
              <w:t>详见招标需求</w:t>
            </w:r>
          </w:p>
        </w:tc>
        <w:tc>
          <w:tcPr>
            <w:tcW w:w="1503" w:type="dxa"/>
            <w:vMerge w:val="continue"/>
            <w:tcBorders>
              <w:tl2br w:val="nil"/>
              <w:tr2bl w:val="nil"/>
            </w:tcBorders>
            <w:vAlign w:val="center"/>
          </w:tcPr>
          <w:p>
            <w:pPr>
              <w:shd w:val="clear"/>
              <w:snapToGrid w:val="0"/>
              <w:jc w:val="center"/>
              <w:rPr>
                <w:rFonts w:ascii="宋体" w:hAnsi="宋体" w:eastAsia="宋体" w:cs="Arial"/>
                <w:b/>
                <w:color w:val="auto"/>
                <w:kern w:val="2"/>
                <w:sz w:val="21"/>
                <w:szCs w:val="21"/>
                <w:highlight w:val="none"/>
                <w:lang w:val="en-US" w:eastAsia="zh-CN" w:bidi="ar-SA"/>
              </w:rPr>
            </w:pPr>
          </w:p>
        </w:tc>
        <w:tc>
          <w:tcPr>
            <w:tcW w:w="1389" w:type="dxa"/>
            <w:vMerge w:val="continue"/>
            <w:tcBorders>
              <w:tl2br w:val="nil"/>
              <w:tr2bl w:val="nil"/>
            </w:tcBorders>
            <w:vAlign w:val="center"/>
          </w:tcPr>
          <w:p>
            <w:pPr>
              <w:shd w:val="clear"/>
              <w:snapToGrid w:val="0"/>
              <w:jc w:val="center"/>
              <w:rPr>
                <w:rFonts w:ascii="宋体" w:hAnsi="宋体" w:eastAsia="宋体" w:cs="Arial"/>
                <w:b/>
                <w:bCs/>
                <w:color w:val="auto"/>
                <w:kern w:val="2"/>
                <w:sz w:val="21"/>
                <w:szCs w:val="21"/>
                <w:highlight w:val="none"/>
                <w:lang w:val="en-US" w:eastAsia="zh-CN" w:bidi="ar-SA"/>
              </w:rPr>
            </w:pPr>
          </w:p>
        </w:tc>
        <w:tc>
          <w:tcPr>
            <w:tcW w:w="1445" w:type="dxa"/>
            <w:vMerge w:val="continue"/>
            <w:tcBorders>
              <w:tl2br w:val="nil"/>
              <w:tr2bl w:val="nil"/>
            </w:tcBorders>
            <w:vAlign w:val="center"/>
          </w:tcPr>
          <w:p>
            <w:pPr>
              <w:shd w:val="clear"/>
              <w:snapToGrid w:val="0"/>
              <w:jc w:val="center"/>
              <w:rPr>
                <w:rFonts w:ascii="宋体" w:hAnsi="宋体" w:eastAsia="宋体" w:cs="Arial"/>
                <w:b/>
                <w:bCs/>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5" w:hRule="atLeast"/>
          <w:jc w:val="center"/>
        </w:trPr>
        <w:tc>
          <w:tcPr>
            <w:tcW w:w="427" w:type="dxa"/>
            <w:vMerge w:val="restart"/>
            <w:vAlign w:val="center"/>
          </w:tcPr>
          <w:p>
            <w:pPr>
              <w:shd w:val="clear"/>
              <w:snapToGrid w:val="0"/>
              <w:jc w:val="center"/>
              <w:rPr>
                <w:rFonts w:hint="default" w:ascii="宋体" w:hAnsi="宋体" w:eastAsia="宋体" w:cs="Arial"/>
                <w:bCs/>
                <w:color w:val="auto"/>
                <w:kern w:val="2"/>
                <w:sz w:val="21"/>
                <w:szCs w:val="21"/>
                <w:highlight w:val="none"/>
                <w:lang w:val="en-US" w:eastAsia="zh-CN" w:bidi="ar-SA"/>
              </w:rPr>
            </w:pPr>
            <w:r>
              <w:rPr>
                <w:rFonts w:hint="eastAsia" w:ascii="宋体" w:hAnsi="宋体" w:cs="Arial"/>
                <w:bCs/>
                <w:color w:val="auto"/>
                <w:kern w:val="2"/>
                <w:sz w:val="21"/>
                <w:szCs w:val="21"/>
                <w:highlight w:val="none"/>
                <w:lang w:val="en-US" w:eastAsia="zh-CN" w:bidi="ar-SA"/>
              </w:rPr>
              <w:t>十一</w:t>
            </w:r>
          </w:p>
        </w:tc>
        <w:tc>
          <w:tcPr>
            <w:tcW w:w="1534" w:type="dxa"/>
            <w:vAlign w:val="center"/>
          </w:tcPr>
          <w:p>
            <w:pPr>
              <w:shd w:val="clear"/>
              <w:jc w:val="center"/>
              <w:rPr>
                <w:rFonts w:hint="eastAsia" w:ascii="宋体" w:hAnsi="宋体" w:eastAsia="宋体" w:cs="Arial"/>
                <w:b/>
                <w:color w:val="auto"/>
                <w:kern w:val="2"/>
                <w:sz w:val="21"/>
                <w:szCs w:val="21"/>
                <w:highlight w:val="none"/>
                <w:lang w:val="en-US" w:eastAsia="zh-CN" w:bidi="ar-SA"/>
              </w:rPr>
            </w:pPr>
            <w:r>
              <w:rPr>
                <w:rFonts w:hint="eastAsia"/>
                <w:color w:val="auto"/>
                <w:szCs w:val="21"/>
                <w:highlight w:val="none"/>
                <w:lang w:val="en-US" w:eastAsia="zh-CN"/>
              </w:rPr>
              <w:t>9</w:t>
            </w:r>
            <w:r>
              <w:rPr>
                <w:rFonts w:hint="eastAsia"/>
                <w:color w:val="auto"/>
                <w:szCs w:val="21"/>
                <w:highlight w:val="none"/>
              </w:rPr>
              <w:t>条河道</w:t>
            </w:r>
            <w:r>
              <w:rPr>
                <w:rFonts w:hint="eastAsia"/>
                <w:color w:val="auto"/>
                <w:szCs w:val="21"/>
                <w:highlight w:val="none"/>
                <w:lang w:eastAsia="zh-CN"/>
              </w:rPr>
              <w:t>（</w:t>
            </w:r>
            <w:r>
              <w:rPr>
                <w:rFonts w:hint="eastAsia"/>
                <w:color w:val="auto"/>
                <w:szCs w:val="21"/>
                <w:highlight w:val="none"/>
                <w:lang w:val="en-US" w:eastAsia="zh-CN"/>
              </w:rPr>
              <w:t>段</w:t>
            </w:r>
            <w:r>
              <w:rPr>
                <w:rFonts w:hint="eastAsia"/>
                <w:color w:val="auto"/>
                <w:szCs w:val="21"/>
                <w:highlight w:val="none"/>
                <w:lang w:eastAsia="zh-CN"/>
              </w:rPr>
              <w:t>）</w:t>
            </w:r>
            <w:r>
              <w:rPr>
                <w:rFonts w:hint="eastAsia"/>
                <w:color w:val="auto"/>
                <w:szCs w:val="21"/>
                <w:highlight w:val="none"/>
              </w:rPr>
              <w:t>日常养护</w:t>
            </w:r>
          </w:p>
        </w:tc>
        <w:tc>
          <w:tcPr>
            <w:tcW w:w="3080" w:type="dxa"/>
            <w:vAlign w:val="center"/>
          </w:tcPr>
          <w:p>
            <w:pPr>
              <w:shd w:val="clear"/>
              <w:snapToGrid w:val="0"/>
              <w:jc w:val="center"/>
              <w:rPr>
                <w:rFonts w:ascii="宋体" w:hAnsi="宋体" w:eastAsia="宋体" w:cs="Arial"/>
                <w:b/>
                <w:color w:val="auto"/>
                <w:kern w:val="2"/>
                <w:sz w:val="21"/>
                <w:szCs w:val="21"/>
                <w:highlight w:val="none"/>
                <w:lang w:val="en-US" w:eastAsia="zh-CN" w:bidi="ar-SA"/>
              </w:rPr>
            </w:pPr>
            <w:r>
              <w:rPr>
                <w:rFonts w:hint="eastAsia"/>
                <w:color w:val="auto"/>
                <w:szCs w:val="21"/>
                <w:highlight w:val="none"/>
                <w:lang w:val="en-US" w:eastAsia="zh-CN"/>
              </w:rPr>
              <w:t>日常</w:t>
            </w:r>
            <w:r>
              <w:rPr>
                <w:color w:val="auto"/>
                <w:szCs w:val="21"/>
                <w:highlight w:val="none"/>
              </w:rPr>
              <w:t>养护水域长度共计</w:t>
            </w:r>
            <w:r>
              <w:rPr>
                <w:rFonts w:hint="eastAsia"/>
                <w:color w:val="auto"/>
                <w:szCs w:val="21"/>
                <w:highlight w:val="none"/>
              </w:rPr>
              <w:t>8040.00</w:t>
            </w:r>
            <w:r>
              <w:rPr>
                <w:color w:val="auto"/>
                <w:szCs w:val="21"/>
                <w:highlight w:val="none"/>
              </w:rPr>
              <w:t>m，养护水域面积共计</w:t>
            </w:r>
            <w:r>
              <w:rPr>
                <w:rFonts w:hint="eastAsia"/>
                <w:bCs/>
                <w:color w:val="auto"/>
                <w:szCs w:val="21"/>
                <w:highlight w:val="none"/>
              </w:rPr>
              <w:t>110142.00</w:t>
            </w:r>
            <w:r>
              <w:rPr>
                <w:color w:val="auto"/>
                <w:szCs w:val="21"/>
                <w:highlight w:val="none"/>
              </w:rPr>
              <w:t>m</w:t>
            </w:r>
            <w:r>
              <w:rPr>
                <w:color w:val="auto"/>
                <w:szCs w:val="21"/>
                <w:highlight w:val="none"/>
                <w:vertAlign w:val="superscript"/>
              </w:rPr>
              <w:t>2</w:t>
            </w:r>
            <w:r>
              <w:rPr>
                <w:color w:val="auto"/>
                <w:szCs w:val="21"/>
                <w:highlight w:val="none"/>
              </w:rPr>
              <w:t>，</w:t>
            </w:r>
            <w:r>
              <w:rPr>
                <w:bCs/>
                <w:color w:val="auto"/>
                <w:szCs w:val="21"/>
                <w:highlight w:val="none"/>
              </w:rPr>
              <w:t>详见招标需求</w:t>
            </w:r>
          </w:p>
        </w:tc>
        <w:tc>
          <w:tcPr>
            <w:tcW w:w="1503" w:type="dxa"/>
            <w:vMerge w:val="continue"/>
            <w:vAlign w:val="center"/>
          </w:tcPr>
          <w:p>
            <w:pPr>
              <w:shd w:val="clear"/>
              <w:snapToGrid w:val="0"/>
              <w:jc w:val="center"/>
              <w:rPr>
                <w:rFonts w:hint="eastAsia" w:ascii="宋体" w:hAnsi="宋体" w:cs="Arial"/>
                <w:b/>
                <w:color w:val="auto"/>
                <w:kern w:val="2"/>
                <w:sz w:val="21"/>
                <w:szCs w:val="21"/>
                <w:highlight w:val="none"/>
                <w:lang w:val="en-US" w:eastAsia="zh-CN" w:bidi="ar-SA"/>
              </w:rPr>
            </w:pPr>
          </w:p>
        </w:tc>
        <w:tc>
          <w:tcPr>
            <w:tcW w:w="1389" w:type="dxa"/>
            <w:vMerge w:val="restart"/>
            <w:vAlign w:val="center"/>
          </w:tcPr>
          <w:p>
            <w:pPr>
              <w:keepNext w:val="0"/>
              <w:keepLines w:val="0"/>
              <w:widowControl/>
              <w:suppressLineNumbers w:val="0"/>
              <w:jc w:val="center"/>
              <w:textAlignment w:val="center"/>
              <w:rPr>
                <w:rFonts w:hint="default" w:ascii="宋体" w:hAnsi="宋体" w:eastAsia="宋体" w:cs="Arial"/>
                <w:b/>
                <w:bCs/>
                <w:color w:val="auto"/>
                <w:kern w:val="2"/>
                <w:sz w:val="21"/>
                <w:szCs w:val="21"/>
                <w:highlight w:val="none"/>
                <w:lang w:val="en-US" w:eastAsia="zh-CN" w:bidi="ar-SA"/>
              </w:rPr>
            </w:pPr>
            <w:r>
              <w:rPr>
                <w:rFonts w:hint="eastAsia" w:ascii="宋体" w:hAnsi="宋体" w:eastAsia="宋体" w:cs="宋体"/>
                <w:b/>
                <w:bCs/>
                <w:i w:val="0"/>
                <w:color w:val="000000"/>
                <w:kern w:val="0"/>
                <w:sz w:val="22"/>
                <w:szCs w:val="22"/>
                <w:highlight w:val="none"/>
                <w:u w:val="none"/>
                <w:lang w:val="en-US" w:eastAsia="zh-CN" w:bidi="ar"/>
              </w:rPr>
              <w:t>260</w:t>
            </w:r>
          </w:p>
        </w:tc>
        <w:tc>
          <w:tcPr>
            <w:tcW w:w="1445" w:type="dxa"/>
            <w:vMerge w:val="restart"/>
            <w:vAlign w:val="center"/>
          </w:tcPr>
          <w:p>
            <w:pPr>
              <w:keepNext w:val="0"/>
              <w:keepLines w:val="0"/>
              <w:widowControl/>
              <w:suppressLineNumbers w:val="0"/>
              <w:jc w:val="center"/>
              <w:textAlignment w:val="center"/>
              <w:rPr>
                <w:rFonts w:hint="default" w:ascii="宋体" w:hAnsi="宋体" w:eastAsia="宋体" w:cs="Arial"/>
                <w:b/>
                <w:bCs/>
                <w:color w:val="auto"/>
                <w:kern w:val="2"/>
                <w:sz w:val="21"/>
                <w:szCs w:val="21"/>
                <w:highlight w:val="none"/>
                <w:lang w:val="en-US" w:eastAsia="zh-CN" w:bidi="ar-SA"/>
              </w:rPr>
            </w:pPr>
            <w:r>
              <w:rPr>
                <w:rFonts w:hint="eastAsia" w:ascii="宋体" w:hAnsi="宋体" w:eastAsia="宋体" w:cs="宋体"/>
                <w:b/>
                <w:bCs/>
                <w:i w:val="0"/>
                <w:color w:val="000000"/>
                <w:kern w:val="0"/>
                <w:sz w:val="22"/>
                <w:szCs w:val="22"/>
                <w:highlight w:val="none"/>
                <w:u w:val="none"/>
                <w:lang w:val="en-US" w:eastAsia="zh-CN" w:bidi="ar"/>
              </w:rPr>
              <w:t>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427" w:type="dxa"/>
            <w:vMerge w:val="continue"/>
            <w:vAlign w:val="center"/>
          </w:tcPr>
          <w:p>
            <w:pPr>
              <w:shd w:val="clear"/>
              <w:snapToGrid w:val="0"/>
              <w:jc w:val="center"/>
              <w:rPr>
                <w:rFonts w:hint="eastAsia" w:ascii="宋体" w:hAnsi="宋体" w:cs="Arial"/>
                <w:bCs/>
                <w:color w:val="auto"/>
                <w:szCs w:val="21"/>
                <w:highlight w:val="none"/>
              </w:rPr>
            </w:pPr>
          </w:p>
        </w:tc>
        <w:tc>
          <w:tcPr>
            <w:tcW w:w="1534" w:type="dxa"/>
            <w:vAlign w:val="center"/>
          </w:tcPr>
          <w:p>
            <w:pPr>
              <w:shd w:val="clear"/>
              <w:jc w:val="center"/>
              <w:rPr>
                <w:rFonts w:hint="eastAsia"/>
                <w:color w:val="auto"/>
                <w:szCs w:val="21"/>
                <w:highlight w:val="none"/>
              </w:rPr>
            </w:pPr>
            <w:r>
              <w:rPr>
                <w:rFonts w:hint="eastAsia"/>
                <w:color w:val="auto"/>
                <w:szCs w:val="21"/>
                <w:highlight w:val="none"/>
                <w:lang w:val="en-US" w:eastAsia="zh-CN"/>
              </w:rPr>
              <w:t>1</w:t>
            </w:r>
            <w:r>
              <w:rPr>
                <w:rFonts w:hint="eastAsia"/>
                <w:color w:val="auto"/>
                <w:szCs w:val="21"/>
                <w:highlight w:val="none"/>
              </w:rPr>
              <w:t>条河道</w:t>
            </w:r>
            <w:r>
              <w:rPr>
                <w:rFonts w:hint="eastAsia"/>
                <w:color w:val="auto"/>
                <w:szCs w:val="21"/>
                <w:highlight w:val="none"/>
                <w:lang w:eastAsia="zh-CN"/>
              </w:rPr>
              <w:t>（</w:t>
            </w:r>
            <w:r>
              <w:rPr>
                <w:rFonts w:hint="eastAsia"/>
                <w:color w:val="auto"/>
                <w:szCs w:val="21"/>
                <w:highlight w:val="none"/>
                <w:lang w:val="en-US" w:eastAsia="zh-CN"/>
              </w:rPr>
              <w:t>段</w:t>
            </w:r>
            <w:r>
              <w:rPr>
                <w:rFonts w:hint="eastAsia"/>
                <w:color w:val="auto"/>
                <w:szCs w:val="21"/>
                <w:highlight w:val="none"/>
                <w:lang w:eastAsia="zh-CN"/>
              </w:rPr>
              <w:t>）</w:t>
            </w:r>
            <w:r>
              <w:rPr>
                <w:rFonts w:hint="eastAsia"/>
                <w:color w:val="auto"/>
                <w:szCs w:val="21"/>
                <w:highlight w:val="none"/>
              </w:rPr>
              <w:t>应急养护</w:t>
            </w:r>
          </w:p>
        </w:tc>
        <w:tc>
          <w:tcPr>
            <w:tcW w:w="3080" w:type="dxa"/>
            <w:vAlign w:val="center"/>
          </w:tcPr>
          <w:p>
            <w:pPr>
              <w:shd w:val="clear"/>
              <w:snapToGrid w:val="0"/>
              <w:jc w:val="center"/>
              <w:rPr>
                <w:color w:val="auto"/>
                <w:szCs w:val="21"/>
                <w:highlight w:val="none"/>
              </w:rPr>
            </w:pPr>
            <w:r>
              <w:rPr>
                <w:rFonts w:hint="eastAsia"/>
                <w:color w:val="auto"/>
                <w:szCs w:val="21"/>
                <w:highlight w:val="none"/>
              </w:rPr>
              <w:t>应急</w:t>
            </w:r>
            <w:r>
              <w:rPr>
                <w:color w:val="auto"/>
                <w:szCs w:val="21"/>
                <w:highlight w:val="none"/>
              </w:rPr>
              <w:t>养护水域长度共计</w:t>
            </w:r>
            <w:r>
              <w:rPr>
                <w:rFonts w:hint="eastAsia"/>
                <w:color w:val="auto"/>
                <w:szCs w:val="21"/>
                <w:highlight w:val="none"/>
              </w:rPr>
              <w:t>1878.00</w:t>
            </w:r>
            <w:r>
              <w:rPr>
                <w:color w:val="auto"/>
                <w:szCs w:val="21"/>
                <w:highlight w:val="none"/>
              </w:rPr>
              <w:t>m，养护水域面积共计</w:t>
            </w:r>
            <w:r>
              <w:rPr>
                <w:rFonts w:hint="eastAsia"/>
                <w:bCs/>
                <w:color w:val="auto"/>
                <w:szCs w:val="21"/>
                <w:highlight w:val="none"/>
              </w:rPr>
              <w:t>37498.00</w:t>
            </w:r>
            <w:r>
              <w:rPr>
                <w:color w:val="auto"/>
                <w:szCs w:val="21"/>
                <w:highlight w:val="none"/>
              </w:rPr>
              <w:t>m</w:t>
            </w:r>
            <w:r>
              <w:rPr>
                <w:color w:val="auto"/>
                <w:szCs w:val="21"/>
                <w:highlight w:val="none"/>
                <w:vertAlign w:val="superscript"/>
              </w:rPr>
              <w:t>2</w:t>
            </w:r>
            <w:r>
              <w:rPr>
                <w:color w:val="auto"/>
                <w:szCs w:val="21"/>
                <w:highlight w:val="none"/>
              </w:rPr>
              <w:t>，</w:t>
            </w:r>
            <w:r>
              <w:rPr>
                <w:bCs/>
                <w:color w:val="auto"/>
                <w:szCs w:val="21"/>
                <w:highlight w:val="none"/>
              </w:rPr>
              <w:t>详见招标需求</w:t>
            </w:r>
          </w:p>
        </w:tc>
        <w:tc>
          <w:tcPr>
            <w:tcW w:w="1503" w:type="dxa"/>
            <w:vMerge w:val="continue"/>
            <w:vAlign w:val="center"/>
          </w:tcPr>
          <w:p>
            <w:pPr>
              <w:shd w:val="clear"/>
              <w:snapToGrid w:val="0"/>
              <w:jc w:val="center"/>
              <w:rPr>
                <w:rFonts w:ascii="宋体" w:hAnsi="宋体" w:eastAsia="宋体" w:cs="Arial"/>
                <w:b/>
                <w:color w:val="auto"/>
                <w:kern w:val="2"/>
                <w:sz w:val="21"/>
                <w:szCs w:val="21"/>
                <w:highlight w:val="none"/>
                <w:lang w:val="en-US" w:eastAsia="zh-CN" w:bidi="ar-SA"/>
              </w:rPr>
            </w:pPr>
          </w:p>
        </w:tc>
        <w:tc>
          <w:tcPr>
            <w:tcW w:w="1389" w:type="dxa"/>
            <w:vMerge w:val="continue"/>
            <w:vAlign w:val="center"/>
          </w:tcPr>
          <w:p>
            <w:pPr>
              <w:shd w:val="clear"/>
              <w:snapToGrid w:val="0"/>
              <w:jc w:val="center"/>
              <w:rPr>
                <w:rFonts w:ascii="宋体" w:hAnsi="宋体" w:eastAsia="宋体" w:cs="Arial"/>
                <w:b/>
                <w:color w:val="auto"/>
                <w:kern w:val="2"/>
                <w:sz w:val="21"/>
                <w:szCs w:val="21"/>
                <w:highlight w:val="none"/>
                <w:lang w:val="en-US" w:eastAsia="zh-CN" w:bidi="ar-SA"/>
              </w:rPr>
            </w:pPr>
          </w:p>
        </w:tc>
        <w:tc>
          <w:tcPr>
            <w:tcW w:w="1445" w:type="dxa"/>
            <w:vMerge w:val="continue"/>
            <w:vAlign w:val="center"/>
          </w:tcPr>
          <w:p>
            <w:pPr>
              <w:shd w:val="clear"/>
              <w:snapToGrid w:val="0"/>
              <w:jc w:val="center"/>
              <w:rPr>
                <w:rFonts w:ascii="宋体" w:hAnsi="宋体" w:eastAsia="宋体" w:cs="Arial"/>
                <w:b/>
                <w:color w:val="auto"/>
                <w:kern w:val="2"/>
                <w:sz w:val="21"/>
                <w:szCs w:val="21"/>
                <w:highlight w:val="none"/>
                <w:lang w:val="en-US" w:eastAsia="zh-CN" w:bidi="ar-SA"/>
              </w:rPr>
            </w:pPr>
          </w:p>
        </w:tc>
      </w:tr>
    </w:tbl>
    <w:p>
      <w:pPr>
        <w:pStyle w:val="20"/>
        <w:shd w:val="clear"/>
        <w:adjustRightInd w:val="0"/>
        <w:snapToGrid w:val="0"/>
        <w:spacing w:beforeAutospacing="0" w:afterAutospacing="0" w:line="240" w:lineRule="auto"/>
        <w:rPr>
          <w:rFonts w:ascii="宋体" w:hAnsi="宋体" w:cs="宋体"/>
          <w:color w:val="auto"/>
          <w:sz w:val="21"/>
          <w:szCs w:val="21"/>
          <w:highlight w:val="none"/>
          <w:shd w:val="clear" w:color="auto" w:fill="FFFFFF"/>
        </w:rPr>
      </w:pPr>
      <w:r>
        <w:rPr>
          <w:rFonts w:hint="eastAsia" w:ascii="宋体" w:hAnsi="宋体" w:cs="宋体"/>
          <w:b/>
          <w:bCs/>
          <w:color w:val="auto"/>
          <w:sz w:val="21"/>
          <w:szCs w:val="21"/>
          <w:highlight w:val="none"/>
          <w:shd w:val="clear" w:color="auto" w:fill="FFFFFF"/>
          <w:lang w:val="en-US" w:eastAsia="zh-CN"/>
        </w:rPr>
        <w:t>注：（1）养护水域面积为暂定值，每月按实核定，应急养护水域面积不计入报价中。（2）</w:t>
      </w:r>
      <w:r>
        <w:rPr>
          <w:rFonts w:hint="eastAsia" w:ascii="宋体" w:hAnsi="宋体" w:cs="宋体"/>
          <w:b/>
          <w:bCs/>
          <w:color w:val="auto"/>
          <w:sz w:val="21"/>
          <w:szCs w:val="21"/>
          <w:highlight w:val="none"/>
          <w:shd w:val="clear" w:color="auto" w:fill="FFFFFF"/>
        </w:rPr>
        <w:t>合同履行期限：</w:t>
      </w:r>
      <w:r>
        <w:rPr>
          <w:rFonts w:hint="eastAsia" w:ascii="宋体" w:hAnsi="宋体" w:cs="宋体"/>
          <w:b/>
          <w:bCs/>
          <w:color w:val="auto"/>
          <w:sz w:val="21"/>
          <w:szCs w:val="21"/>
          <w:highlight w:val="none"/>
          <w:shd w:val="clear" w:color="auto"/>
        </w:rPr>
        <w:t>合计三年，合同一年一签；</w:t>
      </w:r>
      <w:r>
        <w:rPr>
          <w:rFonts w:hint="eastAsia" w:ascii="宋体" w:hAnsi="宋体" w:cs="宋体"/>
          <w:b/>
          <w:bCs/>
          <w:color w:val="auto"/>
          <w:sz w:val="21"/>
          <w:szCs w:val="21"/>
          <w:highlight w:val="none"/>
          <w:shd w:val="clear" w:color="auto"/>
          <w:lang w:eastAsia="zh-CN"/>
        </w:rPr>
        <w:t>采购单位</w:t>
      </w:r>
      <w:r>
        <w:rPr>
          <w:rFonts w:hint="eastAsia" w:ascii="宋体" w:hAnsi="宋体" w:cs="宋体"/>
          <w:b/>
          <w:bCs/>
          <w:color w:val="auto"/>
          <w:sz w:val="21"/>
          <w:szCs w:val="21"/>
          <w:highlight w:val="none"/>
          <w:shd w:val="clear" w:color="auto"/>
        </w:rPr>
        <w:t>根据中</w:t>
      </w:r>
      <w:r>
        <w:rPr>
          <w:rFonts w:hint="eastAsia" w:ascii="宋体" w:hAnsi="宋体" w:cs="宋体"/>
          <w:b/>
          <w:bCs/>
          <w:color w:val="auto"/>
          <w:sz w:val="21"/>
          <w:szCs w:val="21"/>
          <w:highlight w:val="none"/>
          <w:shd w:val="clear" w:color="auto" w:fill="FFFFFF"/>
        </w:rPr>
        <w:t>标人在上一阶段的合同履约情况、考核情况及财政资金审批情况决定是否续签。</w:t>
      </w:r>
    </w:p>
    <w:p>
      <w:pPr>
        <w:pStyle w:val="20"/>
        <w:keepNext w:val="0"/>
        <w:keepLines w:val="0"/>
        <w:pageBreakBefore w:val="0"/>
        <w:widowControl/>
        <w:shd w:val="clear"/>
        <w:kinsoku/>
        <w:wordWrap/>
        <w:overflowPunct/>
        <w:topLinePunct w:val="0"/>
        <w:autoSpaceDE/>
        <w:autoSpaceDN/>
        <w:bidi w:val="0"/>
        <w:adjustRightInd w:val="0"/>
        <w:snapToGrid w:val="0"/>
        <w:spacing w:before="157" w:beforeLines="50" w:beforeAutospacing="0" w:afterAutospacing="0" w:line="360" w:lineRule="auto"/>
        <w:jc w:val="both"/>
        <w:textAlignment w:val="auto"/>
        <w:rPr>
          <w:rFonts w:ascii="宋体" w:hAnsi="宋体" w:cs="宋体"/>
          <w:color w:val="auto"/>
          <w:sz w:val="21"/>
          <w:szCs w:val="21"/>
          <w:highlight w:val="none"/>
        </w:rPr>
      </w:pPr>
      <w:r>
        <w:rPr>
          <w:rStyle w:val="25"/>
          <w:rFonts w:hint="eastAsia" w:ascii="宋体" w:hAnsi="宋体" w:cs="宋体"/>
          <w:color w:val="auto"/>
          <w:sz w:val="21"/>
          <w:szCs w:val="21"/>
          <w:highlight w:val="none"/>
          <w:shd w:val="clear" w:color="auto" w:fill="FFFFFF"/>
        </w:rPr>
        <w:t>二、</w:t>
      </w:r>
      <w:r>
        <w:rPr>
          <w:rStyle w:val="25"/>
          <w:rFonts w:hint="eastAsia" w:ascii="宋体" w:hAnsi="宋体" w:cs="宋体"/>
          <w:color w:val="auto"/>
          <w:sz w:val="21"/>
          <w:szCs w:val="21"/>
          <w:highlight w:val="none"/>
          <w:shd w:val="clear" w:color="auto" w:fill="FFFFFF"/>
          <w:lang w:eastAsia="zh-CN"/>
        </w:rPr>
        <w:t>投标人</w:t>
      </w:r>
      <w:r>
        <w:rPr>
          <w:rStyle w:val="25"/>
          <w:rFonts w:hint="eastAsia" w:ascii="宋体" w:hAnsi="宋体" w:cs="宋体"/>
          <w:color w:val="auto"/>
          <w:sz w:val="21"/>
          <w:szCs w:val="21"/>
          <w:highlight w:val="none"/>
          <w:shd w:val="clear" w:color="auto" w:fill="FFFFFF"/>
        </w:rPr>
        <w:t>资格要求：</w:t>
      </w:r>
    </w:p>
    <w:p>
      <w:pPr>
        <w:pStyle w:val="20"/>
        <w:shd w:val="clear"/>
        <w:adjustRightInd w:val="0"/>
        <w:snapToGrid w:val="0"/>
        <w:spacing w:beforeAutospacing="0" w:afterAutospacing="0"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shd w:val="clear" w:color="auto" w:fill="FFFFFF"/>
        </w:rPr>
        <w:t>1.满足《中华人民共和国政府采购法》第二十二条规定；</w:t>
      </w:r>
    </w:p>
    <w:p>
      <w:pPr>
        <w:pStyle w:val="20"/>
        <w:shd w:val="clear"/>
        <w:adjustRightInd w:val="0"/>
        <w:snapToGrid w:val="0"/>
        <w:spacing w:beforeAutospacing="0" w:afterAutospacing="0" w:line="360" w:lineRule="auto"/>
        <w:ind w:firstLine="420" w:firstLineChars="200"/>
        <w:rPr>
          <w:rFonts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2.落实政府采购政策需满足的资格要求：</w:t>
      </w:r>
    </w:p>
    <w:p>
      <w:pPr>
        <w:pStyle w:val="20"/>
        <w:shd w:val="clear"/>
        <w:adjustRightInd w:val="0"/>
        <w:snapToGrid w:val="0"/>
        <w:spacing w:beforeAutospacing="0" w:afterAutospacing="0" w:line="360" w:lineRule="auto"/>
        <w:ind w:firstLine="420" w:firstLineChars="200"/>
        <w:rPr>
          <w:rFonts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2.1单位负责人为同一人或者存在直接控股、管理关系的不同</w:t>
      </w:r>
      <w:r>
        <w:rPr>
          <w:rFonts w:hint="eastAsia" w:ascii="宋体" w:hAnsi="宋体" w:cs="宋体"/>
          <w:color w:val="auto"/>
          <w:sz w:val="21"/>
          <w:szCs w:val="21"/>
          <w:highlight w:val="none"/>
          <w:shd w:val="clear" w:color="auto" w:fill="FFFFFF"/>
          <w:lang w:eastAsia="zh-CN"/>
        </w:rPr>
        <w:t>投标人</w:t>
      </w:r>
      <w:r>
        <w:rPr>
          <w:rFonts w:hint="eastAsia" w:ascii="宋体" w:hAnsi="宋体" w:cs="宋体"/>
          <w:color w:val="auto"/>
          <w:sz w:val="21"/>
          <w:szCs w:val="21"/>
          <w:highlight w:val="none"/>
          <w:shd w:val="clear" w:color="auto" w:fill="FFFFFF"/>
        </w:rPr>
        <w:t>，不得参加同一合同项下的政府采购活动。除单一来源采购项目外，为采购项目提供整体设计、规范编制或者项目管理、监理、检测等服务的</w:t>
      </w:r>
      <w:r>
        <w:rPr>
          <w:rFonts w:hint="eastAsia" w:ascii="宋体" w:hAnsi="宋体" w:cs="宋体"/>
          <w:color w:val="auto"/>
          <w:sz w:val="21"/>
          <w:szCs w:val="21"/>
          <w:highlight w:val="none"/>
          <w:shd w:val="clear" w:color="auto" w:fill="FFFFFF"/>
          <w:lang w:eastAsia="zh-CN"/>
        </w:rPr>
        <w:t>投标人</w:t>
      </w:r>
      <w:r>
        <w:rPr>
          <w:rFonts w:hint="eastAsia" w:ascii="宋体" w:hAnsi="宋体" w:cs="宋体"/>
          <w:color w:val="auto"/>
          <w:sz w:val="21"/>
          <w:szCs w:val="21"/>
          <w:highlight w:val="none"/>
          <w:shd w:val="clear" w:color="auto" w:fill="FFFFFF"/>
        </w:rPr>
        <w:t>，不得再参加本项目投标；</w:t>
      </w:r>
    </w:p>
    <w:p>
      <w:pPr>
        <w:pStyle w:val="20"/>
        <w:shd w:val="clear"/>
        <w:adjustRightInd w:val="0"/>
        <w:snapToGrid w:val="0"/>
        <w:spacing w:beforeAutospacing="0" w:afterAutospacing="0" w:line="360" w:lineRule="auto"/>
        <w:ind w:firstLine="420" w:firstLineChars="200"/>
        <w:rPr>
          <w:rFonts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2.2</w:t>
      </w:r>
      <w:r>
        <w:rPr>
          <w:rFonts w:hint="eastAsia" w:ascii="宋体" w:hAnsi="宋体" w:cs="宋体"/>
          <w:color w:val="auto"/>
          <w:sz w:val="21"/>
          <w:szCs w:val="21"/>
          <w:highlight w:val="none"/>
          <w:shd w:val="clear" w:color="auto" w:fill="FFFFFF"/>
          <w:lang w:eastAsia="zh-CN"/>
        </w:rPr>
        <w:t>投标人</w:t>
      </w:r>
      <w:r>
        <w:rPr>
          <w:rFonts w:hint="eastAsia" w:ascii="宋体" w:hAnsi="宋体" w:cs="宋体"/>
          <w:color w:val="auto"/>
          <w:sz w:val="21"/>
          <w:szCs w:val="21"/>
          <w:highlight w:val="none"/>
          <w:shd w:val="clear" w:color="auto" w:fill="FFFFFF"/>
        </w:rPr>
        <w:t>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投标截止日当天在信用中国网站及中国政府采购网查询结果为准，如相关失信记录已失效，供应商须需提供相关证明资料）；</w:t>
      </w:r>
    </w:p>
    <w:p>
      <w:pPr>
        <w:pStyle w:val="20"/>
        <w:numPr>
          <w:ilvl w:val="0"/>
          <w:numId w:val="0"/>
        </w:numPr>
        <w:shd w:val="clear"/>
        <w:adjustRightInd w:val="0"/>
        <w:snapToGrid w:val="0"/>
        <w:spacing w:beforeAutospacing="0" w:afterAutospacing="0" w:line="360" w:lineRule="auto"/>
        <w:ind w:firstLine="420" w:firstLineChars="200"/>
        <w:rPr>
          <w:rFonts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lang w:val="en-US" w:eastAsia="zh-CN"/>
        </w:rPr>
        <w:t>3.</w:t>
      </w:r>
      <w:r>
        <w:rPr>
          <w:rFonts w:hint="eastAsia" w:ascii="宋体" w:hAnsi="宋体" w:cs="宋体"/>
          <w:color w:val="auto"/>
          <w:sz w:val="21"/>
          <w:szCs w:val="21"/>
          <w:highlight w:val="none"/>
          <w:shd w:val="clear" w:color="auto" w:fill="FFFFFF"/>
        </w:rPr>
        <w:t>本项目的特定资格要求：</w:t>
      </w:r>
    </w:p>
    <w:p>
      <w:pPr>
        <w:pStyle w:val="20"/>
        <w:shd w:val="clear"/>
        <w:adjustRightInd w:val="0"/>
        <w:snapToGrid w:val="0"/>
        <w:spacing w:beforeAutospacing="0" w:afterAutospacing="0" w:line="360" w:lineRule="auto"/>
        <w:ind w:firstLine="420" w:firstLineChars="200"/>
        <w:rPr>
          <w:rFonts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3.1</w:t>
      </w:r>
      <w:r>
        <w:rPr>
          <w:rFonts w:hint="eastAsia" w:ascii="宋体" w:hAnsi="宋体" w:cs="宋体"/>
          <w:color w:val="auto"/>
          <w:sz w:val="21"/>
          <w:szCs w:val="21"/>
          <w:highlight w:val="none"/>
          <w:shd w:val="clear" w:color="auto" w:fill="FFFFFF"/>
          <w:lang w:eastAsia="zh-CN"/>
        </w:rPr>
        <w:t>投标人</w:t>
      </w:r>
      <w:r>
        <w:rPr>
          <w:rFonts w:hint="eastAsia" w:ascii="宋体" w:hAnsi="宋体" w:cs="宋体"/>
          <w:color w:val="auto"/>
          <w:sz w:val="21"/>
          <w:szCs w:val="21"/>
          <w:highlight w:val="none"/>
          <w:shd w:val="clear" w:color="auto" w:fill="FFFFFF"/>
        </w:rPr>
        <w:t>营业执照经营范围中需包含水质养护或水质提升或水质净化或河道治理或水污染治理或生态环境治理等水污染防治内容（投标文件中提供营业执照副本复印件加盖公章，</w:t>
      </w:r>
      <w:r>
        <w:rPr>
          <w:rFonts w:hint="eastAsia" w:ascii="宋体" w:hAnsi="宋体" w:cs="宋体"/>
          <w:color w:val="auto"/>
          <w:sz w:val="21"/>
          <w:szCs w:val="21"/>
          <w:highlight w:val="none"/>
          <w:shd w:val="clear" w:color="auto" w:fill="FFFFFF"/>
          <w:lang w:eastAsia="zh-CN"/>
        </w:rPr>
        <w:t>现场原件备查</w:t>
      </w:r>
      <w:r>
        <w:rPr>
          <w:rFonts w:hint="eastAsia" w:ascii="宋体" w:hAnsi="宋体" w:cs="宋体"/>
          <w:color w:val="auto"/>
          <w:sz w:val="21"/>
          <w:szCs w:val="21"/>
          <w:highlight w:val="none"/>
          <w:shd w:val="clear" w:color="auto" w:fill="FFFFFF"/>
        </w:rPr>
        <w:t>）；</w:t>
      </w:r>
    </w:p>
    <w:p>
      <w:pPr>
        <w:pStyle w:val="20"/>
        <w:shd w:val="clear"/>
        <w:adjustRightInd w:val="0"/>
        <w:snapToGrid w:val="0"/>
        <w:spacing w:beforeAutospacing="0" w:afterAutospacing="0" w:line="360" w:lineRule="auto"/>
        <w:ind w:firstLine="420" w:firstLineChars="200"/>
        <w:rPr>
          <w:rFonts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3.2</w:t>
      </w:r>
      <w:r>
        <w:rPr>
          <w:rFonts w:hint="eastAsia" w:ascii="宋体" w:hAnsi="宋体" w:cs="宋体"/>
          <w:color w:val="auto"/>
          <w:sz w:val="21"/>
          <w:szCs w:val="21"/>
          <w:highlight w:val="none"/>
          <w:shd w:val="clear" w:color="auto" w:fill="FFFFFF"/>
          <w:lang w:eastAsia="zh-CN"/>
        </w:rPr>
        <w:t>投标人</w:t>
      </w:r>
      <w:r>
        <w:rPr>
          <w:rFonts w:hint="eastAsia" w:ascii="宋体" w:hAnsi="宋体" w:cs="宋体"/>
          <w:color w:val="auto"/>
          <w:sz w:val="21"/>
          <w:szCs w:val="21"/>
          <w:highlight w:val="none"/>
          <w:shd w:val="clear" w:color="auto" w:fill="FFFFFF"/>
        </w:rPr>
        <w:t>需具有由省级及以上环境保护产业协会颁发的环境污染治理工程总承包资质正式证书（类型或范围：水污染治理工程或环境生态工程或生态治理工程或生态修复工程）（投标文件中提供上述有效的正式资质证书复印件加盖公章，</w:t>
      </w:r>
      <w:r>
        <w:rPr>
          <w:rFonts w:hint="eastAsia" w:ascii="宋体" w:hAnsi="宋体" w:cs="宋体"/>
          <w:color w:val="auto"/>
          <w:sz w:val="21"/>
          <w:szCs w:val="21"/>
          <w:highlight w:val="none"/>
          <w:shd w:val="clear" w:color="auto" w:fill="FFFFFF"/>
          <w:lang w:eastAsia="zh-CN"/>
        </w:rPr>
        <w:t>现场原件备查</w:t>
      </w:r>
      <w:r>
        <w:rPr>
          <w:rFonts w:hint="eastAsia" w:ascii="宋体" w:hAnsi="宋体" w:cs="宋体"/>
          <w:color w:val="auto"/>
          <w:sz w:val="21"/>
          <w:szCs w:val="21"/>
          <w:highlight w:val="none"/>
          <w:shd w:val="clear" w:color="auto" w:fill="FFFFFF"/>
        </w:rPr>
        <w:t>）；</w:t>
      </w:r>
    </w:p>
    <w:p>
      <w:pPr>
        <w:pStyle w:val="20"/>
        <w:shd w:val="clear"/>
        <w:adjustRightInd w:val="0"/>
        <w:snapToGrid w:val="0"/>
        <w:spacing w:beforeAutospacing="0" w:afterAutospacing="0" w:line="360" w:lineRule="auto"/>
        <w:ind w:firstLine="420" w:firstLineChars="200"/>
        <w:rPr>
          <w:rFonts w:hint="eastAsia"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3.3项目负责人（即项目经理，下同）要求为</w:t>
      </w:r>
      <w:r>
        <w:rPr>
          <w:rFonts w:hint="eastAsia" w:ascii="宋体" w:hAnsi="宋体" w:cs="宋体"/>
          <w:color w:val="auto"/>
          <w:sz w:val="21"/>
          <w:szCs w:val="21"/>
          <w:highlight w:val="none"/>
          <w:shd w:val="clear" w:color="auto" w:fill="FFFFFF"/>
          <w:lang w:eastAsia="zh-CN"/>
        </w:rPr>
        <w:t>投标人</w:t>
      </w:r>
      <w:r>
        <w:rPr>
          <w:rFonts w:hint="eastAsia" w:ascii="宋体" w:hAnsi="宋体" w:cs="宋体"/>
          <w:color w:val="auto"/>
          <w:sz w:val="21"/>
          <w:szCs w:val="21"/>
          <w:highlight w:val="none"/>
          <w:shd w:val="clear" w:color="auto" w:fill="FFFFFF"/>
        </w:rPr>
        <w:t>正式职工、具有环境类相关专业中级及以上职称[投标文件提供</w:t>
      </w:r>
      <w:r>
        <w:rPr>
          <w:rFonts w:hint="eastAsia" w:ascii="宋体" w:hAnsi="宋体" w:cs="宋体"/>
          <w:color w:val="auto"/>
          <w:sz w:val="21"/>
          <w:szCs w:val="21"/>
          <w:highlight w:val="none"/>
          <w:shd w:val="clear" w:color="auto" w:fill="FFFFFF"/>
          <w:lang w:eastAsia="zh-CN"/>
        </w:rPr>
        <w:t>投标人</w:t>
      </w:r>
      <w:r>
        <w:rPr>
          <w:rFonts w:hint="eastAsia" w:ascii="宋体" w:hAnsi="宋体" w:cs="宋体"/>
          <w:color w:val="auto"/>
          <w:sz w:val="21"/>
          <w:szCs w:val="21"/>
          <w:highlight w:val="none"/>
          <w:shd w:val="clear" w:color="auto" w:fill="FFFFFF"/>
        </w:rPr>
        <w:t>所参与标段的各项目负责人职称证书复印件加盖公章（</w:t>
      </w:r>
      <w:r>
        <w:rPr>
          <w:rFonts w:hint="eastAsia" w:ascii="宋体" w:hAnsi="宋体" w:cs="宋体"/>
          <w:color w:val="auto"/>
          <w:sz w:val="21"/>
          <w:szCs w:val="21"/>
          <w:highlight w:val="none"/>
          <w:shd w:val="clear" w:color="auto" w:fill="FFFFFF"/>
          <w:lang w:eastAsia="zh-CN"/>
        </w:rPr>
        <w:t>现场原件备查</w:t>
      </w:r>
      <w:r>
        <w:rPr>
          <w:rFonts w:hint="eastAsia" w:ascii="宋体" w:hAnsi="宋体" w:cs="宋体"/>
          <w:color w:val="auto"/>
          <w:sz w:val="21"/>
          <w:szCs w:val="21"/>
          <w:highlight w:val="none"/>
          <w:shd w:val="clear" w:color="auto" w:fill="FFFFFF"/>
        </w:rPr>
        <w:t>）、社会保险参保证明原件（社会保险参保证明开具时间应在开标日前，能证明</w:t>
      </w:r>
      <w:r>
        <w:rPr>
          <w:rFonts w:hint="eastAsia" w:ascii="宋体" w:hAnsi="宋体" w:cs="宋体"/>
          <w:color w:val="auto"/>
          <w:sz w:val="21"/>
          <w:szCs w:val="21"/>
          <w:highlight w:val="none"/>
          <w:shd w:val="clear" w:color="auto" w:fill="FFFFFF"/>
          <w:lang w:val="en-US" w:eastAsia="zh-CN"/>
        </w:rPr>
        <w:t>距</w:t>
      </w:r>
      <w:r>
        <w:rPr>
          <w:rFonts w:hint="eastAsia" w:ascii="宋体" w:hAnsi="宋体" w:cs="宋体"/>
          <w:color w:val="auto"/>
          <w:sz w:val="21"/>
          <w:szCs w:val="21"/>
          <w:highlight w:val="none"/>
          <w:shd w:val="clear" w:color="auto" w:fill="FFFFFF"/>
        </w:rPr>
        <w:t>开标日</w:t>
      </w:r>
      <w:r>
        <w:rPr>
          <w:rFonts w:hint="eastAsia" w:ascii="宋体" w:hAnsi="宋体" w:cs="宋体"/>
          <w:color w:val="auto"/>
          <w:sz w:val="21"/>
          <w:szCs w:val="21"/>
          <w:highlight w:val="none"/>
          <w:shd w:val="clear" w:color="auto" w:fill="FFFFFF"/>
          <w:lang w:val="en-US" w:eastAsia="zh-CN"/>
        </w:rPr>
        <w:t>近</w:t>
      </w:r>
      <w:r>
        <w:rPr>
          <w:rFonts w:hint="eastAsia" w:ascii="宋体" w:hAnsi="宋体" w:cs="宋体"/>
          <w:color w:val="auto"/>
          <w:sz w:val="21"/>
          <w:szCs w:val="21"/>
          <w:highlight w:val="none"/>
          <w:shd w:val="clear" w:color="auto" w:fill="FFFFFF"/>
        </w:rPr>
        <w:t>三个月该人员的社会保险费</w:t>
      </w:r>
      <w:r>
        <w:rPr>
          <w:rFonts w:hint="eastAsia" w:ascii="宋体" w:hAnsi="宋体" w:cs="宋体"/>
          <w:color w:val="auto"/>
          <w:sz w:val="21"/>
          <w:szCs w:val="21"/>
          <w:highlight w:val="none"/>
          <w:shd w:val="clear" w:color="auto" w:fill="FFFFFF"/>
          <w:lang w:val="en-US" w:eastAsia="zh-CN"/>
        </w:rPr>
        <w:t>均已</w:t>
      </w:r>
      <w:r>
        <w:rPr>
          <w:rFonts w:hint="eastAsia" w:ascii="宋体" w:hAnsi="宋体" w:cs="宋体"/>
          <w:color w:val="auto"/>
          <w:sz w:val="21"/>
          <w:szCs w:val="21"/>
          <w:highlight w:val="none"/>
          <w:shd w:val="clear" w:color="auto" w:fill="FFFFFF"/>
        </w:rPr>
        <w:t>正常缴纳，且该三个月社会保险费的缴费单位均为</w:t>
      </w:r>
      <w:r>
        <w:rPr>
          <w:rFonts w:hint="eastAsia" w:ascii="宋体" w:hAnsi="宋体" w:cs="宋体"/>
          <w:color w:val="auto"/>
          <w:sz w:val="21"/>
          <w:szCs w:val="21"/>
          <w:highlight w:val="none"/>
          <w:shd w:val="clear" w:color="auto" w:fill="FFFFFF"/>
          <w:lang w:eastAsia="zh-CN"/>
        </w:rPr>
        <w:t>投标人）</w:t>
      </w:r>
      <w:r>
        <w:rPr>
          <w:rFonts w:hint="eastAsia" w:ascii="宋体" w:hAnsi="宋体" w:cs="宋体"/>
          <w:color w:val="auto"/>
          <w:sz w:val="21"/>
          <w:szCs w:val="21"/>
          <w:highlight w:val="none"/>
          <w:shd w:val="clear" w:color="auto" w:fill="FFFFFF"/>
        </w:rPr>
        <w:t>；</w:t>
      </w:r>
    </w:p>
    <w:p>
      <w:pPr>
        <w:pStyle w:val="20"/>
        <w:shd w:val="clear"/>
        <w:adjustRightInd w:val="0"/>
        <w:snapToGrid w:val="0"/>
        <w:spacing w:beforeAutospacing="0" w:afterAutospacing="0" w:line="360" w:lineRule="auto"/>
        <w:ind w:firstLine="420" w:firstLineChars="200"/>
        <w:rPr>
          <w:rFonts w:hint="default" w:ascii="宋体" w:hAnsi="宋体" w:eastAsia="宋体" w:cs="宋体"/>
          <w:color w:val="auto"/>
          <w:sz w:val="21"/>
          <w:szCs w:val="21"/>
          <w:highlight w:val="none"/>
          <w:shd w:val="clear" w:color="auto" w:fill="FFFFFF"/>
          <w:lang w:val="en-US" w:eastAsia="zh-CN"/>
        </w:rPr>
      </w:pPr>
      <w:r>
        <w:rPr>
          <w:rFonts w:hint="eastAsia" w:ascii="宋体" w:hAnsi="宋体" w:cs="宋体"/>
          <w:color w:val="auto"/>
          <w:sz w:val="21"/>
          <w:szCs w:val="21"/>
          <w:highlight w:val="none"/>
          <w:shd w:val="clear" w:color="auto" w:fill="FFFFFF"/>
          <w:lang w:val="en-US" w:eastAsia="zh-CN"/>
        </w:rPr>
        <w:t>3.4本项目不接受联合体投标，实行资格后审。</w:t>
      </w:r>
    </w:p>
    <w:p>
      <w:pPr>
        <w:pStyle w:val="20"/>
        <w:shd w:val="clear"/>
        <w:adjustRightInd w:val="0"/>
        <w:snapToGrid w:val="0"/>
        <w:spacing w:beforeAutospacing="0" w:afterAutospacing="0" w:line="360" w:lineRule="auto"/>
        <w:jc w:val="both"/>
        <w:rPr>
          <w:rFonts w:ascii="宋体" w:hAnsi="宋体" w:cs="宋体"/>
          <w:color w:val="auto"/>
          <w:sz w:val="21"/>
          <w:szCs w:val="21"/>
          <w:highlight w:val="none"/>
        </w:rPr>
      </w:pPr>
      <w:r>
        <w:rPr>
          <w:rStyle w:val="25"/>
          <w:rFonts w:hint="eastAsia" w:ascii="宋体" w:hAnsi="宋体" w:cs="宋体"/>
          <w:color w:val="auto"/>
          <w:sz w:val="21"/>
          <w:szCs w:val="21"/>
          <w:highlight w:val="none"/>
          <w:shd w:val="clear" w:color="auto" w:fill="FFFFFF"/>
        </w:rPr>
        <w:t>三、获取招标文件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时间：202</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02</w:t>
      </w:r>
      <w:r>
        <w:rPr>
          <w:rFonts w:hint="eastAsia" w:ascii="宋体" w:hAnsi="宋体" w:eastAsia="宋体" w:cs="宋体"/>
          <w:color w:val="auto"/>
          <w:szCs w:val="21"/>
          <w:highlight w:val="none"/>
        </w:rPr>
        <w:t>月</w:t>
      </w:r>
      <w:r>
        <w:rPr>
          <w:rFonts w:hint="eastAsia" w:ascii="宋体" w:hAnsi="宋体" w:cs="宋体"/>
          <w:color w:val="auto"/>
          <w:szCs w:val="21"/>
          <w:highlight w:val="none"/>
          <w:lang w:val="en-US" w:eastAsia="zh-CN"/>
        </w:rPr>
        <w:t>01</w:t>
      </w:r>
      <w:r>
        <w:rPr>
          <w:rFonts w:hint="eastAsia" w:ascii="宋体" w:hAnsi="宋体" w:eastAsia="宋体" w:cs="宋体"/>
          <w:color w:val="auto"/>
          <w:szCs w:val="21"/>
          <w:highlight w:val="none"/>
        </w:rPr>
        <w:t>日至202</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02</w:t>
      </w:r>
      <w:r>
        <w:rPr>
          <w:rFonts w:hint="eastAsia" w:ascii="宋体" w:hAnsi="宋体" w:eastAsia="宋体" w:cs="宋体"/>
          <w:color w:val="auto"/>
          <w:szCs w:val="21"/>
          <w:highlight w:val="none"/>
        </w:rPr>
        <w:t>月</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rPr>
        <w:t>日，每天上午00:00至12:00 ，下午12:00至23:59（北京时间，线上获取法定节假日均可，线下获取文件法定节假日除外）</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地点（网址）：</w:t>
      </w:r>
      <w:r>
        <w:rPr>
          <w:rFonts w:hint="eastAsia" w:ascii="宋体" w:hAnsi="宋体" w:eastAsia="宋体" w:cs="宋体"/>
          <w:color w:val="auto"/>
          <w:szCs w:val="21"/>
          <w:highlight w:val="none"/>
          <w:lang w:eastAsia="zh-CN"/>
        </w:rPr>
        <w:t>政府采购云平台</w:t>
      </w:r>
      <w:r>
        <w:rPr>
          <w:rFonts w:hint="eastAsia" w:ascii="宋体" w:hAnsi="宋体" w:eastAsia="宋体" w:cs="宋体"/>
          <w:color w:val="auto"/>
          <w:szCs w:val="21"/>
          <w:highlight w:val="none"/>
        </w:rPr>
        <w:t xml:space="preserve">（www.zcygov.cn）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地点（网址）：政采云平台（http://zfcg.czt.zj.gov.cn）。</w:t>
      </w:r>
    </w:p>
    <w:p>
      <w:pPr>
        <w:spacing w:line="360" w:lineRule="auto"/>
        <w:ind w:firstLine="420" w:firstLineChars="200"/>
        <w:rPr>
          <w:rFonts w:ascii="宋体" w:hAnsi="宋体" w:cs="宋体"/>
          <w:color w:val="auto"/>
          <w:sz w:val="21"/>
          <w:szCs w:val="21"/>
          <w:highlight w:val="none"/>
          <w:shd w:val="clear" w:color="auto" w:fill="FFFFFF"/>
        </w:rPr>
      </w:pPr>
      <w:r>
        <w:rPr>
          <w:rFonts w:hint="eastAsia" w:ascii="宋体" w:hAnsi="宋体" w:eastAsia="宋体" w:cs="宋体"/>
          <w:color w:val="auto"/>
          <w:szCs w:val="21"/>
          <w:highlight w:val="none"/>
        </w:rPr>
        <w:t>方式：供应商可通过“浙江政府采购网http://zfcg.czt.zj.gov.cn/”在线获取（采购公告下方选取“潜在供应商”处“获取采购文件”）；供应商只有在“浙江政府采购网”完成获取采购文件申请并下载了采购文件后才视作依法获取采购文件（法律法规所指的供应商获取采购文件时间以供应商完成获取采购文件申请后下载采购文</w:t>
      </w:r>
      <w:r>
        <w:rPr>
          <w:rFonts w:hint="eastAsia" w:ascii="宋体" w:hAnsi="宋体" w:cs="宋体"/>
          <w:color w:val="auto"/>
          <w:sz w:val="21"/>
          <w:szCs w:val="21"/>
          <w:highlight w:val="none"/>
          <w:shd w:val="clear" w:color="auto" w:fill="FFFFFF"/>
        </w:rPr>
        <w:t>件的时间为准备）；供应商网上报名操作指南：（http://zfcg.czt.zj.gov.cn/bs_other/2018-03-30/12002.html）。具体要求及注册申请流程详见《浙江省政府采购供应商注册及诚信管理暂行办法》（浙财采监字{2009}28号）和浙江政府采购网“网上办事指南”的“供应商注册申请”。注册咨询电话：4008817190</w:t>
      </w:r>
    </w:p>
    <w:p>
      <w:pPr>
        <w:pStyle w:val="20"/>
        <w:shd w:val="clear"/>
        <w:adjustRightInd w:val="0"/>
        <w:snapToGrid w:val="0"/>
        <w:spacing w:beforeAutospacing="0" w:afterAutospacing="0" w:line="360" w:lineRule="auto"/>
        <w:ind w:firstLine="420" w:firstLineChars="200"/>
        <w:rPr>
          <w:rFonts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通过本公告下方“游客，浏览采购文件”下载的采购文件仅供浏览，不视作依法获取招标文件，不得就采购文件提出质疑投诉,未按规定获取招标文件者的投标将被拒绝。</w:t>
      </w:r>
    </w:p>
    <w:p>
      <w:pPr>
        <w:pStyle w:val="20"/>
        <w:shd w:val="clear"/>
        <w:adjustRightInd w:val="0"/>
        <w:snapToGrid w:val="0"/>
        <w:spacing w:beforeAutospacing="0" w:afterAutospacing="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shd w:val="clear" w:color="auto" w:fill="FFFFFF"/>
        </w:rPr>
        <w:t>售价（元）：</w:t>
      </w:r>
      <w:r>
        <w:rPr>
          <w:rFonts w:hint="eastAsia" w:ascii="宋体" w:hAnsi="宋体" w:cs="宋体"/>
          <w:color w:val="auto"/>
          <w:sz w:val="21"/>
          <w:szCs w:val="21"/>
          <w:highlight w:val="none"/>
          <w:shd w:val="clear" w:color="auto" w:fill="FFFFFF"/>
          <w:lang w:val="en-US" w:eastAsia="zh-CN"/>
        </w:rPr>
        <w:t>/</w:t>
      </w:r>
    </w:p>
    <w:p>
      <w:pPr>
        <w:pStyle w:val="20"/>
        <w:shd w:val="clear"/>
        <w:adjustRightInd w:val="0"/>
        <w:snapToGrid w:val="0"/>
        <w:spacing w:beforeAutospacing="0" w:afterAutospacing="0" w:line="360" w:lineRule="auto"/>
        <w:jc w:val="both"/>
        <w:rPr>
          <w:rFonts w:ascii="宋体" w:hAnsi="宋体" w:cs="宋体"/>
          <w:color w:val="auto"/>
          <w:sz w:val="21"/>
          <w:szCs w:val="21"/>
          <w:highlight w:val="none"/>
        </w:rPr>
      </w:pPr>
      <w:r>
        <w:rPr>
          <w:rStyle w:val="25"/>
          <w:rFonts w:hint="eastAsia" w:ascii="宋体" w:hAnsi="宋体" w:cs="宋体"/>
          <w:color w:val="auto"/>
          <w:sz w:val="21"/>
          <w:szCs w:val="21"/>
          <w:highlight w:val="none"/>
          <w:shd w:val="clear" w:color="auto" w:fill="FFFFFF"/>
        </w:rPr>
        <w:t>四、提交投标文件截止时间、开标时间和地点</w:t>
      </w:r>
    </w:p>
    <w:p>
      <w:pPr>
        <w:pStyle w:val="20"/>
        <w:adjustRightInd w:val="0"/>
        <w:snapToGrid w:val="0"/>
        <w:spacing w:beforeAutospacing="0" w:afterAutospacing="0" w:line="360" w:lineRule="auto"/>
        <w:ind w:firstLine="420" w:firstLineChars="200"/>
        <w:rPr>
          <w:rFonts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提交投标文件截止时间：202</w:t>
      </w:r>
      <w:r>
        <w:rPr>
          <w:rFonts w:hint="eastAsia" w:ascii="宋体" w:hAnsi="宋体" w:cs="宋体"/>
          <w:color w:val="auto"/>
          <w:sz w:val="21"/>
          <w:szCs w:val="21"/>
          <w:highlight w:val="none"/>
          <w:shd w:val="clear" w:color="auto" w:fill="FFFFFF"/>
          <w:lang w:val="en-US" w:eastAsia="zh-CN"/>
        </w:rPr>
        <w:t>1</w:t>
      </w:r>
      <w:r>
        <w:rPr>
          <w:rFonts w:hint="eastAsia" w:ascii="宋体" w:hAnsi="宋体" w:cs="宋体"/>
          <w:color w:val="auto"/>
          <w:sz w:val="21"/>
          <w:szCs w:val="21"/>
          <w:highlight w:val="none"/>
          <w:shd w:val="clear" w:color="auto" w:fill="FFFFFF"/>
        </w:rPr>
        <w:t>年</w:t>
      </w:r>
      <w:r>
        <w:rPr>
          <w:rFonts w:hint="eastAsia" w:ascii="宋体" w:hAnsi="宋体" w:cs="宋体"/>
          <w:color w:val="auto"/>
          <w:sz w:val="21"/>
          <w:szCs w:val="21"/>
          <w:highlight w:val="none"/>
          <w:shd w:val="clear" w:color="auto" w:fill="FFFFFF"/>
          <w:lang w:val="en-US" w:eastAsia="zh-CN"/>
        </w:rPr>
        <w:t>02</w:t>
      </w:r>
      <w:r>
        <w:rPr>
          <w:rFonts w:hint="eastAsia" w:ascii="宋体" w:hAnsi="宋体" w:cs="宋体"/>
          <w:color w:val="auto"/>
          <w:sz w:val="21"/>
          <w:szCs w:val="21"/>
          <w:highlight w:val="none"/>
          <w:shd w:val="clear" w:color="auto" w:fill="FFFFFF"/>
        </w:rPr>
        <w:t>月</w:t>
      </w:r>
      <w:r>
        <w:rPr>
          <w:rFonts w:hint="eastAsia" w:ascii="宋体" w:hAnsi="宋体" w:cs="宋体"/>
          <w:color w:val="auto"/>
          <w:sz w:val="21"/>
          <w:szCs w:val="21"/>
          <w:highlight w:val="none"/>
          <w:shd w:val="clear" w:color="auto" w:fill="FFFFFF"/>
          <w:lang w:val="en-US" w:eastAsia="zh-CN"/>
        </w:rPr>
        <w:t>22</w:t>
      </w:r>
      <w:r>
        <w:rPr>
          <w:rFonts w:hint="eastAsia" w:ascii="宋体" w:hAnsi="宋体" w:cs="宋体"/>
          <w:color w:val="auto"/>
          <w:sz w:val="21"/>
          <w:szCs w:val="21"/>
          <w:highlight w:val="none"/>
          <w:shd w:val="clear" w:color="auto" w:fill="FFFFFF"/>
        </w:rPr>
        <w:t>日09时00分前（北京时间）</w:t>
      </w:r>
    </w:p>
    <w:p>
      <w:pPr>
        <w:pStyle w:val="20"/>
        <w:adjustRightInd w:val="0"/>
        <w:snapToGrid w:val="0"/>
        <w:spacing w:beforeAutospacing="0" w:afterAutospacing="0" w:line="360" w:lineRule="auto"/>
        <w:ind w:firstLine="420" w:firstLineChars="200"/>
        <w:rPr>
          <w:rFonts w:hint="eastAsia"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投标地点：投标截止时间为202</w:t>
      </w:r>
      <w:r>
        <w:rPr>
          <w:rFonts w:hint="eastAsia" w:ascii="宋体" w:hAnsi="宋体" w:cs="宋体"/>
          <w:color w:val="auto"/>
          <w:sz w:val="21"/>
          <w:szCs w:val="21"/>
          <w:highlight w:val="none"/>
          <w:shd w:val="clear" w:color="auto" w:fill="FFFFFF"/>
          <w:lang w:val="en-US" w:eastAsia="zh-CN"/>
        </w:rPr>
        <w:t>1</w:t>
      </w:r>
      <w:r>
        <w:rPr>
          <w:rFonts w:hint="eastAsia" w:ascii="宋体" w:hAnsi="宋体" w:cs="宋体"/>
          <w:color w:val="auto"/>
          <w:sz w:val="21"/>
          <w:szCs w:val="21"/>
          <w:highlight w:val="none"/>
          <w:shd w:val="clear" w:color="auto" w:fill="FFFFFF"/>
        </w:rPr>
        <w:t>年</w:t>
      </w:r>
      <w:r>
        <w:rPr>
          <w:rFonts w:hint="eastAsia" w:ascii="宋体" w:hAnsi="宋体" w:cs="宋体"/>
          <w:color w:val="auto"/>
          <w:sz w:val="21"/>
          <w:szCs w:val="21"/>
          <w:highlight w:val="none"/>
          <w:shd w:val="clear" w:color="auto" w:fill="FFFFFF"/>
          <w:lang w:val="en-US" w:eastAsia="zh-CN"/>
        </w:rPr>
        <w:t>02</w:t>
      </w:r>
      <w:r>
        <w:rPr>
          <w:rFonts w:hint="eastAsia" w:ascii="宋体" w:hAnsi="宋体" w:cs="宋体"/>
          <w:color w:val="auto"/>
          <w:sz w:val="21"/>
          <w:szCs w:val="21"/>
          <w:highlight w:val="none"/>
          <w:shd w:val="clear" w:color="auto" w:fill="FFFFFF"/>
        </w:rPr>
        <w:t>月</w:t>
      </w:r>
      <w:r>
        <w:rPr>
          <w:rFonts w:hint="eastAsia" w:ascii="宋体" w:hAnsi="宋体" w:cs="宋体"/>
          <w:color w:val="auto"/>
          <w:sz w:val="21"/>
          <w:szCs w:val="21"/>
          <w:highlight w:val="none"/>
          <w:shd w:val="clear" w:color="auto" w:fill="FFFFFF"/>
          <w:lang w:val="en-US" w:eastAsia="zh-CN"/>
        </w:rPr>
        <w:t>22</w:t>
      </w:r>
      <w:r>
        <w:rPr>
          <w:rFonts w:hint="eastAsia" w:ascii="宋体" w:hAnsi="宋体" w:cs="宋体"/>
          <w:color w:val="auto"/>
          <w:sz w:val="21"/>
          <w:szCs w:val="21"/>
          <w:highlight w:val="none"/>
          <w:shd w:val="clear" w:color="auto" w:fill="FFFFFF"/>
        </w:rPr>
        <w:t>日</w:t>
      </w:r>
      <w:r>
        <w:rPr>
          <w:rFonts w:hint="eastAsia" w:ascii="宋体" w:hAnsi="宋体" w:cs="宋体"/>
          <w:color w:val="auto"/>
          <w:sz w:val="21"/>
          <w:szCs w:val="21"/>
          <w:highlight w:val="none"/>
          <w:shd w:val="clear" w:color="auto" w:fill="FFFFFF"/>
          <w:lang w:val="en-US" w:eastAsia="zh-CN"/>
        </w:rPr>
        <w:t>09</w:t>
      </w:r>
      <w:r>
        <w:rPr>
          <w:rFonts w:hint="eastAsia" w:ascii="宋体" w:hAnsi="宋体" w:cs="宋体"/>
          <w:color w:val="auto"/>
          <w:sz w:val="21"/>
          <w:szCs w:val="21"/>
          <w:highlight w:val="none"/>
          <w:shd w:val="clear" w:color="auto" w:fill="FFFFFF"/>
        </w:rPr>
        <w:t>时00分（北京时间），投标地点在宁波市鄞州区公共资源交易中心开标大厅（鄞州区惠江路567号（鄞州区妇儿医院对面）鄞州区行政服务中心五楼，详见电子显示屏）；迟到的投标文件或未完成报名的投标将被拒绝。</w:t>
      </w:r>
    </w:p>
    <w:p>
      <w:pPr>
        <w:pStyle w:val="20"/>
        <w:adjustRightInd w:val="0"/>
        <w:snapToGrid w:val="0"/>
        <w:spacing w:beforeAutospacing="0" w:afterAutospacing="0"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shd w:val="clear" w:color="auto" w:fill="FFFFFF"/>
        </w:rPr>
        <w:t>开标时间：</w:t>
      </w:r>
      <w:r>
        <w:rPr>
          <w:rFonts w:hint="eastAsia" w:ascii="宋体" w:hAnsi="宋体" w:cs="宋体"/>
          <w:color w:val="auto"/>
          <w:sz w:val="21"/>
          <w:szCs w:val="21"/>
          <w:highlight w:val="none"/>
          <w:u w:val="single"/>
          <w:shd w:val="clear" w:color="auto" w:fill="FFFFFF"/>
        </w:rPr>
        <w:t>202</w:t>
      </w:r>
      <w:r>
        <w:rPr>
          <w:rFonts w:hint="eastAsia" w:ascii="宋体" w:hAnsi="宋体" w:cs="宋体"/>
          <w:color w:val="auto"/>
          <w:sz w:val="21"/>
          <w:szCs w:val="21"/>
          <w:highlight w:val="none"/>
          <w:u w:val="single"/>
          <w:shd w:val="clear" w:color="auto" w:fill="FFFFFF"/>
          <w:lang w:val="en-US" w:eastAsia="zh-CN"/>
        </w:rPr>
        <w:t>1</w:t>
      </w:r>
      <w:r>
        <w:rPr>
          <w:rFonts w:hint="eastAsia" w:ascii="宋体" w:hAnsi="宋体" w:cs="宋体"/>
          <w:color w:val="auto"/>
          <w:sz w:val="21"/>
          <w:szCs w:val="21"/>
          <w:highlight w:val="none"/>
          <w:u w:val="single"/>
          <w:shd w:val="clear" w:color="auto" w:fill="FFFFFF"/>
        </w:rPr>
        <w:t>年</w:t>
      </w:r>
      <w:r>
        <w:rPr>
          <w:rFonts w:hint="eastAsia" w:ascii="宋体" w:hAnsi="宋体" w:cs="宋体"/>
          <w:color w:val="auto"/>
          <w:sz w:val="21"/>
          <w:szCs w:val="21"/>
          <w:highlight w:val="none"/>
          <w:u w:val="single"/>
          <w:shd w:val="clear" w:color="auto" w:fill="FFFFFF"/>
          <w:lang w:val="en-US" w:eastAsia="zh-CN"/>
        </w:rPr>
        <w:t>02</w:t>
      </w:r>
      <w:r>
        <w:rPr>
          <w:rFonts w:hint="eastAsia" w:ascii="宋体" w:hAnsi="宋体" w:cs="宋体"/>
          <w:color w:val="auto"/>
          <w:sz w:val="21"/>
          <w:szCs w:val="21"/>
          <w:highlight w:val="none"/>
          <w:u w:val="single"/>
          <w:shd w:val="clear" w:color="auto" w:fill="FFFFFF"/>
        </w:rPr>
        <w:t>月</w:t>
      </w:r>
      <w:r>
        <w:rPr>
          <w:rFonts w:hint="eastAsia" w:ascii="宋体" w:hAnsi="宋体" w:cs="宋体"/>
          <w:color w:val="auto"/>
          <w:sz w:val="21"/>
          <w:szCs w:val="21"/>
          <w:highlight w:val="none"/>
          <w:u w:val="single"/>
          <w:shd w:val="clear" w:color="auto" w:fill="FFFFFF"/>
          <w:lang w:val="en-US" w:eastAsia="zh-CN"/>
        </w:rPr>
        <w:t>22</w:t>
      </w:r>
      <w:r>
        <w:rPr>
          <w:rFonts w:hint="eastAsia" w:ascii="宋体" w:hAnsi="宋体" w:cs="宋体"/>
          <w:color w:val="auto"/>
          <w:sz w:val="21"/>
          <w:szCs w:val="21"/>
          <w:highlight w:val="none"/>
          <w:u w:val="single"/>
          <w:shd w:val="clear" w:color="auto" w:fill="FFFFFF"/>
        </w:rPr>
        <w:t>日</w:t>
      </w:r>
      <w:r>
        <w:rPr>
          <w:rFonts w:hint="eastAsia" w:ascii="宋体" w:hAnsi="宋体" w:cs="宋体"/>
          <w:color w:val="auto"/>
          <w:sz w:val="21"/>
          <w:szCs w:val="21"/>
          <w:highlight w:val="none"/>
          <w:u w:val="single"/>
          <w:shd w:val="clear" w:color="auto" w:fill="FFFFFF"/>
          <w:lang w:val="en-US" w:eastAsia="zh-CN"/>
        </w:rPr>
        <w:t>09</w:t>
      </w:r>
      <w:r>
        <w:rPr>
          <w:rFonts w:hint="eastAsia" w:ascii="宋体" w:hAnsi="宋体" w:cs="宋体"/>
          <w:color w:val="auto"/>
          <w:sz w:val="21"/>
          <w:szCs w:val="21"/>
          <w:highlight w:val="none"/>
          <w:u w:val="single"/>
          <w:shd w:val="clear" w:color="auto" w:fill="FFFFFF"/>
        </w:rPr>
        <w:t>:00</w:t>
      </w:r>
    </w:p>
    <w:p>
      <w:pPr>
        <w:pStyle w:val="20"/>
        <w:adjustRightInd w:val="0"/>
        <w:snapToGrid w:val="0"/>
        <w:spacing w:beforeAutospacing="0" w:afterAutospacing="0"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shd w:val="clear" w:color="auto" w:fill="FFFFFF"/>
        </w:rPr>
        <w:t>开标地点：</w:t>
      </w:r>
      <w:r>
        <w:rPr>
          <w:rFonts w:hint="eastAsia" w:ascii="宋体" w:hAnsi="宋体" w:cs="宋体"/>
          <w:color w:val="auto"/>
          <w:sz w:val="21"/>
          <w:szCs w:val="21"/>
          <w:highlight w:val="none"/>
          <w:u w:val="single"/>
          <w:shd w:val="clear" w:color="auto" w:fill="FFFFFF"/>
        </w:rPr>
        <w:t>宁波市鄞州区行政服务中心五楼</w:t>
      </w:r>
      <w:r>
        <w:rPr>
          <w:rFonts w:hint="eastAsia" w:ascii="宋体" w:hAnsi="宋体" w:cs="宋体"/>
          <w:color w:val="auto"/>
          <w:sz w:val="21"/>
          <w:szCs w:val="21"/>
          <w:highlight w:val="none"/>
          <w:u w:val="single"/>
          <w:shd w:val="clear" w:color="auto" w:fill="FFFFFF"/>
          <w:lang w:eastAsia="zh-CN"/>
        </w:rPr>
        <w:t>（</w:t>
      </w:r>
      <w:r>
        <w:rPr>
          <w:rFonts w:hint="eastAsia" w:ascii="宋体" w:hAnsi="宋体" w:cs="宋体"/>
          <w:color w:val="auto"/>
          <w:sz w:val="21"/>
          <w:szCs w:val="21"/>
          <w:highlight w:val="none"/>
          <w:u w:val="single"/>
          <w:shd w:val="clear" w:color="auto" w:fill="FFFFFF"/>
        </w:rPr>
        <w:t>鄞州区惠江路567号，鄞州区妇儿医院对面，详见电子显示屏</w:t>
      </w:r>
      <w:r>
        <w:rPr>
          <w:rFonts w:hint="eastAsia" w:ascii="宋体" w:hAnsi="宋体" w:cs="宋体"/>
          <w:color w:val="auto"/>
          <w:sz w:val="21"/>
          <w:szCs w:val="21"/>
          <w:highlight w:val="none"/>
          <w:u w:val="single"/>
          <w:shd w:val="clear" w:color="auto" w:fill="FFFFFF"/>
          <w:lang w:eastAsia="zh-CN"/>
        </w:rPr>
        <w:t>）</w:t>
      </w:r>
    </w:p>
    <w:p>
      <w:pPr>
        <w:pStyle w:val="20"/>
        <w:adjustRightInd w:val="0"/>
        <w:snapToGrid w:val="0"/>
        <w:spacing w:beforeAutospacing="0" w:afterAutospacing="0" w:line="360" w:lineRule="auto"/>
        <w:jc w:val="both"/>
        <w:rPr>
          <w:rFonts w:ascii="宋体" w:hAnsi="宋体" w:cs="宋体"/>
          <w:color w:val="auto"/>
          <w:sz w:val="21"/>
          <w:szCs w:val="21"/>
          <w:highlight w:val="none"/>
        </w:rPr>
      </w:pPr>
      <w:r>
        <w:rPr>
          <w:rStyle w:val="25"/>
          <w:rFonts w:hint="eastAsia" w:ascii="宋体" w:hAnsi="宋体" w:cs="宋体"/>
          <w:color w:val="auto"/>
          <w:sz w:val="21"/>
          <w:szCs w:val="21"/>
          <w:highlight w:val="none"/>
          <w:shd w:val="clear" w:color="auto" w:fill="FFFFFF"/>
        </w:rPr>
        <w:t>五、公告期限</w:t>
      </w:r>
    </w:p>
    <w:p>
      <w:pPr>
        <w:pStyle w:val="20"/>
        <w:adjustRightInd w:val="0"/>
        <w:snapToGrid w:val="0"/>
        <w:spacing w:beforeAutospacing="0" w:afterAutospacing="0"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shd w:val="clear" w:color="auto" w:fill="FFFFFF"/>
        </w:rPr>
        <w:t>自本公告发布之日起5个工作日。</w:t>
      </w:r>
    </w:p>
    <w:p>
      <w:pPr>
        <w:pStyle w:val="20"/>
        <w:adjustRightInd w:val="0"/>
        <w:snapToGrid w:val="0"/>
        <w:spacing w:beforeAutospacing="0" w:afterAutospacing="0" w:line="360" w:lineRule="auto"/>
        <w:jc w:val="both"/>
        <w:rPr>
          <w:rFonts w:ascii="宋体" w:hAnsi="宋体" w:cs="宋体"/>
          <w:color w:val="auto"/>
          <w:sz w:val="21"/>
          <w:szCs w:val="21"/>
          <w:highlight w:val="none"/>
        </w:rPr>
      </w:pPr>
      <w:r>
        <w:rPr>
          <w:rStyle w:val="25"/>
          <w:rFonts w:hint="eastAsia" w:ascii="宋体" w:hAnsi="宋体" w:cs="宋体"/>
          <w:color w:val="auto"/>
          <w:sz w:val="21"/>
          <w:szCs w:val="21"/>
          <w:highlight w:val="none"/>
          <w:shd w:val="clear" w:color="auto" w:fill="FFFFFF"/>
        </w:rPr>
        <w:t>六、采购项目需要落实的政府采购政策：</w:t>
      </w:r>
    </w:p>
    <w:p>
      <w:pPr>
        <w:pStyle w:val="20"/>
        <w:adjustRightInd w:val="0"/>
        <w:snapToGrid w:val="0"/>
        <w:spacing w:beforeAutospacing="0" w:afterAutospacing="0" w:line="360" w:lineRule="auto"/>
        <w:ind w:firstLine="420" w:firstLineChars="200"/>
        <w:rPr>
          <w:rFonts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lang w:val="en-US" w:eastAsia="zh-CN"/>
        </w:rPr>
        <w:t>1）</w:t>
      </w:r>
      <w:r>
        <w:rPr>
          <w:rFonts w:hint="eastAsia" w:ascii="宋体" w:hAnsi="宋体" w:cs="宋体"/>
          <w:color w:val="auto"/>
          <w:sz w:val="21"/>
          <w:szCs w:val="21"/>
          <w:highlight w:val="none"/>
          <w:shd w:val="clear" w:color="auto" w:fill="FFFFFF"/>
        </w:rPr>
        <w:t xml:space="preserve">对小微企业的产品给予价格优惠（监狱企业、残疾人福利性单位视同小微企业；残疾人福利性单位属于小型、微型企业的，不重复享受政策）。2）优先采购节能环保产品（注：所采购的货物在政府采购节能产品、环境标志产品实施品目清单范围内，且具有国家确定的认证机构出具的、处于有效期之内的节能产品、环境标志产品认证证书）。 </w:t>
      </w:r>
    </w:p>
    <w:p>
      <w:pPr>
        <w:pStyle w:val="20"/>
        <w:adjustRightInd w:val="0"/>
        <w:snapToGrid w:val="0"/>
        <w:spacing w:beforeAutospacing="0" w:afterAutospacing="0" w:line="360" w:lineRule="auto"/>
        <w:jc w:val="both"/>
        <w:rPr>
          <w:rFonts w:ascii="宋体" w:hAnsi="宋体" w:cs="宋体"/>
          <w:color w:val="auto"/>
          <w:sz w:val="21"/>
          <w:szCs w:val="21"/>
          <w:highlight w:val="none"/>
        </w:rPr>
      </w:pPr>
      <w:r>
        <w:rPr>
          <w:rStyle w:val="25"/>
          <w:rFonts w:hint="eastAsia" w:ascii="宋体" w:hAnsi="宋体" w:cs="宋体"/>
          <w:color w:val="auto"/>
          <w:sz w:val="21"/>
          <w:szCs w:val="21"/>
          <w:highlight w:val="none"/>
          <w:shd w:val="clear" w:color="auto" w:fill="FFFFFF"/>
        </w:rPr>
        <w:t>七、对本次招标提出询问、质疑、投诉，请按以下方式联系。</w:t>
      </w:r>
      <w:r>
        <w:rPr>
          <w:rFonts w:hint="eastAsia" w:ascii="宋体" w:hAnsi="宋体" w:cs="宋体"/>
          <w:color w:val="auto"/>
          <w:sz w:val="21"/>
          <w:szCs w:val="21"/>
          <w:highlight w:val="none"/>
          <w:shd w:val="clear" w:color="auto" w:fill="FFFFFF"/>
        </w:rPr>
        <w:t>　　　　　　　　　　　　</w:t>
      </w:r>
    </w:p>
    <w:p>
      <w:pPr>
        <w:pStyle w:val="20"/>
        <w:adjustRightInd w:val="0"/>
        <w:snapToGrid w:val="0"/>
        <w:spacing w:beforeAutospacing="0" w:afterAutospacing="0" w:line="360" w:lineRule="auto"/>
        <w:ind w:firstLine="422" w:firstLineChars="200"/>
        <w:rPr>
          <w:rFonts w:ascii="宋体" w:hAnsi="宋体" w:cs="宋体"/>
          <w:color w:val="auto"/>
          <w:sz w:val="21"/>
          <w:szCs w:val="21"/>
          <w:highlight w:val="none"/>
        </w:rPr>
      </w:pPr>
      <w:r>
        <w:rPr>
          <w:rFonts w:hint="eastAsia" w:ascii="宋体" w:hAnsi="宋体" w:cs="宋体"/>
          <w:b/>
          <w:bCs/>
          <w:color w:val="auto"/>
          <w:sz w:val="21"/>
          <w:szCs w:val="21"/>
          <w:highlight w:val="none"/>
          <w:shd w:val="clear" w:color="auto" w:fill="FFFFFF"/>
        </w:rPr>
        <w:t>1.</w:t>
      </w:r>
      <w:r>
        <w:rPr>
          <w:rFonts w:hint="eastAsia" w:ascii="宋体" w:hAnsi="宋体" w:cs="宋体"/>
          <w:b/>
          <w:bCs/>
          <w:color w:val="auto"/>
          <w:sz w:val="21"/>
          <w:szCs w:val="21"/>
          <w:highlight w:val="none"/>
          <w:shd w:val="clear" w:color="auto" w:fill="FFFFFF"/>
          <w:lang w:eastAsia="zh-CN"/>
        </w:rPr>
        <w:t>采购单位</w:t>
      </w:r>
      <w:r>
        <w:rPr>
          <w:rFonts w:hint="eastAsia" w:ascii="宋体" w:hAnsi="宋体" w:cs="宋体"/>
          <w:b/>
          <w:bCs/>
          <w:color w:val="auto"/>
          <w:sz w:val="21"/>
          <w:szCs w:val="21"/>
          <w:highlight w:val="none"/>
          <w:shd w:val="clear" w:color="auto" w:fill="FFFFFF"/>
        </w:rPr>
        <w:t>信息</w:t>
      </w:r>
    </w:p>
    <w:p>
      <w:pPr>
        <w:pStyle w:val="20"/>
        <w:shd w:val="clear" w:color="auto" w:fill="FFFFFF"/>
        <w:adjustRightInd w:val="0"/>
        <w:snapToGrid w:val="0"/>
        <w:spacing w:beforeAutospacing="0" w:afterAutospacing="0"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shd w:val="clear" w:color="auto" w:fill="FFFFFF"/>
        </w:rPr>
        <w:t xml:space="preserve">名    称：宁波市鄞州区城区内河管理中心 </w:t>
      </w:r>
    </w:p>
    <w:p>
      <w:pPr>
        <w:pStyle w:val="20"/>
        <w:shd w:val="clear" w:color="auto" w:fill="FFFFFF"/>
        <w:adjustRightInd w:val="0"/>
        <w:snapToGrid w:val="0"/>
        <w:spacing w:beforeAutospacing="0" w:afterAutospacing="0"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shd w:val="clear" w:color="auto" w:fill="FFFFFF"/>
        </w:rPr>
        <w:t>地    址：宁波市鄞州区钟公庙街道惠风西路55号</w:t>
      </w:r>
    </w:p>
    <w:p>
      <w:pPr>
        <w:pStyle w:val="20"/>
        <w:shd w:val="clear" w:color="auto" w:fill="FFFFFF"/>
        <w:adjustRightInd w:val="0"/>
        <w:snapToGrid w:val="0"/>
        <w:spacing w:beforeAutospacing="0" w:afterAutospacing="0" w:line="360" w:lineRule="auto"/>
        <w:ind w:firstLine="420" w:firstLineChars="200"/>
        <w:rPr>
          <w:rFonts w:ascii="宋体" w:hAnsi="宋体" w:cs="宋体"/>
          <w:color w:val="auto"/>
          <w:sz w:val="21"/>
          <w:szCs w:val="21"/>
          <w:highlight w:val="none"/>
          <w:u w:val="single"/>
          <w:shd w:val="clear" w:color="auto" w:fill="FFFFFF"/>
        </w:rPr>
      </w:pPr>
      <w:r>
        <w:rPr>
          <w:rFonts w:hint="eastAsia" w:ascii="宋体" w:hAnsi="宋体" w:cs="宋体"/>
          <w:color w:val="auto"/>
          <w:sz w:val="21"/>
          <w:szCs w:val="21"/>
          <w:highlight w:val="none"/>
          <w:shd w:val="clear" w:color="auto" w:fill="FFFFFF"/>
        </w:rPr>
        <w:t>项目联系人（询问）：</w:t>
      </w:r>
      <w:r>
        <w:rPr>
          <w:rFonts w:hint="eastAsia" w:ascii="宋体" w:hAnsi="宋体" w:cs="宋体"/>
          <w:color w:val="auto"/>
          <w:sz w:val="21"/>
          <w:szCs w:val="21"/>
          <w:highlight w:val="none"/>
          <w:shd w:val="clear" w:color="auto" w:fill="FFFFFF"/>
          <w:lang w:val="en-US" w:eastAsia="zh-CN"/>
        </w:rPr>
        <w:t>叶老师</w:t>
      </w:r>
      <w:r>
        <w:rPr>
          <w:rFonts w:hint="eastAsia" w:ascii="宋体" w:hAnsi="宋体" w:cs="宋体"/>
          <w:color w:val="auto"/>
          <w:sz w:val="21"/>
          <w:szCs w:val="21"/>
          <w:highlight w:val="none"/>
          <w:shd w:val="clear" w:color="auto" w:fill="FFFFFF"/>
        </w:rPr>
        <w:t xml:space="preserve">   </w:t>
      </w:r>
    </w:p>
    <w:p>
      <w:pPr>
        <w:pStyle w:val="20"/>
        <w:shd w:val="clear" w:color="auto" w:fill="FFFFFF"/>
        <w:adjustRightInd w:val="0"/>
        <w:snapToGrid w:val="0"/>
        <w:spacing w:beforeAutospacing="0" w:afterAutospacing="0" w:line="360" w:lineRule="auto"/>
        <w:ind w:firstLine="420" w:firstLineChars="200"/>
        <w:rPr>
          <w:rFonts w:hint="eastAsia"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项目联系方式（询问）：0574-89582336</w:t>
      </w:r>
    </w:p>
    <w:p>
      <w:pPr>
        <w:pStyle w:val="20"/>
        <w:shd w:val="clear" w:color="auto" w:fill="FFFFFF"/>
        <w:adjustRightInd w:val="0"/>
        <w:snapToGrid w:val="0"/>
        <w:spacing w:beforeAutospacing="0" w:afterAutospacing="0"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shd w:val="clear" w:color="auto" w:fill="FFFFFF"/>
          <w:lang w:val="en-US" w:eastAsia="zh-CN"/>
        </w:rPr>
        <w:t>质疑联系人：刘森</w:t>
      </w:r>
      <w:r>
        <w:rPr>
          <w:rFonts w:hint="eastAsia" w:ascii="宋体" w:hAnsi="宋体" w:cs="宋体"/>
          <w:color w:val="auto"/>
          <w:sz w:val="21"/>
          <w:szCs w:val="21"/>
          <w:highlight w:val="none"/>
          <w:shd w:val="clear" w:color="auto" w:fill="FFFFFF"/>
        </w:rPr>
        <w:t>　　　　　</w:t>
      </w:r>
    </w:p>
    <w:p>
      <w:pPr>
        <w:pStyle w:val="20"/>
        <w:adjustRightInd w:val="0"/>
        <w:snapToGrid w:val="0"/>
        <w:spacing w:beforeAutospacing="0" w:afterAutospacing="0" w:line="360" w:lineRule="auto"/>
        <w:ind w:firstLine="420" w:firstLineChars="200"/>
        <w:rPr>
          <w:rFonts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质疑联系方式：0574</w:t>
      </w:r>
      <w:r>
        <w:rPr>
          <w:rFonts w:hint="eastAsia" w:ascii="宋体" w:hAnsi="宋体" w:cs="宋体"/>
          <w:color w:val="auto"/>
          <w:sz w:val="21"/>
          <w:szCs w:val="21"/>
          <w:highlight w:val="none"/>
          <w:shd w:val="clear" w:color="auto" w:fill="FFFFFF"/>
          <w:lang w:val="en-US" w:eastAsia="zh-CN"/>
        </w:rPr>
        <w:t>-</w:t>
      </w:r>
      <w:r>
        <w:rPr>
          <w:rFonts w:hint="eastAsia" w:ascii="宋体" w:hAnsi="宋体" w:cs="宋体"/>
          <w:color w:val="auto"/>
          <w:sz w:val="21"/>
          <w:szCs w:val="21"/>
          <w:highlight w:val="none"/>
          <w:shd w:val="clear" w:color="auto" w:fill="FFFFFF"/>
        </w:rPr>
        <w:t>87419930</w:t>
      </w:r>
    </w:p>
    <w:p>
      <w:pPr>
        <w:pStyle w:val="20"/>
        <w:adjustRightInd w:val="0"/>
        <w:snapToGrid w:val="0"/>
        <w:spacing w:beforeAutospacing="0" w:afterAutospacing="0" w:line="360" w:lineRule="auto"/>
        <w:ind w:firstLine="422" w:firstLineChars="200"/>
        <w:rPr>
          <w:rFonts w:ascii="宋体" w:hAnsi="宋体" w:cs="宋体"/>
          <w:color w:val="auto"/>
          <w:sz w:val="21"/>
          <w:szCs w:val="21"/>
          <w:highlight w:val="none"/>
          <w:shd w:val="clear" w:color="auto" w:fill="FFFFFF"/>
        </w:rPr>
      </w:pPr>
      <w:r>
        <w:rPr>
          <w:rFonts w:hint="eastAsia" w:ascii="宋体" w:hAnsi="宋体" w:cs="宋体"/>
          <w:b/>
          <w:bCs/>
          <w:color w:val="auto"/>
          <w:sz w:val="21"/>
          <w:szCs w:val="21"/>
          <w:highlight w:val="none"/>
          <w:shd w:val="clear" w:color="auto" w:fill="FFFFFF"/>
        </w:rPr>
        <w:t>2.采购代理机构信息</w:t>
      </w:r>
    </w:p>
    <w:p>
      <w:pPr>
        <w:pStyle w:val="20"/>
        <w:adjustRightInd w:val="0"/>
        <w:snapToGrid w:val="0"/>
        <w:spacing w:beforeAutospacing="0" w:afterAutospacing="0" w:line="360" w:lineRule="auto"/>
        <w:ind w:firstLine="420" w:firstLineChars="200"/>
        <w:rPr>
          <w:rFonts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名    称：浙江绿邦招标代理有限公司</w:t>
      </w:r>
    </w:p>
    <w:p>
      <w:pPr>
        <w:pStyle w:val="20"/>
        <w:adjustRightInd w:val="0"/>
        <w:snapToGrid w:val="0"/>
        <w:spacing w:beforeAutospacing="0" w:afterAutospacing="0" w:line="360" w:lineRule="auto"/>
        <w:ind w:firstLine="420" w:firstLineChars="200"/>
        <w:rPr>
          <w:rFonts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地    址：宁波市海曙区高桥镇汇贤路388号商会大厦A座22层</w:t>
      </w:r>
    </w:p>
    <w:p>
      <w:pPr>
        <w:pStyle w:val="20"/>
        <w:adjustRightInd w:val="0"/>
        <w:snapToGrid w:val="0"/>
        <w:spacing w:beforeAutospacing="0" w:afterAutospacing="0" w:line="360" w:lineRule="auto"/>
        <w:ind w:firstLine="420" w:firstLineChars="200"/>
        <w:rPr>
          <w:rFonts w:hint="default" w:ascii="宋体" w:hAnsi="宋体" w:eastAsia="宋体" w:cs="宋体"/>
          <w:color w:val="auto"/>
          <w:sz w:val="21"/>
          <w:szCs w:val="21"/>
          <w:highlight w:val="none"/>
          <w:shd w:val="clear" w:color="auto" w:fill="FFFFFF"/>
          <w:lang w:val="en-US" w:eastAsia="zh-CN"/>
        </w:rPr>
      </w:pPr>
      <w:r>
        <w:rPr>
          <w:rFonts w:hint="eastAsia" w:ascii="宋体" w:hAnsi="宋体" w:cs="宋体"/>
          <w:color w:val="auto"/>
          <w:sz w:val="21"/>
          <w:szCs w:val="21"/>
          <w:highlight w:val="none"/>
          <w:shd w:val="clear" w:color="auto" w:fill="FFFFFF"/>
        </w:rPr>
        <w:t>项目联系人（询问）：戴科斌、郭晓敏</w:t>
      </w:r>
      <w:r>
        <w:rPr>
          <w:rFonts w:hint="eastAsia" w:ascii="宋体" w:hAnsi="宋体" w:cs="宋体"/>
          <w:color w:val="auto"/>
          <w:sz w:val="21"/>
          <w:szCs w:val="21"/>
          <w:highlight w:val="none"/>
          <w:shd w:val="clear" w:color="auto" w:fill="FFFFFF"/>
          <w:lang w:eastAsia="zh-CN"/>
        </w:rPr>
        <w:t>、</w:t>
      </w:r>
      <w:r>
        <w:rPr>
          <w:rFonts w:hint="eastAsia" w:ascii="宋体" w:hAnsi="宋体" w:cs="宋体"/>
          <w:color w:val="auto"/>
          <w:sz w:val="21"/>
          <w:szCs w:val="21"/>
          <w:highlight w:val="none"/>
          <w:shd w:val="clear" w:color="auto" w:fill="FFFFFF"/>
          <w:lang w:val="en-US" w:eastAsia="zh-CN"/>
        </w:rPr>
        <w:t>方甜、罗颖楠</w:t>
      </w:r>
    </w:p>
    <w:p>
      <w:pPr>
        <w:pStyle w:val="20"/>
        <w:adjustRightInd w:val="0"/>
        <w:snapToGrid w:val="0"/>
        <w:spacing w:beforeAutospacing="0" w:afterAutospacing="0" w:line="360" w:lineRule="auto"/>
        <w:ind w:firstLine="420" w:firstLineChars="200"/>
        <w:rPr>
          <w:rFonts w:hint="default" w:ascii="宋体" w:hAnsi="宋体" w:eastAsia="宋体" w:cs="宋体"/>
          <w:color w:val="auto"/>
          <w:sz w:val="21"/>
          <w:szCs w:val="21"/>
          <w:highlight w:val="none"/>
          <w:shd w:val="clear" w:color="auto" w:fill="FFFFFF"/>
          <w:lang w:val="en-US" w:eastAsia="zh-CN"/>
        </w:rPr>
      </w:pPr>
      <w:r>
        <w:rPr>
          <w:rFonts w:hint="eastAsia" w:ascii="宋体" w:hAnsi="宋体" w:cs="宋体"/>
          <w:color w:val="auto"/>
          <w:sz w:val="21"/>
          <w:szCs w:val="21"/>
          <w:highlight w:val="none"/>
          <w:shd w:val="clear" w:color="auto" w:fill="FFFFFF"/>
        </w:rPr>
        <w:t>项目联系方式（询问）：0574-87624761</w:t>
      </w:r>
      <w:r>
        <w:rPr>
          <w:rFonts w:hint="eastAsia" w:ascii="宋体" w:hAnsi="宋体" w:cs="宋体"/>
          <w:color w:val="auto"/>
          <w:sz w:val="21"/>
          <w:szCs w:val="21"/>
          <w:highlight w:val="none"/>
          <w:shd w:val="clear" w:color="auto" w:fill="FFFFFF"/>
          <w:lang w:val="en-US" w:eastAsia="zh-CN"/>
        </w:rPr>
        <w:t>-805</w:t>
      </w:r>
    </w:p>
    <w:p>
      <w:pPr>
        <w:pStyle w:val="20"/>
        <w:shd w:val="clear" w:color="auto" w:fill="FFFFFF"/>
        <w:adjustRightInd w:val="0"/>
        <w:snapToGrid w:val="0"/>
        <w:spacing w:beforeAutospacing="0" w:afterAutospacing="0"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shd w:val="clear" w:color="auto" w:fill="FFFFFF"/>
          <w:lang w:val="en-US" w:eastAsia="zh-CN"/>
        </w:rPr>
        <w:t>质疑联系人：陈洁</w:t>
      </w:r>
      <w:r>
        <w:rPr>
          <w:rFonts w:hint="eastAsia" w:ascii="宋体" w:hAnsi="宋体" w:cs="宋体"/>
          <w:color w:val="auto"/>
          <w:sz w:val="21"/>
          <w:szCs w:val="21"/>
          <w:highlight w:val="none"/>
          <w:shd w:val="clear" w:color="auto" w:fill="FFFFFF"/>
        </w:rPr>
        <w:t>　　　　　</w:t>
      </w:r>
    </w:p>
    <w:p>
      <w:pPr>
        <w:pStyle w:val="20"/>
        <w:shd w:val="clear" w:color="auto" w:fill="FFFFFF"/>
        <w:adjustRightInd w:val="0"/>
        <w:snapToGrid w:val="0"/>
        <w:spacing w:beforeAutospacing="0" w:afterAutospacing="0" w:line="360" w:lineRule="auto"/>
        <w:ind w:firstLine="420" w:firstLineChars="200"/>
        <w:rPr>
          <w:rFonts w:hint="default" w:ascii="宋体" w:hAnsi="宋体" w:eastAsia="宋体" w:cs="宋体"/>
          <w:color w:val="auto"/>
          <w:sz w:val="21"/>
          <w:szCs w:val="21"/>
          <w:highlight w:val="none"/>
          <w:shd w:val="clear" w:color="auto" w:fill="FFFFFF"/>
          <w:lang w:val="en-US" w:eastAsia="zh-CN"/>
        </w:rPr>
      </w:pPr>
      <w:r>
        <w:rPr>
          <w:rFonts w:hint="eastAsia" w:ascii="宋体" w:hAnsi="宋体" w:cs="宋体"/>
          <w:color w:val="auto"/>
          <w:sz w:val="21"/>
          <w:szCs w:val="21"/>
          <w:highlight w:val="none"/>
          <w:shd w:val="clear" w:color="auto" w:fill="FFFFFF"/>
        </w:rPr>
        <w:t>质疑联系方式：0574-87624761</w:t>
      </w:r>
      <w:r>
        <w:rPr>
          <w:rFonts w:hint="eastAsia" w:ascii="宋体" w:hAnsi="宋体" w:cs="宋体"/>
          <w:color w:val="auto"/>
          <w:sz w:val="21"/>
          <w:szCs w:val="21"/>
          <w:highlight w:val="none"/>
          <w:shd w:val="clear" w:color="auto" w:fill="FFFFFF"/>
          <w:lang w:val="en-US" w:eastAsia="zh-CN"/>
        </w:rPr>
        <w:t>-808</w:t>
      </w:r>
    </w:p>
    <w:p>
      <w:pPr>
        <w:pStyle w:val="20"/>
        <w:shd w:val="clear" w:color="auto" w:fill="FFFFFF"/>
        <w:adjustRightInd w:val="0"/>
        <w:snapToGrid w:val="0"/>
        <w:spacing w:beforeAutospacing="0" w:afterAutospacing="0" w:line="360" w:lineRule="auto"/>
        <w:ind w:firstLine="422" w:firstLineChars="200"/>
        <w:rPr>
          <w:rFonts w:ascii="宋体" w:hAnsi="宋体" w:cs="宋体"/>
          <w:color w:val="auto"/>
          <w:sz w:val="21"/>
          <w:szCs w:val="21"/>
          <w:highlight w:val="none"/>
        </w:rPr>
      </w:pPr>
      <w:r>
        <w:rPr>
          <w:rFonts w:hint="eastAsia" w:ascii="宋体" w:hAnsi="宋体" w:cs="宋体"/>
          <w:b/>
          <w:bCs/>
          <w:color w:val="auto"/>
          <w:sz w:val="21"/>
          <w:szCs w:val="21"/>
          <w:highlight w:val="none"/>
          <w:shd w:val="clear" w:color="auto" w:fill="FFFFFF"/>
        </w:rPr>
        <w:t>3.同级政府采购监督管理部门</w:t>
      </w:r>
    </w:p>
    <w:p>
      <w:pPr>
        <w:pStyle w:val="20"/>
        <w:spacing w:beforeAutospacing="0" w:afterAutospacing="0" w:line="360" w:lineRule="auto"/>
        <w:ind w:firstLine="420"/>
        <w:rPr>
          <w:rFonts w:ascii="宋体" w:hAnsi="宋体"/>
          <w:color w:val="auto"/>
          <w:highlight w:val="none"/>
        </w:rPr>
      </w:pPr>
      <w:r>
        <w:rPr>
          <w:rFonts w:hint="eastAsia" w:ascii="宋体" w:hAnsi="宋体" w:cs="宋体"/>
          <w:color w:val="auto"/>
          <w:sz w:val="21"/>
          <w:szCs w:val="21"/>
          <w:highlight w:val="none"/>
          <w:shd w:val="clear" w:color="auto" w:fill="FFFFFF"/>
        </w:rPr>
        <w:t>名    称：宁波市鄞州区政府采购管理办公室</w:t>
      </w:r>
    </w:p>
    <w:p>
      <w:pPr>
        <w:pStyle w:val="20"/>
        <w:spacing w:beforeAutospacing="0" w:afterAutospacing="0" w:line="360" w:lineRule="auto"/>
        <w:ind w:firstLine="420" w:firstLineChars="200"/>
        <w:rPr>
          <w:rFonts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地    址：宁波市鄞州区民惠东路16号</w:t>
      </w:r>
    </w:p>
    <w:p>
      <w:pPr>
        <w:pStyle w:val="20"/>
        <w:shd w:val="clear" w:color="auto" w:fill="FFFFFF"/>
        <w:adjustRightInd w:val="0"/>
        <w:snapToGrid w:val="0"/>
        <w:spacing w:beforeAutospacing="0" w:afterAutospacing="0" w:line="360" w:lineRule="auto"/>
        <w:ind w:firstLine="420" w:firstLineChars="200"/>
        <w:rPr>
          <w:rFonts w:ascii="宋体" w:hAnsi="宋体" w:cs="宋体"/>
          <w:color w:val="auto"/>
          <w:sz w:val="21"/>
          <w:szCs w:val="21"/>
          <w:highlight w:val="none"/>
          <w:u w:val="single"/>
          <w:shd w:val="clear" w:color="auto" w:fill="FFFFFF"/>
        </w:rPr>
      </w:pPr>
      <w:r>
        <w:rPr>
          <w:rFonts w:hint="eastAsia" w:ascii="宋体" w:hAnsi="宋体" w:cs="宋体"/>
          <w:color w:val="auto"/>
          <w:sz w:val="21"/>
          <w:szCs w:val="21"/>
          <w:highlight w:val="none"/>
          <w:shd w:val="clear" w:color="auto" w:fill="FFFFFF"/>
        </w:rPr>
        <w:t>联</w:t>
      </w:r>
      <w:r>
        <w:rPr>
          <w:rFonts w:hint="eastAsia" w:ascii="宋体" w:hAnsi="宋体" w:cs="宋体"/>
          <w:color w:val="auto"/>
          <w:sz w:val="21"/>
          <w:szCs w:val="21"/>
          <w:highlight w:val="none"/>
          <w:shd w:val="clear" w:color="auto" w:fill="FFFFFF"/>
          <w:lang w:val="en-US" w:eastAsia="zh-CN"/>
        </w:rPr>
        <w:t xml:space="preserve">   </w:t>
      </w:r>
      <w:r>
        <w:rPr>
          <w:rFonts w:hint="eastAsia" w:ascii="宋体" w:hAnsi="宋体" w:cs="宋体"/>
          <w:color w:val="auto"/>
          <w:sz w:val="21"/>
          <w:szCs w:val="21"/>
          <w:highlight w:val="none"/>
          <w:shd w:val="clear" w:color="auto" w:fill="FFFFFF"/>
        </w:rPr>
        <w:t>系</w:t>
      </w:r>
      <w:r>
        <w:rPr>
          <w:rFonts w:hint="eastAsia" w:ascii="宋体" w:hAnsi="宋体" w:cs="宋体"/>
          <w:color w:val="auto"/>
          <w:sz w:val="21"/>
          <w:szCs w:val="21"/>
          <w:highlight w:val="none"/>
          <w:shd w:val="clear" w:color="auto" w:fill="FFFFFF"/>
          <w:lang w:val="en-US" w:eastAsia="zh-CN"/>
        </w:rPr>
        <w:t xml:space="preserve">  </w:t>
      </w:r>
      <w:r>
        <w:rPr>
          <w:rFonts w:hint="eastAsia" w:ascii="宋体" w:hAnsi="宋体" w:cs="宋体"/>
          <w:color w:val="auto"/>
          <w:sz w:val="21"/>
          <w:szCs w:val="21"/>
          <w:highlight w:val="none"/>
          <w:shd w:val="clear" w:color="auto" w:fill="FFFFFF"/>
        </w:rPr>
        <w:t>人：郑老师　</w:t>
      </w:r>
    </w:p>
    <w:p>
      <w:pPr>
        <w:pStyle w:val="20"/>
        <w:spacing w:beforeAutospacing="0" w:afterAutospacing="0" w:line="360" w:lineRule="auto"/>
        <w:ind w:firstLine="420" w:firstLineChars="200"/>
        <w:rPr>
          <w:rFonts w:ascii="宋体" w:hAnsi="宋体"/>
          <w:color w:val="auto"/>
          <w:highlight w:val="none"/>
        </w:rPr>
      </w:pPr>
      <w:r>
        <w:rPr>
          <w:rFonts w:hint="eastAsia" w:ascii="宋体" w:hAnsi="宋体" w:cs="宋体"/>
          <w:color w:val="auto"/>
          <w:sz w:val="21"/>
          <w:szCs w:val="21"/>
          <w:highlight w:val="none"/>
          <w:shd w:val="clear" w:color="auto" w:fill="FFFFFF"/>
        </w:rPr>
        <w:t>监督投诉电话：0574-89295894</w:t>
      </w:r>
    </w:p>
    <w:p>
      <w:pPr>
        <w:rPr>
          <w:rFonts w:ascii="宋体" w:hAnsi="宋体" w:cs="宋体"/>
          <w:color w:val="auto"/>
          <w:sz w:val="21"/>
          <w:szCs w:val="21"/>
          <w:highlight w:val="none"/>
        </w:rPr>
      </w:pPr>
      <w:r>
        <w:rPr>
          <w:rFonts w:ascii="宋体" w:hAnsi="宋体" w:cs="宋体"/>
          <w:color w:val="auto"/>
          <w:sz w:val="21"/>
          <w:szCs w:val="21"/>
          <w:highlight w:val="none"/>
        </w:rPr>
        <w:br w:type="page"/>
      </w:r>
    </w:p>
    <w:p>
      <w:pPr>
        <w:pStyle w:val="3"/>
        <w:numPr>
          <w:ilvl w:val="0"/>
          <w:numId w:val="0"/>
        </w:numPr>
        <w:jc w:val="center"/>
        <w:rPr>
          <w:color w:val="auto"/>
          <w:highlight w:val="none"/>
        </w:rPr>
      </w:pPr>
      <w:r>
        <w:rPr>
          <w:rFonts w:hint="eastAsia"/>
          <w:color w:val="auto"/>
          <w:highlight w:val="none"/>
          <w:lang w:val="en-US" w:eastAsia="zh-CN"/>
        </w:rPr>
        <w:t>第二章</w:t>
      </w:r>
      <w:bookmarkStart w:id="2" w:name="_Toc23391"/>
      <w:bookmarkStart w:id="3" w:name="_Toc21267"/>
      <w:r>
        <w:rPr>
          <w:rFonts w:hint="eastAsia"/>
          <w:color w:val="auto"/>
          <w:highlight w:val="none"/>
          <w:lang w:val="en-US" w:eastAsia="zh-CN"/>
        </w:rPr>
        <w:t xml:space="preserve">  </w:t>
      </w:r>
      <w:r>
        <w:rPr>
          <w:rFonts w:hint="eastAsia"/>
          <w:color w:val="auto"/>
          <w:highlight w:val="none"/>
        </w:rPr>
        <w:t>采购需求</w:t>
      </w:r>
      <w:bookmarkEnd w:id="2"/>
      <w:bookmarkEnd w:id="3"/>
    </w:p>
    <w:p>
      <w:pPr>
        <w:spacing w:line="360" w:lineRule="auto"/>
        <w:rPr>
          <w:b/>
          <w:color w:val="auto"/>
          <w:highlight w:val="none"/>
        </w:rPr>
      </w:pPr>
    </w:p>
    <w:p>
      <w:pPr>
        <w:spacing w:line="360" w:lineRule="auto"/>
        <w:rPr>
          <w:b/>
          <w:color w:val="auto"/>
          <w:highlight w:val="none"/>
        </w:rPr>
      </w:pPr>
      <w:r>
        <w:rPr>
          <w:b/>
          <w:color w:val="auto"/>
          <w:highlight w:val="none"/>
        </w:rPr>
        <w:t>一、</w:t>
      </w:r>
      <w:r>
        <w:rPr>
          <w:rFonts w:hint="eastAsia"/>
          <w:b/>
          <w:color w:val="auto"/>
          <w:highlight w:val="none"/>
        </w:rPr>
        <w:t>项目要求</w:t>
      </w:r>
    </w:p>
    <w:tbl>
      <w:tblPr>
        <w:tblStyle w:val="22"/>
        <w:tblW w:w="852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65"/>
        <w:gridCol w:w="685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1665" w:type="dxa"/>
            <w:tcBorders>
              <w:top w:val="single" w:color="auto" w:sz="4" w:space="0"/>
              <w:left w:val="single" w:color="auto" w:sz="4" w:space="0"/>
              <w:bottom w:val="single" w:color="auto" w:sz="4" w:space="0"/>
              <w:right w:val="single" w:color="auto" w:sz="4" w:space="0"/>
            </w:tcBorders>
            <w:vAlign w:val="center"/>
          </w:tcPr>
          <w:p>
            <w:pPr>
              <w:spacing w:beforeLines="50" w:line="360" w:lineRule="auto"/>
              <w:jc w:val="center"/>
              <w:rPr>
                <w:b/>
                <w:bCs/>
                <w:color w:val="auto"/>
                <w:highlight w:val="none"/>
              </w:rPr>
            </w:pPr>
            <w:r>
              <w:rPr>
                <w:rFonts w:hint="eastAsia"/>
                <w:b/>
                <w:bCs/>
                <w:color w:val="auto"/>
                <w:highlight w:val="none"/>
              </w:rPr>
              <w:t>标段</w:t>
            </w:r>
          </w:p>
        </w:tc>
        <w:tc>
          <w:tcPr>
            <w:tcW w:w="6855" w:type="dxa"/>
            <w:tcBorders>
              <w:top w:val="single" w:color="auto" w:sz="4" w:space="0"/>
              <w:left w:val="single" w:color="auto" w:sz="4" w:space="0"/>
              <w:bottom w:val="single" w:color="auto" w:sz="4" w:space="0"/>
              <w:right w:val="single" w:color="auto" w:sz="4" w:space="0"/>
            </w:tcBorders>
            <w:vAlign w:val="center"/>
          </w:tcPr>
          <w:p>
            <w:pPr>
              <w:spacing w:beforeLines="50" w:line="360" w:lineRule="auto"/>
              <w:rPr>
                <w:color w:val="auto"/>
                <w:highlight w:val="none"/>
              </w:rPr>
            </w:pPr>
            <w:r>
              <w:rPr>
                <w:rFonts w:hint="eastAsia"/>
                <w:color w:val="auto"/>
                <w:highlight w:val="none"/>
              </w:rPr>
              <w:t>十一个；一个</w:t>
            </w:r>
            <w:r>
              <w:rPr>
                <w:rFonts w:hint="eastAsia" w:ascii="宋体" w:hAnsi="宋体" w:cs="Arial"/>
                <w:color w:val="auto"/>
                <w:szCs w:val="21"/>
                <w:highlight w:val="none"/>
                <w:lang w:eastAsia="zh-CN"/>
              </w:rPr>
              <w:t>投标人</w:t>
            </w:r>
            <w:r>
              <w:rPr>
                <w:rFonts w:hint="eastAsia" w:ascii="宋体" w:hAnsi="宋体" w:cs="Arial"/>
                <w:color w:val="auto"/>
                <w:szCs w:val="21"/>
                <w:highlight w:val="none"/>
              </w:rPr>
              <w:t>最多只能中</w:t>
            </w:r>
            <w:r>
              <w:rPr>
                <w:rFonts w:hint="eastAsia"/>
                <w:color w:val="auto"/>
                <w:highlight w:val="none"/>
              </w:rPr>
              <w:t>一</w:t>
            </w:r>
            <w:r>
              <w:rPr>
                <w:rFonts w:hint="eastAsia" w:ascii="宋体" w:hAnsi="宋体" w:cs="Arial"/>
                <w:color w:val="auto"/>
                <w:szCs w:val="21"/>
                <w:highlight w:val="none"/>
              </w:rPr>
              <w:t>个标段。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1665" w:type="dxa"/>
            <w:tcBorders>
              <w:top w:val="single" w:color="auto" w:sz="4" w:space="0"/>
              <w:left w:val="single" w:color="auto" w:sz="4" w:space="0"/>
              <w:bottom w:val="single" w:color="auto" w:sz="4" w:space="0"/>
              <w:right w:val="single" w:color="auto" w:sz="4" w:space="0"/>
            </w:tcBorders>
            <w:vAlign w:val="center"/>
          </w:tcPr>
          <w:p>
            <w:pPr>
              <w:spacing w:beforeLines="50" w:line="360" w:lineRule="auto"/>
              <w:jc w:val="center"/>
              <w:rPr>
                <w:b/>
                <w:bCs/>
                <w:color w:val="auto"/>
                <w:highlight w:val="none"/>
              </w:rPr>
            </w:pPr>
            <w:r>
              <w:rPr>
                <w:b/>
                <w:bCs/>
                <w:color w:val="auto"/>
                <w:highlight w:val="none"/>
              </w:rPr>
              <w:t>采购内容</w:t>
            </w:r>
          </w:p>
        </w:tc>
        <w:tc>
          <w:tcPr>
            <w:tcW w:w="6855" w:type="dxa"/>
            <w:tcBorders>
              <w:top w:val="single" w:color="auto" w:sz="4" w:space="0"/>
              <w:left w:val="single" w:color="auto" w:sz="4" w:space="0"/>
              <w:bottom w:val="single" w:color="auto" w:sz="4" w:space="0"/>
              <w:right w:val="single" w:color="auto" w:sz="4" w:space="0"/>
            </w:tcBorders>
            <w:vAlign w:val="center"/>
          </w:tcPr>
          <w:p>
            <w:pPr>
              <w:spacing w:beforeLines="50" w:line="360" w:lineRule="auto"/>
              <w:rPr>
                <w:color w:val="auto"/>
                <w:highlight w:val="none"/>
              </w:rPr>
            </w:pPr>
            <w:r>
              <w:rPr>
                <w:rFonts w:hint="eastAsia"/>
                <w:color w:val="auto"/>
                <w:highlight w:val="none"/>
              </w:rPr>
              <w:t>宁波市鄞州区城区内河水质日常养护项目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75" w:hRule="atLeast"/>
          <w:jc w:val="center"/>
        </w:trPr>
        <w:tc>
          <w:tcPr>
            <w:tcW w:w="1665" w:type="dxa"/>
            <w:tcBorders>
              <w:top w:val="single" w:color="auto" w:sz="4" w:space="0"/>
              <w:left w:val="single" w:color="auto" w:sz="4" w:space="0"/>
              <w:bottom w:val="single" w:color="auto" w:sz="4" w:space="0"/>
              <w:right w:val="single" w:color="auto" w:sz="4" w:space="0"/>
            </w:tcBorders>
            <w:vAlign w:val="center"/>
          </w:tcPr>
          <w:p>
            <w:pPr>
              <w:spacing w:beforeLines="50" w:line="360" w:lineRule="auto"/>
              <w:jc w:val="center"/>
              <w:rPr>
                <w:b/>
                <w:bCs/>
                <w:color w:val="auto"/>
                <w:highlight w:val="none"/>
              </w:rPr>
            </w:pPr>
            <w:r>
              <w:rPr>
                <w:rFonts w:hint="eastAsia"/>
                <w:b/>
                <w:bCs/>
                <w:color w:val="auto"/>
                <w:highlight w:val="none"/>
              </w:rPr>
              <w:t>服务期限</w:t>
            </w:r>
          </w:p>
        </w:tc>
        <w:tc>
          <w:tcPr>
            <w:tcW w:w="6855" w:type="dxa"/>
            <w:tcBorders>
              <w:top w:val="single" w:color="auto" w:sz="4" w:space="0"/>
              <w:left w:val="single" w:color="auto" w:sz="4" w:space="0"/>
              <w:bottom w:val="single" w:color="auto" w:sz="4" w:space="0"/>
              <w:right w:val="single" w:color="auto" w:sz="4" w:space="0"/>
            </w:tcBorders>
            <w:vAlign w:val="center"/>
          </w:tcPr>
          <w:p>
            <w:pPr>
              <w:spacing w:beforeLines="50" w:line="360" w:lineRule="auto"/>
              <w:rPr>
                <w:color w:val="auto"/>
                <w:szCs w:val="21"/>
                <w:highlight w:val="none"/>
              </w:rPr>
            </w:pPr>
            <w:r>
              <w:rPr>
                <w:color w:val="auto"/>
                <w:szCs w:val="21"/>
                <w:highlight w:val="none"/>
              </w:rPr>
              <w:t>总期限</w:t>
            </w:r>
            <w:r>
              <w:rPr>
                <w:rFonts w:hint="eastAsia"/>
                <w:color w:val="auto"/>
                <w:szCs w:val="21"/>
                <w:highlight w:val="none"/>
                <w:lang w:eastAsia="zh-CN"/>
              </w:rPr>
              <w:t>合</w:t>
            </w:r>
            <w:r>
              <w:rPr>
                <w:rFonts w:hint="eastAsia"/>
                <w:color w:val="auto"/>
                <w:szCs w:val="21"/>
                <w:highlight w:val="none"/>
                <w:shd w:val="clear"/>
                <w:lang w:eastAsia="zh-CN"/>
              </w:rPr>
              <w:t>计三年</w:t>
            </w:r>
            <w:r>
              <w:rPr>
                <w:color w:val="auto"/>
                <w:szCs w:val="21"/>
                <w:highlight w:val="none"/>
                <w:shd w:val="clear"/>
              </w:rPr>
              <w:t>，合同一年一签，</w:t>
            </w:r>
            <w:r>
              <w:rPr>
                <w:rFonts w:hint="eastAsia"/>
                <w:color w:val="auto"/>
                <w:szCs w:val="21"/>
                <w:highlight w:val="none"/>
                <w:shd w:val="clear"/>
              </w:rPr>
              <w:t>采购单位</w:t>
            </w:r>
            <w:r>
              <w:rPr>
                <w:color w:val="auto"/>
                <w:szCs w:val="21"/>
                <w:highlight w:val="none"/>
                <w:shd w:val="clear"/>
              </w:rPr>
              <w:t>根据中标人在</w:t>
            </w:r>
            <w:r>
              <w:rPr>
                <w:rFonts w:hint="eastAsia"/>
                <w:color w:val="auto"/>
                <w:szCs w:val="21"/>
                <w:highlight w:val="none"/>
                <w:shd w:val="clear"/>
                <w:lang w:eastAsia="zh-CN"/>
              </w:rPr>
              <w:t>上一年度</w:t>
            </w:r>
            <w:r>
              <w:rPr>
                <w:color w:val="auto"/>
                <w:szCs w:val="21"/>
                <w:highlight w:val="none"/>
                <w:shd w:val="clear"/>
              </w:rPr>
              <w:t>合同履约情况</w:t>
            </w:r>
            <w:r>
              <w:rPr>
                <w:rFonts w:hint="eastAsia"/>
                <w:color w:val="auto"/>
                <w:szCs w:val="21"/>
                <w:highlight w:val="none"/>
                <w:shd w:val="clear"/>
              </w:rPr>
              <w:t>、</w:t>
            </w:r>
            <w:r>
              <w:rPr>
                <w:color w:val="auto"/>
                <w:szCs w:val="21"/>
                <w:highlight w:val="none"/>
                <w:shd w:val="clear"/>
              </w:rPr>
              <w:t>财政资金审批情况</w:t>
            </w:r>
            <w:r>
              <w:rPr>
                <w:rFonts w:hint="eastAsia"/>
                <w:color w:val="auto"/>
                <w:szCs w:val="21"/>
                <w:highlight w:val="none"/>
                <w:shd w:val="clear"/>
              </w:rPr>
              <w:t>及</w:t>
            </w:r>
            <w:r>
              <w:rPr>
                <w:rFonts w:hint="eastAsia"/>
                <w:color w:val="auto"/>
                <w:szCs w:val="21"/>
                <w:highlight w:val="none"/>
              </w:rPr>
              <w:t>河道养护的必要性</w:t>
            </w:r>
            <w:r>
              <w:rPr>
                <w:color w:val="auto"/>
                <w:szCs w:val="21"/>
                <w:highlight w:val="none"/>
              </w:rPr>
              <w:t>决定</w:t>
            </w:r>
            <w:r>
              <w:rPr>
                <w:rFonts w:hint="eastAsia"/>
                <w:color w:val="auto"/>
                <w:szCs w:val="21"/>
                <w:highlight w:val="none"/>
                <w:lang w:eastAsia="zh-CN"/>
              </w:rPr>
              <w:t>是否续签、</w:t>
            </w:r>
            <w:r>
              <w:rPr>
                <w:rFonts w:hint="eastAsia" w:ascii="宋体" w:hAnsi="宋体" w:cs="宋体"/>
                <w:color w:val="auto"/>
                <w:highlight w:val="none"/>
                <w:lang w:eastAsia="zh-CN"/>
              </w:rPr>
              <w:t>增减养护河道（段）。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85" w:hRule="atLeast"/>
          <w:jc w:val="center"/>
        </w:trPr>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line="360" w:lineRule="auto"/>
              <w:rPr>
                <w:b/>
                <w:color w:val="auto"/>
                <w:highlight w:val="none"/>
              </w:rPr>
            </w:pPr>
            <w:r>
              <w:rPr>
                <w:rFonts w:hint="eastAsia"/>
                <w:b/>
                <w:color w:val="auto"/>
                <w:highlight w:val="none"/>
              </w:rPr>
              <w:t>*建设工期及水质提升服务期</w:t>
            </w:r>
          </w:p>
        </w:tc>
        <w:tc>
          <w:tcPr>
            <w:tcW w:w="68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highlight w:val="none"/>
              </w:rPr>
            </w:pPr>
            <w:r>
              <w:rPr>
                <w:rFonts w:hint="eastAsia"/>
                <w:color w:val="auto"/>
                <w:highlight w:val="none"/>
              </w:rPr>
              <w:t>1、建设工期：</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ascii="Times New Roman" w:hAnsi="Times New Roman" w:eastAsia="宋体" w:cs="Times New Roman"/>
                <w:color w:val="auto"/>
                <w:kern w:val="2"/>
                <w:sz w:val="21"/>
                <w:szCs w:val="24"/>
                <w:highlight w:val="none"/>
                <w:shd w:val="clear"/>
                <w:lang w:val="en-US" w:eastAsia="zh-CN" w:bidi="ar-SA"/>
              </w:rPr>
              <w:t>河道施工工期为40天，</w:t>
            </w:r>
            <w:r>
              <w:rPr>
                <w:rFonts w:hint="eastAsia"/>
                <w:color w:val="auto"/>
                <w:highlight w:val="none"/>
                <w:shd w:val="clear"/>
              </w:rPr>
              <w:t>中标通知书</w:t>
            </w:r>
            <w:r>
              <w:rPr>
                <w:rFonts w:hint="eastAsia"/>
                <w:color w:val="auto"/>
                <w:highlight w:val="none"/>
                <w:shd w:val="clear"/>
                <w:lang w:val="en-US" w:eastAsia="zh-CN"/>
              </w:rPr>
              <w:t>发放</w:t>
            </w:r>
            <w:r>
              <w:rPr>
                <w:rFonts w:hint="eastAsia"/>
                <w:color w:val="auto"/>
                <w:highlight w:val="none"/>
                <w:shd w:val="clear"/>
              </w:rPr>
              <w:t>之日起40天</w:t>
            </w:r>
            <w:r>
              <w:rPr>
                <w:rFonts w:hint="eastAsia"/>
                <w:color w:val="auto"/>
                <w:highlight w:val="none"/>
                <w:shd w:val="clear"/>
                <w:lang w:val="en-US" w:eastAsia="zh-CN"/>
              </w:rPr>
              <w:t>内</w:t>
            </w:r>
            <w:r>
              <w:rPr>
                <w:rFonts w:hint="eastAsia"/>
                <w:color w:val="auto"/>
                <w:highlight w:val="none"/>
                <w:shd w:val="clear"/>
              </w:rPr>
              <w:t>设备、管道、土建等工程实施完毕并验收</w:t>
            </w:r>
            <w:r>
              <w:rPr>
                <w:rFonts w:hint="eastAsia"/>
                <w:color w:val="auto"/>
                <w:highlight w:val="none"/>
              </w:rPr>
              <w:t>合格。</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color w:val="auto"/>
                <w:highlight w:val="none"/>
              </w:rPr>
            </w:pPr>
            <w:r>
              <w:rPr>
                <w:rFonts w:hint="eastAsia"/>
                <w:color w:val="auto"/>
                <w:highlight w:val="none"/>
              </w:rPr>
              <w:t>2、水质</w:t>
            </w:r>
            <w:r>
              <w:rPr>
                <w:rFonts w:hint="eastAsia"/>
                <w:color w:val="auto"/>
                <w:highlight w:val="none"/>
                <w:lang w:val="en-US" w:eastAsia="zh-CN"/>
              </w:rPr>
              <w:t>养护</w:t>
            </w:r>
            <w:r>
              <w:rPr>
                <w:rFonts w:hint="eastAsia"/>
                <w:color w:val="auto"/>
                <w:highlight w:val="none"/>
              </w:rPr>
              <w:t>期：</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s="Times New Roman"/>
                <w:color w:val="auto"/>
                <w:kern w:val="2"/>
                <w:sz w:val="21"/>
                <w:szCs w:val="24"/>
                <w:highlight w:val="none"/>
                <w:shd w:val="clear"/>
                <w:lang w:val="en-US" w:eastAsia="zh-CN" w:bidi="ar-SA"/>
              </w:rPr>
              <w:t>自工程验收合格之月的次月至</w:t>
            </w:r>
            <w:r>
              <w:rPr>
                <w:rFonts w:hint="eastAsia" w:ascii="Times New Roman" w:hAnsi="Times New Roman" w:eastAsia="宋体" w:cs="Times New Roman"/>
                <w:color w:val="auto"/>
                <w:kern w:val="2"/>
                <w:sz w:val="21"/>
                <w:szCs w:val="24"/>
                <w:highlight w:val="none"/>
                <w:shd w:val="clear"/>
                <w:lang w:val="en-US" w:eastAsia="zh-CN" w:bidi="ar-SA"/>
              </w:rPr>
              <w:t>第一年</w:t>
            </w:r>
            <w:r>
              <w:rPr>
                <w:rFonts w:hint="eastAsia" w:cs="Times New Roman"/>
                <w:color w:val="auto"/>
                <w:kern w:val="2"/>
                <w:sz w:val="21"/>
                <w:szCs w:val="24"/>
                <w:highlight w:val="none"/>
                <w:shd w:val="clear"/>
                <w:lang w:val="en-US" w:eastAsia="zh-CN" w:bidi="ar-SA"/>
              </w:rPr>
              <w:t>养护</w:t>
            </w:r>
            <w:r>
              <w:rPr>
                <w:rFonts w:hint="eastAsia"/>
                <w:color w:val="auto"/>
                <w:highlight w:val="none"/>
                <w:shd w:val="clear"/>
              </w:rPr>
              <w:t>合同履约完毕。一年合同期满后若经采购单位考核合格且根据养护河道的必要性，合同可续签一年，最多可续签两次。若在合同履行期间出现因清淤整治等工程建设必须中止水质提升服务的，中标人应无条件中止养护，采购单位停止拨付养护经费，采购单位不承担设备拆装费用，工程建设完毕后设备重新安装完</w:t>
            </w:r>
            <w:r>
              <w:rPr>
                <w:rFonts w:hint="eastAsia"/>
                <w:color w:val="auto"/>
                <w:highlight w:val="none"/>
                <w:shd w:val="clear"/>
                <w:lang w:val="en-US" w:eastAsia="zh-CN"/>
              </w:rPr>
              <w:t>成</w:t>
            </w:r>
            <w:r>
              <w:rPr>
                <w:rFonts w:hint="eastAsia"/>
                <w:color w:val="auto"/>
                <w:highlight w:val="none"/>
                <w:shd w:val="clear"/>
              </w:rPr>
              <w:t>后继续考核并按规定拨付水质提升服务费用，合同履行期限不作顺延。因其他政策性原因</w:t>
            </w:r>
            <w:r>
              <w:rPr>
                <w:rFonts w:hint="eastAsia"/>
                <w:color w:val="auto"/>
                <w:highlight w:val="none"/>
                <w:shd w:val="clear"/>
                <w:lang w:eastAsia="zh-CN"/>
              </w:rPr>
              <w:t>增减养护河道（段）</w:t>
            </w:r>
            <w:r>
              <w:rPr>
                <w:rFonts w:hint="eastAsia"/>
                <w:color w:val="auto"/>
                <w:highlight w:val="none"/>
                <w:shd w:val="clear"/>
              </w:rPr>
              <w:t>或需要终止养护的，采购单位不予赔偿。</w:t>
            </w:r>
          </w:p>
        </w:tc>
      </w:tr>
    </w:tbl>
    <w:p>
      <w:pPr>
        <w:spacing w:beforeLines="50" w:line="360" w:lineRule="auto"/>
        <w:rPr>
          <w:b/>
          <w:color w:val="auto"/>
          <w:highlight w:val="none"/>
        </w:rPr>
      </w:pPr>
    </w:p>
    <w:p>
      <w:pPr>
        <w:spacing w:beforeLines="50" w:line="360" w:lineRule="auto"/>
        <w:rPr>
          <w:b/>
          <w:color w:val="auto"/>
          <w:highlight w:val="none"/>
        </w:rPr>
      </w:pPr>
      <w:r>
        <w:rPr>
          <w:rFonts w:hint="eastAsia"/>
          <w:b/>
          <w:color w:val="auto"/>
          <w:highlight w:val="none"/>
        </w:rPr>
        <w:t>二、技术需求</w:t>
      </w:r>
    </w:p>
    <w:p>
      <w:pPr>
        <w:pStyle w:val="20"/>
        <w:spacing w:beforeAutospacing="0" w:afterAutospacing="0" w:line="360" w:lineRule="auto"/>
        <w:ind w:firstLine="420" w:firstLineChars="200"/>
        <w:rPr>
          <w:rFonts w:ascii="宋体" w:hAnsi="宋体" w:cs="宋体"/>
          <w:color w:val="auto"/>
          <w:sz w:val="21"/>
          <w:szCs w:val="21"/>
          <w:highlight w:val="none"/>
          <w:shd w:val="clear" w:color="auto" w:fill="FFFFFF"/>
        </w:rPr>
      </w:pPr>
      <w:r>
        <w:rPr>
          <w:rFonts w:hint="eastAsia" w:ascii="宋体" w:hAnsi="宋体" w:cs="宋体"/>
          <w:color w:val="auto"/>
          <w:sz w:val="21"/>
          <w:szCs w:val="21"/>
          <w:highlight w:val="none"/>
          <w:shd w:val="clear" w:color="auto" w:fill="FFFFFF"/>
        </w:rPr>
        <w:t>（一）实施范围</w:t>
      </w:r>
    </w:p>
    <w:p>
      <w:pPr>
        <w:pStyle w:val="20"/>
        <w:spacing w:beforeAutospacing="0" w:afterAutospacing="0" w:line="360" w:lineRule="auto"/>
        <w:ind w:firstLine="420" w:firstLineChars="200"/>
        <w:rPr>
          <w:rFonts w:hint="eastAsia" w:ascii="宋体" w:hAnsi="宋体" w:eastAsia="宋体" w:cs="宋体"/>
          <w:color w:val="auto"/>
          <w:sz w:val="21"/>
          <w:szCs w:val="21"/>
          <w:highlight w:val="none"/>
          <w:shd w:val="clear" w:color="auto" w:fill="FFFFFF"/>
          <w:lang w:eastAsia="zh-CN"/>
        </w:rPr>
        <w:sectPr>
          <w:footerReference r:id="rId9" w:type="first"/>
          <w:headerReference r:id="rId5" w:type="default"/>
          <w:footerReference r:id="rId7" w:type="default"/>
          <w:headerReference r:id="rId6" w:type="even"/>
          <w:footerReference r:id="rId8" w:type="even"/>
          <w:pgSz w:w="11906" w:h="16838"/>
          <w:pgMar w:top="1440" w:right="1800" w:bottom="1440" w:left="1800" w:header="851" w:footer="851" w:gutter="0"/>
          <w:pgNumType w:start="1"/>
          <w:cols w:space="720" w:num="1"/>
          <w:titlePg/>
          <w:docGrid w:linePitch="312" w:charSpace="0"/>
        </w:sectPr>
      </w:pPr>
      <w:r>
        <w:rPr>
          <w:rFonts w:hint="eastAsia" w:ascii="宋体" w:hAnsi="宋体" w:cs="宋体"/>
          <w:color w:val="auto"/>
          <w:sz w:val="21"/>
          <w:szCs w:val="21"/>
          <w:highlight w:val="none"/>
          <w:shd w:val="clear" w:color="auto"/>
        </w:rPr>
        <w:t>本次鄞州区城区内河水质养护范围的112条河道</w:t>
      </w:r>
      <w:r>
        <w:rPr>
          <w:rFonts w:hint="eastAsia" w:ascii="宋体" w:hAnsi="宋体" w:cs="宋体"/>
          <w:color w:val="auto"/>
          <w:sz w:val="21"/>
          <w:szCs w:val="21"/>
          <w:highlight w:val="none"/>
          <w:shd w:val="clear" w:color="auto"/>
          <w:lang w:eastAsia="zh-CN"/>
        </w:rPr>
        <w:t>（</w:t>
      </w:r>
      <w:r>
        <w:rPr>
          <w:rFonts w:hint="eastAsia" w:ascii="宋体" w:hAnsi="宋体" w:cs="宋体"/>
          <w:color w:val="auto"/>
          <w:sz w:val="21"/>
          <w:szCs w:val="21"/>
          <w:highlight w:val="none"/>
          <w:shd w:val="clear" w:color="auto"/>
          <w:lang w:val="en-US" w:eastAsia="zh-CN"/>
        </w:rPr>
        <w:t>其中日常养护河道92条，应急养护河道20条</w:t>
      </w:r>
      <w:r>
        <w:rPr>
          <w:rFonts w:hint="eastAsia" w:ascii="宋体" w:hAnsi="宋体" w:cs="宋体"/>
          <w:color w:val="auto"/>
          <w:sz w:val="21"/>
          <w:szCs w:val="21"/>
          <w:highlight w:val="none"/>
          <w:shd w:val="clear" w:color="auto"/>
          <w:lang w:eastAsia="zh-CN"/>
        </w:rPr>
        <w:t>）</w:t>
      </w:r>
      <w:r>
        <w:rPr>
          <w:rFonts w:hint="eastAsia" w:ascii="宋体" w:hAnsi="宋体" w:cs="宋体"/>
          <w:color w:val="auto"/>
          <w:sz w:val="21"/>
          <w:szCs w:val="21"/>
          <w:highlight w:val="none"/>
          <w:shd w:val="clear" w:color="auto"/>
        </w:rPr>
        <w:t>，共计</w:t>
      </w:r>
      <w:r>
        <w:rPr>
          <w:rFonts w:hint="eastAsia" w:ascii="宋体" w:hAnsi="宋体" w:cs="宋体"/>
          <w:b w:val="0"/>
          <w:bCs w:val="0"/>
          <w:color w:val="auto"/>
          <w:sz w:val="21"/>
          <w:szCs w:val="21"/>
          <w:highlight w:val="none"/>
          <w:shd w:val="clear" w:color="auto"/>
        </w:rPr>
        <w:t>约2610106.20平方米水域</w:t>
      </w:r>
      <w:r>
        <w:rPr>
          <w:rFonts w:hint="eastAsia" w:ascii="宋体" w:hAnsi="宋体" w:cs="宋体"/>
          <w:color w:val="auto"/>
          <w:sz w:val="21"/>
          <w:szCs w:val="21"/>
          <w:highlight w:val="none"/>
          <w:shd w:val="clear" w:color="auto"/>
          <w:lang w:eastAsia="zh-CN"/>
        </w:rPr>
        <w:t>（</w:t>
      </w:r>
      <w:r>
        <w:rPr>
          <w:rFonts w:hint="eastAsia" w:ascii="宋体" w:hAnsi="宋体" w:cs="宋体"/>
          <w:color w:val="auto"/>
          <w:sz w:val="21"/>
          <w:szCs w:val="21"/>
          <w:highlight w:val="none"/>
          <w:shd w:val="clear" w:color="auto"/>
          <w:lang w:val="en-US" w:eastAsia="zh-CN"/>
        </w:rPr>
        <w:t>其中日常养护河道为1739046.00平方米</w:t>
      </w:r>
      <w:r>
        <w:rPr>
          <w:rFonts w:hint="eastAsia" w:ascii="宋体" w:hAnsi="宋体" w:cs="宋体"/>
          <w:color w:val="auto"/>
          <w:sz w:val="21"/>
          <w:szCs w:val="21"/>
          <w:highlight w:val="none"/>
          <w:shd w:val="clear" w:color="auto"/>
          <w:vertAlign w:val="baseline"/>
          <w:lang w:val="en-US" w:eastAsia="zh-CN"/>
        </w:rPr>
        <w:t>，应急养护河道为871060.20</w:t>
      </w:r>
      <w:r>
        <w:rPr>
          <w:rFonts w:hint="eastAsia" w:ascii="宋体" w:hAnsi="宋体" w:cs="宋体"/>
          <w:color w:val="auto"/>
          <w:sz w:val="21"/>
          <w:szCs w:val="21"/>
          <w:highlight w:val="none"/>
          <w:shd w:val="clear" w:color="auto"/>
          <w:lang w:val="en-US" w:eastAsia="zh-CN"/>
        </w:rPr>
        <w:t>平方米</w:t>
      </w:r>
      <w:r>
        <w:rPr>
          <w:rFonts w:hint="eastAsia" w:ascii="宋体" w:hAnsi="宋体" w:cs="宋体"/>
          <w:color w:val="auto"/>
          <w:sz w:val="21"/>
          <w:szCs w:val="21"/>
          <w:highlight w:val="none"/>
          <w:shd w:val="clear" w:color="auto"/>
          <w:lang w:eastAsia="zh-CN"/>
        </w:rPr>
        <w:t>）。</w:t>
      </w:r>
      <w:r>
        <w:rPr>
          <w:rFonts w:hint="eastAsia" w:ascii="宋体" w:hAnsi="宋体" w:cs="宋体"/>
          <w:color w:val="auto"/>
          <w:sz w:val="21"/>
          <w:szCs w:val="21"/>
          <w:highlight w:val="none"/>
          <w:shd w:val="clear" w:color="auto"/>
        </w:rPr>
        <w:t>各标段河道明细</w:t>
      </w:r>
      <w:r>
        <w:rPr>
          <w:rFonts w:hint="eastAsia" w:ascii="宋体" w:hAnsi="宋体" w:cs="宋体"/>
          <w:color w:val="auto"/>
          <w:sz w:val="21"/>
          <w:szCs w:val="21"/>
          <w:highlight w:val="none"/>
          <w:shd w:val="clear" w:color="auto"/>
          <w:lang w:val="en-US" w:eastAsia="zh-CN"/>
        </w:rPr>
        <w:t>及相关技术要求等</w:t>
      </w:r>
      <w:r>
        <w:rPr>
          <w:rFonts w:hint="eastAsia" w:ascii="宋体" w:hAnsi="宋体" w:cs="宋体"/>
          <w:color w:val="auto"/>
          <w:sz w:val="21"/>
          <w:szCs w:val="21"/>
          <w:highlight w:val="none"/>
          <w:shd w:val="clear" w:color="auto"/>
        </w:rPr>
        <w:t>详见附件1</w:t>
      </w:r>
      <w:r>
        <w:rPr>
          <w:rFonts w:hint="eastAsia" w:ascii="宋体" w:hAnsi="宋体" w:cs="宋体"/>
          <w:color w:val="auto"/>
          <w:sz w:val="21"/>
          <w:szCs w:val="21"/>
          <w:highlight w:val="none"/>
          <w:shd w:val="clear" w:color="auto"/>
          <w:lang w:eastAsia="zh-CN"/>
        </w:rPr>
        <w:t>，</w:t>
      </w:r>
      <w:r>
        <w:rPr>
          <w:rFonts w:hint="eastAsia" w:ascii="宋体" w:hAnsi="宋体" w:cs="宋体"/>
          <w:color w:val="auto"/>
          <w:sz w:val="21"/>
          <w:szCs w:val="21"/>
          <w:highlight w:val="none"/>
          <w:shd w:val="clear" w:color="auto"/>
        </w:rPr>
        <w:t>各标段河道养护分标图见附件2（采购单位有权根据</w:t>
      </w:r>
      <w:r>
        <w:rPr>
          <w:rFonts w:hint="eastAsia" w:ascii="宋体" w:hAnsi="宋体" w:cs="宋体"/>
          <w:color w:val="auto"/>
          <w:sz w:val="21"/>
          <w:szCs w:val="21"/>
          <w:highlight w:val="none"/>
          <w:shd w:val="clear" w:color="auto"/>
          <w:lang w:val="en-US" w:eastAsia="zh-CN"/>
        </w:rPr>
        <w:t>行业</w:t>
      </w:r>
      <w:r>
        <w:rPr>
          <w:rFonts w:hint="eastAsia" w:ascii="宋体" w:hAnsi="宋体" w:cs="宋体"/>
          <w:color w:val="auto"/>
          <w:sz w:val="21"/>
          <w:szCs w:val="21"/>
          <w:highlight w:val="none"/>
          <w:shd w:val="clear" w:color="auto" w:fill="FFFFFF"/>
          <w:lang w:val="en-US" w:eastAsia="zh-CN"/>
        </w:rPr>
        <w:t>要求和</w:t>
      </w:r>
      <w:r>
        <w:rPr>
          <w:rFonts w:hint="eastAsia" w:ascii="宋体" w:hAnsi="宋体" w:cs="宋体"/>
          <w:color w:val="auto"/>
          <w:sz w:val="21"/>
          <w:szCs w:val="21"/>
          <w:highlight w:val="none"/>
          <w:shd w:val="clear" w:color="auto" w:fill="FFFFFF"/>
        </w:rPr>
        <w:t>实际需要调整设备、技术路线等）</w:t>
      </w:r>
      <w:r>
        <w:rPr>
          <w:rFonts w:hint="eastAsia" w:ascii="宋体" w:hAnsi="宋体" w:cs="宋体"/>
          <w:color w:val="auto"/>
          <w:sz w:val="21"/>
          <w:szCs w:val="21"/>
          <w:highlight w:val="none"/>
          <w:shd w:val="clear" w:color="auto" w:fill="FFFFFF"/>
          <w:lang w:eastAsia="zh-CN"/>
        </w:rPr>
        <w:t>。</w:t>
      </w:r>
    </w:p>
    <w:p>
      <w:pPr>
        <w:spacing w:line="360" w:lineRule="auto"/>
        <w:rPr>
          <w:rFonts w:hint="eastAsia" w:ascii="Times New Roman" w:hAnsi="Times New Roman"/>
          <w:color w:val="auto"/>
          <w:sz w:val="21"/>
          <w:highlight w:val="none"/>
        </w:rPr>
      </w:pPr>
      <w:r>
        <w:rPr>
          <w:rFonts w:hint="eastAsia" w:ascii="Times New Roman" w:hAnsi="Times New Roman" w:eastAsia="宋体" w:cs="Times New Roman"/>
          <w:b/>
          <w:color w:val="auto"/>
          <w:kern w:val="2"/>
          <w:sz w:val="21"/>
          <w:szCs w:val="24"/>
          <w:highlight w:val="none"/>
          <w:lang w:val="en-US" w:eastAsia="zh-CN" w:bidi="ar-SA"/>
        </w:rPr>
        <w:t>附件1：鄞州区城区内河水质日常养护项目标段概况与技术策略</w:t>
      </w:r>
    </w:p>
    <w:tbl>
      <w:tblPr>
        <w:tblStyle w:val="22"/>
        <w:tblW w:w="4991"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Layout w:type="fixed"/>
        <w:tblCellMar>
          <w:top w:w="28" w:type="dxa"/>
          <w:left w:w="85" w:type="dxa"/>
          <w:bottom w:w="28" w:type="dxa"/>
          <w:right w:w="85" w:type="dxa"/>
        </w:tblCellMar>
      </w:tblPr>
      <w:tblGrid>
        <w:gridCol w:w="466"/>
        <w:gridCol w:w="896"/>
        <w:gridCol w:w="758"/>
        <w:gridCol w:w="904"/>
        <w:gridCol w:w="863"/>
        <w:gridCol w:w="790"/>
        <w:gridCol w:w="558"/>
        <w:gridCol w:w="972"/>
        <w:gridCol w:w="2464"/>
        <w:gridCol w:w="2669"/>
        <w:gridCol w:w="334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5000" w:type="pct"/>
            <w:gridSpan w:val="11"/>
            <w:tcBorders>
              <w:top w:val="single" w:color="000000" w:sz="12" w:space="0"/>
              <w:left w:val="single" w:color="000000" w:sz="12" w:space="0"/>
              <w:bottom w:val="single" w:color="000000" w:sz="4" w:space="0"/>
              <w:right w:val="single" w:color="000000" w:sz="12" w:space="0"/>
            </w:tcBorders>
            <w:shd w:val="clear" w:color="auto" w:fill="FFFFFF"/>
            <w:noWrap w:val="0"/>
            <w:tcMar>
              <w:top w:w="15" w:type="dxa"/>
              <w:left w:w="15" w:type="dxa"/>
              <w:right w:w="15" w:type="dxa"/>
            </w:tcMar>
            <w:vAlign w:val="center"/>
          </w:tcPr>
          <w:p>
            <w:pPr>
              <w:widowControl/>
              <w:jc w:val="center"/>
              <w:textAlignment w:val="center"/>
              <w:rPr>
                <w:rStyle w:val="51"/>
                <w:rFonts w:hint="default" w:ascii="Times New Roman" w:hAnsi="Times New Roman" w:eastAsia="华文中宋"/>
                <w:b/>
                <w:color w:val="auto"/>
                <w:sz w:val="30"/>
                <w:szCs w:val="30"/>
                <w:highlight w:val="none"/>
                <w:lang w:bidi="ar"/>
              </w:rPr>
            </w:pPr>
            <w:r>
              <w:rPr>
                <w:rStyle w:val="40"/>
                <w:rFonts w:hint="default" w:ascii="Times New Roman" w:hAnsi="Times New Roman" w:eastAsia="华文中宋"/>
                <w:color w:val="auto"/>
                <w:sz w:val="30"/>
                <w:szCs w:val="30"/>
                <w:highlight w:val="none"/>
                <w:lang w:bidi="ar"/>
              </w:rPr>
              <w:t>第一标段水质日常养护概况与技术策略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18"/>
                <w:szCs w:val="18"/>
                <w:highlight w:val="none"/>
              </w:rPr>
            </w:pPr>
            <w:r>
              <w:rPr>
                <w:rStyle w:val="56"/>
                <w:rFonts w:hint="default" w:ascii="Times New Roman" w:hAnsi="Times New Roman"/>
                <w:b/>
                <w:bCs/>
                <w:color w:val="auto"/>
                <w:sz w:val="18"/>
                <w:szCs w:val="18"/>
                <w:highlight w:val="none"/>
                <w:lang w:bidi="ar"/>
              </w:rPr>
              <w:t>序号</w:t>
            </w:r>
          </w:p>
        </w:tc>
        <w:tc>
          <w:tcPr>
            <w:tcW w:w="305"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河道</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名称</w:t>
            </w:r>
          </w:p>
        </w:tc>
        <w:tc>
          <w:tcPr>
            <w:tcW w:w="258" w:type="pct"/>
            <w:shd w:val="clear" w:color="auto" w:fill="FFFFFF"/>
            <w:noWrap w:val="0"/>
            <w:tcMar>
              <w:top w:w="15" w:type="dxa"/>
              <w:left w:w="15" w:type="dxa"/>
              <w:right w:w="15" w:type="dxa"/>
            </w:tcMar>
            <w:vAlign w:val="center"/>
          </w:tcPr>
          <w:p>
            <w:pPr>
              <w:widowControl/>
              <w:jc w:val="center"/>
              <w:textAlignment w:val="center"/>
              <w:rPr>
                <w:rStyle w:val="57"/>
                <w:b/>
                <w:bCs/>
                <w:color w:val="auto"/>
                <w:sz w:val="21"/>
                <w:szCs w:val="21"/>
                <w:highlight w:val="none"/>
                <w:lang w:bidi="ar"/>
              </w:rPr>
            </w:pPr>
            <w:r>
              <w:rPr>
                <w:rStyle w:val="57"/>
                <w:b/>
                <w:bCs/>
                <w:color w:val="auto"/>
                <w:sz w:val="21"/>
                <w:szCs w:val="21"/>
                <w:highlight w:val="none"/>
                <w:lang w:bidi="ar"/>
              </w:rPr>
              <w:t>考核</w:t>
            </w:r>
          </w:p>
          <w:p>
            <w:pPr>
              <w:widowControl/>
              <w:jc w:val="center"/>
              <w:textAlignment w:val="center"/>
              <w:rPr>
                <w:rFonts w:ascii="Times New Roman" w:hAnsi="Times New Roman"/>
                <w:b/>
                <w:bCs/>
                <w:color w:val="auto"/>
                <w:sz w:val="21"/>
                <w:szCs w:val="21"/>
                <w:highlight w:val="none"/>
              </w:rPr>
            </w:pPr>
            <w:r>
              <w:rPr>
                <w:rStyle w:val="57"/>
                <w:b/>
                <w:bCs/>
                <w:color w:val="auto"/>
                <w:sz w:val="21"/>
                <w:szCs w:val="21"/>
                <w:highlight w:val="none"/>
                <w:lang w:bidi="ar"/>
              </w:rPr>
              <w:t>等级</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起点</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终点</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长度（</w:t>
            </w:r>
            <w:r>
              <w:rPr>
                <w:rStyle w:val="50"/>
                <w:b/>
                <w:bCs/>
                <w:color w:val="auto"/>
                <w:sz w:val="21"/>
                <w:szCs w:val="21"/>
                <w:highlight w:val="none"/>
                <w:lang w:bidi="ar"/>
              </w:rPr>
              <w:t>m</w:t>
            </w:r>
            <w:r>
              <w:rPr>
                <w:rStyle w:val="56"/>
                <w:rFonts w:hint="default" w:ascii="Times New Roman" w:hAnsi="Times New Roman"/>
                <w:b/>
                <w:bCs/>
                <w:color w:val="auto"/>
                <w:sz w:val="21"/>
                <w:szCs w:val="21"/>
                <w:highlight w:val="none"/>
                <w:lang w:bidi="ar"/>
              </w:rPr>
              <w:t>）</w:t>
            </w:r>
          </w:p>
        </w:tc>
        <w:tc>
          <w:tcPr>
            <w:tcW w:w="190"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宽度</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w:t>
            </w:r>
            <w:r>
              <w:rPr>
                <w:rStyle w:val="50"/>
                <w:b/>
                <w:bCs/>
                <w:color w:val="auto"/>
                <w:sz w:val="21"/>
                <w:szCs w:val="21"/>
                <w:highlight w:val="none"/>
                <w:lang w:bidi="ar"/>
              </w:rPr>
              <w:t>m</w:t>
            </w:r>
            <w:r>
              <w:rPr>
                <w:rStyle w:val="56"/>
                <w:rFonts w:hint="default" w:ascii="Times New Roman" w:hAnsi="Times New Roman"/>
                <w:b/>
                <w:bCs/>
                <w:color w:val="auto"/>
                <w:sz w:val="21"/>
                <w:szCs w:val="21"/>
                <w:highlight w:val="none"/>
                <w:lang w:bidi="ar"/>
              </w:rPr>
              <w:t>）</w:t>
            </w:r>
          </w:p>
        </w:tc>
        <w:tc>
          <w:tcPr>
            <w:tcW w:w="331"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面积</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w:t>
            </w:r>
            <w:r>
              <w:rPr>
                <w:rStyle w:val="50"/>
                <w:b/>
                <w:bCs/>
                <w:color w:val="auto"/>
                <w:sz w:val="21"/>
                <w:szCs w:val="21"/>
                <w:highlight w:val="none"/>
                <w:lang w:bidi="ar"/>
              </w:rPr>
              <w:t>m</w:t>
            </w:r>
            <w:r>
              <w:rPr>
                <w:rStyle w:val="58"/>
                <w:b/>
                <w:bCs/>
                <w:color w:val="auto"/>
                <w:sz w:val="21"/>
                <w:szCs w:val="21"/>
                <w:highlight w:val="none"/>
                <w:lang w:bidi="ar"/>
              </w:rPr>
              <w:t>2</w:t>
            </w:r>
            <w:r>
              <w:rPr>
                <w:rStyle w:val="56"/>
                <w:rFonts w:hint="default" w:ascii="Times New Roman" w:hAnsi="Times New Roman"/>
                <w:b/>
                <w:bCs/>
                <w:color w:val="auto"/>
                <w:sz w:val="21"/>
                <w:szCs w:val="21"/>
                <w:highlight w:val="none"/>
                <w:lang w:bidi="ar"/>
              </w:rPr>
              <w:t>）</w:t>
            </w:r>
          </w:p>
        </w:tc>
        <w:tc>
          <w:tcPr>
            <w:tcW w:w="839" w:type="pct"/>
            <w:shd w:val="clear" w:color="auto" w:fill="FFFFFF"/>
            <w:noWrap w:val="0"/>
            <w:tcMar>
              <w:top w:w="15" w:type="dxa"/>
              <w:left w:w="15" w:type="dxa"/>
              <w:right w:w="15" w:type="dxa"/>
            </w:tcMar>
            <w:vAlign w:val="center"/>
          </w:tcPr>
          <w:p>
            <w:pPr>
              <w:widowControl/>
              <w:jc w:val="center"/>
              <w:textAlignment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 xml:space="preserve">限定性技术① </w:t>
            </w:r>
          </w:p>
        </w:tc>
        <w:tc>
          <w:tcPr>
            <w:tcW w:w="908" w:type="pct"/>
            <w:shd w:val="clear" w:color="auto" w:fill="FFFFFF"/>
            <w:noWrap w:val="0"/>
            <w:tcMar>
              <w:top w:w="15" w:type="dxa"/>
              <w:left w:w="15" w:type="dxa"/>
              <w:right w:w="15" w:type="dxa"/>
            </w:tcMar>
            <w:vAlign w:val="center"/>
          </w:tcPr>
          <w:p>
            <w:pPr>
              <w:widowControl/>
              <w:jc w:val="center"/>
              <w:textAlignment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限定性技术②</w:t>
            </w:r>
          </w:p>
        </w:tc>
        <w:tc>
          <w:tcPr>
            <w:tcW w:w="1138"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Fonts w:ascii="Times New Roman" w:hAnsi="Times New Roman"/>
                <w:b/>
                <w:bCs/>
                <w:color w:val="auto"/>
                <w:sz w:val="21"/>
                <w:szCs w:val="21"/>
                <w:highlight w:val="none"/>
              </w:rPr>
              <w:t>非限定性技术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-1</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鄞州公园河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0"/>
                <w:color w:val="auto"/>
                <w:sz w:val="18"/>
                <w:szCs w:val="18"/>
                <w:highlight w:val="none"/>
                <w:lang w:bidi="ar"/>
              </w:rPr>
              <w:t xml:space="preserve"> </w:t>
            </w:r>
            <w:r>
              <w:rPr>
                <w:rStyle w:val="56"/>
                <w:rFonts w:hint="default" w:ascii="Times New Roman" w:hAnsi="Times New Roman"/>
                <w:color w:val="auto"/>
                <w:sz w:val="18"/>
                <w:szCs w:val="18"/>
                <w:highlight w:val="none"/>
                <w:lang w:bidi="ar"/>
              </w:rPr>
              <w:t>精品</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区府环河（首南路）</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水街河（日丽路）</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1584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36.94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58511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设置1套1000吨/天一体化设备，单独计入设施</w:t>
            </w:r>
            <w:r>
              <w:rPr>
                <w:rStyle w:val="51"/>
                <w:rFonts w:hint="eastAsia" w:ascii="Times New Roman" w:hAnsi="Times New Roman" w:eastAsia="宋体"/>
                <w:color w:val="auto"/>
                <w:sz w:val="18"/>
                <w:szCs w:val="18"/>
                <w:highlight w:val="none"/>
                <w:lang w:val="en-US" w:eastAsia="zh-CN" w:bidi="ar"/>
              </w:rPr>
              <w:t>增支</w:t>
            </w:r>
            <w:r>
              <w:rPr>
                <w:rStyle w:val="51"/>
                <w:rFonts w:hint="default" w:ascii="Times New Roman" w:hAnsi="Times New Roman"/>
                <w:color w:val="auto"/>
                <w:sz w:val="18"/>
                <w:szCs w:val="18"/>
                <w:highlight w:val="none"/>
                <w:lang w:bidi="ar"/>
              </w:rPr>
              <w:t>费用</w:t>
            </w:r>
            <w:r>
              <w:rPr>
                <w:rFonts w:ascii="Times New Roman" w:hAnsi="Times New Roman"/>
                <w:color w:val="auto"/>
                <w:kern w:val="0"/>
                <w:sz w:val="18"/>
                <w:szCs w:val="18"/>
                <w:highlight w:val="none"/>
                <w:lang w:bidi="ar"/>
              </w:rPr>
              <w:t>72000 元</w:t>
            </w:r>
            <w:r>
              <w:rPr>
                <w:rFonts w:hint="eastAsia" w:ascii="Times New Roman" w:hAnsi="Times New Roman"/>
                <w:color w:val="auto"/>
                <w:kern w:val="0"/>
                <w:sz w:val="18"/>
                <w:szCs w:val="18"/>
                <w:highlight w:val="none"/>
                <w:lang w:eastAsia="zh-CN" w:bidi="ar"/>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沉水植物构建技术，植物覆盖率不低于75%；滨水植物景观营造技术，覆盖面积不低于水域面积260平方米</w:t>
            </w:r>
            <w:r>
              <w:rPr>
                <w:rStyle w:val="41"/>
                <w:rFonts w:ascii="Times New Roman" w:hAnsi="Times New Roman" w:cs="Times New Roman"/>
                <w:color w:val="auto"/>
                <w:sz w:val="18"/>
                <w:szCs w:val="18"/>
                <w:highlight w:val="none"/>
                <w:lang w:bidi="ar"/>
              </w:rPr>
              <w:t>。</w:t>
            </w:r>
          </w:p>
        </w:tc>
        <w:tc>
          <w:tcPr>
            <w:tcW w:w="1138" w:type="pct"/>
            <w:shd w:val="clear" w:color="auto" w:fill="FFFFFF"/>
            <w:noWrap w:val="0"/>
            <w:tcMar>
              <w:top w:w="15" w:type="dxa"/>
              <w:left w:w="15" w:type="dxa"/>
              <w:right w:w="15" w:type="dxa"/>
            </w:tcMar>
            <w:vAlign w:val="center"/>
          </w:tcPr>
          <w:p>
            <w:pPr>
              <w:widowControl/>
              <w:jc w:val="left"/>
              <w:textAlignment w:val="center"/>
              <w:rPr>
                <w:rStyle w:val="41"/>
                <w:rFonts w:ascii="Times New Roman" w:hAnsi="Times New Roman" w:cs="Times New Roman"/>
                <w:color w:val="auto"/>
                <w:sz w:val="18"/>
                <w:szCs w:val="18"/>
                <w:highlight w:val="none"/>
                <w:lang w:bidi="ar"/>
              </w:rPr>
            </w:pPr>
            <w:r>
              <w:rPr>
                <w:rStyle w:val="51"/>
                <w:rFonts w:hint="default" w:ascii="Times New Roman" w:hAnsi="Times New Roman"/>
                <w:color w:val="auto"/>
                <w:sz w:val="18"/>
                <w:szCs w:val="18"/>
                <w:highlight w:val="none"/>
                <w:lang w:bidi="ar"/>
              </w:rPr>
              <w:t>生物群落调控技术（鱼类及底栖动物投放）。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-2</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水街河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0"/>
                <w:color w:val="auto"/>
                <w:sz w:val="18"/>
                <w:szCs w:val="18"/>
                <w:highlight w:val="none"/>
                <w:lang w:bidi="ar"/>
              </w:rPr>
              <w:t xml:space="preserve"> </w:t>
            </w:r>
            <w:r>
              <w:rPr>
                <w:rStyle w:val="56"/>
                <w:rFonts w:hint="default" w:ascii="Times New Roman" w:hAnsi="Times New Roman"/>
                <w:color w:val="auto"/>
                <w:sz w:val="18"/>
                <w:szCs w:val="18"/>
                <w:highlight w:val="none"/>
                <w:lang w:bidi="ar"/>
              </w:rPr>
              <w:t>精品</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日丽路</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萧皋碶河（泰安路</w:t>
            </w:r>
            <w:r>
              <w:rPr>
                <w:rStyle w:val="59"/>
                <w:color w:val="auto"/>
                <w:sz w:val="18"/>
                <w:szCs w:val="18"/>
                <w:highlight w:val="none"/>
                <w:lang w:bidi="ar"/>
              </w:rPr>
              <w:t>)</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833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26.19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21815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沉水植物构建技术，植物覆盖率不低于75%。</w:t>
            </w:r>
          </w:p>
        </w:tc>
        <w:tc>
          <w:tcPr>
            <w:tcW w:w="113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生物群落调控技术（鱼类及底栖动物投放）、</w:t>
            </w:r>
            <w:r>
              <w:rPr>
                <w:rFonts w:ascii="Times New Roman" w:hAnsi="Times New Roman"/>
                <w:color w:val="auto"/>
                <w:sz w:val="18"/>
                <w:szCs w:val="18"/>
                <w:highlight w:val="none"/>
              </w:rPr>
              <w:t>滨水植物景观营造技术</w:t>
            </w:r>
            <w:r>
              <w:rPr>
                <w:rStyle w:val="51"/>
                <w:rFonts w:hint="default" w:ascii="Times New Roman" w:hAnsi="Times New Roman"/>
                <w:color w:val="auto"/>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-3</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甬新西河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0"/>
                <w:color w:val="auto"/>
                <w:sz w:val="18"/>
                <w:szCs w:val="18"/>
                <w:highlight w:val="none"/>
                <w:lang w:bidi="ar"/>
              </w:rPr>
              <w:t xml:space="preserve"> </w:t>
            </w:r>
            <w:r>
              <w:rPr>
                <w:rStyle w:val="56"/>
                <w:rFonts w:hint="default" w:ascii="Times New Roman" w:hAnsi="Times New Roman"/>
                <w:color w:val="auto"/>
                <w:sz w:val="18"/>
                <w:szCs w:val="18"/>
                <w:highlight w:val="none"/>
                <w:lang w:bidi="ar"/>
              </w:rPr>
              <w:t>精品</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鄞州公园河（宁南路）</w:t>
            </w:r>
          </w:p>
        </w:tc>
        <w:tc>
          <w:tcPr>
            <w:tcW w:w="293"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青墩支河（原清墩村支河）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3263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33.21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108380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沉水植物构建技术，植物覆盖率不低于75%；滨水植物景观营造技术，覆盖面积不低于水域面积400平方米</w:t>
            </w:r>
            <w:r>
              <w:rPr>
                <w:rStyle w:val="41"/>
                <w:rFonts w:ascii="Times New Roman" w:hAnsi="Times New Roman" w:cs="Times New Roman"/>
                <w:color w:val="auto"/>
                <w:sz w:val="18"/>
                <w:szCs w:val="18"/>
                <w:highlight w:val="none"/>
                <w:lang w:bidi="ar"/>
              </w:rPr>
              <w:t>。</w:t>
            </w:r>
            <w:r>
              <w:rPr>
                <w:rStyle w:val="51"/>
                <w:rFonts w:hint="default" w:ascii="Times New Roman" w:hAnsi="Times New Roman"/>
                <w:color w:val="auto"/>
                <w:sz w:val="18"/>
                <w:szCs w:val="18"/>
                <w:highlight w:val="none"/>
                <w:lang w:bidi="ar"/>
              </w:rPr>
              <w:t xml:space="preserve"> </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生物群落调控技术（鱼类及底栖动物投放）。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-4</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区府环河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0"/>
                <w:color w:val="auto"/>
                <w:sz w:val="18"/>
                <w:szCs w:val="18"/>
                <w:highlight w:val="none"/>
                <w:lang w:bidi="ar"/>
              </w:rPr>
              <w:t xml:space="preserve"> </w:t>
            </w:r>
            <w:r>
              <w:rPr>
                <w:rStyle w:val="56"/>
                <w:rFonts w:hint="default" w:ascii="Times New Roman" w:hAnsi="Times New Roman"/>
                <w:color w:val="auto"/>
                <w:sz w:val="18"/>
                <w:szCs w:val="18"/>
                <w:highlight w:val="none"/>
                <w:lang w:bidi="ar"/>
              </w:rPr>
              <w:t>精品</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三桥江</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鄞州公园河（首南路）</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1409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18.38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25898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41"/>
                <w:rFonts w:ascii="Times New Roman" w:hAnsi="Times New Roman" w:cs="Times New Roman"/>
                <w:color w:val="auto"/>
                <w:sz w:val="18"/>
                <w:szCs w:val="18"/>
                <w:highlight w:val="none"/>
                <w:lang w:bidi="ar"/>
              </w:rPr>
              <w:t>设置1套一体化设备，处理能力不低于1000吨/天</w:t>
            </w:r>
            <w:r>
              <w:rPr>
                <w:rStyle w:val="51"/>
                <w:rFonts w:hint="default" w:ascii="Times New Roman" w:hAnsi="Times New Roman"/>
                <w:color w:val="auto"/>
                <w:sz w:val="18"/>
                <w:szCs w:val="18"/>
                <w:highlight w:val="none"/>
                <w:lang w:bidi="ar"/>
              </w:rPr>
              <w:t>，单独计入设施增支费用</w:t>
            </w:r>
            <w:r>
              <w:rPr>
                <w:rFonts w:ascii="Times New Roman" w:hAnsi="Times New Roman"/>
                <w:color w:val="auto"/>
                <w:kern w:val="0"/>
                <w:sz w:val="18"/>
                <w:szCs w:val="18"/>
                <w:highlight w:val="none"/>
                <w:lang w:bidi="ar"/>
              </w:rPr>
              <w:t>72000 元。</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41"/>
                <w:rFonts w:ascii="Times New Roman" w:hAnsi="Times New Roman" w:cs="Times New Roman"/>
                <w:color w:val="auto"/>
                <w:sz w:val="18"/>
                <w:szCs w:val="18"/>
                <w:highlight w:val="none"/>
                <w:lang w:bidi="ar"/>
              </w:rPr>
              <w:t>沉水植物构建技术，植物覆盖率不低于75%；</w:t>
            </w:r>
            <w:r>
              <w:rPr>
                <w:rStyle w:val="51"/>
                <w:rFonts w:hint="default" w:ascii="Times New Roman" w:hAnsi="Times New Roman"/>
                <w:color w:val="auto"/>
                <w:sz w:val="18"/>
                <w:szCs w:val="18"/>
                <w:highlight w:val="none"/>
                <w:lang w:bidi="ar"/>
              </w:rPr>
              <w:t>滨水植物景观营造技术，覆盖面积不低于水域面积150平方米</w:t>
            </w:r>
            <w:r>
              <w:rPr>
                <w:rStyle w:val="41"/>
                <w:rFonts w:ascii="Times New Roman" w:hAnsi="Times New Roman" w:cs="Times New Roman"/>
                <w:color w:val="auto"/>
                <w:sz w:val="18"/>
                <w:szCs w:val="18"/>
                <w:highlight w:val="none"/>
                <w:lang w:bidi="ar"/>
              </w:rPr>
              <w:t>。</w:t>
            </w:r>
          </w:p>
        </w:tc>
        <w:tc>
          <w:tcPr>
            <w:tcW w:w="1138" w:type="pct"/>
            <w:shd w:val="clear" w:color="auto" w:fill="FFFFFF"/>
            <w:noWrap w:val="0"/>
            <w:tcMar>
              <w:top w:w="15" w:type="dxa"/>
              <w:left w:w="15" w:type="dxa"/>
              <w:right w:w="15" w:type="dxa"/>
            </w:tcMar>
            <w:vAlign w:val="center"/>
          </w:tcPr>
          <w:p>
            <w:pPr>
              <w:spacing w:line="300" w:lineRule="auto"/>
              <w:jc w:val="left"/>
              <w:rPr>
                <w:rStyle w:val="41"/>
                <w:rFonts w:ascii="Times New Roman" w:hAnsi="Times New Roman" w:cs="Times New Roman"/>
                <w:color w:val="auto"/>
                <w:sz w:val="18"/>
                <w:szCs w:val="18"/>
                <w:highlight w:val="none"/>
                <w:lang w:bidi="ar"/>
              </w:rPr>
            </w:pPr>
            <w:r>
              <w:rPr>
                <w:rStyle w:val="51"/>
                <w:rFonts w:hint="default" w:ascii="Times New Roman" w:hAnsi="Times New Roman"/>
                <w:color w:val="auto"/>
                <w:sz w:val="18"/>
                <w:szCs w:val="18"/>
                <w:highlight w:val="none"/>
                <w:lang w:bidi="ar"/>
              </w:rPr>
              <w:t>生物群落调控技术（鱼类及底栖动物投放）、</w:t>
            </w:r>
            <w:r>
              <w:rPr>
                <w:rFonts w:ascii="Times New Roman" w:hAnsi="Times New Roman"/>
                <w:color w:val="auto"/>
                <w:sz w:val="18"/>
                <w:szCs w:val="18"/>
                <w:highlight w:val="none"/>
              </w:rPr>
              <w:t>生物砾间接触氧化技术、小型化旁路生物净化技术。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-5</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华茂景观河（原华茂学校景观河）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清水</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宁南路</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天童路（含天童路-三桥江部分）</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704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15.14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10656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41"/>
                <w:rFonts w:ascii="Times New Roman" w:hAnsi="Times New Roman" w:cs="Times New Roman"/>
                <w:color w:val="auto"/>
                <w:sz w:val="18"/>
                <w:szCs w:val="18"/>
                <w:highlight w:val="none"/>
                <w:lang w:bidi="ar"/>
              </w:rPr>
              <w:t>设置1套</w:t>
            </w:r>
            <w:r>
              <w:rPr>
                <w:rStyle w:val="54"/>
                <w:color w:val="auto"/>
                <w:sz w:val="18"/>
                <w:szCs w:val="18"/>
                <w:highlight w:val="none"/>
                <w:lang w:bidi="ar"/>
              </w:rPr>
              <w:t>生态净化系统，处理能力不低于800</w:t>
            </w:r>
            <w:r>
              <w:rPr>
                <w:rStyle w:val="52"/>
                <w:rFonts w:hint="default" w:ascii="Times New Roman" w:hAnsi="Times New Roman" w:cs="Times New Roman"/>
                <w:color w:val="auto"/>
                <w:sz w:val="18"/>
                <w:szCs w:val="18"/>
                <w:highlight w:val="none"/>
                <w:lang w:bidi="ar"/>
              </w:rPr>
              <w:t>吨</w:t>
            </w:r>
            <w:r>
              <w:rPr>
                <w:rStyle w:val="54"/>
                <w:color w:val="auto"/>
                <w:sz w:val="18"/>
                <w:szCs w:val="18"/>
                <w:highlight w:val="none"/>
                <w:lang w:bidi="ar"/>
              </w:rPr>
              <w:t>/</w:t>
            </w:r>
            <w:r>
              <w:rPr>
                <w:rStyle w:val="52"/>
                <w:rFonts w:hint="default" w:ascii="Times New Roman" w:hAnsi="Times New Roman" w:cs="Times New Roman"/>
                <w:color w:val="auto"/>
                <w:sz w:val="18"/>
                <w:szCs w:val="18"/>
                <w:highlight w:val="none"/>
                <w:lang w:bidi="ar"/>
              </w:rPr>
              <w:t>天</w:t>
            </w:r>
            <w:r>
              <w:rPr>
                <w:rStyle w:val="51"/>
                <w:rFonts w:hint="default" w:ascii="Times New Roman" w:hAnsi="Times New Roman"/>
                <w:color w:val="auto"/>
                <w:sz w:val="18"/>
                <w:szCs w:val="18"/>
                <w:highlight w:val="none"/>
                <w:lang w:bidi="ar"/>
              </w:rPr>
              <w:t>，单独计入设施增支费用</w:t>
            </w:r>
            <w:r>
              <w:rPr>
                <w:rFonts w:ascii="Times New Roman" w:hAnsi="Times New Roman"/>
                <w:color w:val="auto"/>
                <w:kern w:val="0"/>
                <w:sz w:val="18"/>
                <w:szCs w:val="18"/>
                <w:highlight w:val="none"/>
                <w:lang w:bidi="ar"/>
              </w:rPr>
              <w:t>78000元。</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滨水植物景观营造技术，覆盖面积不低于水域面积100平方米</w:t>
            </w:r>
            <w:r>
              <w:rPr>
                <w:rStyle w:val="41"/>
                <w:rFonts w:ascii="Times New Roman" w:hAnsi="Times New Roman" w:cs="Times New Roman"/>
                <w:color w:val="auto"/>
                <w:sz w:val="18"/>
                <w:szCs w:val="18"/>
                <w:highlight w:val="none"/>
                <w:lang w:bidi="ar"/>
              </w:rPr>
              <w:t>。</w:t>
            </w:r>
          </w:p>
        </w:tc>
        <w:tc>
          <w:tcPr>
            <w:tcW w:w="1138" w:type="pct"/>
            <w:shd w:val="clear" w:color="auto" w:fill="FFFFFF"/>
            <w:noWrap w:val="0"/>
            <w:tcMar>
              <w:top w:w="15" w:type="dxa"/>
              <w:left w:w="15" w:type="dxa"/>
              <w:right w:w="15" w:type="dxa"/>
            </w:tcMar>
            <w:vAlign w:val="center"/>
          </w:tcPr>
          <w:p>
            <w:pPr>
              <w:widowControl/>
              <w:jc w:val="left"/>
              <w:textAlignment w:val="center"/>
              <w:rPr>
                <w:rStyle w:val="50"/>
                <w:color w:val="auto"/>
                <w:sz w:val="18"/>
                <w:szCs w:val="18"/>
                <w:highlight w:val="none"/>
                <w:lang w:bidi="ar"/>
              </w:rPr>
            </w:pPr>
            <w:r>
              <w:rPr>
                <w:rStyle w:val="51"/>
                <w:rFonts w:hint="default" w:ascii="Times New Roman" w:hAnsi="Times New Roman"/>
                <w:color w:val="auto"/>
                <w:sz w:val="18"/>
                <w:szCs w:val="18"/>
                <w:highlight w:val="none"/>
                <w:lang w:bidi="ar"/>
              </w:rPr>
              <w:t>沉水植物构建技术，覆盖率不低于60%；旁路生物过滤技术、生物群落调控技术、</w:t>
            </w:r>
            <w:r>
              <w:rPr>
                <w:rFonts w:ascii="Times New Roman" w:hAnsi="Times New Roman"/>
                <w:color w:val="auto"/>
                <w:sz w:val="18"/>
                <w:szCs w:val="18"/>
                <w:highlight w:val="none"/>
              </w:rPr>
              <w:t>生物砾间接触氧化技术、小型化旁路生物净化技术</w:t>
            </w:r>
            <w:r>
              <w:rPr>
                <w:rStyle w:val="51"/>
                <w:rFonts w:hint="default" w:ascii="Times New Roman" w:hAnsi="Times New Roman"/>
                <w:color w:val="auto"/>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-6</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新林河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清水</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惠风路</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甬新西河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1064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12.26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13043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 xml:space="preserve">构建沉水植物，覆盖率不低于60%。 </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滨水植物景观营造技术、</w:t>
            </w:r>
            <w:r>
              <w:rPr>
                <w:rStyle w:val="52"/>
                <w:rFonts w:hint="default" w:ascii="Times New Roman" w:hAnsi="Times New Roman" w:cs="Times New Roman"/>
                <w:color w:val="auto"/>
                <w:sz w:val="18"/>
                <w:szCs w:val="18"/>
                <w:highlight w:val="none"/>
                <w:lang w:bidi="ar"/>
              </w:rPr>
              <w:t>底泥改良技术、泵管水力调控技术</w:t>
            </w:r>
            <w:r>
              <w:rPr>
                <w:rStyle w:val="51"/>
                <w:rFonts w:hint="default" w:ascii="Times New Roman" w:hAnsi="Times New Roman"/>
                <w:color w:val="auto"/>
                <w:sz w:val="18"/>
                <w:szCs w:val="18"/>
                <w:highlight w:val="none"/>
                <w:lang w:bidi="ar"/>
              </w:rPr>
              <w:t>、</w:t>
            </w:r>
            <w:r>
              <w:rPr>
                <w:rFonts w:ascii="Times New Roman" w:hAnsi="Times New Roman"/>
                <w:color w:val="auto"/>
                <w:sz w:val="18"/>
                <w:szCs w:val="18"/>
                <w:highlight w:val="none"/>
              </w:rPr>
              <w:t>生物砾间接触氧化技术、小型化旁路生物净化技术</w:t>
            </w:r>
            <w:r>
              <w:rPr>
                <w:rStyle w:val="51"/>
                <w:rFonts w:hint="default" w:ascii="Times New Roman" w:hAnsi="Times New Roman"/>
                <w:color w:val="auto"/>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-7</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鲍家江（原前塘河支流）</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前塘河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南裕小区</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783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15.52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12151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41"/>
                <w:rFonts w:ascii="Times New Roman" w:hAnsi="Times New Roman" w:cs="Times New Roman"/>
                <w:color w:val="auto"/>
                <w:sz w:val="18"/>
                <w:szCs w:val="18"/>
                <w:highlight w:val="none"/>
                <w:lang w:bidi="ar"/>
              </w:rPr>
              <w:t>设置1套</w:t>
            </w:r>
            <w:r>
              <w:rPr>
                <w:rStyle w:val="54"/>
                <w:color w:val="auto"/>
                <w:sz w:val="18"/>
                <w:szCs w:val="18"/>
                <w:highlight w:val="none"/>
                <w:lang w:bidi="ar"/>
              </w:rPr>
              <w:t>生态净化系统，处理能力不低于800</w:t>
            </w:r>
            <w:r>
              <w:rPr>
                <w:rStyle w:val="52"/>
                <w:rFonts w:hint="default" w:ascii="Times New Roman" w:hAnsi="Times New Roman" w:cs="Times New Roman"/>
                <w:color w:val="auto"/>
                <w:sz w:val="18"/>
                <w:szCs w:val="18"/>
                <w:highlight w:val="none"/>
                <w:lang w:bidi="ar"/>
              </w:rPr>
              <w:t>吨</w:t>
            </w:r>
            <w:r>
              <w:rPr>
                <w:rStyle w:val="54"/>
                <w:color w:val="auto"/>
                <w:sz w:val="18"/>
                <w:szCs w:val="18"/>
                <w:highlight w:val="none"/>
                <w:lang w:bidi="ar"/>
              </w:rPr>
              <w:t>/</w:t>
            </w:r>
            <w:r>
              <w:rPr>
                <w:rStyle w:val="52"/>
                <w:rFonts w:hint="default" w:ascii="Times New Roman" w:hAnsi="Times New Roman" w:cs="Times New Roman"/>
                <w:color w:val="auto"/>
                <w:sz w:val="18"/>
                <w:szCs w:val="18"/>
                <w:highlight w:val="none"/>
                <w:lang w:bidi="ar"/>
              </w:rPr>
              <w:t>天</w:t>
            </w:r>
            <w:r>
              <w:rPr>
                <w:rStyle w:val="51"/>
                <w:rFonts w:hint="default" w:ascii="Times New Roman" w:hAnsi="Times New Roman"/>
                <w:color w:val="auto"/>
                <w:sz w:val="18"/>
                <w:szCs w:val="18"/>
                <w:highlight w:val="none"/>
                <w:lang w:bidi="ar"/>
              </w:rPr>
              <w:t>，单独计入设施增支费用</w:t>
            </w:r>
            <w:r>
              <w:rPr>
                <w:rFonts w:ascii="Times New Roman" w:hAnsi="Times New Roman"/>
                <w:color w:val="auto"/>
                <w:kern w:val="0"/>
                <w:sz w:val="18"/>
                <w:szCs w:val="18"/>
                <w:highlight w:val="none"/>
                <w:lang w:bidi="ar"/>
              </w:rPr>
              <w:t xml:space="preserve">78000元。 </w:t>
            </w:r>
          </w:p>
        </w:tc>
        <w:tc>
          <w:tcPr>
            <w:tcW w:w="90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1138" w:type="pct"/>
            <w:shd w:val="clear" w:color="auto" w:fill="FFFFFF"/>
            <w:noWrap w:val="0"/>
            <w:tcMar>
              <w:top w:w="15" w:type="dxa"/>
              <w:left w:w="15" w:type="dxa"/>
              <w:right w:w="15" w:type="dxa"/>
            </w:tcMar>
            <w:vAlign w:val="center"/>
          </w:tcPr>
          <w:p>
            <w:pPr>
              <w:widowControl/>
              <w:jc w:val="left"/>
              <w:textAlignment w:val="center"/>
              <w:rPr>
                <w:rStyle w:val="56"/>
                <w:rFonts w:hint="default" w:ascii="Times New Roman" w:hAnsi="Times New Roman"/>
                <w:color w:val="auto"/>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w:t>
            </w:r>
            <w:r>
              <w:rPr>
                <w:rFonts w:ascii="Times New Roman" w:hAnsi="Times New Roman"/>
                <w:color w:val="auto"/>
                <w:sz w:val="18"/>
                <w:szCs w:val="18"/>
                <w:highlight w:val="none"/>
              </w:rPr>
              <w:t>滨水植物景观营造技术、生物砾间接触氧化技术、小型化旁路生物净化技术</w:t>
            </w:r>
            <w:r>
              <w:rPr>
                <w:rStyle w:val="51"/>
                <w:rFonts w:hint="default" w:ascii="Times New Roman" w:hAnsi="Times New Roman"/>
                <w:color w:val="auto"/>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-8</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毛家漕河</w:t>
            </w:r>
            <w:r>
              <w:rPr>
                <w:rStyle w:val="50"/>
                <w:color w:val="auto"/>
                <w:sz w:val="18"/>
                <w:szCs w:val="18"/>
                <w:highlight w:val="none"/>
                <w:lang w:bidi="ar"/>
              </w:rPr>
              <w:t>(</w:t>
            </w:r>
            <w:r>
              <w:rPr>
                <w:rStyle w:val="56"/>
                <w:rFonts w:hint="default" w:ascii="Times New Roman" w:hAnsi="Times New Roman"/>
                <w:color w:val="auto"/>
                <w:sz w:val="18"/>
                <w:szCs w:val="18"/>
                <w:highlight w:val="none"/>
                <w:lang w:bidi="ar"/>
              </w:rPr>
              <w:t>原毛家漕村河</w:t>
            </w:r>
            <w:r>
              <w:rPr>
                <w:rStyle w:val="50"/>
                <w:color w:val="auto"/>
                <w:sz w:val="18"/>
                <w:szCs w:val="18"/>
                <w:highlight w:val="none"/>
                <w:lang w:bidi="ar"/>
              </w:rPr>
              <w:t>)</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铜盆浦河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宁南路（含东侧部分）</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1519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18.30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27798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 xml:space="preserve">设备总功率不低于40kw。 </w:t>
            </w:r>
            <w:r>
              <w:rPr>
                <w:rFonts w:ascii="Times New Roman" w:hAnsi="Times New Roman"/>
                <w:color w:val="auto"/>
                <w:kern w:val="0"/>
                <w:sz w:val="18"/>
                <w:szCs w:val="18"/>
                <w:highlight w:val="none"/>
                <w:lang w:bidi="ar"/>
              </w:rPr>
              <w:t xml:space="preserve"> </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w:t>
            </w:r>
            <w:r>
              <w:rPr>
                <w:rStyle w:val="51"/>
                <w:rFonts w:hint="default" w:ascii="Times New Roman" w:hAnsi="Times New Roman"/>
                <w:color w:val="auto"/>
                <w:sz w:val="18"/>
                <w:szCs w:val="18"/>
                <w:highlight w:val="none"/>
                <w:lang w:bidi="ar"/>
              </w:rPr>
              <w:t>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第</w:t>
            </w:r>
            <w:r>
              <w:rPr>
                <w:rFonts w:hint="eastAsia" w:ascii="Times New Roman" w:hAnsi="Times New Roman"/>
                <w:b/>
                <w:color w:val="auto"/>
                <w:kern w:val="0"/>
                <w:sz w:val="18"/>
                <w:szCs w:val="18"/>
                <w:highlight w:val="none"/>
                <w:lang w:bidi="ar"/>
              </w:rPr>
              <w:t>一</w:t>
            </w:r>
            <w:r>
              <w:rPr>
                <w:rFonts w:ascii="Times New Roman" w:hAnsi="Times New Roman"/>
                <w:b/>
                <w:color w:val="auto"/>
                <w:kern w:val="0"/>
                <w:sz w:val="18"/>
                <w:szCs w:val="18"/>
                <w:highlight w:val="none"/>
                <w:lang w:bidi="ar"/>
              </w:rPr>
              <w:t>标段日常养护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11159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278252 </w:t>
            </w:r>
          </w:p>
        </w:tc>
        <w:tc>
          <w:tcPr>
            <w:tcW w:w="2886" w:type="pct"/>
            <w:gridSpan w:val="3"/>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第</w:t>
            </w:r>
            <w:r>
              <w:rPr>
                <w:rFonts w:hint="eastAsia" w:ascii="Times New Roman" w:hAnsi="Times New Roman"/>
                <w:b/>
                <w:color w:val="auto"/>
                <w:kern w:val="0"/>
                <w:sz w:val="18"/>
                <w:szCs w:val="18"/>
                <w:highlight w:val="none"/>
                <w:lang w:bidi="ar"/>
              </w:rPr>
              <w:t>一</w:t>
            </w:r>
            <w:r>
              <w:rPr>
                <w:rFonts w:ascii="Times New Roman" w:hAnsi="Times New Roman"/>
                <w:b/>
                <w:color w:val="auto"/>
                <w:kern w:val="0"/>
                <w:sz w:val="18"/>
                <w:szCs w:val="18"/>
                <w:highlight w:val="none"/>
                <w:lang w:bidi="ar"/>
              </w:rPr>
              <w:t>标段</w:t>
            </w:r>
            <w:r>
              <w:rPr>
                <w:rFonts w:hint="eastAsia" w:ascii="Times New Roman" w:hAnsi="Times New Roman"/>
                <w:b/>
                <w:color w:val="auto"/>
                <w:sz w:val="18"/>
                <w:szCs w:val="18"/>
                <w:highlight w:val="none"/>
                <w:lang w:eastAsia="zh-CN"/>
              </w:rPr>
              <w:t>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hint="eastAsia" w:ascii="Times New Roman" w:hAnsi="Times New Roman"/>
                <w:b/>
                <w:color w:val="auto"/>
                <w:sz w:val="18"/>
                <w:szCs w:val="18"/>
                <w:highlight w:val="none"/>
                <w:lang w:eastAsia="zh-CN"/>
              </w:rPr>
              <w:t>300000元</w:t>
            </w:r>
            <w:r>
              <w:rPr>
                <w:rFonts w:hint="eastAsia" w:ascii="Times New Roman" w:hAnsi="Times New Roman"/>
                <w:b/>
                <w:color w:val="auto"/>
                <w:sz w:val="18"/>
                <w:szCs w:val="18"/>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-9</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铜盆浦河（原铜盆闸村河）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应急河道</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甬新西河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九曲河（北支）</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2717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17.78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48304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r>
              <w:rPr>
                <w:rFonts w:ascii="Times New Roman" w:hAnsi="Times New Roman"/>
                <w:color w:val="auto"/>
                <w:sz w:val="18"/>
                <w:szCs w:val="18"/>
                <w:highlight w:val="none"/>
              </w:rPr>
              <w:t>预防黑臭及控藻等应急技术。</w:t>
            </w:r>
          </w:p>
        </w:tc>
        <w:tc>
          <w:tcPr>
            <w:tcW w:w="113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底泥消毒与底泥改良技术。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-10</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三桥江</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应急河道</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鄞县大道</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前塘河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1669.11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29.59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49391.35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r>
              <w:rPr>
                <w:rFonts w:ascii="Times New Roman" w:hAnsi="Times New Roman"/>
                <w:color w:val="auto"/>
                <w:sz w:val="18"/>
                <w:szCs w:val="18"/>
                <w:highlight w:val="none"/>
              </w:rPr>
              <w:t>预防黑臭及控藻等应急技术。</w:t>
            </w:r>
          </w:p>
        </w:tc>
        <w:tc>
          <w:tcPr>
            <w:tcW w:w="113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底泥消毒与底泥改良技术。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-11</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前塘河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应急河道</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三桥江</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甬台温高速</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2041.75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39.45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80548.24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预防黑臭及控藻等应急技术。</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底泥消毒与底泥改良技术。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-12</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萧皋碶河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应急河道</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九曲河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干墩河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2426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13.17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31946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预防黑臭及控藻等应急技术。</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kern w:val="0"/>
                <w:sz w:val="18"/>
                <w:szCs w:val="18"/>
                <w:highlight w:val="none"/>
                <w:lang w:bidi="ar"/>
              </w:rPr>
            </w:pPr>
            <w:r>
              <w:rPr>
                <w:rStyle w:val="52"/>
                <w:rFonts w:hint="default" w:ascii="Times New Roman" w:hAnsi="Times New Roman" w:cs="Times New Roman"/>
                <w:color w:val="auto"/>
                <w:sz w:val="18"/>
                <w:szCs w:val="18"/>
                <w:highlight w:val="none"/>
                <w:lang w:bidi="ar"/>
              </w:rPr>
              <w:t>底泥消毒与底泥改良技术。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-13</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干墩河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应急河道</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九曲河（北支）</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前塘河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912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21.57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19676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r>
              <w:rPr>
                <w:rFonts w:ascii="Times New Roman" w:hAnsi="Times New Roman"/>
                <w:color w:val="auto"/>
                <w:sz w:val="18"/>
                <w:szCs w:val="18"/>
                <w:highlight w:val="none"/>
              </w:rPr>
              <w:t>预防黑臭及控藻等应急技术。</w:t>
            </w:r>
          </w:p>
        </w:tc>
        <w:tc>
          <w:tcPr>
            <w:tcW w:w="113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底泥消毒与底泥改良技术。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color w:val="auto"/>
                <w:sz w:val="18"/>
                <w:szCs w:val="18"/>
                <w:highlight w:val="none"/>
              </w:rPr>
            </w:pPr>
            <w:r>
              <w:rPr>
                <w:rStyle w:val="47"/>
                <w:rFonts w:hint="default" w:ascii="Times New Roman" w:hAnsi="Times New Roman"/>
                <w:color w:val="auto"/>
                <w:sz w:val="18"/>
                <w:szCs w:val="18"/>
                <w:highlight w:val="none"/>
                <w:lang w:bidi="ar"/>
              </w:rPr>
              <w:t>第一标段应急养护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9765.86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229865.59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p>
        </w:tc>
        <w:tc>
          <w:tcPr>
            <w:tcW w:w="90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p>
        </w:tc>
        <w:tc>
          <w:tcPr>
            <w:tcW w:w="113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tcMar>
              <w:top w:w="15" w:type="dxa"/>
              <w:left w:w="15" w:type="dxa"/>
              <w:right w:w="15" w:type="dxa"/>
            </w:tcMar>
            <w:vAlign w:val="center"/>
          </w:tcPr>
          <w:p>
            <w:pPr>
              <w:jc w:val="center"/>
              <w:rPr>
                <w:rFonts w:ascii="Times New Roman" w:hAnsi="Times New Roman"/>
                <w:b/>
                <w:color w:val="auto"/>
                <w:sz w:val="18"/>
                <w:szCs w:val="18"/>
                <w:highlight w:val="none"/>
              </w:rPr>
            </w:pPr>
            <w:r>
              <w:rPr>
                <w:rStyle w:val="47"/>
                <w:rFonts w:hint="default" w:ascii="Times New Roman" w:hAnsi="Times New Roman"/>
                <w:color w:val="auto"/>
                <w:sz w:val="18"/>
                <w:szCs w:val="18"/>
                <w:highlight w:val="none"/>
                <w:lang w:bidi="ar"/>
              </w:rPr>
              <w:t>第一标段合计养护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20924.86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508117.59 </w:t>
            </w:r>
          </w:p>
        </w:tc>
        <w:tc>
          <w:tcPr>
            <w:tcW w:w="2886" w:type="pct"/>
            <w:gridSpan w:val="3"/>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Fonts w:ascii="Times New Roman" w:hAnsi="Times New Roman"/>
                <w:b/>
                <w:bCs/>
                <w:color w:val="auto"/>
                <w:sz w:val="18"/>
                <w:szCs w:val="18"/>
                <w:highlight w:val="none"/>
              </w:rPr>
              <w:t>第</w:t>
            </w:r>
            <w:r>
              <w:rPr>
                <w:rFonts w:hint="eastAsia" w:ascii="Times New Roman" w:hAnsi="Times New Roman"/>
                <w:b/>
                <w:bCs/>
                <w:color w:val="auto"/>
                <w:sz w:val="18"/>
                <w:szCs w:val="18"/>
                <w:highlight w:val="none"/>
              </w:rPr>
              <w:t>一</w:t>
            </w:r>
            <w:r>
              <w:rPr>
                <w:rFonts w:ascii="Times New Roman" w:hAnsi="Times New Roman"/>
                <w:b/>
                <w:bCs/>
                <w:color w:val="auto"/>
                <w:sz w:val="18"/>
                <w:szCs w:val="18"/>
                <w:highlight w:val="none"/>
              </w:rPr>
              <w:t>标段限定性技术规定</w:t>
            </w:r>
            <w:r>
              <w:rPr>
                <w:rStyle w:val="56"/>
                <w:rFonts w:hint="default" w:ascii="Times New Roman" w:hAnsi="Times New Roman"/>
                <w:b/>
                <w:bCs/>
                <w:color w:val="auto"/>
                <w:sz w:val="18"/>
                <w:szCs w:val="18"/>
                <w:highlight w:val="none"/>
                <w:lang w:bidi="ar"/>
              </w:rPr>
              <w:t>设</w:t>
            </w:r>
            <w:r>
              <w:rPr>
                <w:rFonts w:hint="default" w:ascii="Times New Roman" w:hAnsi="Times New Roman"/>
                <w:b/>
                <w:bCs/>
                <w:color w:val="auto"/>
                <w:sz w:val="18"/>
                <w:szCs w:val="18"/>
                <w:highlight w:val="none"/>
              </w:rPr>
              <w:t>施及单独计入费用</w:t>
            </w:r>
            <w:r>
              <w:rPr>
                <w:rFonts w:ascii="Times New Roman" w:hAnsi="Times New Roman"/>
                <w:b/>
                <w:bCs/>
                <w:color w:val="auto"/>
                <w:sz w:val="18"/>
                <w:szCs w:val="18"/>
                <w:highlight w:val="none"/>
              </w:rPr>
              <w:t>300000元</w:t>
            </w:r>
            <w:r>
              <w:rPr>
                <w:rFonts w:hint="eastAsia" w:ascii="Times New Roman" w:hAnsi="Times New Roman"/>
                <w:b/>
                <w:bCs/>
                <w:color w:val="auto"/>
                <w:sz w:val="18"/>
                <w:szCs w:val="18"/>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90" w:hRule="atLeast"/>
        </w:trPr>
        <w:tc>
          <w:tcPr>
            <w:tcW w:w="5000" w:type="pct"/>
            <w:gridSpan w:val="11"/>
            <w:shd w:val="clear" w:color="auto" w:fill="FFFFFF"/>
            <w:noWrap/>
            <w:tcMar>
              <w:top w:w="15" w:type="dxa"/>
              <w:left w:w="15" w:type="dxa"/>
              <w:right w:w="15" w:type="dxa"/>
            </w:tcMar>
            <w:vAlign w:val="center"/>
          </w:tcPr>
          <w:p>
            <w:pPr>
              <w:ind w:firstLine="361" w:firstLineChars="200"/>
              <w:jc w:val="left"/>
              <w:rPr>
                <w:rFonts w:hint="eastAsia" w:ascii="Times New Roman" w:hAnsi="Times New Roman"/>
                <w:b/>
                <w:color w:val="auto"/>
                <w:sz w:val="18"/>
                <w:szCs w:val="18"/>
                <w:highlight w:val="none"/>
                <w:lang w:eastAsia="zh-CN"/>
              </w:rPr>
            </w:pPr>
            <w:r>
              <w:rPr>
                <w:rFonts w:ascii="Times New Roman" w:hAnsi="Times New Roman"/>
                <w:b/>
                <w:color w:val="auto"/>
                <w:kern w:val="0"/>
                <w:sz w:val="18"/>
                <w:szCs w:val="18"/>
                <w:highlight w:val="none"/>
                <w:lang w:bidi="ar"/>
              </w:rPr>
              <w:t>备注：</w:t>
            </w:r>
            <w:r>
              <w:rPr>
                <w:rFonts w:hint="eastAsia" w:ascii="Times New Roman" w:hAnsi="Times New Roman"/>
                <w:b/>
                <w:color w:val="auto"/>
                <w:sz w:val="18"/>
                <w:szCs w:val="18"/>
                <w:highlight w:val="none"/>
                <w:lang w:eastAsia="zh-CN"/>
              </w:rPr>
              <w:t>（1）本标段限定性技术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hint="eastAsia" w:ascii="Times New Roman" w:hAnsi="Times New Roman"/>
                <w:b/>
                <w:color w:val="auto"/>
                <w:sz w:val="18"/>
                <w:szCs w:val="18"/>
                <w:highlight w:val="none"/>
                <w:lang w:eastAsia="zh-CN"/>
              </w:rPr>
              <w:t>300000元，</w:t>
            </w:r>
            <w:r>
              <w:rPr>
                <w:rFonts w:hint="eastAsia" w:ascii="Times New Roman" w:hAnsi="Times New Roman"/>
                <w:b/>
                <w:color w:val="auto"/>
                <w:sz w:val="18"/>
                <w:szCs w:val="18"/>
                <w:highlight w:val="none"/>
                <w:lang w:val="en-US" w:eastAsia="zh-CN"/>
              </w:rPr>
              <w:t>包含在总费用中但并非规定设施投入的全部费用，不管因任何原因未实施安装的，则该部分费用按照中标下浮率等比例下浮后一次性扣除</w:t>
            </w:r>
            <w:r>
              <w:rPr>
                <w:rFonts w:hint="eastAsia" w:ascii="Times New Roman" w:hAnsi="Times New Roman"/>
                <w:b/>
                <w:color w:val="auto"/>
                <w:sz w:val="18"/>
                <w:szCs w:val="18"/>
                <w:highlight w:val="none"/>
                <w:lang w:eastAsia="zh-CN"/>
              </w:rPr>
              <w:t>，</w:t>
            </w:r>
            <w:r>
              <w:rPr>
                <w:rFonts w:hint="eastAsia" w:ascii="Times New Roman" w:hAnsi="Times New Roman"/>
                <w:b/>
                <w:color w:val="auto"/>
                <w:sz w:val="18"/>
                <w:szCs w:val="18"/>
                <w:highlight w:val="none"/>
                <w:lang w:val="en-US" w:eastAsia="zh-CN"/>
              </w:rPr>
              <w:t>针对所在河道的考核标准和方法不变</w:t>
            </w:r>
            <w:r>
              <w:rPr>
                <w:rFonts w:hint="default" w:ascii="Times New Roman" w:hAnsi="Times New Roman"/>
                <w:b/>
                <w:color w:val="auto"/>
                <w:sz w:val="18"/>
                <w:szCs w:val="18"/>
                <w:highlight w:val="none"/>
                <w:lang w:eastAsia="zh-CN"/>
              </w:rPr>
              <w:t>。（2）</w:t>
            </w:r>
            <w:r>
              <w:rPr>
                <w:rFonts w:hint="eastAsia" w:ascii="Times New Roman" w:hAnsi="Times New Roman"/>
                <w:b/>
                <w:color w:val="auto"/>
                <w:sz w:val="18"/>
                <w:szCs w:val="18"/>
                <w:highlight w:val="none"/>
                <w:lang w:eastAsia="zh-CN"/>
              </w:rPr>
              <w:t>本标段毛家漕河、萧皋碶河部分区域待工程结束后移交。（3）该标段推流增氧等设备及其它技术设施应符合宁波市、鄞州区等行业规范规定和要求。</w:t>
            </w:r>
          </w:p>
          <w:p>
            <w:pPr>
              <w:ind w:firstLine="361" w:firstLineChars="200"/>
              <w:jc w:val="left"/>
              <w:rPr>
                <w:rFonts w:hint="eastAsia" w:ascii="Times New Roman" w:hAnsi="Times New Roman"/>
                <w:b/>
                <w:color w:val="auto"/>
                <w:sz w:val="18"/>
                <w:szCs w:val="18"/>
                <w:highlight w:val="none"/>
                <w:lang w:eastAsia="zh-CN"/>
              </w:rPr>
            </w:pPr>
          </w:p>
          <w:p>
            <w:pPr>
              <w:ind w:firstLine="361" w:firstLineChars="200"/>
              <w:jc w:val="left"/>
              <w:rPr>
                <w:rFonts w:hint="default" w:ascii="Times New Roman" w:hAnsi="Times New Roman"/>
                <w:b/>
                <w:color w:val="auto"/>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5000" w:type="pct"/>
            <w:gridSpan w:val="11"/>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40"/>
                <w:rFonts w:hint="default" w:ascii="Times New Roman" w:hAnsi="Times New Roman" w:eastAsia="华文中宋"/>
                <w:color w:val="auto"/>
                <w:sz w:val="30"/>
                <w:szCs w:val="30"/>
                <w:highlight w:val="none"/>
                <w:lang w:bidi="ar"/>
              </w:rPr>
              <w:t>第二标段水质日常养护概况与技术策略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序号</w:t>
            </w:r>
          </w:p>
        </w:tc>
        <w:tc>
          <w:tcPr>
            <w:tcW w:w="305"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河道</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名称</w:t>
            </w:r>
          </w:p>
        </w:tc>
        <w:tc>
          <w:tcPr>
            <w:tcW w:w="258" w:type="pct"/>
            <w:shd w:val="clear" w:color="auto" w:fill="FFFFFF"/>
            <w:noWrap w:val="0"/>
            <w:tcMar>
              <w:top w:w="15" w:type="dxa"/>
              <w:left w:w="15" w:type="dxa"/>
              <w:right w:w="15" w:type="dxa"/>
            </w:tcMar>
            <w:vAlign w:val="center"/>
          </w:tcPr>
          <w:p>
            <w:pPr>
              <w:widowControl/>
              <w:jc w:val="center"/>
              <w:textAlignment w:val="center"/>
              <w:rPr>
                <w:rStyle w:val="57"/>
                <w:b/>
                <w:bCs/>
                <w:color w:val="auto"/>
                <w:sz w:val="21"/>
                <w:szCs w:val="21"/>
                <w:highlight w:val="none"/>
                <w:lang w:bidi="ar"/>
              </w:rPr>
            </w:pPr>
            <w:r>
              <w:rPr>
                <w:rStyle w:val="57"/>
                <w:b/>
                <w:bCs/>
                <w:color w:val="auto"/>
                <w:sz w:val="21"/>
                <w:szCs w:val="21"/>
                <w:highlight w:val="none"/>
                <w:lang w:bidi="ar"/>
              </w:rPr>
              <w:t>考核</w:t>
            </w:r>
          </w:p>
          <w:p>
            <w:pPr>
              <w:widowControl/>
              <w:jc w:val="center"/>
              <w:textAlignment w:val="center"/>
              <w:rPr>
                <w:rFonts w:ascii="Times New Roman" w:hAnsi="Times New Roman"/>
                <w:b/>
                <w:bCs/>
                <w:color w:val="auto"/>
                <w:sz w:val="21"/>
                <w:szCs w:val="21"/>
                <w:highlight w:val="none"/>
              </w:rPr>
            </w:pPr>
            <w:r>
              <w:rPr>
                <w:rStyle w:val="57"/>
                <w:b/>
                <w:bCs/>
                <w:color w:val="auto"/>
                <w:sz w:val="21"/>
                <w:szCs w:val="21"/>
                <w:highlight w:val="none"/>
                <w:lang w:bidi="ar"/>
              </w:rPr>
              <w:t>等级</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起点</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终点</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长度（</w:t>
            </w:r>
            <w:r>
              <w:rPr>
                <w:rStyle w:val="50"/>
                <w:b/>
                <w:bCs/>
                <w:color w:val="auto"/>
                <w:sz w:val="21"/>
                <w:szCs w:val="21"/>
                <w:highlight w:val="none"/>
                <w:lang w:bidi="ar"/>
              </w:rPr>
              <w:t>m</w:t>
            </w:r>
            <w:r>
              <w:rPr>
                <w:rStyle w:val="56"/>
                <w:rFonts w:hint="default" w:ascii="Times New Roman" w:hAnsi="Times New Roman"/>
                <w:b/>
                <w:bCs/>
                <w:color w:val="auto"/>
                <w:sz w:val="21"/>
                <w:szCs w:val="21"/>
                <w:highlight w:val="none"/>
                <w:lang w:bidi="ar"/>
              </w:rPr>
              <w:t>）</w:t>
            </w:r>
          </w:p>
        </w:tc>
        <w:tc>
          <w:tcPr>
            <w:tcW w:w="190"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宽度</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w:t>
            </w:r>
            <w:r>
              <w:rPr>
                <w:rStyle w:val="50"/>
                <w:b/>
                <w:bCs/>
                <w:color w:val="auto"/>
                <w:sz w:val="21"/>
                <w:szCs w:val="21"/>
                <w:highlight w:val="none"/>
                <w:lang w:bidi="ar"/>
              </w:rPr>
              <w:t>m</w:t>
            </w:r>
            <w:r>
              <w:rPr>
                <w:rStyle w:val="56"/>
                <w:rFonts w:hint="default" w:ascii="Times New Roman" w:hAnsi="Times New Roman"/>
                <w:b/>
                <w:bCs/>
                <w:color w:val="auto"/>
                <w:sz w:val="21"/>
                <w:szCs w:val="21"/>
                <w:highlight w:val="none"/>
                <w:lang w:bidi="ar"/>
              </w:rPr>
              <w:t>）</w:t>
            </w:r>
          </w:p>
        </w:tc>
        <w:tc>
          <w:tcPr>
            <w:tcW w:w="331"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面积</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w:t>
            </w:r>
            <w:r>
              <w:rPr>
                <w:rStyle w:val="50"/>
                <w:b/>
                <w:bCs/>
                <w:color w:val="auto"/>
                <w:sz w:val="21"/>
                <w:szCs w:val="21"/>
                <w:highlight w:val="none"/>
                <w:lang w:bidi="ar"/>
              </w:rPr>
              <w:t>m</w:t>
            </w:r>
            <w:r>
              <w:rPr>
                <w:rStyle w:val="58"/>
                <w:b/>
                <w:bCs/>
                <w:color w:val="auto"/>
                <w:sz w:val="21"/>
                <w:szCs w:val="21"/>
                <w:highlight w:val="none"/>
                <w:lang w:bidi="ar"/>
              </w:rPr>
              <w:t>2</w:t>
            </w:r>
            <w:r>
              <w:rPr>
                <w:rStyle w:val="56"/>
                <w:rFonts w:hint="default" w:ascii="Times New Roman" w:hAnsi="Times New Roman"/>
                <w:b/>
                <w:bCs/>
                <w:color w:val="auto"/>
                <w:sz w:val="21"/>
                <w:szCs w:val="21"/>
                <w:highlight w:val="none"/>
                <w:lang w:bidi="ar"/>
              </w:rPr>
              <w:t>）</w:t>
            </w:r>
          </w:p>
        </w:tc>
        <w:tc>
          <w:tcPr>
            <w:tcW w:w="839" w:type="pct"/>
            <w:shd w:val="clear" w:color="auto" w:fill="FFFFFF"/>
            <w:noWrap w:val="0"/>
            <w:tcMar>
              <w:top w:w="15" w:type="dxa"/>
              <w:left w:w="15" w:type="dxa"/>
              <w:right w:w="15" w:type="dxa"/>
            </w:tcMar>
            <w:vAlign w:val="center"/>
          </w:tcPr>
          <w:p>
            <w:pPr>
              <w:widowControl/>
              <w:jc w:val="center"/>
              <w:textAlignment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 xml:space="preserve">限定性技术① </w:t>
            </w:r>
          </w:p>
        </w:tc>
        <w:tc>
          <w:tcPr>
            <w:tcW w:w="908" w:type="pct"/>
            <w:shd w:val="clear" w:color="auto" w:fill="FFFFFF"/>
            <w:noWrap w:val="0"/>
            <w:tcMar>
              <w:top w:w="15" w:type="dxa"/>
              <w:left w:w="15" w:type="dxa"/>
              <w:right w:w="15" w:type="dxa"/>
            </w:tcMar>
            <w:vAlign w:val="center"/>
          </w:tcPr>
          <w:p>
            <w:pPr>
              <w:widowControl/>
              <w:jc w:val="center"/>
              <w:textAlignment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限定性技术②</w:t>
            </w:r>
          </w:p>
        </w:tc>
        <w:tc>
          <w:tcPr>
            <w:tcW w:w="1138"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Fonts w:ascii="Times New Roman" w:hAnsi="Times New Roman"/>
                <w:b/>
                <w:bCs/>
                <w:color w:val="auto"/>
                <w:sz w:val="21"/>
                <w:szCs w:val="21"/>
                <w:highlight w:val="none"/>
              </w:rPr>
              <w:t>非限定性技术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2</w:t>
            </w:r>
            <w:r>
              <w:rPr>
                <w:rFonts w:ascii="Times New Roman" w:hAnsi="Times New Roman"/>
                <w:color w:val="auto"/>
                <w:kern w:val="0"/>
                <w:sz w:val="18"/>
                <w:szCs w:val="18"/>
                <w:highlight w:val="none"/>
                <w:lang w:bidi="ar"/>
              </w:rPr>
              <w:t>-1</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院士公园河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0"/>
                <w:color w:val="auto"/>
                <w:sz w:val="18"/>
                <w:szCs w:val="18"/>
                <w:highlight w:val="none"/>
                <w:lang w:bidi="ar"/>
              </w:rPr>
              <w:t xml:space="preserve"> </w:t>
            </w:r>
            <w:r>
              <w:rPr>
                <w:rStyle w:val="56"/>
                <w:rFonts w:hint="default" w:ascii="Times New Roman" w:hAnsi="Times New Roman"/>
                <w:color w:val="auto"/>
                <w:sz w:val="18"/>
                <w:szCs w:val="18"/>
                <w:highlight w:val="none"/>
                <w:lang w:bidi="ar"/>
              </w:rPr>
              <w:t>精品</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小洋江</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前塘河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2155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30.92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66639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设置2套60吨/h生物净化设备，单独计入设施增支费用180000</w:t>
            </w:r>
            <w:r>
              <w:rPr>
                <w:rFonts w:ascii="Times New Roman" w:hAnsi="Times New Roman"/>
                <w:color w:val="auto"/>
                <w:kern w:val="0"/>
                <w:sz w:val="18"/>
                <w:szCs w:val="18"/>
                <w:highlight w:val="none"/>
                <w:lang w:bidi="ar"/>
              </w:rPr>
              <w:t>元。</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沉水植物覆盖率不低于75%；景观喷泉保障每日运行时间≥10h。</w:t>
            </w:r>
            <w:r>
              <w:rPr>
                <w:rFonts w:ascii="Times New Roman" w:hAnsi="Times New Roman"/>
                <w:color w:val="auto"/>
                <w:sz w:val="18"/>
                <w:szCs w:val="18"/>
                <w:highlight w:val="none"/>
              </w:rPr>
              <w:t xml:space="preserve"> </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kern w:val="0"/>
                <w:sz w:val="18"/>
                <w:szCs w:val="18"/>
                <w:highlight w:val="none"/>
                <w:lang w:bidi="ar"/>
              </w:rPr>
            </w:pPr>
            <w:r>
              <w:rPr>
                <w:rStyle w:val="51"/>
                <w:rFonts w:hint="default" w:ascii="Times New Roman" w:hAnsi="Times New Roman"/>
                <w:color w:val="auto"/>
                <w:sz w:val="18"/>
                <w:szCs w:val="18"/>
                <w:highlight w:val="none"/>
                <w:lang w:bidi="ar"/>
              </w:rPr>
              <w:t>旁路引水工程技术、生物群落调控技术（鱼类及底栖动物投放）、</w:t>
            </w:r>
            <w:r>
              <w:rPr>
                <w:rFonts w:ascii="Times New Roman" w:hAnsi="Times New Roman"/>
                <w:color w:val="auto"/>
                <w:sz w:val="18"/>
                <w:szCs w:val="18"/>
                <w:highlight w:val="none"/>
              </w:rPr>
              <w:t>滨水植物景观营造技术</w:t>
            </w:r>
            <w:r>
              <w:rPr>
                <w:rStyle w:val="51"/>
                <w:rFonts w:hint="default" w:ascii="Times New Roman" w:hAnsi="Times New Roman"/>
                <w:color w:val="auto"/>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2</w:t>
            </w:r>
            <w:r>
              <w:rPr>
                <w:rFonts w:ascii="Times New Roman" w:hAnsi="Times New Roman"/>
                <w:color w:val="auto"/>
                <w:kern w:val="0"/>
                <w:sz w:val="18"/>
                <w:szCs w:val="18"/>
                <w:highlight w:val="none"/>
                <w:lang w:bidi="ar"/>
              </w:rPr>
              <w:t>-2</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文华河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清水</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前塘河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钱湖路</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944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16.03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15134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Style w:val="51"/>
                <w:rFonts w:hint="default" w:ascii="Times New Roman" w:hAnsi="Times New Roman"/>
                <w:color w:val="auto"/>
                <w:sz w:val="18"/>
                <w:szCs w:val="18"/>
                <w:highlight w:val="none"/>
                <w:lang w:bidi="ar"/>
              </w:rPr>
            </w:pPr>
            <w:r>
              <w:rPr>
                <w:rStyle w:val="51"/>
                <w:rFonts w:hint="default" w:ascii="Times New Roman" w:hAnsi="Times New Roman"/>
                <w:color w:val="auto"/>
                <w:sz w:val="18"/>
                <w:szCs w:val="18"/>
                <w:highlight w:val="none"/>
                <w:lang w:bidi="ar"/>
              </w:rPr>
              <w:t>沉水植物构建技术，沉水植物覆盖率不低于60%；滨水植物景观营造技术，覆盖面积不低于水域面积100平方米</w:t>
            </w:r>
            <w:r>
              <w:rPr>
                <w:rStyle w:val="41"/>
                <w:rFonts w:ascii="Times New Roman" w:hAnsi="Times New Roman" w:cs="Times New Roman"/>
                <w:color w:val="auto"/>
                <w:sz w:val="18"/>
                <w:szCs w:val="18"/>
                <w:highlight w:val="none"/>
                <w:lang w:bidi="ar"/>
              </w:rPr>
              <w:t>。</w:t>
            </w:r>
            <w:r>
              <w:rPr>
                <w:rStyle w:val="51"/>
                <w:rFonts w:hint="default" w:ascii="Times New Roman" w:hAnsi="Times New Roman"/>
                <w:color w:val="auto"/>
                <w:sz w:val="18"/>
                <w:szCs w:val="18"/>
                <w:highlight w:val="none"/>
                <w:lang w:bidi="ar"/>
              </w:rPr>
              <w:t xml:space="preserve"> </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生物群落调控技术（鱼类及底栖动物投放）。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2</w:t>
            </w:r>
            <w:r>
              <w:rPr>
                <w:rFonts w:ascii="Times New Roman" w:hAnsi="Times New Roman"/>
                <w:color w:val="auto"/>
                <w:kern w:val="0"/>
                <w:sz w:val="18"/>
                <w:szCs w:val="18"/>
                <w:highlight w:val="none"/>
                <w:lang w:bidi="ar"/>
              </w:rPr>
              <w:t>-3</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府溪河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清水</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小洋江</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前塘河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1997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11.23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22427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 xml:space="preserve">设置1套生态净化系统，处理能力不低于800吨/天，单独计入设施增支费用78000元。 </w:t>
            </w:r>
          </w:p>
        </w:tc>
        <w:tc>
          <w:tcPr>
            <w:tcW w:w="908" w:type="pct"/>
            <w:shd w:val="clear" w:color="auto" w:fill="FFFFFF"/>
            <w:noWrap w:val="0"/>
            <w:tcMar>
              <w:top w:w="15" w:type="dxa"/>
              <w:left w:w="15" w:type="dxa"/>
              <w:right w:w="15" w:type="dxa"/>
            </w:tcMar>
            <w:vAlign w:val="center"/>
          </w:tcPr>
          <w:p>
            <w:pPr>
              <w:widowControl/>
              <w:jc w:val="left"/>
              <w:textAlignment w:val="center"/>
              <w:rPr>
                <w:rStyle w:val="51"/>
                <w:rFonts w:hint="default" w:ascii="Times New Roman" w:hAnsi="Times New Roman"/>
                <w:color w:val="auto"/>
                <w:sz w:val="18"/>
                <w:szCs w:val="18"/>
                <w:highlight w:val="none"/>
                <w:lang w:bidi="ar"/>
              </w:rPr>
            </w:pPr>
            <w:r>
              <w:rPr>
                <w:rStyle w:val="51"/>
                <w:rFonts w:hint="default" w:ascii="Times New Roman" w:hAnsi="Times New Roman"/>
                <w:color w:val="auto"/>
                <w:sz w:val="18"/>
                <w:szCs w:val="18"/>
                <w:highlight w:val="none"/>
                <w:lang w:bidi="ar"/>
              </w:rPr>
              <w:t>推流增氧</w:t>
            </w:r>
            <w:r>
              <w:rPr>
                <w:rStyle w:val="51"/>
                <w:rFonts w:hint="eastAsia" w:ascii="Times New Roman" w:hAnsi="Times New Roman" w:eastAsia="宋体"/>
                <w:color w:val="auto"/>
                <w:sz w:val="18"/>
                <w:szCs w:val="18"/>
                <w:highlight w:val="none"/>
                <w:lang w:val="en-US" w:eastAsia="zh-CN" w:bidi="ar"/>
              </w:rPr>
              <w:t>设备技术</w:t>
            </w:r>
            <w:r>
              <w:rPr>
                <w:rStyle w:val="51"/>
                <w:rFonts w:hint="default" w:ascii="Times New Roman" w:hAnsi="Times New Roman"/>
                <w:color w:val="auto"/>
                <w:sz w:val="18"/>
                <w:szCs w:val="18"/>
                <w:highlight w:val="none"/>
                <w:lang w:bidi="ar"/>
              </w:rPr>
              <w:t>，设备总功率不低于50kw。</w:t>
            </w:r>
          </w:p>
        </w:tc>
        <w:tc>
          <w:tcPr>
            <w:tcW w:w="1138" w:type="pct"/>
            <w:shd w:val="clear" w:color="auto" w:fill="FFFFFF"/>
            <w:noWrap w:val="0"/>
            <w:tcMar>
              <w:top w:w="15" w:type="dxa"/>
              <w:left w:w="15" w:type="dxa"/>
              <w:right w:w="15" w:type="dxa"/>
            </w:tcMar>
            <w:vAlign w:val="center"/>
          </w:tcPr>
          <w:p>
            <w:pPr>
              <w:widowControl/>
              <w:jc w:val="left"/>
              <w:textAlignment w:val="center"/>
              <w:rPr>
                <w:rStyle w:val="56"/>
                <w:rFonts w:hint="default" w:ascii="Times New Roman" w:hAnsi="Times New Roman"/>
                <w:color w:val="auto"/>
                <w:sz w:val="18"/>
                <w:szCs w:val="18"/>
                <w:highlight w:val="none"/>
                <w:lang w:bidi="ar"/>
              </w:rPr>
            </w:pPr>
            <w:r>
              <w:rPr>
                <w:rStyle w:val="51"/>
                <w:rFonts w:hint="default" w:ascii="Times New Roman" w:hAnsi="Times New Roman"/>
                <w:color w:val="auto"/>
                <w:sz w:val="18"/>
                <w:szCs w:val="18"/>
                <w:highlight w:val="none"/>
                <w:lang w:bidi="ar"/>
              </w:rPr>
              <w:t>底泥改良技术、旁路生物过滤技术、生物接触氧化技术、生物群落调控技术。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2</w:t>
            </w:r>
            <w:r>
              <w:rPr>
                <w:rFonts w:ascii="Times New Roman" w:hAnsi="Times New Roman"/>
                <w:color w:val="auto"/>
                <w:kern w:val="0"/>
                <w:sz w:val="18"/>
                <w:szCs w:val="18"/>
                <w:highlight w:val="none"/>
                <w:lang w:bidi="ar"/>
              </w:rPr>
              <w:t>-4</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小洋江</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前塘河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西江河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2688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23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61816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Style w:val="51"/>
                <w:rFonts w:hint="default" w:ascii="Times New Roman" w:hAnsi="Times New Roman"/>
                <w:color w:val="auto"/>
                <w:sz w:val="18"/>
                <w:szCs w:val="18"/>
                <w:highlight w:val="none"/>
                <w:lang w:bidi="ar"/>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 xml:space="preserve">设备总功率不低于90kw。 </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底泥改良技术、旁路生物过滤技术、生物接触氧化技术、生物群落调控技术。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2</w:t>
            </w:r>
            <w:r>
              <w:rPr>
                <w:rFonts w:ascii="Times New Roman" w:hAnsi="Times New Roman"/>
                <w:color w:val="auto"/>
                <w:kern w:val="0"/>
                <w:sz w:val="18"/>
                <w:szCs w:val="18"/>
                <w:highlight w:val="none"/>
                <w:lang w:bidi="ar"/>
              </w:rPr>
              <w:t>-5</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毛家河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color w:val="auto"/>
                <w:sz w:val="18"/>
                <w:szCs w:val="18"/>
                <w:highlight w:val="none"/>
                <w:lang w:bidi="ar"/>
              </w:rPr>
            </w:pPr>
            <w:r>
              <w:rPr>
                <w:rStyle w:val="56"/>
                <w:rFonts w:hint="default" w:ascii="Times New Roman" w:hAnsi="Times New Roman"/>
                <w:color w:val="auto"/>
                <w:sz w:val="18"/>
                <w:szCs w:val="18"/>
                <w:highlight w:val="none"/>
                <w:lang w:bidi="ar"/>
              </w:rPr>
              <w:t>后庙直河</w:t>
            </w:r>
          </w:p>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（原华茂学校支河）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前塘河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984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13.98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13753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Style w:val="51"/>
                <w:rFonts w:hint="default" w:ascii="Times New Roman" w:hAnsi="Times New Roman"/>
                <w:color w:val="auto"/>
                <w:sz w:val="18"/>
                <w:szCs w:val="18"/>
                <w:highlight w:val="none"/>
                <w:lang w:bidi="ar"/>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 xml:space="preserve">设备总功率不低于30kw。 </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底泥改良技术、旁路生物过滤技术、生物接触氧化技术、生物群落调控技术。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2</w:t>
            </w:r>
            <w:r>
              <w:rPr>
                <w:rFonts w:ascii="Times New Roman" w:hAnsi="Times New Roman"/>
                <w:color w:val="auto"/>
                <w:kern w:val="0"/>
                <w:sz w:val="18"/>
                <w:szCs w:val="18"/>
                <w:highlight w:val="none"/>
                <w:lang w:bidi="ar"/>
              </w:rPr>
              <w:t>-6</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冯江岸河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color w:val="auto"/>
                <w:sz w:val="18"/>
                <w:szCs w:val="18"/>
                <w:highlight w:val="none"/>
                <w:lang w:bidi="ar"/>
              </w:rPr>
            </w:pPr>
            <w:r>
              <w:rPr>
                <w:rStyle w:val="56"/>
                <w:rFonts w:hint="default" w:ascii="Times New Roman" w:hAnsi="Times New Roman"/>
                <w:color w:val="auto"/>
                <w:sz w:val="18"/>
                <w:szCs w:val="18"/>
                <w:highlight w:val="none"/>
                <w:lang w:bidi="ar"/>
              </w:rPr>
              <w:t>后庙直河</w:t>
            </w:r>
          </w:p>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（原华茂学校支河）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前塘河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999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15.83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15818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Style w:val="51"/>
                <w:rFonts w:hint="default" w:ascii="Times New Roman" w:hAnsi="Times New Roman"/>
                <w:color w:val="auto"/>
                <w:sz w:val="18"/>
                <w:szCs w:val="18"/>
                <w:highlight w:val="none"/>
                <w:lang w:bidi="ar"/>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 xml:space="preserve">设备总功率不低于30kw。 </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底泥改良技术、旁路生物过滤技术、生物接触氧化技术、生物群落调控技术。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2</w:t>
            </w:r>
            <w:r>
              <w:rPr>
                <w:rFonts w:ascii="Times New Roman" w:hAnsi="Times New Roman"/>
                <w:color w:val="auto"/>
                <w:kern w:val="0"/>
                <w:sz w:val="18"/>
                <w:szCs w:val="18"/>
                <w:highlight w:val="none"/>
                <w:lang w:bidi="ar"/>
              </w:rPr>
              <w:t>-7</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汪董河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color w:val="auto"/>
                <w:sz w:val="18"/>
                <w:szCs w:val="18"/>
                <w:highlight w:val="none"/>
                <w:lang w:bidi="ar"/>
              </w:rPr>
            </w:pPr>
            <w:r>
              <w:rPr>
                <w:rStyle w:val="56"/>
                <w:rFonts w:hint="default" w:ascii="Times New Roman" w:hAnsi="Times New Roman"/>
                <w:color w:val="auto"/>
                <w:sz w:val="18"/>
                <w:szCs w:val="18"/>
                <w:highlight w:val="none"/>
                <w:lang w:bidi="ar"/>
              </w:rPr>
              <w:t>后庙直河</w:t>
            </w:r>
          </w:p>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（原华茂学校支河）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前塘河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1057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14.42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15246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设置1套</w:t>
            </w:r>
            <w:r>
              <w:rPr>
                <w:rStyle w:val="47"/>
                <w:rFonts w:hint="default" w:ascii="Times New Roman" w:hAnsi="Times New Roman"/>
                <w:b w:val="0"/>
                <w:color w:val="auto"/>
                <w:sz w:val="18"/>
                <w:szCs w:val="18"/>
                <w:highlight w:val="none"/>
                <w:lang w:bidi="ar"/>
              </w:rPr>
              <w:t>1000</w:t>
            </w:r>
            <w:r>
              <w:rPr>
                <w:rStyle w:val="42"/>
                <w:color w:val="auto"/>
                <w:sz w:val="18"/>
                <w:szCs w:val="18"/>
                <w:highlight w:val="none"/>
                <w:lang w:bidi="ar"/>
              </w:rPr>
              <w:t>吨</w:t>
            </w:r>
            <w:r>
              <w:rPr>
                <w:rStyle w:val="47"/>
                <w:rFonts w:hint="default" w:ascii="Times New Roman" w:hAnsi="Times New Roman"/>
                <w:color w:val="auto"/>
                <w:sz w:val="18"/>
                <w:szCs w:val="18"/>
                <w:highlight w:val="none"/>
                <w:lang w:bidi="ar"/>
              </w:rPr>
              <w:t>/</w:t>
            </w:r>
            <w:r>
              <w:rPr>
                <w:rStyle w:val="42"/>
                <w:color w:val="auto"/>
                <w:sz w:val="18"/>
                <w:szCs w:val="18"/>
                <w:highlight w:val="none"/>
                <w:lang w:bidi="ar"/>
              </w:rPr>
              <w:t>天</w:t>
            </w:r>
            <w:r>
              <w:rPr>
                <w:rStyle w:val="51"/>
                <w:rFonts w:hint="default" w:ascii="Times New Roman" w:hAnsi="Times New Roman"/>
                <w:color w:val="auto"/>
                <w:sz w:val="18"/>
                <w:szCs w:val="18"/>
                <w:highlight w:val="none"/>
                <w:lang w:bidi="ar"/>
              </w:rPr>
              <w:t>一体化设备，单独计入设施增支费用</w:t>
            </w:r>
            <w:r>
              <w:rPr>
                <w:rFonts w:ascii="Times New Roman" w:hAnsi="Times New Roman"/>
                <w:color w:val="auto"/>
                <w:kern w:val="0"/>
                <w:sz w:val="18"/>
                <w:szCs w:val="18"/>
                <w:highlight w:val="none"/>
                <w:lang w:bidi="ar"/>
              </w:rPr>
              <w:t>72000 元。</w:t>
            </w:r>
          </w:p>
        </w:tc>
        <w:tc>
          <w:tcPr>
            <w:tcW w:w="908" w:type="pct"/>
            <w:shd w:val="clear" w:color="auto" w:fill="FFFFFF"/>
            <w:noWrap w:val="0"/>
            <w:tcMar>
              <w:top w:w="15" w:type="dxa"/>
              <w:left w:w="15" w:type="dxa"/>
              <w:right w:w="15" w:type="dxa"/>
            </w:tcMar>
            <w:vAlign w:val="center"/>
          </w:tcPr>
          <w:p>
            <w:pPr>
              <w:widowControl/>
              <w:jc w:val="left"/>
              <w:textAlignment w:val="center"/>
              <w:rPr>
                <w:rStyle w:val="51"/>
                <w:rFonts w:hint="default" w:ascii="Times New Roman" w:hAnsi="Times New Roman"/>
                <w:color w:val="auto"/>
                <w:sz w:val="18"/>
                <w:szCs w:val="18"/>
                <w:highlight w:val="none"/>
                <w:lang w:bidi="ar"/>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 xml:space="preserve">设备总功率不低于30kw。 </w:t>
            </w:r>
          </w:p>
        </w:tc>
        <w:tc>
          <w:tcPr>
            <w:tcW w:w="1138" w:type="pct"/>
            <w:shd w:val="clear" w:color="auto" w:fill="FFFFFF"/>
            <w:noWrap w:val="0"/>
            <w:tcMar>
              <w:top w:w="15" w:type="dxa"/>
              <w:left w:w="15" w:type="dxa"/>
              <w:right w:w="15" w:type="dxa"/>
            </w:tcMar>
            <w:vAlign w:val="center"/>
          </w:tcPr>
          <w:p>
            <w:pPr>
              <w:widowControl/>
              <w:jc w:val="left"/>
              <w:textAlignment w:val="center"/>
              <w:rPr>
                <w:rStyle w:val="56"/>
                <w:rFonts w:hint="default" w:ascii="Times New Roman" w:hAnsi="Times New Roman"/>
                <w:color w:val="auto"/>
                <w:sz w:val="18"/>
                <w:szCs w:val="18"/>
                <w:highlight w:val="none"/>
                <w:lang w:bidi="ar"/>
              </w:rPr>
            </w:pPr>
            <w:r>
              <w:rPr>
                <w:rStyle w:val="51"/>
                <w:rFonts w:hint="default" w:ascii="Times New Roman" w:hAnsi="Times New Roman"/>
                <w:color w:val="auto"/>
                <w:sz w:val="18"/>
                <w:szCs w:val="18"/>
                <w:highlight w:val="none"/>
                <w:lang w:bidi="ar"/>
              </w:rPr>
              <w:t>底泥改良技术、旁路生物过滤技术、生物接触氧化技术、生物群落调控技术。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2</w:t>
            </w:r>
            <w:r>
              <w:rPr>
                <w:rFonts w:ascii="Times New Roman" w:hAnsi="Times New Roman"/>
                <w:color w:val="auto"/>
                <w:kern w:val="0"/>
                <w:sz w:val="18"/>
                <w:szCs w:val="18"/>
                <w:highlight w:val="none"/>
                <w:lang w:bidi="ar"/>
              </w:rPr>
              <w:t>-8</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六村河（原大洋江支流）</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小洋江</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大洋江</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431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18.47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7962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Style w:val="51"/>
                <w:rFonts w:hint="default" w:ascii="Times New Roman" w:hAnsi="Times New Roman"/>
                <w:color w:val="auto"/>
                <w:sz w:val="18"/>
                <w:szCs w:val="18"/>
                <w:highlight w:val="none"/>
                <w:lang w:bidi="ar"/>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 xml:space="preserve">设备总功率不低于15kw。 </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底泥改良技术、旁路生物过滤技术、生物接触氧化技术、生物群落调控技术。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2</w:t>
            </w:r>
            <w:r>
              <w:rPr>
                <w:rFonts w:ascii="Times New Roman" w:hAnsi="Times New Roman"/>
                <w:color w:val="auto"/>
                <w:kern w:val="0"/>
                <w:sz w:val="18"/>
                <w:szCs w:val="18"/>
                <w:highlight w:val="none"/>
                <w:lang w:bidi="ar"/>
              </w:rPr>
              <w:t>-9</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西江河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宁横公路</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前塘河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2157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12.06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26003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Style w:val="51"/>
                <w:rFonts w:hint="default" w:ascii="Times New Roman" w:hAnsi="Times New Roman"/>
                <w:color w:val="auto"/>
                <w:sz w:val="18"/>
                <w:szCs w:val="18"/>
                <w:highlight w:val="none"/>
                <w:lang w:bidi="ar"/>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 xml:space="preserve">设备总功率不低于35kw。 </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底泥改良技术、旁路生物过滤技术、生物接触氧化技术、生物群落调控技术。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2</w:t>
            </w:r>
            <w:r>
              <w:rPr>
                <w:rFonts w:ascii="Times New Roman" w:hAnsi="Times New Roman"/>
                <w:color w:val="auto"/>
                <w:kern w:val="0"/>
                <w:sz w:val="18"/>
                <w:szCs w:val="18"/>
                <w:highlight w:val="none"/>
                <w:lang w:bidi="ar"/>
              </w:rPr>
              <w:t>-10</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湾底小区及湾底漕</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西江河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甬新河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944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7.39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6976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Style w:val="51"/>
                <w:rFonts w:hint="default" w:ascii="Times New Roman" w:hAnsi="Times New Roman"/>
                <w:color w:val="auto"/>
                <w:sz w:val="18"/>
                <w:szCs w:val="18"/>
                <w:highlight w:val="none"/>
                <w:lang w:bidi="ar"/>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 xml:space="preserve">设备总功率不低于10kw。 </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底泥改良技术、旁路生物过滤技术、生物接触氧化技术、生物群落调控技术。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b/>
                <w:bCs/>
                <w:color w:val="auto"/>
                <w:sz w:val="18"/>
                <w:szCs w:val="18"/>
                <w:highlight w:val="none"/>
              </w:rPr>
            </w:pPr>
            <w:r>
              <w:rPr>
                <w:rFonts w:ascii="Times New Roman" w:hAnsi="Times New Roman"/>
                <w:b/>
                <w:bCs/>
                <w:color w:val="auto"/>
                <w:kern w:val="0"/>
                <w:sz w:val="18"/>
                <w:szCs w:val="18"/>
                <w:highlight w:val="none"/>
                <w:lang w:bidi="ar"/>
              </w:rPr>
              <w:t>第</w:t>
            </w:r>
            <w:r>
              <w:rPr>
                <w:rFonts w:hint="eastAsia" w:ascii="Times New Roman" w:hAnsi="Times New Roman"/>
                <w:b/>
                <w:bCs/>
                <w:color w:val="auto"/>
                <w:kern w:val="0"/>
                <w:sz w:val="18"/>
                <w:szCs w:val="18"/>
                <w:highlight w:val="none"/>
                <w:lang w:bidi="ar"/>
              </w:rPr>
              <w:t>二</w:t>
            </w:r>
            <w:r>
              <w:rPr>
                <w:rFonts w:ascii="Times New Roman" w:hAnsi="Times New Roman"/>
                <w:b/>
                <w:bCs/>
                <w:color w:val="auto"/>
                <w:kern w:val="0"/>
                <w:sz w:val="18"/>
                <w:szCs w:val="18"/>
                <w:highlight w:val="none"/>
                <w:lang w:bidi="ar"/>
              </w:rPr>
              <w:t>标段日常养护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18"/>
                <w:szCs w:val="18"/>
                <w:highlight w:val="none"/>
              </w:rPr>
            </w:pPr>
            <w:r>
              <w:rPr>
                <w:rFonts w:ascii="Times New Roman" w:hAnsi="Times New Roman"/>
                <w:b/>
                <w:bCs/>
                <w:color w:val="auto"/>
                <w:kern w:val="0"/>
                <w:sz w:val="18"/>
                <w:szCs w:val="18"/>
                <w:highlight w:val="none"/>
                <w:lang w:bidi="ar"/>
              </w:rPr>
              <w:t xml:space="preserve">14356 </w:t>
            </w:r>
          </w:p>
        </w:tc>
        <w:tc>
          <w:tcPr>
            <w:tcW w:w="190" w:type="pct"/>
            <w:shd w:val="clear" w:color="auto" w:fill="FFFFFF"/>
            <w:noWrap w:val="0"/>
            <w:tcMar>
              <w:top w:w="15" w:type="dxa"/>
              <w:left w:w="15" w:type="dxa"/>
              <w:right w:w="15" w:type="dxa"/>
            </w:tcMar>
            <w:vAlign w:val="center"/>
          </w:tcPr>
          <w:p>
            <w:pPr>
              <w:jc w:val="center"/>
              <w:rPr>
                <w:rFonts w:ascii="Times New Roman" w:hAnsi="Times New Roman"/>
                <w:b/>
                <w:bCs/>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18"/>
                <w:szCs w:val="18"/>
                <w:highlight w:val="none"/>
              </w:rPr>
            </w:pPr>
            <w:r>
              <w:rPr>
                <w:rFonts w:ascii="Times New Roman" w:hAnsi="Times New Roman"/>
                <w:b/>
                <w:bCs/>
                <w:color w:val="auto"/>
                <w:kern w:val="0"/>
                <w:sz w:val="18"/>
                <w:szCs w:val="18"/>
                <w:highlight w:val="none"/>
                <w:lang w:bidi="ar"/>
              </w:rPr>
              <w:t xml:space="preserve">251774 </w:t>
            </w:r>
          </w:p>
        </w:tc>
        <w:tc>
          <w:tcPr>
            <w:tcW w:w="2886" w:type="pct"/>
            <w:gridSpan w:val="3"/>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Fonts w:hint="eastAsia" w:ascii="Times New Roman" w:hAnsi="Times New Roman"/>
                <w:b/>
                <w:color w:val="auto"/>
                <w:sz w:val="18"/>
                <w:szCs w:val="18"/>
                <w:highlight w:val="none"/>
                <w:lang w:val="en-US" w:eastAsia="zh-CN"/>
              </w:rPr>
              <w:t>第二标段</w:t>
            </w:r>
            <w:r>
              <w:rPr>
                <w:rFonts w:hint="eastAsia" w:ascii="Times New Roman" w:hAnsi="Times New Roman"/>
                <w:b/>
                <w:color w:val="auto"/>
                <w:sz w:val="18"/>
                <w:szCs w:val="18"/>
                <w:highlight w:val="none"/>
                <w:lang w:eastAsia="zh-CN"/>
              </w:rPr>
              <w:t>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ascii="Times New Roman" w:hAnsi="Times New Roman"/>
                <w:b/>
                <w:color w:val="auto"/>
                <w:kern w:val="0"/>
                <w:sz w:val="18"/>
                <w:szCs w:val="18"/>
                <w:highlight w:val="none"/>
                <w:lang w:bidi="ar"/>
              </w:rPr>
              <w:t>330000</w:t>
            </w:r>
            <w:r>
              <w:rPr>
                <w:rFonts w:hint="eastAsia" w:ascii="Times New Roman" w:hAnsi="Times New Roman"/>
                <w:b/>
                <w:color w:val="auto"/>
                <w:sz w:val="18"/>
                <w:szCs w:val="18"/>
                <w:highlight w:val="none"/>
                <w:lang w:eastAsia="zh-CN"/>
              </w:rPr>
              <w:t>元</w:t>
            </w:r>
            <w:r>
              <w:rPr>
                <w:rFonts w:hint="default" w:ascii="Times New Roman" w:hAnsi="Times New Roman"/>
                <w:b/>
                <w:color w:val="auto"/>
                <w:sz w:val="18"/>
                <w:szCs w:val="18"/>
                <w:highlight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2</w:t>
            </w:r>
            <w:r>
              <w:rPr>
                <w:rFonts w:ascii="Times New Roman" w:hAnsi="Times New Roman"/>
                <w:color w:val="auto"/>
                <w:kern w:val="0"/>
                <w:sz w:val="18"/>
                <w:szCs w:val="18"/>
                <w:highlight w:val="none"/>
                <w:lang w:bidi="ar"/>
              </w:rPr>
              <w:t>-11</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小洋江（西江河以东）</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应急河道</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西江河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甬新河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600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23.59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14154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预防黑臭及控藻等应急技术。</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底泥消毒与底泥改良技术。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2</w:t>
            </w:r>
            <w:r>
              <w:rPr>
                <w:rFonts w:ascii="Times New Roman" w:hAnsi="Times New Roman"/>
                <w:color w:val="auto"/>
                <w:kern w:val="0"/>
                <w:sz w:val="18"/>
                <w:szCs w:val="18"/>
                <w:highlight w:val="none"/>
                <w:lang w:bidi="ar"/>
              </w:rPr>
              <w:t>-12</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前塘河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应急河道</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大洋江</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三桥江</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2380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38.21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90938.99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预防黑臭及控藻等应急技术。</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底泥消毒与底泥改良技术。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Style w:val="47"/>
                <w:rFonts w:hint="default" w:ascii="Times New Roman" w:hAnsi="Times New Roman"/>
                <w:color w:val="auto"/>
                <w:sz w:val="18"/>
                <w:szCs w:val="18"/>
                <w:highlight w:val="none"/>
                <w:lang w:bidi="ar"/>
              </w:rPr>
              <w:t xml:space="preserve"> 第二标段应急养护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2980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105092.99 </w:t>
            </w:r>
          </w:p>
        </w:tc>
        <w:tc>
          <w:tcPr>
            <w:tcW w:w="839"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908" w:type="pct"/>
            <w:shd w:val="clear" w:color="auto" w:fill="FFFFFF"/>
            <w:noWrap w:val="0"/>
            <w:tcMar>
              <w:top w:w="15" w:type="dxa"/>
              <w:left w:w="15" w:type="dxa"/>
              <w:right w:w="15" w:type="dxa"/>
            </w:tcMar>
            <w:vAlign w:val="center"/>
          </w:tcPr>
          <w:p>
            <w:pPr>
              <w:jc w:val="left"/>
              <w:rPr>
                <w:rFonts w:ascii="Times New Roman" w:hAnsi="Times New Roman"/>
                <w:b/>
                <w:color w:val="auto"/>
                <w:sz w:val="18"/>
                <w:szCs w:val="18"/>
                <w:highlight w:val="none"/>
              </w:rPr>
            </w:pPr>
          </w:p>
        </w:tc>
        <w:tc>
          <w:tcPr>
            <w:tcW w:w="113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453" w:hRule="atLeast"/>
        </w:trPr>
        <w:tc>
          <w:tcPr>
            <w:tcW w:w="1323" w:type="pct"/>
            <w:gridSpan w:val="5"/>
            <w:shd w:val="clear" w:color="auto" w:fill="FFFFFF"/>
            <w:noWrap/>
            <w:tcMar>
              <w:top w:w="15" w:type="dxa"/>
              <w:left w:w="15" w:type="dxa"/>
              <w:right w:w="15" w:type="dxa"/>
            </w:tcMar>
            <w:vAlign w:val="center"/>
          </w:tcPr>
          <w:p>
            <w:pPr>
              <w:jc w:val="center"/>
              <w:rPr>
                <w:rFonts w:ascii="Times New Roman" w:hAnsi="Times New Roman"/>
                <w:b/>
                <w:color w:val="auto"/>
                <w:sz w:val="18"/>
                <w:szCs w:val="18"/>
                <w:highlight w:val="none"/>
              </w:rPr>
            </w:pPr>
            <w:r>
              <w:rPr>
                <w:rStyle w:val="47"/>
                <w:rFonts w:hint="default" w:ascii="Times New Roman" w:hAnsi="Times New Roman"/>
                <w:color w:val="auto"/>
                <w:sz w:val="18"/>
                <w:szCs w:val="18"/>
                <w:highlight w:val="none"/>
                <w:lang w:bidi="ar"/>
              </w:rPr>
              <w:t>第二标段合计</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17336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356866.99 </w:t>
            </w:r>
          </w:p>
        </w:tc>
        <w:tc>
          <w:tcPr>
            <w:tcW w:w="2886" w:type="pct"/>
            <w:gridSpan w:val="3"/>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Fonts w:hint="eastAsia" w:ascii="Times New Roman" w:hAnsi="Times New Roman"/>
                <w:b/>
                <w:color w:val="auto"/>
                <w:sz w:val="18"/>
                <w:szCs w:val="18"/>
                <w:highlight w:val="none"/>
                <w:lang w:val="en-US" w:eastAsia="zh-CN"/>
              </w:rPr>
              <w:t>第二</w:t>
            </w:r>
            <w:r>
              <w:rPr>
                <w:rFonts w:hint="eastAsia" w:ascii="Times New Roman" w:hAnsi="Times New Roman"/>
                <w:b/>
                <w:color w:val="auto"/>
                <w:sz w:val="18"/>
                <w:szCs w:val="18"/>
                <w:highlight w:val="none"/>
                <w:lang w:eastAsia="zh-CN"/>
              </w:rPr>
              <w:t>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ascii="Times New Roman" w:hAnsi="Times New Roman"/>
                <w:b/>
                <w:color w:val="auto"/>
                <w:kern w:val="0"/>
                <w:sz w:val="18"/>
                <w:szCs w:val="18"/>
                <w:highlight w:val="none"/>
                <w:lang w:bidi="ar"/>
              </w:rPr>
              <w:t>330000</w:t>
            </w:r>
            <w:r>
              <w:rPr>
                <w:rFonts w:hint="eastAsia" w:ascii="Times New Roman" w:hAnsi="Times New Roman"/>
                <w:b/>
                <w:color w:val="auto"/>
                <w:sz w:val="18"/>
                <w:szCs w:val="18"/>
                <w:highlight w:val="none"/>
                <w:lang w:eastAsia="zh-CN"/>
              </w:rPr>
              <w:t>元</w:t>
            </w:r>
            <w:r>
              <w:rPr>
                <w:rFonts w:hint="eastAsia" w:ascii="Times New Roman" w:hAnsi="Times New Roman"/>
                <w:b/>
                <w:color w:val="auto"/>
                <w:sz w:val="18"/>
                <w:szCs w:val="18"/>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5000" w:type="pct"/>
            <w:gridSpan w:val="11"/>
            <w:shd w:val="clear" w:color="auto" w:fill="FFFFFF"/>
            <w:noWrap/>
            <w:tcMar>
              <w:top w:w="15" w:type="dxa"/>
              <w:left w:w="15" w:type="dxa"/>
              <w:right w:w="15" w:type="dxa"/>
            </w:tcMar>
            <w:vAlign w:val="center"/>
          </w:tcPr>
          <w:p>
            <w:pPr>
              <w:ind w:firstLine="361" w:firstLineChars="200"/>
              <w:jc w:val="left"/>
              <w:rPr>
                <w:rStyle w:val="47"/>
                <w:rFonts w:hint="default" w:ascii="Times New Roman" w:hAnsi="Times New Roman"/>
                <w:color w:val="auto"/>
                <w:sz w:val="18"/>
                <w:szCs w:val="18"/>
                <w:highlight w:val="none"/>
                <w:lang w:bidi="ar"/>
              </w:rPr>
            </w:pPr>
            <w:r>
              <w:rPr>
                <w:rFonts w:ascii="Times New Roman" w:hAnsi="Times New Roman"/>
                <w:b/>
                <w:color w:val="auto"/>
                <w:sz w:val="18"/>
                <w:szCs w:val="18"/>
                <w:highlight w:val="none"/>
              </w:rPr>
              <w:t>备注：</w:t>
            </w:r>
            <w:r>
              <w:rPr>
                <w:rFonts w:hint="eastAsia" w:ascii="Times New Roman" w:hAnsi="Times New Roman"/>
                <w:b/>
                <w:color w:val="auto"/>
                <w:sz w:val="18"/>
                <w:szCs w:val="18"/>
                <w:highlight w:val="none"/>
                <w:lang w:eastAsia="zh-CN"/>
              </w:rPr>
              <w:t>（1）本标段限定性技术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ascii="Times New Roman" w:hAnsi="Times New Roman"/>
                <w:b/>
                <w:color w:val="auto"/>
                <w:kern w:val="0"/>
                <w:sz w:val="18"/>
                <w:szCs w:val="18"/>
                <w:highlight w:val="none"/>
                <w:lang w:bidi="ar"/>
              </w:rPr>
              <w:t>330000</w:t>
            </w:r>
            <w:r>
              <w:rPr>
                <w:rFonts w:hint="eastAsia" w:ascii="Times New Roman" w:hAnsi="Times New Roman"/>
                <w:b/>
                <w:color w:val="auto"/>
                <w:sz w:val="18"/>
                <w:szCs w:val="18"/>
                <w:highlight w:val="none"/>
                <w:lang w:eastAsia="zh-CN"/>
              </w:rPr>
              <w:t>元，</w:t>
            </w:r>
            <w:r>
              <w:rPr>
                <w:rFonts w:hint="eastAsia" w:ascii="Times New Roman" w:hAnsi="Times New Roman"/>
                <w:b/>
                <w:color w:val="auto"/>
                <w:sz w:val="18"/>
                <w:szCs w:val="18"/>
                <w:highlight w:val="none"/>
                <w:lang w:val="en-US" w:eastAsia="zh-CN"/>
              </w:rPr>
              <w:t>包含在总费用中但并非规定设施投入的全部费用，不管因任何原因未实施安装的，则该部分费用按照中标下浮率等比例下浮后一次性扣除，针对所在河道的考核标准和方法不变</w:t>
            </w:r>
            <w:r>
              <w:rPr>
                <w:rFonts w:hint="default" w:ascii="Times New Roman" w:hAnsi="Times New Roman"/>
                <w:b/>
                <w:color w:val="auto"/>
                <w:sz w:val="18"/>
                <w:szCs w:val="18"/>
                <w:highlight w:val="none"/>
                <w:lang w:eastAsia="zh-CN"/>
              </w:rPr>
              <w:t>。</w:t>
            </w:r>
            <w:r>
              <w:rPr>
                <w:rFonts w:hint="eastAsia" w:ascii="Times New Roman" w:hAnsi="Times New Roman"/>
                <w:b/>
                <w:color w:val="auto"/>
                <w:kern w:val="0"/>
                <w:sz w:val="18"/>
                <w:szCs w:val="18"/>
                <w:highlight w:val="none"/>
                <w:lang w:bidi="ar"/>
              </w:rPr>
              <w:t>（2）该标段推流增氧等设备及其它技术设施应符合宁波市、鄞州区等行业规范规定和要求。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5000" w:type="pct"/>
            <w:gridSpan w:val="11"/>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40"/>
                <w:rFonts w:hint="default" w:ascii="Times New Roman" w:hAnsi="Times New Roman" w:eastAsia="华文中宋"/>
                <w:color w:val="auto"/>
                <w:sz w:val="30"/>
                <w:szCs w:val="30"/>
                <w:highlight w:val="none"/>
                <w:lang w:bidi="ar"/>
              </w:rPr>
              <w:t>第三标段水质日常养护概况与技术策略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序号</w:t>
            </w:r>
          </w:p>
        </w:tc>
        <w:tc>
          <w:tcPr>
            <w:tcW w:w="305"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河道</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名称</w:t>
            </w:r>
          </w:p>
        </w:tc>
        <w:tc>
          <w:tcPr>
            <w:tcW w:w="258" w:type="pct"/>
            <w:shd w:val="clear" w:color="auto" w:fill="FFFFFF"/>
            <w:noWrap w:val="0"/>
            <w:tcMar>
              <w:top w:w="15" w:type="dxa"/>
              <w:left w:w="15" w:type="dxa"/>
              <w:right w:w="15" w:type="dxa"/>
            </w:tcMar>
            <w:vAlign w:val="center"/>
          </w:tcPr>
          <w:p>
            <w:pPr>
              <w:widowControl/>
              <w:jc w:val="center"/>
              <w:textAlignment w:val="center"/>
              <w:rPr>
                <w:rStyle w:val="57"/>
                <w:b/>
                <w:bCs/>
                <w:color w:val="auto"/>
                <w:sz w:val="21"/>
                <w:szCs w:val="21"/>
                <w:highlight w:val="none"/>
                <w:lang w:bidi="ar"/>
              </w:rPr>
            </w:pPr>
            <w:r>
              <w:rPr>
                <w:rStyle w:val="57"/>
                <w:b/>
                <w:bCs/>
                <w:color w:val="auto"/>
                <w:sz w:val="21"/>
                <w:szCs w:val="21"/>
                <w:highlight w:val="none"/>
                <w:lang w:bidi="ar"/>
              </w:rPr>
              <w:t>考核</w:t>
            </w:r>
          </w:p>
          <w:p>
            <w:pPr>
              <w:widowControl/>
              <w:jc w:val="center"/>
              <w:textAlignment w:val="center"/>
              <w:rPr>
                <w:rFonts w:ascii="Times New Roman" w:hAnsi="Times New Roman"/>
                <w:b/>
                <w:bCs/>
                <w:color w:val="auto"/>
                <w:sz w:val="21"/>
                <w:szCs w:val="21"/>
                <w:highlight w:val="none"/>
              </w:rPr>
            </w:pPr>
            <w:r>
              <w:rPr>
                <w:rStyle w:val="57"/>
                <w:b/>
                <w:bCs/>
                <w:color w:val="auto"/>
                <w:sz w:val="21"/>
                <w:szCs w:val="21"/>
                <w:highlight w:val="none"/>
                <w:lang w:bidi="ar"/>
              </w:rPr>
              <w:t>等级</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起点</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终点</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长度（</w:t>
            </w:r>
            <w:r>
              <w:rPr>
                <w:rStyle w:val="50"/>
                <w:b/>
                <w:bCs/>
                <w:color w:val="auto"/>
                <w:sz w:val="21"/>
                <w:szCs w:val="21"/>
                <w:highlight w:val="none"/>
                <w:lang w:bidi="ar"/>
              </w:rPr>
              <w:t>m</w:t>
            </w:r>
            <w:r>
              <w:rPr>
                <w:rStyle w:val="56"/>
                <w:rFonts w:hint="default" w:ascii="Times New Roman" w:hAnsi="Times New Roman"/>
                <w:b/>
                <w:bCs/>
                <w:color w:val="auto"/>
                <w:sz w:val="21"/>
                <w:szCs w:val="21"/>
                <w:highlight w:val="none"/>
                <w:lang w:bidi="ar"/>
              </w:rPr>
              <w:t>）</w:t>
            </w:r>
          </w:p>
        </w:tc>
        <w:tc>
          <w:tcPr>
            <w:tcW w:w="190"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宽度</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w:t>
            </w:r>
            <w:r>
              <w:rPr>
                <w:rStyle w:val="50"/>
                <w:b/>
                <w:bCs/>
                <w:color w:val="auto"/>
                <w:sz w:val="21"/>
                <w:szCs w:val="21"/>
                <w:highlight w:val="none"/>
                <w:lang w:bidi="ar"/>
              </w:rPr>
              <w:t>m</w:t>
            </w:r>
            <w:r>
              <w:rPr>
                <w:rStyle w:val="56"/>
                <w:rFonts w:hint="default" w:ascii="Times New Roman" w:hAnsi="Times New Roman"/>
                <w:b/>
                <w:bCs/>
                <w:color w:val="auto"/>
                <w:sz w:val="21"/>
                <w:szCs w:val="21"/>
                <w:highlight w:val="none"/>
                <w:lang w:bidi="ar"/>
              </w:rPr>
              <w:t>）</w:t>
            </w:r>
          </w:p>
        </w:tc>
        <w:tc>
          <w:tcPr>
            <w:tcW w:w="331"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面积</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w:t>
            </w:r>
            <w:r>
              <w:rPr>
                <w:rStyle w:val="50"/>
                <w:b/>
                <w:bCs/>
                <w:color w:val="auto"/>
                <w:sz w:val="21"/>
                <w:szCs w:val="21"/>
                <w:highlight w:val="none"/>
                <w:lang w:bidi="ar"/>
              </w:rPr>
              <w:t>m</w:t>
            </w:r>
            <w:r>
              <w:rPr>
                <w:rStyle w:val="58"/>
                <w:b/>
                <w:bCs/>
                <w:color w:val="auto"/>
                <w:sz w:val="21"/>
                <w:szCs w:val="21"/>
                <w:highlight w:val="none"/>
                <w:lang w:bidi="ar"/>
              </w:rPr>
              <w:t>2</w:t>
            </w:r>
            <w:r>
              <w:rPr>
                <w:rStyle w:val="56"/>
                <w:rFonts w:hint="default" w:ascii="Times New Roman" w:hAnsi="Times New Roman"/>
                <w:b/>
                <w:bCs/>
                <w:color w:val="auto"/>
                <w:sz w:val="21"/>
                <w:szCs w:val="21"/>
                <w:highlight w:val="none"/>
                <w:lang w:bidi="ar"/>
              </w:rPr>
              <w:t>）</w:t>
            </w:r>
          </w:p>
        </w:tc>
        <w:tc>
          <w:tcPr>
            <w:tcW w:w="839" w:type="pct"/>
            <w:shd w:val="clear" w:color="auto" w:fill="FFFFFF"/>
            <w:noWrap w:val="0"/>
            <w:tcMar>
              <w:top w:w="15" w:type="dxa"/>
              <w:left w:w="15" w:type="dxa"/>
              <w:right w:w="15" w:type="dxa"/>
            </w:tcMar>
            <w:vAlign w:val="center"/>
          </w:tcPr>
          <w:p>
            <w:pPr>
              <w:widowControl/>
              <w:jc w:val="center"/>
              <w:textAlignment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 xml:space="preserve">限定性技术① </w:t>
            </w:r>
          </w:p>
        </w:tc>
        <w:tc>
          <w:tcPr>
            <w:tcW w:w="908" w:type="pct"/>
            <w:shd w:val="clear" w:color="auto" w:fill="FFFFFF"/>
            <w:noWrap w:val="0"/>
            <w:tcMar>
              <w:top w:w="15" w:type="dxa"/>
              <w:left w:w="15" w:type="dxa"/>
              <w:right w:w="15" w:type="dxa"/>
            </w:tcMar>
            <w:vAlign w:val="center"/>
          </w:tcPr>
          <w:p>
            <w:pPr>
              <w:widowControl/>
              <w:jc w:val="center"/>
              <w:textAlignment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限定性技术②</w:t>
            </w:r>
          </w:p>
        </w:tc>
        <w:tc>
          <w:tcPr>
            <w:tcW w:w="1138"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Fonts w:ascii="Times New Roman" w:hAnsi="Times New Roman"/>
                <w:b/>
                <w:bCs/>
                <w:color w:val="auto"/>
                <w:sz w:val="21"/>
                <w:szCs w:val="21"/>
                <w:highlight w:val="none"/>
              </w:rPr>
              <w:t>非限定性技术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3-1</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庙西河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清水</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后庙河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新林河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2730.58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12.48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34078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为Ⅴ类水达标河道，单独计入河道达标费用695000元。</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设备总功率不低于60kw；底泥改良技术、旁路生物净化技术、生物接触氧化技术。</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kern w:val="0"/>
                <w:sz w:val="18"/>
                <w:szCs w:val="18"/>
                <w:highlight w:val="none"/>
                <w:lang w:bidi="ar"/>
              </w:rPr>
            </w:pPr>
            <w:r>
              <w:rPr>
                <w:rFonts w:ascii="Times New Roman" w:hAnsi="Times New Roman"/>
                <w:color w:val="auto"/>
                <w:sz w:val="18"/>
                <w:szCs w:val="18"/>
                <w:highlight w:val="none"/>
              </w:rPr>
              <w:t>滨水植物景观营造技术；</w:t>
            </w:r>
            <w:r>
              <w:rPr>
                <w:rStyle w:val="51"/>
                <w:rFonts w:hint="default" w:ascii="Times New Roman" w:hAnsi="Times New Roman"/>
                <w:color w:val="auto"/>
                <w:sz w:val="18"/>
                <w:szCs w:val="18"/>
                <w:highlight w:val="none"/>
                <w:lang w:bidi="ar"/>
              </w:rPr>
              <w:t>沉水植物构建技术，覆盖率不低于60%；生物群落调控技术（鱼类及底栖动物投放）。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3-2</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后庙河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清水</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长丰河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后庙直河（原华茂学校支河）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1559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11.24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17526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沉水植物构建技术，覆盖率不低于60%。</w:t>
            </w:r>
          </w:p>
        </w:tc>
        <w:tc>
          <w:tcPr>
            <w:tcW w:w="113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生物群落调控技术（鱼类及底栖动物投放）、</w:t>
            </w:r>
            <w:r>
              <w:rPr>
                <w:rFonts w:ascii="Times New Roman" w:hAnsi="Times New Roman"/>
                <w:color w:val="auto"/>
                <w:sz w:val="18"/>
                <w:szCs w:val="18"/>
                <w:highlight w:val="none"/>
              </w:rPr>
              <w:t>滨水植物景观营造技术</w:t>
            </w:r>
            <w:r>
              <w:rPr>
                <w:rStyle w:val="51"/>
                <w:rFonts w:hint="default" w:ascii="Times New Roman" w:hAnsi="Times New Roman"/>
                <w:color w:val="auto"/>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3-3</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吴陆周河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百梁北路（欢乐海岸）</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庙西河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1255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18.21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22858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i w:val="0"/>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 xml:space="preserve">设备总功率不低于35kw。 </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kern w:val="0"/>
                <w:sz w:val="18"/>
                <w:szCs w:val="18"/>
                <w:highlight w:val="none"/>
                <w:lang w:bidi="ar"/>
              </w:rPr>
            </w:pPr>
            <w:r>
              <w:rPr>
                <w:rStyle w:val="51"/>
                <w:rFonts w:hint="default" w:ascii="Times New Roman" w:hAnsi="Times New Roman"/>
                <w:color w:val="auto"/>
                <w:sz w:val="18"/>
                <w:szCs w:val="18"/>
                <w:highlight w:val="none"/>
                <w:lang w:bidi="ar"/>
              </w:rPr>
              <w:t>底泥改良技术、旁路生物过滤技术、生物接触氧化技术。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3-4</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万达景观河（原万达环河）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后庙直河（原华茂学校支河）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四明路</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785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10.10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7927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i w:val="0"/>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 xml:space="preserve">设备总功率不低于15kw。 </w:t>
            </w:r>
          </w:p>
        </w:tc>
        <w:tc>
          <w:tcPr>
            <w:tcW w:w="113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底泥改良技术、旁路生物过滤技术、生物接触氧化技术。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3-5</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傅家耷河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后庙路</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三桥江</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1433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10.29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14638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设置1套生态净化系统，处理能力不低于1000吨/天；单独计入设施增支费用</w:t>
            </w:r>
            <w:r>
              <w:rPr>
                <w:rFonts w:ascii="Times New Roman" w:hAnsi="Times New Roman"/>
                <w:color w:val="auto"/>
                <w:kern w:val="0"/>
                <w:sz w:val="18"/>
                <w:szCs w:val="18"/>
                <w:highlight w:val="none"/>
                <w:lang w:bidi="ar"/>
              </w:rPr>
              <w:t>78000元。</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 xml:space="preserve">设备总功率不低于20kw。 </w:t>
            </w:r>
          </w:p>
        </w:tc>
        <w:tc>
          <w:tcPr>
            <w:tcW w:w="1138" w:type="pct"/>
            <w:shd w:val="clear" w:color="auto" w:fill="FFFFFF"/>
            <w:noWrap w:val="0"/>
            <w:tcMar>
              <w:top w:w="15" w:type="dxa"/>
              <w:left w:w="15" w:type="dxa"/>
              <w:right w:w="15" w:type="dxa"/>
            </w:tcMar>
            <w:vAlign w:val="center"/>
          </w:tcPr>
          <w:p>
            <w:pPr>
              <w:widowControl/>
              <w:jc w:val="left"/>
              <w:textAlignment w:val="center"/>
              <w:rPr>
                <w:rStyle w:val="51"/>
                <w:rFonts w:hint="default" w:ascii="Times New Roman" w:hAnsi="Times New Roman"/>
                <w:color w:val="auto"/>
                <w:sz w:val="18"/>
                <w:szCs w:val="18"/>
                <w:highlight w:val="none"/>
                <w:lang w:bidi="ar"/>
              </w:rPr>
            </w:pPr>
            <w:r>
              <w:rPr>
                <w:rStyle w:val="51"/>
                <w:rFonts w:hint="default" w:ascii="Times New Roman" w:hAnsi="Times New Roman"/>
                <w:color w:val="auto"/>
                <w:sz w:val="18"/>
                <w:szCs w:val="18"/>
                <w:highlight w:val="none"/>
                <w:lang w:bidi="ar"/>
              </w:rPr>
              <w:t>底泥改良技术、旁路生物过滤技术、生物接触氧化技术。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3-6</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后庙直河（原华茂学校支河）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冯江岸河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华茂景观河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2325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19.96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46401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41"/>
                <w:rFonts w:ascii="Times New Roman" w:hAnsi="Times New Roman" w:cs="Times New Roman"/>
                <w:color w:val="auto"/>
                <w:sz w:val="18"/>
                <w:szCs w:val="18"/>
                <w:highlight w:val="none"/>
                <w:lang w:bidi="ar"/>
              </w:rPr>
              <w:t>设置1套一体化设备，设备处理能力不低于1000吨/天；</w:t>
            </w:r>
            <w:r>
              <w:rPr>
                <w:rStyle w:val="51"/>
                <w:rFonts w:hint="default" w:ascii="Times New Roman" w:hAnsi="Times New Roman"/>
                <w:color w:val="auto"/>
                <w:sz w:val="18"/>
                <w:szCs w:val="18"/>
                <w:highlight w:val="none"/>
                <w:lang w:bidi="ar"/>
              </w:rPr>
              <w:t>单独计入设施增支费用</w:t>
            </w:r>
            <w:r>
              <w:rPr>
                <w:rFonts w:hint="eastAsia" w:ascii="Times New Roman" w:hAnsi="Times New Roman" w:eastAsia="宋体"/>
                <w:color w:val="auto"/>
                <w:kern w:val="0"/>
                <w:sz w:val="18"/>
                <w:szCs w:val="18"/>
                <w:highlight w:val="none"/>
                <w:lang w:val="en-US" w:eastAsia="zh-CN" w:bidi="ar"/>
              </w:rPr>
              <w:t>72000</w:t>
            </w:r>
            <w:r>
              <w:rPr>
                <w:rFonts w:ascii="Times New Roman" w:hAnsi="Times New Roman"/>
                <w:color w:val="auto"/>
                <w:kern w:val="0"/>
                <w:sz w:val="18"/>
                <w:szCs w:val="18"/>
                <w:highlight w:val="none"/>
                <w:lang w:bidi="ar"/>
              </w:rPr>
              <w:t xml:space="preserve">元。 </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41"/>
                <w:rFonts w:hint="eastAsia" w:ascii="Times New Roman" w:hAnsi="Times New Roman" w:eastAsia="宋体" w:cs="Times New Roman"/>
                <w:color w:val="auto"/>
                <w:sz w:val="18"/>
                <w:szCs w:val="18"/>
                <w:highlight w:val="none"/>
                <w:lang w:eastAsia="zh-CN" w:bidi="ar"/>
              </w:rPr>
              <w:t>推流增氧设备技术，</w:t>
            </w:r>
            <w:r>
              <w:rPr>
                <w:rStyle w:val="41"/>
                <w:rFonts w:ascii="Times New Roman" w:hAnsi="Times New Roman" w:cs="Times New Roman"/>
                <w:color w:val="auto"/>
                <w:sz w:val="18"/>
                <w:szCs w:val="18"/>
                <w:highlight w:val="none"/>
                <w:lang w:bidi="ar"/>
              </w:rPr>
              <w:t>设备</w:t>
            </w:r>
            <w:r>
              <w:rPr>
                <w:rStyle w:val="51"/>
                <w:rFonts w:hint="default" w:ascii="Times New Roman" w:hAnsi="Times New Roman"/>
                <w:color w:val="auto"/>
                <w:sz w:val="18"/>
                <w:szCs w:val="18"/>
                <w:highlight w:val="none"/>
                <w:lang w:bidi="ar"/>
              </w:rPr>
              <w:t>总</w:t>
            </w:r>
            <w:r>
              <w:rPr>
                <w:rStyle w:val="41"/>
                <w:rFonts w:ascii="Times New Roman" w:hAnsi="Times New Roman" w:cs="Times New Roman"/>
                <w:color w:val="auto"/>
                <w:sz w:val="18"/>
                <w:szCs w:val="18"/>
                <w:highlight w:val="none"/>
                <w:lang w:bidi="ar"/>
              </w:rPr>
              <w:t xml:space="preserve">功率不低于75kw。 </w:t>
            </w:r>
          </w:p>
        </w:tc>
        <w:tc>
          <w:tcPr>
            <w:tcW w:w="1138" w:type="pct"/>
            <w:shd w:val="clear" w:color="auto" w:fill="FFFFFF"/>
            <w:noWrap w:val="0"/>
            <w:tcMar>
              <w:top w:w="15" w:type="dxa"/>
              <w:left w:w="15" w:type="dxa"/>
              <w:right w:w="15" w:type="dxa"/>
            </w:tcMar>
            <w:vAlign w:val="center"/>
          </w:tcPr>
          <w:p>
            <w:pPr>
              <w:widowControl/>
              <w:jc w:val="left"/>
              <w:textAlignment w:val="center"/>
              <w:rPr>
                <w:rStyle w:val="41"/>
                <w:rFonts w:ascii="Times New Roman" w:hAnsi="Times New Roman" w:cs="Times New Roman"/>
                <w:color w:val="auto"/>
                <w:sz w:val="18"/>
                <w:szCs w:val="18"/>
                <w:highlight w:val="none"/>
                <w:lang w:bidi="ar"/>
              </w:rPr>
            </w:pPr>
            <w:r>
              <w:rPr>
                <w:rStyle w:val="51"/>
                <w:rFonts w:hint="default" w:ascii="Times New Roman" w:hAnsi="Times New Roman"/>
                <w:color w:val="auto"/>
                <w:sz w:val="18"/>
                <w:szCs w:val="18"/>
                <w:highlight w:val="none"/>
                <w:lang w:bidi="ar"/>
              </w:rPr>
              <w:t>底泥改良技术、旁路生物过滤技术、生物接触氧化技术。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Style w:val="47"/>
                <w:rFonts w:hint="default" w:ascii="Times New Roman" w:hAnsi="Times New Roman"/>
                <w:color w:val="auto"/>
                <w:sz w:val="18"/>
                <w:szCs w:val="18"/>
                <w:highlight w:val="none"/>
                <w:lang w:bidi="ar"/>
              </w:rPr>
              <w:t>第三标段</w:t>
            </w:r>
            <w:r>
              <w:rPr>
                <w:rFonts w:ascii="Times New Roman" w:hAnsi="Times New Roman"/>
                <w:b/>
                <w:color w:val="auto"/>
                <w:kern w:val="0"/>
                <w:sz w:val="18"/>
                <w:szCs w:val="18"/>
                <w:highlight w:val="none"/>
                <w:lang w:bidi="ar"/>
              </w:rPr>
              <w:t>日常养护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10087.58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143428 </w:t>
            </w:r>
          </w:p>
        </w:tc>
        <w:tc>
          <w:tcPr>
            <w:tcW w:w="2886" w:type="pct"/>
            <w:gridSpan w:val="3"/>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Fonts w:hint="eastAsia" w:ascii="Times New Roman" w:hAnsi="Times New Roman"/>
                <w:b/>
                <w:color w:val="auto"/>
                <w:sz w:val="18"/>
                <w:szCs w:val="18"/>
                <w:highlight w:val="none"/>
                <w:lang w:val="en-US" w:eastAsia="zh-CN"/>
              </w:rPr>
              <w:t>第三</w:t>
            </w:r>
            <w:r>
              <w:rPr>
                <w:rFonts w:hint="eastAsia" w:ascii="Times New Roman" w:hAnsi="Times New Roman"/>
                <w:b/>
                <w:color w:val="auto"/>
                <w:sz w:val="18"/>
                <w:szCs w:val="18"/>
                <w:highlight w:val="none"/>
                <w:lang w:eastAsia="zh-CN"/>
              </w:rPr>
              <w:t>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ascii="Times New Roman" w:hAnsi="Times New Roman"/>
                <w:b/>
                <w:color w:val="auto"/>
                <w:kern w:val="0"/>
                <w:sz w:val="18"/>
                <w:szCs w:val="18"/>
                <w:highlight w:val="none"/>
                <w:lang w:bidi="ar"/>
              </w:rPr>
              <w:t>845000</w:t>
            </w:r>
            <w:r>
              <w:rPr>
                <w:rFonts w:hint="eastAsia" w:ascii="Times New Roman" w:hAnsi="Times New Roman"/>
                <w:b/>
                <w:color w:val="auto"/>
                <w:sz w:val="18"/>
                <w:szCs w:val="18"/>
                <w:highlight w:val="none"/>
                <w:lang w:eastAsia="zh-CN"/>
              </w:rPr>
              <w:t>元</w:t>
            </w:r>
            <w:r>
              <w:rPr>
                <w:rFonts w:hint="default" w:ascii="Times New Roman" w:hAnsi="Times New Roman"/>
                <w:b/>
                <w:color w:val="auto"/>
                <w:sz w:val="18"/>
                <w:szCs w:val="18"/>
                <w:highlight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3-7</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青墩支河（原青墩村支河</w:t>
            </w:r>
            <w:r>
              <w:rPr>
                <w:rStyle w:val="50"/>
                <w:color w:val="auto"/>
                <w:sz w:val="18"/>
                <w:szCs w:val="18"/>
                <w:highlight w:val="none"/>
                <w:lang w:bidi="ar"/>
              </w:rPr>
              <w:t>)</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应急</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甬新西河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吴陆周河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1450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16.48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23894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r>
              <w:rPr>
                <w:rFonts w:ascii="Times New Roman" w:hAnsi="Times New Roman"/>
                <w:color w:val="auto"/>
                <w:sz w:val="18"/>
                <w:szCs w:val="18"/>
                <w:highlight w:val="none"/>
              </w:rPr>
              <w:t>预防黑臭及控藻等应急技术。</w:t>
            </w:r>
          </w:p>
        </w:tc>
        <w:tc>
          <w:tcPr>
            <w:tcW w:w="113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底泥消毒与底泥改良技术。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3-8</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傅家耷河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应急</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后庙路</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杭甬高速公路</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779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10.31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8030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预防黑臭及控藻等应急技术。</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kern w:val="0"/>
                <w:sz w:val="18"/>
                <w:szCs w:val="18"/>
                <w:highlight w:val="none"/>
                <w:lang w:bidi="ar"/>
              </w:rPr>
            </w:pPr>
            <w:r>
              <w:rPr>
                <w:rStyle w:val="52"/>
                <w:rFonts w:hint="default" w:ascii="Times New Roman" w:hAnsi="Times New Roman" w:cs="Times New Roman"/>
                <w:color w:val="auto"/>
                <w:sz w:val="18"/>
                <w:szCs w:val="18"/>
                <w:highlight w:val="none"/>
                <w:lang w:bidi="ar"/>
              </w:rPr>
              <w:t>底泥消毒与底泥改良技术。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3-9</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三桥江</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应急</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鄞县大道</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奉化江（庙堰碶）</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1717.90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30.14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51773.97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r>
              <w:rPr>
                <w:rFonts w:ascii="Times New Roman" w:hAnsi="Times New Roman"/>
                <w:color w:val="auto"/>
                <w:sz w:val="18"/>
                <w:szCs w:val="18"/>
                <w:highlight w:val="none"/>
              </w:rPr>
              <w:t>预防黑臭及控藻等应急技术。</w:t>
            </w:r>
          </w:p>
        </w:tc>
        <w:tc>
          <w:tcPr>
            <w:tcW w:w="113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底泥消毒与底泥改良技术。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color w:val="auto"/>
                <w:sz w:val="18"/>
                <w:szCs w:val="18"/>
                <w:highlight w:val="none"/>
              </w:rPr>
            </w:pPr>
            <w:r>
              <w:rPr>
                <w:rStyle w:val="47"/>
                <w:rFonts w:hint="default" w:ascii="Times New Roman" w:hAnsi="Times New Roman"/>
                <w:color w:val="auto"/>
                <w:sz w:val="18"/>
                <w:szCs w:val="18"/>
                <w:highlight w:val="none"/>
                <w:lang w:bidi="ar"/>
              </w:rPr>
              <w:t>第三标段应急养护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3946.90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83697.97 </w:t>
            </w:r>
          </w:p>
        </w:tc>
        <w:tc>
          <w:tcPr>
            <w:tcW w:w="839" w:type="pct"/>
            <w:shd w:val="clear" w:color="auto" w:fill="FFFFFF"/>
            <w:noWrap w:val="0"/>
            <w:tcMar>
              <w:top w:w="15" w:type="dxa"/>
              <w:left w:w="15" w:type="dxa"/>
              <w:right w:w="15" w:type="dxa"/>
            </w:tcMar>
            <w:vAlign w:val="center"/>
          </w:tcPr>
          <w:p>
            <w:pPr>
              <w:jc w:val="center"/>
              <w:rPr>
                <w:rFonts w:ascii="Times New Roman" w:hAnsi="Times New Roman"/>
                <w:color w:val="auto"/>
                <w:sz w:val="18"/>
                <w:szCs w:val="18"/>
                <w:highlight w:val="none"/>
              </w:rPr>
            </w:pPr>
          </w:p>
        </w:tc>
        <w:tc>
          <w:tcPr>
            <w:tcW w:w="90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p>
        </w:tc>
        <w:tc>
          <w:tcPr>
            <w:tcW w:w="113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tcMar>
              <w:top w:w="15" w:type="dxa"/>
              <w:left w:w="15" w:type="dxa"/>
              <w:right w:w="15" w:type="dxa"/>
            </w:tcMar>
            <w:vAlign w:val="center"/>
          </w:tcPr>
          <w:p>
            <w:pPr>
              <w:jc w:val="center"/>
              <w:rPr>
                <w:rFonts w:ascii="Times New Roman" w:hAnsi="Times New Roman"/>
                <w:b/>
                <w:color w:val="auto"/>
                <w:sz w:val="18"/>
                <w:szCs w:val="18"/>
                <w:highlight w:val="none"/>
              </w:rPr>
            </w:pPr>
            <w:r>
              <w:rPr>
                <w:rStyle w:val="47"/>
                <w:rFonts w:hint="default" w:ascii="Times New Roman" w:hAnsi="Times New Roman"/>
                <w:color w:val="auto"/>
                <w:sz w:val="18"/>
                <w:szCs w:val="18"/>
                <w:highlight w:val="none"/>
                <w:lang w:bidi="ar"/>
              </w:rPr>
              <w:t>第三标段合计养护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14034.48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227125.97 </w:t>
            </w:r>
          </w:p>
        </w:tc>
        <w:tc>
          <w:tcPr>
            <w:tcW w:w="2886" w:type="pct"/>
            <w:gridSpan w:val="3"/>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Fonts w:hint="eastAsia" w:ascii="Times New Roman" w:hAnsi="Times New Roman"/>
                <w:b/>
                <w:color w:val="auto"/>
                <w:sz w:val="18"/>
                <w:szCs w:val="18"/>
                <w:highlight w:val="none"/>
                <w:lang w:val="en-US" w:eastAsia="zh-CN"/>
              </w:rPr>
              <w:t>第三</w:t>
            </w:r>
            <w:r>
              <w:rPr>
                <w:rFonts w:hint="eastAsia" w:ascii="Times New Roman" w:hAnsi="Times New Roman"/>
                <w:b/>
                <w:color w:val="auto"/>
                <w:sz w:val="18"/>
                <w:szCs w:val="18"/>
                <w:highlight w:val="none"/>
                <w:lang w:eastAsia="zh-CN"/>
              </w:rPr>
              <w:t>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ascii="Times New Roman" w:hAnsi="Times New Roman"/>
                <w:b/>
                <w:color w:val="auto"/>
                <w:kern w:val="0"/>
                <w:sz w:val="18"/>
                <w:szCs w:val="18"/>
                <w:highlight w:val="none"/>
                <w:lang w:bidi="ar"/>
              </w:rPr>
              <w:t>845000</w:t>
            </w:r>
            <w:r>
              <w:rPr>
                <w:rFonts w:hint="eastAsia" w:ascii="Times New Roman" w:hAnsi="Times New Roman"/>
                <w:b/>
                <w:color w:val="auto"/>
                <w:sz w:val="18"/>
                <w:szCs w:val="18"/>
                <w:highlight w:val="none"/>
                <w:lang w:eastAsia="zh-CN"/>
              </w:rPr>
              <w:t>元</w:t>
            </w:r>
            <w:r>
              <w:rPr>
                <w:rFonts w:hint="eastAsia" w:ascii="Times New Roman" w:hAnsi="Times New Roman"/>
                <w:b/>
                <w:color w:val="auto"/>
                <w:sz w:val="18"/>
                <w:szCs w:val="18"/>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5000" w:type="pct"/>
            <w:gridSpan w:val="11"/>
            <w:shd w:val="clear" w:color="auto" w:fill="FFFFFF"/>
            <w:noWrap/>
            <w:tcMar>
              <w:top w:w="15" w:type="dxa"/>
              <w:left w:w="15" w:type="dxa"/>
              <w:right w:w="15" w:type="dxa"/>
            </w:tcMar>
            <w:vAlign w:val="center"/>
          </w:tcPr>
          <w:p>
            <w:pPr>
              <w:ind w:firstLine="361" w:firstLineChars="200"/>
              <w:jc w:val="left"/>
              <w:rPr>
                <w:rFonts w:hint="eastAsia" w:ascii="Times New Roman" w:hAnsi="Times New Roman"/>
                <w:b/>
                <w:color w:val="auto"/>
                <w:kern w:val="0"/>
                <w:sz w:val="18"/>
                <w:szCs w:val="18"/>
                <w:highlight w:val="none"/>
                <w:lang w:bidi="ar"/>
              </w:rPr>
            </w:pPr>
            <w:r>
              <w:rPr>
                <w:rFonts w:ascii="Times New Roman" w:hAnsi="Times New Roman"/>
                <w:b/>
                <w:color w:val="auto"/>
                <w:sz w:val="18"/>
                <w:szCs w:val="18"/>
                <w:highlight w:val="none"/>
              </w:rPr>
              <w:t xml:space="preserve">  备注：</w:t>
            </w:r>
            <w:r>
              <w:rPr>
                <w:rFonts w:hint="eastAsia" w:ascii="Times New Roman" w:hAnsi="Times New Roman"/>
                <w:b/>
                <w:color w:val="auto"/>
                <w:sz w:val="18"/>
                <w:szCs w:val="18"/>
                <w:highlight w:val="none"/>
                <w:lang w:eastAsia="zh-CN"/>
              </w:rPr>
              <w:t>（1）本标段限定性技术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ascii="Times New Roman" w:hAnsi="Times New Roman"/>
                <w:b/>
                <w:color w:val="auto"/>
                <w:kern w:val="0"/>
                <w:sz w:val="18"/>
                <w:szCs w:val="18"/>
                <w:highlight w:val="none"/>
                <w:lang w:bidi="ar"/>
              </w:rPr>
              <w:t>845000</w:t>
            </w:r>
            <w:r>
              <w:rPr>
                <w:rFonts w:hint="eastAsia" w:ascii="Times New Roman" w:hAnsi="Times New Roman"/>
                <w:b/>
                <w:color w:val="auto"/>
                <w:sz w:val="18"/>
                <w:szCs w:val="18"/>
                <w:highlight w:val="none"/>
                <w:lang w:eastAsia="zh-CN"/>
              </w:rPr>
              <w:t>元，</w:t>
            </w:r>
            <w:r>
              <w:rPr>
                <w:rFonts w:hint="eastAsia" w:ascii="Times New Roman" w:hAnsi="Times New Roman"/>
                <w:b/>
                <w:color w:val="auto"/>
                <w:sz w:val="18"/>
                <w:szCs w:val="18"/>
                <w:highlight w:val="none"/>
                <w:lang w:val="en-US" w:eastAsia="zh-CN"/>
              </w:rPr>
              <w:t>包含在总费用中但并非规定设施投入的全部费用，不管因任何原因未实施安装的，则该部分费用按照中标下浮率等比例下浮后一次性扣除，针对所在河道的考核标准和方法不变</w:t>
            </w:r>
            <w:r>
              <w:rPr>
                <w:rFonts w:hint="default" w:ascii="Times New Roman" w:hAnsi="Times New Roman"/>
                <w:b/>
                <w:color w:val="auto"/>
                <w:sz w:val="18"/>
                <w:szCs w:val="18"/>
                <w:highlight w:val="none"/>
                <w:lang w:eastAsia="zh-CN"/>
              </w:rPr>
              <w:t>。</w:t>
            </w:r>
            <w:r>
              <w:rPr>
                <w:rFonts w:ascii="Times New Roman" w:hAnsi="Times New Roman"/>
                <w:b/>
                <w:color w:val="auto"/>
                <w:sz w:val="18"/>
                <w:szCs w:val="18"/>
                <w:highlight w:val="none"/>
              </w:rPr>
              <w:t>（2）庙西河</w:t>
            </w:r>
            <w:r>
              <w:rPr>
                <w:rStyle w:val="47"/>
                <w:rFonts w:hint="eastAsia" w:ascii="Times New Roman" w:hAnsi="Times New Roman"/>
                <w:color w:val="auto"/>
                <w:sz w:val="18"/>
                <w:szCs w:val="18"/>
                <w:highlight w:val="none"/>
                <w:lang w:val="en-US" w:eastAsia="zh-CN" w:bidi="ar"/>
              </w:rPr>
              <w:t>Ⅴ</w:t>
            </w:r>
            <w:r>
              <w:rPr>
                <w:rStyle w:val="47"/>
                <w:rFonts w:hint="default" w:ascii="Times New Roman" w:hAnsi="Times New Roman"/>
                <w:color w:val="auto"/>
                <w:sz w:val="18"/>
                <w:szCs w:val="18"/>
                <w:highlight w:val="none"/>
                <w:lang w:bidi="ar"/>
              </w:rPr>
              <w:t>类水达标费用单独计入年度养护预算，参照两套考核体系进行双项考核，第一套体系按照清水河道考核</w:t>
            </w:r>
            <w:r>
              <w:rPr>
                <w:rStyle w:val="47"/>
                <w:rFonts w:hint="eastAsia" w:ascii="Times New Roman" w:hAnsi="Times New Roman" w:eastAsia="宋体"/>
                <w:color w:val="auto"/>
                <w:sz w:val="18"/>
                <w:szCs w:val="18"/>
                <w:highlight w:val="none"/>
                <w:lang w:eastAsia="zh-CN" w:bidi="ar"/>
              </w:rPr>
              <w:t>，</w:t>
            </w:r>
            <w:r>
              <w:rPr>
                <w:rStyle w:val="47"/>
                <w:rFonts w:hint="default" w:ascii="Times New Roman" w:hAnsi="Times New Roman"/>
                <w:color w:val="auto"/>
                <w:sz w:val="18"/>
                <w:szCs w:val="18"/>
                <w:highlight w:val="none"/>
                <w:lang w:bidi="ar"/>
              </w:rPr>
              <w:t>第二套考核体系按照地表水Ⅴ类水进行达标考核。</w:t>
            </w:r>
            <w:r>
              <w:rPr>
                <w:rFonts w:hint="eastAsia" w:ascii="Times New Roman" w:hAnsi="Times New Roman"/>
                <w:b/>
                <w:color w:val="auto"/>
                <w:kern w:val="0"/>
                <w:sz w:val="18"/>
                <w:szCs w:val="18"/>
                <w:highlight w:val="none"/>
                <w:lang w:bidi="ar"/>
              </w:rPr>
              <w:t>（3）该标段推流增氧等设备及其它技术设施应符合宁波市、鄞州区等行业规范规定和要求。</w:t>
            </w:r>
          </w:p>
          <w:p>
            <w:pPr>
              <w:ind w:firstLine="361" w:firstLineChars="200"/>
              <w:jc w:val="left"/>
              <w:rPr>
                <w:rFonts w:hint="default" w:ascii="Times New Roman" w:hAnsi="Times New Roman"/>
                <w:b/>
                <w:color w:val="auto"/>
                <w:kern w:val="0"/>
                <w:sz w:val="18"/>
                <w:szCs w:val="18"/>
                <w:highlight w:val="none"/>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28" w:type="dxa"/>
            <w:left w:w="85" w:type="dxa"/>
            <w:bottom w:w="28" w:type="dxa"/>
            <w:right w:w="85" w:type="dxa"/>
          </w:tblCellMar>
        </w:tblPrEx>
        <w:trPr>
          <w:trHeight w:val="340" w:hRule="atLeast"/>
        </w:trPr>
        <w:tc>
          <w:tcPr>
            <w:tcW w:w="5000" w:type="pct"/>
            <w:gridSpan w:val="11"/>
            <w:shd w:val="clear" w:color="auto" w:fill="FFFFFF"/>
            <w:noWrap w:val="0"/>
            <w:tcMar>
              <w:top w:w="15" w:type="dxa"/>
              <w:left w:w="15" w:type="dxa"/>
              <w:right w:w="15" w:type="dxa"/>
            </w:tcMar>
            <w:vAlign w:val="center"/>
          </w:tcPr>
          <w:p>
            <w:pPr>
              <w:jc w:val="center"/>
              <w:rPr>
                <w:rStyle w:val="51"/>
                <w:rFonts w:hint="default" w:ascii="Times New Roman" w:hAnsi="Times New Roman"/>
                <w:color w:val="auto"/>
                <w:sz w:val="18"/>
                <w:szCs w:val="18"/>
                <w:highlight w:val="none"/>
                <w:lang w:bidi="ar"/>
              </w:rPr>
            </w:pPr>
            <w:r>
              <w:rPr>
                <w:rStyle w:val="40"/>
                <w:rFonts w:hint="default" w:ascii="Times New Roman" w:hAnsi="Times New Roman" w:eastAsia="华文中宋"/>
                <w:color w:val="auto"/>
                <w:sz w:val="30"/>
                <w:szCs w:val="30"/>
                <w:highlight w:val="none"/>
                <w:lang w:bidi="ar"/>
              </w:rPr>
              <w:t>第四标段水质日常养护概况与技术策略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序号</w:t>
            </w:r>
          </w:p>
        </w:tc>
        <w:tc>
          <w:tcPr>
            <w:tcW w:w="305"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河道</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名称</w:t>
            </w:r>
          </w:p>
        </w:tc>
        <w:tc>
          <w:tcPr>
            <w:tcW w:w="258" w:type="pct"/>
            <w:shd w:val="clear" w:color="auto" w:fill="FFFFFF"/>
            <w:noWrap w:val="0"/>
            <w:tcMar>
              <w:top w:w="15" w:type="dxa"/>
              <w:left w:w="15" w:type="dxa"/>
              <w:right w:w="15" w:type="dxa"/>
            </w:tcMar>
            <w:vAlign w:val="center"/>
          </w:tcPr>
          <w:p>
            <w:pPr>
              <w:widowControl/>
              <w:jc w:val="center"/>
              <w:textAlignment w:val="center"/>
              <w:rPr>
                <w:rStyle w:val="57"/>
                <w:b/>
                <w:bCs/>
                <w:color w:val="auto"/>
                <w:sz w:val="21"/>
                <w:szCs w:val="21"/>
                <w:highlight w:val="none"/>
                <w:lang w:bidi="ar"/>
              </w:rPr>
            </w:pPr>
            <w:r>
              <w:rPr>
                <w:rStyle w:val="57"/>
                <w:b/>
                <w:bCs/>
                <w:color w:val="auto"/>
                <w:sz w:val="21"/>
                <w:szCs w:val="21"/>
                <w:highlight w:val="none"/>
                <w:lang w:bidi="ar"/>
              </w:rPr>
              <w:t>考核</w:t>
            </w:r>
          </w:p>
          <w:p>
            <w:pPr>
              <w:widowControl/>
              <w:jc w:val="center"/>
              <w:textAlignment w:val="center"/>
              <w:rPr>
                <w:rFonts w:ascii="Times New Roman" w:hAnsi="Times New Roman"/>
                <w:b/>
                <w:bCs/>
                <w:color w:val="auto"/>
                <w:sz w:val="21"/>
                <w:szCs w:val="21"/>
                <w:highlight w:val="none"/>
              </w:rPr>
            </w:pPr>
            <w:r>
              <w:rPr>
                <w:rStyle w:val="57"/>
                <w:b/>
                <w:bCs/>
                <w:color w:val="auto"/>
                <w:sz w:val="21"/>
                <w:szCs w:val="21"/>
                <w:highlight w:val="none"/>
                <w:lang w:bidi="ar"/>
              </w:rPr>
              <w:t>等级</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起点</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终点</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长度（</w:t>
            </w:r>
            <w:r>
              <w:rPr>
                <w:rStyle w:val="50"/>
                <w:b/>
                <w:bCs/>
                <w:color w:val="auto"/>
                <w:sz w:val="21"/>
                <w:szCs w:val="21"/>
                <w:highlight w:val="none"/>
                <w:lang w:bidi="ar"/>
              </w:rPr>
              <w:t>m</w:t>
            </w:r>
            <w:r>
              <w:rPr>
                <w:rStyle w:val="56"/>
                <w:rFonts w:hint="default" w:ascii="Times New Roman" w:hAnsi="Times New Roman"/>
                <w:b/>
                <w:bCs/>
                <w:color w:val="auto"/>
                <w:sz w:val="21"/>
                <w:szCs w:val="21"/>
                <w:highlight w:val="none"/>
                <w:lang w:bidi="ar"/>
              </w:rPr>
              <w:t>）</w:t>
            </w:r>
          </w:p>
        </w:tc>
        <w:tc>
          <w:tcPr>
            <w:tcW w:w="190"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宽度</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w:t>
            </w:r>
            <w:r>
              <w:rPr>
                <w:rStyle w:val="50"/>
                <w:b/>
                <w:bCs/>
                <w:color w:val="auto"/>
                <w:sz w:val="21"/>
                <w:szCs w:val="21"/>
                <w:highlight w:val="none"/>
                <w:lang w:bidi="ar"/>
              </w:rPr>
              <w:t>m</w:t>
            </w:r>
            <w:r>
              <w:rPr>
                <w:rStyle w:val="56"/>
                <w:rFonts w:hint="default" w:ascii="Times New Roman" w:hAnsi="Times New Roman"/>
                <w:b/>
                <w:bCs/>
                <w:color w:val="auto"/>
                <w:sz w:val="21"/>
                <w:szCs w:val="21"/>
                <w:highlight w:val="none"/>
                <w:lang w:bidi="ar"/>
              </w:rPr>
              <w:t>）</w:t>
            </w:r>
          </w:p>
        </w:tc>
        <w:tc>
          <w:tcPr>
            <w:tcW w:w="331"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面积</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w:t>
            </w:r>
            <w:r>
              <w:rPr>
                <w:rStyle w:val="50"/>
                <w:b/>
                <w:bCs/>
                <w:color w:val="auto"/>
                <w:sz w:val="21"/>
                <w:szCs w:val="21"/>
                <w:highlight w:val="none"/>
                <w:lang w:bidi="ar"/>
              </w:rPr>
              <w:t>m</w:t>
            </w:r>
            <w:r>
              <w:rPr>
                <w:rStyle w:val="58"/>
                <w:b/>
                <w:bCs/>
                <w:color w:val="auto"/>
                <w:sz w:val="21"/>
                <w:szCs w:val="21"/>
                <w:highlight w:val="none"/>
                <w:lang w:bidi="ar"/>
              </w:rPr>
              <w:t>2</w:t>
            </w:r>
            <w:r>
              <w:rPr>
                <w:rStyle w:val="56"/>
                <w:rFonts w:hint="default" w:ascii="Times New Roman" w:hAnsi="Times New Roman"/>
                <w:b/>
                <w:bCs/>
                <w:color w:val="auto"/>
                <w:sz w:val="21"/>
                <w:szCs w:val="21"/>
                <w:highlight w:val="none"/>
                <w:lang w:bidi="ar"/>
              </w:rPr>
              <w:t>）</w:t>
            </w:r>
          </w:p>
        </w:tc>
        <w:tc>
          <w:tcPr>
            <w:tcW w:w="839" w:type="pct"/>
            <w:shd w:val="clear" w:color="auto" w:fill="FFFFFF"/>
            <w:noWrap w:val="0"/>
            <w:tcMar>
              <w:top w:w="15" w:type="dxa"/>
              <w:left w:w="15" w:type="dxa"/>
              <w:right w:w="15" w:type="dxa"/>
            </w:tcMar>
            <w:vAlign w:val="center"/>
          </w:tcPr>
          <w:p>
            <w:pPr>
              <w:widowControl/>
              <w:jc w:val="center"/>
              <w:textAlignment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 xml:space="preserve">限定性技术① </w:t>
            </w:r>
          </w:p>
        </w:tc>
        <w:tc>
          <w:tcPr>
            <w:tcW w:w="908" w:type="pct"/>
            <w:shd w:val="clear" w:color="auto" w:fill="FFFFFF"/>
            <w:noWrap w:val="0"/>
            <w:tcMar>
              <w:top w:w="15" w:type="dxa"/>
              <w:left w:w="15" w:type="dxa"/>
              <w:right w:w="15" w:type="dxa"/>
            </w:tcMar>
            <w:vAlign w:val="center"/>
          </w:tcPr>
          <w:p>
            <w:pPr>
              <w:widowControl/>
              <w:jc w:val="center"/>
              <w:textAlignment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限定性技术②</w:t>
            </w:r>
          </w:p>
        </w:tc>
        <w:tc>
          <w:tcPr>
            <w:tcW w:w="1138"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Fonts w:ascii="Times New Roman" w:hAnsi="Times New Roman"/>
                <w:b/>
                <w:bCs/>
                <w:color w:val="auto"/>
                <w:sz w:val="21"/>
                <w:szCs w:val="21"/>
                <w:highlight w:val="none"/>
              </w:rPr>
              <w:t>非限定性技术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4-1</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芝兰新河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清水</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长丰河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芝兰新城小区</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589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8.93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5258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沉水植物构建技术，植物覆盖率不低于60%。</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Fonts w:ascii="Times New Roman" w:hAnsi="Times New Roman"/>
                <w:color w:val="auto"/>
                <w:sz w:val="18"/>
                <w:szCs w:val="18"/>
                <w:highlight w:val="none"/>
              </w:rPr>
              <w:t>滨水植物景观营造技术、</w:t>
            </w:r>
            <w:r>
              <w:rPr>
                <w:rStyle w:val="51"/>
                <w:rFonts w:hint="default" w:ascii="Times New Roman" w:hAnsi="Times New Roman"/>
                <w:color w:val="auto"/>
                <w:sz w:val="18"/>
                <w:szCs w:val="18"/>
                <w:highlight w:val="none"/>
                <w:lang w:bidi="ar"/>
              </w:rPr>
              <w:t>底泥改良技术、旁路生物过滤技术、生物接触氧化技术。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4-2</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虎浪漕河（原如意金水湾漕）</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清水</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长丰河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如意金水湾</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150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11.65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1747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沉水植物构建技术，植物覆盖率不低于60%。</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底泥改良技术、旁路生物过滤技术、生物接触氧化技术。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4-3</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林家漕</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清水</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邹家河支流</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150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25.37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3806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沉水植物构建技术，植物覆盖率不低于60%。</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底泥改良技术、旁路生物过滤技术、生物接触氧化技术。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4-4</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长丰河（宁南路以东）</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宁南路</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冯江岸河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1259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16.95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21337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生物净化设施技术、推流增氧设备技术，</w:t>
            </w:r>
            <w:r>
              <w:rPr>
                <w:rStyle w:val="51"/>
                <w:rFonts w:hint="eastAsia" w:ascii="Times New Roman" w:hAnsi="Times New Roman" w:eastAsia="宋体"/>
                <w:color w:val="auto"/>
                <w:sz w:val="18"/>
                <w:szCs w:val="18"/>
                <w:highlight w:val="none"/>
                <w:lang w:val="en-US" w:eastAsia="zh-CN" w:bidi="ar"/>
              </w:rPr>
              <w:t>设施</w:t>
            </w:r>
            <w:r>
              <w:rPr>
                <w:rStyle w:val="51"/>
                <w:rFonts w:hint="default" w:ascii="Times New Roman" w:hAnsi="Times New Roman"/>
                <w:color w:val="auto"/>
                <w:sz w:val="18"/>
                <w:szCs w:val="18"/>
                <w:highlight w:val="none"/>
                <w:lang w:bidi="ar"/>
              </w:rPr>
              <w:t>设备总功率不低于40kw。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4-5</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长丰河（宁南路以西）</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傅家耷河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宁南路</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1755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21.78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38217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生物净化设施</w:t>
            </w:r>
            <w:r>
              <w:rPr>
                <w:rStyle w:val="51"/>
                <w:rFonts w:hint="eastAsia" w:ascii="Times New Roman" w:hAnsi="Times New Roman" w:eastAsia="宋体"/>
                <w:color w:val="auto"/>
                <w:sz w:val="18"/>
                <w:szCs w:val="18"/>
                <w:highlight w:val="none"/>
                <w:lang w:val="en-US" w:eastAsia="zh-CN" w:bidi="ar"/>
              </w:rPr>
              <w:t>技术</w:t>
            </w:r>
            <w:r>
              <w:rPr>
                <w:rStyle w:val="51"/>
                <w:rFonts w:hint="default" w:ascii="Times New Roman" w:hAnsi="Times New Roman"/>
                <w:color w:val="auto"/>
                <w:sz w:val="18"/>
                <w:szCs w:val="18"/>
                <w:highlight w:val="none"/>
                <w:lang w:bidi="ar"/>
              </w:rPr>
              <w:t>、</w:t>
            </w:r>
            <w:r>
              <w:rPr>
                <w:rStyle w:val="51"/>
                <w:rFonts w:hint="eastAsia" w:ascii="Times New Roman" w:hAnsi="Times New Roman" w:eastAsia="宋体"/>
                <w:color w:val="auto"/>
                <w:sz w:val="18"/>
                <w:szCs w:val="18"/>
                <w:highlight w:val="none"/>
                <w:lang w:eastAsia="zh-CN" w:bidi="ar"/>
              </w:rPr>
              <w:t>推流增氧设备技术， 设施设备总功率</w:t>
            </w:r>
            <w:r>
              <w:rPr>
                <w:rStyle w:val="51"/>
                <w:rFonts w:hint="default" w:ascii="Times New Roman" w:hAnsi="Times New Roman"/>
                <w:color w:val="auto"/>
                <w:sz w:val="18"/>
                <w:szCs w:val="18"/>
                <w:highlight w:val="none"/>
                <w:lang w:bidi="ar"/>
              </w:rPr>
              <w:t>不低于70kw。</w:t>
            </w:r>
          </w:p>
        </w:tc>
        <w:tc>
          <w:tcPr>
            <w:tcW w:w="1138" w:type="pct"/>
            <w:shd w:val="clear" w:color="auto" w:fill="FFFFFF"/>
            <w:noWrap w:val="0"/>
            <w:tcMar>
              <w:top w:w="15" w:type="dxa"/>
              <w:left w:w="15" w:type="dxa"/>
              <w:right w:w="15" w:type="dxa"/>
            </w:tcMar>
            <w:vAlign w:val="center"/>
          </w:tcPr>
          <w:p>
            <w:pPr>
              <w:jc w:val="left"/>
              <w:rPr>
                <w:rStyle w:val="51"/>
                <w:rFonts w:hint="default" w:ascii="Times New Roman" w:hAnsi="Times New Roman"/>
                <w:b/>
                <w:bCs/>
                <w:color w:val="auto"/>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933"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4-6</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金家漕</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长丰河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金家漕小区</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386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7.33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2831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41"/>
                <w:rFonts w:ascii="Times New Roman" w:hAnsi="Times New Roman" w:cs="Times New Roman"/>
                <w:color w:val="auto"/>
                <w:sz w:val="18"/>
                <w:szCs w:val="18"/>
                <w:highlight w:val="none"/>
                <w:lang w:bidi="ar"/>
              </w:rPr>
              <w:t>设置1套</w:t>
            </w:r>
            <w:r>
              <w:rPr>
                <w:rStyle w:val="54"/>
                <w:color w:val="auto"/>
                <w:sz w:val="18"/>
                <w:szCs w:val="18"/>
                <w:highlight w:val="none"/>
                <w:lang w:bidi="ar"/>
              </w:rPr>
              <w:t>生态净化系统，处理能力不低于500</w:t>
            </w:r>
            <w:r>
              <w:rPr>
                <w:rStyle w:val="52"/>
                <w:rFonts w:hint="default" w:ascii="Times New Roman" w:hAnsi="Times New Roman" w:cs="Times New Roman"/>
                <w:color w:val="auto"/>
                <w:sz w:val="18"/>
                <w:szCs w:val="18"/>
                <w:highlight w:val="none"/>
                <w:lang w:bidi="ar"/>
              </w:rPr>
              <w:t>吨</w:t>
            </w:r>
            <w:r>
              <w:rPr>
                <w:rStyle w:val="54"/>
                <w:color w:val="auto"/>
                <w:sz w:val="18"/>
                <w:szCs w:val="18"/>
                <w:highlight w:val="none"/>
                <w:lang w:bidi="ar"/>
              </w:rPr>
              <w:t>/</w:t>
            </w:r>
            <w:r>
              <w:rPr>
                <w:rStyle w:val="52"/>
                <w:rFonts w:hint="default" w:ascii="Times New Roman" w:hAnsi="Times New Roman" w:cs="Times New Roman"/>
                <w:color w:val="auto"/>
                <w:sz w:val="18"/>
                <w:szCs w:val="18"/>
                <w:highlight w:val="none"/>
                <w:lang w:bidi="ar"/>
              </w:rPr>
              <w:t>天，</w:t>
            </w:r>
            <w:r>
              <w:rPr>
                <w:rStyle w:val="51"/>
                <w:rFonts w:hint="default" w:ascii="Times New Roman" w:hAnsi="Times New Roman"/>
                <w:color w:val="auto"/>
                <w:sz w:val="18"/>
                <w:szCs w:val="18"/>
                <w:highlight w:val="none"/>
                <w:lang w:bidi="ar"/>
              </w:rPr>
              <w:t>单独计入设施增支费</w:t>
            </w:r>
            <w:r>
              <w:rPr>
                <w:rStyle w:val="54"/>
                <w:rFonts w:hint="default"/>
                <w:color w:val="auto"/>
                <w:sz w:val="18"/>
                <w:szCs w:val="18"/>
                <w:highlight w:val="none"/>
                <w:lang w:bidi="ar"/>
              </w:rPr>
              <w:t>用</w:t>
            </w:r>
            <w:r>
              <w:rPr>
                <w:rStyle w:val="54"/>
                <w:rFonts w:hint="eastAsia"/>
                <w:color w:val="auto"/>
                <w:sz w:val="18"/>
                <w:szCs w:val="18"/>
                <w:highlight w:val="none"/>
                <w:lang w:val="en-US" w:eastAsia="zh-CN" w:bidi="ar"/>
              </w:rPr>
              <w:t>40000</w:t>
            </w:r>
            <w:r>
              <w:rPr>
                <w:rStyle w:val="54"/>
                <w:color w:val="auto"/>
                <w:sz w:val="18"/>
                <w:szCs w:val="18"/>
                <w:highlight w:val="none"/>
                <w:lang w:bidi="ar"/>
              </w:rPr>
              <w:t>元。</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设备总功率不低于2kw。</w:t>
            </w:r>
          </w:p>
        </w:tc>
        <w:tc>
          <w:tcPr>
            <w:tcW w:w="1138" w:type="pct"/>
            <w:shd w:val="clear" w:color="auto" w:fill="FFFFFF"/>
            <w:noWrap/>
            <w:tcMar>
              <w:top w:w="15" w:type="dxa"/>
              <w:left w:w="15" w:type="dxa"/>
              <w:right w:w="15" w:type="dxa"/>
            </w:tcMar>
            <w:vAlign w:val="center"/>
          </w:tcPr>
          <w:p>
            <w:pPr>
              <w:jc w:val="left"/>
              <w:rPr>
                <w:rStyle w:val="56"/>
                <w:rFonts w:hint="default" w:ascii="Times New Roman" w:hAnsi="Times New Roman"/>
                <w:color w:val="auto"/>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4-7</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邹家河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长丰河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卧彩河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1267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14.22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18020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41"/>
                <w:rFonts w:ascii="Times New Roman" w:hAnsi="Times New Roman" w:cs="Times New Roman"/>
                <w:color w:val="auto"/>
                <w:sz w:val="18"/>
                <w:szCs w:val="18"/>
                <w:highlight w:val="none"/>
                <w:lang w:bidi="ar"/>
              </w:rPr>
              <w:t>设置1套一体化设备，设备处理能力不低于1000吨/天；</w:t>
            </w:r>
            <w:r>
              <w:rPr>
                <w:rStyle w:val="51"/>
                <w:rFonts w:hint="default" w:ascii="Times New Roman" w:hAnsi="Times New Roman"/>
                <w:color w:val="auto"/>
                <w:sz w:val="18"/>
                <w:szCs w:val="18"/>
                <w:highlight w:val="none"/>
                <w:lang w:bidi="ar"/>
              </w:rPr>
              <w:t>单独计入设施增支费用</w:t>
            </w:r>
            <w:r>
              <w:rPr>
                <w:rStyle w:val="41"/>
                <w:rFonts w:hint="eastAsia" w:ascii="Times New Roman" w:hAnsi="Times New Roman" w:cs="Times New Roman"/>
                <w:i w:val="0"/>
                <w:color w:val="auto"/>
                <w:sz w:val="18"/>
                <w:szCs w:val="18"/>
                <w:highlight w:val="none"/>
                <w:lang w:val="en-US" w:eastAsia="zh-CN" w:bidi="ar"/>
              </w:rPr>
              <w:t>72000</w:t>
            </w:r>
            <w:r>
              <w:rPr>
                <w:rStyle w:val="41"/>
                <w:rFonts w:ascii="Times New Roman" w:hAnsi="Times New Roman" w:cs="Times New Roman"/>
                <w:i w:val="0"/>
                <w:color w:val="auto"/>
                <w:sz w:val="18"/>
                <w:szCs w:val="18"/>
                <w:highlight w:val="none"/>
                <w:lang w:bidi="ar"/>
              </w:rPr>
              <w:t>元</w:t>
            </w:r>
            <w:r>
              <w:rPr>
                <w:rFonts w:ascii="Times New Roman" w:hAnsi="Times New Roman"/>
                <w:color w:val="auto"/>
                <w:kern w:val="0"/>
                <w:sz w:val="18"/>
                <w:szCs w:val="18"/>
                <w:highlight w:val="none"/>
                <w:lang w:bidi="ar"/>
              </w:rPr>
              <w:t xml:space="preserve">。 </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41"/>
                <w:rFonts w:ascii="Times New Roman" w:hAnsi="Times New Roman" w:cs="Times New Roman"/>
                <w:color w:val="auto"/>
                <w:sz w:val="18"/>
                <w:szCs w:val="18"/>
                <w:highlight w:val="none"/>
                <w:lang w:bidi="ar"/>
              </w:rPr>
              <w:t>设备总功率不低于20kw。</w:t>
            </w:r>
          </w:p>
        </w:tc>
        <w:tc>
          <w:tcPr>
            <w:tcW w:w="1138" w:type="pct"/>
            <w:shd w:val="clear" w:color="auto" w:fill="FFFFFF"/>
            <w:noWrap/>
            <w:tcMar>
              <w:top w:w="15" w:type="dxa"/>
              <w:left w:w="15" w:type="dxa"/>
              <w:right w:w="15" w:type="dxa"/>
            </w:tcMar>
            <w:vAlign w:val="center"/>
          </w:tcPr>
          <w:p>
            <w:pPr>
              <w:jc w:val="left"/>
              <w:rPr>
                <w:rStyle w:val="56"/>
                <w:rFonts w:hint="default" w:ascii="Times New Roman" w:hAnsi="Times New Roman"/>
                <w:color w:val="auto"/>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4-8</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卧彩河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兴宁路</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宋家巷</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937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27.78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26034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41"/>
                <w:rFonts w:ascii="Times New Roman" w:hAnsi="Times New Roman" w:cs="Times New Roman"/>
                <w:color w:val="auto"/>
                <w:sz w:val="18"/>
                <w:szCs w:val="18"/>
                <w:highlight w:val="none"/>
                <w:lang w:bidi="ar"/>
              </w:rPr>
              <w:t>设备总功率不低于40kw。</w:t>
            </w:r>
          </w:p>
        </w:tc>
        <w:tc>
          <w:tcPr>
            <w:tcW w:w="1138" w:type="pct"/>
            <w:shd w:val="clear" w:color="auto" w:fill="FFFFFF"/>
            <w:noWrap w:val="0"/>
            <w:tcMar>
              <w:top w:w="15" w:type="dxa"/>
              <w:left w:w="15" w:type="dxa"/>
              <w:right w:w="15" w:type="dxa"/>
            </w:tcMar>
            <w:vAlign w:val="center"/>
          </w:tcPr>
          <w:p>
            <w:pPr>
              <w:jc w:val="left"/>
              <w:rPr>
                <w:rFonts w:ascii="Times New Roman" w:hAnsi="Times New Roman"/>
                <w:color w:val="auto"/>
                <w:kern w:val="0"/>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第四标段日常养护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6493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117250 </w:t>
            </w:r>
          </w:p>
        </w:tc>
        <w:tc>
          <w:tcPr>
            <w:tcW w:w="2886" w:type="pct"/>
            <w:gridSpan w:val="3"/>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Fonts w:hint="eastAsia" w:ascii="Times New Roman" w:hAnsi="Times New Roman"/>
                <w:b/>
                <w:color w:val="auto"/>
                <w:sz w:val="18"/>
                <w:szCs w:val="18"/>
                <w:highlight w:val="none"/>
                <w:lang w:val="en-US" w:eastAsia="zh-CN"/>
              </w:rPr>
              <w:t>第四</w:t>
            </w:r>
            <w:r>
              <w:rPr>
                <w:rFonts w:hint="eastAsia" w:ascii="Times New Roman" w:hAnsi="Times New Roman"/>
                <w:b/>
                <w:color w:val="auto"/>
                <w:sz w:val="18"/>
                <w:szCs w:val="18"/>
                <w:highlight w:val="none"/>
                <w:lang w:eastAsia="zh-CN"/>
              </w:rPr>
              <w:t>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ascii="Times New Roman" w:hAnsi="Times New Roman"/>
                <w:b/>
                <w:color w:val="auto"/>
                <w:kern w:val="0"/>
                <w:sz w:val="18"/>
                <w:szCs w:val="18"/>
                <w:highlight w:val="none"/>
                <w:lang w:bidi="ar"/>
              </w:rPr>
              <w:t>112000</w:t>
            </w:r>
            <w:r>
              <w:rPr>
                <w:rFonts w:hint="eastAsia" w:ascii="Times New Roman" w:hAnsi="Times New Roman"/>
                <w:b/>
                <w:color w:val="auto"/>
                <w:sz w:val="18"/>
                <w:szCs w:val="18"/>
                <w:highlight w:val="none"/>
                <w:lang w:eastAsia="zh-CN"/>
              </w:rPr>
              <w:t>元</w:t>
            </w:r>
            <w:r>
              <w:rPr>
                <w:rFonts w:hint="default" w:ascii="Times New Roman" w:hAnsi="Times New Roman"/>
                <w:b/>
                <w:color w:val="auto"/>
                <w:sz w:val="18"/>
                <w:szCs w:val="18"/>
                <w:highlight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4-9</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徐家漕</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应急</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漕底</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长丰河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121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10.73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1298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r>
              <w:rPr>
                <w:rFonts w:ascii="Times New Roman" w:hAnsi="Times New Roman"/>
                <w:color w:val="auto"/>
                <w:sz w:val="18"/>
                <w:szCs w:val="18"/>
                <w:highlight w:val="none"/>
              </w:rPr>
              <w:t>预防黑臭及控藻等应急技术。</w:t>
            </w:r>
          </w:p>
        </w:tc>
        <w:tc>
          <w:tcPr>
            <w:tcW w:w="113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底泥消毒与底泥改良技术。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4-10</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卧彩河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应急</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宋家巷</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奉化江（道士堰）</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370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27.79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10282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预防黑臭及控藻等应急技术。</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kern w:val="0"/>
                <w:sz w:val="18"/>
                <w:szCs w:val="18"/>
                <w:highlight w:val="none"/>
                <w:lang w:bidi="ar"/>
              </w:rPr>
            </w:pPr>
            <w:r>
              <w:rPr>
                <w:rStyle w:val="52"/>
                <w:rFonts w:hint="default" w:ascii="Times New Roman" w:hAnsi="Times New Roman" w:cs="Times New Roman"/>
                <w:color w:val="auto"/>
                <w:sz w:val="18"/>
                <w:szCs w:val="18"/>
                <w:highlight w:val="none"/>
                <w:lang w:bidi="ar"/>
              </w:rPr>
              <w:t>底泥消毒与底泥改良技术。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color w:val="auto"/>
                <w:sz w:val="18"/>
                <w:szCs w:val="18"/>
                <w:highlight w:val="none"/>
              </w:rPr>
            </w:pPr>
            <w:r>
              <w:rPr>
                <w:rFonts w:ascii="Times New Roman" w:hAnsi="Times New Roman"/>
                <w:b/>
                <w:color w:val="auto"/>
                <w:kern w:val="0"/>
                <w:sz w:val="18"/>
                <w:szCs w:val="18"/>
                <w:highlight w:val="none"/>
                <w:lang w:bidi="ar"/>
              </w:rPr>
              <w:t>第四标段应急养护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491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11580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18"/>
                <w:szCs w:val="18"/>
                <w:highlight w:val="none"/>
              </w:rPr>
            </w:pPr>
          </w:p>
        </w:tc>
        <w:tc>
          <w:tcPr>
            <w:tcW w:w="90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p>
        </w:tc>
        <w:tc>
          <w:tcPr>
            <w:tcW w:w="113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56"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Style w:val="47"/>
                <w:rFonts w:hint="default" w:ascii="Times New Roman" w:hAnsi="Times New Roman"/>
                <w:color w:val="auto"/>
                <w:sz w:val="18"/>
                <w:szCs w:val="18"/>
                <w:highlight w:val="none"/>
                <w:lang w:bidi="ar"/>
              </w:rPr>
              <w:t>第四标段合计养护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6984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128830 </w:t>
            </w:r>
          </w:p>
        </w:tc>
        <w:tc>
          <w:tcPr>
            <w:tcW w:w="2886" w:type="pct"/>
            <w:gridSpan w:val="3"/>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Fonts w:hint="eastAsia" w:ascii="Times New Roman" w:hAnsi="Times New Roman"/>
                <w:b/>
                <w:color w:val="auto"/>
                <w:sz w:val="18"/>
                <w:szCs w:val="18"/>
                <w:highlight w:val="none"/>
                <w:lang w:val="en-US" w:eastAsia="zh-CN"/>
              </w:rPr>
              <w:t>第四</w:t>
            </w:r>
            <w:r>
              <w:rPr>
                <w:rFonts w:hint="eastAsia" w:ascii="Times New Roman" w:hAnsi="Times New Roman"/>
                <w:b/>
                <w:color w:val="auto"/>
                <w:sz w:val="18"/>
                <w:szCs w:val="18"/>
                <w:highlight w:val="none"/>
                <w:lang w:eastAsia="zh-CN"/>
              </w:rPr>
              <w:t>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ascii="Times New Roman" w:hAnsi="Times New Roman"/>
                <w:b/>
                <w:color w:val="auto"/>
                <w:kern w:val="0"/>
                <w:sz w:val="18"/>
                <w:szCs w:val="18"/>
                <w:highlight w:val="none"/>
                <w:lang w:bidi="ar"/>
              </w:rPr>
              <w:t>112000</w:t>
            </w:r>
            <w:r>
              <w:rPr>
                <w:rFonts w:hint="eastAsia" w:ascii="Times New Roman" w:hAnsi="Times New Roman"/>
                <w:b/>
                <w:color w:val="auto"/>
                <w:sz w:val="18"/>
                <w:szCs w:val="18"/>
                <w:highlight w:val="none"/>
                <w:lang w:eastAsia="zh-CN"/>
              </w:rPr>
              <w:t>元</w:t>
            </w:r>
            <w:r>
              <w:rPr>
                <w:rFonts w:hint="eastAsia" w:ascii="Times New Roman" w:hAnsi="Times New Roman"/>
                <w:b/>
                <w:color w:val="auto"/>
                <w:sz w:val="18"/>
                <w:szCs w:val="18"/>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5000" w:type="pct"/>
            <w:gridSpan w:val="11"/>
            <w:shd w:val="clear" w:color="auto" w:fill="FFFFFF"/>
            <w:noWrap w:val="0"/>
            <w:tcMar>
              <w:top w:w="15" w:type="dxa"/>
              <w:left w:w="15" w:type="dxa"/>
              <w:right w:w="15" w:type="dxa"/>
            </w:tcMar>
            <w:vAlign w:val="center"/>
          </w:tcPr>
          <w:p>
            <w:pPr>
              <w:ind w:firstLine="361" w:firstLineChars="200"/>
              <w:jc w:val="left"/>
              <w:rPr>
                <w:rFonts w:hint="eastAsia" w:ascii="Times New Roman" w:hAnsi="Times New Roman"/>
                <w:b/>
                <w:color w:val="auto"/>
                <w:kern w:val="0"/>
                <w:sz w:val="18"/>
                <w:szCs w:val="18"/>
                <w:highlight w:val="none"/>
                <w:lang w:bidi="ar"/>
              </w:rPr>
            </w:pPr>
            <w:r>
              <w:rPr>
                <w:rFonts w:ascii="Times New Roman" w:hAnsi="Times New Roman"/>
                <w:b/>
                <w:color w:val="auto"/>
                <w:sz w:val="18"/>
                <w:szCs w:val="18"/>
                <w:highlight w:val="none"/>
              </w:rPr>
              <w:t>备注：</w:t>
            </w:r>
            <w:r>
              <w:rPr>
                <w:rFonts w:hint="eastAsia" w:ascii="Times New Roman" w:hAnsi="Times New Roman"/>
                <w:b/>
                <w:color w:val="auto"/>
                <w:sz w:val="18"/>
                <w:szCs w:val="18"/>
                <w:highlight w:val="none"/>
                <w:lang w:eastAsia="zh-CN"/>
              </w:rPr>
              <w:t>（1）本标段限定性技术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ascii="Times New Roman" w:hAnsi="Times New Roman"/>
                <w:b/>
                <w:color w:val="auto"/>
                <w:kern w:val="0"/>
                <w:sz w:val="18"/>
                <w:szCs w:val="18"/>
                <w:highlight w:val="none"/>
                <w:lang w:bidi="ar"/>
              </w:rPr>
              <w:t>112000</w:t>
            </w:r>
            <w:r>
              <w:rPr>
                <w:rFonts w:hint="eastAsia" w:ascii="Times New Roman" w:hAnsi="Times New Roman"/>
                <w:b/>
                <w:color w:val="auto"/>
                <w:sz w:val="18"/>
                <w:szCs w:val="18"/>
                <w:highlight w:val="none"/>
                <w:lang w:eastAsia="zh-CN"/>
              </w:rPr>
              <w:t>元，</w:t>
            </w:r>
            <w:r>
              <w:rPr>
                <w:rFonts w:hint="eastAsia" w:ascii="Times New Roman" w:hAnsi="Times New Roman"/>
                <w:b/>
                <w:color w:val="auto"/>
                <w:sz w:val="18"/>
                <w:szCs w:val="18"/>
                <w:highlight w:val="none"/>
                <w:lang w:val="en-US" w:eastAsia="zh-CN"/>
              </w:rPr>
              <w:t>包含在总费用中但并非规定设施投入的全部费用，不管因任何原因未实施安装的，则该部分费用按照中标下浮率等比例下浮后一次性扣除，针对所在河道的考核标准和方法不变</w:t>
            </w:r>
            <w:r>
              <w:rPr>
                <w:rFonts w:hint="default" w:ascii="Times New Roman" w:hAnsi="Times New Roman"/>
                <w:b/>
                <w:color w:val="auto"/>
                <w:sz w:val="18"/>
                <w:szCs w:val="18"/>
                <w:highlight w:val="none"/>
                <w:lang w:eastAsia="zh-CN"/>
              </w:rPr>
              <w:t>。</w:t>
            </w:r>
            <w:r>
              <w:rPr>
                <w:rStyle w:val="47"/>
                <w:rFonts w:hint="default" w:ascii="Times New Roman" w:hAnsi="Times New Roman"/>
                <w:color w:val="auto"/>
                <w:sz w:val="18"/>
                <w:szCs w:val="18"/>
                <w:highlight w:val="none"/>
                <w:lang w:bidi="ar"/>
              </w:rPr>
              <w:t>（2）长丰河（宁南路以西）目前由长丰属地自行养护，暂不养护。</w:t>
            </w:r>
            <w:r>
              <w:rPr>
                <w:rFonts w:hint="eastAsia" w:ascii="Times New Roman" w:hAnsi="Times New Roman"/>
                <w:b/>
                <w:color w:val="auto"/>
                <w:kern w:val="0"/>
                <w:sz w:val="18"/>
                <w:szCs w:val="18"/>
                <w:highlight w:val="none"/>
                <w:lang w:bidi="ar"/>
              </w:rPr>
              <w:t>（3）该标段推流增氧等设备及其它技术设施应符合宁波市、鄞州区等行业规范规定和要求。</w:t>
            </w:r>
          </w:p>
          <w:p>
            <w:pPr>
              <w:jc w:val="left"/>
              <w:rPr>
                <w:rStyle w:val="47"/>
                <w:rFonts w:hint="default" w:ascii="Times New Roman" w:hAnsi="Times New Roman"/>
                <w:color w:val="auto"/>
                <w:sz w:val="18"/>
                <w:szCs w:val="18"/>
                <w:highlight w:val="none"/>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5000" w:type="pct"/>
            <w:gridSpan w:val="11"/>
            <w:shd w:val="clear" w:color="auto" w:fill="FFFFFF"/>
            <w:noWrap w:val="0"/>
            <w:tcMar>
              <w:top w:w="15" w:type="dxa"/>
              <w:left w:w="15" w:type="dxa"/>
              <w:right w:w="15" w:type="dxa"/>
            </w:tcMar>
            <w:vAlign w:val="center"/>
          </w:tcPr>
          <w:p>
            <w:pPr>
              <w:jc w:val="left"/>
              <w:rPr>
                <w:rStyle w:val="51"/>
                <w:rFonts w:hint="default" w:ascii="Times New Roman" w:hAnsi="Times New Roman"/>
                <w:color w:val="auto"/>
                <w:sz w:val="18"/>
                <w:szCs w:val="18"/>
                <w:highlight w:val="none"/>
                <w:lang w:bidi="ar"/>
              </w:rPr>
            </w:pPr>
            <w:r>
              <w:rPr>
                <w:rStyle w:val="51"/>
                <w:rFonts w:hint="default" w:ascii="Times New Roman" w:hAnsi="Times New Roman"/>
                <w:color w:val="auto"/>
                <w:sz w:val="18"/>
                <w:szCs w:val="18"/>
                <w:highlight w:val="none"/>
                <w:lang w:bidi="ar"/>
              </w:rPr>
              <w:t xml:space="preserve">                                 </w:t>
            </w:r>
            <w:r>
              <w:rPr>
                <w:rStyle w:val="40"/>
                <w:rFonts w:hint="default" w:ascii="Times New Roman" w:hAnsi="Times New Roman" w:eastAsia="华文中宋"/>
                <w:color w:val="auto"/>
                <w:sz w:val="28"/>
                <w:szCs w:val="28"/>
                <w:highlight w:val="none"/>
                <w:lang w:bidi="ar"/>
              </w:rPr>
              <w:t xml:space="preserve">          </w:t>
            </w:r>
            <w:r>
              <w:rPr>
                <w:rStyle w:val="40"/>
                <w:rFonts w:hint="default" w:ascii="Times New Roman" w:hAnsi="Times New Roman" w:eastAsia="华文中宋"/>
                <w:color w:val="auto"/>
                <w:sz w:val="30"/>
                <w:szCs w:val="30"/>
                <w:highlight w:val="none"/>
                <w:lang w:bidi="ar"/>
              </w:rPr>
              <w:t>第五标段水质日常养护概况与技术策略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序号</w:t>
            </w:r>
          </w:p>
        </w:tc>
        <w:tc>
          <w:tcPr>
            <w:tcW w:w="305"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河道</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名称</w:t>
            </w:r>
          </w:p>
        </w:tc>
        <w:tc>
          <w:tcPr>
            <w:tcW w:w="258" w:type="pct"/>
            <w:shd w:val="clear" w:color="auto" w:fill="FFFFFF"/>
            <w:noWrap w:val="0"/>
            <w:tcMar>
              <w:top w:w="15" w:type="dxa"/>
              <w:left w:w="15" w:type="dxa"/>
              <w:right w:w="15" w:type="dxa"/>
            </w:tcMar>
            <w:vAlign w:val="center"/>
          </w:tcPr>
          <w:p>
            <w:pPr>
              <w:widowControl/>
              <w:jc w:val="center"/>
              <w:textAlignment w:val="center"/>
              <w:rPr>
                <w:rStyle w:val="57"/>
                <w:b/>
                <w:bCs/>
                <w:color w:val="auto"/>
                <w:sz w:val="21"/>
                <w:szCs w:val="21"/>
                <w:highlight w:val="none"/>
                <w:lang w:bidi="ar"/>
              </w:rPr>
            </w:pPr>
            <w:r>
              <w:rPr>
                <w:rStyle w:val="57"/>
                <w:b/>
                <w:bCs/>
                <w:color w:val="auto"/>
                <w:sz w:val="21"/>
                <w:szCs w:val="21"/>
                <w:highlight w:val="none"/>
                <w:lang w:bidi="ar"/>
              </w:rPr>
              <w:t>考核</w:t>
            </w:r>
          </w:p>
          <w:p>
            <w:pPr>
              <w:widowControl/>
              <w:jc w:val="center"/>
              <w:textAlignment w:val="center"/>
              <w:rPr>
                <w:rFonts w:ascii="Times New Roman" w:hAnsi="Times New Roman"/>
                <w:b/>
                <w:bCs/>
                <w:color w:val="auto"/>
                <w:sz w:val="21"/>
                <w:szCs w:val="21"/>
                <w:highlight w:val="none"/>
              </w:rPr>
            </w:pPr>
            <w:r>
              <w:rPr>
                <w:rStyle w:val="57"/>
                <w:b/>
                <w:bCs/>
                <w:color w:val="auto"/>
                <w:sz w:val="21"/>
                <w:szCs w:val="21"/>
                <w:highlight w:val="none"/>
                <w:lang w:bidi="ar"/>
              </w:rPr>
              <w:t>等级</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起点</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终点</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长度（</w:t>
            </w:r>
            <w:r>
              <w:rPr>
                <w:rStyle w:val="50"/>
                <w:b/>
                <w:bCs/>
                <w:color w:val="auto"/>
                <w:sz w:val="21"/>
                <w:szCs w:val="21"/>
                <w:highlight w:val="none"/>
                <w:lang w:bidi="ar"/>
              </w:rPr>
              <w:t>m</w:t>
            </w:r>
            <w:r>
              <w:rPr>
                <w:rStyle w:val="56"/>
                <w:rFonts w:hint="default" w:ascii="Times New Roman" w:hAnsi="Times New Roman"/>
                <w:b/>
                <w:bCs/>
                <w:color w:val="auto"/>
                <w:sz w:val="21"/>
                <w:szCs w:val="21"/>
                <w:highlight w:val="none"/>
                <w:lang w:bidi="ar"/>
              </w:rPr>
              <w:t>）</w:t>
            </w:r>
          </w:p>
        </w:tc>
        <w:tc>
          <w:tcPr>
            <w:tcW w:w="190"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宽度</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w:t>
            </w:r>
            <w:r>
              <w:rPr>
                <w:rStyle w:val="50"/>
                <w:b/>
                <w:bCs/>
                <w:color w:val="auto"/>
                <w:sz w:val="21"/>
                <w:szCs w:val="21"/>
                <w:highlight w:val="none"/>
                <w:lang w:bidi="ar"/>
              </w:rPr>
              <w:t>m</w:t>
            </w:r>
            <w:r>
              <w:rPr>
                <w:rStyle w:val="56"/>
                <w:rFonts w:hint="default" w:ascii="Times New Roman" w:hAnsi="Times New Roman"/>
                <w:b/>
                <w:bCs/>
                <w:color w:val="auto"/>
                <w:sz w:val="21"/>
                <w:szCs w:val="21"/>
                <w:highlight w:val="none"/>
                <w:lang w:bidi="ar"/>
              </w:rPr>
              <w:t>）</w:t>
            </w:r>
          </w:p>
        </w:tc>
        <w:tc>
          <w:tcPr>
            <w:tcW w:w="331"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面积</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w:t>
            </w:r>
            <w:r>
              <w:rPr>
                <w:rStyle w:val="50"/>
                <w:b/>
                <w:bCs/>
                <w:color w:val="auto"/>
                <w:sz w:val="21"/>
                <w:szCs w:val="21"/>
                <w:highlight w:val="none"/>
                <w:lang w:bidi="ar"/>
              </w:rPr>
              <w:t>m</w:t>
            </w:r>
            <w:r>
              <w:rPr>
                <w:rStyle w:val="58"/>
                <w:b/>
                <w:bCs/>
                <w:color w:val="auto"/>
                <w:sz w:val="21"/>
                <w:szCs w:val="21"/>
                <w:highlight w:val="none"/>
                <w:lang w:bidi="ar"/>
              </w:rPr>
              <w:t>2</w:t>
            </w:r>
            <w:r>
              <w:rPr>
                <w:rStyle w:val="56"/>
                <w:rFonts w:hint="default" w:ascii="Times New Roman" w:hAnsi="Times New Roman"/>
                <w:b/>
                <w:bCs/>
                <w:color w:val="auto"/>
                <w:sz w:val="21"/>
                <w:szCs w:val="21"/>
                <w:highlight w:val="none"/>
                <w:lang w:bidi="ar"/>
              </w:rPr>
              <w:t>）</w:t>
            </w:r>
          </w:p>
        </w:tc>
        <w:tc>
          <w:tcPr>
            <w:tcW w:w="839" w:type="pct"/>
            <w:shd w:val="clear" w:color="auto" w:fill="FFFFFF"/>
            <w:noWrap w:val="0"/>
            <w:tcMar>
              <w:top w:w="15" w:type="dxa"/>
              <w:left w:w="15" w:type="dxa"/>
              <w:right w:w="15" w:type="dxa"/>
            </w:tcMar>
            <w:vAlign w:val="center"/>
          </w:tcPr>
          <w:p>
            <w:pPr>
              <w:widowControl/>
              <w:jc w:val="center"/>
              <w:textAlignment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 xml:space="preserve">限定性技术① </w:t>
            </w:r>
          </w:p>
        </w:tc>
        <w:tc>
          <w:tcPr>
            <w:tcW w:w="908" w:type="pct"/>
            <w:shd w:val="clear" w:color="auto" w:fill="FFFFFF"/>
            <w:noWrap w:val="0"/>
            <w:tcMar>
              <w:top w:w="15" w:type="dxa"/>
              <w:left w:w="15" w:type="dxa"/>
              <w:right w:w="15" w:type="dxa"/>
            </w:tcMar>
            <w:vAlign w:val="center"/>
          </w:tcPr>
          <w:p>
            <w:pPr>
              <w:widowControl/>
              <w:jc w:val="center"/>
              <w:textAlignment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限定性技术②</w:t>
            </w:r>
          </w:p>
        </w:tc>
        <w:tc>
          <w:tcPr>
            <w:tcW w:w="1138"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Fonts w:ascii="Times New Roman" w:hAnsi="Times New Roman"/>
                <w:b/>
                <w:bCs/>
                <w:color w:val="auto"/>
                <w:sz w:val="21"/>
                <w:szCs w:val="21"/>
                <w:highlight w:val="none"/>
              </w:rPr>
              <w:t>非限定性技术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5</w:t>
            </w:r>
            <w:r>
              <w:rPr>
                <w:rFonts w:ascii="Times New Roman" w:hAnsi="Times New Roman"/>
                <w:color w:val="auto"/>
                <w:kern w:val="0"/>
                <w:sz w:val="18"/>
                <w:szCs w:val="18"/>
                <w:highlight w:val="none"/>
                <w:lang w:bidi="ar"/>
              </w:rPr>
              <w:t>-1</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仇毕河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清水</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铁路旁</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229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3.96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907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沉水植物构建技术，植物覆盖率不低于60%。</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底泥改良技术、旁路生物过滤技术、生物接触氧化技术。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5</w:t>
            </w:r>
            <w:r>
              <w:rPr>
                <w:rFonts w:ascii="Times New Roman" w:hAnsi="Times New Roman"/>
                <w:color w:val="auto"/>
                <w:kern w:val="0"/>
                <w:sz w:val="18"/>
                <w:szCs w:val="18"/>
                <w:highlight w:val="none"/>
                <w:lang w:bidi="ar"/>
              </w:rPr>
              <w:t>-2</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毕家河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清水</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毕家村</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中塘河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746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17.12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12770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沉水植物构建技术，植物覆盖率不低于60%。</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底泥改良技术、旁路生物过滤技术、生物接触氧化技术。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5</w:t>
            </w:r>
            <w:r>
              <w:rPr>
                <w:rFonts w:ascii="Times New Roman" w:hAnsi="Times New Roman"/>
                <w:color w:val="auto"/>
                <w:kern w:val="0"/>
                <w:sz w:val="18"/>
                <w:szCs w:val="18"/>
                <w:highlight w:val="none"/>
                <w:lang w:bidi="ar"/>
              </w:rPr>
              <w:t>-3</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仇家漕</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清水</w:t>
            </w:r>
          </w:p>
        </w:tc>
        <w:tc>
          <w:tcPr>
            <w:tcW w:w="307"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color w:val="auto"/>
                <w:sz w:val="18"/>
                <w:szCs w:val="18"/>
                <w:highlight w:val="none"/>
                <w:lang w:bidi="ar"/>
              </w:rPr>
            </w:pPr>
            <w:r>
              <w:rPr>
                <w:rStyle w:val="56"/>
                <w:rFonts w:hint="default" w:ascii="Times New Roman" w:hAnsi="Times New Roman"/>
                <w:color w:val="auto"/>
                <w:sz w:val="18"/>
                <w:szCs w:val="18"/>
                <w:highlight w:val="none"/>
                <w:lang w:bidi="ar"/>
              </w:rPr>
              <w:t>仇毕河</w:t>
            </w:r>
          </w:p>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支流</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314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20.14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6323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41"/>
                <w:rFonts w:ascii="Times New Roman" w:hAnsi="Times New Roman" w:cs="Times New Roman"/>
                <w:color w:val="auto"/>
                <w:sz w:val="18"/>
                <w:szCs w:val="18"/>
                <w:highlight w:val="none"/>
                <w:lang w:bidi="ar"/>
              </w:rPr>
              <w:t>设置1套一体化设备，设备处理能力不低于</w:t>
            </w:r>
            <w:r>
              <w:rPr>
                <w:rStyle w:val="54"/>
                <w:color w:val="auto"/>
                <w:sz w:val="18"/>
                <w:szCs w:val="18"/>
                <w:highlight w:val="none"/>
                <w:lang w:bidi="ar"/>
              </w:rPr>
              <w:t>500</w:t>
            </w:r>
            <w:r>
              <w:rPr>
                <w:rStyle w:val="41"/>
                <w:rFonts w:ascii="Times New Roman" w:hAnsi="Times New Roman" w:cs="Times New Roman"/>
                <w:color w:val="auto"/>
                <w:sz w:val="18"/>
                <w:szCs w:val="18"/>
                <w:highlight w:val="none"/>
                <w:lang w:bidi="ar"/>
              </w:rPr>
              <w:t>吨</w:t>
            </w:r>
            <w:r>
              <w:rPr>
                <w:rStyle w:val="54"/>
                <w:color w:val="auto"/>
                <w:sz w:val="18"/>
                <w:szCs w:val="18"/>
                <w:highlight w:val="none"/>
                <w:lang w:bidi="ar"/>
              </w:rPr>
              <w:t>/</w:t>
            </w:r>
            <w:r>
              <w:rPr>
                <w:rStyle w:val="41"/>
                <w:rFonts w:ascii="Times New Roman" w:hAnsi="Times New Roman" w:cs="Times New Roman"/>
                <w:color w:val="auto"/>
                <w:sz w:val="18"/>
                <w:szCs w:val="18"/>
                <w:highlight w:val="none"/>
                <w:lang w:bidi="ar"/>
              </w:rPr>
              <w:t>天，</w:t>
            </w:r>
            <w:r>
              <w:rPr>
                <w:rStyle w:val="51"/>
                <w:rFonts w:hint="default" w:ascii="Times New Roman" w:hAnsi="Times New Roman"/>
                <w:color w:val="auto"/>
                <w:sz w:val="18"/>
                <w:szCs w:val="18"/>
                <w:highlight w:val="none"/>
                <w:lang w:bidi="ar"/>
              </w:rPr>
              <w:t>单独计入设施增支费用</w:t>
            </w:r>
            <w:r>
              <w:rPr>
                <w:rFonts w:ascii="Times New Roman" w:hAnsi="Times New Roman"/>
                <w:color w:val="auto"/>
                <w:kern w:val="0"/>
                <w:sz w:val="18"/>
                <w:szCs w:val="18"/>
                <w:highlight w:val="none"/>
                <w:lang w:bidi="ar"/>
              </w:rPr>
              <w:t>45000元。</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设备总功率不低于5kw。</w:t>
            </w:r>
          </w:p>
        </w:tc>
        <w:tc>
          <w:tcPr>
            <w:tcW w:w="1138" w:type="pct"/>
            <w:shd w:val="clear" w:color="auto" w:fill="FFFFFF"/>
            <w:noWrap/>
            <w:tcMar>
              <w:top w:w="15" w:type="dxa"/>
              <w:left w:w="15" w:type="dxa"/>
              <w:right w:w="15" w:type="dxa"/>
            </w:tcMar>
            <w:vAlign w:val="center"/>
          </w:tcPr>
          <w:p>
            <w:pPr>
              <w:widowControl/>
              <w:jc w:val="left"/>
              <w:textAlignment w:val="center"/>
              <w:rPr>
                <w:rStyle w:val="56"/>
                <w:rFonts w:hint="default" w:ascii="Times New Roman" w:hAnsi="Times New Roman"/>
                <w:color w:val="auto"/>
                <w:sz w:val="18"/>
                <w:szCs w:val="18"/>
                <w:highlight w:val="none"/>
                <w:lang w:bidi="ar"/>
              </w:rPr>
            </w:pPr>
            <w:r>
              <w:rPr>
                <w:rStyle w:val="51"/>
                <w:rFonts w:hint="default" w:ascii="Times New Roman" w:hAnsi="Times New Roman"/>
                <w:color w:val="auto"/>
                <w:sz w:val="18"/>
                <w:szCs w:val="18"/>
                <w:highlight w:val="none"/>
                <w:lang w:bidi="ar"/>
              </w:rPr>
              <w:t>沉水植物构建技术，覆盖率不低于60%；底泥改良技术、旁路生物过滤技术、生物接触氧化技术。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5</w:t>
            </w:r>
            <w:r>
              <w:rPr>
                <w:rFonts w:ascii="Times New Roman" w:hAnsi="Times New Roman"/>
                <w:color w:val="auto"/>
                <w:kern w:val="0"/>
                <w:sz w:val="18"/>
                <w:szCs w:val="18"/>
                <w:highlight w:val="none"/>
                <w:lang w:bidi="ar"/>
              </w:rPr>
              <w:t>-4</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前塘河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新河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永达路</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1566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31.29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49005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生物净化设施技术、推流增氧设备技术，</w:t>
            </w:r>
            <w:r>
              <w:rPr>
                <w:rStyle w:val="51"/>
                <w:rFonts w:hint="default" w:ascii="Times New Roman" w:hAnsi="Times New Roman"/>
                <w:color w:val="auto"/>
                <w:sz w:val="18"/>
                <w:szCs w:val="18"/>
                <w:highlight w:val="none"/>
                <w:lang w:bidi="ar"/>
              </w:rPr>
              <w:t>设施设备总功率不低于70kw。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5</w:t>
            </w:r>
            <w:r>
              <w:rPr>
                <w:rFonts w:ascii="Times New Roman" w:hAnsi="Times New Roman"/>
                <w:color w:val="auto"/>
                <w:kern w:val="0"/>
                <w:sz w:val="18"/>
                <w:szCs w:val="18"/>
                <w:highlight w:val="none"/>
                <w:lang w:bidi="ar"/>
              </w:rPr>
              <w:t>-5</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大朱家河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长丰河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前塘河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1831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9.04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16556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生物净化设施技术、推流增氧设备技术，</w:t>
            </w:r>
            <w:r>
              <w:rPr>
                <w:rStyle w:val="51"/>
                <w:rFonts w:hint="default" w:ascii="Times New Roman" w:hAnsi="Times New Roman"/>
                <w:color w:val="auto"/>
                <w:sz w:val="18"/>
                <w:szCs w:val="18"/>
                <w:highlight w:val="none"/>
                <w:lang w:bidi="ar"/>
              </w:rPr>
              <w:t>设施设备总功率不低于30kw。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5</w:t>
            </w:r>
            <w:r>
              <w:rPr>
                <w:rFonts w:ascii="Times New Roman" w:hAnsi="Times New Roman"/>
                <w:color w:val="auto"/>
                <w:kern w:val="0"/>
                <w:sz w:val="18"/>
                <w:szCs w:val="18"/>
                <w:highlight w:val="none"/>
                <w:lang w:bidi="ar"/>
              </w:rPr>
              <w:t>-6</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黄鹂河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黄鹂新村内</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196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9.65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1892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41"/>
                <w:rFonts w:ascii="Times New Roman" w:hAnsi="Times New Roman" w:cs="Times New Roman"/>
                <w:color w:val="auto"/>
                <w:sz w:val="18"/>
                <w:szCs w:val="18"/>
                <w:highlight w:val="none"/>
                <w:lang w:bidi="ar"/>
              </w:rPr>
              <w:t>设置1套一体化设备，设备处理能力不低于</w:t>
            </w:r>
            <w:r>
              <w:rPr>
                <w:rStyle w:val="54"/>
                <w:color w:val="auto"/>
                <w:sz w:val="18"/>
                <w:szCs w:val="18"/>
                <w:highlight w:val="none"/>
                <w:lang w:bidi="ar"/>
              </w:rPr>
              <w:t>500</w:t>
            </w:r>
            <w:r>
              <w:rPr>
                <w:rStyle w:val="41"/>
                <w:rFonts w:ascii="Times New Roman" w:hAnsi="Times New Roman" w:cs="Times New Roman"/>
                <w:color w:val="auto"/>
                <w:sz w:val="18"/>
                <w:szCs w:val="18"/>
                <w:highlight w:val="none"/>
                <w:lang w:bidi="ar"/>
              </w:rPr>
              <w:t>吨</w:t>
            </w:r>
            <w:r>
              <w:rPr>
                <w:rStyle w:val="54"/>
                <w:color w:val="auto"/>
                <w:sz w:val="18"/>
                <w:szCs w:val="18"/>
                <w:highlight w:val="none"/>
                <w:lang w:bidi="ar"/>
              </w:rPr>
              <w:t>/</w:t>
            </w:r>
            <w:r>
              <w:rPr>
                <w:rStyle w:val="41"/>
                <w:rFonts w:ascii="Times New Roman" w:hAnsi="Times New Roman" w:cs="Times New Roman"/>
                <w:color w:val="auto"/>
                <w:sz w:val="18"/>
                <w:szCs w:val="18"/>
                <w:highlight w:val="none"/>
                <w:lang w:bidi="ar"/>
              </w:rPr>
              <w:t>天</w:t>
            </w:r>
            <w:r>
              <w:rPr>
                <w:rStyle w:val="51"/>
                <w:rFonts w:hint="default" w:ascii="Times New Roman" w:hAnsi="Times New Roman"/>
                <w:color w:val="auto"/>
                <w:sz w:val="18"/>
                <w:szCs w:val="18"/>
                <w:highlight w:val="none"/>
                <w:lang w:bidi="ar"/>
              </w:rPr>
              <w:t>，单独计入设施增支费用</w:t>
            </w:r>
            <w:r>
              <w:rPr>
                <w:rFonts w:ascii="Times New Roman" w:hAnsi="Times New Roman"/>
                <w:color w:val="auto"/>
                <w:kern w:val="0"/>
                <w:sz w:val="18"/>
                <w:szCs w:val="18"/>
                <w:highlight w:val="none"/>
                <w:lang w:bidi="ar"/>
              </w:rPr>
              <w:t>45000元。</w:t>
            </w:r>
          </w:p>
        </w:tc>
        <w:tc>
          <w:tcPr>
            <w:tcW w:w="908" w:type="pct"/>
            <w:shd w:val="clear" w:color="auto" w:fill="FFFFFF"/>
            <w:noWrap/>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w:t>
            </w:r>
          </w:p>
        </w:tc>
        <w:tc>
          <w:tcPr>
            <w:tcW w:w="1138" w:type="pct"/>
            <w:shd w:val="clear" w:color="auto" w:fill="FFFFFF"/>
            <w:noWrap/>
            <w:tcMar>
              <w:top w:w="15" w:type="dxa"/>
              <w:left w:w="15" w:type="dxa"/>
              <w:right w:w="15" w:type="dxa"/>
            </w:tcMar>
            <w:vAlign w:val="center"/>
          </w:tcPr>
          <w:p>
            <w:pPr>
              <w:jc w:val="left"/>
              <w:rPr>
                <w:rStyle w:val="56"/>
                <w:rFonts w:hint="default" w:ascii="Times New Roman" w:hAnsi="Times New Roman"/>
                <w:color w:val="auto"/>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5</w:t>
            </w:r>
            <w:r>
              <w:rPr>
                <w:rFonts w:ascii="Times New Roman" w:hAnsi="Times New Roman"/>
                <w:color w:val="auto"/>
                <w:kern w:val="0"/>
                <w:sz w:val="18"/>
                <w:szCs w:val="18"/>
                <w:highlight w:val="none"/>
                <w:lang w:bidi="ar"/>
              </w:rPr>
              <w:t>-7</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游龙河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自来水公司</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前塘河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1860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23.41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43537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生物净化设施技术、推流增氧设备技术，</w:t>
            </w:r>
            <w:r>
              <w:rPr>
                <w:rStyle w:val="51"/>
                <w:rFonts w:hint="default" w:ascii="Times New Roman" w:hAnsi="Times New Roman"/>
                <w:color w:val="auto"/>
                <w:sz w:val="18"/>
                <w:szCs w:val="18"/>
                <w:highlight w:val="none"/>
                <w:lang w:bidi="ar"/>
              </w:rPr>
              <w:t>设施设备总功率不低于80kw。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5</w:t>
            </w:r>
            <w:r>
              <w:rPr>
                <w:rFonts w:ascii="Times New Roman" w:hAnsi="Times New Roman"/>
                <w:color w:val="auto"/>
                <w:kern w:val="0"/>
                <w:sz w:val="18"/>
                <w:szCs w:val="18"/>
                <w:highlight w:val="none"/>
                <w:lang w:bidi="ar"/>
              </w:rPr>
              <w:t>-8</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童乐河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游龙河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中塘河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1454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10.09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14664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设置1套一体化设备，设备处理能力不低于1000吨/天，单独计入设施增支费用</w:t>
            </w:r>
            <w:r>
              <w:rPr>
                <w:rFonts w:ascii="Times New Roman" w:hAnsi="Times New Roman"/>
                <w:color w:val="auto"/>
                <w:kern w:val="0"/>
                <w:sz w:val="18"/>
                <w:szCs w:val="18"/>
                <w:highlight w:val="none"/>
                <w:lang w:bidi="ar"/>
              </w:rPr>
              <w:t xml:space="preserve">72000元。 </w:t>
            </w:r>
          </w:p>
        </w:tc>
        <w:tc>
          <w:tcPr>
            <w:tcW w:w="90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设备总功率不低于15kw。</w:t>
            </w:r>
          </w:p>
        </w:tc>
        <w:tc>
          <w:tcPr>
            <w:tcW w:w="1138" w:type="pct"/>
            <w:shd w:val="clear" w:color="auto" w:fill="FFFFFF"/>
            <w:noWrap w:val="0"/>
            <w:tcMar>
              <w:top w:w="15" w:type="dxa"/>
              <w:left w:w="15" w:type="dxa"/>
              <w:right w:w="15" w:type="dxa"/>
            </w:tcMar>
            <w:vAlign w:val="center"/>
          </w:tcPr>
          <w:p>
            <w:pPr>
              <w:jc w:val="left"/>
              <w:rPr>
                <w:rStyle w:val="51"/>
                <w:rFonts w:hint="default" w:ascii="Times New Roman" w:hAnsi="Times New Roman"/>
                <w:color w:val="auto"/>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Style w:val="47"/>
                <w:rFonts w:hint="default" w:ascii="Times New Roman" w:hAnsi="Times New Roman"/>
                <w:color w:val="auto"/>
                <w:sz w:val="18"/>
                <w:szCs w:val="18"/>
                <w:highlight w:val="none"/>
                <w:lang w:bidi="ar"/>
              </w:rPr>
              <w:t>第五标段日常养护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8196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145654 </w:t>
            </w:r>
          </w:p>
        </w:tc>
        <w:tc>
          <w:tcPr>
            <w:tcW w:w="2886" w:type="pct"/>
            <w:gridSpan w:val="3"/>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Fonts w:hint="eastAsia" w:ascii="Times New Roman" w:hAnsi="Times New Roman"/>
                <w:b/>
                <w:color w:val="auto"/>
                <w:sz w:val="18"/>
                <w:szCs w:val="18"/>
                <w:highlight w:val="none"/>
                <w:lang w:val="en-US" w:eastAsia="zh-CN"/>
              </w:rPr>
              <w:t>第五</w:t>
            </w:r>
            <w:r>
              <w:rPr>
                <w:rFonts w:hint="eastAsia" w:ascii="Times New Roman" w:hAnsi="Times New Roman"/>
                <w:b/>
                <w:color w:val="auto"/>
                <w:sz w:val="18"/>
                <w:szCs w:val="18"/>
                <w:highlight w:val="none"/>
                <w:lang w:eastAsia="zh-CN"/>
              </w:rPr>
              <w:t>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Style w:val="47"/>
                <w:rFonts w:hint="default" w:ascii="Times New Roman" w:hAnsi="Times New Roman"/>
                <w:color w:val="auto"/>
                <w:sz w:val="18"/>
                <w:szCs w:val="18"/>
                <w:highlight w:val="none"/>
                <w:lang w:bidi="ar"/>
              </w:rPr>
              <w:t>162000</w:t>
            </w:r>
            <w:r>
              <w:rPr>
                <w:rFonts w:hint="eastAsia" w:ascii="Times New Roman" w:hAnsi="Times New Roman"/>
                <w:b/>
                <w:color w:val="auto"/>
                <w:sz w:val="18"/>
                <w:szCs w:val="18"/>
                <w:highlight w:val="none"/>
                <w:lang w:eastAsia="zh-CN"/>
              </w:rPr>
              <w:t>元</w:t>
            </w:r>
            <w:r>
              <w:rPr>
                <w:rFonts w:hint="default" w:ascii="Times New Roman" w:hAnsi="Times New Roman"/>
                <w:b/>
                <w:color w:val="auto"/>
                <w:sz w:val="18"/>
                <w:szCs w:val="18"/>
                <w:highlight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5</w:t>
            </w:r>
            <w:r>
              <w:rPr>
                <w:rFonts w:ascii="Times New Roman" w:hAnsi="Times New Roman"/>
                <w:color w:val="auto"/>
                <w:kern w:val="0"/>
                <w:sz w:val="18"/>
                <w:szCs w:val="18"/>
                <w:highlight w:val="none"/>
                <w:lang w:bidi="ar"/>
              </w:rPr>
              <w:t>-9</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前塘河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应急</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大洋江</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永达路</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2741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37.44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102627.05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b/>
                <w:bCs/>
                <w:color w:val="auto"/>
                <w:sz w:val="18"/>
                <w:szCs w:val="18"/>
                <w:highlight w:val="none"/>
              </w:rPr>
            </w:pPr>
            <w:r>
              <w:rPr>
                <w:rFonts w:ascii="Times New Roman" w:hAnsi="Times New Roman"/>
                <w:color w:val="auto"/>
                <w:sz w:val="18"/>
                <w:szCs w:val="18"/>
                <w:highlight w:val="none"/>
              </w:rPr>
              <w:t>预防黑臭及控藻等应急技术。</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kern w:val="0"/>
                <w:sz w:val="18"/>
                <w:szCs w:val="18"/>
                <w:highlight w:val="none"/>
                <w:lang w:bidi="ar"/>
              </w:rPr>
            </w:pPr>
            <w:r>
              <w:rPr>
                <w:rStyle w:val="52"/>
                <w:rFonts w:hint="default" w:ascii="Times New Roman" w:hAnsi="Times New Roman" w:cs="Times New Roman"/>
                <w:color w:val="auto"/>
                <w:sz w:val="18"/>
                <w:szCs w:val="18"/>
                <w:highlight w:val="none"/>
                <w:lang w:bidi="ar"/>
              </w:rPr>
              <w:t>底泥消毒与底泥改良技术。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color w:val="auto"/>
                <w:sz w:val="18"/>
                <w:szCs w:val="18"/>
                <w:highlight w:val="none"/>
              </w:rPr>
            </w:pPr>
            <w:r>
              <w:rPr>
                <w:rStyle w:val="47"/>
                <w:rFonts w:hint="default" w:ascii="Times New Roman" w:hAnsi="Times New Roman"/>
                <w:color w:val="auto"/>
                <w:sz w:val="18"/>
                <w:szCs w:val="18"/>
                <w:highlight w:val="none"/>
                <w:lang w:bidi="ar"/>
              </w:rPr>
              <w:t>第五标段</w:t>
            </w:r>
            <w:r>
              <w:rPr>
                <w:rFonts w:ascii="Times New Roman" w:hAnsi="Times New Roman"/>
                <w:b/>
                <w:color w:val="auto"/>
                <w:kern w:val="0"/>
                <w:sz w:val="18"/>
                <w:szCs w:val="18"/>
                <w:highlight w:val="none"/>
                <w:lang w:bidi="ar"/>
              </w:rPr>
              <w:t>应急养护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2741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102627.05 </w:t>
            </w:r>
          </w:p>
        </w:tc>
        <w:tc>
          <w:tcPr>
            <w:tcW w:w="839" w:type="pct"/>
            <w:shd w:val="clear" w:color="auto" w:fill="FFFFFF"/>
            <w:noWrap w:val="0"/>
            <w:tcMar>
              <w:top w:w="15" w:type="dxa"/>
              <w:left w:w="15" w:type="dxa"/>
              <w:right w:w="15" w:type="dxa"/>
            </w:tcMar>
            <w:vAlign w:val="center"/>
          </w:tcPr>
          <w:p>
            <w:pPr>
              <w:jc w:val="center"/>
              <w:rPr>
                <w:rFonts w:ascii="Times New Roman" w:hAnsi="Times New Roman"/>
                <w:color w:val="auto"/>
                <w:sz w:val="18"/>
                <w:szCs w:val="18"/>
                <w:highlight w:val="none"/>
              </w:rPr>
            </w:pP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tcMar>
              <w:top w:w="15" w:type="dxa"/>
              <w:left w:w="15" w:type="dxa"/>
              <w:right w:w="15" w:type="dxa"/>
            </w:tcMar>
            <w:vAlign w:val="center"/>
          </w:tcPr>
          <w:p>
            <w:pPr>
              <w:jc w:val="center"/>
              <w:rPr>
                <w:rFonts w:ascii="Times New Roman" w:hAnsi="Times New Roman"/>
                <w:b/>
                <w:color w:val="auto"/>
                <w:sz w:val="18"/>
                <w:szCs w:val="18"/>
                <w:highlight w:val="none"/>
              </w:rPr>
            </w:pPr>
            <w:r>
              <w:rPr>
                <w:rStyle w:val="47"/>
                <w:rFonts w:hint="default" w:ascii="Times New Roman" w:hAnsi="Times New Roman"/>
                <w:color w:val="auto"/>
                <w:sz w:val="18"/>
                <w:szCs w:val="18"/>
                <w:highlight w:val="none"/>
                <w:lang w:bidi="ar"/>
              </w:rPr>
              <w:t>第五标段合计养护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10937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248281.05 </w:t>
            </w:r>
          </w:p>
        </w:tc>
        <w:tc>
          <w:tcPr>
            <w:tcW w:w="2886" w:type="pct"/>
            <w:gridSpan w:val="3"/>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Fonts w:hint="eastAsia" w:ascii="Times New Roman" w:hAnsi="Times New Roman"/>
                <w:b/>
                <w:color w:val="auto"/>
                <w:sz w:val="18"/>
                <w:szCs w:val="18"/>
                <w:highlight w:val="none"/>
                <w:lang w:val="en-US" w:eastAsia="zh-CN"/>
              </w:rPr>
              <w:t>第五</w:t>
            </w:r>
            <w:r>
              <w:rPr>
                <w:rFonts w:hint="eastAsia" w:ascii="Times New Roman" w:hAnsi="Times New Roman"/>
                <w:b/>
                <w:color w:val="auto"/>
                <w:sz w:val="18"/>
                <w:szCs w:val="18"/>
                <w:highlight w:val="none"/>
                <w:lang w:eastAsia="zh-CN"/>
              </w:rPr>
              <w:t>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Style w:val="47"/>
                <w:rFonts w:hint="default" w:ascii="Times New Roman" w:hAnsi="Times New Roman"/>
                <w:color w:val="auto"/>
                <w:sz w:val="18"/>
                <w:szCs w:val="18"/>
                <w:highlight w:val="none"/>
                <w:lang w:bidi="ar"/>
              </w:rPr>
              <w:t>162000</w:t>
            </w:r>
            <w:r>
              <w:rPr>
                <w:rFonts w:hint="eastAsia" w:ascii="Times New Roman" w:hAnsi="Times New Roman"/>
                <w:b/>
                <w:color w:val="auto"/>
                <w:sz w:val="18"/>
                <w:szCs w:val="18"/>
                <w:highlight w:val="none"/>
                <w:lang w:eastAsia="zh-CN"/>
              </w:rPr>
              <w:t>元</w:t>
            </w:r>
            <w:r>
              <w:rPr>
                <w:rFonts w:hint="default" w:ascii="Times New Roman" w:hAnsi="Times New Roman"/>
                <w:b/>
                <w:color w:val="auto"/>
                <w:sz w:val="18"/>
                <w:szCs w:val="18"/>
                <w:highlight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5000" w:type="pct"/>
            <w:gridSpan w:val="11"/>
            <w:shd w:val="clear" w:color="auto" w:fill="FFFFFF"/>
            <w:noWrap/>
            <w:tcMar>
              <w:top w:w="15" w:type="dxa"/>
              <w:left w:w="15" w:type="dxa"/>
              <w:right w:w="15" w:type="dxa"/>
            </w:tcMar>
            <w:vAlign w:val="center"/>
          </w:tcPr>
          <w:p>
            <w:pPr>
              <w:ind w:firstLine="361" w:firstLineChars="200"/>
              <w:jc w:val="left"/>
              <w:rPr>
                <w:rFonts w:hint="eastAsia" w:ascii="Times New Roman" w:hAnsi="Times New Roman"/>
                <w:b/>
                <w:color w:val="auto"/>
                <w:kern w:val="0"/>
                <w:sz w:val="18"/>
                <w:szCs w:val="18"/>
                <w:highlight w:val="none"/>
                <w:lang w:bidi="ar"/>
              </w:rPr>
            </w:pPr>
            <w:r>
              <w:rPr>
                <w:rFonts w:ascii="Times New Roman" w:hAnsi="Times New Roman"/>
                <w:b/>
                <w:color w:val="auto"/>
                <w:sz w:val="18"/>
                <w:szCs w:val="18"/>
                <w:highlight w:val="none"/>
              </w:rPr>
              <w:t>备注：（1）</w:t>
            </w:r>
            <w:r>
              <w:rPr>
                <w:rFonts w:hint="eastAsia" w:ascii="Times New Roman" w:hAnsi="Times New Roman"/>
                <w:b/>
                <w:color w:val="auto"/>
                <w:sz w:val="18"/>
                <w:szCs w:val="18"/>
                <w:highlight w:val="none"/>
                <w:lang w:eastAsia="zh-CN"/>
              </w:rPr>
              <w:t>本标段限定性技术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Style w:val="47"/>
                <w:rFonts w:hint="default" w:ascii="Times New Roman" w:hAnsi="Times New Roman"/>
                <w:color w:val="auto"/>
                <w:sz w:val="18"/>
                <w:szCs w:val="18"/>
                <w:highlight w:val="none"/>
                <w:lang w:bidi="ar"/>
              </w:rPr>
              <w:t>162000</w:t>
            </w:r>
            <w:r>
              <w:rPr>
                <w:rFonts w:hint="eastAsia" w:ascii="Times New Roman" w:hAnsi="Times New Roman"/>
                <w:b/>
                <w:color w:val="auto"/>
                <w:sz w:val="18"/>
                <w:szCs w:val="18"/>
                <w:highlight w:val="none"/>
                <w:lang w:eastAsia="zh-CN"/>
              </w:rPr>
              <w:t>元，</w:t>
            </w:r>
            <w:r>
              <w:rPr>
                <w:rFonts w:hint="eastAsia" w:ascii="Times New Roman" w:hAnsi="Times New Roman"/>
                <w:b/>
                <w:color w:val="auto"/>
                <w:sz w:val="18"/>
                <w:szCs w:val="18"/>
                <w:highlight w:val="none"/>
                <w:lang w:val="en-US" w:eastAsia="zh-CN"/>
              </w:rPr>
              <w:t>包含在总费用中但并非规定设施投入的全部费用，不管因任何原因未实施安装的，则该部分费用按照中标下浮率等比例下浮后一次性扣除，针对所在河道的考核标准和方法不变</w:t>
            </w:r>
            <w:r>
              <w:rPr>
                <w:rFonts w:hint="default" w:ascii="Times New Roman" w:hAnsi="Times New Roman"/>
                <w:b/>
                <w:color w:val="auto"/>
                <w:sz w:val="18"/>
                <w:szCs w:val="18"/>
                <w:highlight w:val="none"/>
                <w:lang w:eastAsia="zh-CN"/>
              </w:rPr>
              <w:t>。</w:t>
            </w:r>
            <w:r>
              <w:rPr>
                <w:rStyle w:val="47"/>
                <w:rFonts w:hint="default" w:ascii="Times New Roman" w:hAnsi="Times New Roman"/>
                <w:color w:val="auto"/>
                <w:sz w:val="18"/>
                <w:szCs w:val="18"/>
                <w:highlight w:val="none"/>
                <w:lang w:bidi="ar"/>
              </w:rPr>
              <w:t>（2）童乐河部分区域待开挖河道移交后按新面积核算。</w:t>
            </w:r>
            <w:r>
              <w:rPr>
                <w:rFonts w:hint="eastAsia" w:ascii="Times New Roman" w:hAnsi="Times New Roman"/>
                <w:b/>
                <w:color w:val="auto"/>
                <w:kern w:val="0"/>
                <w:sz w:val="18"/>
                <w:szCs w:val="18"/>
                <w:highlight w:val="none"/>
                <w:lang w:bidi="ar"/>
              </w:rPr>
              <w:t>（3）该标段推流增氧等设备及其它技术设施应符合宁波市、鄞州区等行业规范规定和要求。</w:t>
            </w:r>
          </w:p>
          <w:p>
            <w:pPr>
              <w:ind w:firstLine="361" w:firstLineChars="200"/>
              <w:jc w:val="left"/>
              <w:rPr>
                <w:rFonts w:hint="default" w:ascii="Times New Roman" w:hAnsi="Times New Roman"/>
                <w:b/>
                <w:color w:val="auto"/>
                <w:kern w:val="0"/>
                <w:sz w:val="18"/>
                <w:szCs w:val="18"/>
                <w:highlight w:val="none"/>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5000" w:type="pct"/>
            <w:gridSpan w:val="11"/>
            <w:shd w:val="clear" w:color="auto" w:fill="FFFFFF"/>
            <w:noWrap w:val="0"/>
            <w:tcMar>
              <w:top w:w="15" w:type="dxa"/>
              <w:left w:w="15" w:type="dxa"/>
              <w:right w:w="15" w:type="dxa"/>
            </w:tcMar>
            <w:vAlign w:val="center"/>
          </w:tcPr>
          <w:p>
            <w:pPr>
              <w:widowControl/>
              <w:jc w:val="center"/>
              <w:textAlignment w:val="center"/>
              <w:rPr>
                <w:rStyle w:val="51"/>
                <w:rFonts w:hint="default" w:ascii="Times New Roman" w:hAnsi="Times New Roman"/>
                <w:color w:val="auto"/>
                <w:sz w:val="18"/>
                <w:szCs w:val="18"/>
                <w:highlight w:val="none"/>
                <w:lang w:bidi="ar"/>
              </w:rPr>
            </w:pPr>
            <w:r>
              <w:rPr>
                <w:rStyle w:val="40"/>
                <w:rFonts w:hint="default" w:ascii="Times New Roman" w:hAnsi="Times New Roman" w:eastAsia="华文中宋"/>
                <w:color w:val="auto"/>
                <w:sz w:val="30"/>
                <w:szCs w:val="30"/>
                <w:highlight w:val="none"/>
                <w:lang w:bidi="ar"/>
              </w:rPr>
              <w:t>第六标段水质日常养护概况与技术策略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序号</w:t>
            </w:r>
          </w:p>
        </w:tc>
        <w:tc>
          <w:tcPr>
            <w:tcW w:w="305"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河道</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名称</w:t>
            </w:r>
          </w:p>
        </w:tc>
        <w:tc>
          <w:tcPr>
            <w:tcW w:w="258" w:type="pct"/>
            <w:shd w:val="clear" w:color="auto" w:fill="FFFFFF"/>
            <w:noWrap w:val="0"/>
            <w:tcMar>
              <w:top w:w="15" w:type="dxa"/>
              <w:left w:w="15" w:type="dxa"/>
              <w:right w:w="15" w:type="dxa"/>
            </w:tcMar>
            <w:vAlign w:val="center"/>
          </w:tcPr>
          <w:p>
            <w:pPr>
              <w:widowControl/>
              <w:jc w:val="center"/>
              <w:textAlignment w:val="center"/>
              <w:rPr>
                <w:rStyle w:val="57"/>
                <w:b/>
                <w:bCs/>
                <w:color w:val="auto"/>
                <w:sz w:val="21"/>
                <w:szCs w:val="21"/>
                <w:highlight w:val="none"/>
                <w:lang w:bidi="ar"/>
              </w:rPr>
            </w:pPr>
            <w:r>
              <w:rPr>
                <w:rStyle w:val="57"/>
                <w:b/>
                <w:bCs/>
                <w:color w:val="auto"/>
                <w:sz w:val="21"/>
                <w:szCs w:val="21"/>
                <w:highlight w:val="none"/>
                <w:lang w:bidi="ar"/>
              </w:rPr>
              <w:t>考核</w:t>
            </w:r>
          </w:p>
          <w:p>
            <w:pPr>
              <w:widowControl/>
              <w:jc w:val="center"/>
              <w:textAlignment w:val="center"/>
              <w:rPr>
                <w:rFonts w:ascii="Times New Roman" w:hAnsi="Times New Roman"/>
                <w:b/>
                <w:bCs/>
                <w:color w:val="auto"/>
                <w:sz w:val="21"/>
                <w:szCs w:val="21"/>
                <w:highlight w:val="none"/>
              </w:rPr>
            </w:pPr>
            <w:r>
              <w:rPr>
                <w:rStyle w:val="57"/>
                <w:b/>
                <w:bCs/>
                <w:color w:val="auto"/>
                <w:sz w:val="21"/>
                <w:szCs w:val="21"/>
                <w:highlight w:val="none"/>
                <w:lang w:bidi="ar"/>
              </w:rPr>
              <w:t>等级</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起点</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终点</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长度（</w:t>
            </w:r>
            <w:r>
              <w:rPr>
                <w:rStyle w:val="50"/>
                <w:b/>
                <w:bCs/>
                <w:color w:val="auto"/>
                <w:sz w:val="21"/>
                <w:szCs w:val="21"/>
                <w:highlight w:val="none"/>
                <w:lang w:bidi="ar"/>
              </w:rPr>
              <w:t>m</w:t>
            </w:r>
            <w:r>
              <w:rPr>
                <w:rStyle w:val="56"/>
                <w:rFonts w:hint="default" w:ascii="Times New Roman" w:hAnsi="Times New Roman"/>
                <w:b/>
                <w:bCs/>
                <w:color w:val="auto"/>
                <w:sz w:val="21"/>
                <w:szCs w:val="21"/>
                <w:highlight w:val="none"/>
                <w:lang w:bidi="ar"/>
              </w:rPr>
              <w:t>）</w:t>
            </w:r>
          </w:p>
        </w:tc>
        <w:tc>
          <w:tcPr>
            <w:tcW w:w="190"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宽度</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w:t>
            </w:r>
            <w:r>
              <w:rPr>
                <w:rStyle w:val="50"/>
                <w:b/>
                <w:bCs/>
                <w:color w:val="auto"/>
                <w:sz w:val="21"/>
                <w:szCs w:val="21"/>
                <w:highlight w:val="none"/>
                <w:lang w:bidi="ar"/>
              </w:rPr>
              <w:t>m</w:t>
            </w:r>
            <w:r>
              <w:rPr>
                <w:rStyle w:val="56"/>
                <w:rFonts w:hint="default" w:ascii="Times New Roman" w:hAnsi="Times New Roman"/>
                <w:b/>
                <w:bCs/>
                <w:color w:val="auto"/>
                <w:sz w:val="21"/>
                <w:szCs w:val="21"/>
                <w:highlight w:val="none"/>
                <w:lang w:bidi="ar"/>
              </w:rPr>
              <w:t>）</w:t>
            </w:r>
          </w:p>
        </w:tc>
        <w:tc>
          <w:tcPr>
            <w:tcW w:w="331"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面积</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w:t>
            </w:r>
            <w:r>
              <w:rPr>
                <w:rStyle w:val="50"/>
                <w:b/>
                <w:bCs/>
                <w:color w:val="auto"/>
                <w:sz w:val="21"/>
                <w:szCs w:val="21"/>
                <w:highlight w:val="none"/>
                <w:lang w:bidi="ar"/>
              </w:rPr>
              <w:t>m</w:t>
            </w:r>
            <w:r>
              <w:rPr>
                <w:rStyle w:val="58"/>
                <w:b/>
                <w:bCs/>
                <w:color w:val="auto"/>
                <w:sz w:val="21"/>
                <w:szCs w:val="21"/>
                <w:highlight w:val="none"/>
                <w:lang w:bidi="ar"/>
              </w:rPr>
              <w:t>2</w:t>
            </w:r>
            <w:r>
              <w:rPr>
                <w:rStyle w:val="56"/>
                <w:rFonts w:hint="default" w:ascii="Times New Roman" w:hAnsi="Times New Roman"/>
                <w:b/>
                <w:bCs/>
                <w:color w:val="auto"/>
                <w:sz w:val="21"/>
                <w:szCs w:val="21"/>
                <w:highlight w:val="none"/>
                <w:lang w:bidi="ar"/>
              </w:rPr>
              <w:t>）</w:t>
            </w:r>
          </w:p>
        </w:tc>
        <w:tc>
          <w:tcPr>
            <w:tcW w:w="839" w:type="pct"/>
            <w:shd w:val="clear" w:color="auto" w:fill="FFFFFF"/>
            <w:noWrap w:val="0"/>
            <w:tcMar>
              <w:top w:w="15" w:type="dxa"/>
              <w:left w:w="15" w:type="dxa"/>
              <w:right w:w="15" w:type="dxa"/>
            </w:tcMar>
            <w:vAlign w:val="center"/>
          </w:tcPr>
          <w:p>
            <w:pPr>
              <w:widowControl/>
              <w:jc w:val="center"/>
              <w:textAlignment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 xml:space="preserve">限定性技术① </w:t>
            </w:r>
          </w:p>
        </w:tc>
        <w:tc>
          <w:tcPr>
            <w:tcW w:w="908" w:type="pct"/>
            <w:shd w:val="clear" w:color="auto" w:fill="FFFFFF"/>
            <w:noWrap w:val="0"/>
            <w:tcMar>
              <w:top w:w="15" w:type="dxa"/>
              <w:left w:w="15" w:type="dxa"/>
              <w:right w:w="15" w:type="dxa"/>
            </w:tcMar>
            <w:vAlign w:val="center"/>
          </w:tcPr>
          <w:p>
            <w:pPr>
              <w:widowControl/>
              <w:jc w:val="center"/>
              <w:textAlignment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限定性技术②</w:t>
            </w:r>
          </w:p>
        </w:tc>
        <w:tc>
          <w:tcPr>
            <w:tcW w:w="1138"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Fonts w:ascii="Times New Roman" w:hAnsi="Times New Roman"/>
                <w:b/>
                <w:bCs/>
                <w:color w:val="auto"/>
                <w:sz w:val="21"/>
                <w:szCs w:val="21"/>
                <w:highlight w:val="none"/>
              </w:rPr>
              <w:t>非限定性技术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6</w:t>
            </w:r>
            <w:r>
              <w:rPr>
                <w:rFonts w:ascii="Times New Roman" w:hAnsi="Times New Roman"/>
                <w:color w:val="auto"/>
                <w:kern w:val="0"/>
                <w:sz w:val="18"/>
                <w:szCs w:val="18"/>
                <w:highlight w:val="none"/>
                <w:lang w:bidi="ar"/>
              </w:rPr>
              <w:t>-1</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漕头岸漕</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清水</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中塘河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67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25.3</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1695</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沉水植物构建技术，覆盖率不低于60%。</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kern w:val="0"/>
                <w:sz w:val="18"/>
                <w:szCs w:val="18"/>
                <w:highlight w:val="none"/>
                <w:lang w:bidi="ar"/>
              </w:rPr>
            </w:pPr>
            <w:r>
              <w:rPr>
                <w:rStyle w:val="51"/>
                <w:rFonts w:hint="default" w:ascii="Times New Roman" w:hAnsi="Times New Roman"/>
                <w:color w:val="auto"/>
                <w:sz w:val="18"/>
                <w:szCs w:val="18"/>
                <w:highlight w:val="none"/>
                <w:lang w:bidi="ar"/>
              </w:rPr>
              <w:t>底泥改良技术、旁路生物过滤技术、生物接触氧化技术。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6</w:t>
            </w:r>
            <w:r>
              <w:rPr>
                <w:rFonts w:ascii="Times New Roman" w:hAnsi="Times New Roman"/>
                <w:color w:val="auto"/>
                <w:kern w:val="0"/>
                <w:sz w:val="18"/>
                <w:szCs w:val="18"/>
                <w:highlight w:val="none"/>
                <w:lang w:bidi="ar"/>
              </w:rPr>
              <w:t>-2</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孙马河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大洋江</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中塘河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1538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16.82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25864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生物净化设施技术、推流增氧设备技术，</w:t>
            </w:r>
            <w:r>
              <w:rPr>
                <w:rStyle w:val="51"/>
                <w:rFonts w:hint="default" w:ascii="Times New Roman" w:hAnsi="Times New Roman"/>
                <w:color w:val="auto"/>
                <w:sz w:val="18"/>
                <w:szCs w:val="18"/>
                <w:highlight w:val="none"/>
                <w:lang w:bidi="ar"/>
              </w:rPr>
              <w:t>设施设备总功率不低于50kw。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6</w:t>
            </w:r>
            <w:r>
              <w:rPr>
                <w:rFonts w:ascii="Times New Roman" w:hAnsi="Times New Roman"/>
                <w:color w:val="auto"/>
                <w:kern w:val="0"/>
                <w:sz w:val="18"/>
                <w:szCs w:val="18"/>
                <w:highlight w:val="none"/>
                <w:lang w:bidi="ar"/>
              </w:rPr>
              <w:t>-3</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长寿河（原长寿寺河）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中塘河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春园路</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353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9.91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3498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设置1套生态净化系统，处理能力不低于800吨/天，单独计入设施增支费用</w:t>
            </w:r>
            <w:r>
              <w:rPr>
                <w:rFonts w:ascii="Times New Roman" w:hAnsi="Times New Roman"/>
                <w:color w:val="auto"/>
                <w:kern w:val="0"/>
                <w:sz w:val="18"/>
                <w:szCs w:val="18"/>
                <w:highlight w:val="none"/>
                <w:lang w:bidi="ar"/>
              </w:rPr>
              <w:t xml:space="preserve">78000元。 </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设备总功率不低于4kw。</w:t>
            </w:r>
          </w:p>
        </w:tc>
        <w:tc>
          <w:tcPr>
            <w:tcW w:w="1138" w:type="pct"/>
            <w:shd w:val="clear" w:color="auto" w:fill="FFFFFF"/>
            <w:noWrap/>
            <w:tcMar>
              <w:top w:w="15" w:type="dxa"/>
              <w:left w:w="15" w:type="dxa"/>
              <w:right w:w="15" w:type="dxa"/>
            </w:tcMar>
            <w:vAlign w:val="center"/>
          </w:tcPr>
          <w:p>
            <w:pPr>
              <w:jc w:val="left"/>
              <w:rPr>
                <w:rStyle w:val="56"/>
                <w:rFonts w:hint="default" w:ascii="Times New Roman" w:hAnsi="Times New Roman"/>
                <w:color w:val="auto"/>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6</w:t>
            </w:r>
            <w:r>
              <w:rPr>
                <w:rFonts w:ascii="Times New Roman" w:hAnsi="Times New Roman"/>
                <w:color w:val="auto"/>
                <w:kern w:val="0"/>
                <w:sz w:val="18"/>
                <w:szCs w:val="18"/>
                <w:highlight w:val="none"/>
                <w:lang w:bidi="ar"/>
              </w:rPr>
              <w:t>-4</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大洋江（东裕社区段）</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六村河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周东江</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700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16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11200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设备总功率不低于20kw。</w:t>
            </w:r>
          </w:p>
        </w:tc>
        <w:tc>
          <w:tcPr>
            <w:tcW w:w="1138" w:type="pct"/>
            <w:shd w:val="clear" w:color="auto" w:fill="FFFFFF"/>
            <w:noWrap w:val="0"/>
            <w:tcMar>
              <w:top w:w="15" w:type="dxa"/>
              <w:left w:w="15" w:type="dxa"/>
              <w:right w:w="15" w:type="dxa"/>
            </w:tcMar>
            <w:vAlign w:val="center"/>
          </w:tcPr>
          <w:p>
            <w:pPr>
              <w:jc w:val="left"/>
              <w:rPr>
                <w:rFonts w:ascii="Times New Roman" w:hAnsi="Times New Roman"/>
                <w:color w:val="auto"/>
                <w:kern w:val="0"/>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6</w:t>
            </w:r>
            <w:r>
              <w:rPr>
                <w:rFonts w:ascii="Times New Roman" w:hAnsi="Times New Roman"/>
                <w:color w:val="auto"/>
                <w:kern w:val="0"/>
                <w:sz w:val="18"/>
                <w:szCs w:val="18"/>
                <w:highlight w:val="none"/>
                <w:lang w:bidi="ar"/>
              </w:rPr>
              <w:t>-5</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周东江（原钢材市场河）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大洋江</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中塘河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1583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14.14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22383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设备总功率不低于45kw。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6</w:t>
            </w:r>
            <w:r>
              <w:rPr>
                <w:rFonts w:ascii="Times New Roman" w:hAnsi="Times New Roman"/>
                <w:color w:val="auto"/>
                <w:kern w:val="0"/>
                <w:sz w:val="18"/>
                <w:szCs w:val="18"/>
                <w:highlight w:val="none"/>
                <w:lang w:bidi="ar"/>
              </w:rPr>
              <w:t>-6</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庄上河（原陆家圈漕）</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中塘河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甬台温高速</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653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14.84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9688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设置1套生态净化系统，处理能力不低于800吨/天，单独计入设施增支费用</w:t>
            </w:r>
            <w:r>
              <w:rPr>
                <w:rFonts w:ascii="Times New Roman" w:hAnsi="Times New Roman"/>
                <w:color w:val="auto"/>
                <w:kern w:val="0"/>
                <w:sz w:val="18"/>
                <w:szCs w:val="18"/>
                <w:highlight w:val="none"/>
                <w:lang w:bidi="ar"/>
              </w:rPr>
              <w:t>78000元。</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设备总功率不低于10kw。</w:t>
            </w:r>
          </w:p>
        </w:tc>
        <w:tc>
          <w:tcPr>
            <w:tcW w:w="1138" w:type="pct"/>
            <w:shd w:val="clear" w:color="auto" w:fill="FFFFFF"/>
            <w:noWrap/>
            <w:tcMar>
              <w:top w:w="15" w:type="dxa"/>
              <w:left w:w="15" w:type="dxa"/>
              <w:right w:w="15" w:type="dxa"/>
            </w:tcMar>
            <w:vAlign w:val="center"/>
          </w:tcPr>
          <w:p>
            <w:pPr>
              <w:jc w:val="left"/>
              <w:rPr>
                <w:rStyle w:val="56"/>
                <w:rFonts w:hint="default" w:ascii="Times New Roman" w:hAnsi="Times New Roman"/>
                <w:color w:val="auto"/>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6</w:t>
            </w:r>
            <w:r>
              <w:rPr>
                <w:rFonts w:ascii="Times New Roman" w:hAnsi="Times New Roman"/>
                <w:color w:val="auto"/>
                <w:kern w:val="0"/>
                <w:sz w:val="18"/>
                <w:szCs w:val="18"/>
                <w:highlight w:val="none"/>
                <w:lang w:bidi="ar"/>
              </w:rPr>
              <w:t>-7</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林家畈河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大洋江</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中塘河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1865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17.82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33233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设备总功率不低于45kw。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6</w:t>
            </w:r>
            <w:r>
              <w:rPr>
                <w:rFonts w:ascii="Times New Roman" w:hAnsi="Times New Roman"/>
                <w:color w:val="auto"/>
                <w:kern w:val="0"/>
                <w:sz w:val="18"/>
                <w:szCs w:val="18"/>
                <w:highlight w:val="none"/>
                <w:lang w:bidi="ar"/>
              </w:rPr>
              <w:t>-8</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金谷河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李家渔河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大洋江</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1838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15.48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28454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设备总功率不低于40kw。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6</w:t>
            </w:r>
            <w:r>
              <w:rPr>
                <w:rFonts w:ascii="Times New Roman" w:hAnsi="Times New Roman"/>
                <w:color w:val="auto"/>
                <w:kern w:val="0"/>
                <w:sz w:val="18"/>
                <w:szCs w:val="18"/>
                <w:highlight w:val="none"/>
                <w:lang w:bidi="ar"/>
              </w:rPr>
              <w:t>-9</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后畈江</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大朴庙江</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李家渔河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954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11.29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10766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设备总功率不低于15kw。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6</w:t>
            </w:r>
            <w:r>
              <w:rPr>
                <w:rFonts w:ascii="Times New Roman" w:hAnsi="Times New Roman"/>
                <w:color w:val="auto"/>
                <w:kern w:val="0"/>
                <w:sz w:val="18"/>
                <w:szCs w:val="18"/>
                <w:highlight w:val="none"/>
                <w:lang w:bidi="ar"/>
              </w:rPr>
              <w:t>-10</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大朴庙江</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甬台温高速</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中塘河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639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17.27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11035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设备总功率不低于15kw。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6</w:t>
            </w:r>
            <w:r>
              <w:rPr>
                <w:rFonts w:ascii="Times New Roman" w:hAnsi="Times New Roman"/>
                <w:color w:val="auto"/>
                <w:kern w:val="0"/>
                <w:sz w:val="18"/>
                <w:szCs w:val="18"/>
                <w:highlight w:val="none"/>
                <w:lang w:bidi="ar"/>
              </w:rPr>
              <w:t>-11</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李家渔河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甬台温高速</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金谷河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354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23.12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8185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设备总功率不低于10kw。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Style w:val="47"/>
                <w:rFonts w:hint="default" w:ascii="Times New Roman" w:hAnsi="Times New Roman"/>
                <w:color w:val="auto"/>
                <w:sz w:val="18"/>
                <w:szCs w:val="18"/>
                <w:highlight w:val="none"/>
                <w:lang w:bidi="ar"/>
              </w:rPr>
              <w:t>第六标段</w:t>
            </w:r>
            <w:r>
              <w:rPr>
                <w:rFonts w:ascii="Times New Roman" w:hAnsi="Times New Roman"/>
                <w:b/>
                <w:color w:val="auto"/>
                <w:kern w:val="0"/>
                <w:sz w:val="18"/>
                <w:szCs w:val="18"/>
                <w:highlight w:val="none"/>
                <w:lang w:bidi="ar"/>
              </w:rPr>
              <w:t>日常养护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10544</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166001</w:t>
            </w:r>
          </w:p>
        </w:tc>
        <w:tc>
          <w:tcPr>
            <w:tcW w:w="2886" w:type="pct"/>
            <w:gridSpan w:val="3"/>
            <w:shd w:val="clear" w:color="auto" w:fill="FFFFFF"/>
            <w:noWrap w:val="0"/>
            <w:tcMar>
              <w:top w:w="15" w:type="dxa"/>
              <w:left w:w="15" w:type="dxa"/>
              <w:right w:w="15" w:type="dxa"/>
            </w:tcMar>
            <w:vAlign w:val="center"/>
          </w:tcPr>
          <w:p>
            <w:pPr>
              <w:jc w:val="center"/>
              <w:rPr>
                <w:rFonts w:hint="eastAsia" w:ascii="Times New Roman" w:hAnsi="Times New Roman" w:eastAsia="宋体"/>
                <w:b/>
                <w:color w:val="auto"/>
                <w:sz w:val="18"/>
                <w:szCs w:val="18"/>
                <w:highlight w:val="none"/>
                <w:lang w:eastAsia="zh-CN"/>
              </w:rPr>
            </w:pPr>
            <w:r>
              <w:rPr>
                <w:rFonts w:hint="eastAsia" w:ascii="Times New Roman" w:hAnsi="Times New Roman"/>
                <w:b/>
                <w:color w:val="auto"/>
                <w:sz w:val="18"/>
                <w:szCs w:val="18"/>
                <w:highlight w:val="none"/>
                <w:lang w:val="en-US" w:eastAsia="zh-CN"/>
              </w:rPr>
              <w:t>第六</w:t>
            </w:r>
            <w:r>
              <w:rPr>
                <w:rFonts w:hint="eastAsia" w:ascii="Times New Roman" w:hAnsi="Times New Roman"/>
                <w:b/>
                <w:color w:val="auto"/>
                <w:sz w:val="18"/>
                <w:szCs w:val="18"/>
                <w:highlight w:val="none"/>
                <w:lang w:eastAsia="zh-CN"/>
              </w:rPr>
              <w:t>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hint="eastAsia" w:ascii="Times New Roman" w:hAnsi="Times New Roman"/>
                <w:b/>
                <w:color w:val="auto"/>
                <w:sz w:val="18"/>
                <w:szCs w:val="18"/>
                <w:highlight w:val="none"/>
                <w:lang w:val="en-US" w:eastAsia="zh-CN"/>
              </w:rPr>
              <w:t xml:space="preserve"> </w:t>
            </w:r>
            <w:r>
              <w:rPr>
                <w:rFonts w:ascii="Times New Roman" w:hAnsi="Times New Roman"/>
                <w:b/>
                <w:color w:val="auto"/>
                <w:sz w:val="18"/>
                <w:szCs w:val="18"/>
                <w:highlight w:val="none"/>
              </w:rPr>
              <w:t>156000元</w:t>
            </w:r>
            <w:r>
              <w:rPr>
                <w:rFonts w:hint="eastAsia" w:ascii="Times New Roman" w:hAnsi="Times New Roman"/>
                <w:b/>
                <w:color w:val="auto"/>
                <w:sz w:val="18"/>
                <w:szCs w:val="18"/>
                <w:highlight w:val="none"/>
                <w:lang w:eastAsia="zh-CN"/>
              </w:rPr>
              <w:t xml:space="preserve"> </w:t>
            </w:r>
            <w:r>
              <w:rPr>
                <w:rFonts w:hint="default" w:ascii="Times New Roman" w:hAnsi="Times New Roman"/>
                <w:b/>
                <w:color w:val="auto"/>
                <w:sz w:val="18"/>
                <w:szCs w:val="18"/>
                <w:highlight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6</w:t>
            </w:r>
            <w:r>
              <w:rPr>
                <w:rFonts w:ascii="Times New Roman" w:hAnsi="Times New Roman"/>
                <w:color w:val="auto"/>
                <w:kern w:val="0"/>
                <w:sz w:val="18"/>
                <w:szCs w:val="18"/>
                <w:highlight w:val="none"/>
                <w:lang w:bidi="ar"/>
              </w:rPr>
              <w:t>-12</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大洋江（除东裕社区段）</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应急</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甬台温高速</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前塘河（除六村河-周东江部分）</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2071.57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34.09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70628.77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预防黑臭及控藻等应急技术。</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kern w:val="0"/>
                <w:sz w:val="18"/>
                <w:szCs w:val="18"/>
                <w:highlight w:val="none"/>
                <w:lang w:bidi="ar"/>
              </w:rPr>
            </w:pPr>
            <w:r>
              <w:rPr>
                <w:rStyle w:val="52"/>
                <w:rFonts w:hint="default" w:ascii="Times New Roman" w:hAnsi="Times New Roman" w:cs="Times New Roman"/>
                <w:color w:val="auto"/>
                <w:sz w:val="18"/>
                <w:szCs w:val="18"/>
                <w:highlight w:val="none"/>
                <w:lang w:bidi="ar"/>
              </w:rPr>
              <w:t>底泥消毒与底泥改良技术。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6</w:t>
            </w:r>
            <w:r>
              <w:rPr>
                <w:rFonts w:ascii="Times New Roman" w:hAnsi="Times New Roman"/>
                <w:color w:val="auto"/>
                <w:kern w:val="0"/>
                <w:sz w:val="18"/>
                <w:szCs w:val="18"/>
                <w:highlight w:val="none"/>
                <w:lang w:bidi="ar"/>
              </w:rPr>
              <w:t>-13</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孙马漕</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应急</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孙马村内</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415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15.24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6326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r>
              <w:rPr>
                <w:rFonts w:ascii="Times New Roman" w:hAnsi="Times New Roman"/>
                <w:color w:val="auto"/>
                <w:sz w:val="18"/>
                <w:szCs w:val="18"/>
                <w:highlight w:val="none"/>
              </w:rPr>
              <w:t>预防黑臭及控藻等应急技术。</w:t>
            </w:r>
          </w:p>
        </w:tc>
        <w:tc>
          <w:tcPr>
            <w:tcW w:w="113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底泥消毒与底泥改良技术。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color w:val="auto"/>
                <w:sz w:val="18"/>
                <w:szCs w:val="18"/>
                <w:highlight w:val="none"/>
              </w:rPr>
            </w:pPr>
            <w:r>
              <w:rPr>
                <w:rStyle w:val="47"/>
                <w:rFonts w:hint="default" w:ascii="Times New Roman" w:hAnsi="Times New Roman"/>
                <w:color w:val="auto"/>
                <w:sz w:val="18"/>
                <w:szCs w:val="18"/>
                <w:highlight w:val="none"/>
                <w:lang w:bidi="ar"/>
              </w:rPr>
              <w:t>第六标段应急</w:t>
            </w:r>
            <w:r>
              <w:rPr>
                <w:rFonts w:ascii="Times New Roman" w:hAnsi="Times New Roman"/>
                <w:b/>
                <w:color w:val="auto"/>
                <w:kern w:val="0"/>
                <w:sz w:val="18"/>
                <w:szCs w:val="18"/>
                <w:highlight w:val="none"/>
                <w:lang w:bidi="ar"/>
              </w:rPr>
              <w:t>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2486.57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76954.77 </w:t>
            </w:r>
          </w:p>
        </w:tc>
        <w:tc>
          <w:tcPr>
            <w:tcW w:w="839" w:type="pct"/>
            <w:shd w:val="clear" w:color="auto" w:fill="FFFFFF"/>
            <w:noWrap w:val="0"/>
            <w:tcMar>
              <w:top w:w="15" w:type="dxa"/>
              <w:left w:w="15" w:type="dxa"/>
              <w:right w:w="15" w:type="dxa"/>
            </w:tcMar>
            <w:vAlign w:val="center"/>
          </w:tcPr>
          <w:p>
            <w:pPr>
              <w:jc w:val="center"/>
              <w:rPr>
                <w:rFonts w:ascii="Times New Roman" w:hAnsi="Times New Roman"/>
                <w:color w:val="auto"/>
                <w:sz w:val="18"/>
                <w:szCs w:val="18"/>
                <w:highlight w:val="none"/>
              </w:rPr>
            </w:pPr>
          </w:p>
        </w:tc>
        <w:tc>
          <w:tcPr>
            <w:tcW w:w="90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p>
        </w:tc>
        <w:tc>
          <w:tcPr>
            <w:tcW w:w="1138" w:type="pct"/>
            <w:shd w:val="clear" w:color="auto" w:fill="FFFFFF"/>
            <w:noWrap w:val="0"/>
            <w:tcMar>
              <w:top w:w="15" w:type="dxa"/>
              <w:left w:w="15" w:type="dxa"/>
              <w:right w:w="15" w:type="dxa"/>
            </w:tcMar>
            <w:vAlign w:val="center"/>
          </w:tcPr>
          <w:p>
            <w:pPr>
              <w:jc w:val="left"/>
              <w:rPr>
                <w:rFonts w:ascii="Times New Roman" w:hAnsi="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Style w:val="47"/>
                <w:rFonts w:hint="default" w:ascii="Times New Roman" w:hAnsi="Times New Roman"/>
                <w:color w:val="auto"/>
                <w:sz w:val="18"/>
                <w:szCs w:val="18"/>
                <w:highlight w:val="none"/>
                <w:lang w:bidi="ar"/>
              </w:rPr>
              <w:t>第六标段合计养护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13030.57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242955.77 </w:t>
            </w:r>
          </w:p>
        </w:tc>
        <w:tc>
          <w:tcPr>
            <w:tcW w:w="2886" w:type="pct"/>
            <w:gridSpan w:val="3"/>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Fonts w:hint="eastAsia" w:ascii="Times New Roman" w:hAnsi="Times New Roman"/>
                <w:b/>
                <w:color w:val="auto"/>
                <w:sz w:val="18"/>
                <w:szCs w:val="18"/>
                <w:highlight w:val="none"/>
                <w:lang w:val="en-US" w:eastAsia="zh-CN"/>
              </w:rPr>
              <w:t>第六</w:t>
            </w:r>
            <w:r>
              <w:rPr>
                <w:rFonts w:hint="eastAsia" w:ascii="Times New Roman" w:hAnsi="Times New Roman"/>
                <w:b/>
                <w:color w:val="auto"/>
                <w:sz w:val="18"/>
                <w:szCs w:val="18"/>
                <w:highlight w:val="none"/>
                <w:lang w:eastAsia="zh-CN"/>
              </w:rPr>
              <w:t>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hint="eastAsia" w:ascii="Times New Roman" w:hAnsi="Times New Roman"/>
                <w:b/>
                <w:color w:val="auto"/>
                <w:sz w:val="18"/>
                <w:szCs w:val="18"/>
                <w:highlight w:val="none"/>
                <w:lang w:val="en-US" w:eastAsia="zh-CN"/>
              </w:rPr>
              <w:t xml:space="preserve"> </w:t>
            </w:r>
            <w:r>
              <w:rPr>
                <w:rFonts w:ascii="Times New Roman" w:hAnsi="Times New Roman"/>
                <w:b/>
                <w:color w:val="auto"/>
                <w:sz w:val="18"/>
                <w:szCs w:val="18"/>
                <w:highlight w:val="none"/>
              </w:rPr>
              <w:t>156000元</w:t>
            </w:r>
            <w:r>
              <w:rPr>
                <w:rFonts w:hint="eastAsia" w:ascii="Times New Roman" w:hAnsi="Times New Roman"/>
                <w:b/>
                <w:color w:val="auto"/>
                <w:kern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5000" w:type="pct"/>
            <w:gridSpan w:val="11"/>
            <w:shd w:val="clear" w:color="auto" w:fill="FFFFFF"/>
            <w:noWrap w:val="0"/>
            <w:tcMar>
              <w:top w:w="15" w:type="dxa"/>
              <w:left w:w="15" w:type="dxa"/>
              <w:right w:w="15" w:type="dxa"/>
            </w:tcMar>
            <w:vAlign w:val="center"/>
          </w:tcPr>
          <w:p>
            <w:pPr>
              <w:ind w:firstLine="361" w:firstLineChars="200"/>
              <w:jc w:val="left"/>
              <w:rPr>
                <w:rFonts w:hint="eastAsia" w:ascii="Times New Roman" w:hAnsi="Times New Roman"/>
                <w:b/>
                <w:bCs w:val="0"/>
                <w:color w:val="auto"/>
                <w:sz w:val="18"/>
                <w:szCs w:val="18"/>
                <w:highlight w:val="none"/>
              </w:rPr>
            </w:pPr>
            <w:r>
              <w:rPr>
                <w:rFonts w:ascii="Times New Roman" w:hAnsi="Times New Roman"/>
                <w:b/>
                <w:color w:val="auto"/>
                <w:sz w:val="18"/>
                <w:szCs w:val="18"/>
                <w:highlight w:val="none"/>
              </w:rPr>
              <w:t>备注：</w:t>
            </w:r>
            <w:r>
              <w:rPr>
                <w:rFonts w:hint="eastAsia" w:ascii="Times New Roman" w:hAnsi="Times New Roman"/>
                <w:b/>
                <w:color w:val="auto"/>
                <w:sz w:val="18"/>
                <w:szCs w:val="18"/>
                <w:highlight w:val="none"/>
                <w:lang w:eastAsia="zh-CN"/>
              </w:rPr>
              <w:t>（1）本标段限定性技术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hint="eastAsia" w:ascii="Times New Roman" w:hAnsi="Times New Roman"/>
                <w:b/>
                <w:color w:val="auto"/>
                <w:sz w:val="18"/>
                <w:szCs w:val="18"/>
                <w:highlight w:val="none"/>
                <w:lang w:val="en-US" w:eastAsia="zh-CN"/>
              </w:rPr>
              <w:t xml:space="preserve"> </w:t>
            </w:r>
            <w:r>
              <w:rPr>
                <w:rFonts w:ascii="Times New Roman" w:hAnsi="Times New Roman"/>
                <w:b/>
                <w:color w:val="auto"/>
                <w:sz w:val="18"/>
                <w:szCs w:val="18"/>
                <w:highlight w:val="none"/>
              </w:rPr>
              <w:t>156000元</w:t>
            </w:r>
            <w:r>
              <w:rPr>
                <w:rFonts w:hint="eastAsia" w:ascii="Times New Roman" w:hAnsi="Times New Roman"/>
                <w:b/>
                <w:color w:val="auto"/>
                <w:sz w:val="18"/>
                <w:szCs w:val="18"/>
                <w:highlight w:val="none"/>
                <w:lang w:eastAsia="zh-CN"/>
              </w:rPr>
              <w:t>，</w:t>
            </w:r>
            <w:r>
              <w:rPr>
                <w:rFonts w:hint="eastAsia" w:ascii="Times New Roman" w:hAnsi="Times New Roman"/>
                <w:b/>
                <w:color w:val="auto"/>
                <w:sz w:val="18"/>
                <w:szCs w:val="18"/>
                <w:highlight w:val="none"/>
                <w:lang w:val="en-US" w:eastAsia="zh-CN"/>
              </w:rPr>
              <w:t>包含在总费用中但并非规定设施投入的全部费用，不管因任何原因未实施安装的，则该部分费用按照中标下浮率等比例下浮后一次性扣除，针对所在河道的考核标准和方法不变</w:t>
            </w:r>
            <w:r>
              <w:rPr>
                <w:rFonts w:hint="default" w:ascii="Times New Roman" w:hAnsi="Times New Roman"/>
                <w:b/>
                <w:color w:val="auto"/>
                <w:sz w:val="18"/>
                <w:szCs w:val="18"/>
                <w:highlight w:val="none"/>
                <w:lang w:eastAsia="zh-CN"/>
              </w:rPr>
              <w:t>。</w:t>
            </w:r>
            <w:r>
              <w:rPr>
                <w:rFonts w:hint="eastAsia" w:ascii="Times New Roman" w:hAnsi="Times New Roman"/>
                <w:b/>
                <w:color w:val="auto"/>
                <w:kern w:val="0"/>
                <w:sz w:val="18"/>
                <w:szCs w:val="18"/>
                <w:highlight w:val="none"/>
                <w:lang w:bidi="ar"/>
              </w:rPr>
              <w:t>（2）</w:t>
            </w:r>
            <w:r>
              <w:rPr>
                <w:rFonts w:hint="eastAsia" w:ascii="Times New Roman" w:hAnsi="Times New Roman"/>
                <w:b/>
                <w:bCs w:val="0"/>
                <w:color w:val="auto"/>
                <w:sz w:val="18"/>
                <w:szCs w:val="18"/>
                <w:highlight w:val="none"/>
              </w:rPr>
              <w:t>该标段推流增氧等设备及其它技术设施应符合宁波市、鄞州区等行业规范规定和要求。</w:t>
            </w:r>
          </w:p>
          <w:p>
            <w:pPr>
              <w:ind w:firstLine="361" w:firstLineChars="200"/>
              <w:jc w:val="left"/>
              <w:rPr>
                <w:rFonts w:hint="default" w:ascii="Times New Roman" w:hAnsi="Times New Roman"/>
                <w:b/>
                <w:bCs w:val="0"/>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5000" w:type="pct"/>
            <w:gridSpan w:val="11"/>
            <w:shd w:val="clear" w:color="auto" w:fill="FFFFFF"/>
            <w:noWrap w:val="0"/>
            <w:tcMar>
              <w:top w:w="15" w:type="dxa"/>
              <w:left w:w="15" w:type="dxa"/>
              <w:right w:w="15" w:type="dxa"/>
            </w:tcMar>
            <w:vAlign w:val="center"/>
          </w:tcPr>
          <w:p>
            <w:pPr>
              <w:widowControl/>
              <w:jc w:val="center"/>
              <w:textAlignment w:val="center"/>
              <w:rPr>
                <w:rStyle w:val="51"/>
                <w:rFonts w:hint="default" w:ascii="Times New Roman" w:hAnsi="Times New Roman"/>
                <w:color w:val="auto"/>
                <w:sz w:val="18"/>
                <w:szCs w:val="18"/>
                <w:highlight w:val="none"/>
                <w:lang w:bidi="ar"/>
              </w:rPr>
            </w:pPr>
            <w:r>
              <w:rPr>
                <w:rStyle w:val="40"/>
                <w:rFonts w:hint="default" w:ascii="Times New Roman" w:hAnsi="Times New Roman" w:eastAsia="华文中宋"/>
                <w:color w:val="auto"/>
                <w:sz w:val="30"/>
                <w:szCs w:val="30"/>
                <w:highlight w:val="none"/>
                <w:lang w:bidi="ar"/>
              </w:rPr>
              <w:t>第七标段水质日常养护概况与技术策略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序号</w:t>
            </w:r>
          </w:p>
        </w:tc>
        <w:tc>
          <w:tcPr>
            <w:tcW w:w="305"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河道</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名称</w:t>
            </w:r>
          </w:p>
        </w:tc>
        <w:tc>
          <w:tcPr>
            <w:tcW w:w="258" w:type="pct"/>
            <w:shd w:val="clear" w:color="auto" w:fill="FFFFFF"/>
            <w:noWrap w:val="0"/>
            <w:tcMar>
              <w:top w:w="15" w:type="dxa"/>
              <w:left w:w="15" w:type="dxa"/>
              <w:right w:w="15" w:type="dxa"/>
            </w:tcMar>
            <w:vAlign w:val="center"/>
          </w:tcPr>
          <w:p>
            <w:pPr>
              <w:widowControl/>
              <w:jc w:val="center"/>
              <w:textAlignment w:val="center"/>
              <w:rPr>
                <w:rStyle w:val="57"/>
                <w:b/>
                <w:bCs/>
                <w:color w:val="auto"/>
                <w:sz w:val="21"/>
                <w:szCs w:val="21"/>
                <w:highlight w:val="none"/>
                <w:lang w:bidi="ar"/>
              </w:rPr>
            </w:pPr>
            <w:r>
              <w:rPr>
                <w:rStyle w:val="57"/>
                <w:b/>
                <w:bCs/>
                <w:color w:val="auto"/>
                <w:sz w:val="21"/>
                <w:szCs w:val="21"/>
                <w:highlight w:val="none"/>
                <w:lang w:bidi="ar"/>
              </w:rPr>
              <w:t>考核</w:t>
            </w:r>
          </w:p>
          <w:p>
            <w:pPr>
              <w:widowControl/>
              <w:jc w:val="center"/>
              <w:textAlignment w:val="center"/>
              <w:rPr>
                <w:rFonts w:ascii="Times New Roman" w:hAnsi="Times New Roman"/>
                <w:b/>
                <w:bCs/>
                <w:color w:val="auto"/>
                <w:sz w:val="21"/>
                <w:szCs w:val="21"/>
                <w:highlight w:val="none"/>
              </w:rPr>
            </w:pPr>
            <w:r>
              <w:rPr>
                <w:rStyle w:val="57"/>
                <w:b/>
                <w:bCs/>
                <w:color w:val="auto"/>
                <w:sz w:val="21"/>
                <w:szCs w:val="21"/>
                <w:highlight w:val="none"/>
                <w:lang w:bidi="ar"/>
              </w:rPr>
              <w:t>等级</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起点</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终点</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长度（</w:t>
            </w:r>
            <w:r>
              <w:rPr>
                <w:rStyle w:val="50"/>
                <w:b/>
                <w:bCs/>
                <w:color w:val="auto"/>
                <w:sz w:val="21"/>
                <w:szCs w:val="21"/>
                <w:highlight w:val="none"/>
                <w:lang w:bidi="ar"/>
              </w:rPr>
              <w:t>m</w:t>
            </w:r>
            <w:r>
              <w:rPr>
                <w:rStyle w:val="56"/>
                <w:rFonts w:hint="default" w:ascii="Times New Roman" w:hAnsi="Times New Roman"/>
                <w:b/>
                <w:bCs/>
                <w:color w:val="auto"/>
                <w:sz w:val="21"/>
                <w:szCs w:val="21"/>
                <w:highlight w:val="none"/>
                <w:lang w:bidi="ar"/>
              </w:rPr>
              <w:t>）</w:t>
            </w:r>
          </w:p>
        </w:tc>
        <w:tc>
          <w:tcPr>
            <w:tcW w:w="190"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宽度</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w:t>
            </w:r>
            <w:r>
              <w:rPr>
                <w:rStyle w:val="50"/>
                <w:b/>
                <w:bCs/>
                <w:color w:val="auto"/>
                <w:sz w:val="21"/>
                <w:szCs w:val="21"/>
                <w:highlight w:val="none"/>
                <w:lang w:bidi="ar"/>
              </w:rPr>
              <w:t>m</w:t>
            </w:r>
            <w:r>
              <w:rPr>
                <w:rStyle w:val="56"/>
                <w:rFonts w:hint="default" w:ascii="Times New Roman" w:hAnsi="Times New Roman"/>
                <w:b/>
                <w:bCs/>
                <w:color w:val="auto"/>
                <w:sz w:val="21"/>
                <w:szCs w:val="21"/>
                <w:highlight w:val="none"/>
                <w:lang w:bidi="ar"/>
              </w:rPr>
              <w:t>）</w:t>
            </w:r>
          </w:p>
        </w:tc>
        <w:tc>
          <w:tcPr>
            <w:tcW w:w="331"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面积</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w:t>
            </w:r>
            <w:r>
              <w:rPr>
                <w:rStyle w:val="50"/>
                <w:b/>
                <w:bCs/>
                <w:color w:val="auto"/>
                <w:sz w:val="21"/>
                <w:szCs w:val="21"/>
                <w:highlight w:val="none"/>
                <w:lang w:bidi="ar"/>
              </w:rPr>
              <w:t>m</w:t>
            </w:r>
            <w:r>
              <w:rPr>
                <w:rStyle w:val="58"/>
                <w:b/>
                <w:bCs/>
                <w:color w:val="auto"/>
                <w:sz w:val="21"/>
                <w:szCs w:val="21"/>
                <w:highlight w:val="none"/>
                <w:lang w:bidi="ar"/>
              </w:rPr>
              <w:t>2</w:t>
            </w:r>
            <w:r>
              <w:rPr>
                <w:rStyle w:val="56"/>
                <w:rFonts w:hint="default" w:ascii="Times New Roman" w:hAnsi="Times New Roman"/>
                <w:b/>
                <w:bCs/>
                <w:color w:val="auto"/>
                <w:sz w:val="21"/>
                <w:szCs w:val="21"/>
                <w:highlight w:val="none"/>
                <w:lang w:bidi="ar"/>
              </w:rPr>
              <w:t>）</w:t>
            </w:r>
          </w:p>
        </w:tc>
        <w:tc>
          <w:tcPr>
            <w:tcW w:w="839" w:type="pct"/>
            <w:shd w:val="clear" w:color="auto" w:fill="FFFFFF"/>
            <w:noWrap w:val="0"/>
            <w:tcMar>
              <w:top w:w="15" w:type="dxa"/>
              <w:left w:w="15" w:type="dxa"/>
              <w:right w:w="15" w:type="dxa"/>
            </w:tcMar>
            <w:vAlign w:val="center"/>
          </w:tcPr>
          <w:p>
            <w:pPr>
              <w:widowControl/>
              <w:jc w:val="center"/>
              <w:textAlignment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 xml:space="preserve">限定性技术① </w:t>
            </w:r>
          </w:p>
        </w:tc>
        <w:tc>
          <w:tcPr>
            <w:tcW w:w="908" w:type="pct"/>
            <w:shd w:val="clear" w:color="auto" w:fill="FFFFFF"/>
            <w:noWrap w:val="0"/>
            <w:tcMar>
              <w:top w:w="15" w:type="dxa"/>
              <w:left w:w="15" w:type="dxa"/>
              <w:right w:w="15" w:type="dxa"/>
            </w:tcMar>
            <w:vAlign w:val="center"/>
          </w:tcPr>
          <w:p>
            <w:pPr>
              <w:widowControl/>
              <w:jc w:val="center"/>
              <w:textAlignment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限定性技术②</w:t>
            </w:r>
          </w:p>
        </w:tc>
        <w:tc>
          <w:tcPr>
            <w:tcW w:w="1138"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Fonts w:ascii="Times New Roman" w:hAnsi="Times New Roman"/>
                <w:b/>
                <w:bCs/>
                <w:color w:val="auto"/>
                <w:sz w:val="21"/>
                <w:szCs w:val="21"/>
                <w:highlight w:val="none"/>
              </w:rPr>
              <w:t>非限定性技术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7</w:t>
            </w:r>
            <w:r>
              <w:rPr>
                <w:rFonts w:ascii="Times New Roman" w:hAnsi="Times New Roman"/>
                <w:color w:val="auto"/>
                <w:kern w:val="0"/>
                <w:sz w:val="18"/>
                <w:szCs w:val="18"/>
                <w:highlight w:val="none"/>
                <w:lang w:bidi="ar"/>
              </w:rPr>
              <w:t>-1</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杨家漕</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精品</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中塘河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漕底</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116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15.2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1840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沉水植物构建技术，植物覆盖率不低于60%。</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kern w:val="0"/>
                <w:sz w:val="18"/>
                <w:szCs w:val="18"/>
                <w:highlight w:val="none"/>
                <w:lang w:bidi="ar"/>
              </w:rPr>
            </w:pPr>
            <w:r>
              <w:rPr>
                <w:rStyle w:val="51"/>
                <w:rFonts w:hint="default" w:ascii="Times New Roman" w:hAnsi="Times New Roman"/>
                <w:color w:val="auto"/>
                <w:sz w:val="18"/>
                <w:szCs w:val="18"/>
                <w:highlight w:val="none"/>
                <w:lang w:bidi="ar"/>
              </w:rPr>
              <w:t>滨水植物景观营造技术、底泥改良技术、旁路生物过滤技术、生物接触氧化技术。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7</w:t>
            </w:r>
            <w:r>
              <w:rPr>
                <w:rFonts w:ascii="Times New Roman" w:hAnsi="Times New Roman"/>
                <w:color w:val="auto"/>
                <w:kern w:val="0"/>
                <w:sz w:val="18"/>
                <w:szCs w:val="18"/>
                <w:highlight w:val="none"/>
                <w:lang w:bidi="ar"/>
              </w:rPr>
              <w:t>-2</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史魏家河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清水</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史魏家村</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370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15.12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5594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41"/>
                <w:rFonts w:ascii="Times New Roman" w:hAnsi="Times New Roman" w:cs="Times New Roman"/>
                <w:color w:val="auto"/>
                <w:sz w:val="18"/>
                <w:szCs w:val="18"/>
                <w:highlight w:val="none"/>
                <w:lang w:bidi="ar"/>
              </w:rPr>
              <w:t>设置1套一体化设备，设备处理能力不低于1000吨/天；</w:t>
            </w:r>
            <w:r>
              <w:rPr>
                <w:rStyle w:val="51"/>
                <w:rFonts w:hint="default" w:ascii="Times New Roman" w:hAnsi="Times New Roman"/>
                <w:color w:val="auto"/>
                <w:sz w:val="18"/>
                <w:szCs w:val="18"/>
                <w:highlight w:val="none"/>
                <w:lang w:bidi="ar"/>
              </w:rPr>
              <w:t>单独计入设施增支费用</w:t>
            </w:r>
            <w:r>
              <w:rPr>
                <w:rFonts w:hint="eastAsia" w:ascii="Times New Roman" w:hAnsi="Times New Roman" w:eastAsia="宋体"/>
                <w:color w:val="auto"/>
                <w:kern w:val="0"/>
                <w:sz w:val="18"/>
                <w:szCs w:val="18"/>
                <w:highlight w:val="none"/>
                <w:lang w:val="en-US" w:eastAsia="zh-CN" w:bidi="ar"/>
              </w:rPr>
              <w:t>72000</w:t>
            </w:r>
            <w:r>
              <w:rPr>
                <w:rFonts w:ascii="Times New Roman" w:hAnsi="Times New Roman"/>
                <w:color w:val="auto"/>
                <w:kern w:val="0"/>
                <w:sz w:val="18"/>
                <w:szCs w:val="18"/>
                <w:highlight w:val="none"/>
                <w:lang w:bidi="ar"/>
              </w:rPr>
              <w:t>元。</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设备总功率不低于5kw。</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lang w:bidi="ar"/>
              </w:rPr>
            </w:pPr>
            <w:r>
              <w:rPr>
                <w:rStyle w:val="51"/>
                <w:rFonts w:hint="default" w:ascii="Times New Roman" w:hAnsi="Times New Roman"/>
                <w:color w:val="auto"/>
                <w:sz w:val="18"/>
                <w:szCs w:val="18"/>
                <w:highlight w:val="none"/>
                <w:lang w:bidi="ar"/>
              </w:rPr>
              <w:t>沉水植物构建技术，覆盖率不低于60%；底泥改良技术、旁路生物过滤技术、生物接触氧化技术。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7</w:t>
            </w:r>
            <w:r>
              <w:rPr>
                <w:rFonts w:ascii="Times New Roman" w:hAnsi="Times New Roman"/>
                <w:color w:val="auto"/>
                <w:kern w:val="0"/>
                <w:sz w:val="18"/>
                <w:szCs w:val="18"/>
                <w:highlight w:val="none"/>
                <w:lang w:bidi="ar"/>
              </w:rPr>
              <w:t>-3</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童王河（北段）</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清水</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桑田路（含以北部分）</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原江东交界</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864</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15.2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13130</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沉水植物构建技术，植物覆盖率不低于60%。</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滨水植物景观营造技术、底泥改良技术、旁路生物过滤技术、生物接触氧化技术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7</w:t>
            </w:r>
            <w:r>
              <w:rPr>
                <w:rFonts w:ascii="Times New Roman" w:hAnsi="Times New Roman"/>
                <w:color w:val="auto"/>
                <w:kern w:val="0"/>
                <w:sz w:val="18"/>
                <w:szCs w:val="18"/>
                <w:highlight w:val="none"/>
                <w:lang w:bidi="ar"/>
              </w:rPr>
              <w:t>-4</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童王河（南段）</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原江东交界</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中塘河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2626</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15.28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40938</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设备总功率不低于65kw。</w:t>
            </w:r>
          </w:p>
        </w:tc>
        <w:tc>
          <w:tcPr>
            <w:tcW w:w="1138" w:type="pct"/>
            <w:shd w:val="clear" w:color="auto" w:fill="FFFFFF"/>
            <w:noWrap w:val="0"/>
            <w:tcMar>
              <w:top w:w="15" w:type="dxa"/>
              <w:left w:w="15" w:type="dxa"/>
              <w:right w:w="15" w:type="dxa"/>
            </w:tcMar>
            <w:vAlign w:val="center"/>
          </w:tcPr>
          <w:p>
            <w:pPr>
              <w:jc w:val="left"/>
              <w:rPr>
                <w:rFonts w:ascii="Times New Roman" w:hAnsi="Times New Roman"/>
                <w:color w:val="auto"/>
                <w:kern w:val="0"/>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7</w:t>
            </w:r>
            <w:r>
              <w:rPr>
                <w:rFonts w:ascii="Times New Roman" w:hAnsi="Times New Roman"/>
                <w:color w:val="auto"/>
                <w:kern w:val="0"/>
                <w:sz w:val="18"/>
                <w:szCs w:val="18"/>
                <w:highlight w:val="none"/>
                <w:lang w:bidi="ar"/>
              </w:rPr>
              <w:t>-5</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沧海河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后塘河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中塘河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3637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17.57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63912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设置1套一体化设备，设备处理能力不低于1000吨/天，单独计入设施增支费用</w:t>
            </w:r>
            <w:r>
              <w:rPr>
                <w:rFonts w:ascii="Times New Roman" w:hAnsi="Times New Roman"/>
                <w:color w:val="auto"/>
                <w:kern w:val="0"/>
                <w:sz w:val="18"/>
                <w:szCs w:val="18"/>
                <w:highlight w:val="none"/>
                <w:lang w:bidi="ar"/>
              </w:rPr>
              <w:t>72000元。</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设备总功率不低于85kw。</w:t>
            </w:r>
          </w:p>
        </w:tc>
        <w:tc>
          <w:tcPr>
            <w:tcW w:w="1138" w:type="pct"/>
            <w:shd w:val="clear" w:color="auto" w:fill="FFFFFF"/>
            <w:noWrap/>
            <w:tcMar>
              <w:top w:w="15" w:type="dxa"/>
              <w:left w:w="15" w:type="dxa"/>
              <w:right w:w="15" w:type="dxa"/>
            </w:tcMar>
            <w:vAlign w:val="center"/>
          </w:tcPr>
          <w:p>
            <w:pPr>
              <w:jc w:val="left"/>
              <w:rPr>
                <w:rStyle w:val="56"/>
                <w:rFonts w:hint="default" w:ascii="Times New Roman" w:hAnsi="Times New Roman"/>
                <w:color w:val="auto"/>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7</w:t>
            </w:r>
            <w:r>
              <w:rPr>
                <w:rFonts w:ascii="Times New Roman" w:hAnsi="Times New Roman"/>
                <w:color w:val="auto"/>
                <w:kern w:val="0"/>
                <w:sz w:val="18"/>
                <w:szCs w:val="18"/>
                <w:highlight w:val="none"/>
                <w:lang w:bidi="ar"/>
              </w:rPr>
              <w:t>-6</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仇毕河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沧海河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王家弄河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350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9.09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3183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设备总功率不低于5kw。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7</w:t>
            </w:r>
            <w:r>
              <w:rPr>
                <w:rFonts w:ascii="Times New Roman" w:hAnsi="Times New Roman"/>
                <w:color w:val="auto"/>
                <w:kern w:val="0"/>
                <w:sz w:val="18"/>
                <w:szCs w:val="18"/>
                <w:highlight w:val="none"/>
                <w:lang w:bidi="ar"/>
              </w:rPr>
              <w:t>-7</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王家弄河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兴宁路（仇毕河）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1610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14.84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23890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生物循环净化设施</w:t>
            </w:r>
            <w:r>
              <w:rPr>
                <w:rStyle w:val="51"/>
                <w:rFonts w:hint="eastAsia" w:ascii="Times New Roman" w:hAnsi="Times New Roman" w:eastAsia="宋体"/>
                <w:color w:val="auto"/>
                <w:sz w:val="18"/>
                <w:szCs w:val="18"/>
                <w:highlight w:val="none"/>
                <w:lang w:val="en-US" w:eastAsia="zh-CN" w:bidi="ar"/>
              </w:rPr>
              <w:t>技术</w:t>
            </w:r>
            <w:r>
              <w:rPr>
                <w:rStyle w:val="51"/>
                <w:rFonts w:hint="default" w:ascii="Times New Roman" w:hAnsi="Times New Roman"/>
                <w:color w:val="auto"/>
                <w:sz w:val="18"/>
                <w:szCs w:val="18"/>
                <w:highlight w:val="none"/>
                <w:lang w:bidi="ar"/>
              </w:rPr>
              <w:t>、推流增氧设备，设施设备总功率不低于40kw。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7</w:t>
            </w:r>
            <w:r>
              <w:rPr>
                <w:rFonts w:ascii="Times New Roman" w:hAnsi="Times New Roman"/>
                <w:color w:val="auto"/>
                <w:kern w:val="0"/>
                <w:sz w:val="18"/>
                <w:szCs w:val="18"/>
                <w:highlight w:val="none"/>
                <w:lang w:bidi="ar"/>
              </w:rPr>
              <w:t>-8</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钱家河（原泗港支河）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甬台温高速</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沧海河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307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16.30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5003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设备总功率不低于7.5kw。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7</w:t>
            </w:r>
            <w:r>
              <w:rPr>
                <w:rFonts w:ascii="Times New Roman" w:hAnsi="Times New Roman"/>
                <w:color w:val="auto"/>
                <w:kern w:val="0"/>
                <w:sz w:val="18"/>
                <w:szCs w:val="18"/>
                <w:highlight w:val="none"/>
                <w:lang w:bidi="ar"/>
              </w:rPr>
              <w:t>-9</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盛家河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童王河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中塘河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1220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18.38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22420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设备总功率不低于35kw。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Style w:val="47"/>
                <w:rFonts w:hint="default" w:ascii="Times New Roman" w:hAnsi="Times New Roman"/>
                <w:color w:val="auto"/>
                <w:sz w:val="18"/>
                <w:szCs w:val="18"/>
                <w:highlight w:val="none"/>
                <w:lang w:bidi="ar"/>
              </w:rPr>
              <w:t>第七标段日常养护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11100</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179910</w:t>
            </w:r>
          </w:p>
        </w:tc>
        <w:tc>
          <w:tcPr>
            <w:tcW w:w="2886" w:type="pct"/>
            <w:gridSpan w:val="3"/>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Fonts w:hint="eastAsia" w:ascii="Times New Roman" w:hAnsi="Times New Roman"/>
                <w:b/>
                <w:color w:val="auto"/>
                <w:sz w:val="18"/>
                <w:szCs w:val="18"/>
                <w:highlight w:val="none"/>
                <w:lang w:val="en-US" w:eastAsia="zh-CN"/>
              </w:rPr>
              <w:t>第七</w:t>
            </w:r>
            <w:r>
              <w:rPr>
                <w:rFonts w:hint="eastAsia" w:ascii="Times New Roman" w:hAnsi="Times New Roman"/>
                <w:b/>
                <w:color w:val="auto"/>
                <w:sz w:val="18"/>
                <w:szCs w:val="18"/>
                <w:highlight w:val="none"/>
                <w:lang w:eastAsia="zh-CN"/>
              </w:rPr>
              <w:t>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Style w:val="47"/>
                <w:rFonts w:hint="default" w:ascii="Times New Roman" w:hAnsi="Times New Roman"/>
                <w:color w:val="auto"/>
                <w:sz w:val="18"/>
                <w:szCs w:val="18"/>
                <w:highlight w:val="none"/>
                <w:lang w:bidi="ar"/>
              </w:rPr>
              <w:t>144000</w:t>
            </w:r>
            <w:r>
              <w:rPr>
                <w:rFonts w:hint="eastAsia" w:ascii="Times New Roman" w:hAnsi="Times New Roman"/>
                <w:b/>
                <w:color w:val="auto"/>
                <w:sz w:val="18"/>
                <w:szCs w:val="18"/>
                <w:highlight w:val="none"/>
                <w:lang w:eastAsia="zh-CN"/>
              </w:rPr>
              <w:t>元</w:t>
            </w:r>
            <w:r>
              <w:rPr>
                <w:rFonts w:hint="default" w:ascii="Times New Roman" w:hAnsi="Times New Roman"/>
                <w:b/>
                <w:color w:val="auto"/>
                <w:sz w:val="18"/>
                <w:szCs w:val="18"/>
                <w:highlight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7</w:t>
            </w:r>
            <w:r>
              <w:rPr>
                <w:rFonts w:ascii="Times New Roman" w:hAnsi="Times New Roman"/>
                <w:color w:val="auto"/>
                <w:kern w:val="0"/>
                <w:sz w:val="18"/>
                <w:szCs w:val="18"/>
                <w:highlight w:val="none"/>
                <w:lang w:bidi="ar"/>
              </w:rPr>
              <w:t>-10</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中塘河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应急</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甬台温高速</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杭甬高速公路</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2677.61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36.63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98072.83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Fonts w:ascii="Times New Roman" w:hAnsi="Times New Roman"/>
                <w:color w:val="auto"/>
                <w:sz w:val="18"/>
                <w:szCs w:val="18"/>
                <w:highlight w:val="none"/>
              </w:rPr>
              <w:t>预防黑臭及控藻等应急技术。</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底泥消毒与底泥改良技术。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color w:val="auto"/>
                <w:sz w:val="18"/>
                <w:szCs w:val="18"/>
                <w:highlight w:val="none"/>
              </w:rPr>
            </w:pPr>
            <w:r>
              <w:rPr>
                <w:rStyle w:val="47"/>
                <w:rFonts w:hint="default" w:ascii="Times New Roman" w:hAnsi="Times New Roman"/>
                <w:color w:val="auto"/>
                <w:sz w:val="18"/>
                <w:szCs w:val="18"/>
                <w:highlight w:val="none"/>
                <w:lang w:bidi="ar"/>
              </w:rPr>
              <w:t>第七标段</w:t>
            </w:r>
            <w:r>
              <w:rPr>
                <w:rFonts w:ascii="Times New Roman" w:hAnsi="Times New Roman"/>
                <w:b/>
                <w:color w:val="auto"/>
                <w:kern w:val="0"/>
                <w:sz w:val="18"/>
                <w:szCs w:val="18"/>
                <w:highlight w:val="none"/>
                <w:lang w:bidi="ar"/>
              </w:rPr>
              <w:t>应急养护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2677.61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98072.83 </w:t>
            </w:r>
          </w:p>
        </w:tc>
        <w:tc>
          <w:tcPr>
            <w:tcW w:w="839" w:type="pct"/>
            <w:shd w:val="clear" w:color="auto" w:fill="FFFFFF"/>
            <w:noWrap w:val="0"/>
            <w:tcMar>
              <w:top w:w="15" w:type="dxa"/>
              <w:left w:w="15" w:type="dxa"/>
              <w:right w:w="15" w:type="dxa"/>
            </w:tcMar>
            <w:vAlign w:val="center"/>
          </w:tcPr>
          <w:p>
            <w:pPr>
              <w:jc w:val="center"/>
              <w:rPr>
                <w:rFonts w:ascii="Times New Roman" w:hAnsi="Times New Roman"/>
                <w:color w:val="auto"/>
                <w:sz w:val="18"/>
                <w:szCs w:val="18"/>
                <w:highlight w:val="none"/>
              </w:rPr>
            </w:pP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tcMar>
              <w:top w:w="15" w:type="dxa"/>
              <w:left w:w="15" w:type="dxa"/>
              <w:right w:w="15" w:type="dxa"/>
            </w:tcMar>
            <w:vAlign w:val="center"/>
          </w:tcPr>
          <w:p>
            <w:pPr>
              <w:jc w:val="center"/>
              <w:rPr>
                <w:rFonts w:ascii="Times New Roman" w:hAnsi="Times New Roman"/>
                <w:b/>
                <w:color w:val="auto"/>
                <w:sz w:val="18"/>
                <w:szCs w:val="18"/>
                <w:highlight w:val="none"/>
              </w:rPr>
            </w:pPr>
            <w:r>
              <w:rPr>
                <w:rStyle w:val="47"/>
                <w:rFonts w:hint="default" w:ascii="Times New Roman" w:hAnsi="Times New Roman"/>
                <w:color w:val="auto"/>
                <w:sz w:val="18"/>
                <w:szCs w:val="18"/>
                <w:highlight w:val="none"/>
                <w:lang w:bidi="ar"/>
              </w:rPr>
              <w:t>第七标段合计养护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13777.61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277982.83 </w:t>
            </w:r>
          </w:p>
        </w:tc>
        <w:tc>
          <w:tcPr>
            <w:tcW w:w="2886" w:type="pct"/>
            <w:gridSpan w:val="3"/>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Fonts w:hint="eastAsia" w:ascii="Times New Roman" w:hAnsi="Times New Roman"/>
                <w:b/>
                <w:color w:val="auto"/>
                <w:sz w:val="18"/>
                <w:szCs w:val="18"/>
                <w:highlight w:val="none"/>
                <w:lang w:val="en-US" w:eastAsia="zh-CN"/>
              </w:rPr>
              <w:t>第七</w:t>
            </w:r>
            <w:r>
              <w:rPr>
                <w:rFonts w:hint="eastAsia" w:ascii="Times New Roman" w:hAnsi="Times New Roman"/>
                <w:b/>
                <w:color w:val="auto"/>
                <w:sz w:val="18"/>
                <w:szCs w:val="18"/>
                <w:highlight w:val="none"/>
                <w:lang w:eastAsia="zh-CN"/>
              </w:rPr>
              <w:t>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Style w:val="47"/>
                <w:rFonts w:hint="default" w:ascii="Times New Roman" w:hAnsi="Times New Roman"/>
                <w:color w:val="auto"/>
                <w:sz w:val="18"/>
                <w:szCs w:val="18"/>
                <w:highlight w:val="none"/>
                <w:lang w:bidi="ar"/>
              </w:rPr>
              <w:t>144000</w:t>
            </w:r>
            <w:r>
              <w:rPr>
                <w:rFonts w:hint="eastAsia" w:ascii="Times New Roman" w:hAnsi="Times New Roman"/>
                <w:b/>
                <w:color w:val="auto"/>
                <w:sz w:val="18"/>
                <w:szCs w:val="18"/>
                <w:highlight w:val="none"/>
                <w:lang w:eastAsia="zh-CN"/>
              </w:rPr>
              <w:t>元</w:t>
            </w:r>
            <w:r>
              <w:rPr>
                <w:rFonts w:hint="eastAsia" w:ascii="Times New Roman" w:hAnsi="Times New Roman"/>
                <w:b/>
                <w:color w:val="auto"/>
                <w:sz w:val="18"/>
                <w:szCs w:val="18"/>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5000" w:type="pct"/>
            <w:gridSpan w:val="11"/>
            <w:shd w:val="clear" w:color="auto" w:fill="FFFFFF"/>
            <w:noWrap/>
            <w:tcMar>
              <w:top w:w="15" w:type="dxa"/>
              <w:left w:w="15" w:type="dxa"/>
              <w:right w:w="15" w:type="dxa"/>
            </w:tcMar>
            <w:vAlign w:val="center"/>
          </w:tcPr>
          <w:p>
            <w:pPr>
              <w:ind w:firstLine="361" w:firstLineChars="200"/>
              <w:jc w:val="left"/>
              <w:rPr>
                <w:rFonts w:hint="eastAsia" w:ascii="Times New Roman" w:hAnsi="Times New Roman"/>
                <w:b/>
                <w:color w:val="auto"/>
                <w:kern w:val="0"/>
                <w:sz w:val="18"/>
                <w:szCs w:val="18"/>
                <w:highlight w:val="none"/>
                <w:lang w:bidi="ar"/>
              </w:rPr>
            </w:pPr>
            <w:r>
              <w:rPr>
                <w:rFonts w:ascii="Times New Roman" w:hAnsi="Times New Roman"/>
                <w:b/>
                <w:color w:val="auto"/>
                <w:sz w:val="18"/>
                <w:szCs w:val="18"/>
                <w:highlight w:val="none"/>
              </w:rPr>
              <w:t>备注：</w:t>
            </w:r>
            <w:r>
              <w:rPr>
                <w:rFonts w:hint="eastAsia" w:ascii="Times New Roman" w:hAnsi="Times New Roman"/>
                <w:b/>
                <w:color w:val="auto"/>
                <w:sz w:val="18"/>
                <w:szCs w:val="18"/>
                <w:highlight w:val="none"/>
                <w:lang w:eastAsia="zh-CN"/>
              </w:rPr>
              <w:t>（1）本标段限定性技术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Style w:val="47"/>
                <w:rFonts w:hint="default" w:ascii="Times New Roman" w:hAnsi="Times New Roman"/>
                <w:color w:val="auto"/>
                <w:sz w:val="18"/>
                <w:szCs w:val="18"/>
                <w:highlight w:val="none"/>
                <w:lang w:bidi="ar"/>
              </w:rPr>
              <w:t>144000</w:t>
            </w:r>
            <w:r>
              <w:rPr>
                <w:rFonts w:hint="eastAsia" w:ascii="Times New Roman" w:hAnsi="Times New Roman"/>
                <w:b/>
                <w:color w:val="auto"/>
                <w:sz w:val="18"/>
                <w:szCs w:val="18"/>
                <w:highlight w:val="none"/>
                <w:lang w:eastAsia="zh-CN"/>
              </w:rPr>
              <w:t>元，</w:t>
            </w:r>
            <w:r>
              <w:rPr>
                <w:rFonts w:hint="eastAsia" w:ascii="Times New Roman" w:hAnsi="Times New Roman"/>
                <w:b/>
                <w:color w:val="auto"/>
                <w:sz w:val="18"/>
                <w:szCs w:val="18"/>
                <w:highlight w:val="none"/>
                <w:lang w:val="en-US" w:eastAsia="zh-CN"/>
              </w:rPr>
              <w:t>包含在总费用中但并非规定设施投入的全部费用，不管因任何原因未实施安装的，则该部分费用按照中标下浮率等比例下浮后一次性扣除，针对所在河道的考核标准和方法不变</w:t>
            </w:r>
            <w:r>
              <w:rPr>
                <w:rFonts w:hint="default" w:ascii="Times New Roman" w:hAnsi="Times New Roman"/>
                <w:b/>
                <w:color w:val="auto"/>
                <w:sz w:val="18"/>
                <w:szCs w:val="18"/>
                <w:highlight w:val="none"/>
                <w:lang w:eastAsia="zh-CN"/>
              </w:rPr>
              <w:t>。</w:t>
            </w:r>
            <w:r>
              <w:rPr>
                <w:rFonts w:hint="eastAsia" w:ascii="Times New Roman" w:hAnsi="Times New Roman"/>
                <w:b/>
                <w:color w:val="auto"/>
                <w:kern w:val="0"/>
                <w:sz w:val="18"/>
                <w:szCs w:val="18"/>
                <w:highlight w:val="none"/>
                <w:lang w:bidi="ar"/>
              </w:rPr>
              <w:t>（2）该标段推流增氧等设备及其它技术设施应符合宁波市、鄞州区等行业规范规定和要求。</w:t>
            </w:r>
          </w:p>
          <w:p>
            <w:pPr>
              <w:ind w:firstLine="361" w:firstLineChars="200"/>
              <w:jc w:val="left"/>
              <w:rPr>
                <w:rFonts w:hint="default" w:ascii="Times New Roman" w:hAnsi="Times New Roman"/>
                <w:b/>
                <w:color w:val="auto"/>
                <w:kern w:val="0"/>
                <w:sz w:val="18"/>
                <w:szCs w:val="18"/>
                <w:highlight w:val="none"/>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5000" w:type="pct"/>
            <w:gridSpan w:val="11"/>
            <w:shd w:val="clear" w:color="auto" w:fill="FFFFFF"/>
            <w:noWrap w:val="0"/>
            <w:tcMar>
              <w:top w:w="15" w:type="dxa"/>
              <w:left w:w="15" w:type="dxa"/>
              <w:right w:w="15" w:type="dxa"/>
            </w:tcMar>
            <w:vAlign w:val="center"/>
          </w:tcPr>
          <w:p>
            <w:pPr>
              <w:widowControl/>
              <w:jc w:val="center"/>
              <w:textAlignment w:val="center"/>
              <w:rPr>
                <w:rStyle w:val="51"/>
                <w:rFonts w:hint="default" w:ascii="Times New Roman" w:hAnsi="Times New Roman"/>
                <w:color w:val="auto"/>
                <w:sz w:val="18"/>
                <w:szCs w:val="18"/>
                <w:highlight w:val="none"/>
                <w:lang w:bidi="ar"/>
              </w:rPr>
            </w:pPr>
            <w:r>
              <w:rPr>
                <w:rStyle w:val="40"/>
                <w:rFonts w:hint="default" w:ascii="Times New Roman" w:hAnsi="Times New Roman" w:eastAsia="华文中宋"/>
                <w:color w:val="auto"/>
                <w:sz w:val="30"/>
                <w:szCs w:val="30"/>
                <w:highlight w:val="none"/>
                <w:lang w:bidi="ar"/>
              </w:rPr>
              <w:t>第八标段水质日常养护概况与技术策略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序号</w:t>
            </w:r>
          </w:p>
        </w:tc>
        <w:tc>
          <w:tcPr>
            <w:tcW w:w="305"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河道</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名称</w:t>
            </w:r>
          </w:p>
        </w:tc>
        <w:tc>
          <w:tcPr>
            <w:tcW w:w="258" w:type="pct"/>
            <w:shd w:val="clear" w:color="auto" w:fill="FFFFFF"/>
            <w:noWrap w:val="0"/>
            <w:tcMar>
              <w:top w:w="15" w:type="dxa"/>
              <w:left w:w="15" w:type="dxa"/>
              <w:right w:w="15" w:type="dxa"/>
            </w:tcMar>
            <w:vAlign w:val="center"/>
          </w:tcPr>
          <w:p>
            <w:pPr>
              <w:widowControl/>
              <w:jc w:val="center"/>
              <w:textAlignment w:val="center"/>
              <w:rPr>
                <w:rStyle w:val="57"/>
                <w:b/>
                <w:bCs/>
                <w:color w:val="auto"/>
                <w:sz w:val="21"/>
                <w:szCs w:val="21"/>
                <w:highlight w:val="none"/>
                <w:lang w:bidi="ar"/>
              </w:rPr>
            </w:pPr>
            <w:r>
              <w:rPr>
                <w:rStyle w:val="57"/>
                <w:b/>
                <w:bCs/>
                <w:color w:val="auto"/>
                <w:sz w:val="21"/>
                <w:szCs w:val="21"/>
                <w:highlight w:val="none"/>
                <w:lang w:bidi="ar"/>
              </w:rPr>
              <w:t>考核</w:t>
            </w:r>
          </w:p>
          <w:p>
            <w:pPr>
              <w:widowControl/>
              <w:jc w:val="center"/>
              <w:textAlignment w:val="center"/>
              <w:rPr>
                <w:rFonts w:ascii="Times New Roman" w:hAnsi="Times New Roman"/>
                <w:b/>
                <w:bCs/>
                <w:color w:val="auto"/>
                <w:sz w:val="21"/>
                <w:szCs w:val="21"/>
                <w:highlight w:val="none"/>
              </w:rPr>
            </w:pPr>
            <w:r>
              <w:rPr>
                <w:rStyle w:val="57"/>
                <w:b/>
                <w:bCs/>
                <w:color w:val="auto"/>
                <w:sz w:val="21"/>
                <w:szCs w:val="21"/>
                <w:highlight w:val="none"/>
                <w:lang w:bidi="ar"/>
              </w:rPr>
              <w:t>等级</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起点</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终点</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长度（</w:t>
            </w:r>
            <w:r>
              <w:rPr>
                <w:rStyle w:val="50"/>
                <w:b/>
                <w:bCs/>
                <w:color w:val="auto"/>
                <w:sz w:val="21"/>
                <w:szCs w:val="21"/>
                <w:highlight w:val="none"/>
                <w:lang w:bidi="ar"/>
              </w:rPr>
              <w:t>m</w:t>
            </w:r>
            <w:r>
              <w:rPr>
                <w:rStyle w:val="56"/>
                <w:rFonts w:hint="default" w:ascii="Times New Roman" w:hAnsi="Times New Roman"/>
                <w:b/>
                <w:bCs/>
                <w:color w:val="auto"/>
                <w:sz w:val="21"/>
                <w:szCs w:val="21"/>
                <w:highlight w:val="none"/>
                <w:lang w:bidi="ar"/>
              </w:rPr>
              <w:t>）</w:t>
            </w:r>
          </w:p>
        </w:tc>
        <w:tc>
          <w:tcPr>
            <w:tcW w:w="190"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宽度</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w:t>
            </w:r>
            <w:r>
              <w:rPr>
                <w:rStyle w:val="50"/>
                <w:b/>
                <w:bCs/>
                <w:color w:val="auto"/>
                <w:sz w:val="21"/>
                <w:szCs w:val="21"/>
                <w:highlight w:val="none"/>
                <w:lang w:bidi="ar"/>
              </w:rPr>
              <w:t>m</w:t>
            </w:r>
            <w:r>
              <w:rPr>
                <w:rStyle w:val="56"/>
                <w:rFonts w:hint="default" w:ascii="Times New Roman" w:hAnsi="Times New Roman"/>
                <w:b/>
                <w:bCs/>
                <w:color w:val="auto"/>
                <w:sz w:val="21"/>
                <w:szCs w:val="21"/>
                <w:highlight w:val="none"/>
                <w:lang w:bidi="ar"/>
              </w:rPr>
              <w:t>）</w:t>
            </w:r>
          </w:p>
        </w:tc>
        <w:tc>
          <w:tcPr>
            <w:tcW w:w="331"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面积</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w:t>
            </w:r>
            <w:r>
              <w:rPr>
                <w:rStyle w:val="50"/>
                <w:b/>
                <w:bCs/>
                <w:color w:val="auto"/>
                <w:sz w:val="21"/>
                <w:szCs w:val="21"/>
                <w:highlight w:val="none"/>
                <w:lang w:bidi="ar"/>
              </w:rPr>
              <w:t>m</w:t>
            </w:r>
            <w:r>
              <w:rPr>
                <w:rStyle w:val="58"/>
                <w:b/>
                <w:bCs/>
                <w:color w:val="auto"/>
                <w:sz w:val="21"/>
                <w:szCs w:val="21"/>
                <w:highlight w:val="none"/>
                <w:lang w:bidi="ar"/>
              </w:rPr>
              <w:t>2</w:t>
            </w:r>
            <w:r>
              <w:rPr>
                <w:rStyle w:val="56"/>
                <w:rFonts w:hint="default" w:ascii="Times New Roman" w:hAnsi="Times New Roman"/>
                <w:b/>
                <w:bCs/>
                <w:color w:val="auto"/>
                <w:sz w:val="21"/>
                <w:szCs w:val="21"/>
                <w:highlight w:val="none"/>
                <w:lang w:bidi="ar"/>
              </w:rPr>
              <w:t>）</w:t>
            </w:r>
          </w:p>
        </w:tc>
        <w:tc>
          <w:tcPr>
            <w:tcW w:w="839" w:type="pct"/>
            <w:shd w:val="clear" w:color="auto" w:fill="FFFFFF"/>
            <w:noWrap w:val="0"/>
            <w:tcMar>
              <w:top w:w="15" w:type="dxa"/>
              <w:left w:w="15" w:type="dxa"/>
              <w:right w:w="15" w:type="dxa"/>
            </w:tcMar>
            <w:vAlign w:val="center"/>
          </w:tcPr>
          <w:p>
            <w:pPr>
              <w:widowControl/>
              <w:jc w:val="center"/>
              <w:textAlignment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 xml:space="preserve">限定性技术① </w:t>
            </w:r>
          </w:p>
        </w:tc>
        <w:tc>
          <w:tcPr>
            <w:tcW w:w="908" w:type="pct"/>
            <w:shd w:val="clear" w:color="auto" w:fill="FFFFFF"/>
            <w:noWrap w:val="0"/>
            <w:tcMar>
              <w:top w:w="15" w:type="dxa"/>
              <w:left w:w="15" w:type="dxa"/>
              <w:right w:w="15" w:type="dxa"/>
            </w:tcMar>
            <w:vAlign w:val="center"/>
          </w:tcPr>
          <w:p>
            <w:pPr>
              <w:widowControl/>
              <w:jc w:val="center"/>
              <w:textAlignment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限定性技术②</w:t>
            </w:r>
          </w:p>
        </w:tc>
        <w:tc>
          <w:tcPr>
            <w:tcW w:w="1138"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Fonts w:ascii="Times New Roman" w:hAnsi="Times New Roman"/>
                <w:b/>
                <w:bCs/>
                <w:color w:val="auto"/>
                <w:sz w:val="21"/>
                <w:szCs w:val="21"/>
                <w:highlight w:val="none"/>
              </w:rPr>
              <w:t>非限定性技术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8</w:t>
            </w:r>
            <w:r>
              <w:rPr>
                <w:rFonts w:ascii="Times New Roman" w:hAnsi="Times New Roman"/>
                <w:color w:val="auto"/>
                <w:kern w:val="0"/>
                <w:sz w:val="18"/>
                <w:szCs w:val="18"/>
                <w:highlight w:val="none"/>
                <w:lang w:bidi="ar"/>
              </w:rPr>
              <w:t>-1</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顾家漕</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清水</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漕底</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小塘河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247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28.96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7153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设置1套一体化设备，设备处理能力不低于1000吨/天，单独计入设施增支费用</w:t>
            </w:r>
            <w:r>
              <w:rPr>
                <w:rFonts w:ascii="Times New Roman" w:hAnsi="Times New Roman"/>
                <w:color w:val="auto"/>
                <w:kern w:val="0"/>
                <w:sz w:val="18"/>
                <w:szCs w:val="18"/>
                <w:highlight w:val="none"/>
                <w:lang w:bidi="ar"/>
              </w:rPr>
              <w:t>72000元。</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设备总功率不低于5kw。</w:t>
            </w:r>
          </w:p>
        </w:tc>
        <w:tc>
          <w:tcPr>
            <w:tcW w:w="1138" w:type="pct"/>
            <w:shd w:val="clear" w:color="auto" w:fill="FFFFFF"/>
            <w:noWrap/>
            <w:tcMar>
              <w:top w:w="15" w:type="dxa"/>
              <w:left w:w="15" w:type="dxa"/>
              <w:right w:w="15" w:type="dxa"/>
            </w:tcMar>
            <w:vAlign w:val="center"/>
          </w:tcPr>
          <w:p>
            <w:pPr>
              <w:widowControl/>
              <w:jc w:val="left"/>
              <w:textAlignment w:val="center"/>
              <w:rPr>
                <w:rStyle w:val="56"/>
                <w:rFonts w:hint="default" w:ascii="Times New Roman" w:hAnsi="Times New Roman"/>
                <w:color w:val="auto"/>
                <w:sz w:val="18"/>
                <w:szCs w:val="18"/>
                <w:highlight w:val="none"/>
                <w:lang w:bidi="ar"/>
              </w:rPr>
            </w:pPr>
            <w:r>
              <w:rPr>
                <w:rStyle w:val="51"/>
                <w:rFonts w:hint="default" w:ascii="Times New Roman" w:hAnsi="Times New Roman"/>
                <w:color w:val="auto"/>
                <w:sz w:val="18"/>
                <w:szCs w:val="18"/>
                <w:highlight w:val="none"/>
                <w:lang w:bidi="ar"/>
              </w:rPr>
              <w:t>沉水植物构建技术，覆盖率不低于60%；底泥改良技术、旁路生物过滤技术、生物接触氧化技术。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8</w:t>
            </w:r>
            <w:r>
              <w:rPr>
                <w:rFonts w:ascii="Times New Roman" w:hAnsi="Times New Roman"/>
                <w:color w:val="auto"/>
                <w:kern w:val="0"/>
                <w:sz w:val="18"/>
                <w:szCs w:val="18"/>
                <w:highlight w:val="none"/>
                <w:lang w:bidi="ar"/>
              </w:rPr>
              <w:t>-2</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新河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大石碶</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甬港南路</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1605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22.31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35812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生物循环净化设施技术、推流增氧设备技术</w:t>
            </w:r>
            <w:r>
              <w:rPr>
                <w:rStyle w:val="51"/>
                <w:rFonts w:hint="default" w:ascii="Times New Roman" w:hAnsi="Times New Roman"/>
                <w:color w:val="auto"/>
                <w:sz w:val="18"/>
                <w:szCs w:val="18"/>
                <w:highlight w:val="none"/>
                <w:lang w:bidi="ar"/>
              </w:rPr>
              <w:t>，设施设备总功率不低于60kw。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8</w:t>
            </w:r>
            <w:r>
              <w:rPr>
                <w:rFonts w:ascii="Times New Roman" w:hAnsi="Times New Roman"/>
                <w:color w:val="auto"/>
                <w:kern w:val="0"/>
                <w:sz w:val="18"/>
                <w:szCs w:val="18"/>
                <w:highlight w:val="none"/>
                <w:lang w:bidi="ar"/>
              </w:rPr>
              <w:t>-3</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小塘河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甬港南路</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世纪大道</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3065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25.05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76785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生物循环净化设施技术、推流增氧设备技术</w:t>
            </w:r>
            <w:r>
              <w:rPr>
                <w:rStyle w:val="51"/>
                <w:rFonts w:hint="default" w:ascii="Times New Roman" w:hAnsi="Times New Roman"/>
                <w:color w:val="auto"/>
                <w:sz w:val="18"/>
                <w:szCs w:val="18"/>
                <w:highlight w:val="none"/>
                <w:lang w:bidi="ar"/>
              </w:rPr>
              <w:t>，设施设备总功率不低于120kw。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8</w:t>
            </w:r>
            <w:r>
              <w:rPr>
                <w:rFonts w:ascii="Times New Roman" w:hAnsi="Times New Roman"/>
                <w:color w:val="auto"/>
                <w:kern w:val="0"/>
                <w:sz w:val="18"/>
                <w:szCs w:val="18"/>
                <w:highlight w:val="none"/>
                <w:lang w:bidi="ar"/>
              </w:rPr>
              <w:t>-4</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东柳漕</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漕底</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小塘河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54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12.30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664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生物循环净化设施技术、推流增氧设备技术</w:t>
            </w:r>
            <w:r>
              <w:rPr>
                <w:rStyle w:val="51"/>
                <w:rFonts w:hint="default" w:ascii="Times New Roman" w:hAnsi="Times New Roman"/>
                <w:color w:val="auto"/>
                <w:sz w:val="18"/>
                <w:szCs w:val="18"/>
                <w:highlight w:val="none"/>
                <w:lang w:bidi="ar"/>
              </w:rPr>
              <w:t>，设施设备总功率不低于2kw。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8</w:t>
            </w:r>
            <w:r>
              <w:rPr>
                <w:rFonts w:ascii="Times New Roman" w:hAnsi="Times New Roman"/>
                <w:color w:val="auto"/>
                <w:kern w:val="0"/>
                <w:sz w:val="18"/>
                <w:szCs w:val="18"/>
                <w:highlight w:val="none"/>
                <w:lang w:bidi="ar"/>
              </w:rPr>
              <w:t>-5</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闻江岸河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小塘河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1177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8.48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9986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设置1套一体化设备，设备处理能力不低于500吨/天，单独计入设施增支费用</w:t>
            </w:r>
            <w:r>
              <w:rPr>
                <w:rFonts w:ascii="Times New Roman" w:hAnsi="Times New Roman"/>
                <w:color w:val="auto"/>
                <w:kern w:val="0"/>
                <w:sz w:val="18"/>
                <w:szCs w:val="18"/>
                <w:highlight w:val="none"/>
                <w:lang w:bidi="ar"/>
              </w:rPr>
              <w:t>45000元。</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设备总功率不低于10kw。</w:t>
            </w:r>
          </w:p>
        </w:tc>
        <w:tc>
          <w:tcPr>
            <w:tcW w:w="1138" w:type="pct"/>
            <w:shd w:val="clear" w:color="auto" w:fill="FFFFFF"/>
            <w:noWrap/>
            <w:tcMar>
              <w:top w:w="15" w:type="dxa"/>
              <w:left w:w="15" w:type="dxa"/>
              <w:right w:w="15" w:type="dxa"/>
            </w:tcMar>
            <w:vAlign w:val="center"/>
          </w:tcPr>
          <w:p>
            <w:pPr>
              <w:jc w:val="left"/>
              <w:rPr>
                <w:rStyle w:val="56"/>
                <w:rFonts w:hint="default" w:ascii="Times New Roman" w:hAnsi="Times New Roman"/>
                <w:color w:val="auto"/>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8</w:t>
            </w:r>
            <w:r>
              <w:rPr>
                <w:rFonts w:ascii="Times New Roman" w:hAnsi="Times New Roman"/>
                <w:color w:val="auto"/>
                <w:kern w:val="0"/>
                <w:sz w:val="18"/>
                <w:szCs w:val="18"/>
                <w:highlight w:val="none"/>
                <w:lang w:bidi="ar"/>
              </w:rPr>
              <w:t>-6</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矮柳河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小塘河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1400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12.40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17366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设备总功率不低于35kw。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8</w:t>
            </w:r>
            <w:r>
              <w:rPr>
                <w:rFonts w:ascii="Times New Roman" w:hAnsi="Times New Roman"/>
                <w:color w:val="auto"/>
                <w:kern w:val="0"/>
                <w:sz w:val="18"/>
                <w:szCs w:val="18"/>
                <w:highlight w:val="none"/>
                <w:lang w:bidi="ar"/>
              </w:rPr>
              <w:t>-7</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罗家河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小塘河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1290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11.33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14622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设备总功率不低于30kw。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Style w:val="47"/>
                <w:rFonts w:hint="default" w:ascii="Times New Roman" w:hAnsi="Times New Roman"/>
                <w:color w:val="auto"/>
                <w:sz w:val="18"/>
                <w:szCs w:val="18"/>
                <w:highlight w:val="none"/>
                <w:lang w:bidi="ar"/>
              </w:rPr>
              <w:t>第八标段日常养护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8838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162388 </w:t>
            </w:r>
          </w:p>
        </w:tc>
        <w:tc>
          <w:tcPr>
            <w:tcW w:w="2886" w:type="pct"/>
            <w:gridSpan w:val="3"/>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Fonts w:hint="eastAsia" w:ascii="Times New Roman" w:hAnsi="Times New Roman"/>
                <w:b/>
                <w:color w:val="auto"/>
                <w:sz w:val="18"/>
                <w:szCs w:val="18"/>
                <w:highlight w:val="none"/>
                <w:lang w:val="en-US" w:eastAsia="zh-CN"/>
              </w:rPr>
              <w:t>第八</w:t>
            </w:r>
            <w:r>
              <w:rPr>
                <w:rFonts w:hint="eastAsia" w:ascii="Times New Roman" w:hAnsi="Times New Roman"/>
                <w:b/>
                <w:color w:val="auto"/>
                <w:sz w:val="18"/>
                <w:szCs w:val="18"/>
                <w:highlight w:val="none"/>
                <w:lang w:eastAsia="zh-CN"/>
              </w:rPr>
              <w:t>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hint="eastAsia" w:ascii="Times New Roman" w:hAnsi="Times New Roman"/>
                <w:b/>
                <w:color w:val="auto"/>
                <w:sz w:val="18"/>
                <w:szCs w:val="18"/>
                <w:highlight w:val="none"/>
                <w:lang w:val="en-US" w:eastAsia="zh-CN"/>
              </w:rPr>
              <w:t xml:space="preserve"> </w:t>
            </w:r>
            <w:r>
              <w:rPr>
                <w:rFonts w:ascii="Times New Roman" w:hAnsi="Times New Roman"/>
                <w:b/>
                <w:color w:val="auto"/>
                <w:sz w:val="18"/>
                <w:szCs w:val="18"/>
                <w:highlight w:val="none"/>
              </w:rPr>
              <w:t>117000</w:t>
            </w:r>
            <w:r>
              <w:rPr>
                <w:rFonts w:hint="eastAsia" w:ascii="Times New Roman" w:hAnsi="Times New Roman"/>
                <w:b/>
                <w:color w:val="auto"/>
                <w:sz w:val="18"/>
                <w:szCs w:val="18"/>
                <w:highlight w:val="none"/>
                <w:lang w:eastAsia="zh-CN"/>
              </w:rPr>
              <w:t xml:space="preserve">元 </w:t>
            </w:r>
            <w:r>
              <w:rPr>
                <w:rFonts w:hint="default" w:ascii="Times New Roman" w:hAnsi="Times New Roman"/>
                <w:b/>
                <w:color w:val="auto"/>
                <w:sz w:val="18"/>
                <w:szCs w:val="18"/>
                <w:highlight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8</w:t>
            </w:r>
            <w:r>
              <w:rPr>
                <w:rFonts w:ascii="Times New Roman" w:hAnsi="Times New Roman"/>
                <w:color w:val="auto"/>
                <w:kern w:val="0"/>
                <w:sz w:val="18"/>
                <w:szCs w:val="18"/>
                <w:highlight w:val="none"/>
                <w:lang w:bidi="ar"/>
              </w:rPr>
              <w:t>-8</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后塘河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应急河道</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闻江岸河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世纪大道</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1957</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36.15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70741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预防黑臭及控藻等应急技术。</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kern w:val="0"/>
                <w:sz w:val="18"/>
                <w:szCs w:val="18"/>
                <w:highlight w:val="none"/>
                <w:lang w:bidi="ar"/>
              </w:rPr>
            </w:pPr>
            <w:r>
              <w:rPr>
                <w:rStyle w:val="52"/>
                <w:rFonts w:hint="default" w:ascii="Times New Roman" w:hAnsi="Times New Roman" w:cs="Times New Roman"/>
                <w:color w:val="auto"/>
                <w:sz w:val="18"/>
                <w:szCs w:val="18"/>
                <w:highlight w:val="none"/>
                <w:lang w:bidi="ar"/>
              </w:rPr>
              <w:t>底泥消毒与底泥改良技术。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color w:val="auto"/>
                <w:sz w:val="18"/>
                <w:szCs w:val="18"/>
                <w:highlight w:val="none"/>
              </w:rPr>
            </w:pPr>
            <w:r>
              <w:rPr>
                <w:rStyle w:val="47"/>
                <w:rFonts w:hint="default" w:ascii="Times New Roman" w:hAnsi="Times New Roman"/>
                <w:color w:val="auto"/>
                <w:sz w:val="18"/>
                <w:szCs w:val="18"/>
                <w:highlight w:val="none"/>
                <w:lang w:bidi="ar"/>
              </w:rPr>
              <w:t>第八标段应急养护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1957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70741</w:t>
            </w:r>
          </w:p>
        </w:tc>
        <w:tc>
          <w:tcPr>
            <w:tcW w:w="839" w:type="pct"/>
            <w:shd w:val="clear" w:color="auto" w:fill="FFFFFF"/>
            <w:noWrap w:val="0"/>
            <w:tcMar>
              <w:top w:w="15" w:type="dxa"/>
              <w:left w:w="15" w:type="dxa"/>
              <w:right w:w="15" w:type="dxa"/>
            </w:tcMar>
            <w:vAlign w:val="center"/>
          </w:tcPr>
          <w:p>
            <w:pPr>
              <w:jc w:val="center"/>
              <w:rPr>
                <w:rFonts w:ascii="Times New Roman" w:hAnsi="Times New Roman"/>
                <w:color w:val="auto"/>
                <w:sz w:val="18"/>
                <w:szCs w:val="18"/>
                <w:highlight w:val="none"/>
              </w:rPr>
            </w:pP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tcMar>
              <w:top w:w="15" w:type="dxa"/>
              <w:left w:w="15" w:type="dxa"/>
              <w:right w:w="15" w:type="dxa"/>
            </w:tcMar>
            <w:vAlign w:val="center"/>
          </w:tcPr>
          <w:p>
            <w:pPr>
              <w:jc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第</w:t>
            </w:r>
            <w:r>
              <w:rPr>
                <w:rStyle w:val="47"/>
                <w:rFonts w:hint="default" w:ascii="Times New Roman" w:hAnsi="Times New Roman"/>
                <w:color w:val="auto"/>
                <w:sz w:val="18"/>
                <w:szCs w:val="18"/>
                <w:highlight w:val="none"/>
                <w:lang w:bidi="ar"/>
              </w:rPr>
              <w:t>八</w:t>
            </w:r>
            <w:r>
              <w:rPr>
                <w:rFonts w:ascii="Times New Roman" w:hAnsi="Times New Roman"/>
                <w:b/>
                <w:color w:val="auto"/>
                <w:kern w:val="0"/>
                <w:sz w:val="18"/>
                <w:szCs w:val="18"/>
                <w:highlight w:val="none"/>
                <w:lang w:bidi="ar"/>
              </w:rPr>
              <w:t>标段合计养护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10795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233129 </w:t>
            </w:r>
          </w:p>
        </w:tc>
        <w:tc>
          <w:tcPr>
            <w:tcW w:w="2886" w:type="pct"/>
            <w:gridSpan w:val="3"/>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Fonts w:hint="eastAsia" w:ascii="Times New Roman" w:hAnsi="Times New Roman"/>
                <w:b/>
                <w:color w:val="auto"/>
                <w:sz w:val="18"/>
                <w:szCs w:val="18"/>
                <w:highlight w:val="none"/>
                <w:lang w:val="en-US" w:eastAsia="zh-CN"/>
              </w:rPr>
              <w:t>第八</w:t>
            </w:r>
            <w:r>
              <w:rPr>
                <w:rFonts w:hint="eastAsia" w:ascii="Times New Roman" w:hAnsi="Times New Roman"/>
                <w:b/>
                <w:color w:val="auto"/>
                <w:sz w:val="18"/>
                <w:szCs w:val="18"/>
                <w:highlight w:val="none"/>
                <w:lang w:eastAsia="zh-CN"/>
              </w:rPr>
              <w:t>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hint="eastAsia" w:ascii="Times New Roman" w:hAnsi="Times New Roman"/>
                <w:b/>
                <w:color w:val="auto"/>
                <w:sz w:val="18"/>
                <w:szCs w:val="18"/>
                <w:highlight w:val="none"/>
                <w:lang w:val="en-US" w:eastAsia="zh-CN"/>
              </w:rPr>
              <w:t xml:space="preserve"> </w:t>
            </w:r>
            <w:r>
              <w:rPr>
                <w:rFonts w:ascii="Times New Roman" w:hAnsi="Times New Roman"/>
                <w:b/>
                <w:color w:val="auto"/>
                <w:sz w:val="18"/>
                <w:szCs w:val="18"/>
                <w:highlight w:val="none"/>
              </w:rPr>
              <w:t>117000</w:t>
            </w:r>
            <w:r>
              <w:rPr>
                <w:rFonts w:hint="eastAsia" w:ascii="Times New Roman" w:hAnsi="Times New Roman"/>
                <w:b/>
                <w:color w:val="auto"/>
                <w:sz w:val="18"/>
                <w:szCs w:val="18"/>
                <w:highlight w:val="none"/>
                <w:lang w:eastAsia="zh-CN"/>
              </w:rPr>
              <w:t>元</w:t>
            </w:r>
            <w:r>
              <w:rPr>
                <w:rFonts w:hint="eastAsia" w:ascii="Times New Roman" w:hAnsi="Times New Roman"/>
                <w:b/>
                <w:color w:val="auto"/>
                <w:kern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5000" w:type="pct"/>
            <w:gridSpan w:val="11"/>
            <w:shd w:val="clear" w:color="auto" w:fill="FFFFFF"/>
            <w:noWrap/>
            <w:tcMar>
              <w:top w:w="15" w:type="dxa"/>
              <w:left w:w="15" w:type="dxa"/>
              <w:right w:w="15" w:type="dxa"/>
            </w:tcMar>
            <w:vAlign w:val="center"/>
          </w:tcPr>
          <w:p>
            <w:pPr>
              <w:ind w:firstLine="361" w:firstLineChars="200"/>
              <w:jc w:val="left"/>
              <w:rPr>
                <w:rFonts w:hint="eastAsia" w:ascii="Times New Roman" w:hAnsi="Times New Roman"/>
                <w:b/>
                <w:color w:val="auto"/>
                <w:kern w:val="0"/>
                <w:sz w:val="18"/>
                <w:szCs w:val="18"/>
                <w:highlight w:val="none"/>
                <w:lang w:bidi="ar"/>
              </w:rPr>
            </w:pPr>
            <w:r>
              <w:rPr>
                <w:rFonts w:ascii="Times New Roman" w:hAnsi="Times New Roman"/>
                <w:b/>
                <w:color w:val="auto"/>
                <w:sz w:val="18"/>
                <w:szCs w:val="18"/>
                <w:highlight w:val="none"/>
              </w:rPr>
              <w:t>备注：</w:t>
            </w:r>
            <w:r>
              <w:rPr>
                <w:rFonts w:hint="eastAsia" w:ascii="Times New Roman" w:hAnsi="Times New Roman"/>
                <w:b/>
                <w:color w:val="auto"/>
                <w:sz w:val="18"/>
                <w:szCs w:val="18"/>
                <w:highlight w:val="none"/>
                <w:lang w:eastAsia="zh-CN"/>
              </w:rPr>
              <w:t>（1）本标段限定性技术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hint="eastAsia" w:ascii="Times New Roman" w:hAnsi="Times New Roman"/>
                <w:b/>
                <w:color w:val="auto"/>
                <w:sz w:val="18"/>
                <w:szCs w:val="18"/>
                <w:highlight w:val="none"/>
                <w:lang w:val="en-US" w:eastAsia="zh-CN"/>
              </w:rPr>
              <w:t xml:space="preserve"> </w:t>
            </w:r>
            <w:r>
              <w:rPr>
                <w:rFonts w:ascii="Times New Roman" w:hAnsi="Times New Roman"/>
                <w:b/>
                <w:color w:val="auto"/>
                <w:sz w:val="18"/>
                <w:szCs w:val="18"/>
                <w:highlight w:val="none"/>
              </w:rPr>
              <w:t>117000</w:t>
            </w:r>
            <w:r>
              <w:rPr>
                <w:rFonts w:hint="eastAsia" w:ascii="Times New Roman" w:hAnsi="Times New Roman"/>
                <w:b/>
                <w:color w:val="auto"/>
                <w:sz w:val="18"/>
                <w:szCs w:val="18"/>
                <w:highlight w:val="none"/>
                <w:lang w:eastAsia="zh-CN"/>
              </w:rPr>
              <w:t>元，</w:t>
            </w:r>
            <w:r>
              <w:rPr>
                <w:rFonts w:hint="eastAsia" w:ascii="Times New Roman" w:hAnsi="Times New Roman"/>
                <w:b/>
                <w:color w:val="auto"/>
                <w:sz w:val="18"/>
                <w:szCs w:val="18"/>
                <w:highlight w:val="none"/>
                <w:lang w:val="en-US" w:eastAsia="zh-CN"/>
              </w:rPr>
              <w:t>包含在总费用中但并非规定设施投入的全部费用，不管因任何原因未实施安装的，则该部分费用按照中标下浮率等比例下浮后一次性扣除，针对所在河道的考核标准和方法不变</w:t>
            </w:r>
            <w:r>
              <w:rPr>
                <w:rFonts w:hint="default" w:ascii="Times New Roman" w:hAnsi="Times New Roman"/>
                <w:b/>
                <w:color w:val="auto"/>
                <w:sz w:val="18"/>
                <w:szCs w:val="18"/>
                <w:highlight w:val="none"/>
                <w:lang w:eastAsia="zh-CN"/>
              </w:rPr>
              <w:t>。</w:t>
            </w:r>
            <w:r>
              <w:rPr>
                <w:rFonts w:hint="eastAsia" w:ascii="Times New Roman" w:hAnsi="Times New Roman"/>
                <w:b/>
                <w:color w:val="auto"/>
                <w:kern w:val="0"/>
                <w:sz w:val="18"/>
                <w:szCs w:val="18"/>
                <w:highlight w:val="none"/>
                <w:lang w:bidi="ar"/>
              </w:rPr>
              <w:t>（2）该标段推流增氧等设备及其它技术设施应符合宁波市、鄞州区等行业规范规定和要求。</w:t>
            </w:r>
          </w:p>
          <w:p>
            <w:pPr>
              <w:ind w:firstLine="361" w:firstLineChars="200"/>
              <w:jc w:val="left"/>
              <w:rPr>
                <w:rFonts w:hint="eastAsia" w:ascii="Times New Roman" w:hAnsi="Times New Roman"/>
                <w:b/>
                <w:color w:val="auto"/>
                <w:kern w:val="0"/>
                <w:sz w:val="18"/>
                <w:szCs w:val="18"/>
                <w:highlight w:val="none"/>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5000" w:type="pct"/>
            <w:gridSpan w:val="11"/>
            <w:shd w:val="clear" w:color="auto" w:fill="FFFFFF"/>
            <w:noWrap w:val="0"/>
            <w:tcMar>
              <w:top w:w="15" w:type="dxa"/>
              <w:left w:w="15" w:type="dxa"/>
              <w:right w:w="15" w:type="dxa"/>
            </w:tcMar>
            <w:vAlign w:val="center"/>
          </w:tcPr>
          <w:p>
            <w:pPr>
              <w:jc w:val="center"/>
              <w:rPr>
                <w:rStyle w:val="52"/>
                <w:rFonts w:hint="default" w:ascii="Times New Roman" w:hAnsi="Times New Roman" w:cs="Times New Roman"/>
                <w:color w:val="auto"/>
                <w:sz w:val="18"/>
                <w:szCs w:val="18"/>
                <w:highlight w:val="none"/>
                <w:lang w:bidi="ar"/>
              </w:rPr>
            </w:pPr>
            <w:r>
              <w:rPr>
                <w:rStyle w:val="40"/>
                <w:rFonts w:hint="default" w:ascii="Times New Roman" w:hAnsi="Times New Roman" w:eastAsia="华文中宋"/>
                <w:color w:val="auto"/>
                <w:sz w:val="30"/>
                <w:szCs w:val="30"/>
                <w:highlight w:val="none"/>
                <w:lang w:bidi="ar"/>
              </w:rPr>
              <w:t>第九标段水质日常养护概况与技术策略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18"/>
                <w:szCs w:val="18"/>
                <w:highlight w:val="none"/>
              </w:rPr>
            </w:pPr>
            <w:r>
              <w:rPr>
                <w:rStyle w:val="56"/>
                <w:rFonts w:hint="default" w:ascii="Times New Roman" w:hAnsi="Times New Roman"/>
                <w:b/>
                <w:bCs/>
                <w:color w:val="auto"/>
                <w:sz w:val="18"/>
                <w:szCs w:val="18"/>
                <w:highlight w:val="none"/>
                <w:lang w:bidi="ar"/>
              </w:rPr>
              <w:t>序号</w:t>
            </w:r>
          </w:p>
        </w:tc>
        <w:tc>
          <w:tcPr>
            <w:tcW w:w="305"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河道</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名称</w:t>
            </w:r>
          </w:p>
        </w:tc>
        <w:tc>
          <w:tcPr>
            <w:tcW w:w="258" w:type="pct"/>
            <w:shd w:val="clear" w:color="auto" w:fill="FFFFFF"/>
            <w:noWrap w:val="0"/>
            <w:tcMar>
              <w:top w:w="15" w:type="dxa"/>
              <w:left w:w="15" w:type="dxa"/>
              <w:right w:w="15" w:type="dxa"/>
            </w:tcMar>
            <w:vAlign w:val="center"/>
          </w:tcPr>
          <w:p>
            <w:pPr>
              <w:widowControl/>
              <w:jc w:val="center"/>
              <w:textAlignment w:val="center"/>
              <w:rPr>
                <w:rStyle w:val="57"/>
                <w:b/>
                <w:bCs/>
                <w:color w:val="auto"/>
                <w:sz w:val="21"/>
                <w:szCs w:val="21"/>
                <w:highlight w:val="none"/>
                <w:lang w:bidi="ar"/>
              </w:rPr>
            </w:pPr>
            <w:r>
              <w:rPr>
                <w:rStyle w:val="57"/>
                <w:b/>
                <w:bCs/>
                <w:color w:val="auto"/>
                <w:sz w:val="21"/>
                <w:szCs w:val="21"/>
                <w:highlight w:val="none"/>
                <w:lang w:bidi="ar"/>
              </w:rPr>
              <w:t>考核</w:t>
            </w:r>
          </w:p>
          <w:p>
            <w:pPr>
              <w:widowControl/>
              <w:jc w:val="center"/>
              <w:textAlignment w:val="center"/>
              <w:rPr>
                <w:rFonts w:ascii="Times New Roman" w:hAnsi="Times New Roman"/>
                <w:b/>
                <w:bCs/>
                <w:color w:val="auto"/>
                <w:sz w:val="21"/>
                <w:szCs w:val="21"/>
                <w:highlight w:val="none"/>
              </w:rPr>
            </w:pPr>
            <w:r>
              <w:rPr>
                <w:rStyle w:val="57"/>
                <w:b/>
                <w:bCs/>
                <w:color w:val="auto"/>
                <w:sz w:val="21"/>
                <w:szCs w:val="21"/>
                <w:highlight w:val="none"/>
                <w:lang w:bidi="ar"/>
              </w:rPr>
              <w:t>等级</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起点</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终点</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长度（</w:t>
            </w:r>
            <w:r>
              <w:rPr>
                <w:rStyle w:val="50"/>
                <w:b/>
                <w:bCs/>
                <w:color w:val="auto"/>
                <w:sz w:val="21"/>
                <w:szCs w:val="21"/>
                <w:highlight w:val="none"/>
                <w:lang w:bidi="ar"/>
              </w:rPr>
              <w:t>m</w:t>
            </w:r>
            <w:r>
              <w:rPr>
                <w:rStyle w:val="56"/>
                <w:rFonts w:hint="default" w:ascii="Times New Roman" w:hAnsi="Times New Roman"/>
                <w:b/>
                <w:bCs/>
                <w:color w:val="auto"/>
                <w:sz w:val="21"/>
                <w:szCs w:val="21"/>
                <w:highlight w:val="none"/>
                <w:lang w:bidi="ar"/>
              </w:rPr>
              <w:t>）</w:t>
            </w:r>
          </w:p>
        </w:tc>
        <w:tc>
          <w:tcPr>
            <w:tcW w:w="190"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宽度</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w:t>
            </w:r>
            <w:r>
              <w:rPr>
                <w:rStyle w:val="50"/>
                <w:b/>
                <w:bCs/>
                <w:color w:val="auto"/>
                <w:sz w:val="21"/>
                <w:szCs w:val="21"/>
                <w:highlight w:val="none"/>
                <w:lang w:bidi="ar"/>
              </w:rPr>
              <w:t>m</w:t>
            </w:r>
            <w:r>
              <w:rPr>
                <w:rStyle w:val="56"/>
                <w:rFonts w:hint="default" w:ascii="Times New Roman" w:hAnsi="Times New Roman"/>
                <w:b/>
                <w:bCs/>
                <w:color w:val="auto"/>
                <w:sz w:val="21"/>
                <w:szCs w:val="21"/>
                <w:highlight w:val="none"/>
                <w:lang w:bidi="ar"/>
              </w:rPr>
              <w:t>）</w:t>
            </w:r>
          </w:p>
        </w:tc>
        <w:tc>
          <w:tcPr>
            <w:tcW w:w="331"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面积</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w:t>
            </w:r>
            <w:r>
              <w:rPr>
                <w:rStyle w:val="50"/>
                <w:b/>
                <w:bCs/>
                <w:color w:val="auto"/>
                <w:sz w:val="21"/>
                <w:szCs w:val="21"/>
                <w:highlight w:val="none"/>
                <w:lang w:bidi="ar"/>
              </w:rPr>
              <w:t>m</w:t>
            </w:r>
            <w:r>
              <w:rPr>
                <w:rStyle w:val="58"/>
                <w:b/>
                <w:bCs/>
                <w:color w:val="auto"/>
                <w:sz w:val="21"/>
                <w:szCs w:val="21"/>
                <w:highlight w:val="none"/>
                <w:lang w:bidi="ar"/>
              </w:rPr>
              <w:t>2</w:t>
            </w:r>
            <w:r>
              <w:rPr>
                <w:rStyle w:val="56"/>
                <w:rFonts w:hint="default" w:ascii="Times New Roman" w:hAnsi="Times New Roman"/>
                <w:b/>
                <w:bCs/>
                <w:color w:val="auto"/>
                <w:sz w:val="21"/>
                <w:szCs w:val="21"/>
                <w:highlight w:val="none"/>
                <w:lang w:bidi="ar"/>
              </w:rPr>
              <w:t>）</w:t>
            </w:r>
          </w:p>
        </w:tc>
        <w:tc>
          <w:tcPr>
            <w:tcW w:w="839" w:type="pct"/>
            <w:shd w:val="clear" w:color="auto" w:fill="FFFFFF"/>
            <w:noWrap w:val="0"/>
            <w:tcMar>
              <w:top w:w="15" w:type="dxa"/>
              <w:left w:w="15" w:type="dxa"/>
              <w:right w:w="15" w:type="dxa"/>
            </w:tcMar>
            <w:vAlign w:val="center"/>
          </w:tcPr>
          <w:p>
            <w:pPr>
              <w:widowControl/>
              <w:jc w:val="center"/>
              <w:textAlignment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 xml:space="preserve">限定性技术① </w:t>
            </w:r>
          </w:p>
        </w:tc>
        <w:tc>
          <w:tcPr>
            <w:tcW w:w="908" w:type="pct"/>
            <w:shd w:val="clear" w:color="auto" w:fill="FFFFFF"/>
            <w:noWrap w:val="0"/>
            <w:tcMar>
              <w:top w:w="15" w:type="dxa"/>
              <w:left w:w="15" w:type="dxa"/>
              <w:right w:w="15" w:type="dxa"/>
            </w:tcMar>
            <w:vAlign w:val="center"/>
          </w:tcPr>
          <w:p>
            <w:pPr>
              <w:widowControl/>
              <w:jc w:val="center"/>
              <w:textAlignment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限定性技术②</w:t>
            </w:r>
          </w:p>
        </w:tc>
        <w:tc>
          <w:tcPr>
            <w:tcW w:w="1138"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Fonts w:ascii="Times New Roman" w:hAnsi="Times New Roman"/>
                <w:b/>
                <w:bCs/>
                <w:color w:val="auto"/>
                <w:sz w:val="21"/>
                <w:szCs w:val="21"/>
                <w:highlight w:val="none"/>
              </w:rPr>
              <w:t>非限定性技术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9</w:t>
            </w:r>
            <w:r>
              <w:rPr>
                <w:rFonts w:ascii="Times New Roman" w:hAnsi="Times New Roman"/>
                <w:color w:val="auto"/>
                <w:kern w:val="0"/>
                <w:sz w:val="18"/>
                <w:szCs w:val="18"/>
                <w:highlight w:val="none"/>
                <w:lang w:bidi="ar"/>
              </w:rPr>
              <w:t>-1</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南北河（南段）</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后塘河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小塘河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1063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15.23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16189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41"/>
                <w:rFonts w:ascii="Times New Roman" w:hAnsi="Times New Roman" w:cs="Times New Roman"/>
                <w:color w:val="auto"/>
                <w:sz w:val="18"/>
                <w:szCs w:val="18"/>
                <w:highlight w:val="none"/>
                <w:lang w:bidi="ar"/>
              </w:rPr>
              <w:t>设置1套一体化设备，设备处理能力不低于500吨/天</w:t>
            </w:r>
            <w:r>
              <w:rPr>
                <w:rStyle w:val="51"/>
                <w:rFonts w:hint="default" w:ascii="Times New Roman" w:hAnsi="Times New Roman"/>
                <w:color w:val="auto"/>
                <w:sz w:val="18"/>
                <w:szCs w:val="18"/>
                <w:highlight w:val="none"/>
                <w:lang w:bidi="ar"/>
              </w:rPr>
              <w:t>，单独计入设施增支费用</w:t>
            </w:r>
            <w:r>
              <w:rPr>
                <w:rFonts w:ascii="Times New Roman" w:hAnsi="Times New Roman"/>
                <w:color w:val="auto"/>
                <w:kern w:val="0"/>
                <w:sz w:val="18"/>
                <w:szCs w:val="18"/>
                <w:highlight w:val="none"/>
                <w:lang w:bidi="ar"/>
              </w:rPr>
              <w:t>45000元。</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41"/>
                <w:rFonts w:hint="eastAsia" w:ascii="Times New Roman" w:hAnsi="Times New Roman" w:eastAsia="宋体" w:cs="Times New Roman"/>
                <w:color w:val="auto"/>
                <w:sz w:val="18"/>
                <w:szCs w:val="18"/>
                <w:highlight w:val="none"/>
                <w:lang w:eastAsia="zh-CN" w:bidi="ar"/>
              </w:rPr>
              <w:t>推流增氧设备技术，</w:t>
            </w:r>
            <w:r>
              <w:rPr>
                <w:rStyle w:val="41"/>
                <w:rFonts w:ascii="Times New Roman" w:hAnsi="Times New Roman" w:cs="Times New Roman"/>
                <w:color w:val="auto"/>
                <w:sz w:val="18"/>
                <w:szCs w:val="18"/>
                <w:highlight w:val="none"/>
                <w:lang w:bidi="ar"/>
              </w:rPr>
              <w:t>设备</w:t>
            </w:r>
            <w:r>
              <w:rPr>
                <w:rStyle w:val="51"/>
                <w:rFonts w:hint="default" w:ascii="Times New Roman" w:hAnsi="Times New Roman"/>
                <w:color w:val="auto"/>
                <w:sz w:val="18"/>
                <w:szCs w:val="18"/>
                <w:highlight w:val="none"/>
                <w:lang w:bidi="ar"/>
              </w:rPr>
              <w:t>总</w:t>
            </w:r>
            <w:r>
              <w:rPr>
                <w:rStyle w:val="41"/>
                <w:rFonts w:ascii="Times New Roman" w:hAnsi="Times New Roman" w:cs="Times New Roman"/>
                <w:color w:val="auto"/>
                <w:sz w:val="18"/>
                <w:szCs w:val="18"/>
                <w:highlight w:val="none"/>
                <w:lang w:bidi="ar"/>
              </w:rPr>
              <w:t>功率不低于20kw。</w:t>
            </w:r>
          </w:p>
        </w:tc>
        <w:tc>
          <w:tcPr>
            <w:tcW w:w="1138" w:type="pct"/>
            <w:shd w:val="clear" w:color="auto" w:fill="FFFFFF"/>
            <w:noWrap/>
            <w:tcMar>
              <w:top w:w="15" w:type="dxa"/>
              <w:left w:w="15" w:type="dxa"/>
              <w:right w:w="15" w:type="dxa"/>
            </w:tcMar>
            <w:vAlign w:val="center"/>
          </w:tcPr>
          <w:p>
            <w:pPr>
              <w:jc w:val="left"/>
              <w:rPr>
                <w:rStyle w:val="56"/>
                <w:rFonts w:hint="default" w:ascii="Times New Roman" w:hAnsi="Times New Roman"/>
                <w:color w:val="auto"/>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9</w:t>
            </w:r>
            <w:r>
              <w:rPr>
                <w:rFonts w:ascii="Times New Roman" w:hAnsi="Times New Roman"/>
                <w:color w:val="auto"/>
                <w:kern w:val="0"/>
                <w:sz w:val="18"/>
                <w:szCs w:val="18"/>
                <w:highlight w:val="none"/>
                <w:lang w:bidi="ar"/>
              </w:rPr>
              <w:t>-2</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南北河（北段）</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中后河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1885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10.96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20666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41"/>
                <w:rFonts w:ascii="Times New Roman" w:hAnsi="Times New Roman" w:cs="Times New Roman"/>
                <w:color w:val="auto"/>
                <w:sz w:val="18"/>
                <w:szCs w:val="18"/>
                <w:highlight w:val="none"/>
                <w:lang w:bidi="ar"/>
              </w:rPr>
              <w:t>设置1套一体化设备，设备处理能力不低于1000吨/天</w:t>
            </w:r>
            <w:r>
              <w:rPr>
                <w:rStyle w:val="51"/>
                <w:rFonts w:hint="default" w:ascii="Times New Roman" w:hAnsi="Times New Roman"/>
                <w:color w:val="auto"/>
                <w:sz w:val="18"/>
                <w:szCs w:val="18"/>
                <w:highlight w:val="none"/>
                <w:lang w:bidi="ar"/>
              </w:rPr>
              <w:t>，单独计入设施增支费用</w:t>
            </w:r>
            <w:r>
              <w:rPr>
                <w:rFonts w:ascii="Times New Roman" w:hAnsi="Times New Roman"/>
                <w:color w:val="auto"/>
                <w:kern w:val="0"/>
                <w:sz w:val="18"/>
                <w:szCs w:val="18"/>
                <w:highlight w:val="none"/>
                <w:lang w:bidi="ar"/>
              </w:rPr>
              <w:t>72000元。</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41"/>
                <w:rFonts w:hint="eastAsia" w:ascii="Times New Roman" w:hAnsi="Times New Roman" w:eastAsia="宋体" w:cs="Times New Roman"/>
                <w:color w:val="auto"/>
                <w:sz w:val="18"/>
                <w:szCs w:val="18"/>
                <w:highlight w:val="none"/>
                <w:lang w:eastAsia="zh-CN" w:bidi="ar"/>
              </w:rPr>
              <w:t>推流增氧设备技术，</w:t>
            </w:r>
            <w:r>
              <w:rPr>
                <w:rStyle w:val="41"/>
                <w:rFonts w:ascii="Times New Roman" w:hAnsi="Times New Roman" w:cs="Times New Roman"/>
                <w:color w:val="auto"/>
                <w:sz w:val="18"/>
                <w:szCs w:val="18"/>
                <w:highlight w:val="none"/>
                <w:lang w:bidi="ar"/>
              </w:rPr>
              <w:t>设备</w:t>
            </w:r>
            <w:r>
              <w:rPr>
                <w:rStyle w:val="51"/>
                <w:rFonts w:hint="default" w:ascii="Times New Roman" w:hAnsi="Times New Roman"/>
                <w:color w:val="auto"/>
                <w:sz w:val="18"/>
                <w:szCs w:val="18"/>
                <w:highlight w:val="none"/>
                <w:lang w:bidi="ar"/>
              </w:rPr>
              <w:t>总</w:t>
            </w:r>
            <w:r>
              <w:rPr>
                <w:rStyle w:val="41"/>
                <w:rFonts w:ascii="Times New Roman" w:hAnsi="Times New Roman" w:cs="Times New Roman"/>
                <w:color w:val="auto"/>
                <w:sz w:val="18"/>
                <w:szCs w:val="18"/>
                <w:highlight w:val="none"/>
                <w:lang w:bidi="ar"/>
              </w:rPr>
              <w:t>功率不低于35kw。</w:t>
            </w:r>
          </w:p>
        </w:tc>
        <w:tc>
          <w:tcPr>
            <w:tcW w:w="1138" w:type="pct"/>
            <w:shd w:val="clear" w:color="auto" w:fill="FFFFFF"/>
            <w:noWrap/>
            <w:tcMar>
              <w:top w:w="15" w:type="dxa"/>
              <w:left w:w="15" w:type="dxa"/>
              <w:right w:w="15" w:type="dxa"/>
            </w:tcMar>
            <w:vAlign w:val="center"/>
          </w:tcPr>
          <w:p>
            <w:pPr>
              <w:jc w:val="left"/>
              <w:rPr>
                <w:rStyle w:val="56"/>
                <w:rFonts w:hint="default" w:ascii="Times New Roman" w:hAnsi="Times New Roman"/>
                <w:color w:val="auto"/>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9</w:t>
            </w:r>
            <w:r>
              <w:rPr>
                <w:rFonts w:ascii="Times New Roman" w:hAnsi="Times New Roman"/>
                <w:color w:val="auto"/>
                <w:kern w:val="0"/>
                <w:sz w:val="18"/>
                <w:szCs w:val="18"/>
                <w:highlight w:val="none"/>
                <w:lang w:bidi="ar"/>
              </w:rPr>
              <w:t>-3</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宁东河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小塘河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1029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11.78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12119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41"/>
                <w:rFonts w:ascii="Times New Roman" w:hAnsi="Times New Roman" w:cs="Times New Roman"/>
                <w:color w:val="auto"/>
                <w:sz w:val="18"/>
                <w:szCs w:val="18"/>
                <w:highlight w:val="none"/>
                <w:lang w:bidi="ar"/>
              </w:rPr>
              <w:t>设置1套一体化设备，设备处理能力不低于1000吨/天</w:t>
            </w:r>
            <w:r>
              <w:rPr>
                <w:rStyle w:val="51"/>
                <w:rFonts w:hint="default" w:ascii="Times New Roman" w:hAnsi="Times New Roman"/>
                <w:color w:val="auto"/>
                <w:sz w:val="18"/>
                <w:szCs w:val="18"/>
                <w:highlight w:val="none"/>
                <w:lang w:bidi="ar"/>
              </w:rPr>
              <w:t>，单独计入设施增支费用</w:t>
            </w:r>
            <w:r>
              <w:rPr>
                <w:rFonts w:ascii="Times New Roman" w:hAnsi="Times New Roman"/>
                <w:color w:val="auto"/>
                <w:kern w:val="0"/>
                <w:sz w:val="18"/>
                <w:szCs w:val="18"/>
                <w:highlight w:val="none"/>
                <w:lang w:bidi="ar"/>
              </w:rPr>
              <w:t>72000元。</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41"/>
                <w:rFonts w:hint="eastAsia" w:ascii="Times New Roman" w:hAnsi="Times New Roman" w:eastAsia="宋体" w:cs="Times New Roman"/>
                <w:color w:val="auto"/>
                <w:sz w:val="18"/>
                <w:szCs w:val="18"/>
                <w:highlight w:val="none"/>
                <w:lang w:eastAsia="zh-CN" w:bidi="ar"/>
              </w:rPr>
              <w:t>推流增氧设备技术，</w:t>
            </w:r>
            <w:r>
              <w:rPr>
                <w:rStyle w:val="41"/>
                <w:rFonts w:ascii="Times New Roman" w:hAnsi="Times New Roman" w:cs="Times New Roman"/>
                <w:color w:val="auto"/>
                <w:sz w:val="18"/>
                <w:szCs w:val="18"/>
                <w:highlight w:val="none"/>
                <w:lang w:bidi="ar"/>
              </w:rPr>
              <w:t>设备</w:t>
            </w:r>
            <w:r>
              <w:rPr>
                <w:rStyle w:val="51"/>
                <w:rFonts w:hint="default" w:ascii="Times New Roman" w:hAnsi="Times New Roman"/>
                <w:color w:val="auto"/>
                <w:sz w:val="18"/>
                <w:szCs w:val="18"/>
                <w:highlight w:val="none"/>
                <w:lang w:bidi="ar"/>
              </w:rPr>
              <w:t>总</w:t>
            </w:r>
            <w:r>
              <w:rPr>
                <w:rStyle w:val="41"/>
                <w:rFonts w:ascii="Times New Roman" w:hAnsi="Times New Roman" w:cs="Times New Roman"/>
                <w:color w:val="auto"/>
                <w:sz w:val="18"/>
                <w:szCs w:val="18"/>
                <w:highlight w:val="none"/>
                <w:lang w:bidi="ar"/>
              </w:rPr>
              <w:t>功率不低于20kw。</w:t>
            </w:r>
          </w:p>
        </w:tc>
        <w:tc>
          <w:tcPr>
            <w:tcW w:w="1138" w:type="pct"/>
            <w:shd w:val="clear" w:color="auto" w:fill="FFFFFF"/>
            <w:noWrap/>
            <w:tcMar>
              <w:top w:w="15" w:type="dxa"/>
              <w:left w:w="15" w:type="dxa"/>
              <w:right w:w="15" w:type="dxa"/>
            </w:tcMar>
            <w:vAlign w:val="center"/>
          </w:tcPr>
          <w:p>
            <w:pPr>
              <w:jc w:val="left"/>
              <w:rPr>
                <w:rStyle w:val="56"/>
                <w:rFonts w:hint="default" w:ascii="Times New Roman" w:hAnsi="Times New Roman"/>
                <w:color w:val="auto"/>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9</w:t>
            </w:r>
            <w:r>
              <w:rPr>
                <w:rFonts w:ascii="Times New Roman" w:hAnsi="Times New Roman"/>
                <w:color w:val="auto"/>
                <w:kern w:val="0"/>
                <w:sz w:val="18"/>
                <w:szCs w:val="18"/>
                <w:highlight w:val="none"/>
                <w:lang w:bidi="ar"/>
              </w:rPr>
              <w:t>-4</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东柳坊河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小塘河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1136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13.16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14951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41"/>
                <w:rFonts w:hint="eastAsia" w:ascii="Times New Roman" w:hAnsi="Times New Roman" w:eastAsia="宋体" w:cs="Times New Roman"/>
                <w:color w:val="auto"/>
                <w:sz w:val="18"/>
                <w:szCs w:val="18"/>
                <w:highlight w:val="none"/>
                <w:lang w:eastAsia="zh-CN" w:bidi="ar"/>
              </w:rPr>
              <w:t>推流增氧设备技术，</w:t>
            </w:r>
            <w:r>
              <w:rPr>
                <w:rStyle w:val="41"/>
                <w:rFonts w:ascii="Times New Roman" w:hAnsi="Times New Roman" w:cs="Times New Roman"/>
                <w:color w:val="auto"/>
                <w:sz w:val="18"/>
                <w:szCs w:val="18"/>
                <w:highlight w:val="none"/>
                <w:lang w:bidi="ar"/>
              </w:rPr>
              <w:t>设备</w:t>
            </w:r>
            <w:r>
              <w:rPr>
                <w:rStyle w:val="51"/>
                <w:rFonts w:hint="default" w:ascii="Times New Roman" w:hAnsi="Times New Roman"/>
                <w:color w:val="auto"/>
                <w:sz w:val="18"/>
                <w:szCs w:val="18"/>
                <w:highlight w:val="none"/>
                <w:lang w:bidi="ar"/>
              </w:rPr>
              <w:t>总</w:t>
            </w:r>
            <w:r>
              <w:rPr>
                <w:rStyle w:val="41"/>
                <w:rFonts w:ascii="Times New Roman" w:hAnsi="Times New Roman" w:cs="Times New Roman"/>
                <w:color w:val="auto"/>
                <w:sz w:val="18"/>
                <w:szCs w:val="18"/>
                <w:highlight w:val="none"/>
                <w:lang w:bidi="ar"/>
              </w:rPr>
              <w:t>功率不低于25kw。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9</w:t>
            </w:r>
            <w:r>
              <w:rPr>
                <w:rFonts w:ascii="Times New Roman" w:hAnsi="Times New Roman"/>
                <w:color w:val="auto"/>
                <w:kern w:val="0"/>
                <w:sz w:val="18"/>
                <w:szCs w:val="18"/>
                <w:highlight w:val="none"/>
                <w:lang w:bidi="ar"/>
              </w:rPr>
              <w:t>-5</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徐家河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曙光路</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长塘河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1306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7.87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10276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41"/>
                <w:rFonts w:ascii="Times New Roman" w:hAnsi="Times New Roman" w:cs="Times New Roman"/>
                <w:color w:val="auto"/>
                <w:sz w:val="18"/>
                <w:szCs w:val="18"/>
                <w:highlight w:val="none"/>
                <w:lang w:bidi="ar"/>
              </w:rPr>
              <w:t>设置1套一体化设备，设备处理能力不低于500吨/天，</w:t>
            </w:r>
            <w:r>
              <w:rPr>
                <w:rStyle w:val="51"/>
                <w:rFonts w:hint="default" w:ascii="Times New Roman" w:hAnsi="Times New Roman"/>
                <w:color w:val="auto"/>
                <w:sz w:val="18"/>
                <w:szCs w:val="18"/>
                <w:highlight w:val="none"/>
                <w:lang w:bidi="ar"/>
              </w:rPr>
              <w:t>单独计入设施增支费用45000</w:t>
            </w:r>
            <w:r>
              <w:rPr>
                <w:rFonts w:ascii="Times New Roman" w:hAnsi="Times New Roman"/>
                <w:color w:val="auto"/>
                <w:kern w:val="0"/>
                <w:sz w:val="18"/>
                <w:szCs w:val="18"/>
                <w:highlight w:val="none"/>
                <w:lang w:bidi="ar"/>
              </w:rPr>
              <w:t>元。</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41"/>
                <w:rFonts w:hint="eastAsia" w:ascii="Times New Roman" w:hAnsi="Times New Roman" w:eastAsia="宋体" w:cs="Times New Roman"/>
                <w:color w:val="auto"/>
                <w:sz w:val="18"/>
                <w:szCs w:val="18"/>
                <w:highlight w:val="none"/>
                <w:lang w:eastAsia="zh-CN" w:bidi="ar"/>
              </w:rPr>
              <w:t>推流增氧设备技术，</w:t>
            </w:r>
            <w:r>
              <w:rPr>
                <w:rStyle w:val="41"/>
                <w:rFonts w:ascii="Times New Roman" w:hAnsi="Times New Roman" w:cs="Times New Roman"/>
                <w:color w:val="auto"/>
                <w:sz w:val="18"/>
                <w:szCs w:val="18"/>
                <w:highlight w:val="none"/>
                <w:lang w:bidi="ar"/>
              </w:rPr>
              <w:t>设备</w:t>
            </w:r>
            <w:r>
              <w:rPr>
                <w:rStyle w:val="51"/>
                <w:rFonts w:hint="default" w:ascii="Times New Roman" w:hAnsi="Times New Roman"/>
                <w:color w:val="auto"/>
                <w:sz w:val="18"/>
                <w:szCs w:val="18"/>
                <w:highlight w:val="none"/>
                <w:lang w:bidi="ar"/>
              </w:rPr>
              <w:t>总</w:t>
            </w:r>
            <w:r>
              <w:rPr>
                <w:rStyle w:val="41"/>
                <w:rFonts w:ascii="Times New Roman" w:hAnsi="Times New Roman" w:cs="Times New Roman"/>
                <w:color w:val="auto"/>
                <w:sz w:val="18"/>
                <w:szCs w:val="18"/>
                <w:highlight w:val="none"/>
                <w:lang w:bidi="ar"/>
              </w:rPr>
              <w:t>功率不低于10kw。</w:t>
            </w:r>
          </w:p>
        </w:tc>
        <w:tc>
          <w:tcPr>
            <w:tcW w:w="1138" w:type="pct"/>
            <w:shd w:val="clear" w:color="auto" w:fill="FFFFFF"/>
            <w:noWrap w:val="0"/>
            <w:tcMar>
              <w:top w:w="15" w:type="dxa"/>
              <w:left w:w="15" w:type="dxa"/>
              <w:right w:w="15" w:type="dxa"/>
            </w:tcMar>
            <w:vAlign w:val="center"/>
          </w:tcPr>
          <w:p>
            <w:pPr>
              <w:jc w:val="left"/>
              <w:rPr>
                <w:rStyle w:val="51"/>
                <w:rFonts w:hint="default" w:ascii="Times New Roman" w:hAnsi="Times New Roman"/>
                <w:color w:val="auto"/>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9</w:t>
            </w:r>
            <w:r>
              <w:rPr>
                <w:rFonts w:ascii="Times New Roman" w:hAnsi="Times New Roman"/>
                <w:color w:val="auto"/>
                <w:kern w:val="0"/>
                <w:sz w:val="18"/>
                <w:szCs w:val="18"/>
                <w:highlight w:val="none"/>
                <w:lang w:bidi="ar"/>
              </w:rPr>
              <w:t>-6</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徐家河支流</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南北河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徐家河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350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10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3500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41"/>
                <w:rFonts w:ascii="Times New Roman" w:hAnsi="Times New Roman" w:cs="Times New Roman"/>
                <w:color w:val="auto"/>
                <w:sz w:val="18"/>
                <w:szCs w:val="18"/>
                <w:highlight w:val="none"/>
                <w:lang w:bidi="ar"/>
              </w:rPr>
              <w:t>设置1套一体化设备，设备处理能力不低于500吨/天</w:t>
            </w:r>
            <w:r>
              <w:rPr>
                <w:rStyle w:val="51"/>
                <w:rFonts w:hint="default" w:ascii="Times New Roman" w:hAnsi="Times New Roman"/>
                <w:color w:val="auto"/>
                <w:sz w:val="18"/>
                <w:szCs w:val="18"/>
                <w:highlight w:val="none"/>
                <w:lang w:bidi="ar"/>
              </w:rPr>
              <w:t>，单独计入设施增支费用45000</w:t>
            </w:r>
            <w:r>
              <w:rPr>
                <w:rFonts w:ascii="Times New Roman" w:hAnsi="Times New Roman"/>
                <w:color w:val="auto"/>
                <w:kern w:val="0"/>
                <w:sz w:val="18"/>
                <w:szCs w:val="18"/>
                <w:highlight w:val="none"/>
                <w:lang w:bidi="ar"/>
              </w:rPr>
              <w:t>元。</w:t>
            </w:r>
          </w:p>
        </w:tc>
        <w:tc>
          <w:tcPr>
            <w:tcW w:w="90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1138" w:type="pct"/>
            <w:shd w:val="clear" w:color="auto" w:fill="FFFFFF"/>
            <w:noWrap w:val="0"/>
            <w:tcMar>
              <w:top w:w="15" w:type="dxa"/>
              <w:left w:w="15" w:type="dxa"/>
              <w:right w:w="15" w:type="dxa"/>
            </w:tcMar>
            <w:vAlign w:val="center"/>
          </w:tcPr>
          <w:p>
            <w:pPr>
              <w:jc w:val="left"/>
              <w:rPr>
                <w:rStyle w:val="51"/>
                <w:rFonts w:hint="default" w:ascii="Times New Roman" w:hAnsi="Times New Roman"/>
                <w:color w:val="auto"/>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9</w:t>
            </w:r>
            <w:r>
              <w:rPr>
                <w:rFonts w:ascii="Times New Roman" w:hAnsi="Times New Roman"/>
                <w:color w:val="auto"/>
                <w:kern w:val="0"/>
                <w:sz w:val="18"/>
                <w:szCs w:val="18"/>
                <w:highlight w:val="none"/>
                <w:lang w:bidi="ar"/>
              </w:rPr>
              <w:t>-7</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中后河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后塘河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长塘河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1242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16.38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20339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41"/>
                <w:rFonts w:hint="eastAsia" w:ascii="Times New Roman" w:hAnsi="Times New Roman" w:eastAsia="宋体" w:cs="Times New Roman"/>
                <w:color w:val="auto"/>
                <w:sz w:val="18"/>
                <w:szCs w:val="18"/>
                <w:highlight w:val="none"/>
                <w:lang w:eastAsia="zh-CN" w:bidi="ar"/>
              </w:rPr>
              <w:t>推流增氧设备技术，</w:t>
            </w:r>
            <w:r>
              <w:rPr>
                <w:rStyle w:val="41"/>
                <w:rFonts w:ascii="Times New Roman" w:hAnsi="Times New Roman" w:cs="Times New Roman"/>
                <w:color w:val="auto"/>
                <w:sz w:val="18"/>
                <w:szCs w:val="18"/>
                <w:highlight w:val="none"/>
                <w:lang w:bidi="ar"/>
              </w:rPr>
              <w:t>设备</w:t>
            </w:r>
            <w:r>
              <w:rPr>
                <w:rStyle w:val="51"/>
                <w:rFonts w:hint="default" w:ascii="Times New Roman" w:hAnsi="Times New Roman"/>
                <w:color w:val="auto"/>
                <w:sz w:val="18"/>
                <w:szCs w:val="18"/>
                <w:highlight w:val="none"/>
                <w:lang w:bidi="ar"/>
              </w:rPr>
              <w:t>总</w:t>
            </w:r>
            <w:r>
              <w:rPr>
                <w:rStyle w:val="41"/>
                <w:rFonts w:ascii="Times New Roman" w:hAnsi="Times New Roman" w:cs="Times New Roman"/>
                <w:color w:val="auto"/>
                <w:sz w:val="18"/>
                <w:szCs w:val="18"/>
                <w:highlight w:val="none"/>
                <w:lang w:bidi="ar"/>
              </w:rPr>
              <w:t>功率不低于40kw。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Style w:val="47"/>
                <w:rFonts w:hint="default" w:ascii="Times New Roman" w:hAnsi="Times New Roman"/>
                <w:color w:val="auto"/>
                <w:sz w:val="18"/>
                <w:szCs w:val="18"/>
                <w:highlight w:val="none"/>
                <w:lang w:bidi="ar"/>
              </w:rPr>
              <w:t>第九标段日常养护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8011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98040 </w:t>
            </w:r>
          </w:p>
        </w:tc>
        <w:tc>
          <w:tcPr>
            <w:tcW w:w="2886" w:type="pct"/>
            <w:gridSpan w:val="3"/>
            <w:shd w:val="clear" w:color="auto" w:fill="FFFFFF"/>
            <w:noWrap w:val="0"/>
            <w:tcMar>
              <w:top w:w="15" w:type="dxa"/>
              <w:left w:w="15" w:type="dxa"/>
              <w:right w:w="15" w:type="dxa"/>
            </w:tcMar>
            <w:vAlign w:val="center"/>
          </w:tcPr>
          <w:p>
            <w:pPr>
              <w:jc w:val="center"/>
              <w:rPr>
                <w:rFonts w:hint="eastAsia" w:ascii="Times New Roman" w:hAnsi="Times New Roman" w:eastAsia="宋体"/>
                <w:b/>
                <w:color w:val="auto"/>
                <w:sz w:val="18"/>
                <w:szCs w:val="18"/>
                <w:highlight w:val="none"/>
                <w:lang w:eastAsia="zh-CN"/>
              </w:rPr>
            </w:pPr>
            <w:r>
              <w:rPr>
                <w:rFonts w:ascii="Times New Roman" w:hAnsi="Times New Roman"/>
                <w:b/>
                <w:bCs/>
                <w:color w:val="auto"/>
                <w:sz w:val="18"/>
                <w:szCs w:val="18"/>
                <w:highlight w:val="none"/>
              </w:rPr>
              <w:t>第</w:t>
            </w:r>
            <w:r>
              <w:rPr>
                <w:rFonts w:hint="eastAsia" w:ascii="Times New Roman" w:hAnsi="Times New Roman"/>
                <w:b/>
                <w:color w:val="auto"/>
                <w:sz w:val="18"/>
                <w:szCs w:val="18"/>
                <w:highlight w:val="none"/>
                <w:lang w:val="en-US" w:eastAsia="zh-CN"/>
              </w:rPr>
              <w:t>九</w:t>
            </w:r>
            <w:r>
              <w:rPr>
                <w:rFonts w:hint="eastAsia" w:ascii="Times New Roman" w:hAnsi="Times New Roman"/>
                <w:b/>
                <w:color w:val="auto"/>
                <w:sz w:val="18"/>
                <w:szCs w:val="18"/>
                <w:highlight w:val="none"/>
                <w:lang w:eastAsia="zh-CN"/>
              </w:rPr>
              <w:t>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ascii="Times New Roman" w:hAnsi="Times New Roman"/>
                <w:b/>
                <w:color w:val="auto"/>
                <w:sz w:val="18"/>
                <w:szCs w:val="18"/>
                <w:highlight w:val="none"/>
              </w:rPr>
              <w:t xml:space="preserve"> 279000</w:t>
            </w:r>
            <w:r>
              <w:rPr>
                <w:rFonts w:hint="eastAsia" w:ascii="Times New Roman" w:hAnsi="Times New Roman"/>
                <w:b/>
                <w:color w:val="auto"/>
                <w:sz w:val="18"/>
                <w:szCs w:val="18"/>
                <w:highlight w:val="none"/>
                <w:lang w:eastAsia="zh-CN"/>
              </w:rPr>
              <w:t xml:space="preserve">元 </w:t>
            </w:r>
            <w:r>
              <w:rPr>
                <w:rFonts w:hint="default" w:ascii="Times New Roman" w:hAnsi="Times New Roman"/>
                <w:b/>
                <w:color w:val="auto"/>
                <w:sz w:val="18"/>
                <w:szCs w:val="18"/>
                <w:highlight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hint="eastAsia" w:ascii="Times New Roman" w:hAnsi="Times New Roman"/>
                <w:color w:val="auto"/>
                <w:kern w:val="0"/>
                <w:sz w:val="18"/>
                <w:szCs w:val="18"/>
                <w:highlight w:val="none"/>
                <w:lang w:bidi="ar"/>
              </w:rPr>
              <w:t>9</w:t>
            </w:r>
            <w:r>
              <w:rPr>
                <w:rFonts w:ascii="Times New Roman" w:hAnsi="Times New Roman"/>
                <w:color w:val="auto"/>
                <w:kern w:val="0"/>
                <w:sz w:val="18"/>
                <w:szCs w:val="18"/>
                <w:highlight w:val="none"/>
                <w:lang w:bidi="ar"/>
              </w:rPr>
              <w:t>-8</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后塘河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应急河道</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南北河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闻江岸河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1424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31.85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45352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预防黑臭及控藻等应急技术。</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kern w:val="0"/>
                <w:sz w:val="18"/>
                <w:szCs w:val="18"/>
                <w:highlight w:val="none"/>
                <w:lang w:bidi="ar"/>
              </w:rPr>
            </w:pPr>
            <w:r>
              <w:rPr>
                <w:rFonts w:ascii="Times New Roman" w:hAnsi="Times New Roman"/>
                <w:color w:val="auto"/>
                <w:kern w:val="0"/>
                <w:sz w:val="18"/>
                <w:szCs w:val="18"/>
                <w:highlight w:val="none"/>
                <w:lang w:bidi="ar"/>
              </w:rPr>
              <w:t xml:space="preserve"> </w:t>
            </w:r>
            <w:r>
              <w:rPr>
                <w:rStyle w:val="52"/>
                <w:rFonts w:hint="default" w:ascii="Times New Roman" w:hAnsi="Times New Roman" w:cs="Times New Roman"/>
                <w:color w:val="auto"/>
                <w:sz w:val="18"/>
                <w:szCs w:val="18"/>
                <w:highlight w:val="none"/>
                <w:lang w:bidi="ar"/>
              </w:rPr>
              <w:t>底泥消毒与底泥改良技术。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color w:val="auto"/>
                <w:sz w:val="18"/>
                <w:szCs w:val="18"/>
                <w:highlight w:val="none"/>
              </w:rPr>
            </w:pPr>
            <w:r>
              <w:rPr>
                <w:rStyle w:val="47"/>
                <w:rFonts w:hint="default" w:ascii="Times New Roman" w:hAnsi="Times New Roman"/>
                <w:color w:val="auto"/>
                <w:sz w:val="18"/>
                <w:szCs w:val="18"/>
                <w:highlight w:val="none"/>
                <w:lang w:bidi="ar"/>
              </w:rPr>
              <w:t>第九标段应急养护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1424</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45352 </w:t>
            </w:r>
          </w:p>
        </w:tc>
        <w:tc>
          <w:tcPr>
            <w:tcW w:w="839" w:type="pct"/>
            <w:shd w:val="clear" w:color="auto" w:fill="FFFFFF"/>
            <w:noWrap w:val="0"/>
            <w:tcMar>
              <w:top w:w="15" w:type="dxa"/>
              <w:left w:w="15" w:type="dxa"/>
              <w:right w:w="15" w:type="dxa"/>
            </w:tcMar>
            <w:vAlign w:val="center"/>
          </w:tcPr>
          <w:p>
            <w:pPr>
              <w:jc w:val="center"/>
              <w:rPr>
                <w:rFonts w:ascii="Times New Roman" w:hAnsi="Times New Roman"/>
                <w:color w:val="auto"/>
                <w:sz w:val="18"/>
                <w:szCs w:val="18"/>
                <w:highlight w:val="none"/>
              </w:rPr>
            </w:pP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tcMar>
              <w:top w:w="15" w:type="dxa"/>
              <w:left w:w="15" w:type="dxa"/>
              <w:right w:w="15" w:type="dxa"/>
            </w:tcMar>
            <w:vAlign w:val="center"/>
          </w:tcPr>
          <w:p>
            <w:pPr>
              <w:jc w:val="center"/>
              <w:rPr>
                <w:rFonts w:ascii="Times New Roman" w:hAnsi="Times New Roman"/>
                <w:b/>
                <w:color w:val="auto"/>
                <w:sz w:val="18"/>
                <w:szCs w:val="18"/>
                <w:highlight w:val="none"/>
              </w:rPr>
            </w:pPr>
            <w:r>
              <w:rPr>
                <w:rStyle w:val="47"/>
                <w:rFonts w:hint="default" w:ascii="Times New Roman" w:hAnsi="Times New Roman"/>
                <w:color w:val="auto"/>
                <w:sz w:val="18"/>
                <w:szCs w:val="18"/>
                <w:highlight w:val="none"/>
                <w:lang w:bidi="ar"/>
              </w:rPr>
              <w:t>第九标段合计养护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9435</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143392 </w:t>
            </w:r>
          </w:p>
        </w:tc>
        <w:tc>
          <w:tcPr>
            <w:tcW w:w="2886" w:type="pct"/>
            <w:gridSpan w:val="3"/>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Fonts w:hint="eastAsia" w:ascii="Times New Roman" w:hAnsi="Times New Roman"/>
                <w:b/>
                <w:color w:val="auto"/>
                <w:sz w:val="18"/>
                <w:szCs w:val="18"/>
                <w:highlight w:val="none"/>
                <w:lang w:val="en-US" w:eastAsia="zh-CN"/>
              </w:rPr>
              <w:t>第九</w:t>
            </w:r>
            <w:r>
              <w:rPr>
                <w:rFonts w:hint="eastAsia" w:ascii="Times New Roman" w:hAnsi="Times New Roman"/>
                <w:b/>
                <w:color w:val="auto"/>
                <w:sz w:val="18"/>
                <w:szCs w:val="18"/>
                <w:highlight w:val="none"/>
                <w:lang w:eastAsia="zh-CN"/>
              </w:rPr>
              <w:t>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ascii="Times New Roman" w:hAnsi="Times New Roman"/>
                <w:b/>
                <w:color w:val="auto"/>
                <w:sz w:val="18"/>
                <w:szCs w:val="18"/>
                <w:highlight w:val="none"/>
              </w:rPr>
              <w:t xml:space="preserve"> 279000</w:t>
            </w:r>
            <w:r>
              <w:rPr>
                <w:rFonts w:hint="eastAsia" w:ascii="Times New Roman" w:hAnsi="Times New Roman"/>
                <w:b/>
                <w:color w:val="auto"/>
                <w:sz w:val="18"/>
                <w:szCs w:val="18"/>
                <w:highlight w:val="none"/>
                <w:lang w:eastAsia="zh-CN"/>
              </w:rPr>
              <w:t>元</w:t>
            </w:r>
            <w:r>
              <w:rPr>
                <w:rFonts w:hint="eastAsia" w:ascii="Times New Roman" w:hAnsi="Times New Roman"/>
                <w:b/>
                <w:color w:val="auto"/>
                <w:kern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5000" w:type="pct"/>
            <w:gridSpan w:val="11"/>
            <w:shd w:val="clear" w:color="auto" w:fill="FFFFFF"/>
            <w:noWrap/>
            <w:tcMar>
              <w:top w:w="15" w:type="dxa"/>
              <w:left w:w="15" w:type="dxa"/>
              <w:right w:w="15" w:type="dxa"/>
            </w:tcMar>
            <w:vAlign w:val="center"/>
          </w:tcPr>
          <w:p>
            <w:pPr>
              <w:ind w:firstLine="361" w:firstLineChars="200"/>
              <w:jc w:val="left"/>
              <w:rPr>
                <w:rFonts w:hint="eastAsia" w:ascii="Times New Roman" w:hAnsi="Times New Roman"/>
                <w:b/>
                <w:color w:val="auto"/>
                <w:kern w:val="0"/>
                <w:sz w:val="18"/>
                <w:szCs w:val="18"/>
                <w:highlight w:val="none"/>
                <w:lang w:bidi="ar"/>
              </w:rPr>
            </w:pPr>
            <w:r>
              <w:rPr>
                <w:rFonts w:ascii="Times New Roman" w:hAnsi="Times New Roman"/>
                <w:b/>
                <w:color w:val="auto"/>
                <w:sz w:val="18"/>
                <w:szCs w:val="18"/>
                <w:highlight w:val="none"/>
              </w:rPr>
              <w:t>备注：</w:t>
            </w:r>
            <w:r>
              <w:rPr>
                <w:rFonts w:hint="eastAsia" w:ascii="Times New Roman" w:hAnsi="Times New Roman"/>
                <w:b/>
                <w:color w:val="auto"/>
                <w:sz w:val="18"/>
                <w:szCs w:val="18"/>
                <w:highlight w:val="none"/>
              </w:rPr>
              <w:t>（1）</w:t>
            </w:r>
            <w:r>
              <w:rPr>
                <w:rFonts w:hint="eastAsia" w:ascii="Times New Roman" w:hAnsi="Times New Roman"/>
                <w:b/>
                <w:color w:val="auto"/>
                <w:sz w:val="18"/>
                <w:szCs w:val="18"/>
                <w:highlight w:val="none"/>
                <w:lang w:eastAsia="zh-CN"/>
              </w:rPr>
              <w:t>本标段限定性技术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ascii="Times New Roman" w:hAnsi="Times New Roman"/>
                <w:b/>
                <w:color w:val="auto"/>
                <w:sz w:val="18"/>
                <w:szCs w:val="18"/>
                <w:highlight w:val="none"/>
              </w:rPr>
              <w:t xml:space="preserve"> 279000</w:t>
            </w:r>
            <w:r>
              <w:rPr>
                <w:rFonts w:hint="eastAsia" w:ascii="Times New Roman" w:hAnsi="Times New Roman"/>
                <w:b/>
                <w:color w:val="auto"/>
                <w:sz w:val="18"/>
                <w:szCs w:val="18"/>
                <w:highlight w:val="none"/>
                <w:lang w:eastAsia="zh-CN"/>
              </w:rPr>
              <w:t>元，</w:t>
            </w:r>
            <w:r>
              <w:rPr>
                <w:rFonts w:hint="eastAsia" w:ascii="Times New Roman" w:hAnsi="Times New Roman"/>
                <w:b/>
                <w:color w:val="auto"/>
                <w:sz w:val="18"/>
                <w:szCs w:val="18"/>
                <w:highlight w:val="none"/>
                <w:lang w:val="en-US" w:eastAsia="zh-CN"/>
              </w:rPr>
              <w:t>包含在总费用中但并非规定设施投入的全部费用，不管因任何原因未实施安装的，则该部分费用按照中标下浮率等比例下浮后一次性扣除，针对所在河道的考核标准和方法不变</w:t>
            </w:r>
            <w:r>
              <w:rPr>
                <w:rFonts w:hint="default" w:ascii="Times New Roman" w:hAnsi="Times New Roman"/>
                <w:b/>
                <w:color w:val="auto"/>
                <w:sz w:val="18"/>
                <w:szCs w:val="18"/>
                <w:highlight w:val="none"/>
                <w:lang w:eastAsia="zh-CN"/>
              </w:rPr>
              <w:t>。</w:t>
            </w:r>
            <w:r>
              <w:rPr>
                <w:rFonts w:hint="eastAsia" w:ascii="Times New Roman" w:hAnsi="Times New Roman"/>
                <w:b/>
                <w:color w:val="auto"/>
                <w:kern w:val="0"/>
                <w:sz w:val="18"/>
                <w:szCs w:val="18"/>
                <w:highlight w:val="none"/>
                <w:lang w:bidi="ar"/>
              </w:rPr>
              <w:t>（2）该标段推流增氧等设备及其它技术设施应符合宁波市、鄞州区等行业规范规定和要求。</w:t>
            </w:r>
          </w:p>
          <w:p>
            <w:pPr>
              <w:ind w:firstLine="361" w:firstLineChars="200"/>
              <w:jc w:val="left"/>
              <w:rPr>
                <w:rFonts w:hint="eastAsia" w:ascii="Times New Roman" w:hAnsi="Times New Roman"/>
                <w:b/>
                <w:color w:val="auto"/>
                <w:kern w:val="0"/>
                <w:sz w:val="18"/>
                <w:szCs w:val="18"/>
                <w:highlight w:val="none"/>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5000" w:type="pct"/>
            <w:gridSpan w:val="11"/>
            <w:shd w:val="clear" w:color="auto" w:fill="FFFFFF"/>
            <w:noWrap w:val="0"/>
            <w:tcMar>
              <w:top w:w="15" w:type="dxa"/>
              <w:left w:w="15" w:type="dxa"/>
              <w:right w:w="15" w:type="dxa"/>
            </w:tcMar>
            <w:vAlign w:val="center"/>
          </w:tcPr>
          <w:p>
            <w:pPr>
              <w:widowControl/>
              <w:jc w:val="center"/>
              <w:textAlignment w:val="center"/>
              <w:rPr>
                <w:rStyle w:val="51"/>
                <w:rFonts w:hint="default" w:ascii="Times New Roman" w:hAnsi="Times New Roman"/>
                <w:color w:val="auto"/>
                <w:sz w:val="18"/>
                <w:szCs w:val="18"/>
                <w:highlight w:val="none"/>
                <w:lang w:bidi="ar"/>
              </w:rPr>
            </w:pPr>
            <w:r>
              <w:rPr>
                <w:rStyle w:val="40"/>
                <w:rFonts w:hint="default" w:ascii="Times New Roman" w:hAnsi="Times New Roman" w:eastAsia="华文中宋"/>
                <w:color w:val="auto"/>
                <w:sz w:val="30"/>
                <w:szCs w:val="30"/>
                <w:highlight w:val="none"/>
                <w:lang w:bidi="ar"/>
              </w:rPr>
              <w:t>第十标段水质日常养护概况与技术策略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序号</w:t>
            </w:r>
          </w:p>
        </w:tc>
        <w:tc>
          <w:tcPr>
            <w:tcW w:w="305"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河道</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名称</w:t>
            </w:r>
          </w:p>
        </w:tc>
        <w:tc>
          <w:tcPr>
            <w:tcW w:w="258" w:type="pct"/>
            <w:shd w:val="clear" w:color="auto" w:fill="FFFFFF"/>
            <w:noWrap w:val="0"/>
            <w:tcMar>
              <w:top w:w="15" w:type="dxa"/>
              <w:left w:w="15" w:type="dxa"/>
              <w:right w:w="15" w:type="dxa"/>
            </w:tcMar>
            <w:vAlign w:val="center"/>
          </w:tcPr>
          <w:p>
            <w:pPr>
              <w:widowControl/>
              <w:jc w:val="center"/>
              <w:textAlignment w:val="center"/>
              <w:rPr>
                <w:rStyle w:val="57"/>
                <w:b/>
                <w:bCs/>
                <w:color w:val="auto"/>
                <w:sz w:val="21"/>
                <w:szCs w:val="21"/>
                <w:highlight w:val="none"/>
                <w:lang w:bidi="ar"/>
              </w:rPr>
            </w:pPr>
            <w:r>
              <w:rPr>
                <w:rStyle w:val="57"/>
                <w:b/>
                <w:bCs/>
                <w:color w:val="auto"/>
                <w:sz w:val="21"/>
                <w:szCs w:val="21"/>
                <w:highlight w:val="none"/>
                <w:lang w:bidi="ar"/>
              </w:rPr>
              <w:t>考核</w:t>
            </w:r>
          </w:p>
          <w:p>
            <w:pPr>
              <w:widowControl/>
              <w:jc w:val="center"/>
              <w:textAlignment w:val="center"/>
              <w:rPr>
                <w:rFonts w:ascii="Times New Roman" w:hAnsi="Times New Roman"/>
                <w:b/>
                <w:bCs/>
                <w:color w:val="auto"/>
                <w:sz w:val="21"/>
                <w:szCs w:val="21"/>
                <w:highlight w:val="none"/>
              </w:rPr>
            </w:pPr>
            <w:r>
              <w:rPr>
                <w:rStyle w:val="57"/>
                <w:b/>
                <w:bCs/>
                <w:color w:val="auto"/>
                <w:sz w:val="21"/>
                <w:szCs w:val="21"/>
                <w:highlight w:val="none"/>
                <w:lang w:bidi="ar"/>
              </w:rPr>
              <w:t>等级</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起点</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终点</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长度（</w:t>
            </w:r>
            <w:r>
              <w:rPr>
                <w:rStyle w:val="50"/>
                <w:b/>
                <w:bCs/>
                <w:color w:val="auto"/>
                <w:sz w:val="21"/>
                <w:szCs w:val="21"/>
                <w:highlight w:val="none"/>
                <w:lang w:bidi="ar"/>
              </w:rPr>
              <w:t>m</w:t>
            </w:r>
            <w:r>
              <w:rPr>
                <w:rStyle w:val="56"/>
                <w:rFonts w:hint="default" w:ascii="Times New Roman" w:hAnsi="Times New Roman"/>
                <w:b/>
                <w:bCs/>
                <w:color w:val="auto"/>
                <w:sz w:val="21"/>
                <w:szCs w:val="21"/>
                <w:highlight w:val="none"/>
                <w:lang w:bidi="ar"/>
              </w:rPr>
              <w:t>）</w:t>
            </w:r>
          </w:p>
        </w:tc>
        <w:tc>
          <w:tcPr>
            <w:tcW w:w="190"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宽度</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w:t>
            </w:r>
            <w:r>
              <w:rPr>
                <w:rStyle w:val="50"/>
                <w:b/>
                <w:bCs/>
                <w:color w:val="auto"/>
                <w:sz w:val="21"/>
                <w:szCs w:val="21"/>
                <w:highlight w:val="none"/>
                <w:lang w:bidi="ar"/>
              </w:rPr>
              <w:t>m</w:t>
            </w:r>
            <w:r>
              <w:rPr>
                <w:rStyle w:val="56"/>
                <w:rFonts w:hint="default" w:ascii="Times New Roman" w:hAnsi="Times New Roman"/>
                <w:b/>
                <w:bCs/>
                <w:color w:val="auto"/>
                <w:sz w:val="21"/>
                <w:szCs w:val="21"/>
                <w:highlight w:val="none"/>
                <w:lang w:bidi="ar"/>
              </w:rPr>
              <w:t>）</w:t>
            </w:r>
          </w:p>
        </w:tc>
        <w:tc>
          <w:tcPr>
            <w:tcW w:w="331"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面积</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w:t>
            </w:r>
            <w:r>
              <w:rPr>
                <w:rStyle w:val="50"/>
                <w:b/>
                <w:bCs/>
                <w:color w:val="auto"/>
                <w:sz w:val="21"/>
                <w:szCs w:val="21"/>
                <w:highlight w:val="none"/>
                <w:lang w:bidi="ar"/>
              </w:rPr>
              <w:t>m</w:t>
            </w:r>
            <w:r>
              <w:rPr>
                <w:rStyle w:val="58"/>
                <w:b/>
                <w:bCs/>
                <w:color w:val="auto"/>
                <w:sz w:val="21"/>
                <w:szCs w:val="21"/>
                <w:highlight w:val="none"/>
                <w:lang w:bidi="ar"/>
              </w:rPr>
              <w:t>2</w:t>
            </w:r>
            <w:r>
              <w:rPr>
                <w:rStyle w:val="56"/>
                <w:rFonts w:hint="default" w:ascii="Times New Roman" w:hAnsi="Times New Roman"/>
                <w:b/>
                <w:bCs/>
                <w:color w:val="auto"/>
                <w:sz w:val="21"/>
                <w:szCs w:val="21"/>
                <w:highlight w:val="none"/>
                <w:lang w:bidi="ar"/>
              </w:rPr>
              <w:t>）</w:t>
            </w:r>
          </w:p>
        </w:tc>
        <w:tc>
          <w:tcPr>
            <w:tcW w:w="839" w:type="pct"/>
            <w:shd w:val="clear" w:color="auto" w:fill="FFFFFF"/>
            <w:noWrap w:val="0"/>
            <w:tcMar>
              <w:top w:w="15" w:type="dxa"/>
              <w:left w:w="15" w:type="dxa"/>
              <w:right w:w="15" w:type="dxa"/>
            </w:tcMar>
            <w:vAlign w:val="center"/>
          </w:tcPr>
          <w:p>
            <w:pPr>
              <w:widowControl/>
              <w:jc w:val="center"/>
              <w:textAlignment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 xml:space="preserve">限定性技术① </w:t>
            </w:r>
          </w:p>
        </w:tc>
        <w:tc>
          <w:tcPr>
            <w:tcW w:w="908" w:type="pct"/>
            <w:shd w:val="clear" w:color="auto" w:fill="FFFFFF"/>
            <w:noWrap w:val="0"/>
            <w:tcMar>
              <w:top w:w="15" w:type="dxa"/>
              <w:left w:w="15" w:type="dxa"/>
              <w:right w:w="15" w:type="dxa"/>
            </w:tcMar>
            <w:vAlign w:val="center"/>
          </w:tcPr>
          <w:p>
            <w:pPr>
              <w:widowControl/>
              <w:jc w:val="center"/>
              <w:textAlignment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限定性技术②</w:t>
            </w:r>
          </w:p>
        </w:tc>
        <w:tc>
          <w:tcPr>
            <w:tcW w:w="1138"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Fonts w:ascii="Times New Roman" w:hAnsi="Times New Roman"/>
                <w:b/>
                <w:bCs/>
                <w:color w:val="auto"/>
                <w:sz w:val="21"/>
                <w:szCs w:val="21"/>
                <w:highlight w:val="none"/>
              </w:rPr>
              <w:t>非限定性技术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w:t>
            </w:r>
            <w:r>
              <w:rPr>
                <w:rFonts w:hint="eastAsia" w:ascii="Times New Roman" w:hAnsi="Times New Roman"/>
                <w:color w:val="auto"/>
                <w:kern w:val="0"/>
                <w:sz w:val="18"/>
                <w:szCs w:val="18"/>
                <w:highlight w:val="none"/>
                <w:lang w:bidi="ar"/>
              </w:rPr>
              <w:t>0</w:t>
            </w:r>
            <w:r>
              <w:rPr>
                <w:rFonts w:ascii="Times New Roman" w:hAnsi="Times New Roman"/>
                <w:color w:val="auto"/>
                <w:kern w:val="0"/>
                <w:sz w:val="18"/>
                <w:szCs w:val="18"/>
                <w:highlight w:val="none"/>
                <w:lang w:bidi="ar"/>
              </w:rPr>
              <w:t>-1</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南余河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清水</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直落河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0"/>
                <w:color w:val="auto"/>
                <w:sz w:val="18"/>
                <w:szCs w:val="18"/>
                <w:highlight w:val="none"/>
                <w:lang w:bidi="ar"/>
              </w:rPr>
              <w:t>甬江（长塘河2</w:t>
            </w:r>
            <w:r>
              <w:rPr>
                <w:rStyle w:val="56"/>
                <w:rFonts w:hint="default" w:ascii="Times New Roman" w:hAnsi="Times New Roman"/>
                <w:color w:val="auto"/>
                <w:sz w:val="18"/>
                <w:szCs w:val="18"/>
                <w:highlight w:val="none"/>
                <w:lang w:bidi="ar"/>
              </w:rPr>
              <w:t>号出口）</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675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12.29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8293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为Ⅴ类水限制达标河道，单独计入河道达标费用208000 元。</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生物循环净化设施技术、推流增氧设备技术</w:t>
            </w:r>
            <w:r>
              <w:rPr>
                <w:rStyle w:val="51"/>
                <w:rFonts w:hint="default" w:ascii="Times New Roman" w:hAnsi="Times New Roman"/>
                <w:color w:val="auto"/>
                <w:sz w:val="18"/>
                <w:szCs w:val="18"/>
                <w:highlight w:val="none"/>
                <w:lang w:bidi="ar"/>
              </w:rPr>
              <w:t>，设施设备总功率不低于20kw。</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kern w:val="0"/>
                <w:sz w:val="18"/>
                <w:szCs w:val="18"/>
                <w:highlight w:val="none"/>
                <w:lang w:bidi="ar"/>
              </w:rPr>
            </w:pPr>
            <w:r>
              <w:rPr>
                <w:rStyle w:val="51"/>
                <w:rFonts w:hint="default" w:ascii="Times New Roman" w:hAnsi="Times New Roman"/>
                <w:color w:val="auto"/>
                <w:sz w:val="18"/>
                <w:szCs w:val="18"/>
                <w:highlight w:val="none"/>
                <w:lang w:bidi="ar"/>
              </w:rPr>
              <w:t>沉水植物构建技术，覆盖率不低于60%；底泥改良技术、旁路生物过滤技术、生物接触氧化技术。</w:t>
            </w:r>
            <w:r>
              <w:rPr>
                <w:rFonts w:ascii="Times New Roman" w:hAnsi="Times New Roman"/>
                <w:color w:val="auto"/>
                <w:kern w:val="0"/>
                <w:sz w:val="18"/>
                <w:szCs w:val="18"/>
                <w:highlight w:val="none"/>
                <w:lang w:bidi="ar"/>
              </w:rPr>
              <w:t xml:space="preserve"> </w:t>
            </w:r>
            <w:r>
              <w:rPr>
                <w:rStyle w:val="52"/>
                <w:rFonts w:hint="default" w:ascii="Times New Roman" w:hAnsi="Times New Roman" w:cs="Times New Roman"/>
                <w:color w:val="auto"/>
                <w:sz w:val="18"/>
                <w:szCs w:val="18"/>
                <w:highlight w:val="none"/>
                <w:lang w:bidi="ar"/>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w:t>
            </w:r>
            <w:r>
              <w:rPr>
                <w:rFonts w:hint="eastAsia" w:ascii="Times New Roman" w:hAnsi="Times New Roman"/>
                <w:color w:val="auto"/>
                <w:kern w:val="0"/>
                <w:sz w:val="18"/>
                <w:szCs w:val="18"/>
                <w:highlight w:val="none"/>
                <w:lang w:bidi="ar"/>
              </w:rPr>
              <w:t>0</w:t>
            </w:r>
            <w:r>
              <w:rPr>
                <w:rFonts w:ascii="Times New Roman" w:hAnsi="Times New Roman"/>
                <w:color w:val="auto"/>
                <w:kern w:val="0"/>
                <w:sz w:val="18"/>
                <w:szCs w:val="18"/>
                <w:highlight w:val="none"/>
                <w:lang w:bidi="ar"/>
              </w:rPr>
              <w:t>-2</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直落河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后西河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明一河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1367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10.53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14397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设置1套一体化设备，设备处理能力不低于1000吨/天，单独计入设施增支费用</w:t>
            </w:r>
            <w:r>
              <w:rPr>
                <w:rFonts w:ascii="Times New Roman" w:hAnsi="Times New Roman"/>
                <w:color w:val="auto"/>
                <w:kern w:val="0"/>
                <w:sz w:val="18"/>
                <w:szCs w:val="18"/>
                <w:highlight w:val="none"/>
                <w:lang w:bidi="ar"/>
              </w:rPr>
              <w:t>72000元。</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设备总功率不低于20kw。</w:t>
            </w:r>
          </w:p>
        </w:tc>
        <w:tc>
          <w:tcPr>
            <w:tcW w:w="1138" w:type="pct"/>
            <w:shd w:val="clear" w:color="auto" w:fill="FFFFFF"/>
            <w:noWrap/>
            <w:tcMar>
              <w:top w:w="15" w:type="dxa"/>
              <w:left w:w="15" w:type="dxa"/>
              <w:right w:w="15" w:type="dxa"/>
            </w:tcMar>
            <w:vAlign w:val="center"/>
          </w:tcPr>
          <w:p>
            <w:pPr>
              <w:jc w:val="left"/>
              <w:rPr>
                <w:rStyle w:val="56"/>
                <w:rFonts w:hint="default" w:ascii="Times New Roman" w:hAnsi="Times New Roman"/>
                <w:color w:val="auto"/>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w:t>
            </w:r>
            <w:r>
              <w:rPr>
                <w:rFonts w:hint="eastAsia" w:ascii="Times New Roman" w:hAnsi="Times New Roman"/>
                <w:color w:val="auto"/>
                <w:kern w:val="0"/>
                <w:sz w:val="18"/>
                <w:szCs w:val="18"/>
                <w:highlight w:val="none"/>
                <w:lang w:bidi="ar"/>
              </w:rPr>
              <w:t>0</w:t>
            </w:r>
            <w:r>
              <w:rPr>
                <w:rFonts w:ascii="Times New Roman" w:hAnsi="Times New Roman"/>
                <w:color w:val="auto"/>
                <w:kern w:val="0"/>
                <w:sz w:val="18"/>
                <w:szCs w:val="18"/>
                <w:highlight w:val="none"/>
                <w:lang w:bidi="ar"/>
              </w:rPr>
              <w:t>-3</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长塘河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曙光北路</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中后河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1657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13.64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22609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设置1套一体化设备，设备处理能力不低于1000吨/天，单独计入设施增支费用</w:t>
            </w:r>
            <w:r>
              <w:rPr>
                <w:rFonts w:ascii="Times New Roman" w:hAnsi="Times New Roman"/>
                <w:color w:val="auto"/>
                <w:kern w:val="0"/>
                <w:sz w:val="18"/>
                <w:szCs w:val="18"/>
                <w:highlight w:val="none"/>
                <w:lang w:bidi="ar"/>
              </w:rPr>
              <w:t>72000元。</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设备总功率不低于30kw。</w:t>
            </w:r>
          </w:p>
        </w:tc>
        <w:tc>
          <w:tcPr>
            <w:tcW w:w="1138" w:type="pct"/>
            <w:shd w:val="clear" w:color="auto" w:fill="FFFFFF"/>
            <w:noWrap w:val="0"/>
            <w:tcMar>
              <w:top w:w="15" w:type="dxa"/>
              <w:left w:w="15" w:type="dxa"/>
              <w:right w:w="15" w:type="dxa"/>
            </w:tcMar>
            <w:vAlign w:val="center"/>
          </w:tcPr>
          <w:p>
            <w:pPr>
              <w:jc w:val="left"/>
              <w:rPr>
                <w:rStyle w:val="51"/>
                <w:rFonts w:hint="default" w:ascii="Times New Roman" w:hAnsi="Times New Roman"/>
                <w:color w:val="auto"/>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w:t>
            </w:r>
            <w:r>
              <w:rPr>
                <w:rFonts w:hint="eastAsia" w:ascii="Times New Roman" w:hAnsi="Times New Roman"/>
                <w:color w:val="auto"/>
                <w:kern w:val="0"/>
                <w:sz w:val="18"/>
                <w:szCs w:val="18"/>
                <w:highlight w:val="none"/>
                <w:lang w:bidi="ar"/>
              </w:rPr>
              <w:t>0</w:t>
            </w:r>
            <w:r>
              <w:rPr>
                <w:rFonts w:ascii="Times New Roman" w:hAnsi="Times New Roman"/>
                <w:color w:val="auto"/>
                <w:kern w:val="0"/>
                <w:sz w:val="18"/>
                <w:szCs w:val="18"/>
                <w:highlight w:val="none"/>
                <w:lang w:bidi="ar"/>
              </w:rPr>
              <w:t>-4</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林励家河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漕底</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长塘河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146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10.18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1487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设置1套一体化设备，设备处理能力不低于500吨/天，单独计入设施增支费用</w:t>
            </w:r>
            <w:r>
              <w:rPr>
                <w:rFonts w:ascii="Times New Roman" w:hAnsi="Times New Roman"/>
                <w:color w:val="auto"/>
                <w:kern w:val="0"/>
                <w:sz w:val="18"/>
                <w:szCs w:val="18"/>
                <w:highlight w:val="none"/>
                <w:lang w:bidi="ar"/>
              </w:rPr>
              <w:t>45000元。</w:t>
            </w:r>
          </w:p>
        </w:tc>
        <w:tc>
          <w:tcPr>
            <w:tcW w:w="908" w:type="pct"/>
            <w:shd w:val="clear" w:color="auto" w:fill="FFFFFF"/>
            <w:noWrap/>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1138" w:type="pct"/>
            <w:shd w:val="clear" w:color="auto" w:fill="FFFFFF"/>
            <w:noWrap/>
            <w:tcMar>
              <w:top w:w="15" w:type="dxa"/>
              <w:left w:w="15" w:type="dxa"/>
              <w:right w:w="15" w:type="dxa"/>
            </w:tcMar>
            <w:vAlign w:val="center"/>
          </w:tcPr>
          <w:p>
            <w:pPr>
              <w:jc w:val="left"/>
              <w:rPr>
                <w:rStyle w:val="56"/>
                <w:rFonts w:hint="default" w:ascii="Times New Roman" w:hAnsi="Times New Roman"/>
                <w:color w:val="auto"/>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w:t>
            </w:r>
            <w:r>
              <w:rPr>
                <w:rFonts w:hint="eastAsia" w:ascii="Times New Roman" w:hAnsi="Times New Roman"/>
                <w:color w:val="auto"/>
                <w:kern w:val="0"/>
                <w:sz w:val="18"/>
                <w:szCs w:val="18"/>
                <w:highlight w:val="none"/>
                <w:lang w:bidi="ar"/>
              </w:rPr>
              <w:t>0</w:t>
            </w:r>
            <w:r>
              <w:rPr>
                <w:rFonts w:ascii="Times New Roman" w:hAnsi="Times New Roman"/>
                <w:color w:val="auto"/>
                <w:kern w:val="0"/>
                <w:sz w:val="18"/>
                <w:szCs w:val="18"/>
                <w:highlight w:val="none"/>
                <w:lang w:bidi="ar"/>
              </w:rPr>
              <w:t>-5</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柴家漕</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漕底</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长塘河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201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10.57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2124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生物循环净化设施技术、推流增氧设备技术</w:t>
            </w:r>
            <w:r>
              <w:rPr>
                <w:rStyle w:val="51"/>
                <w:rFonts w:hint="default" w:ascii="Times New Roman" w:hAnsi="Times New Roman"/>
                <w:color w:val="auto"/>
                <w:sz w:val="18"/>
                <w:szCs w:val="18"/>
                <w:highlight w:val="none"/>
                <w:lang w:bidi="ar"/>
              </w:rPr>
              <w:t>，设施设备总功率不低于5kw。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w:t>
            </w:r>
            <w:r>
              <w:rPr>
                <w:rFonts w:hint="eastAsia" w:ascii="Times New Roman" w:hAnsi="Times New Roman"/>
                <w:color w:val="auto"/>
                <w:kern w:val="0"/>
                <w:sz w:val="18"/>
                <w:szCs w:val="18"/>
                <w:highlight w:val="none"/>
                <w:lang w:bidi="ar"/>
              </w:rPr>
              <w:t>0</w:t>
            </w:r>
            <w:r>
              <w:rPr>
                <w:rFonts w:ascii="Times New Roman" w:hAnsi="Times New Roman"/>
                <w:color w:val="auto"/>
                <w:kern w:val="0"/>
                <w:sz w:val="18"/>
                <w:szCs w:val="18"/>
                <w:highlight w:val="none"/>
                <w:lang w:bidi="ar"/>
              </w:rPr>
              <w:t>-6</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薛家漕</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漕底</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直落河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117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12.71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1487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生物循环净化设施技术、推流增氧设备技术</w:t>
            </w:r>
            <w:r>
              <w:rPr>
                <w:rStyle w:val="51"/>
                <w:rFonts w:hint="default" w:ascii="Times New Roman" w:hAnsi="Times New Roman"/>
                <w:color w:val="auto"/>
                <w:sz w:val="18"/>
                <w:szCs w:val="18"/>
                <w:highlight w:val="none"/>
                <w:lang w:bidi="ar"/>
              </w:rPr>
              <w:t>，设施设备总功率不低于5kw。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w:t>
            </w:r>
            <w:r>
              <w:rPr>
                <w:rFonts w:hint="eastAsia" w:ascii="Times New Roman" w:hAnsi="Times New Roman"/>
                <w:color w:val="auto"/>
                <w:kern w:val="0"/>
                <w:sz w:val="18"/>
                <w:szCs w:val="18"/>
                <w:highlight w:val="none"/>
                <w:lang w:bidi="ar"/>
              </w:rPr>
              <w:t>0</w:t>
            </w:r>
            <w:r>
              <w:rPr>
                <w:rFonts w:ascii="Times New Roman" w:hAnsi="Times New Roman"/>
                <w:color w:val="auto"/>
                <w:kern w:val="0"/>
                <w:sz w:val="18"/>
                <w:szCs w:val="18"/>
                <w:highlight w:val="none"/>
                <w:lang w:bidi="ar"/>
              </w:rPr>
              <w:t>-7</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明一河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薛家漕</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后西河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1554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11.90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18494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生物循环净化设施技术、推流增氧设备技术</w:t>
            </w:r>
            <w:r>
              <w:rPr>
                <w:rStyle w:val="51"/>
                <w:rFonts w:hint="default" w:ascii="Times New Roman" w:hAnsi="Times New Roman"/>
                <w:color w:val="auto"/>
                <w:sz w:val="18"/>
                <w:szCs w:val="18"/>
                <w:highlight w:val="none"/>
                <w:lang w:bidi="ar"/>
              </w:rPr>
              <w:t>，设施设备总功率不低于35kw。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w:t>
            </w:r>
            <w:r>
              <w:rPr>
                <w:rFonts w:hint="eastAsia" w:ascii="Times New Roman" w:hAnsi="Times New Roman"/>
                <w:color w:val="auto"/>
                <w:kern w:val="0"/>
                <w:sz w:val="18"/>
                <w:szCs w:val="18"/>
                <w:highlight w:val="none"/>
                <w:lang w:bidi="ar"/>
              </w:rPr>
              <w:t>0</w:t>
            </w:r>
            <w:r>
              <w:rPr>
                <w:rFonts w:ascii="Times New Roman" w:hAnsi="Times New Roman"/>
                <w:color w:val="auto"/>
                <w:kern w:val="0"/>
                <w:sz w:val="18"/>
                <w:szCs w:val="18"/>
                <w:highlight w:val="none"/>
                <w:lang w:bidi="ar"/>
              </w:rPr>
              <w:t>-8</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牛郎河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明一河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后西河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839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14.69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12328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设置1套一体化设备，设备处理能力不低于1000吨/天，单独计入设施增支费用</w:t>
            </w:r>
            <w:r>
              <w:rPr>
                <w:rFonts w:ascii="Times New Roman" w:hAnsi="Times New Roman"/>
                <w:color w:val="auto"/>
                <w:kern w:val="0"/>
                <w:sz w:val="18"/>
                <w:szCs w:val="18"/>
                <w:highlight w:val="none"/>
                <w:lang w:bidi="ar"/>
              </w:rPr>
              <w:t>72000元。</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设备总功率不低于15kw。</w:t>
            </w:r>
          </w:p>
        </w:tc>
        <w:tc>
          <w:tcPr>
            <w:tcW w:w="1138" w:type="pct"/>
            <w:shd w:val="clear" w:color="auto" w:fill="FFFFFF"/>
            <w:noWrap/>
            <w:tcMar>
              <w:top w:w="15" w:type="dxa"/>
              <w:left w:w="15" w:type="dxa"/>
              <w:right w:w="15" w:type="dxa"/>
            </w:tcMar>
            <w:vAlign w:val="center"/>
          </w:tcPr>
          <w:p>
            <w:pPr>
              <w:jc w:val="left"/>
              <w:rPr>
                <w:rStyle w:val="56"/>
                <w:rFonts w:hint="default" w:ascii="Times New Roman" w:hAnsi="Times New Roman"/>
                <w:color w:val="auto"/>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w:t>
            </w:r>
            <w:r>
              <w:rPr>
                <w:rFonts w:hint="eastAsia" w:ascii="Times New Roman" w:hAnsi="Times New Roman"/>
                <w:color w:val="auto"/>
                <w:kern w:val="0"/>
                <w:sz w:val="18"/>
                <w:szCs w:val="18"/>
                <w:highlight w:val="none"/>
                <w:lang w:bidi="ar"/>
              </w:rPr>
              <w:t>0</w:t>
            </w:r>
            <w:r>
              <w:rPr>
                <w:rFonts w:ascii="Times New Roman" w:hAnsi="Times New Roman"/>
                <w:color w:val="auto"/>
                <w:kern w:val="0"/>
                <w:sz w:val="18"/>
                <w:szCs w:val="18"/>
                <w:highlight w:val="none"/>
                <w:lang w:bidi="ar"/>
              </w:rPr>
              <w:t>-9</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吉庆河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明一河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长塘河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384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12.99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4988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生物循环净化设施技术、推流增氧设备技术</w:t>
            </w:r>
            <w:r>
              <w:rPr>
                <w:rStyle w:val="51"/>
                <w:rFonts w:hint="default" w:ascii="Times New Roman" w:hAnsi="Times New Roman"/>
                <w:color w:val="auto"/>
                <w:sz w:val="18"/>
                <w:szCs w:val="18"/>
                <w:highlight w:val="none"/>
                <w:lang w:bidi="ar"/>
              </w:rPr>
              <w:t>，设施设备总功率不低于10kw。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Style w:val="47"/>
                <w:rFonts w:hint="default" w:ascii="Times New Roman" w:hAnsi="Times New Roman"/>
                <w:color w:val="auto"/>
                <w:sz w:val="18"/>
                <w:szCs w:val="18"/>
                <w:highlight w:val="none"/>
                <w:lang w:bidi="ar"/>
              </w:rPr>
              <w:t>第十标段日常养护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6940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86207 </w:t>
            </w:r>
          </w:p>
        </w:tc>
        <w:tc>
          <w:tcPr>
            <w:tcW w:w="2886" w:type="pct"/>
            <w:gridSpan w:val="3"/>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Fonts w:hint="eastAsia" w:ascii="Times New Roman" w:hAnsi="Times New Roman"/>
                <w:b/>
                <w:color w:val="auto"/>
                <w:sz w:val="18"/>
                <w:szCs w:val="18"/>
                <w:highlight w:val="none"/>
                <w:lang w:val="en-US" w:eastAsia="zh-CN"/>
              </w:rPr>
              <w:t>第十</w:t>
            </w:r>
            <w:r>
              <w:rPr>
                <w:rFonts w:hint="eastAsia" w:ascii="Times New Roman" w:hAnsi="Times New Roman"/>
                <w:b/>
                <w:color w:val="auto"/>
                <w:sz w:val="18"/>
                <w:szCs w:val="18"/>
                <w:highlight w:val="none"/>
                <w:lang w:eastAsia="zh-CN"/>
              </w:rPr>
              <w:t>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hint="eastAsia" w:ascii="Times New Roman" w:hAnsi="Times New Roman"/>
                <w:b/>
                <w:color w:val="auto"/>
                <w:sz w:val="18"/>
                <w:szCs w:val="18"/>
                <w:highlight w:val="none"/>
                <w:lang w:val="en-US" w:eastAsia="zh-CN"/>
              </w:rPr>
              <w:t xml:space="preserve"> </w:t>
            </w:r>
            <w:r>
              <w:rPr>
                <w:rStyle w:val="47"/>
                <w:rFonts w:hint="default" w:ascii="Times New Roman" w:hAnsi="Times New Roman"/>
                <w:color w:val="auto"/>
                <w:sz w:val="18"/>
                <w:szCs w:val="18"/>
                <w:highlight w:val="none"/>
                <w:lang w:bidi="ar"/>
              </w:rPr>
              <w:t>469000</w:t>
            </w:r>
            <w:r>
              <w:rPr>
                <w:rFonts w:hint="eastAsia" w:ascii="Times New Roman" w:hAnsi="Times New Roman"/>
                <w:b/>
                <w:color w:val="auto"/>
                <w:sz w:val="18"/>
                <w:szCs w:val="18"/>
                <w:highlight w:val="none"/>
                <w:lang w:eastAsia="zh-CN"/>
              </w:rPr>
              <w:t xml:space="preserve">元 </w:t>
            </w:r>
            <w:r>
              <w:rPr>
                <w:rFonts w:hint="default" w:ascii="Times New Roman" w:hAnsi="Times New Roman"/>
                <w:b/>
                <w:color w:val="auto"/>
                <w:sz w:val="18"/>
                <w:szCs w:val="18"/>
                <w:highlight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w:t>
            </w:r>
            <w:r>
              <w:rPr>
                <w:rFonts w:hint="eastAsia" w:ascii="Times New Roman" w:hAnsi="Times New Roman"/>
                <w:color w:val="auto"/>
                <w:kern w:val="0"/>
                <w:sz w:val="18"/>
                <w:szCs w:val="18"/>
                <w:highlight w:val="none"/>
                <w:lang w:bidi="ar"/>
              </w:rPr>
              <w:t>0</w:t>
            </w:r>
            <w:r>
              <w:rPr>
                <w:rFonts w:ascii="Times New Roman" w:hAnsi="Times New Roman"/>
                <w:color w:val="auto"/>
                <w:kern w:val="0"/>
                <w:sz w:val="18"/>
                <w:szCs w:val="18"/>
                <w:highlight w:val="none"/>
                <w:lang w:bidi="ar"/>
              </w:rPr>
              <w:t>-10</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长塘河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应急河道</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甬江（长塘闸）</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曙光北路</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702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13.64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9578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r>
              <w:rPr>
                <w:rFonts w:ascii="Times New Roman" w:hAnsi="Times New Roman"/>
                <w:color w:val="auto"/>
                <w:kern w:val="0"/>
                <w:sz w:val="18"/>
                <w:szCs w:val="18"/>
                <w:highlight w:val="none"/>
                <w:lang w:bidi="ar"/>
              </w:rPr>
              <w:t xml:space="preserve"> </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预防黑臭及控藻等应急技术。</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kern w:val="0"/>
                <w:sz w:val="18"/>
                <w:szCs w:val="18"/>
                <w:highlight w:val="none"/>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color w:val="auto"/>
                <w:sz w:val="18"/>
                <w:szCs w:val="18"/>
                <w:highlight w:val="none"/>
              </w:rPr>
            </w:pPr>
            <w:r>
              <w:rPr>
                <w:rStyle w:val="47"/>
                <w:rFonts w:hint="default" w:ascii="Times New Roman" w:hAnsi="Times New Roman"/>
                <w:color w:val="auto"/>
                <w:sz w:val="18"/>
                <w:szCs w:val="18"/>
                <w:highlight w:val="none"/>
                <w:lang w:bidi="ar"/>
              </w:rPr>
              <w:t>第十标段应急养护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702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9578 </w:t>
            </w:r>
          </w:p>
        </w:tc>
        <w:tc>
          <w:tcPr>
            <w:tcW w:w="839" w:type="pct"/>
            <w:shd w:val="clear" w:color="auto" w:fill="FFFFFF"/>
            <w:noWrap w:val="0"/>
            <w:tcMar>
              <w:top w:w="15" w:type="dxa"/>
              <w:left w:w="15" w:type="dxa"/>
              <w:right w:w="15" w:type="dxa"/>
            </w:tcMar>
            <w:vAlign w:val="center"/>
          </w:tcPr>
          <w:p>
            <w:pPr>
              <w:jc w:val="center"/>
              <w:rPr>
                <w:rFonts w:ascii="Times New Roman" w:hAnsi="Times New Roman"/>
                <w:color w:val="auto"/>
                <w:sz w:val="18"/>
                <w:szCs w:val="18"/>
                <w:highlight w:val="none"/>
              </w:rPr>
            </w:pP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Style w:val="47"/>
                <w:rFonts w:hint="default" w:ascii="Times New Roman" w:hAnsi="Times New Roman"/>
                <w:color w:val="auto"/>
                <w:sz w:val="18"/>
                <w:szCs w:val="18"/>
                <w:highlight w:val="none"/>
                <w:lang w:bidi="ar"/>
              </w:rPr>
              <w:t>第十标段合计养护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7642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95785</w:t>
            </w:r>
          </w:p>
        </w:tc>
        <w:tc>
          <w:tcPr>
            <w:tcW w:w="2886" w:type="pct"/>
            <w:gridSpan w:val="3"/>
            <w:shd w:val="clear" w:color="auto" w:fill="FFFFFF"/>
            <w:noWrap w:val="0"/>
            <w:tcMar>
              <w:top w:w="15" w:type="dxa"/>
              <w:left w:w="15" w:type="dxa"/>
              <w:right w:w="15" w:type="dxa"/>
            </w:tcMar>
            <w:vAlign w:val="center"/>
          </w:tcPr>
          <w:p>
            <w:pPr>
              <w:jc w:val="center"/>
              <w:rPr>
                <w:rFonts w:ascii="Times New Roman" w:hAnsi="Times New Roman"/>
                <w:color w:val="auto"/>
                <w:sz w:val="18"/>
                <w:szCs w:val="18"/>
                <w:highlight w:val="none"/>
              </w:rPr>
            </w:pPr>
            <w:r>
              <w:rPr>
                <w:rFonts w:hint="eastAsia" w:ascii="Times New Roman" w:hAnsi="Times New Roman"/>
                <w:b/>
                <w:color w:val="auto"/>
                <w:sz w:val="18"/>
                <w:szCs w:val="18"/>
                <w:highlight w:val="none"/>
                <w:lang w:val="en-US" w:eastAsia="zh-CN"/>
              </w:rPr>
              <w:t>第十</w:t>
            </w:r>
            <w:r>
              <w:rPr>
                <w:rFonts w:hint="eastAsia" w:ascii="Times New Roman" w:hAnsi="Times New Roman"/>
                <w:b/>
                <w:color w:val="auto"/>
                <w:sz w:val="18"/>
                <w:szCs w:val="18"/>
                <w:highlight w:val="none"/>
                <w:lang w:eastAsia="zh-CN"/>
              </w:rPr>
              <w:t>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hint="eastAsia" w:ascii="Times New Roman" w:hAnsi="Times New Roman"/>
                <w:b/>
                <w:color w:val="auto"/>
                <w:sz w:val="18"/>
                <w:szCs w:val="18"/>
                <w:highlight w:val="none"/>
                <w:lang w:val="en-US" w:eastAsia="zh-CN"/>
              </w:rPr>
              <w:t xml:space="preserve"> </w:t>
            </w:r>
            <w:r>
              <w:rPr>
                <w:rStyle w:val="47"/>
                <w:rFonts w:hint="default" w:ascii="Times New Roman" w:hAnsi="Times New Roman"/>
                <w:color w:val="auto"/>
                <w:sz w:val="18"/>
                <w:szCs w:val="18"/>
                <w:highlight w:val="none"/>
                <w:lang w:bidi="ar"/>
              </w:rPr>
              <w:t>469000</w:t>
            </w:r>
            <w:r>
              <w:rPr>
                <w:rFonts w:hint="eastAsia" w:ascii="Times New Roman" w:hAnsi="Times New Roman"/>
                <w:b/>
                <w:color w:val="auto"/>
                <w:sz w:val="18"/>
                <w:szCs w:val="18"/>
                <w:highlight w:val="none"/>
                <w:lang w:eastAsia="zh-CN"/>
              </w:rPr>
              <w:t>元</w:t>
            </w:r>
            <w:r>
              <w:rPr>
                <w:rFonts w:hint="eastAsia" w:ascii="Times New Roman" w:hAnsi="Times New Roman"/>
                <w:b/>
                <w:color w:val="auto"/>
                <w:kern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5000" w:type="pct"/>
            <w:gridSpan w:val="11"/>
            <w:shd w:val="clear" w:color="auto" w:fill="FFFFFF"/>
            <w:noWrap w:val="0"/>
            <w:tcMar>
              <w:top w:w="15" w:type="dxa"/>
              <w:left w:w="15" w:type="dxa"/>
              <w:right w:w="15" w:type="dxa"/>
            </w:tcMar>
            <w:vAlign w:val="center"/>
          </w:tcPr>
          <w:p>
            <w:pPr>
              <w:ind w:firstLine="361" w:firstLineChars="200"/>
              <w:jc w:val="left"/>
              <w:rPr>
                <w:rStyle w:val="47"/>
                <w:rFonts w:hint="default" w:ascii="Times New Roman" w:hAnsi="Times New Roman" w:eastAsia="宋体"/>
                <w:b w:val="0"/>
                <w:color w:val="auto"/>
                <w:sz w:val="18"/>
                <w:szCs w:val="18"/>
                <w:highlight w:val="none"/>
                <w:lang w:val="en-US" w:eastAsia="zh-CN" w:bidi="ar"/>
              </w:rPr>
            </w:pPr>
            <w:r>
              <w:rPr>
                <w:rFonts w:ascii="Times New Roman" w:hAnsi="Times New Roman"/>
                <w:b/>
                <w:color w:val="auto"/>
                <w:sz w:val="18"/>
                <w:szCs w:val="18"/>
                <w:highlight w:val="none"/>
              </w:rPr>
              <w:t>备注：（1）</w:t>
            </w:r>
            <w:r>
              <w:rPr>
                <w:rFonts w:hint="eastAsia" w:ascii="Times New Roman" w:hAnsi="Times New Roman"/>
                <w:b/>
                <w:color w:val="auto"/>
                <w:sz w:val="18"/>
                <w:szCs w:val="18"/>
                <w:highlight w:val="none"/>
                <w:lang w:eastAsia="zh-CN"/>
              </w:rPr>
              <w:t>本标段限定性技术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hint="eastAsia" w:ascii="Times New Roman" w:hAnsi="Times New Roman"/>
                <w:b/>
                <w:color w:val="auto"/>
                <w:sz w:val="18"/>
                <w:szCs w:val="18"/>
                <w:highlight w:val="none"/>
                <w:lang w:val="en-US" w:eastAsia="zh-CN"/>
              </w:rPr>
              <w:t xml:space="preserve"> </w:t>
            </w:r>
            <w:r>
              <w:rPr>
                <w:rStyle w:val="47"/>
                <w:rFonts w:hint="default" w:ascii="Times New Roman" w:hAnsi="Times New Roman"/>
                <w:color w:val="auto"/>
                <w:sz w:val="18"/>
                <w:szCs w:val="18"/>
                <w:highlight w:val="none"/>
                <w:lang w:bidi="ar"/>
              </w:rPr>
              <w:t>469000</w:t>
            </w:r>
            <w:r>
              <w:rPr>
                <w:rFonts w:hint="eastAsia" w:ascii="Times New Roman" w:hAnsi="Times New Roman"/>
                <w:b/>
                <w:color w:val="auto"/>
                <w:sz w:val="18"/>
                <w:szCs w:val="18"/>
                <w:highlight w:val="none"/>
                <w:lang w:eastAsia="zh-CN"/>
              </w:rPr>
              <w:t>元，</w:t>
            </w:r>
            <w:r>
              <w:rPr>
                <w:rFonts w:hint="eastAsia" w:ascii="Times New Roman" w:hAnsi="Times New Roman"/>
                <w:b/>
                <w:color w:val="auto"/>
                <w:sz w:val="18"/>
                <w:szCs w:val="18"/>
                <w:highlight w:val="none"/>
                <w:lang w:val="en-US" w:eastAsia="zh-CN"/>
              </w:rPr>
              <w:t>包含在总费用中但并非规定设施投入的全部费用，不管因任何原因未实施安装的，则该部分费用按照中标下浮率等比例下浮后一次性扣除，针对所在河道的考核标准和方法不变</w:t>
            </w:r>
            <w:r>
              <w:rPr>
                <w:rFonts w:hint="default" w:ascii="Times New Roman" w:hAnsi="Times New Roman"/>
                <w:b/>
                <w:color w:val="auto"/>
                <w:sz w:val="18"/>
                <w:szCs w:val="18"/>
                <w:highlight w:val="none"/>
                <w:lang w:eastAsia="zh-CN"/>
              </w:rPr>
              <w:t>。</w:t>
            </w:r>
            <w:r>
              <w:rPr>
                <w:rStyle w:val="47"/>
                <w:rFonts w:hint="default" w:ascii="Times New Roman" w:hAnsi="Times New Roman"/>
                <w:color w:val="auto"/>
                <w:sz w:val="18"/>
                <w:szCs w:val="18"/>
                <w:highlight w:val="none"/>
                <w:lang w:bidi="ar"/>
              </w:rPr>
              <w:t>（2）南余河</w:t>
            </w:r>
            <w:r>
              <w:rPr>
                <w:rStyle w:val="47"/>
                <w:rFonts w:hint="eastAsia" w:ascii="Times New Roman" w:hAnsi="Times New Roman" w:eastAsia="宋体"/>
                <w:color w:val="auto"/>
                <w:sz w:val="18"/>
                <w:szCs w:val="18"/>
                <w:highlight w:val="none"/>
                <w:lang w:eastAsia="zh-CN" w:bidi="ar"/>
              </w:rPr>
              <w:t>V类</w:t>
            </w:r>
            <w:r>
              <w:rPr>
                <w:rStyle w:val="47"/>
                <w:rFonts w:hint="default" w:ascii="Times New Roman" w:hAnsi="Times New Roman"/>
                <w:color w:val="auto"/>
                <w:sz w:val="18"/>
                <w:szCs w:val="18"/>
                <w:highlight w:val="none"/>
                <w:lang w:bidi="ar"/>
              </w:rPr>
              <w:t>水达标费用单独计入年度养护预算，参照两套考核体系进行双项考核，第一套体系按照清水河道考核；第二套考核体系按照地表水Ⅴ类水进行达标考核。</w:t>
            </w:r>
            <w:r>
              <w:rPr>
                <w:rFonts w:hint="eastAsia" w:ascii="Times New Roman" w:hAnsi="Times New Roman"/>
                <w:b/>
                <w:color w:val="auto"/>
                <w:kern w:val="0"/>
                <w:sz w:val="18"/>
                <w:szCs w:val="18"/>
                <w:highlight w:val="none"/>
                <w:lang w:bidi="ar"/>
              </w:rPr>
              <w:t>（3）该标段推流增氧等设备及其它技术设施应符合宁波市、鄞州区等行业规范规定和要求。</w:t>
            </w:r>
            <w:r>
              <w:rPr>
                <w:rFonts w:hint="eastAsia" w:ascii="Times New Roman" w:hAnsi="Times New Roman"/>
                <w:b/>
                <w:color w:val="auto"/>
                <w:kern w:val="0"/>
                <w:sz w:val="18"/>
                <w:szCs w:val="18"/>
                <w:highlight w:val="none"/>
                <w:lang w:val="en-US" w:eastAsia="zh-CN" w:bidi="ar"/>
              </w:rPr>
              <w:t xml:space="preserve"> </w:t>
            </w:r>
          </w:p>
          <w:p>
            <w:pPr>
              <w:ind w:firstLine="361" w:firstLineChars="200"/>
              <w:jc w:val="left"/>
              <w:rPr>
                <w:rStyle w:val="47"/>
                <w:rFonts w:hint="default" w:ascii="Times New Roman" w:hAnsi="Times New Roman"/>
                <w:color w:val="auto"/>
                <w:sz w:val="18"/>
                <w:szCs w:val="18"/>
                <w:highlight w:val="none"/>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5000" w:type="pct"/>
            <w:gridSpan w:val="11"/>
            <w:shd w:val="clear" w:color="auto" w:fill="FFFFFF"/>
            <w:noWrap w:val="0"/>
            <w:tcMar>
              <w:top w:w="15" w:type="dxa"/>
              <w:left w:w="15" w:type="dxa"/>
              <w:right w:w="15" w:type="dxa"/>
            </w:tcMar>
            <w:vAlign w:val="center"/>
          </w:tcPr>
          <w:p>
            <w:pPr>
              <w:widowControl/>
              <w:jc w:val="center"/>
              <w:textAlignment w:val="center"/>
              <w:rPr>
                <w:rStyle w:val="51"/>
                <w:rFonts w:hint="default" w:ascii="Times New Roman" w:hAnsi="Times New Roman"/>
                <w:color w:val="auto"/>
                <w:sz w:val="18"/>
                <w:szCs w:val="18"/>
                <w:highlight w:val="none"/>
                <w:lang w:bidi="ar"/>
              </w:rPr>
            </w:pPr>
            <w:r>
              <w:rPr>
                <w:rStyle w:val="40"/>
                <w:rFonts w:hint="default" w:ascii="Times New Roman" w:hAnsi="Times New Roman" w:eastAsia="华文中宋"/>
                <w:color w:val="auto"/>
                <w:sz w:val="30"/>
                <w:szCs w:val="30"/>
                <w:highlight w:val="none"/>
                <w:lang w:bidi="ar"/>
              </w:rPr>
              <w:t>第十一标段水质日常养护概况与技术策略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序号</w:t>
            </w:r>
          </w:p>
        </w:tc>
        <w:tc>
          <w:tcPr>
            <w:tcW w:w="305"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河道</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名称</w:t>
            </w:r>
          </w:p>
        </w:tc>
        <w:tc>
          <w:tcPr>
            <w:tcW w:w="258" w:type="pct"/>
            <w:shd w:val="clear" w:color="auto" w:fill="FFFFFF"/>
            <w:noWrap w:val="0"/>
            <w:tcMar>
              <w:top w:w="15" w:type="dxa"/>
              <w:left w:w="15" w:type="dxa"/>
              <w:right w:w="15" w:type="dxa"/>
            </w:tcMar>
            <w:vAlign w:val="center"/>
          </w:tcPr>
          <w:p>
            <w:pPr>
              <w:widowControl/>
              <w:jc w:val="center"/>
              <w:textAlignment w:val="center"/>
              <w:rPr>
                <w:rStyle w:val="57"/>
                <w:b/>
                <w:bCs/>
                <w:color w:val="auto"/>
                <w:sz w:val="21"/>
                <w:szCs w:val="21"/>
                <w:highlight w:val="none"/>
                <w:lang w:bidi="ar"/>
              </w:rPr>
            </w:pPr>
            <w:r>
              <w:rPr>
                <w:rStyle w:val="57"/>
                <w:b/>
                <w:bCs/>
                <w:color w:val="auto"/>
                <w:sz w:val="21"/>
                <w:szCs w:val="21"/>
                <w:highlight w:val="none"/>
                <w:lang w:bidi="ar"/>
              </w:rPr>
              <w:t>考核</w:t>
            </w:r>
          </w:p>
          <w:p>
            <w:pPr>
              <w:widowControl/>
              <w:jc w:val="center"/>
              <w:textAlignment w:val="center"/>
              <w:rPr>
                <w:rFonts w:ascii="Times New Roman" w:hAnsi="Times New Roman"/>
                <w:b/>
                <w:bCs/>
                <w:color w:val="auto"/>
                <w:sz w:val="21"/>
                <w:szCs w:val="21"/>
                <w:highlight w:val="none"/>
              </w:rPr>
            </w:pPr>
            <w:r>
              <w:rPr>
                <w:rStyle w:val="57"/>
                <w:b/>
                <w:bCs/>
                <w:color w:val="auto"/>
                <w:sz w:val="21"/>
                <w:szCs w:val="21"/>
                <w:highlight w:val="none"/>
                <w:lang w:bidi="ar"/>
              </w:rPr>
              <w:t>等级</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起点</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终点</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长度（</w:t>
            </w:r>
            <w:r>
              <w:rPr>
                <w:rStyle w:val="50"/>
                <w:b/>
                <w:bCs/>
                <w:color w:val="auto"/>
                <w:sz w:val="21"/>
                <w:szCs w:val="21"/>
                <w:highlight w:val="none"/>
                <w:lang w:bidi="ar"/>
              </w:rPr>
              <w:t>m</w:t>
            </w:r>
            <w:r>
              <w:rPr>
                <w:rStyle w:val="56"/>
                <w:rFonts w:hint="default" w:ascii="Times New Roman" w:hAnsi="Times New Roman"/>
                <w:b/>
                <w:bCs/>
                <w:color w:val="auto"/>
                <w:sz w:val="21"/>
                <w:szCs w:val="21"/>
                <w:highlight w:val="none"/>
                <w:lang w:bidi="ar"/>
              </w:rPr>
              <w:t>）</w:t>
            </w:r>
          </w:p>
        </w:tc>
        <w:tc>
          <w:tcPr>
            <w:tcW w:w="190"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宽度</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w:t>
            </w:r>
            <w:r>
              <w:rPr>
                <w:rStyle w:val="50"/>
                <w:b/>
                <w:bCs/>
                <w:color w:val="auto"/>
                <w:sz w:val="21"/>
                <w:szCs w:val="21"/>
                <w:highlight w:val="none"/>
                <w:lang w:bidi="ar"/>
              </w:rPr>
              <w:t>m</w:t>
            </w:r>
            <w:r>
              <w:rPr>
                <w:rStyle w:val="56"/>
                <w:rFonts w:hint="default" w:ascii="Times New Roman" w:hAnsi="Times New Roman"/>
                <w:b/>
                <w:bCs/>
                <w:color w:val="auto"/>
                <w:sz w:val="21"/>
                <w:szCs w:val="21"/>
                <w:highlight w:val="none"/>
                <w:lang w:bidi="ar"/>
              </w:rPr>
              <w:t>）</w:t>
            </w:r>
          </w:p>
        </w:tc>
        <w:tc>
          <w:tcPr>
            <w:tcW w:w="331"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Style w:val="56"/>
                <w:rFonts w:hint="default" w:ascii="Times New Roman" w:hAnsi="Times New Roman"/>
                <w:b/>
                <w:bCs/>
                <w:color w:val="auto"/>
                <w:sz w:val="21"/>
                <w:szCs w:val="21"/>
                <w:highlight w:val="none"/>
                <w:lang w:bidi="ar"/>
              </w:rPr>
              <w:t>面积</w:t>
            </w:r>
          </w:p>
          <w:p>
            <w:pPr>
              <w:widowControl/>
              <w:jc w:val="center"/>
              <w:textAlignment w:val="center"/>
              <w:rPr>
                <w:rFonts w:ascii="Times New Roman" w:hAnsi="Times New Roman"/>
                <w:b/>
                <w:bCs/>
                <w:color w:val="auto"/>
                <w:sz w:val="21"/>
                <w:szCs w:val="21"/>
                <w:highlight w:val="none"/>
              </w:rPr>
            </w:pPr>
            <w:r>
              <w:rPr>
                <w:rStyle w:val="56"/>
                <w:rFonts w:hint="default" w:ascii="Times New Roman" w:hAnsi="Times New Roman"/>
                <w:b/>
                <w:bCs/>
                <w:color w:val="auto"/>
                <w:sz w:val="21"/>
                <w:szCs w:val="21"/>
                <w:highlight w:val="none"/>
                <w:lang w:bidi="ar"/>
              </w:rPr>
              <w:t>（</w:t>
            </w:r>
            <w:r>
              <w:rPr>
                <w:rStyle w:val="50"/>
                <w:b/>
                <w:bCs/>
                <w:color w:val="auto"/>
                <w:sz w:val="21"/>
                <w:szCs w:val="21"/>
                <w:highlight w:val="none"/>
                <w:lang w:bidi="ar"/>
              </w:rPr>
              <w:t>m</w:t>
            </w:r>
            <w:r>
              <w:rPr>
                <w:rStyle w:val="58"/>
                <w:b/>
                <w:bCs/>
                <w:color w:val="auto"/>
                <w:sz w:val="21"/>
                <w:szCs w:val="21"/>
                <w:highlight w:val="none"/>
                <w:lang w:bidi="ar"/>
              </w:rPr>
              <w:t>2</w:t>
            </w:r>
            <w:r>
              <w:rPr>
                <w:rStyle w:val="56"/>
                <w:rFonts w:hint="default" w:ascii="Times New Roman" w:hAnsi="Times New Roman"/>
                <w:b/>
                <w:bCs/>
                <w:color w:val="auto"/>
                <w:sz w:val="21"/>
                <w:szCs w:val="21"/>
                <w:highlight w:val="none"/>
                <w:lang w:bidi="ar"/>
              </w:rPr>
              <w:t>）</w:t>
            </w:r>
          </w:p>
        </w:tc>
        <w:tc>
          <w:tcPr>
            <w:tcW w:w="839" w:type="pct"/>
            <w:shd w:val="clear" w:color="auto" w:fill="FFFFFF"/>
            <w:noWrap w:val="0"/>
            <w:tcMar>
              <w:top w:w="15" w:type="dxa"/>
              <w:left w:w="15" w:type="dxa"/>
              <w:right w:w="15" w:type="dxa"/>
            </w:tcMar>
            <w:vAlign w:val="center"/>
          </w:tcPr>
          <w:p>
            <w:pPr>
              <w:widowControl/>
              <w:jc w:val="center"/>
              <w:textAlignment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 xml:space="preserve">限定性技术① </w:t>
            </w:r>
          </w:p>
        </w:tc>
        <w:tc>
          <w:tcPr>
            <w:tcW w:w="908" w:type="pct"/>
            <w:shd w:val="clear" w:color="auto" w:fill="FFFFFF"/>
            <w:noWrap w:val="0"/>
            <w:tcMar>
              <w:top w:w="15" w:type="dxa"/>
              <w:left w:w="15" w:type="dxa"/>
              <w:right w:w="15" w:type="dxa"/>
            </w:tcMar>
            <w:vAlign w:val="center"/>
          </w:tcPr>
          <w:p>
            <w:pPr>
              <w:widowControl/>
              <w:jc w:val="center"/>
              <w:textAlignment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eastAsia="zh-CN"/>
              </w:rPr>
              <w:t>限定性技术②</w:t>
            </w:r>
          </w:p>
        </w:tc>
        <w:tc>
          <w:tcPr>
            <w:tcW w:w="1138" w:type="pct"/>
            <w:shd w:val="clear" w:color="auto" w:fill="FFFFFF"/>
            <w:noWrap w:val="0"/>
            <w:tcMar>
              <w:top w:w="15" w:type="dxa"/>
              <w:left w:w="15" w:type="dxa"/>
              <w:right w:w="15" w:type="dxa"/>
            </w:tcMar>
            <w:vAlign w:val="center"/>
          </w:tcPr>
          <w:p>
            <w:pPr>
              <w:widowControl/>
              <w:jc w:val="center"/>
              <w:textAlignment w:val="center"/>
              <w:rPr>
                <w:rStyle w:val="56"/>
                <w:rFonts w:hint="default" w:ascii="Times New Roman" w:hAnsi="Times New Roman"/>
                <w:b/>
                <w:bCs/>
                <w:color w:val="auto"/>
                <w:sz w:val="21"/>
                <w:szCs w:val="21"/>
                <w:highlight w:val="none"/>
                <w:lang w:bidi="ar"/>
              </w:rPr>
            </w:pPr>
            <w:r>
              <w:rPr>
                <w:rFonts w:ascii="Times New Roman" w:hAnsi="Times New Roman"/>
                <w:b/>
                <w:bCs/>
                <w:color w:val="auto"/>
                <w:sz w:val="21"/>
                <w:szCs w:val="21"/>
                <w:highlight w:val="none"/>
              </w:rPr>
              <w:t>非限定性技术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w:t>
            </w: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-1</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戚隘河支流</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清水</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汪家河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戚隘河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613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14.09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8640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生物循环净化设施技术、推流增氧设备技术</w:t>
            </w:r>
            <w:r>
              <w:rPr>
                <w:rStyle w:val="51"/>
                <w:rFonts w:hint="default" w:ascii="Times New Roman" w:hAnsi="Times New Roman"/>
                <w:color w:val="auto"/>
                <w:sz w:val="18"/>
                <w:szCs w:val="18"/>
                <w:highlight w:val="none"/>
                <w:lang w:bidi="ar"/>
              </w:rPr>
              <w:t>，设施设备总功率不低于15kw。</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kern w:val="0"/>
                <w:sz w:val="18"/>
                <w:szCs w:val="18"/>
                <w:highlight w:val="none"/>
                <w:lang w:bidi="ar"/>
              </w:rPr>
            </w:pPr>
            <w:r>
              <w:rPr>
                <w:rStyle w:val="51"/>
                <w:rFonts w:hint="default" w:ascii="Times New Roman" w:hAnsi="Times New Roman"/>
                <w:color w:val="auto"/>
                <w:sz w:val="18"/>
                <w:szCs w:val="18"/>
                <w:highlight w:val="none"/>
                <w:lang w:bidi="ar"/>
              </w:rPr>
              <w:t>底泥改良技术、旁路生物过滤技术、生物接触氧化技术。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w:t>
            </w: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-2</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后西漕</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清水</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漕底</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后西河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256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9.79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2507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沉水植物构建技术，覆盖率不低于60%。</w:t>
            </w:r>
          </w:p>
        </w:tc>
        <w:tc>
          <w:tcPr>
            <w:tcW w:w="113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kern w:val="0"/>
                <w:sz w:val="18"/>
                <w:szCs w:val="18"/>
                <w:highlight w:val="none"/>
                <w:lang w:bidi="ar"/>
              </w:rPr>
            </w:pPr>
            <w:r>
              <w:rPr>
                <w:rStyle w:val="51"/>
                <w:rFonts w:hint="default" w:ascii="Times New Roman" w:hAnsi="Times New Roman"/>
                <w:color w:val="auto"/>
                <w:sz w:val="18"/>
                <w:szCs w:val="18"/>
                <w:highlight w:val="none"/>
                <w:lang w:bidi="ar"/>
              </w:rPr>
              <w:t>底泥改良技术、旁路生物过滤技术、生物接触氧化技术。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w:t>
            </w: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-3</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桑家河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清水</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后西河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陆家河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880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10.22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8996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生物循环净化设施技术、推流增氧设备技术</w:t>
            </w:r>
            <w:r>
              <w:rPr>
                <w:rStyle w:val="51"/>
                <w:rFonts w:hint="default" w:ascii="Times New Roman" w:hAnsi="Times New Roman"/>
                <w:color w:val="auto"/>
                <w:sz w:val="18"/>
                <w:szCs w:val="18"/>
                <w:highlight w:val="none"/>
                <w:lang w:bidi="ar"/>
              </w:rPr>
              <w:t>，设施设备总功率不低于15kw。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沉水植物构建技术，覆盖率不低于60%；底泥改良技术、旁路生物过滤技术、生物接触氧化技术。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w:t>
            </w: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-4</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下张河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清水</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陆家河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凌波路西</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488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10.24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4997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沉水植物构建技术，植物覆盖率不低于60%。</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底泥改良技术、旁路生物过滤技术、生物接触氧化技术。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w:t>
            </w: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-5</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后西河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后塘河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通途路</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1630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19.97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32546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生物循环净化设施技术、推流增氧设备技术</w:t>
            </w:r>
            <w:r>
              <w:rPr>
                <w:rStyle w:val="51"/>
                <w:rFonts w:hint="default" w:ascii="Times New Roman" w:hAnsi="Times New Roman"/>
                <w:color w:val="auto"/>
                <w:sz w:val="18"/>
                <w:szCs w:val="18"/>
                <w:highlight w:val="none"/>
                <w:lang w:bidi="ar"/>
              </w:rPr>
              <w:t>，设施设备总功率不低于50kw。</w:t>
            </w:r>
          </w:p>
        </w:tc>
        <w:tc>
          <w:tcPr>
            <w:tcW w:w="1138" w:type="pct"/>
            <w:shd w:val="clear" w:color="auto" w:fill="FFFFFF"/>
            <w:noWrap w:val="0"/>
            <w:tcMar>
              <w:top w:w="15" w:type="dxa"/>
              <w:left w:w="15" w:type="dxa"/>
              <w:right w:w="15" w:type="dxa"/>
            </w:tcMar>
            <w:vAlign w:val="center"/>
          </w:tcPr>
          <w:p>
            <w:pPr>
              <w:jc w:val="left"/>
              <w:rPr>
                <w:rFonts w:ascii="Times New Roman" w:hAnsi="Times New Roman"/>
                <w:color w:val="auto"/>
                <w:kern w:val="0"/>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w:t>
            </w: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-6</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夏虞河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江南村</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后西河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360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7.03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2530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推流增氧设备技术，</w:t>
            </w:r>
            <w:r>
              <w:rPr>
                <w:rStyle w:val="51"/>
                <w:rFonts w:hint="default" w:ascii="Times New Roman" w:hAnsi="Times New Roman"/>
                <w:color w:val="auto"/>
                <w:sz w:val="18"/>
                <w:szCs w:val="18"/>
                <w:highlight w:val="none"/>
                <w:lang w:bidi="ar"/>
              </w:rPr>
              <w:t>设备总功率不低于5kw。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w:t>
            </w: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-7</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李家河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后西河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后西河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1332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15.92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21210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生物循环净化设施技术、推流增氧设备技术</w:t>
            </w:r>
            <w:r>
              <w:rPr>
                <w:rStyle w:val="51"/>
                <w:rFonts w:hint="default" w:ascii="Times New Roman" w:hAnsi="Times New Roman"/>
                <w:color w:val="auto"/>
                <w:sz w:val="18"/>
                <w:szCs w:val="18"/>
                <w:highlight w:val="none"/>
                <w:lang w:bidi="ar"/>
              </w:rPr>
              <w:t>，设施设备总功率不低于35kw。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w:t>
            </w: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-8</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朱家河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福明路</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李家河</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129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16.76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2162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生物循环净化设施技术、推流增氧设备技术</w:t>
            </w:r>
            <w:r>
              <w:rPr>
                <w:rStyle w:val="51"/>
                <w:rFonts w:hint="default" w:ascii="Times New Roman" w:hAnsi="Times New Roman"/>
                <w:color w:val="auto"/>
                <w:sz w:val="18"/>
                <w:szCs w:val="18"/>
                <w:highlight w:val="none"/>
                <w:lang w:bidi="ar"/>
              </w:rPr>
              <w:t>，设施设备总功率不低于5kw。</w:t>
            </w: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r>
              <w:rPr>
                <w:rStyle w:val="52"/>
                <w:rFonts w:hint="default" w:ascii="Times New Roman" w:hAnsi="Times New Roman" w:cs="Times New Roman"/>
                <w:color w:val="auto"/>
                <w:sz w:val="18"/>
                <w:szCs w:val="18"/>
                <w:highlight w:val="none"/>
                <w:lang w:bidi="ar"/>
              </w:rPr>
              <w:t>底泥改良技术、泵管水力调控技术、原位生物接触氧化技术。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w:t>
            </w: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-9</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戚隘河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一般</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后西河</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世纪大道</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2352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11.29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26554 </w:t>
            </w:r>
          </w:p>
        </w:tc>
        <w:tc>
          <w:tcPr>
            <w:tcW w:w="839"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default" w:ascii="Times New Roman" w:hAnsi="Times New Roman"/>
                <w:color w:val="auto"/>
                <w:sz w:val="18"/>
                <w:szCs w:val="18"/>
                <w:highlight w:val="none"/>
                <w:lang w:bidi="ar"/>
              </w:rPr>
              <w:t>设置1套一体化设备，设备处理能力不低于1000吨/天，单独计入设施增支费用</w:t>
            </w:r>
            <w:r>
              <w:rPr>
                <w:rFonts w:ascii="Times New Roman" w:hAnsi="Times New Roman"/>
                <w:color w:val="auto"/>
                <w:kern w:val="0"/>
                <w:sz w:val="18"/>
                <w:szCs w:val="18"/>
                <w:highlight w:val="none"/>
                <w:lang w:bidi="ar"/>
              </w:rPr>
              <w:t>72000元。</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Style w:val="51"/>
                <w:rFonts w:hint="eastAsia" w:ascii="Times New Roman" w:hAnsi="Times New Roman" w:eastAsia="宋体"/>
                <w:color w:val="auto"/>
                <w:sz w:val="18"/>
                <w:szCs w:val="18"/>
                <w:highlight w:val="none"/>
                <w:lang w:eastAsia="zh-CN" w:bidi="ar"/>
              </w:rPr>
              <w:t>生物循环净化设施技术、推流增氧设备技术</w:t>
            </w:r>
            <w:r>
              <w:rPr>
                <w:rStyle w:val="51"/>
                <w:rFonts w:hint="default" w:ascii="Times New Roman" w:hAnsi="Times New Roman"/>
                <w:color w:val="auto"/>
                <w:sz w:val="18"/>
                <w:szCs w:val="18"/>
                <w:highlight w:val="none"/>
                <w:lang w:bidi="ar"/>
              </w:rPr>
              <w:t>，设施设备总功率不低于40kw。</w:t>
            </w:r>
          </w:p>
        </w:tc>
        <w:tc>
          <w:tcPr>
            <w:tcW w:w="1138" w:type="pct"/>
            <w:shd w:val="clear" w:color="auto" w:fill="FFFFFF"/>
            <w:noWrap w:val="0"/>
            <w:tcMar>
              <w:top w:w="15" w:type="dxa"/>
              <w:left w:w="15" w:type="dxa"/>
              <w:right w:w="15" w:type="dxa"/>
            </w:tcMar>
            <w:vAlign w:val="center"/>
          </w:tcPr>
          <w:p>
            <w:pPr>
              <w:widowControl/>
              <w:jc w:val="left"/>
              <w:textAlignment w:val="center"/>
              <w:rPr>
                <w:rStyle w:val="51"/>
                <w:rFonts w:hint="default" w:ascii="Times New Roman" w:hAnsi="Times New Roman"/>
                <w:color w:val="auto"/>
                <w:sz w:val="18"/>
                <w:szCs w:val="18"/>
                <w:highlight w:val="none"/>
                <w:lang w:bidi="ar"/>
              </w:rPr>
            </w:pPr>
            <w:r>
              <w:rPr>
                <w:rStyle w:val="52"/>
                <w:rFonts w:hint="default" w:ascii="Times New Roman" w:hAnsi="Times New Roman" w:cs="Times New Roman"/>
                <w:color w:val="auto"/>
                <w:sz w:val="18"/>
                <w:szCs w:val="18"/>
                <w:highlight w:val="none"/>
                <w:lang w:bidi="ar"/>
              </w:rPr>
              <w:t>底泥改良技术、泵管水力调控技术。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Style w:val="47"/>
                <w:rFonts w:hint="default" w:ascii="Times New Roman" w:hAnsi="Times New Roman"/>
                <w:color w:val="auto"/>
                <w:sz w:val="18"/>
                <w:szCs w:val="18"/>
                <w:highlight w:val="none"/>
                <w:lang w:bidi="ar"/>
              </w:rPr>
              <w:t>第十一标段日常养护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8040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110142 </w:t>
            </w:r>
          </w:p>
        </w:tc>
        <w:tc>
          <w:tcPr>
            <w:tcW w:w="2886" w:type="pct"/>
            <w:gridSpan w:val="3"/>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Fonts w:hint="eastAsia" w:ascii="Times New Roman" w:hAnsi="Times New Roman"/>
                <w:b/>
                <w:color w:val="auto"/>
                <w:sz w:val="18"/>
                <w:szCs w:val="18"/>
                <w:highlight w:val="none"/>
                <w:lang w:val="en-US" w:eastAsia="zh-CN"/>
              </w:rPr>
              <w:t>第十一</w:t>
            </w:r>
            <w:r>
              <w:rPr>
                <w:rFonts w:hint="eastAsia" w:ascii="Times New Roman" w:hAnsi="Times New Roman"/>
                <w:b/>
                <w:color w:val="auto"/>
                <w:sz w:val="18"/>
                <w:szCs w:val="18"/>
                <w:highlight w:val="none"/>
                <w:lang w:eastAsia="zh-CN"/>
              </w:rPr>
              <w:t>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ascii="Times New Roman" w:hAnsi="Times New Roman"/>
                <w:b/>
                <w:color w:val="auto"/>
                <w:sz w:val="18"/>
                <w:szCs w:val="18"/>
                <w:highlight w:val="none"/>
              </w:rPr>
              <w:t>72000</w:t>
            </w:r>
            <w:r>
              <w:rPr>
                <w:rFonts w:hint="eastAsia" w:ascii="Times New Roman" w:hAnsi="Times New Roman"/>
                <w:b/>
                <w:color w:val="auto"/>
                <w:sz w:val="18"/>
                <w:szCs w:val="18"/>
                <w:highlight w:val="none"/>
                <w:lang w:eastAsia="zh-CN"/>
              </w:rPr>
              <w:t xml:space="preserve">元 </w:t>
            </w:r>
            <w:r>
              <w:rPr>
                <w:rFonts w:hint="default" w:ascii="Times New Roman" w:hAnsi="Times New Roman"/>
                <w:b/>
                <w:color w:val="auto"/>
                <w:sz w:val="18"/>
                <w:szCs w:val="18"/>
                <w:highlight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1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1</w:t>
            </w:r>
            <w:r>
              <w:rPr>
                <w:rFonts w:hint="eastAsia" w:ascii="Times New Roman" w:hAnsi="Times New Roman"/>
                <w:color w:val="auto"/>
                <w:kern w:val="0"/>
                <w:sz w:val="18"/>
                <w:szCs w:val="18"/>
                <w:highlight w:val="none"/>
                <w:lang w:bidi="ar"/>
              </w:rPr>
              <w:t>1</w:t>
            </w:r>
            <w:r>
              <w:rPr>
                <w:rFonts w:ascii="Times New Roman" w:hAnsi="Times New Roman"/>
                <w:color w:val="auto"/>
                <w:kern w:val="0"/>
                <w:sz w:val="18"/>
                <w:szCs w:val="18"/>
                <w:highlight w:val="none"/>
                <w:lang w:bidi="ar"/>
              </w:rPr>
              <w:t>-10</w:t>
            </w:r>
          </w:p>
        </w:tc>
        <w:tc>
          <w:tcPr>
            <w:tcW w:w="305"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后西河</w:t>
            </w:r>
          </w:p>
        </w:tc>
        <w:tc>
          <w:tcPr>
            <w:tcW w:w="25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应急</w:t>
            </w:r>
          </w:p>
        </w:tc>
        <w:tc>
          <w:tcPr>
            <w:tcW w:w="307"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甬江（印洪碶）</w:t>
            </w:r>
          </w:p>
        </w:tc>
        <w:tc>
          <w:tcPr>
            <w:tcW w:w="293"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Style w:val="56"/>
                <w:rFonts w:hint="default" w:ascii="Times New Roman" w:hAnsi="Times New Roman"/>
                <w:color w:val="auto"/>
                <w:sz w:val="18"/>
                <w:szCs w:val="18"/>
                <w:highlight w:val="none"/>
                <w:lang w:bidi="ar"/>
              </w:rPr>
              <w:t>通途路</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1878 </w:t>
            </w:r>
          </w:p>
        </w:tc>
        <w:tc>
          <w:tcPr>
            <w:tcW w:w="190"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19.97 </w:t>
            </w: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kern w:val="0"/>
                <w:sz w:val="18"/>
                <w:szCs w:val="18"/>
                <w:highlight w:val="none"/>
                <w:lang w:bidi="ar"/>
              </w:rPr>
              <w:t xml:space="preserve">37498 </w:t>
            </w:r>
          </w:p>
        </w:tc>
        <w:tc>
          <w:tcPr>
            <w:tcW w:w="83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908" w:type="pct"/>
            <w:shd w:val="clear" w:color="auto" w:fill="FFFFFF"/>
            <w:noWrap w:val="0"/>
            <w:tcMar>
              <w:top w:w="15" w:type="dxa"/>
              <w:left w:w="15" w:type="dxa"/>
              <w:right w:w="15" w:type="dxa"/>
            </w:tcMar>
            <w:vAlign w:val="center"/>
          </w:tcPr>
          <w:p>
            <w:pPr>
              <w:widowControl/>
              <w:jc w:val="left"/>
              <w:textAlignment w:val="center"/>
              <w:rPr>
                <w:rFonts w:ascii="Times New Roman" w:hAnsi="Times New Roman"/>
                <w:color w:val="auto"/>
                <w:sz w:val="18"/>
                <w:szCs w:val="18"/>
                <w:highlight w:val="none"/>
              </w:rPr>
            </w:pPr>
            <w:r>
              <w:rPr>
                <w:rFonts w:ascii="Times New Roman" w:hAnsi="Times New Roman"/>
                <w:color w:val="auto"/>
                <w:sz w:val="18"/>
                <w:szCs w:val="18"/>
                <w:highlight w:val="none"/>
              </w:rPr>
              <w:t>预防黑臭及控藻等应急技术。</w:t>
            </w:r>
          </w:p>
        </w:tc>
        <w:tc>
          <w:tcPr>
            <w:tcW w:w="1138"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color w:val="auto"/>
                <w:kern w:val="0"/>
                <w:sz w:val="18"/>
                <w:szCs w:val="18"/>
                <w:highlight w:val="none"/>
                <w:lang w:bidi="ar"/>
              </w:rPr>
            </w:pPr>
            <w:r>
              <w:rPr>
                <w:rStyle w:val="52"/>
                <w:rFonts w:hint="default" w:ascii="Times New Roman" w:hAnsi="Times New Roman" w:cs="Times New Roman"/>
                <w:color w:val="auto"/>
                <w:sz w:val="18"/>
                <w:szCs w:val="18"/>
                <w:highlight w:val="none"/>
                <w:lang w:bidi="ar"/>
              </w:rPr>
              <w:t>底泥消毒与底泥改良技术。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val="0"/>
            <w:tcMar>
              <w:top w:w="15" w:type="dxa"/>
              <w:left w:w="15" w:type="dxa"/>
              <w:right w:w="15" w:type="dxa"/>
            </w:tcMar>
            <w:vAlign w:val="center"/>
          </w:tcPr>
          <w:p>
            <w:pPr>
              <w:jc w:val="center"/>
              <w:rPr>
                <w:rFonts w:ascii="Times New Roman" w:hAnsi="Times New Roman"/>
                <w:color w:val="auto"/>
                <w:sz w:val="18"/>
                <w:szCs w:val="18"/>
                <w:highlight w:val="none"/>
              </w:rPr>
            </w:pPr>
            <w:r>
              <w:rPr>
                <w:rStyle w:val="47"/>
                <w:rFonts w:hint="default" w:ascii="Times New Roman" w:hAnsi="Times New Roman"/>
                <w:color w:val="auto"/>
                <w:sz w:val="18"/>
                <w:szCs w:val="18"/>
                <w:highlight w:val="none"/>
                <w:lang w:bidi="ar"/>
              </w:rPr>
              <w:t>第十一标段应急养护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1878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37498 </w:t>
            </w:r>
          </w:p>
        </w:tc>
        <w:tc>
          <w:tcPr>
            <w:tcW w:w="839" w:type="pct"/>
            <w:shd w:val="clear" w:color="auto" w:fill="FFFFFF"/>
            <w:noWrap w:val="0"/>
            <w:tcMar>
              <w:top w:w="15" w:type="dxa"/>
              <w:left w:w="15" w:type="dxa"/>
              <w:right w:w="15" w:type="dxa"/>
            </w:tcMar>
            <w:vAlign w:val="center"/>
          </w:tcPr>
          <w:p>
            <w:pPr>
              <w:jc w:val="center"/>
              <w:rPr>
                <w:rFonts w:ascii="Times New Roman" w:hAnsi="Times New Roman"/>
                <w:color w:val="auto"/>
                <w:sz w:val="18"/>
                <w:szCs w:val="18"/>
                <w:highlight w:val="none"/>
              </w:rPr>
            </w:pPr>
          </w:p>
        </w:tc>
        <w:tc>
          <w:tcPr>
            <w:tcW w:w="90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p>
        </w:tc>
        <w:tc>
          <w:tcPr>
            <w:tcW w:w="1138" w:type="pct"/>
            <w:shd w:val="clear" w:color="auto" w:fill="FFFFFF"/>
            <w:noWrap/>
            <w:tcMar>
              <w:top w:w="15" w:type="dxa"/>
              <w:left w:w="15" w:type="dxa"/>
              <w:right w:w="15" w:type="dxa"/>
            </w:tcMar>
            <w:vAlign w:val="center"/>
          </w:tcPr>
          <w:p>
            <w:pPr>
              <w:jc w:val="left"/>
              <w:rPr>
                <w:rFonts w:ascii="Times New Roman" w:hAnsi="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510" w:hRule="atLeast"/>
        </w:trPr>
        <w:tc>
          <w:tcPr>
            <w:tcW w:w="1323" w:type="pct"/>
            <w:gridSpan w:val="5"/>
            <w:shd w:val="clear" w:color="auto" w:fill="FFFFFF"/>
            <w:noWrap/>
            <w:tcMar>
              <w:top w:w="15" w:type="dxa"/>
              <w:left w:w="15" w:type="dxa"/>
              <w:right w:w="15" w:type="dxa"/>
            </w:tcMar>
            <w:vAlign w:val="center"/>
          </w:tcPr>
          <w:p>
            <w:pPr>
              <w:jc w:val="center"/>
              <w:rPr>
                <w:rFonts w:ascii="Times New Roman" w:hAnsi="Times New Roman"/>
                <w:b/>
                <w:color w:val="auto"/>
                <w:sz w:val="18"/>
                <w:szCs w:val="18"/>
                <w:highlight w:val="none"/>
              </w:rPr>
            </w:pPr>
            <w:r>
              <w:rPr>
                <w:rStyle w:val="47"/>
                <w:rFonts w:hint="default" w:ascii="Times New Roman" w:hAnsi="Times New Roman"/>
                <w:color w:val="auto"/>
                <w:sz w:val="18"/>
                <w:szCs w:val="18"/>
                <w:highlight w:val="none"/>
                <w:lang w:bidi="ar"/>
              </w:rPr>
              <w:t>第十一标段合计养护</w:t>
            </w:r>
          </w:p>
        </w:tc>
        <w:tc>
          <w:tcPr>
            <w:tcW w:w="269"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9918 </w:t>
            </w:r>
          </w:p>
        </w:tc>
        <w:tc>
          <w:tcPr>
            <w:tcW w:w="190" w:type="pct"/>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p>
        </w:tc>
        <w:tc>
          <w:tcPr>
            <w:tcW w:w="331" w:type="pct"/>
            <w:shd w:val="clear" w:color="auto" w:fill="FFFFFF"/>
            <w:noWrap w:val="0"/>
            <w:tcMar>
              <w:top w:w="15" w:type="dxa"/>
              <w:left w:w="15" w:type="dxa"/>
              <w:right w:w="15" w:type="dxa"/>
            </w:tcMar>
            <w:vAlign w:val="center"/>
          </w:tcPr>
          <w:p>
            <w:pPr>
              <w:widowControl/>
              <w:jc w:val="center"/>
              <w:textAlignment w:val="center"/>
              <w:rPr>
                <w:rFonts w:ascii="Times New Roman" w:hAnsi="Times New Roman"/>
                <w:b/>
                <w:color w:val="auto"/>
                <w:sz w:val="18"/>
                <w:szCs w:val="18"/>
                <w:highlight w:val="none"/>
              </w:rPr>
            </w:pPr>
            <w:r>
              <w:rPr>
                <w:rFonts w:ascii="Times New Roman" w:hAnsi="Times New Roman"/>
                <w:b/>
                <w:color w:val="auto"/>
                <w:kern w:val="0"/>
                <w:sz w:val="18"/>
                <w:szCs w:val="18"/>
                <w:highlight w:val="none"/>
                <w:lang w:bidi="ar"/>
              </w:rPr>
              <w:t xml:space="preserve">147640 </w:t>
            </w:r>
          </w:p>
        </w:tc>
        <w:tc>
          <w:tcPr>
            <w:tcW w:w="2886" w:type="pct"/>
            <w:gridSpan w:val="3"/>
            <w:shd w:val="clear" w:color="auto" w:fill="FFFFFF"/>
            <w:noWrap w:val="0"/>
            <w:tcMar>
              <w:top w:w="15" w:type="dxa"/>
              <w:left w:w="15" w:type="dxa"/>
              <w:right w:w="15" w:type="dxa"/>
            </w:tcMar>
            <w:vAlign w:val="center"/>
          </w:tcPr>
          <w:p>
            <w:pPr>
              <w:jc w:val="center"/>
              <w:rPr>
                <w:rFonts w:ascii="Times New Roman" w:hAnsi="Times New Roman"/>
                <w:b/>
                <w:color w:val="auto"/>
                <w:sz w:val="18"/>
                <w:szCs w:val="18"/>
                <w:highlight w:val="none"/>
              </w:rPr>
            </w:pPr>
            <w:r>
              <w:rPr>
                <w:rFonts w:hint="eastAsia" w:ascii="Times New Roman" w:hAnsi="Times New Roman"/>
                <w:b/>
                <w:color w:val="auto"/>
                <w:sz w:val="18"/>
                <w:szCs w:val="18"/>
                <w:highlight w:val="none"/>
                <w:lang w:val="en-US" w:eastAsia="zh-CN"/>
              </w:rPr>
              <w:t>第十一</w:t>
            </w:r>
            <w:r>
              <w:rPr>
                <w:rFonts w:hint="eastAsia" w:ascii="Times New Roman" w:hAnsi="Times New Roman"/>
                <w:b/>
                <w:color w:val="auto"/>
                <w:sz w:val="18"/>
                <w:szCs w:val="18"/>
                <w:highlight w:val="none"/>
                <w:lang w:eastAsia="zh-CN"/>
              </w:rPr>
              <w:t>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ascii="Times New Roman" w:hAnsi="Times New Roman"/>
                <w:b/>
                <w:color w:val="auto"/>
                <w:sz w:val="18"/>
                <w:szCs w:val="18"/>
                <w:highlight w:val="none"/>
              </w:rPr>
              <w:t>72000</w:t>
            </w:r>
            <w:r>
              <w:rPr>
                <w:rFonts w:hint="eastAsia" w:ascii="Times New Roman" w:hAnsi="Times New Roman"/>
                <w:b/>
                <w:color w:val="auto"/>
                <w:sz w:val="18"/>
                <w:szCs w:val="18"/>
                <w:highlight w:val="none"/>
                <w:lang w:eastAsia="zh-CN"/>
              </w:rPr>
              <w:t>元</w:t>
            </w:r>
            <w:r>
              <w:rPr>
                <w:rFonts w:hint="eastAsia" w:ascii="Times New Roman" w:hAnsi="Times New Roman"/>
                <w:b/>
                <w:color w:val="auto"/>
                <w:sz w:val="18"/>
                <w:szCs w:val="18"/>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28" w:type="dxa"/>
            <w:left w:w="85" w:type="dxa"/>
            <w:bottom w:w="28" w:type="dxa"/>
            <w:right w:w="85" w:type="dxa"/>
          </w:tblCellMar>
        </w:tblPrEx>
        <w:trPr>
          <w:trHeight w:val="340" w:hRule="atLeast"/>
        </w:trPr>
        <w:tc>
          <w:tcPr>
            <w:tcW w:w="5000" w:type="pct"/>
            <w:gridSpan w:val="11"/>
            <w:shd w:val="clear" w:color="auto" w:fill="FFFFFF"/>
            <w:noWrap/>
            <w:tcMar>
              <w:top w:w="15" w:type="dxa"/>
              <w:left w:w="15" w:type="dxa"/>
              <w:right w:w="15" w:type="dxa"/>
            </w:tcMar>
            <w:vAlign w:val="center"/>
          </w:tcPr>
          <w:p>
            <w:pPr>
              <w:ind w:firstLine="361" w:firstLineChars="200"/>
              <w:jc w:val="left"/>
              <w:rPr>
                <w:rFonts w:ascii="Times New Roman" w:hAnsi="Times New Roman" w:cs="宋体"/>
                <w:color w:val="auto"/>
                <w:sz w:val="18"/>
                <w:szCs w:val="18"/>
                <w:highlight w:val="none"/>
                <w:lang w:bidi="ar"/>
              </w:rPr>
            </w:pPr>
            <w:r>
              <w:rPr>
                <w:rFonts w:ascii="Times New Roman" w:hAnsi="Times New Roman"/>
                <w:b/>
                <w:color w:val="auto"/>
                <w:sz w:val="18"/>
                <w:szCs w:val="18"/>
                <w:highlight w:val="none"/>
              </w:rPr>
              <w:t>备注：</w:t>
            </w:r>
            <w:r>
              <w:rPr>
                <w:rFonts w:hint="eastAsia" w:ascii="Times New Roman" w:hAnsi="Times New Roman"/>
                <w:b/>
                <w:color w:val="auto"/>
                <w:sz w:val="18"/>
                <w:szCs w:val="18"/>
                <w:highlight w:val="none"/>
                <w:lang w:eastAsia="zh-CN"/>
              </w:rPr>
              <w:t>（1）本标段限定性技术</w:t>
            </w:r>
            <w:r>
              <w:rPr>
                <w:rFonts w:hint="eastAsia" w:ascii="Times New Roman" w:hAnsi="Times New Roman"/>
                <w:b/>
                <w:color w:val="auto"/>
                <w:sz w:val="18"/>
                <w:szCs w:val="18"/>
                <w:highlight w:val="none"/>
                <w:lang w:eastAsia="zh-CN"/>
              </w:rPr>
              <w:fldChar w:fldCharType="begin"/>
            </w:r>
            <w:r>
              <w:rPr>
                <w:rFonts w:hint="eastAsia" w:ascii="Times New Roman" w:hAnsi="Times New Roman"/>
                <w:b/>
                <w:color w:val="auto"/>
                <w:sz w:val="18"/>
                <w:szCs w:val="18"/>
                <w:highlight w:val="none"/>
                <w:lang w:eastAsia="zh-CN"/>
              </w:rPr>
              <w:instrText xml:space="preserve"> = 1 \* GB3 \* MERGEFORMAT </w:instrText>
            </w:r>
            <w:r>
              <w:rPr>
                <w:rFonts w:hint="eastAsia" w:ascii="Times New Roman" w:hAnsi="Times New Roman"/>
                <w:b/>
                <w:color w:val="auto"/>
                <w:sz w:val="18"/>
                <w:szCs w:val="18"/>
                <w:highlight w:val="none"/>
                <w:lang w:eastAsia="zh-CN"/>
              </w:rPr>
              <w:fldChar w:fldCharType="separate"/>
            </w:r>
            <w:r>
              <w:rPr>
                <w:rFonts w:hint="eastAsia" w:ascii="Times New Roman" w:hAnsi="Times New Roman"/>
                <w:b/>
                <w:color w:val="auto"/>
                <w:sz w:val="18"/>
                <w:szCs w:val="18"/>
                <w:highlight w:val="none"/>
                <w:lang w:eastAsia="zh-CN"/>
              </w:rPr>
              <w:t>①</w:t>
            </w:r>
            <w:r>
              <w:rPr>
                <w:rFonts w:hint="eastAsia" w:ascii="Times New Roman" w:hAnsi="Times New Roman"/>
                <w:b/>
                <w:color w:val="auto"/>
                <w:sz w:val="18"/>
                <w:szCs w:val="18"/>
                <w:highlight w:val="none"/>
                <w:lang w:eastAsia="zh-CN"/>
              </w:rPr>
              <w:fldChar w:fldCharType="end"/>
            </w:r>
            <w:r>
              <w:rPr>
                <w:rFonts w:hint="eastAsia" w:ascii="Times New Roman" w:hAnsi="Times New Roman"/>
                <w:b/>
                <w:color w:val="auto"/>
                <w:sz w:val="18"/>
                <w:szCs w:val="18"/>
                <w:highlight w:val="none"/>
                <w:lang w:eastAsia="zh-CN"/>
              </w:rPr>
              <w:t>规定</w:t>
            </w:r>
            <w:r>
              <w:rPr>
                <w:rFonts w:hint="default" w:ascii="Times New Roman" w:hAnsi="Times New Roman"/>
                <w:b/>
                <w:color w:val="auto"/>
                <w:sz w:val="18"/>
                <w:szCs w:val="18"/>
                <w:highlight w:val="none"/>
                <w:lang w:eastAsia="zh-CN"/>
              </w:rPr>
              <w:t>设施</w:t>
            </w:r>
            <w:r>
              <w:rPr>
                <w:rFonts w:hint="eastAsia" w:ascii="Times New Roman" w:hAnsi="Times New Roman"/>
                <w:b/>
                <w:color w:val="auto"/>
                <w:sz w:val="18"/>
                <w:szCs w:val="18"/>
                <w:highlight w:val="none"/>
                <w:lang w:val="en-US" w:eastAsia="zh-CN"/>
              </w:rPr>
              <w:t>单独计入</w:t>
            </w:r>
            <w:r>
              <w:rPr>
                <w:rFonts w:hint="default" w:ascii="Times New Roman" w:hAnsi="Times New Roman"/>
                <w:b/>
                <w:color w:val="auto"/>
                <w:sz w:val="18"/>
                <w:szCs w:val="18"/>
                <w:highlight w:val="none"/>
                <w:lang w:eastAsia="zh-CN"/>
              </w:rPr>
              <w:t>费用</w:t>
            </w:r>
            <w:r>
              <w:rPr>
                <w:rFonts w:ascii="Times New Roman" w:hAnsi="Times New Roman"/>
                <w:b/>
                <w:color w:val="auto"/>
                <w:sz w:val="18"/>
                <w:szCs w:val="18"/>
                <w:highlight w:val="none"/>
              </w:rPr>
              <w:t>72000</w:t>
            </w:r>
            <w:r>
              <w:rPr>
                <w:rFonts w:hint="eastAsia" w:ascii="Times New Roman" w:hAnsi="Times New Roman"/>
                <w:b/>
                <w:color w:val="auto"/>
                <w:sz w:val="18"/>
                <w:szCs w:val="18"/>
                <w:highlight w:val="none"/>
                <w:lang w:eastAsia="zh-CN"/>
              </w:rPr>
              <w:t>元，</w:t>
            </w:r>
            <w:r>
              <w:rPr>
                <w:rFonts w:hint="eastAsia" w:ascii="Times New Roman" w:hAnsi="Times New Roman"/>
                <w:b/>
                <w:color w:val="auto"/>
                <w:sz w:val="18"/>
                <w:szCs w:val="18"/>
                <w:highlight w:val="none"/>
                <w:lang w:val="en-US" w:eastAsia="zh-CN"/>
              </w:rPr>
              <w:t>包含在总费用中但并非规定设施投入的全部费用，不管因任何原因未实施安装的，则该部分费用按照中标下浮率等比例下浮后一次性扣除，针对所在河道的考核标准和方法不变</w:t>
            </w:r>
            <w:r>
              <w:rPr>
                <w:rFonts w:hint="default" w:ascii="Times New Roman" w:hAnsi="Times New Roman"/>
                <w:b/>
                <w:color w:val="auto"/>
                <w:sz w:val="18"/>
                <w:szCs w:val="18"/>
                <w:highlight w:val="none"/>
                <w:lang w:eastAsia="zh-CN"/>
              </w:rPr>
              <w:t>。</w:t>
            </w:r>
            <w:r>
              <w:rPr>
                <w:rStyle w:val="47"/>
                <w:rFonts w:hint="default" w:ascii="Times New Roman" w:hAnsi="Times New Roman"/>
                <w:color w:val="auto"/>
                <w:sz w:val="18"/>
                <w:szCs w:val="18"/>
                <w:highlight w:val="none"/>
                <w:lang w:bidi="ar"/>
              </w:rPr>
              <w:t>（2）戚隘河支流暂按2800平方米进行养护，待开挖河道移交后，按新养护面积核算。</w:t>
            </w:r>
            <w:r>
              <w:rPr>
                <w:rFonts w:hint="eastAsia" w:ascii="Times New Roman" w:hAnsi="Times New Roman"/>
                <w:b/>
                <w:color w:val="auto"/>
                <w:kern w:val="0"/>
                <w:sz w:val="18"/>
                <w:szCs w:val="18"/>
                <w:highlight w:val="none"/>
                <w:lang w:bidi="ar"/>
              </w:rPr>
              <w:t>（3）该标段推流增氧等设备及其它技术设施应符合宁波市、鄞州区等行业规范规定和要求。</w:t>
            </w:r>
          </w:p>
          <w:p>
            <w:pPr>
              <w:ind w:firstLine="361" w:firstLineChars="200"/>
              <w:jc w:val="left"/>
              <w:rPr>
                <w:rStyle w:val="47"/>
                <w:rFonts w:hint="default" w:ascii="Times New Roman" w:hAnsi="Times New Roman"/>
                <w:color w:val="auto"/>
                <w:sz w:val="18"/>
                <w:szCs w:val="18"/>
                <w:highlight w:val="none"/>
                <w:lang w:bidi="ar"/>
              </w:rPr>
            </w:pPr>
          </w:p>
        </w:tc>
      </w:tr>
    </w:tbl>
    <w:p>
      <w:pPr>
        <w:rPr>
          <w:rFonts w:hint="eastAsia" w:ascii="Times New Roman" w:hAnsi="Times New Roman"/>
          <w:color w:val="auto"/>
          <w:sz w:val="21"/>
          <w:highlight w:val="none"/>
        </w:rPr>
        <w:sectPr>
          <w:headerReference r:id="rId10" w:type="default"/>
          <w:footerReference r:id="rId11" w:type="default"/>
          <w:pgSz w:w="16840" w:h="11907" w:orient="landscape"/>
          <w:pgMar w:top="1440" w:right="1080" w:bottom="1440" w:left="1080" w:header="284" w:footer="697" w:gutter="0"/>
          <w:cols w:space="720" w:num="1"/>
          <w:titlePg/>
          <w:rtlGutter w:val="0"/>
          <w:docGrid w:linePitch="286" w:charSpace="0"/>
        </w:sectPr>
      </w:pPr>
      <w:r>
        <w:rPr>
          <w:rFonts w:hint="eastAsia" w:ascii="Times New Roman" w:hAnsi="Times New Roman"/>
          <w:color w:val="auto"/>
          <w:sz w:val="21"/>
          <w:highlight w:val="none"/>
        </w:rPr>
        <w:br w:type="page"/>
      </w:r>
    </w:p>
    <w:p>
      <w:pPr>
        <w:pStyle w:val="4"/>
        <w:spacing w:line="240" w:lineRule="auto"/>
        <w:jc w:val="left"/>
        <w:rPr>
          <w:rFonts w:ascii="Times New Roman" w:hAnsi="Times New Roman"/>
          <w:color w:val="auto"/>
          <w:sz w:val="21"/>
          <w:highlight w:val="none"/>
        </w:rPr>
      </w:pPr>
      <w:r>
        <w:rPr>
          <w:rFonts w:hint="eastAsia" w:ascii="Times New Roman" w:hAnsi="Times New Roman"/>
          <w:color w:val="auto"/>
          <w:sz w:val="21"/>
          <w:highlight w:val="none"/>
        </w:rPr>
        <w:t>附件</w:t>
      </w:r>
      <w:r>
        <w:rPr>
          <w:rFonts w:hint="eastAsia" w:ascii="Times New Roman" w:hAnsi="Times New Roman"/>
          <w:color w:val="auto"/>
          <w:sz w:val="21"/>
          <w:highlight w:val="none"/>
          <w:lang w:val="en-US" w:eastAsia="zh-CN"/>
        </w:rPr>
        <w:t>2</w:t>
      </w:r>
      <w:r>
        <w:rPr>
          <w:rFonts w:hint="eastAsia" w:ascii="Times New Roman" w:hAnsi="Times New Roman"/>
          <w:color w:val="auto"/>
          <w:sz w:val="21"/>
          <w:highlight w:val="none"/>
        </w:rPr>
        <w:t>：各标段河道养护分标图</w:t>
      </w:r>
    </w:p>
    <w:p>
      <w:pPr>
        <w:jc w:val="center"/>
        <w:rPr>
          <w:rFonts w:ascii="微软雅黑" w:hAnsi="微软雅黑" w:eastAsia="微软雅黑" w:cs="微软雅黑"/>
          <w:b/>
          <w:bCs/>
          <w:color w:val="1F4E79"/>
          <w:sz w:val="30"/>
          <w:szCs w:val="30"/>
          <w:highlight w:val="none"/>
        </w:rPr>
      </w:pPr>
      <w:r>
        <w:rPr>
          <w:rFonts w:hint="eastAsia" w:ascii="微软雅黑" w:hAnsi="微软雅黑" w:eastAsia="微软雅黑" w:cs="微软雅黑"/>
          <w:b/>
          <w:bCs/>
          <w:color w:val="auto"/>
          <w:sz w:val="30"/>
          <w:szCs w:val="30"/>
          <w:highlight w:val="none"/>
        </w:rPr>
        <w:t>鄞州区河道水质养护分标图</w:t>
      </w:r>
      <w:r>
        <w:rPr>
          <w:rFonts w:ascii="微软雅黑" w:hAnsi="微软雅黑" w:eastAsia="微软雅黑" w:cs="微软雅黑"/>
          <w:b/>
          <w:color w:val="1F4E79"/>
          <w:sz w:val="30"/>
          <w:szCs w:val="30"/>
          <w:highlight w:val="none"/>
          <w:bdr w:val="single" w:color="17365D" w:sz="12" w:space="0"/>
        </w:rPr>
        <w:drawing>
          <wp:inline distT="0" distB="0" distL="0" distR="0">
            <wp:extent cx="7918450" cy="5537200"/>
            <wp:effectExtent l="19050" t="19050" r="33020" b="21590"/>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20000" cy="5538284"/>
                    </a:xfrm>
                    <a:prstGeom prst="rect">
                      <a:avLst/>
                    </a:prstGeom>
                    <a:noFill/>
                    <a:ln w="19050" cmpd="sng">
                      <a:solidFill>
                        <a:schemeClr val="tx2">
                          <a:lumMod val="75000"/>
                          <a:lumOff val="0"/>
                        </a:schemeClr>
                      </a:solidFill>
                      <a:miter lim="800000"/>
                      <a:headEnd/>
                      <a:tailEnd/>
                    </a:ln>
                    <a:effectLst/>
                  </pic:spPr>
                </pic:pic>
              </a:graphicData>
            </a:graphic>
          </wp:inline>
        </w:drawing>
      </w:r>
    </w:p>
    <w:p>
      <w:pPr>
        <w:jc w:val="center"/>
        <w:rPr>
          <w:rFonts w:ascii="微软雅黑" w:hAnsi="微软雅黑" w:eastAsia="微软雅黑" w:cs="微软雅黑"/>
          <w:b/>
          <w:bCs/>
          <w:color w:val="1F4E79"/>
          <w:sz w:val="30"/>
          <w:szCs w:val="30"/>
          <w:highlight w:val="none"/>
        </w:rPr>
      </w:pPr>
      <w:r>
        <w:rPr>
          <w:rFonts w:hint="eastAsia" w:ascii="微软雅黑" w:hAnsi="微软雅黑" w:eastAsia="微软雅黑" w:cs="微软雅黑"/>
          <w:b/>
          <w:bCs/>
          <w:color w:val="1F4E79"/>
          <w:sz w:val="30"/>
          <w:szCs w:val="30"/>
          <w:highlight w:val="none"/>
        </w:rPr>
        <w:t>第一标段分布图</w:t>
      </w:r>
    </w:p>
    <w:p>
      <w:pPr>
        <w:jc w:val="center"/>
        <w:rPr>
          <w:rFonts w:ascii="微软雅黑" w:hAnsi="微软雅黑" w:eastAsia="微软雅黑" w:cs="微软雅黑"/>
          <w:b/>
          <w:bCs/>
          <w:color w:val="1F4E79"/>
          <w:sz w:val="30"/>
          <w:szCs w:val="30"/>
          <w:highlight w:val="none"/>
        </w:rPr>
      </w:pPr>
      <w:r>
        <w:rPr>
          <w:rFonts w:ascii="Times New Roman" w:hAnsi="Times New Roman"/>
          <w:highlight w:val="none"/>
          <w:bdr w:val="single" w:color="17365D" w:sz="12" w:space="0"/>
        </w:rPr>
        <w:drawing>
          <wp:inline distT="0" distB="0" distL="0" distR="0">
            <wp:extent cx="7918450" cy="5753100"/>
            <wp:effectExtent l="19050" t="19050" r="33020" b="19050"/>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918450" cy="5753100"/>
                    </a:xfrm>
                    <a:prstGeom prst="rect">
                      <a:avLst/>
                    </a:prstGeom>
                    <a:noFill/>
                    <a:ln w="19050" cmpd="sng">
                      <a:solidFill>
                        <a:schemeClr val="tx2">
                          <a:lumMod val="75000"/>
                          <a:lumOff val="0"/>
                        </a:schemeClr>
                      </a:solidFill>
                      <a:miter lim="800000"/>
                      <a:headEnd/>
                      <a:tailEnd/>
                    </a:ln>
                    <a:effectLst/>
                  </pic:spPr>
                </pic:pic>
              </a:graphicData>
            </a:graphic>
          </wp:inline>
        </w:drawing>
      </w:r>
    </w:p>
    <w:p>
      <w:pPr>
        <w:jc w:val="center"/>
        <w:rPr>
          <w:rFonts w:ascii="Times New Roman" w:hAnsi="Times New Roman" w:eastAsia="微软雅黑"/>
          <w:b/>
          <w:bCs/>
          <w:color w:val="1F4E79"/>
          <w:sz w:val="30"/>
          <w:szCs w:val="30"/>
          <w:highlight w:val="none"/>
        </w:rPr>
      </w:pPr>
      <w:r>
        <w:rPr>
          <w:rFonts w:ascii="Times New Roman" w:hAnsi="Times New Roman" w:eastAsia="微软雅黑"/>
          <w:b/>
          <w:bCs/>
          <w:color w:val="1F4E79"/>
          <w:sz w:val="30"/>
          <w:szCs w:val="30"/>
          <w:highlight w:val="none"/>
        </w:rPr>
        <w:t>第二标段分布图</w:t>
      </w:r>
    </w:p>
    <w:p>
      <w:pPr>
        <w:jc w:val="center"/>
        <w:rPr>
          <w:rFonts w:ascii="Times New Roman" w:hAnsi="Times New Roman"/>
          <w:highlight w:val="none"/>
        </w:rPr>
      </w:pPr>
      <w:r>
        <w:rPr>
          <w:rFonts w:ascii="微软雅黑" w:hAnsi="微软雅黑" w:eastAsia="微软雅黑" w:cs="微软雅黑"/>
          <w:b/>
          <w:color w:val="1F4E79"/>
          <w:sz w:val="30"/>
          <w:szCs w:val="30"/>
          <w:highlight w:val="none"/>
          <w:bdr w:val="single" w:color="17365D" w:sz="12" w:space="0"/>
        </w:rPr>
        <w:drawing>
          <wp:inline distT="0" distB="0" distL="0" distR="0">
            <wp:extent cx="7918450" cy="5759450"/>
            <wp:effectExtent l="19050" t="19050" r="33020" b="2794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7918450" cy="5759450"/>
                    </a:xfrm>
                    <a:prstGeom prst="rect">
                      <a:avLst/>
                    </a:prstGeom>
                    <a:noFill/>
                    <a:ln w="19050" cmpd="sng">
                      <a:solidFill>
                        <a:schemeClr val="tx2">
                          <a:lumMod val="75000"/>
                          <a:lumOff val="0"/>
                        </a:schemeClr>
                      </a:solidFill>
                      <a:miter lim="800000"/>
                      <a:headEnd/>
                      <a:tailEnd/>
                    </a:ln>
                    <a:effectLst/>
                  </pic:spPr>
                </pic:pic>
              </a:graphicData>
            </a:graphic>
          </wp:inline>
        </w:drawing>
      </w:r>
    </w:p>
    <w:p>
      <w:pPr>
        <w:jc w:val="center"/>
        <w:rPr>
          <w:rFonts w:ascii="Times New Roman" w:hAnsi="Times New Roman" w:eastAsia="微软雅黑"/>
          <w:b/>
          <w:bCs/>
          <w:color w:val="1F4E79"/>
          <w:sz w:val="30"/>
          <w:szCs w:val="30"/>
          <w:highlight w:val="none"/>
        </w:rPr>
      </w:pPr>
      <w:r>
        <w:rPr>
          <w:rFonts w:ascii="Times New Roman" w:hAnsi="Times New Roman" w:eastAsia="微软雅黑"/>
          <w:b/>
          <w:bCs/>
          <w:color w:val="1F4E79"/>
          <w:sz w:val="30"/>
          <w:szCs w:val="30"/>
          <w:highlight w:val="none"/>
        </w:rPr>
        <w:t>第三标段分布图</w:t>
      </w:r>
    </w:p>
    <w:p>
      <w:pPr>
        <w:jc w:val="center"/>
        <w:rPr>
          <w:rFonts w:ascii="Times New Roman" w:hAnsi="Times New Roman"/>
          <w:highlight w:val="none"/>
        </w:rPr>
      </w:pPr>
      <w:r>
        <w:rPr>
          <w:rFonts w:ascii="Times New Roman" w:hAnsi="Times New Roman"/>
          <w:highlight w:val="none"/>
          <w:bdr w:val="single" w:color="17365D" w:sz="12" w:space="0"/>
        </w:rPr>
        <w:drawing>
          <wp:inline distT="0" distB="0" distL="0" distR="0">
            <wp:extent cx="7918450" cy="5759450"/>
            <wp:effectExtent l="19050" t="19050" r="33020" b="2794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918450" cy="5759450"/>
                    </a:xfrm>
                    <a:prstGeom prst="rect">
                      <a:avLst/>
                    </a:prstGeom>
                    <a:noFill/>
                    <a:ln w="19050" cmpd="sng">
                      <a:solidFill>
                        <a:schemeClr val="tx2">
                          <a:lumMod val="75000"/>
                          <a:lumOff val="0"/>
                        </a:schemeClr>
                      </a:solidFill>
                      <a:miter lim="800000"/>
                      <a:headEnd/>
                      <a:tailEnd/>
                    </a:ln>
                    <a:effectLst/>
                  </pic:spPr>
                </pic:pic>
              </a:graphicData>
            </a:graphic>
          </wp:inline>
        </w:drawing>
      </w:r>
    </w:p>
    <w:p>
      <w:pPr>
        <w:jc w:val="center"/>
        <w:rPr>
          <w:rFonts w:ascii="Times New Roman" w:hAnsi="Times New Roman" w:eastAsia="微软雅黑"/>
          <w:b/>
          <w:bCs/>
          <w:color w:val="1F4E79"/>
          <w:sz w:val="30"/>
          <w:szCs w:val="30"/>
          <w:highlight w:val="none"/>
        </w:rPr>
      </w:pPr>
      <w:r>
        <w:rPr>
          <w:rFonts w:ascii="Times New Roman" w:hAnsi="Times New Roman" w:eastAsia="微软雅黑"/>
          <w:b/>
          <w:bCs/>
          <w:color w:val="1F4E79"/>
          <w:sz w:val="30"/>
          <w:szCs w:val="30"/>
          <w:highlight w:val="none"/>
        </w:rPr>
        <w:t>第四标段分布图</w:t>
      </w:r>
    </w:p>
    <w:p>
      <w:pPr>
        <w:jc w:val="center"/>
        <w:rPr>
          <w:rFonts w:ascii="Times New Roman" w:hAnsi="Times New Roman" w:eastAsia="微软雅黑"/>
          <w:b/>
          <w:bCs/>
          <w:color w:val="1F4E79"/>
          <w:sz w:val="30"/>
          <w:szCs w:val="30"/>
          <w:highlight w:val="none"/>
        </w:rPr>
      </w:pPr>
      <w:r>
        <w:rPr>
          <w:rFonts w:ascii="Times New Roman" w:hAnsi="Times New Roman"/>
          <w:highlight w:val="none"/>
          <w:bdr w:val="single" w:color="17365D" w:sz="12" w:space="0"/>
        </w:rPr>
        <w:drawing>
          <wp:inline distT="0" distB="0" distL="0" distR="0">
            <wp:extent cx="7924800" cy="5759450"/>
            <wp:effectExtent l="19050" t="19050" r="26670" b="2794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924800" cy="5759450"/>
                    </a:xfrm>
                    <a:prstGeom prst="rect">
                      <a:avLst/>
                    </a:prstGeom>
                    <a:noFill/>
                    <a:ln w="19050" cmpd="sng">
                      <a:solidFill>
                        <a:schemeClr val="tx2">
                          <a:lumMod val="75000"/>
                          <a:lumOff val="0"/>
                        </a:schemeClr>
                      </a:solidFill>
                      <a:miter lim="800000"/>
                      <a:headEnd/>
                      <a:tailEnd/>
                    </a:ln>
                    <a:effectLst/>
                  </pic:spPr>
                </pic:pic>
              </a:graphicData>
            </a:graphic>
          </wp:inline>
        </w:drawing>
      </w:r>
    </w:p>
    <w:p>
      <w:pPr>
        <w:jc w:val="center"/>
        <w:rPr>
          <w:rFonts w:hint="eastAsia" w:ascii="Times New Roman" w:hAnsi="Times New Roman" w:eastAsia="微软雅黑"/>
          <w:b/>
          <w:bCs/>
          <w:color w:val="1F4E79"/>
          <w:sz w:val="30"/>
          <w:szCs w:val="30"/>
          <w:highlight w:val="none"/>
        </w:rPr>
      </w:pPr>
      <w:r>
        <w:rPr>
          <w:rFonts w:ascii="Times New Roman" w:hAnsi="Times New Roman" w:eastAsia="微软雅黑"/>
          <w:b/>
          <w:bCs/>
          <w:color w:val="1F4E79"/>
          <w:sz w:val="30"/>
          <w:szCs w:val="30"/>
          <w:highlight w:val="none"/>
        </w:rPr>
        <w:t>第五标段分布图</w:t>
      </w:r>
    </w:p>
    <w:p>
      <w:pPr>
        <w:jc w:val="center"/>
        <w:rPr>
          <w:rFonts w:ascii="Times New Roman" w:hAnsi="Times New Roman"/>
          <w:highlight w:val="none"/>
        </w:rPr>
      </w:pPr>
      <w:r>
        <w:rPr>
          <w:rFonts w:ascii="Times New Roman" w:hAnsi="Times New Roman"/>
          <w:highlight w:val="none"/>
          <w:bdr w:val="single" w:color="17365D" w:sz="12" w:space="0"/>
        </w:rPr>
        <w:drawing>
          <wp:inline distT="0" distB="0" distL="0" distR="0">
            <wp:extent cx="7918450" cy="5759450"/>
            <wp:effectExtent l="19050" t="19050" r="33020" b="27940"/>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918450" cy="5759450"/>
                    </a:xfrm>
                    <a:prstGeom prst="rect">
                      <a:avLst/>
                    </a:prstGeom>
                    <a:noFill/>
                    <a:ln w="19050" cmpd="sng">
                      <a:solidFill>
                        <a:schemeClr val="tx2">
                          <a:lumMod val="75000"/>
                          <a:lumOff val="0"/>
                        </a:schemeClr>
                      </a:solidFill>
                      <a:miter lim="800000"/>
                      <a:headEnd/>
                      <a:tailEnd/>
                    </a:ln>
                    <a:effectLst/>
                  </pic:spPr>
                </pic:pic>
              </a:graphicData>
            </a:graphic>
          </wp:inline>
        </w:drawing>
      </w:r>
    </w:p>
    <w:p>
      <w:pPr>
        <w:jc w:val="center"/>
        <w:rPr>
          <w:rFonts w:hint="eastAsia" w:ascii="Times New Roman" w:hAnsi="Times New Roman" w:eastAsia="微软雅黑"/>
          <w:b/>
          <w:bCs/>
          <w:color w:val="1F4E79"/>
          <w:sz w:val="30"/>
          <w:szCs w:val="30"/>
          <w:highlight w:val="none"/>
        </w:rPr>
      </w:pPr>
      <w:r>
        <w:rPr>
          <w:rFonts w:ascii="Times New Roman" w:hAnsi="Times New Roman" w:eastAsia="微软雅黑"/>
          <w:b/>
          <w:bCs/>
          <w:color w:val="1F4E79"/>
          <w:sz w:val="30"/>
          <w:szCs w:val="30"/>
          <w:highlight w:val="none"/>
        </w:rPr>
        <w:t>第六标段分布图</w:t>
      </w:r>
    </w:p>
    <w:p>
      <w:pPr>
        <w:jc w:val="center"/>
        <w:rPr>
          <w:rFonts w:ascii="Times New Roman" w:hAnsi="Times New Roman" w:eastAsia="微软雅黑"/>
          <w:b/>
          <w:bCs/>
          <w:color w:val="1F4E79"/>
          <w:sz w:val="30"/>
          <w:szCs w:val="30"/>
          <w:highlight w:val="none"/>
        </w:rPr>
      </w:pPr>
      <w:r>
        <w:rPr>
          <w:rFonts w:ascii="Times New Roman" w:hAnsi="Times New Roman"/>
          <w:highlight w:val="none"/>
          <w:bdr w:val="single" w:color="17365D" w:sz="12" w:space="0"/>
        </w:rPr>
        <w:drawing>
          <wp:inline distT="0" distB="0" distL="0" distR="0">
            <wp:extent cx="7924800" cy="5759450"/>
            <wp:effectExtent l="19050" t="19050" r="26670" b="2794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7924800" cy="5759450"/>
                    </a:xfrm>
                    <a:prstGeom prst="rect">
                      <a:avLst/>
                    </a:prstGeom>
                    <a:noFill/>
                    <a:ln w="19050" cmpd="sng">
                      <a:solidFill>
                        <a:schemeClr val="tx2">
                          <a:lumMod val="75000"/>
                          <a:lumOff val="0"/>
                        </a:schemeClr>
                      </a:solidFill>
                      <a:miter lim="800000"/>
                      <a:headEnd/>
                      <a:tailEnd/>
                    </a:ln>
                    <a:effectLst/>
                  </pic:spPr>
                </pic:pic>
              </a:graphicData>
            </a:graphic>
          </wp:inline>
        </w:drawing>
      </w:r>
    </w:p>
    <w:p>
      <w:pPr>
        <w:jc w:val="center"/>
        <w:rPr>
          <w:rFonts w:ascii="Times New Roman" w:hAnsi="Times New Roman" w:eastAsia="微软雅黑"/>
          <w:b/>
          <w:bCs/>
          <w:color w:val="1F4E79"/>
          <w:sz w:val="30"/>
          <w:szCs w:val="30"/>
          <w:highlight w:val="none"/>
        </w:rPr>
      </w:pPr>
      <w:r>
        <w:rPr>
          <w:rFonts w:ascii="Times New Roman" w:hAnsi="Times New Roman" w:eastAsia="微软雅黑"/>
          <w:b/>
          <w:bCs/>
          <w:color w:val="1F4E79"/>
          <w:sz w:val="30"/>
          <w:szCs w:val="30"/>
          <w:highlight w:val="none"/>
        </w:rPr>
        <w:t>第七标段分布图</w:t>
      </w:r>
    </w:p>
    <w:p>
      <w:pPr>
        <w:jc w:val="center"/>
        <w:rPr>
          <w:rFonts w:ascii="Times New Roman" w:hAnsi="Times New Roman"/>
          <w:highlight w:val="none"/>
        </w:rPr>
      </w:pPr>
      <w:r>
        <w:rPr>
          <w:rFonts w:ascii="Times New Roman" w:hAnsi="Times New Roman"/>
          <w:highlight w:val="none"/>
          <w:bdr w:val="single" w:color="17365D" w:sz="12" w:space="0"/>
        </w:rPr>
        <w:drawing>
          <wp:inline distT="0" distB="0" distL="0" distR="0">
            <wp:extent cx="7918450" cy="5759450"/>
            <wp:effectExtent l="19050" t="19050" r="33020" b="27940"/>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7918450" cy="5759450"/>
                    </a:xfrm>
                    <a:prstGeom prst="rect">
                      <a:avLst/>
                    </a:prstGeom>
                    <a:noFill/>
                    <a:ln w="19050" cmpd="sng">
                      <a:solidFill>
                        <a:schemeClr val="tx2">
                          <a:lumMod val="75000"/>
                          <a:lumOff val="0"/>
                        </a:schemeClr>
                      </a:solidFill>
                      <a:miter lim="800000"/>
                      <a:headEnd/>
                      <a:tailEnd/>
                    </a:ln>
                    <a:effectLst/>
                  </pic:spPr>
                </pic:pic>
              </a:graphicData>
            </a:graphic>
          </wp:inline>
        </w:drawing>
      </w:r>
    </w:p>
    <w:p>
      <w:pPr>
        <w:jc w:val="center"/>
        <w:rPr>
          <w:rFonts w:ascii="Times New Roman" w:hAnsi="Times New Roman" w:eastAsia="微软雅黑"/>
          <w:b/>
          <w:bCs/>
          <w:color w:val="1F4E79"/>
          <w:sz w:val="30"/>
          <w:szCs w:val="30"/>
          <w:highlight w:val="none"/>
        </w:rPr>
      </w:pPr>
      <w:r>
        <w:rPr>
          <w:rFonts w:ascii="Times New Roman" w:hAnsi="Times New Roman" w:eastAsia="微软雅黑"/>
          <w:b/>
          <w:bCs/>
          <w:color w:val="1F4E79"/>
          <w:sz w:val="30"/>
          <w:szCs w:val="30"/>
          <w:highlight w:val="none"/>
        </w:rPr>
        <w:t>第八标段分布图</w:t>
      </w:r>
    </w:p>
    <w:p>
      <w:pPr>
        <w:jc w:val="center"/>
        <w:rPr>
          <w:rFonts w:ascii="Times New Roman" w:hAnsi="Times New Roman"/>
          <w:highlight w:val="none"/>
        </w:rPr>
      </w:pPr>
      <w:r>
        <w:rPr>
          <w:rFonts w:ascii="Times New Roman" w:hAnsi="Times New Roman"/>
          <w:highlight w:val="none"/>
          <w:bdr w:val="single" w:color="17365D" w:sz="12" w:space="0"/>
        </w:rPr>
        <w:drawing>
          <wp:inline distT="0" distB="0" distL="0" distR="0">
            <wp:extent cx="7924800" cy="5759450"/>
            <wp:effectExtent l="19050" t="19050" r="26670" b="27940"/>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924800" cy="5759450"/>
                    </a:xfrm>
                    <a:prstGeom prst="rect">
                      <a:avLst/>
                    </a:prstGeom>
                    <a:noFill/>
                    <a:ln w="19050" cmpd="sng">
                      <a:solidFill>
                        <a:schemeClr val="tx2">
                          <a:lumMod val="75000"/>
                          <a:lumOff val="0"/>
                        </a:schemeClr>
                      </a:solidFill>
                      <a:miter lim="800000"/>
                      <a:headEnd/>
                      <a:tailEnd/>
                    </a:ln>
                    <a:effectLst/>
                  </pic:spPr>
                </pic:pic>
              </a:graphicData>
            </a:graphic>
          </wp:inline>
        </w:drawing>
      </w:r>
    </w:p>
    <w:p>
      <w:pPr>
        <w:jc w:val="center"/>
        <w:rPr>
          <w:rFonts w:ascii="Times New Roman" w:hAnsi="Times New Roman" w:eastAsia="微软雅黑"/>
          <w:b/>
          <w:bCs/>
          <w:color w:val="1F4E79"/>
          <w:sz w:val="30"/>
          <w:szCs w:val="30"/>
          <w:highlight w:val="none"/>
        </w:rPr>
      </w:pPr>
      <w:r>
        <w:rPr>
          <w:rFonts w:ascii="Times New Roman" w:hAnsi="Times New Roman" w:eastAsia="微软雅黑"/>
          <w:b/>
          <w:bCs/>
          <w:color w:val="1F4E79"/>
          <w:sz w:val="30"/>
          <w:szCs w:val="30"/>
          <w:highlight w:val="none"/>
        </w:rPr>
        <w:t>第九标段分布图</w:t>
      </w:r>
    </w:p>
    <w:p>
      <w:pPr>
        <w:jc w:val="center"/>
        <w:rPr>
          <w:rFonts w:ascii="Times New Roman" w:hAnsi="Times New Roman"/>
          <w:highlight w:val="none"/>
        </w:rPr>
      </w:pPr>
      <w:r>
        <w:rPr>
          <w:highlight w:val="none"/>
          <w:bdr w:val="single" w:color="17365D" w:sz="12" w:space="0"/>
        </w:rPr>
        <w:drawing>
          <wp:inline distT="0" distB="0" distL="0" distR="0">
            <wp:extent cx="7918450" cy="5759450"/>
            <wp:effectExtent l="19050" t="19050" r="33020" b="2794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918450" cy="5759450"/>
                    </a:xfrm>
                    <a:prstGeom prst="rect">
                      <a:avLst/>
                    </a:prstGeom>
                    <a:noFill/>
                    <a:ln w="19050" cmpd="sng">
                      <a:solidFill>
                        <a:schemeClr val="tx2">
                          <a:lumMod val="75000"/>
                          <a:lumOff val="0"/>
                        </a:schemeClr>
                      </a:solidFill>
                      <a:miter lim="800000"/>
                      <a:headEnd/>
                      <a:tailEnd/>
                    </a:ln>
                    <a:effectLst/>
                  </pic:spPr>
                </pic:pic>
              </a:graphicData>
            </a:graphic>
          </wp:inline>
        </w:drawing>
      </w:r>
    </w:p>
    <w:p>
      <w:pPr>
        <w:jc w:val="center"/>
        <w:rPr>
          <w:rFonts w:hint="eastAsia" w:ascii="Times New Roman" w:hAnsi="Times New Roman" w:eastAsia="微软雅黑"/>
          <w:b/>
          <w:bCs/>
          <w:color w:val="1F4E79"/>
          <w:sz w:val="30"/>
          <w:szCs w:val="30"/>
          <w:highlight w:val="none"/>
        </w:rPr>
      </w:pPr>
      <w:r>
        <w:rPr>
          <w:rFonts w:ascii="Times New Roman" w:hAnsi="Times New Roman" w:eastAsia="微软雅黑"/>
          <w:b/>
          <w:bCs/>
          <w:color w:val="1F4E79"/>
          <w:sz w:val="30"/>
          <w:szCs w:val="30"/>
          <w:highlight w:val="none"/>
        </w:rPr>
        <w:t>第十标段分布图</w:t>
      </w:r>
    </w:p>
    <w:p>
      <w:pPr>
        <w:jc w:val="center"/>
        <w:rPr>
          <w:rFonts w:ascii="Times New Roman" w:hAnsi="Times New Roman" w:eastAsia="微软雅黑"/>
          <w:b/>
          <w:bCs/>
          <w:color w:val="1F4E79"/>
          <w:sz w:val="30"/>
          <w:szCs w:val="30"/>
          <w:highlight w:val="none"/>
        </w:rPr>
      </w:pPr>
      <w:r>
        <w:rPr>
          <w:rFonts w:ascii="Times New Roman" w:hAnsi="Times New Roman"/>
          <w:highlight w:val="none"/>
          <w:bdr w:val="single" w:color="17365D" w:sz="12" w:space="0"/>
        </w:rPr>
        <w:drawing>
          <wp:inline distT="0" distB="0" distL="0" distR="0">
            <wp:extent cx="7918450" cy="5759450"/>
            <wp:effectExtent l="19050" t="19050" r="33020" b="27940"/>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7918450" cy="5759450"/>
                    </a:xfrm>
                    <a:prstGeom prst="rect">
                      <a:avLst/>
                    </a:prstGeom>
                    <a:noFill/>
                    <a:ln w="19050" cmpd="sng">
                      <a:solidFill>
                        <a:schemeClr val="tx2">
                          <a:lumMod val="75000"/>
                          <a:lumOff val="0"/>
                        </a:schemeClr>
                      </a:solidFill>
                      <a:miter lim="800000"/>
                      <a:headEnd/>
                      <a:tailEnd/>
                    </a:ln>
                    <a:effectLst/>
                  </pic:spPr>
                </pic:pic>
              </a:graphicData>
            </a:graphic>
          </wp:inline>
        </w:drawing>
      </w:r>
    </w:p>
    <w:p>
      <w:pPr>
        <w:jc w:val="center"/>
        <w:rPr>
          <w:rFonts w:ascii="Times New Roman" w:hAnsi="Times New Roman" w:eastAsia="微软雅黑"/>
          <w:b/>
          <w:bCs/>
          <w:color w:val="1F4E79"/>
          <w:sz w:val="30"/>
          <w:szCs w:val="30"/>
          <w:highlight w:val="none"/>
        </w:rPr>
      </w:pPr>
      <w:r>
        <w:rPr>
          <w:rFonts w:ascii="Times New Roman" w:hAnsi="Times New Roman" w:eastAsia="微软雅黑"/>
          <w:b/>
          <w:bCs/>
          <w:color w:val="1F4E79"/>
          <w:sz w:val="30"/>
          <w:szCs w:val="30"/>
          <w:highlight w:val="none"/>
        </w:rPr>
        <w:t>第十一标段分布图</w:t>
      </w:r>
    </w:p>
    <w:p>
      <w:pPr>
        <w:jc w:val="center"/>
        <w:rPr>
          <w:highlight w:val="none"/>
        </w:rPr>
      </w:pPr>
      <w:r>
        <w:rPr>
          <w:rFonts w:ascii="Times New Roman" w:hAnsi="Times New Roman"/>
          <w:highlight w:val="none"/>
          <w:bdr w:val="single" w:color="17365D" w:sz="12" w:space="0"/>
        </w:rPr>
        <w:drawing>
          <wp:inline distT="0" distB="0" distL="0" distR="0">
            <wp:extent cx="7918450" cy="5759450"/>
            <wp:effectExtent l="19050" t="19050" r="33020" b="27940"/>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918450" cy="5759450"/>
                    </a:xfrm>
                    <a:prstGeom prst="rect">
                      <a:avLst/>
                    </a:prstGeom>
                    <a:noFill/>
                    <a:ln w="19050" cmpd="sng">
                      <a:solidFill>
                        <a:schemeClr val="tx2">
                          <a:lumMod val="75000"/>
                          <a:lumOff val="0"/>
                        </a:schemeClr>
                      </a:solidFill>
                      <a:miter lim="800000"/>
                      <a:headEnd/>
                      <a:tailEnd/>
                    </a:ln>
                    <a:effectLst/>
                  </pic:spPr>
                </pic:pic>
              </a:graphicData>
            </a:graphic>
          </wp:inline>
        </w:drawing>
      </w:r>
    </w:p>
    <w:p>
      <w:pPr>
        <w:jc w:val="center"/>
        <w:rPr>
          <w:color w:val="auto"/>
          <w:highlight w:val="none"/>
        </w:rPr>
      </w:pPr>
    </w:p>
    <w:p>
      <w:pPr>
        <w:jc w:val="center"/>
        <w:rPr>
          <w:color w:val="auto"/>
          <w:highlight w:val="none"/>
        </w:rPr>
        <w:sectPr>
          <w:pgSz w:w="16840" w:h="11907" w:orient="landscape"/>
          <w:pgMar w:top="850" w:right="680" w:bottom="992" w:left="850" w:header="284" w:footer="697" w:gutter="0"/>
          <w:cols w:space="0" w:num="1"/>
          <w:titlePg/>
          <w:rtlGutter w:val="0"/>
          <w:docGrid w:linePitch="286" w:charSpace="0"/>
        </w:sectPr>
      </w:pPr>
    </w:p>
    <w:p>
      <w:pPr>
        <w:spacing w:line="360" w:lineRule="auto"/>
        <w:ind w:firstLine="422" w:firstLineChars="200"/>
        <w:rPr>
          <w:b/>
          <w:color w:val="auto"/>
          <w:szCs w:val="21"/>
          <w:highlight w:val="none"/>
        </w:rPr>
      </w:pPr>
      <w:r>
        <w:rPr>
          <w:rFonts w:hint="eastAsia"/>
          <w:b/>
          <w:color w:val="auto"/>
          <w:szCs w:val="21"/>
          <w:highlight w:val="none"/>
        </w:rPr>
        <w:t>（二）项目要求及目标</w:t>
      </w:r>
    </w:p>
    <w:p>
      <w:pPr>
        <w:spacing w:line="360" w:lineRule="auto"/>
        <w:ind w:left="359" w:leftChars="171" w:firstLine="105" w:firstLineChars="50"/>
        <w:outlineLvl w:val="1"/>
        <w:rPr>
          <w:b/>
          <w:color w:val="auto"/>
          <w:szCs w:val="21"/>
          <w:highlight w:val="none"/>
        </w:rPr>
      </w:pPr>
      <w:r>
        <w:rPr>
          <w:rFonts w:hint="eastAsia"/>
          <w:color w:val="auto"/>
          <w:szCs w:val="21"/>
          <w:highlight w:val="none"/>
        </w:rPr>
        <w:t>2.1</w:t>
      </w:r>
      <w:r>
        <w:rPr>
          <w:rFonts w:hint="eastAsia"/>
          <w:b/>
          <w:color w:val="auto"/>
          <w:szCs w:val="21"/>
          <w:highlight w:val="none"/>
        </w:rPr>
        <w:t>投标方案编制依据</w:t>
      </w:r>
    </w:p>
    <w:p>
      <w:pPr>
        <w:spacing w:line="360" w:lineRule="auto"/>
        <w:ind w:left="359" w:leftChars="171" w:firstLine="105" w:firstLineChars="50"/>
        <w:outlineLvl w:val="1"/>
        <w:rPr>
          <w:color w:val="auto"/>
          <w:szCs w:val="21"/>
          <w:highlight w:val="none"/>
        </w:rPr>
      </w:pPr>
      <w:r>
        <w:rPr>
          <w:rFonts w:hint="eastAsia"/>
          <w:color w:val="auto"/>
          <w:szCs w:val="21"/>
          <w:highlight w:val="none"/>
        </w:rPr>
        <w:t>按照国家标准及相关规定执行。</w:t>
      </w:r>
    </w:p>
    <w:p>
      <w:pPr>
        <w:shd w:val="clear"/>
        <w:spacing w:line="360" w:lineRule="auto"/>
        <w:ind w:firstLine="413" w:firstLineChars="196"/>
        <w:outlineLvl w:val="1"/>
        <w:rPr>
          <w:b/>
          <w:color w:val="auto"/>
          <w:szCs w:val="21"/>
          <w:highlight w:val="none"/>
        </w:rPr>
      </w:pPr>
      <w:r>
        <w:rPr>
          <w:rFonts w:hint="eastAsia"/>
          <w:b/>
          <w:color w:val="auto"/>
          <w:szCs w:val="21"/>
          <w:highlight w:val="none"/>
        </w:rPr>
        <w:t>2.2项目要求</w:t>
      </w:r>
    </w:p>
    <w:p>
      <w:pPr>
        <w:pStyle w:val="5"/>
        <w:shd w:val="clear"/>
        <w:spacing w:line="360" w:lineRule="auto"/>
        <w:ind w:firstLineChars="200"/>
        <w:rPr>
          <w:color w:val="auto"/>
          <w:szCs w:val="21"/>
          <w:highlight w:val="none"/>
        </w:rPr>
      </w:pPr>
      <w:r>
        <w:rPr>
          <w:rFonts w:hint="eastAsia"/>
          <w:color w:val="auto"/>
          <w:szCs w:val="21"/>
          <w:highlight w:val="none"/>
        </w:rPr>
        <w:t>2.2.1</w:t>
      </w:r>
      <w:r>
        <w:rPr>
          <w:color w:val="auto"/>
          <w:szCs w:val="21"/>
          <w:highlight w:val="none"/>
        </w:rPr>
        <w:t>根据国家和</w:t>
      </w:r>
      <w:r>
        <w:rPr>
          <w:rFonts w:hint="eastAsia"/>
          <w:color w:val="auto"/>
          <w:szCs w:val="21"/>
          <w:highlight w:val="none"/>
        </w:rPr>
        <w:t>鄞州区</w:t>
      </w:r>
      <w:r>
        <w:rPr>
          <w:color w:val="auto"/>
          <w:szCs w:val="21"/>
          <w:highlight w:val="none"/>
        </w:rPr>
        <w:t>有关环境保护法规的要求，对河道</w:t>
      </w:r>
      <w:r>
        <w:rPr>
          <w:rFonts w:hint="eastAsia"/>
          <w:color w:val="auto"/>
          <w:szCs w:val="21"/>
          <w:highlight w:val="none"/>
        </w:rPr>
        <w:t>水质</w:t>
      </w:r>
      <w:r>
        <w:rPr>
          <w:color w:val="auto"/>
          <w:szCs w:val="21"/>
          <w:highlight w:val="none"/>
        </w:rPr>
        <w:t>进行有效治理</w:t>
      </w:r>
      <w:r>
        <w:rPr>
          <w:rFonts w:hint="eastAsia"/>
          <w:color w:val="auto"/>
          <w:szCs w:val="21"/>
          <w:highlight w:val="none"/>
        </w:rPr>
        <w:t>及维护提升</w:t>
      </w:r>
      <w:r>
        <w:rPr>
          <w:color w:val="auto"/>
          <w:szCs w:val="21"/>
          <w:highlight w:val="none"/>
        </w:rPr>
        <w:t>，使之符合国家和</w:t>
      </w:r>
      <w:r>
        <w:rPr>
          <w:rFonts w:hint="eastAsia"/>
          <w:color w:val="auto"/>
          <w:szCs w:val="21"/>
          <w:highlight w:val="none"/>
        </w:rPr>
        <w:t>招标文件要求的</w:t>
      </w:r>
      <w:r>
        <w:rPr>
          <w:color w:val="auto"/>
          <w:szCs w:val="21"/>
          <w:highlight w:val="none"/>
        </w:rPr>
        <w:t>水质标准。</w:t>
      </w:r>
    </w:p>
    <w:p>
      <w:pPr>
        <w:shd w:val="clear"/>
        <w:spacing w:line="360" w:lineRule="auto"/>
        <w:ind w:firstLine="420" w:firstLineChars="200"/>
        <w:rPr>
          <w:color w:val="auto"/>
          <w:szCs w:val="21"/>
          <w:highlight w:val="none"/>
        </w:rPr>
      </w:pPr>
      <w:r>
        <w:rPr>
          <w:rFonts w:hint="eastAsia"/>
          <w:color w:val="auto"/>
          <w:szCs w:val="21"/>
          <w:highlight w:val="none"/>
        </w:rPr>
        <w:t>2.2.2中标人应根据不同河道的水质状况合理划分水质提升作业区域。</w:t>
      </w:r>
    </w:p>
    <w:p>
      <w:pPr>
        <w:shd w:val="clear"/>
        <w:spacing w:line="360" w:lineRule="auto"/>
        <w:ind w:firstLine="420" w:firstLineChars="200"/>
        <w:rPr>
          <w:color w:val="auto"/>
          <w:szCs w:val="21"/>
          <w:highlight w:val="none"/>
        </w:rPr>
      </w:pPr>
      <w:r>
        <w:rPr>
          <w:rFonts w:hint="eastAsia"/>
          <w:color w:val="auto"/>
          <w:szCs w:val="21"/>
          <w:highlight w:val="none"/>
        </w:rPr>
        <w:t>2.2.3水质提升工作全过程包括设备设施安装施工阶段及运行维护阶段且期间均应确保河道的流动开放性，不得设置影响河道正常行洪排涝通航等功能的设施。</w:t>
      </w:r>
    </w:p>
    <w:p>
      <w:pPr>
        <w:shd w:val="clear"/>
        <w:spacing w:line="360" w:lineRule="auto"/>
        <w:ind w:firstLine="420" w:firstLineChars="200"/>
        <w:rPr>
          <w:color w:val="auto"/>
          <w:szCs w:val="21"/>
          <w:highlight w:val="none"/>
        </w:rPr>
      </w:pPr>
      <w:r>
        <w:rPr>
          <w:rFonts w:hint="eastAsia"/>
          <w:color w:val="auto"/>
          <w:szCs w:val="21"/>
          <w:highlight w:val="none"/>
        </w:rPr>
        <w:t>2.2.4水质提升所采用的技术应以生态方式为主，不得采用可能对河道造成二次污染和生态破坏的技术手段。</w:t>
      </w:r>
    </w:p>
    <w:p>
      <w:pPr>
        <w:shd w:val="clear"/>
        <w:spacing w:line="360" w:lineRule="auto"/>
        <w:ind w:firstLine="420" w:firstLineChars="200"/>
        <w:rPr>
          <w:color w:val="auto"/>
          <w:szCs w:val="21"/>
          <w:highlight w:val="none"/>
        </w:rPr>
      </w:pPr>
      <w:r>
        <w:rPr>
          <w:rFonts w:hint="eastAsia"/>
          <w:color w:val="auto"/>
          <w:szCs w:val="21"/>
          <w:highlight w:val="none"/>
        </w:rPr>
        <w:t>2.2.5合同履行期间，中标人投入的设备设施类型、数量必须与中标人在投标文件中明确的拟投入设备设施类型、数量保持一致并要求在合同签订前向采购单位提供相关设备设施的租赁协议或发票，如有实际需要，在经得</w:t>
      </w:r>
      <w:r>
        <w:rPr>
          <w:rFonts w:hint="eastAsia"/>
          <w:color w:val="auto"/>
          <w:szCs w:val="21"/>
          <w:highlight w:val="none"/>
          <w:lang w:eastAsia="zh-CN"/>
        </w:rPr>
        <w:t>采购单位</w:t>
      </w:r>
      <w:r>
        <w:rPr>
          <w:rFonts w:hint="eastAsia"/>
          <w:color w:val="auto"/>
          <w:szCs w:val="21"/>
          <w:highlight w:val="none"/>
        </w:rPr>
        <w:t>书面同意的前提下，可根据水质情况及中标人合理要求进行设备更换或增减，费用不予增补。</w:t>
      </w:r>
    </w:p>
    <w:p>
      <w:pPr>
        <w:shd w:val="clear"/>
        <w:spacing w:line="360" w:lineRule="auto"/>
        <w:ind w:firstLine="420" w:firstLineChars="200"/>
        <w:rPr>
          <w:rFonts w:hint="eastAsia"/>
          <w:color w:val="auto"/>
          <w:szCs w:val="21"/>
          <w:highlight w:val="none"/>
        </w:rPr>
      </w:pPr>
      <w:r>
        <w:rPr>
          <w:rFonts w:hint="eastAsia"/>
          <w:color w:val="auto"/>
          <w:szCs w:val="21"/>
          <w:highlight w:val="none"/>
        </w:rPr>
        <w:t>2.2.6水质提升工作开展过程中，常用设备</w:t>
      </w:r>
      <w:r>
        <w:rPr>
          <w:rFonts w:hint="eastAsia"/>
          <w:color w:val="auto"/>
          <w:szCs w:val="21"/>
          <w:highlight w:val="none"/>
          <w:lang w:val="en-US" w:eastAsia="zh-CN"/>
        </w:rPr>
        <w:t>每日</w:t>
      </w:r>
      <w:r>
        <w:rPr>
          <w:rFonts w:hint="eastAsia"/>
          <w:color w:val="auto"/>
          <w:szCs w:val="21"/>
          <w:highlight w:val="none"/>
        </w:rPr>
        <w:t>开启时间不少</w:t>
      </w:r>
      <w:r>
        <w:rPr>
          <w:rFonts w:hint="eastAsia"/>
          <w:color w:val="auto"/>
          <w:szCs w:val="21"/>
          <w:highlight w:val="none"/>
          <w:shd w:val="clear"/>
        </w:rPr>
        <w:t>于1</w:t>
      </w:r>
      <w:r>
        <w:rPr>
          <w:rFonts w:hint="eastAsia"/>
          <w:color w:val="auto"/>
          <w:szCs w:val="21"/>
          <w:highlight w:val="none"/>
          <w:shd w:val="clear"/>
          <w:lang w:val="en-US" w:eastAsia="zh-CN"/>
        </w:rPr>
        <w:t>0</w:t>
      </w:r>
      <w:r>
        <w:rPr>
          <w:rFonts w:hint="eastAsia"/>
          <w:color w:val="auto"/>
          <w:szCs w:val="21"/>
          <w:highlight w:val="none"/>
          <w:shd w:val="clear"/>
        </w:rPr>
        <w:t>小时，</w:t>
      </w:r>
      <w:r>
        <w:rPr>
          <w:rFonts w:hint="eastAsia"/>
          <w:color w:val="auto"/>
          <w:szCs w:val="21"/>
          <w:highlight w:val="none"/>
          <w:lang w:val="en-US" w:eastAsia="zh-CN"/>
        </w:rPr>
        <w:t>中标人</w:t>
      </w:r>
      <w:r>
        <w:rPr>
          <w:rFonts w:hint="eastAsia"/>
          <w:color w:val="auto"/>
          <w:szCs w:val="21"/>
          <w:highlight w:val="none"/>
        </w:rPr>
        <w:t>须在其投标技术方案中明确各类设备的具体开启时段。</w:t>
      </w:r>
    </w:p>
    <w:p>
      <w:pPr>
        <w:shd w:val="clear"/>
        <w:spacing w:line="360" w:lineRule="auto"/>
        <w:ind w:firstLine="420" w:firstLineChars="200"/>
        <w:rPr>
          <w:rFonts w:hint="eastAsia"/>
          <w:color w:val="auto"/>
          <w:szCs w:val="21"/>
          <w:highlight w:val="none"/>
          <w:lang w:val="en-US" w:eastAsia="zh-CN"/>
        </w:rPr>
      </w:pPr>
      <w:r>
        <w:rPr>
          <w:rFonts w:hint="eastAsia"/>
          <w:color w:val="auto"/>
          <w:szCs w:val="21"/>
          <w:highlight w:val="none"/>
          <w:lang w:val="en-US" w:eastAsia="zh-CN"/>
        </w:rPr>
        <w:t>2.2.7除公园景观水体外，原则上不得使用各类曝气设备。对于水质较差的河道，确需曝气增氧的，可结合实际情况采用对河道水面观感影响较小的水下曝气技术。</w:t>
      </w:r>
    </w:p>
    <w:p>
      <w:pPr>
        <w:shd w:val="clear"/>
        <w:spacing w:line="360" w:lineRule="auto"/>
        <w:ind w:firstLine="420" w:firstLineChars="200"/>
        <w:rPr>
          <w:rFonts w:hint="default"/>
          <w:color w:val="auto"/>
          <w:szCs w:val="21"/>
          <w:highlight w:val="none"/>
          <w:lang w:val="en-US" w:eastAsia="zh-CN"/>
        </w:rPr>
      </w:pPr>
      <w:r>
        <w:rPr>
          <w:rFonts w:hint="eastAsia"/>
          <w:color w:val="auto"/>
          <w:szCs w:val="21"/>
          <w:highlight w:val="none"/>
          <w:lang w:val="en-US" w:eastAsia="zh-CN"/>
        </w:rPr>
        <w:t>2.2.8主要补水通道、行洪排涝通道及区域内其他主干河道原则上不得种植各类水生植物。除公园水体或其他重要景观节点外，不得在河道内使用人工浮岛。支流河道确需种植水生植物的，应与河道景观相结合，并严格控制规模，不得对河面观感造成影响。更换或增减，费用不予增补。</w:t>
      </w:r>
    </w:p>
    <w:p>
      <w:pPr>
        <w:shd w:val="clear"/>
        <w:spacing w:line="360" w:lineRule="auto"/>
        <w:ind w:firstLine="420" w:firstLineChars="200"/>
        <w:rPr>
          <w:color w:val="auto"/>
          <w:szCs w:val="21"/>
          <w:highlight w:val="none"/>
        </w:rPr>
      </w:pPr>
      <w:r>
        <w:rPr>
          <w:rFonts w:hint="eastAsia"/>
          <w:color w:val="auto"/>
          <w:szCs w:val="21"/>
          <w:highlight w:val="none"/>
        </w:rPr>
        <w:t>2.2.</w:t>
      </w:r>
      <w:r>
        <w:rPr>
          <w:rFonts w:hint="eastAsia"/>
          <w:color w:val="auto"/>
          <w:szCs w:val="21"/>
          <w:highlight w:val="none"/>
          <w:lang w:val="en-US" w:eastAsia="zh-CN"/>
        </w:rPr>
        <w:t>9</w:t>
      </w:r>
      <w:r>
        <w:rPr>
          <w:rFonts w:hint="eastAsia"/>
          <w:color w:val="auto"/>
          <w:szCs w:val="21"/>
          <w:highlight w:val="none"/>
        </w:rPr>
        <w:t>中标人不得随意更换项目组成员，如确需调整的应报请</w:t>
      </w:r>
      <w:r>
        <w:rPr>
          <w:rFonts w:hint="eastAsia"/>
          <w:color w:val="auto"/>
          <w:szCs w:val="21"/>
          <w:highlight w:val="none"/>
          <w:lang w:eastAsia="zh-CN"/>
        </w:rPr>
        <w:t>采购单位</w:t>
      </w:r>
      <w:r>
        <w:rPr>
          <w:rFonts w:hint="eastAsia"/>
          <w:color w:val="auto"/>
          <w:szCs w:val="21"/>
          <w:highlight w:val="none"/>
          <w:lang w:val="en-US" w:eastAsia="zh-CN"/>
        </w:rPr>
        <w:t>书面</w:t>
      </w:r>
      <w:r>
        <w:rPr>
          <w:rFonts w:hint="eastAsia"/>
          <w:color w:val="auto"/>
          <w:szCs w:val="21"/>
          <w:highlight w:val="none"/>
        </w:rPr>
        <w:t>确认。</w:t>
      </w:r>
    </w:p>
    <w:p>
      <w:pPr>
        <w:shd w:val="clear"/>
        <w:spacing w:line="360" w:lineRule="auto"/>
        <w:ind w:firstLine="420" w:firstLineChars="200"/>
        <w:rPr>
          <w:color w:val="auto"/>
          <w:szCs w:val="21"/>
          <w:highlight w:val="none"/>
        </w:rPr>
      </w:pPr>
      <w:r>
        <w:rPr>
          <w:rFonts w:hint="eastAsia"/>
          <w:color w:val="auto"/>
          <w:szCs w:val="21"/>
          <w:highlight w:val="none"/>
        </w:rPr>
        <w:t>2.2.</w:t>
      </w:r>
      <w:r>
        <w:rPr>
          <w:rFonts w:hint="eastAsia"/>
          <w:color w:val="auto"/>
          <w:szCs w:val="21"/>
          <w:highlight w:val="none"/>
          <w:lang w:val="en-US" w:eastAsia="zh-CN"/>
        </w:rPr>
        <w:t>10</w:t>
      </w:r>
      <w:r>
        <w:rPr>
          <w:rFonts w:hint="eastAsia"/>
          <w:color w:val="auto"/>
          <w:szCs w:val="21"/>
          <w:highlight w:val="none"/>
        </w:rPr>
        <w:t>中</w:t>
      </w:r>
      <w:r>
        <w:rPr>
          <w:rFonts w:hint="eastAsia"/>
          <w:color w:val="auto"/>
          <w:szCs w:val="21"/>
          <w:highlight w:val="none"/>
          <w:lang w:eastAsia="zh-CN"/>
        </w:rPr>
        <w:t>标人</w:t>
      </w:r>
      <w:r>
        <w:rPr>
          <w:rFonts w:hint="eastAsia"/>
          <w:color w:val="auto"/>
          <w:szCs w:val="21"/>
          <w:highlight w:val="none"/>
        </w:rPr>
        <w:t>应做好末端排污口的排污预处理，相关费用包含在投标总价中。</w:t>
      </w:r>
    </w:p>
    <w:p>
      <w:pPr>
        <w:shd w:val="clear"/>
        <w:spacing w:line="360" w:lineRule="auto"/>
        <w:ind w:firstLine="420" w:firstLineChars="200"/>
        <w:rPr>
          <w:color w:val="auto"/>
          <w:szCs w:val="21"/>
          <w:highlight w:val="none"/>
        </w:rPr>
      </w:pPr>
      <w:r>
        <w:rPr>
          <w:rFonts w:hint="eastAsia"/>
          <w:color w:val="auto"/>
          <w:szCs w:val="21"/>
          <w:highlight w:val="none"/>
        </w:rPr>
        <w:t>2.2.</w:t>
      </w:r>
      <w:r>
        <w:rPr>
          <w:rFonts w:hint="eastAsia"/>
          <w:color w:val="auto"/>
          <w:szCs w:val="21"/>
          <w:highlight w:val="none"/>
          <w:lang w:val="en-US" w:eastAsia="zh-CN"/>
        </w:rPr>
        <w:t>11</w:t>
      </w:r>
      <w:r>
        <w:rPr>
          <w:rFonts w:hint="eastAsia"/>
          <w:color w:val="auto"/>
          <w:szCs w:val="21"/>
          <w:highlight w:val="none"/>
        </w:rPr>
        <w:t>景观要求：</w:t>
      </w:r>
    </w:p>
    <w:p>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①</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水面景观、沿岸景观，要求</w:t>
      </w:r>
      <w:r>
        <w:rPr>
          <w:rFonts w:hint="eastAsia" w:ascii="宋体" w:hAnsi="宋体" w:cs="宋体"/>
          <w:color w:val="auto"/>
          <w:szCs w:val="21"/>
          <w:highlight w:val="none"/>
          <w:lang w:val="en-US" w:eastAsia="zh-CN"/>
        </w:rPr>
        <w:t>美观</w:t>
      </w:r>
      <w:r>
        <w:rPr>
          <w:rFonts w:hint="eastAsia" w:ascii="宋体" w:hAnsi="宋体" w:cs="宋体"/>
          <w:color w:val="auto"/>
          <w:szCs w:val="21"/>
          <w:highlight w:val="none"/>
        </w:rPr>
        <w:t>和谐，做到水岸一体</w:t>
      </w:r>
      <w:r>
        <w:rPr>
          <w:rFonts w:hint="eastAsia" w:ascii="宋体" w:hAnsi="宋体" w:cs="宋体"/>
          <w:color w:val="auto"/>
          <w:szCs w:val="21"/>
          <w:highlight w:val="none"/>
          <w:lang w:val="en-US" w:eastAsia="zh-CN"/>
        </w:rPr>
        <w:t>化</w:t>
      </w:r>
      <w:r>
        <w:rPr>
          <w:rFonts w:hint="eastAsia" w:ascii="宋体" w:hAnsi="宋体" w:cs="宋体"/>
          <w:color w:val="auto"/>
          <w:szCs w:val="21"/>
          <w:highlight w:val="none"/>
        </w:rPr>
        <w:t>。</w:t>
      </w:r>
    </w:p>
    <w:p>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②</w:t>
      </w:r>
      <w:r>
        <w:rPr>
          <w:rFonts w:hint="eastAsia" w:ascii="宋体" w:hAnsi="宋体" w:cs="宋体"/>
          <w:color w:val="auto"/>
          <w:szCs w:val="21"/>
          <w:highlight w:val="none"/>
          <w:lang w:val="en-US" w:eastAsia="zh-CN"/>
        </w:rPr>
        <w:t xml:space="preserve"> 精</w:t>
      </w:r>
      <w:r>
        <w:rPr>
          <w:rFonts w:hint="eastAsia" w:ascii="宋体" w:hAnsi="宋体" w:cs="宋体"/>
          <w:color w:val="auto"/>
          <w:szCs w:val="21"/>
          <w:highlight w:val="none"/>
        </w:rPr>
        <w:t>品河道如种植沉水植物实际种植面积至少达到养护河道养护面积的60%。</w:t>
      </w:r>
    </w:p>
    <w:p>
      <w:pPr>
        <w:shd w:val="clear"/>
        <w:spacing w:line="360" w:lineRule="auto"/>
        <w:ind w:firstLine="420" w:firstLineChars="200"/>
        <w:rPr>
          <w:rFonts w:hint="eastAsia"/>
          <w:color w:val="auto"/>
          <w:szCs w:val="21"/>
          <w:highlight w:val="none"/>
        </w:rPr>
      </w:pPr>
      <w:r>
        <w:rPr>
          <w:rFonts w:hint="eastAsia"/>
          <w:color w:val="auto"/>
          <w:szCs w:val="21"/>
          <w:highlight w:val="none"/>
        </w:rPr>
        <w:t>*2.2.</w:t>
      </w:r>
      <w:r>
        <w:rPr>
          <w:rFonts w:hint="eastAsia"/>
          <w:color w:val="auto"/>
          <w:szCs w:val="21"/>
          <w:highlight w:val="none"/>
          <w:lang w:val="en-US" w:eastAsia="zh-CN"/>
        </w:rPr>
        <w:t>12</w:t>
      </w:r>
      <w:r>
        <w:rPr>
          <w:rFonts w:hint="eastAsia"/>
          <w:color w:val="auto"/>
          <w:szCs w:val="21"/>
          <w:highlight w:val="none"/>
        </w:rPr>
        <w:t>必须配备离岸处理设备的标段，必须满足招标文件要求进行配置。（</w:t>
      </w:r>
      <w:r>
        <w:rPr>
          <w:rFonts w:hint="eastAsia"/>
          <w:color w:val="auto"/>
          <w:szCs w:val="21"/>
          <w:highlight w:val="none"/>
          <w:lang w:val="en-US" w:eastAsia="zh-CN"/>
        </w:rPr>
        <w:t>设备</w:t>
      </w:r>
      <w:r>
        <w:rPr>
          <w:rFonts w:hint="eastAsia"/>
          <w:color w:val="auto"/>
          <w:szCs w:val="21"/>
          <w:highlight w:val="none"/>
        </w:rPr>
        <w:t>详见</w:t>
      </w:r>
      <w:r>
        <w:rPr>
          <w:rFonts w:hint="eastAsia"/>
          <w:color w:val="auto"/>
          <w:szCs w:val="21"/>
          <w:highlight w:val="none"/>
          <w:lang w:val="en-US" w:eastAsia="zh-CN"/>
        </w:rPr>
        <w:t>相关表格</w:t>
      </w:r>
      <w:r>
        <w:rPr>
          <w:rFonts w:hint="eastAsia"/>
          <w:color w:val="auto"/>
          <w:szCs w:val="21"/>
          <w:highlight w:val="none"/>
        </w:rPr>
        <w:t>）</w:t>
      </w:r>
    </w:p>
    <w:p>
      <w:pPr>
        <w:shd w:val="clear"/>
        <w:spacing w:line="360" w:lineRule="auto"/>
        <w:ind w:firstLine="420" w:firstLineChars="200"/>
        <w:rPr>
          <w:rFonts w:hint="eastAsia"/>
          <w:color w:val="auto"/>
          <w:szCs w:val="21"/>
          <w:highlight w:val="none"/>
          <w:shd w:val="clear"/>
          <w:lang w:val="en-US" w:eastAsia="zh-CN"/>
        </w:rPr>
      </w:pPr>
      <w:r>
        <w:rPr>
          <w:rFonts w:hint="eastAsia"/>
          <w:color w:val="auto"/>
          <w:szCs w:val="21"/>
          <w:highlight w:val="none"/>
          <w:shd w:val="clear"/>
        </w:rPr>
        <w:t>*2.2.1</w:t>
      </w:r>
      <w:r>
        <w:rPr>
          <w:rFonts w:hint="eastAsia"/>
          <w:color w:val="auto"/>
          <w:szCs w:val="21"/>
          <w:highlight w:val="none"/>
          <w:shd w:val="clear"/>
          <w:lang w:val="en-US" w:eastAsia="zh-CN"/>
        </w:rPr>
        <w:t>3中标人对于限定性技术路线必须完全响应，对于非限定性技术可以在保证水质提升效果的前提下灵活采用、优化技术路线。</w:t>
      </w:r>
    </w:p>
    <w:p>
      <w:pPr>
        <w:shd w:val="clear"/>
        <w:spacing w:line="360" w:lineRule="auto"/>
        <w:ind w:firstLine="420" w:firstLineChars="200"/>
        <w:rPr>
          <w:rFonts w:hint="default"/>
          <w:color w:val="auto"/>
          <w:szCs w:val="21"/>
          <w:highlight w:val="none"/>
          <w:shd w:val="clear"/>
          <w:lang w:val="en-US" w:eastAsia="zh-CN"/>
        </w:rPr>
      </w:pPr>
      <w:r>
        <w:rPr>
          <w:rFonts w:hint="eastAsia"/>
          <w:color w:val="auto"/>
          <w:szCs w:val="21"/>
          <w:highlight w:val="none"/>
          <w:shd w:val="clear"/>
          <w:lang w:val="en-US" w:eastAsia="zh-CN"/>
        </w:rPr>
        <w:t>合同履行期间，采购单位有权根据行业要求或河道养护需要作出调整技术路线要求，中标人须无条件响应。</w:t>
      </w:r>
    </w:p>
    <w:p>
      <w:pPr>
        <w:shd w:val="clear"/>
        <w:spacing w:line="360" w:lineRule="auto"/>
        <w:ind w:firstLine="420" w:firstLineChars="200"/>
        <w:rPr>
          <w:rFonts w:hAnsi="宋体"/>
          <w:color w:val="auto"/>
          <w:szCs w:val="21"/>
          <w:highlight w:val="none"/>
        </w:rPr>
      </w:pPr>
      <w:r>
        <w:rPr>
          <w:rFonts w:hint="eastAsia"/>
          <w:color w:val="auto"/>
          <w:szCs w:val="21"/>
          <w:highlight w:val="none"/>
        </w:rPr>
        <w:t>*2.2.1</w:t>
      </w:r>
      <w:r>
        <w:rPr>
          <w:rFonts w:hint="eastAsia"/>
          <w:color w:val="auto"/>
          <w:szCs w:val="21"/>
          <w:highlight w:val="none"/>
          <w:lang w:val="en-US" w:eastAsia="zh-CN"/>
        </w:rPr>
        <w:t>4</w:t>
      </w:r>
      <w:r>
        <w:rPr>
          <w:rFonts w:hint="eastAsia"/>
          <w:color w:val="auto"/>
          <w:szCs w:val="21"/>
          <w:highlight w:val="none"/>
        </w:rPr>
        <w:t>人员要求：</w:t>
      </w:r>
      <w:r>
        <w:rPr>
          <w:rFonts w:hint="eastAsia"/>
          <w:color w:val="auto"/>
          <w:szCs w:val="21"/>
          <w:highlight w:val="none"/>
          <w:lang w:eastAsia="zh-CN"/>
        </w:rPr>
        <w:t>投标人</w:t>
      </w:r>
      <w:r>
        <w:rPr>
          <w:rFonts w:hint="eastAsia"/>
          <w:color w:val="auto"/>
          <w:szCs w:val="21"/>
          <w:highlight w:val="none"/>
        </w:rPr>
        <w:t>拟投入本项目的人员中须包含项目负责人、巡查考核人员、电工（兼修理工）和养护人员，其中每个标段至少各配1名电工</w:t>
      </w:r>
      <w:r>
        <w:rPr>
          <w:rFonts w:hint="eastAsia"/>
          <w:color w:val="auto"/>
          <w:szCs w:val="21"/>
          <w:highlight w:val="none"/>
          <w:lang w:val="en-US" w:eastAsia="zh-CN"/>
        </w:rPr>
        <w:t>和</w:t>
      </w:r>
      <w:r>
        <w:rPr>
          <w:rFonts w:hint="eastAsia"/>
          <w:color w:val="auto"/>
          <w:szCs w:val="21"/>
          <w:highlight w:val="none"/>
        </w:rPr>
        <w:t>巡查考核人员，养护面积每50000平方米</w:t>
      </w:r>
      <w:r>
        <w:rPr>
          <w:rFonts w:hint="eastAsia"/>
          <w:color w:val="auto"/>
          <w:szCs w:val="21"/>
          <w:highlight w:val="none"/>
          <w:lang w:val="en-US" w:eastAsia="zh-CN"/>
        </w:rPr>
        <w:t>至少</w:t>
      </w:r>
      <w:r>
        <w:rPr>
          <w:rFonts w:hint="eastAsia"/>
          <w:color w:val="auto"/>
          <w:szCs w:val="21"/>
          <w:highlight w:val="none"/>
        </w:rPr>
        <w:t>配备一艘电动船、2名养护工人（应急养护河道允许减半配备</w:t>
      </w:r>
      <w:r>
        <w:rPr>
          <w:rFonts w:hint="eastAsia"/>
          <w:color w:val="auto"/>
          <w:szCs w:val="21"/>
          <w:highlight w:val="none"/>
          <w:lang w:eastAsia="zh-CN"/>
        </w:rPr>
        <w:t>，</w:t>
      </w:r>
      <w:r>
        <w:rPr>
          <w:rFonts w:hint="eastAsia"/>
          <w:color w:val="auto"/>
          <w:szCs w:val="21"/>
          <w:highlight w:val="none"/>
        </w:rPr>
        <w:t>计算结果出现小数点的需向上递增取整）。</w:t>
      </w:r>
      <w:r>
        <w:rPr>
          <w:rFonts w:hint="eastAsia" w:ascii="宋体" w:hAnsi="宋体"/>
          <w:color w:val="auto"/>
          <w:szCs w:val="21"/>
          <w:highlight w:val="none"/>
        </w:rPr>
        <w:t>项目负责人要求为</w:t>
      </w:r>
      <w:r>
        <w:rPr>
          <w:rFonts w:hint="eastAsia" w:ascii="宋体" w:hAnsi="宋体"/>
          <w:color w:val="auto"/>
          <w:szCs w:val="21"/>
          <w:highlight w:val="none"/>
          <w:lang w:eastAsia="zh-CN"/>
        </w:rPr>
        <w:t>投标人</w:t>
      </w:r>
      <w:r>
        <w:rPr>
          <w:rFonts w:hint="eastAsia" w:ascii="宋体" w:hAnsi="宋体"/>
          <w:color w:val="auto"/>
          <w:szCs w:val="21"/>
          <w:highlight w:val="none"/>
        </w:rPr>
        <w:t>正式职工、具有环境类相关专业中级及以上职称。</w:t>
      </w:r>
      <w:r>
        <w:rPr>
          <w:rFonts w:hint="eastAsia"/>
          <w:color w:val="auto"/>
          <w:szCs w:val="21"/>
          <w:highlight w:val="none"/>
        </w:rPr>
        <w:t>其他人员（除项目负责人外）如需中标后组建的，需在中标通知书</w:t>
      </w:r>
      <w:r>
        <w:rPr>
          <w:rFonts w:hint="eastAsia"/>
          <w:color w:val="auto"/>
          <w:szCs w:val="21"/>
          <w:highlight w:val="none"/>
          <w:lang w:val="en-US" w:eastAsia="zh-CN"/>
        </w:rPr>
        <w:t>发放</w:t>
      </w:r>
      <w:r>
        <w:rPr>
          <w:rFonts w:hint="eastAsia"/>
          <w:color w:val="auto"/>
          <w:szCs w:val="21"/>
          <w:highlight w:val="none"/>
        </w:rPr>
        <w:t>后10天内组建完毕</w:t>
      </w:r>
      <w:r>
        <w:rPr>
          <w:rFonts w:hint="eastAsia" w:hAnsi="宋体"/>
          <w:color w:val="auto"/>
          <w:szCs w:val="21"/>
          <w:highlight w:val="none"/>
        </w:rPr>
        <w:t>，否则</w:t>
      </w:r>
      <w:r>
        <w:rPr>
          <w:rFonts w:hint="eastAsia" w:hAnsi="宋体"/>
          <w:color w:val="auto"/>
          <w:szCs w:val="21"/>
          <w:highlight w:val="none"/>
          <w:lang w:eastAsia="zh-CN"/>
        </w:rPr>
        <w:t>采购单位</w:t>
      </w:r>
      <w:r>
        <w:rPr>
          <w:rFonts w:hint="eastAsia" w:hAnsi="宋体"/>
          <w:color w:val="auto"/>
          <w:szCs w:val="21"/>
          <w:highlight w:val="none"/>
        </w:rPr>
        <w:t>有权取消中标人的中标资格。如</w:t>
      </w:r>
      <w:r>
        <w:rPr>
          <w:rFonts w:hint="eastAsia" w:hAnsi="宋体"/>
          <w:color w:val="auto"/>
          <w:szCs w:val="21"/>
          <w:highlight w:val="none"/>
          <w:lang w:eastAsia="zh-CN"/>
        </w:rPr>
        <w:t>投标人</w:t>
      </w:r>
      <w:r>
        <w:rPr>
          <w:rFonts w:hint="eastAsia" w:hAnsi="宋体"/>
          <w:color w:val="auto"/>
          <w:szCs w:val="21"/>
          <w:highlight w:val="none"/>
        </w:rPr>
        <w:t>配备的人员中已为</w:t>
      </w:r>
      <w:r>
        <w:rPr>
          <w:rFonts w:hint="eastAsia" w:hAnsi="宋体"/>
          <w:color w:val="auto"/>
          <w:szCs w:val="21"/>
          <w:highlight w:val="none"/>
          <w:lang w:eastAsia="zh-CN"/>
        </w:rPr>
        <w:t>投标人</w:t>
      </w:r>
      <w:r>
        <w:rPr>
          <w:rFonts w:hint="eastAsia" w:hAnsi="宋体"/>
          <w:color w:val="auto"/>
          <w:szCs w:val="21"/>
          <w:highlight w:val="none"/>
        </w:rPr>
        <w:t>正式职工，中标后未经采购单位同意不得随意更改，否则</w:t>
      </w:r>
      <w:r>
        <w:rPr>
          <w:rFonts w:hint="eastAsia" w:hAnsi="宋体"/>
          <w:color w:val="auto"/>
          <w:szCs w:val="21"/>
          <w:highlight w:val="none"/>
          <w:lang w:eastAsia="zh-CN"/>
        </w:rPr>
        <w:t>采购单位</w:t>
      </w:r>
      <w:r>
        <w:rPr>
          <w:rFonts w:hint="eastAsia" w:hAnsi="宋体"/>
          <w:color w:val="auto"/>
          <w:szCs w:val="21"/>
          <w:highlight w:val="none"/>
        </w:rPr>
        <w:t>取消中标人的中标资格或单方解除合同并没收全部履约保证金。</w:t>
      </w:r>
    </w:p>
    <w:p>
      <w:pPr>
        <w:shd w:val="clear"/>
        <w:spacing w:line="360" w:lineRule="auto"/>
        <w:ind w:firstLine="413" w:firstLineChars="196"/>
        <w:outlineLvl w:val="1"/>
        <w:rPr>
          <w:b/>
          <w:color w:val="auto"/>
          <w:szCs w:val="21"/>
          <w:highlight w:val="none"/>
        </w:rPr>
      </w:pPr>
      <w:r>
        <w:rPr>
          <w:rFonts w:hint="eastAsia"/>
          <w:b/>
          <w:color w:val="auto"/>
          <w:szCs w:val="21"/>
          <w:highlight w:val="none"/>
        </w:rPr>
        <w:t>2.3项目目标</w:t>
      </w:r>
    </w:p>
    <w:p>
      <w:pPr>
        <w:shd w:val="clear"/>
        <w:spacing w:line="360" w:lineRule="auto"/>
        <w:ind w:firstLine="420" w:firstLineChars="200"/>
        <w:rPr>
          <w:b/>
          <w:color w:val="auto"/>
          <w:szCs w:val="21"/>
          <w:highlight w:val="none"/>
        </w:rPr>
      </w:pPr>
      <w:r>
        <w:rPr>
          <w:rFonts w:hint="eastAsia"/>
          <w:color w:val="auto"/>
          <w:szCs w:val="21"/>
          <w:highlight w:val="none"/>
        </w:rPr>
        <w:t>分类目标：精品河道Ⅲ类，清水河Ⅳ类，一般河道Ⅴ类。（具体指标分类详见《</w:t>
      </w:r>
      <w:r>
        <w:rPr>
          <w:rFonts w:hint="eastAsia" w:ascii="宋体" w:hAnsi="宋体" w:cs="宋体"/>
          <w:bCs/>
          <w:color w:val="auto"/>
          <w:szCs w:val="21"/>
          <w:highlight w:val="none"/>
        </w:rPr>
        <w:t>鄞州区城区内河水质日常养护项目考核办法</w:t>
      </w:r>
      <w:r>
        <w:rPr>
          <w:rFonts w:hint="eastAsia"/>
          <w:color w:val="auto"/>
          <w:szCs w:val="21"/>
          <w:highlight w:val="none"/>
        </w:rPr>
        <w:t>》）。</w:t>
      </w:r>
    </w:p>
    <w:p>
      <w:pPr>
        <w:shd w:val="clear"/>
        <w:spacing w:line="360" w:lineRule="auto"/>
        <w:rPr>
          <w:b/>
          <w:color w:val="auto"/>
          <w:szCs w:val="21"/>
          <w:highlight w:val="none"/>
        </w:rPr>
      </w:pPr>
      <w:r>
        <w:rPr>
          <w:rFonts w:hint="eastAsia"/>
          <w:b/>
          <w:color w:val="auto"/>
          <w:szCs w:val="21"/>
          <w:highlight w:val="none"/>
        </w:rPr>
        <w:t>（三）项目相关要求</w:t>
      </w:r>
    </w:p>
    <w:p>
      <w:pPr>
        <w:shd w:val="clear"/>
        <w:spacing w:line="360" w:lineRule="auto"/>
        <w:ind w:firstLine="420" w:firstLineChars="200"/>
        <w:outlineLvl w:val="1"/>
        <w:rPr>
          <w:rFonts w:hAnsi="宋体"/>
          <w:bCs/>
          <w:color w:val="auto"/>
          <w:szCs w:val="21"/>
          <w:highlight w:val="none"/>
        </w:rPr>
      </w:pPr>
      <w:r>
        <w:rPr>
          <w:rFonts w:hint="eastAsia" w:hAnsi="宋体"/>
          <w:bCs/>
          <w:color w:val="auto"/>
          <w:szCs w:val="21"/>
          <w:highlight w:val="none"/>
        </w:rPr>
        <w:t>3.1针</w:t>
      </w:r>
      <w:r>
        <w:rPr>
          <w:rFonts w:hAnsi="宋体"/>
          <w:bCs/>
          <w:color w:val="auto"/>
          <w:szCs w:val="21"/>
          <w:highlight w:val="none"/>
        </w:rPr>
        <w:t>对本项目实施</w:t>
      </w:r>
      <w:r>
        <w:rPr>
          <w:rFonts w:hint="eastAsia" w:hAnsi="宋体"/>
          <w:bCs/>
          <w:color w:val="auto"/>
          <w:szCs w:val="21"/>
          <w:highlight w:val="none"/>
        </w:rPr>
        <w:t>水质提升</w:t>
      </w:r>
      <w:r>
        <w:rPr>
          <w:rFonts w:hAnsi="宋体"/>
          <w:bCs/>
          <w:color w:val="auto"/>
          <w:szCs w:val="21"/>
          <w:highlight w:val="none"/>
        </w:rPr>
        <w:t>管理所需的一切劳动力、材料、设备和服务由</w:t>
      </w:r>
      <w:r>
        <w:rPr>
          <w:rFonts w:hint="eastAsia" w:hAnsi="宋体"/>
          <w:bCs/>
          <w:color w:val="auto"/>
          <w:szCs w:val="21"/>
          <w:highlight w:val="none"/>
          <w:lang w:eastAsia="zh-CN"/>
        </w:rPr>
        <w:t>投标人</w:t>
      </w:r>
      <w:r>
        <w:rPr>
          <w:rFonts w:hAnsi="宋体"/>
          <w:bCs/>
          <w:color w:val="auto"/>
          <w:szCs w:val="21"/>
          <w:highlight w:val="none"/>
        </w:rPr>
        <w:t>自行组织，由此产生的一切费用由</w:t>
      </w:r>
      <w:r>
        <w:rPr>
          <w:rFonts w:hint="eastAsia" w:hAnsi="宋体"/>
          <w:bCs/>
          <w:color w:val="auto"/>
          <w:szCs w:val="21"/>
          <w:highlight w:val="none"/>
          <w:lang w:eastAsia="zh-CN"/>
        </w:rPr>
        <w:t>投标人</w:t>
      </w:r>
      <w:r>
        <w:rPr>
          <w:rFonts w:hAnsi="宋体"/>
          <w:bCs/>
          <w:color w:val="auto"/>
          <w:szCs w:val="21"/>
          <w:highlight w:val="none"/>
        </w:rPr>
        <w:t>承担。</w:t>
      </w:r>
      <w:r>
        <w:rPr>
          <w:rFonts w:hint="eastAsia" w:hAnsi="宋体"/>
          <w:b/>
          <w:color w:val="auto"/>
          <w:szCs w:val="21"/>
          <w:highlight w:val="none"/>
        </w:rPr>
        <w:t>设备安装过程中的场地租借、接电等事项均由</w:t>
      </w:r>
      <w:r>
        <w:rPr>
          <w:rFonts w:hint="eastAsia" w:hAnsi="宋体"/>
          <w:b/>
          <w:color w:val="auto"/>
          <w:szCs w:val="21"/>
          <w:highlight w:val="none"/>
          <w:lang w:eastAsia="zh-CN"/>
        </w:rPr>
        <w:t>投标人</w:t>
      </w:r>
      <w:r>
        <w:rPr>
          <w:rFonts w:hint="eastAsia" w:hAnsi="宋体"/>
          <w:b/>
          <w:color w:val="auto"/>
          <w:szCs w:val="21"/>
          <w:highlight w:val="none"/>
        </w:rPr>
        <w:t>自行解决，</w:t>
      </w:r>
      <w:r>
        <w:rPr>
          <w:rFonts w:hint="eastAsia" w:hAnsi="宋体"/>
          <w:b/>
          <w:color w:val="auto"/>
          <w:szCs w:val="21"/>
          <w:highlight w:val="none"/>
          <w:lang w:eastAsia="zh-CN"/>
        </w:rPr>
        <w:t>采购单位</w:t>
      </w:r>
      <w:r>
        <w:rPr>
          <w:rFonts w:hint="eastAsia" w:hAnsi="宋体"/>
          <w:b/>
          <w:color w:val="auto"/>
          <w:szCs w:val="21"/>
          <w:highlight w:val="none"/>
        </w:rPr>
        <w:t>原则上不提供任何协助。</w:t>
      </w:r>
    </w:p>
    <w:p>
      <w:pPr>
        <w:spacing w:line="360" w:lineRule="auto"/>
        <w:ind w:firstLine="420" w:firstLineChars="200"/>
        <w:outlineLvl w:val="1"/>
        <w:rPr>
          <w:rFonts w:hAnsi="宋体"/>
          <w:bCs/>
          <w:color w:val="auto"/>
          <w:szCs w:val="21"/>
          <w:highlight w:val="none"/>
        </w:rPr>
      </w:pPr>
      <w:r>
        <w:rPr>
          <w:rFonts w:hint="eastAsia" w:hAnsi="宋体"/>
          <w:bCs/>
          <w:color w:val="auto"/>
          <w:szCs w:val="21"/>
          <w:highlight w:val="none"/>
        </w:rPr>
        <w:t>3.2</w:t>
      </w:r>
      <w:r>
        <w:rPr>
          <w:rFonts w:hint="eastAsia" w:hAnsi="宋体"/>
          <w:bCs/>
          <w:color w:val="auto"/>
          <w:szCs w:val="21"/>
          <w:highlight w:val="none"/>
          <w:lang w:val="en-US" w:eastAsia="zh-CN"/>
        </w:rPr>
        <w:t>中标人</w:t>
      </w:r>
      <w:r>
        <w:rPr>
          <w:rFonts w:hint="eastAsia" w:hAnsi="宋体"/>
          <w:bCs/>
          <w:color w:val="auto"/>
          <w:szCs w:val="21"/>
          <w:highlight w:val="none"/>
        </w:rPr>
        <w:t>必须为全体作业员工购买社保和人身意外保险，必须重视安全生产工作，确保全年不出安全生产责任事故。如发生安全生产责任事故或交通事故或造成第三人损害的，由</w:t>
      </w:r>
      <w:r>
        <w:rPr>
          <w:rFonts w:hint="eastAsia" w:hAnsi="宋体"/>
          <w:bCs/>
          <w:color w:val="auto"/>
          <w:szCs w:val="21"/>
          <w:highlight w:val="none"/>
          <w:lang w:val="en-US" w:eastAsia="zh-CN"/>
        </w:rPr>
        <w:t>中标人</w:t>
      </w:r>
      <w:r>
        <w:rPr>
          <w:rFonts w:hint="eastAsia" w:hAnsi="宋体"/>
          <w:bCs/>
          <w:color w:val="auto"/>
          <w:szCs w:val="21"/>
          <w:highlight w:val="none"/>
        </w:rPr>
        <w:t>承担一切责任及损失，与</w:t>
      </w:r>
      <w:r>
        <w:rPr>
          <w:rFonts w:hint="eastAsia" w:hAnsi="宋体"/>
          <w:bCs/>
          <w:color w:val="auto"/>
          <w:szCs w:val="21"/>
          <w:highlight w:val="none"/>
          <w:lang w:val="en-US" w:eastAsia="zh-CN"/>
        </w:rPr>
        <w:t>采购单位</w:t>
      </w:r>
      <w:r>
        <w:rPr>
          <w:rFonts w:hint="eastAsia" w:hAnsi="宋体"/>
          <w:bCs/>
          <w:color w:val="auto"/>
          <w:szCs w:val="21"/>
          <w:highlight w:val="none"/>
        </w:rPr>
        <w:t>无涉，</w:t>
      </w:r>
      <w:r>
        <w:rPr>
          <w:rFonts w:hint="eastAsia" w:hAnsi="宋体"/>
          <w:bCs/>
          <w:color w:val="auto"/>
          <w:szCs w:val="21"/>
          <w:highlight w:val="none"/>
          <w:lang w:val="en-US" w:eastAsia="zh-CN"/>
        </w:rPr>
        <w:t>采购单位</w:t>
      </w:r>
      <w:r>
        <w:rPr>
          <w:rFonts w:hint="eastAsia" w:hAnsi="宋体"/>
          <w:bCs/>
          <w:color w:val="auto"/>
          <w:szCs w:val="21"/>
          <w:highlight w:val="none"/>
        </w:rPr>
        <w:t>因此承担责任后，有权向</w:t>
      </w:r>
      <w:r>
        <w:rPr>
          <w:rFonts w:hint="eastAsia" w:hAnsi="宋体"/>
          <w:bCs/>
          <w:color w:val="auto"/>
          <w:szCs w:val="21"/>
          <w:highlight w:val="none"/>
          <w:lang w:val="en-US" w:eastAsia="zh-CN"/>
        </w:rPr>
        <w:t>中标人</w:t>
      </w:r>
      <w:r>
        <w:rPr>
          <w:rFonts w:hint="eastAsia" w:hAnsi="宋体"/>
          <w:bCs/>
          <w:color w:val="auto"/>
          <w:szCs w:val="21"/>
          <w:highlight w:val="none"/>
        </w:rPr>
        <w:t>全额追偿。</w:t>
      </w:r>
    </w:p>
    <w:p>
      <w:pPr>
        <w:spacing w:line="360" w:lineRule="auto"/>
        <w:ind w:firstLine="420" w:firstLineChars="200"/>
        <w:outlineLvl w:val="1"/>
        <w:rPr>
          <w:rFonts w:hAnsi="宋体"/>
          <w:bCs/>
          <w:color w:val="auto"/>
          <w:szCs w:val="21"/>
          <w:highlight w:val="none"/>
        </w:rPr>
      </w:pPr>
      <w:r>
        <w:rPr>
          <w:rFonts w:hint="eastAsia" w:hAnsi="宋体"/>
          <w:bCs/>
          <w:color w:val="auto"/>
          <w:szCs w:val="21"/>
          <w:highlight w:val="none"/>
        </w:rPr>
        <w:t>3.3</w:t>
      </w:r>
      <w:r>
        <w:rPr>
          <w:rFonts w:hint="eastAsia" w:hAnsi="宋体"/>
          <w:bCs/>
          <w:color w:val="auto"/>
          <w:szCs w:val="21"/>
          <w:highlight w:val="none"/>
          <w:lang w:val="en-US" w:eastAsia="zh-CN"/>
        </w:rPr>
        <w:t>中</w:t>
      </w:r>
      <w:r>
        <w:rPr>
          <w:rFonts w:hint="eastAsia" w:hAnsi="宋体"/>
          <w:bCs/>
          <w:color w:val="auto"/>
          <w:szCs w:val="21"/>
          <w:highlight w:val="none"/>
          <w:lang w:eastAsia="zh-CN"/>
        </w:rPr>
        <w:t>标人</w:t>
      </w:r>
      <w:r>
        <w:rPr>
          <w:rFonts w:hAnsi="宋体"/>
          <w:bCs/>
          <w:color w:val="auto"/>
          <w:szCs w:val="21"/>
          <w:highlight w:val="none"/>
        </w:rPr>
        <w:t>应按规定向</w:t>
      </w:r>
      <w:r>
        <w:rPr>
          <w:rFonts w:hint="eastAsia" w:hAnsi="宋体"/>
          <w:bCs/>
          <w:color w:val="auto"/>
          <w:szCs w:val="21"/>
          <w:highlight w:val="none"/>
          <w:lang w:eastAsia="zh-CN"/>
        </w:rPr>
        <w:t>采购单位</w:t>
      </w:r>
      <w:r>
        <w:rPr>
          <w:rFonts w:hAnsi="宋体"/>
          <w:bCs/>
          <w:color w:val="auto"/>
          <w:szCs w:val="21"/>
          <w:highlight w:val="none"/>
        </w:rPr>
        <w:t>提供</w:t>
      </w:r>
      <w:r>
        <w:rPr>
          <w:rFonts w:hint="eastAsia" w:hAnsi="宋体"/>
          <w:bCs/>
          <w:color w:val="auto"/>
          <w:szCs w:val="21"/>
          <w:highlight w:val="none"/>
        </w:rPr>
        <w:t>水质提升</w:t>
      </w:r>
      <w:r>
        <w:rPr>
          <w:rFonts w:hAnsi="宋体"/>
          <w:bCs/>
          <w:color w:val="auto"/>
          <w:szCs w:val="21"/>
          <w:highlight w:val="none"/>
        </w:rPr>
        <w:t>管理计划及落实有关措施</w:t>
      </w:r>
      <w:r>
        <w:rPr>
          <w:rFonts w:hint="eastAsia" w:hAnsi="宋体"/>
          <w:bCs/>
          <w:color w:val="auto"/>
          <w:szCs w:val="21"/>
          <w:highlight w:val="none"/>
        </w:rPr>
        <w:t>，制定日常的管理制度。</w:t>
      </w:r>
      <w:r>
        <w:rPr>
          <w:rFonts w:hint="eastAsia"/>
          <w:color w:val="auto"/>
          <w:szCs w:val="21"/>
          <w:highlight w:val="none"/>
        </w:rPr>
        <w:t>中标人</w:t>
      </w:r>
      <w:r>
        <w:rPr>
          <w:rFonts w:hint="eastAsia" w:hAnsi="宋体"/>
          <w:bCs/>
          <w:color w:val="auto"/>
          <w:szCs w:val="21"/>
          <w:highlight w:val="none"/>
        </w:rPr>
        <w:t>在对本项目的水质提升管理过程中，应做到：</w:t>
      </w:r>
    </w:p>
    <w:p>
      <w:pPr>
        <w:spacing w:line="360" w:lineRule="auto"/>
        <w:ind w:firstLine="420" w:firstLineChars="200"/>
        <w:outlineLvl w:val="1"/>
        <w:rPr>
          <w:color w:val="auto"/>
          <w:szCs w:val="21"/>
          <w:highlight w:val="none"/>
        </w:rPr>
      </w:pPr>
      <w:r>
        <w:rPr>
          <w:rFonts w:hint="eastAsia" w:hAnsi="宋体"/>
          <w:bCs/>
          <w:color w:val="auto"/>
          <w:szCs w:val="21"/>
          <w:highlight w:val="none"/>
        </w:rPr>
        <w:t>3.3.1有</w:t>
      </w:r>
      <w:r>
        <w:rPr>
          <w:rFonts w:hint="eastAsia"/>
          <w:color w:val="auto"/>
          <w:szCs w:val="21"/>
          <w:highlight w:val="none"/>
        </w:rPr>
        <w:t>严密的网络通讯体系，信息通畅；</w:t>
      </w:r>
    </w:p>
    <w:p>
      <w:pPr>
        <w:spacing w:line="360" w:lineRule="auto"/>
        <w:ind w:firstLine="420" w:firstLineChars="200"/>
        <w:outlineLvl w:val="1"/>
        <w:rPr>
          <w:rFonts w:hAnsi="宋体"/>
          <w:bCs/>
          <w:color w:val="auto"/>
          <w:szCs w:val="21"/>
          <w:highlight w:val="none"/>
        </w:rPr>
      </w:pPr>
      <w:r>
        <w:rPr>
          <w:rFonts w:hint="eastAsia"/>
          <w:color w:val="auto"/>
          <w:szCs w:val="21"/>
          <w:highlight w:val="none"/>
        </w:rPr>
        <w:t>3.3.2中标人应实行河道每日巡查制，每日不少于2次（上午、下午各一次）；</w:t>
      </w:r>
    </w:p>
    <w:p>
      <w:pPr>
        <w:spacing w:line="360" w:lineRule="auto"/>
        <w:ind w:firstLine="420" w:firstLineChars="200"/>
        <w:outlineLvl w:val="1"/>
        <w:rPr>
          <w:rFonts w:hAnsi="宋体"/>
          <w:bCs/>
          <w:color w:val="auto"/>
          <w:szCs w:val="21"/>
          <w:highlight w:val="none"/>
        </w:rPr>
      </w:pPr>
      <w:r>
        <w:rPr>
          <w:rFonts w:hint="eastAsia" w:hAnsi="宋体"/>
          <w:bCs/>
          <w:color w:val="auto"/>
          <w:szCs w:val="21"/>
          <w:highlight w:val="none"/>
        </w:rPr>
        <w:t>3.3.3</w:t>
      </w:r>
      <w:r>
        <w:rPr>
          <w:rFonts w:hint="eastAsia"/>
          <w:color w:val="auto"/>
          <w:szCs w:val="21"/>
          <w:highlight w:val="none"/>
        </w:rPr>
        <w:t>中标人</w:t>
      </w:r>
      <w:r>
        <w:rPr>
          <w:rFonts w:hint="eastAsia" w:hAnsi="宋体"/>
          <w:bCs/>
          <w:color w:val="auto"/>
          <w:szCs w:val="21"/>
          <w:highlight w:val="none"/>
        </w:rPr>
        <w:t>应</w:t>
      </w:r>
      <w:r>
        <w:rPr>
          <w:rFonts w:hint="eastAsia"/>
          <w:color w:val="auto"/>
          <w:szCs w:val="21"/>
          <w:highlight w:val="none"/>
        </w:rPr>
        <w:t>确保水质养护设备正常运行、设备损坏停运应及时上报</w:t>
      </w:r>
      <w:r>
        <w:rPr>
          <w:rFonts w:hint="eastAsia"/>
          <w:color w:val="auto"/>
          <w:szCs w:val="21"/>
          <w:highlight w:val="none"/>
          <w:lang w:eastAsia="zh-CN"/>
        </w:rPr>
        <w:t>采购单位</w:t>
      </w:r>
      <w:r>
        <w:rPr>
          <w:rFonts w:hint="eastAsia"/>
          <w:color w:val="auto"/>
          <w:szCs w:val="21"/>
          <w:highlight w:val="none"/>
        </w:rPr>
        <w:t>并维修；</w:t>
      </w:r>
    </w:p>
    <w:p>
      <w:pPr>
        <w:spacing w:line="360" w:lineRule="auto"/>
        <w:ind w:firstLine="420" w:firstLineChars="200"/>
        <w:outlineLvl w:val="1"/>
        <w:rPr>
          <w:color w:val="auto"/>
          <w:szCs w:val="21"/>
          <w:highlight w:val="none"/>
        </w:rPr>
      </w:pPr>
      <w:r>
        <w:rPr>
          <w:rFonts w:hint="eastAsia" w:hAnsi="宋体"/>
          <w:bCs/>
          <w:color w:val="auto"/>
          <w:szCs w:val="21"/>
          <w:highlight w:val="none"/>
        </w:rPr>
        <w:t>3.3.4</w:t>
      </w:r>
      <w:r>
        <w:rPr>
          <w:rFonts w:hint="eastAsia"/>
          <w:color w:val="auto"/>
          <w:szCs w:val="21"/>
          <w:highlight w:val="none"/>
        </w:rPr>
        <w:t>中标人按巡查和水质提升、水质监测内容记录台帐；并按时上报各类报表、台帐，以便</w:t>
      </w:r>
      <w:r>
        <w:rPr>
          <w:rFonts w:hint="eastAsia"/>
          <w:color w:val="auto"/>
          <w:szCs w:val="21"/>
          <w:highlight w:val="none"/>
          <w:lang w:eastAsia="zh-CN"/>
        </w:rPr>
        <w:t>采购单位</w:t>
      </w:r>
      <w:r>
        <w:rPr>
          <w:rFonts w:hint="eastAsia"/>
          <w:color w:val="auto"/>
          <w:szCs w:val="21"/>
          <w:highlight w:val="none"/>
        </w:rPr>
        <w:t>进行监督考核。</w:t>
      </w:r>
    </w:p>
    <w:p>
      <w:pPr>
        <w:spacing w:line="360" w:lineRule="auto"/>
        <w:ind w:firstLine="420" w:firstLineChars="200"/>
        <w:outlineLvl w:val="1"/>
        <w:rPr>
          <w:color w:val="auto"/>
          <w:szCs w:val="21"/>
          <w:highlight w:val="none"/>
        </w:rPr>
      </w:pPr>
      <w:r>
        <w:rPr>
          <w:rFonts w:hint="eastAsia"/>
          <w:color w:val="auto"/>
          <w:szCs w:val="21"/>
          <w:highlight w:val="none"/>
        </w:rPr>
        <w:t>3.3.5中标人在菌种等投放过程中必须提前通知</w:t>
      </w:r>
      <w:r>
        <w:rPr>
          <w:rFonts w:hint="eastAsia"/>
          <w:color w:val="auto"/>
          <w:szCs w:val="21"/>
          <w:highlight w:val="none"/>
          <w:lang w:eastAsia="zh-CN"/>
        </w:rPr>
        <w:t>采购单位</w:t>
      </w:r>
      <w:r>
        <w:rPr>
          <w:rFonts w:hint="eastAsia"/>
          <w:color w:val="auto"/>
          <w:szCs w:val="21"/>
          <w:highlight w:val="none"/>
        </w:rPr>
        <w:t>并由</w:t>
      </w:r>
      <w:r>
        <w:rPr>
          <w:rFonts w:hint="eastAsia"/>
          <w:color w:val="auto"/>
          <w:szCs w:val="21"/>
          <w:highlight w:val="none"/>
          <w:lang w:eastAsia="zh-CN"/>
        </w:rPr>
        <w:t>采购单位</w:t>
      </w:r>
      <w:r>
        <w:rPr>
          <w:rFonts w:hint="eastAsia"/>
          <w:color w:val="auto"/>
          <w:szCs w:val="21"/>
          <w:highlight w:val="none"/>
        </w:rPr>
        <w:t>签字确认，否则按照考核办法扣除相应的分数及经费。</w:t>
      </w:r>
    </w:p>
    <w:p>
      <w:pPr>
        <w:spacing w:line="360" w:lineRule="auto"/>
        <w:ind w:firstLine="420" w:firstLineChars="200"/>
        <w:outlineLvl w:val="1"/>
        <w:rPr>
          <w:rFonts w:hint="eastAsia"/>
          <w:color w:val="auto"/>
          <w:szCs w:val="21"/>
          <w:highlight w:val="none"/>
        </w:rPr>
      </w:pPr>
      <w:r>
        <w:rPr>
          <w:rFonts w:hint="eastAsia"/>
          <w:color w:val="auto"/>
          <w:szCs w:val="21"/>
          <w:highlight w:val="none"/>
          <w:lang w:val="en-US" w:eastAsia="zh-CN"/>
        </w:rPr>
        <w:t>3.4中标人须</w:t>
      </w:r>
      <w:r>
        <w:rPr>
          <w:rFonts w:hint="eastAsia"/>
          <w:color w:val="auto"/>
          <w:szCs w:val="21"/>
          <w:highlight w:val="none"/>
        </w:rPr>
        <w:t>提升水质应急处置能力：全面加强河道水质监测，及时发现河道水质恶化问题。进一步优化水质应急处置预案，建立专业水质应急处置队伍，加强应急处置技术、物资储备。</w:t>
      </w:r>
    </w:p>
    <w:p>
      <w:pPr>
        <w:spacing w:line="360" w:lineRule="auto"/>
        <w:ind w:firstLine="420" w:firstLineChars="200"/>
        <w:outlineLvl w:val="1"/>
        <w:rPr>
          <w:rFonts w:hint="eastAsia"/>
          <w:color w:val="auto"/>
          <w:szCs w:val="21"/>
          <w:highlight w:val="none"/>
        </w:rPr>
      </w:pPr>
      <w:r>
        <w:rPr>
          <w:rFonts w:hint="eastAsia"/>
          <w:color w:val="auto"/>
          <w:szCs w:val="21"/>
          <w:highlight w:val="none"/>
        </w:rPr>
        <w:t>3.</w:t>
      </w:r>
      <w:r>
        <w:rPr>
          <w:rFonts w:hint="eastAsia"/>
          <w:color w:val="auto"/>
          <w:szCs w:val="21"/>
          <w:highlight w:val="none"/>
          <w:lang w:val="en-US" w:eastAsia="zh-CN"/>
        </w:rPr>
        <w:t>5中</w:t>
      </w:r>
      <w:r>
        <w:rPr>
          <w:rFonts w:hint="eastAsia"/>
          <w:color w:val="auto"/>
          <w:szCs w:val="21"/>
          <w:highlight w:val="none"/>
          <w:lang w:eastAsia="zh-CN"/>
        </w:rPr>
        <w:t>标人</w:t>
      </w:r>
      <w:r>
        <w:rPr>
          <w:rFonts w:hint="eastAsia"/>
          <w:color w:val="auto"/>
          <w:szCs w:val="21"/>
          <w:highlight w:val="none"/>
        </w:rPr>
        <w:t>应制定详细的应急管理制度，做好水质应急管理工作。</w:t>
      </w:r>
    </w:p>
    <w:p>
      <w:pPr>
        <w:spacing w:line="360" w:lineRule="auto"/>
        <w:ind w:firstLine="420" w:firstLineChars="200"/>
        <w:outlineLvl w:val="1"/>
        <w:rPr>
          <w:color w:val="auto"/>
          <w:szCs w:val="21"/>
          <w:highlight w:val="none"/>
        </w:rPr>
      </w:pPr>
      <w:r>
        <w:rPr>
          <w:rFonts w:hint="eastAsia"/>
          <w:color w:val="auto"/>
          <w:szCs w:val="21"/>
          <w:highlight w:val="none"/>
        </w:rPr>
        <w:t>3.</w:t>
      </w:r>
      <w:r>
        <w:rPr>
          <w:rFonts w:hint="eastAsia"/>
          <w:color w:val="auto"/>
          <w:szCs w:val="21"/>
          <w:highlight w:val="none"/>
          <w:lang w:val="en-US" w:eastAsia="zh-CN"/>
        </w:rPr>
        <w:t>5</w:t>
      </w:r>
      <w:r>
        <w:rPr>
          <w:rFonts w:hint="eastAsia"/>
          <w:color w:val="auto"/>
          <w:szCs w:val="21"/>
          <w:highlight w:val="none"/>
        </w:rPr>
        <w:t>.1在遇水质突发恶化情况下，需要及时响应并到现场进行处理；</w:t>
      </w:r>
    </w:p>
    <w:p>
      <w:pPr>
        <w:spacing w:line="360" w:lineRule="auto"/>
        <w:ind w:firstLine="420" w:firstLineChars="200"/>
        <w:outlineLvl w:val="1"/>
        <w:rPr>
          <w:color w:val="auto"/>
          <w:szCs w:val="21"/>
          <w:highlight w:val="none"/>
        </w:rPr>
      </w:pPr>
      <w:r>
        <w:rPr>
          <w:rFonts w:hint="eastAsia"/>
          <w:color w:val="auto"/>
          <w:szCs w:val="21"/>
          <w:highlight w:val="none"/>
        </w:rPr>
        <w:t>3.</w:t>
      </w:r>
      <w:r>
        <w:rPr>
          <w:rFonts w:hint="eastAsia"/>
          <w:color w:val="auto"/>
          <w:szCs w:val="21"/>
          <w:highlight w:val="none"/>
          <w:lang w:val="en-US" w:eastAsia="zh-CN"/>
        </w:rPr>
        <w:t>5</w:t>
      </w:r>
      <w:r>
        <w:rPr>
          <w:rFonts w:hint="eastAsia"/>
          <w:color w:val="auto"/>
          <w:szCs w:val="21"/>
          <w:highlight w:val="none"/>
        </w:rPr>
        <w:t>.2做好防汛防台应急工作，并服从</w:t>
      </w:r>
      <w:r>
        <w:rPr>
          <w:rFonts w:hint="eastAsia"/>
          <w:color w:val="auto"/>
          <w:szCs w:val="21"/>
          <w:highlight w:val="none"/>
          <w:lang w:eastAsia="zh-CN"/>
        </w:rPr>
        <w:t>采购单位</w:t>
      </w:r>
      <w:r>
        <w:rPr>
          <w:rFonts w:hint="eastAsia"/>
          <w:color w:val="auto"/>
          <w:szCs w:val="21"/>
          <w:highlight w:val="none"/>
        </w:rPr>
        <w:t>的统一指挥；</w:t>
      </w:r>
    </w:p>
    <w:p>
      <w:pPr>
        <w:spacing w:line="360" w:lineRule="auto"/>
        <w:ind w:firstLine="420" w:firstLineChars="200"/>
        <w:outlineLvl w:val="1"/>
        <w:rPr>
          <w:color w:val="auto"/>
          <w:szCs w:val="21"/>
          <w:highlight w:val="none"/>
        </w:rPr>
      </w:pPr>
      <w:r>
        <w:rPr>
          <w:rFonts w:hint="eastAsia"/>
          <w:color w:val="auto"/>
          <w:szCs w:val="21"/>
          <w:highlight w:val="none"/>
        </w:rPr>
        <w:t>3.</w:t>
      </w:r>
      <w:r>
        <w:rPr>
          <w:rFonts w:hint="eastAsia"/>
          <w:color w:val="auto"/>
          <w:szCs w:val="21"/>
          <w:highlight w:val="none"/>
          <w:lang w:val="en-US" w:eastAsia="zh-CN"/>
        </w:rPr>
        <w:t>5</w:t>
      </w:r>
      <w:r>
        <w:rPr>
          <w:rFonts w:hint="eastAsia"/>
          <w:color w:val="auto"/>
          <w:szCs w:val="21"/>
          <w:highlight w:val="none"/>
        </w:rPr>
        <w:t>.3在</w:t>
      </w:r>
      <w:r>
        <w:rPr>
          <w:rFonts w:hint="eastAsia"/>
          <w:color w:val="auto"/>
          <w:szCs w:val="21"/>
          <w:highlight w:val="none"/>
          <w:lang w:eastAsia="zh-CN"/>
        </w:rPr>
        <w:t>采购单位</w:t>
      </w:r>
      <w:r>
        <w:rPr>
          <w:rFonts w:hint="eastAsia"/>
          <w:color w:val="auto"/>
          <w:szCs w:val="21"/>
          <w:highlight w:val="none"/>
        </w:rPr>
        <w:t>的重大活动创建和检查期间，应主动做好各类创建活动期间的水质保障；</w:t>
      </w:r>
    </w:p>
    <w:p>
      <w:pPr>
        <w:spacing w:line="360" w:lineRule="auto"/>
        <w:ind w:firstLine="420" w:firstLineChars="200"/>
        <w:outlineLvl w:val="1"/>
        <w:rPr>
          <w:rFonts w:hAnsi="宋体"/>
          <w:bCs/>
          <w:color w:val="auto"/>
          <w:szCs w:val="21"/>
          <w:highlight w:val="none"/>
        </w:rPr>
      </w:pPr>
      <w:r>
        <w:rPr>
          <w:rFonts w:hint="eastAsia"/>
          <w:color w:val="auto"/>
          <w:szCs w:val="21"/>
          <w:highlight w:val="none"/>
        </w:rPr>
        <w:t>3.</w:t>
      </w:r>
      <w:r>
        <w:rPr>
          <w:rFonts w:hint="eastAsia"/>
          <w:color w:val="auto"/>
          <w:szCs w:val="21"/>
          <w:highlight w:val="none"/>
          <w:lang w:val="en-US" w:eastAsia="zh-CN"/>
        </w:rPr>
        <w:t>5</w:t>
      </w:r>
      <w:r>
        <w:rPr>
          <w:rFonts w:hint="eastAsia"/>
          <w:color w:val="auto"/>
          <w:szCs w:val="21"/>
          <w:highlight w:val="none"/>
        </w:rPr>
        <w:t>.4自然灾害等发生前，</w:t>
      </w:r>
      <w:r>
        <w:rPr>
          <w:rFonts w:hint="eastAsia"/>
          <w:color w:val="auto"/>
          <w:szCs w:val="21"/>
          <w:highlight w:val="none"/>
          <w:lang w:val="en-US" w:eastAsia="zh-CN"/>
        </w:rPr>
        <w:t>养护单位</w:t>
      </w:r>
      <w:r>
        <w:rPr>
          <w:rFonts w:hint="eastAsia"/>
          <w:color w:val="auto"/>
          <w:szCs w:val="21"/>
          <w:highlight w:val="none"/>
        </w:rPr>
        <w:t>应提前做好相应的防患措施，若因</w:t>
      </w:r>
      <w:r>
        <w:rPr>
          <w:rFonts w:hint="eastAsia"/>
          <w:color w:val="auto"/>
          <w:szCs w:val="21"/>
          <w:highlight w:val="none"/>
          <w:lang w:val="en-US" w:eastAsia="zh-CN"/>
        </w:rPr>
        <w:t>养护单位</w:t>
      </w:r>
      <w:r>
        <w:rPr>
          <w:rFonts w:hint="eastAsia"/>
          <w:color w:val="auto"/>
          <w:szCs w:val="21"/>
          <w:highlight w:val="none"/>
        </w:rPr>
        <w:t>防患不力而造成的一切损失，由该</w:t>
      </w:r>
      <w:r>
        <w:rPr>
          <w:rFonts w:hint="eastAsia"/>
          <w:color w:val="auto"/>
          <w:szCs w:val="21"/>
          <w:highlight w:val="none"/>
          <w:lang w:val="en-US" w:eastAsia="zh-CN"/>
        </w:rPr>
        <w:t>养护</w:t>
      </w:r>
      <w:r>
        <w:rPr>
          <w:rFonts w:hint="eastAsia"/>
          <w:color w:val="auto"/>
          <w:szCs w:val="21"/>
          <w:highlight w:val="none"/>
        </w:rPr>
        <w:t>单位自行承担。因自然灾害等原因造成水质发生变化且造成水质监测不合格的，</w:t>
      </w:r>
      <w:r>
        <w:rPr>
          <w:rFonts w:hint="eastAsia"/>
          <w:color w:val="auto"/>
          <w:szCs w:val="21"/>
          <w:highlight w:val="none"/>
          <w:lang w:eastAsia="zh-CN"/>
        </w:rPr>
        <w:t>采购单位</w:t>
      </w:r>
      <w:r>
        <w:rPr>
          <w:rFonts w:hint="eastAsia"/>
          <w:color w:val="auto"/>
          <w:szCs w:val="21"/>
          <w:highlight w:val="none"/>
        </w:rPr>
        <w:t>可酌情考虑对其的处罚力度。</w:t>
      </w:r>
    </w:p>
    <w:p>
      <w:pPr>
        <w:spacing w:line="360" w:lineRule="auto"/>
        <w:ind w:firstLine="525" w:firstLineChars="250"/>
        <w:outlineLvl w:val="1"/>
        <w:rPr>
          <w:color w:val="auto"/>
          <w:szCs w:val="21"/>
          <w:highlight w:val="none"/>
        </w:rPr>
      </w:pPr>
      <w:r>
        <w:rPr>
          <w:rFonts w:hint="eastAsia"/>
          <w:color w:val="auto"/>
          <w:szCs w:val="21"/>
          <w:highlight w:val="none"/>
        </w:rPr>
        <w:t>3.</w:t>
      </w:r>
      <w:r>
        <w:rPr>
          <w:rFonts w:hint="eastAsia"/>
          <w:color w:val="auto"/>
          <w:szCs w:val="21"/>
          <w:highlight w:val="none"/>
          <w:lang w:val="en-US" w:eastAsia="zh-CN"/>
        </w:rPr>
        <w:t>6</w:t>
      </w:r>
      <w:r>
        <w:rPr>
          <w:color w:val="auto"/>
          <w:szCs w:val="21"/>
          <w:highlight w:val="none"/>
        </w:rPr>
        <w:t>组织实施方案</w:t>
      </w:r>
    </w:p>
    <w:p>
      <w:pPr>
        <w:spacing w:line="360" w:lineRule="auto"/>
        <w:ind w:firstLine="525" w:firstLineChars="250"/>
        <w:rPr>
          <w:rFonts w:hAnsi="宋体"/>
          <w:bCs/>
          <w:color w:val="auto"/>
          <w:szCs w:val="21"/>
          <w:highlight w:val="none"/>
        </w:rPr>
      </w:pPr>
      <w:r>
        <w:rPr>
          <w:rFonts w:hint="eastAsia" w:hAnsi="宋体"/>
          <w:bCs/>
          <w:color w:val="auto"/>
          <w:szCs w:val="21"/>
          <w:highlight w:val="none"/>
          <w:lang w:val="en-US" w:eastAsia="zh-CN"/>
        </w:rPr>
        <w:t>投</w:t>
      </w:r>
      <w:r>
        <w:rPr>
          <w:rFonts w:hint="eastAsia" w:hAnsi="宋体"/>
          <w:bCs/>
          <w:color w:val="auto"/>
          <w:szCs w:val="21"/>
          <w:highlight w:val="none"/>
          <w:lang w:eastAsia="zh-CN"/>
        </w:rPr>
        <w:t>标人</w:t>
      </w:r>
      <w:r>
        <w:rPr>
          <w:rFonts w:hAnsi="宋体"/>
          <w:bCs/>
          <w:color w:val="auto"/>
          <w:szCs w:val="21"/>
          <w:highlight w:val="none"/>
        </w:rPr>
        <w:t>须制定完整、可行、详细的组织实施方案，明确组织机构、人员配备、</w:t>
      </w:r>
      <w:r>
        <w:rPr>
          <w:rFonts w:hint="eastAsia" w:hAnsi="宋体"/>
          <w:bCs/>
          <w:color w:val="auto"/>
          <w:szCs w:val="21"/>
          <w:highlight w:val="none"/>
        </w:rPr>
        <w:t>技术</w:t>
      </w:r>
      <w:r>
        <w:rPr>
          <w:rFonts w:hAnsi="宋体"/>
          <w:bCs/>
          <w:color w:val="auto"/>
          <w:szCs w:val="21"/>
          <w:highlight w:val="none"/>
        </w:rPr>
        <w:t>要求、质量标准、检查考核办法、安全措施、奖惩措施、应急预案等。</w:t>
      </w:r>
    </w:p>
    <w:p>
      <w:pPr>
        <w:spacing w:line="360" w:lineRule="auto"/>
        <w:ind w:firstLine="525" w:firstLineChars="250"/>
        <w:outlineLvl w:val="1"/>
        <w:rPr>
          <w:rFonts w:hAnsi="宋体"/>
          <w:color w:val="auto"/>
          <w:szCs w:val="21"/>
          <w:highlight w:val="none"/>
        </w:rPr>
      </w:pPr>
      <w:r>
        <w:rPr>
          <w:rFonts w:hint="eastAsia" w:hAnsi="宋体"/>
          <w:color w:val="auto"/>
          <w:szCs w:val="21"/>
          <w:highlight w:val="none"/>
        </w:rPr>
        <w:t>3.</w:t>
      </w:r>
      <w:r>
        <w:rPr>
          <w:rFonts w:hint="eastAsia" w:hAnsi="宋体"/>
          <w:color w:val="auto"/>
          <w:szCs w:val="21"/>
          <w:highlight w:val="none"/>
          <w:lang w:val="en-US" w:eastAsia="zh-CN"/>
        </w:rPr>
        <w:t>7</w:t>
      </w:r>
      <w:r>
        <w:rPr>
          <w:rFonts w:hint="eastAsia" w:hAnsi="宋体"/>
          <w:color w:val="auto"/>
          <w:szCs w:val="21"/>
          <w:highlight w:val="none"/>
        </w:rPr>
        <w:t>中标人</w:t>
      </w:r>
      <w:r>
        <w:rPr>
          <w:rFonts w:hAnsi="宋体"/>
          <w:color w:val="auto"/>
          <w:szCs w:val="21"/>
          <w:highlight w:val="none"/>
        </w:rPr>
        <w:t>应保证提供服务过程中不会侵犯任何第三方的知识产权。</w:t>
      </w:r>
      <w:r>
        <w:rPr>
          <w:rFonts w:hint="eastAsia" w:hAnsi="宋体"/>
          <w:color w:val="auto"/>
          <w:szCs w:val="21"/>
          <w:highlight w:val="none"/>
        </w:rPr>
        <w:t>因中标人侵权导致</w:t>
      </w:r>
      <w:r>
        <w:rPr>
          <w:rFonts w:hint="eastAsia" w:hAnsi="宋体"/>
          <w:color w:val="auto"/>
          <w:szCs w:val="21"/>
          <w:highlight w:val="none"/>
          <w:lang w:val="en-US" w:eastAsia="zh-CN"/>
        </w:rPr>
        <w:t>采购单位</w:t>
      </w:r>
      <w:r>
        <w:rPr>
          <w:rFonts w:hint="eastAsia" w:hAnsi="宋体"/>
          <w:color w:val="auto"/>
          <w:szCs w:val="21"/>
          <w:highlight w:val="none"/>
        </w:rPr>
        <w:t>被第三方索赔或起诉的，由中标人承担全部损失赔偿责任，</w:t>
      </w:r>
      <w:r>
        <w:rPr>
          <w:rFonts w:hint="eastAsia" w:hAnsi="宋体"/>
          <w:color w:val="auto"/>
          <w:szCs w:val="21"/>
          <w:highlight w:val="none"/>
          <w:lang w:val="en-US" w:eastAsia="zh-CN"/>
        </w:rPr>
        <w:t>采购单位</w:t>
      </w:r>
      <w:r>
        <w:rPr>
          <w:rFonts w:hint="eastAsia" w:hAnsi="宋体"/>
          <w:color w:val="auto"/>
          <w:szCs w:val="21"/>
          <w:highlight w:val="none"/>
        </w:rPr>
        <w:t>因此承担责任后有权向中标人全额追偿。</w:t>
      </w:r>
    </w:p>
    <w:p>
      <w:pPr>
        <w:spacing w:line="360" w:lineRule="auto"/>
        <w:ind w:firstLine="525" w:firstLineChars="250"/>
        <w:outlineLvl w:val="1"/>
        <w:rPr>
          <w:rFonts w:hAnsi="宋体"/>
          <w:color w:val="auto"/>
          <w:szCs w:val="21"/>
          <w:highlight w:val="none"/>
        </w:rPr>
      </w:pPr>
      <w:r>
        <w:rPr>
          <w:rFonts w:hint="eastAsia" w:hAnsi="宋体"/>
          <w:color w:val="auto"/>
          <w:szCs w:val="21"/>
          <w:highlight w:val="none"/>
        </w:rPr>
        <w:t>3.</w:t>
      </w:r>
      <w:r>
        <w:rPr>
          <w:rFonts w:hint="eastAsia" w:hAnsi="宋体"/>
          <w:color w:val="auto"/>
          <w:szCs w:val="21"/>
          <w:highlight w:val="none"/>
          <w:lang w:val="en-US" w:eastAsia="zh-CN"/>
        </w:rPr>
        <w:t>8</w:t>
      </w:r>
      <w:r>
        <w:rPr>
          <w:rFonts w:hint="eastAsia" w:hAnsi="宋体"/>
          <w:color w:val="auto"/>
          <w:szCs w:val="21"/>
          <w:highlight w:val="none"/>
        </w:rPr>
        <w:t>若在合同履行期间出现因清淤整治等工程建设必须中止水质提升服务的，中标人应无条件中止养护，</w:t>
      </w:r>
      <w:r>
        <w:rPr>
          <w:rFonts w:hint="eastAsia" w:hAnsi="宋体"/>
          <w:color w:val="auto"/>
          <w:szCs w:val="21"/>
          <w:highlight w:val="none"/>
          <w:lang w:eastAsia="zh-CN"/>
        </w:rPr>
        <w:t>采购单位</w:t>
      </w:r>
      <w:r>
        <w:rPr>
          <w:rFonts w:hint="eastAsia" w:hAnsi="宋体"/>
          <w:color w:val="auto"/>
          <w:szCs w:val="21"/>
          <w:highlight w:val="none"/>
        </w:rPr>
        <w:t>停止拨付养护经费，</w:t>
      </w:r>
      <w:r>
        <w:rPr>
          <w:rFonts w:hint="eastAsia" w:hAnsi="宋体"/>
          <w:color w:val="auto"/>
          <w:szCs w:val="21"/>
          <w:highlight w:val="none"/>
          <w:lang w:eastAsia="zh-CN"/>
        </w:rPr>
        <w:t>采购单位</w:t>
      </w:r>
      <w:r>
        <w:rPr>
          <w:rFonts w:hint="eastAsia" w:hAnsi="宋体"/>
          <w:color w:val="auto"/>
          <w:szCs w:val="21"/>
          <w:highlight w:val="none"/>
        </w:rPr>
        <w:t>不承担设备拆装费用，设备再次安装完毕后继续考核并按规定拨付水质提升服务费用，合同履行期限不作顺延。因其他政策性原因增减养护河道（段</w:t>
      </w:r>
      <w:r>
        <w:rPr>
          <w:rFonts w:hint="eastAsia" w:hAnsi="宋体"/>
          <w:color w:val="auto"/>
          <w:szCs w:val="21"/>
          <w:highlight w:val="none"/>
          <w:shd w:val="clear"/>
        </w:rPr>
        <w:t>）或需</w:t>
      </w:r>
      <w:r>
        <w:rPr>
          <w:rFonts w:hint="eastAsia" w:hAnsi="宋体"/>
          <w:color w:val="auto"/>
          <w:szCs w:val="21"/>
          <w:highlight w:val="none"/>
        </w:rPr>
        <w:t>要终止养护的，</w:t>
      </w:r>
      <w:r>
        <w:rPr>
          <w:rFonts w:hint="eastAsia" w:hAnsi="宋体"/>
          <w:color w:val="auto"/>
          <w:szCs w:val="21"/>
          <w:highlight w:val="none"/>
          <w:lang w:eastAsia="zh-CN"/>
        </w:rPr>
        <w:t>采购单位</w:t>
      </w:r>
      <w:r>
        <w:rPr>
          <w:rFonts w:hint="eastAsia" w:hAnsi="宋体"/>
          <w:color w:val="auto"/>
          <w:szCs w:val="21"/>
          <w:highlight w:val="none"/>
        </w:rPr>
        <w:t>不予赔偿。</w:t>
      </w:r>
    </w:p>
    <w:p>
      <w:pPr>
        <w:spacing w:line="360" w:lineRule="auto"/>
        <w:ind w:firstLine="525" w:firstLineChars="250"/>
        <w:outlineLvl w:val="1"/>
        <w:rPr>
          <w:rFonts w:hAnsi="宋体"/>
          <w:color w:val="auto"/>
          <w:szCs w:val="21"/>
          <w:highlight w:val="none"/>
        </w:rPr>
      </w:pPr>
      <w:r>
        <w:rPr>
          <w:rFonts w:hint="eastAsia" w:hAnsi="宋体"/>
          <w:color w:val="auto"/>
          <w:szCs w:val="21"/>
          <w:highlight w:val="none"/>
        </w:rPr>
        <w:t>3.</w:t>
      </w:r>
      <w:r>
        <w:rPr>
          <w:rFonts w:hint="eastAsia" w:hAnsi="宋体"/>
          <w:color w:val="auto"/>
          <w:szCs w:val="21"/>
          <w:highlight w:val="none"/>
          <w:lang w:val="en-US" w:eastAsia="zh-CN"/>
        </w:rPr>
        <w:t>9</w:t>
      </w:r>
      <w:r>
        <w:rPr>
          <w:rFonts w:hint="eastAsia" w:hAnsi="宋体"/>
          <w:color w:val="auto"/>
          <w:szCs w:val="21"/>
          <w:highlight w:val="none"/>
        </w:rPr>
        <w:t>因其他单位认管认养、施工、河道占用等原因造成部分河段未养护的，当月养护费用需减去未养护面积后核算。</w:t>
      </w:r>
    </w:p>
    <w:p>
      <w:pPr>
        <w:spacing w:line="360" w:lineRule="auto"/>
        <w:ind w:firstLine="525" w:firstLineChars="250"/>
        <w:outlineLvl w:val="1"/>
        <w:rPr>
          <w:rFonts w:hAnsi="宋体"/>
          <w:color w:val="auto"/>
          <w:szCs w:val="21"/>
          <w:highlight w:val="none"/>
        </w:rPr>
      </w:pPr>
      <w:r>
        <w:rPr>
          <w:rFonts w:hint="eastAsia" w:hAnsi="宋体"/>
          <w:color w:val="auto"/>
          <w:szCs w:val="21"/>
          <w:highlight w:val="none"/>
        </w:rPr>
        <w:t>*</w:t>
      </w:r>
      <w:r>
        <w:rPr>
          <w:rFonts w:hint="eastAsia" w:hAnsi="宋体"/>
          <w:color w:val="auto"/>
          <w:szCs w:val="21"/>
          <w:highlight w:val="none"/>
          <w:lang w:val="en-US" w:eastAsia="zh-CN"/>
        </w:rPr>
        <w:t>3.10</w:t>
      </w:r>
      <w:r>
        <w:rPr>
          <w:rFonts w:hint="eastAsia" w:hAnsi="宋体"/>
          <w:color w:val="auto"/>
          <w:szCs w:val="21"/>
          <w:highlight w:val="none"/>
        </w:rPr>
        <w:t>中标人应在中标通知书发放之日起20天内在鄞州区范围内设立100平方米（含）以上的管理用房，并提供该管理用房的房产证或租赁合同和租赁登记证给采购单位，否则采购单位有权取消中标人的中标资格。服务合同履行期间，中标单位应在上述范围内保持不小于100平方米的管理用房；未按要求设定的视为违约，采购方有权无条件终止合同。</w:t>
      </w:r>
    </w:p>
    <w:p>
      <w:pPr>
        <w:spacing w:line="360" w:lineRule="auto"/>
        <w:rPr>
          <w:b/>
          <w:color w:val="auto"/>
          <w:szCs w:val="21"/>
          <w:highlight w:val="none"/>
        </w:rPr>
      </w:pPr>
      <w:r>
        <w:rPr>
          <w:rFonts w:hint="eastAsia"/>
          <w:b/>
          <w:color w:val="auto"/>
          <w:szCs w:val="21"/>
          <w:highlight w:val="none"/>
        </w:rPr>
        <w:t>（四）项目考核</w:t>
      </w:r>
    </w:p>
    <w:p>
      <w:pPr>
        <w:widowControl/>
        <w:spacing w:line="360" w:lineRule="auto"/>
        <w:ind w:right="45" w:firstLine="480"/>
        <w:rPr>
          <w:color w:val="auto"/>
          <w:szCs w:val="21"/>
          <w:highlight w:val="none"/>
        </w:rPr>
      </w:pPr>
      <w:r>
        <w:rPr>
          <w:rFonts w:hint="eastAsia"/>
          <w:color w:val="auto"/>
          <w:szCs w:val="21"/>
          <w:highlight w:val="none"/>
        </w:rPr>
        <w:t>4.1水质提升工作由中标人根据投标方案全面展开。</w:t>
      </w:r>
      <w:r>
        <w:rPr>
          <w:rFonts w:hint="eastAsia"/>
          <w:color w:val="auto"/>
          <w:szCs w:val="21"/>
          <w:highlight w:val="none"/>
          <w:lang w:eastAsia="zh-CN"/>
        </w:rPr>
        <w:t>采购单位根据考核办法对养护河道的水质情况进行定期巡查、抽查。考核遵循分类别、以河道为单位的考核原则，及时测定水质指标，评估水质维护提升工作效果，按考核结果支付相关费用</w:t>
      </w:r>
      <w:r>
        <w:rPr>
          <w:rFonts w:hint="eastAsia"/>
          <w:color w:val="auto"/>
          <w:szCs w:val="21"/>
          <w:highlight w:val="none"/>
        </w:rPr>
        <w:t>。</w:t>
      </w:r>
    </w:p>
    <w:p>
      <w:pPr>
        <w:spacing w:line="360" w:lineRule="auto"/>
        <w:ind w:firstLine="420" w:firstLineChars="200"/>
        <w:jc w:val="left"/>
        <w:rPr>
          <w:b/>
          <w:color w:val="auto"/>
          <w:szCs w:val="21"/>
          <w:highlight w:val="none"/>
        </w:rPr>
      </w:pPr>
      <w:r>
        <w:rPr>
          <w:rFonts w:hint="eastAsia"/>
          <w:color w:val="auto"/>
          <w:szCs w:val="21"/>
          <w:highlight w:val="none"/>
        </w:rPr>
        <w:t>4.2具体考核办法详见</w:t>
      </w:r>
      <w:r>
        <w:rPr>
          <w:rFonts w:hint="eastAsia"/>
          <w:b/>
          <w:bCs w:val="0"/>
          <w:color w:val="auto"/>
          <w:szCs w:val="21"/>
          <w:highlight w:val="none"/>
        </w:rPr>
        <w:t>附件</w:t>
      </w:r>
      <w:r>
        <w:rPr>
          <w:rFonts w:hint="eastAsia"/>
          <w:b/>
          <w:bCs w:val="0"/>
          <w:color w:val="auto"/>
          <w:szCs w:val="21"/>
          <w:highlight w:val="none"/>
          <w:lang w:val="en-US" w:eastAsia="zh-CN"/>
        </w:rPr>
        <w:t>一</w:t>
      </w:r>
      <w:r>
        <w:rPr>
          <w:rFonts w:hint="eastAsia"/>
          <w:b/>
          <w:bCs w:val="0"/>
          <w:color w:val="auto"/>
          <w:szCs w:val="21"/>
          <w:highlight w:val="none"/>
        </w:rPr>
        <w:t>《</w:t>
      </w:r>
      <w:r>
        <w:rPr>
          <w:rFonts w:hint="eastAsia" w:ascii="宋体" w:hAnsi="宋体" w:cs="宋体"/>
          <w:b/>
          <w:bCs w:val="0"/>
          <w:color w:val="auto"/>
          <w:szCs w:val="21"/>
          <w:highlight w:val="none"/>
        </w:rPr>
        <w:t>鄞州区城区内河水质日常养护项目考核办法</w:t>
      </w:r>
      <w:r>
        <w:rPr>
          <w:rFonts w:hint="eastAsia"/>
          <w:b/>
          <w:bCs w:val="0"/>
          <w:color w:val="auto"/>
          <w:szCs w:val="21"/>
          <w:highlight w:val="none"/>
        </w:rPr>
        <w:t>》</w:t>
      </w:r>
      <w:r>
        <w:rPr>
          <w:rFonts w:hint="eastAsia"/>
          <w:color w:val="auto"/>
          <w:szCs w:val="21"/>
          <w:highlight w:val="none"/>
        </w:rPr>
        <w:t>。</w:t>
      </w:r>
    </w:p>
    <w:p>
      <w:pPr>
        <w:spacing w:line="360" w:lineRule="auto"/>
        <w:rPr>
          <w:color w:val="auto"/>
          <w:szCs w:val="21"/>
          <w:highlight w:val="none"/>
        </w:rPr>
      </w:pPr>
      <w:r>
        <w:rPr>
          <w:rFonts w:hint="eastAsia"/>
          <w:b/>
          <w:color w:val="auto"/>
          <w:szCs w:val="21"/>
          <w:highlight w:val="none"/>
        </w:rPr>
        <w:t>（五）处罚制度</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.1同一条河道年度内累计</w:t>
      </w:r>
      <w:r>
        <w:rPr>
          <w:rFonts w:hint="eastAsia" w:ascii="宋体" w:hAnsi="宋体"/>
          <w:color w:val="auto"/>
          <w:szCs w:val="21"/>
          <w:highlight w:val="none"/>
          <w:lang w:val="en-US" w:eastAsia="zh-CN"/>
        </w:rPr>
        <w:t>2</w:t>
      </w:r>
      <w:r>
        <w:rPr>
          <w:rFonts w:hint="eastAsia" w:ascii="宋体" w:hAnsi="宋体"/>
          <w:color w:val="auto"/>
          <w:szCs w:val="21"/>
          <w:highlight w:val="none"/>
        </w:rPr>
        <w:t>次月度考核不合格的</w:t>
      </w:r>
      <w:r>
        <w:rPr>
          <w:rFonts w:hint="eastAsia" w:ascii="宋体" w:hAnsi="宋体"/>
          <w:color w:val="auto"/>
          <w:szCs w:val="21"/>
          <w:highlight w:val="none"/>
          <w:lang w:val="en-US" w:eastAsia="zh-CN"/>
        </w:rPr>
        <w:t>养护</w:t>
      </w:r>
      <w:r>
        <w:rPr>
          <w:rFonts w:hint="eastAsia" w:ascii="宋体" w:hAnsi="宋体"/>
          <w:color w:val="auto"/>
          <w:szCs w:val="21"/>
          <w:highlight w:val="none"/>
        </w:rPr>
        <w:t>单位，除执行正常违约责任外，同时要求</w:t>
      </w:r>
      <w:r>
        <w:rPr>
          <w:rFonts w:hint="eastAsia" w:ascii="宋体" w:hAnsi="宋体"/>
          <w:color w:val="auto"/>
          <w:szCs w:val="21"/>
          <w:highlight w:val="none"/>
          <w:lang w:val="en-US" w:eastAsia="zh-CN"/>
        </w:rPr>
        <w:t>养护</w:t>
      </w:r>
      <w:r>
        <w:rPr>
          <w:rFonts w:hint="eastAsia" w:ascii="宋体" w:hAnsi="宋体"/>
          <w:color w:val="auto"/>
          <w:szCs w:val="21"/>
          <w:highlight w:val="none"/>
          <w:lang w:eastAsia="zh-CN"/>
        </w:rPr>
        <w:t>单位</w:t>
      </w:r>
      <w:r>
        <w:rPr>
          <w:rFonts w:hint="eastAsia" w:ascii="宋体" w:hAnsi="宋体"/>
          <w:color w:val="auto"/>
          <w:szCs w:val="21"/>
          <w:highlight w:val="none"/>
        </w:rPr>
        <w:t>提交书面整改措施并及时有效落实。如未及时提交书面整改措施或未及时有效落实的，</w:t>
      </w:r>
      <w:r>
        <w:rPr>
          <w:rFonts w:hint="eastAsia" w:ascii="宋体" w:hAnsi="宋体"/>
          <w:color w:val="auto"/>
          <w:szCs w:val="21"/>
          <w:highlight w:val="none"/>
          <w:lang w:val="en-US" w:eastAsia="zh-CN"/>
        </w:rPr>
        <w:t>采购单位</w:t>
      </w:r>
      <w:r>
        <w:rPr>
          <w:rFonts w:hint="eastAsia" w:ascii="宋体" w:hAnsi="宋体"/>
          <w:color w:val="auto"/>
          <w:szCs w:val="21"/>
          <w:highlight w:val="none"/>
        </w:rPr>
        <w:t>有权单方面提前解除本合同，并扣除全部履约保证金，给</w:t>
      </w:r>
      <w:r>
        <w:rPr>
          <w:rFonts w:hint="eastAsia" w:ascii="宋体" w:hAnsi="宋体"/>
          <w:color w:val="auto"/>
          <w:szCs w:val="21"/>
          <w:highlight w:val="none"/>
          <w:lang w:val="en-US" w:eastAsia="zh-CN"/>
        </w:rPr>
        <w:t>采购单位</w:t>
      </w:r>
      <w:r>
        <w:rPr>
          <w:rFonts w:hint="eastAsia" w:ascii="宋体" w:hAnsi="宋体"/>
          <w:color w:val="auto"/>
          <w:szCs w:val="21"/>
          <w:highlight w:val="none"/>
        </w:rPr>
        <w:t>额外造成损失的，</w:t>
      </w:r>
      <w:r>
        <w:rPr>
          <w:rFonts w:hint="eastAsia" w:ascii="宋体" w:hAnsi="宋体"/>
          <w:color w:val="auto"/>
          <w:szCs w:val="21"/>
          <w:highlight w:val="none"/>
          <w:lang w:val="en-US" w:eastAsia="zh-CN"/>
        </w:rPr>
        <w:t>养护</w:t>
      </w:r>
      <w:r>
        <w:rPr>
          <w:rFonts w:hint="eastAsia" w:ascii="宋体" w:hAnsi="宋体"/>
          <w:color w:val="auto"/>
          <w:szCs w:val="21"/>
          <w:highlight w:val="none"/>
          <w:lang w:eastAsia="zh-CN"/>
        </w:rPr>
        <w:t>单位</w:t>
      </w:r>
      <w:r>
        <w:rPr>
          <w:rFonts w:hint="eastAsia" w:ascii="宋体" w:hAnsi="宋体"/>
          <w:color w:val="auto"/>
          <w:szCs w:val="21"/>
          <w:highlight w:val="none"/>
        </w:rPr>
        <w:t>还应承担全部赔偿责任，赔偿范围包括但不限于直接损失、间接损失、律师费、诉讼费等费用。</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.2同一条河道年度内连续2次或者累计3次月度考核不合格的</w:t>
      </w:r>
      <w:r>
        <w:rPr>
          <w:rFonts w:hint="eastAsia" w:ascii="宋体" w:hAnsi="宋体"/>
          <w:color w:val="auto"/>
          <w:szCs w:val="21"/>
          <w:highlight w:val="none"/>
          <w:lang w:val="en-US" w:eastAsia="zh-CN"/>
        </w:rPr>
        <w:t>养护</w:t>
      </w:r>
      <w:r>
        <w:rPr>
          <w:rFonts w:hint="eastAsia" w:ascii="宋体" w:hAnsi="宋体"/>
          <w:color w:val="auto"/>
          <w:szCs w:val="21"/>
          <w:highlight w:val="none"/>
        </w:rPr>
        <w:t>单位，除执行正常违约责任外，另要求</w:t>
      </w:r>
      <w:r>
        <w:rPr>
          <w:rFonts w:hint="eastAsia" w:ascii="宋体" w:hAnsi="宋体"/>
          <w:color w:val="auto"/>
          <w:szCs w:val="21"/>
          <w:highlight w:val="none"/>
          <w:lang w:val="en-US" w:eastAsia="zh-CN"/>
        </w:rPr>
        <w:t>养护</w:t>
      </w:r>
      <w:r>
        <w:rPr>
          <w:rFonts w:hint="eastAsia" w:ascii="宋体" w:hAnsi="宋体"/>
          <w:color w:val="auto"/>
          <w:szCs w:val="21"/>
          <w:highlight w:val="none"/>
          <w:lang w:eastAsia="zh-CN"/>
        </w:rPr>
        <w:t>单位</w:t>
      </w:r>
      <w:r>
        <w:rPr>
          <w:rFonts w:hint="eastAsia" w:ascii="宋体" w:hAnsi="宋体"/>
          <w:color w:val="auto"/>
          <w:szCs w:val="21"/>
          <w:highlight w:val="none"/>
        </w:rPr>
        <w:t>承担该条河道年度合同款的20%作为违约金，同时要求</w:t>
      </w:r>
      <w:r>
        <w:rPr>
          <w:rFonts w:hint="eastAsia" w:ascii="宋体" w:hAnsi="宋体"/>
          <w:color w:val="auto"/>
          <w:szCs w:val="21"/>
          <w:highlight w:val="none"/>
          <w:lang w:val="en-US" w:eastAsia="zh-CN"/>
        </w:rPr>
        <w:t>养护</w:t>
      </w:r>
      <w:r>
        <w:rPr>
          <w:rFonts w:hint="eastAsia" w:ascii="宋体" w:hAnsi="宋体"/>
          <w:color w:val="auto"/>
          <w:szCs w:val="21"/>
          <w:highlight w:val="none"/>
          <w:lang w:eastAsia="zh-CN"/>
        </w:rPr>
        <w:t>单位</w:t>
      </w:r>
      <w:r>
        <w:rPr>
          <w:rFonts w:hint="eastAsia" w:ascii="宋体" w:hAnsi="宋体"/>
          <w:color w:val="auto"/>
          <w:szCs w:val="21"/>
          <w:highlight w:val="none"/>
        </w:rPr>
        <w:t>提交书面整改措施并及时落实。如未及时提交书面整改措施或未及时有效落实的，</w:t>
      </w:r>
      <w:r>
        <w:rPr>
          <w:rFonts w:hint="eastAsia" w:ascii="宋体" w:hAnsi="宋体"/>
          <w:color w:val="auto"/>
          <w:szCs w:val="21"/>
          <w:highlight w:val="none"/>
          <w:lang w:val="en-US" w:eastAsia="zh-CN"/>
        </w:rPr>
        <w:t>采购单位</w:t>
      </w:r>
      <w:r>
        <w:rPr>
          <w:rFonts w:hint="eastAsia" w:ascii="宋体" w:hAnsi="宋体"/>
          <w:color w:val="auto"/>
          <w:szCs w:val="21"/>
          <w:highlight w:val="none"/>
        </w:rPr>
        <w:t>有权单方面提前解除本合同，并扣除全部履约保证金，给</w:t>
      </w:r>
      <w:r>
        <w:rPr>
          <w:rFonts w:hint="eastAsia" w:ascii="宋体" w:hAnsi="宋体"/>
          <w:color w:val="auto"/>
          <w:szCs w:val="21"/>
          <w:highlight w:val="none"/>
          <w:lang w:val="en-US" w:eastAsia="zh-CN"/>
        </w:rPr>
        <w:t>采购单位</w:t>
      </w:r>
      <w:r>
        <w:rPr>
          <w:rFonts w:hint="eastAsia" w:ascii="宋体" w:hAnsi="宋体"/>
          <w:color w:val="auto"/>
          <w:szCs w:val="21"/>
          <w:highlight w:val="none"/>
        </w:rPr>
        <w:t>额外造成损失的，</w:t>
      </w:r>
      <w:r>
        <w:rPr>
          <w:rFonts w:hint="eastAsia" w:ascii="宋体" w:hAnsi="宋体"/>
          <w:color w:val="auto"/>
          <w:szCs w:val="21"/>
          <w:highlight w:val="none"/>
          <w:lang w:val="en-US" w:eastAsia="zh-CN"/>
        </w:rPr>
        <w:t>养护</w:t>
      </w:r>
      <w:r>
        <w:rPr>
          <w:rFonts w:hint="eastAsia" w:ascii="宋体" w:hAnsi="宋体"/>
          <w:color w:val="auto"/>
          <w:szCs w:val="21"/>
          <w:highlight w:val="none"/>
          <w:lang w:eastAsia="zh-CN"/>
        </w:rPr>
        <w:t>单位</w:t>
      </w:r>
      <w:r>
        <w:rPr>
          <w:rFonts w:hint="eastAsia" w:ascii="宋体" w:hAnsi="宋体"/>
          <w:color w:val="auto"/>
          <w:szCs w:val="21"/>
          <w:highlight w:val="none"/>
        </w:rPr>
        <w:t>还应承担全部赔偿责任，赔偿范围包括但不限于直接损失、间接损失、律师费、诉讼费等费用。</w:t>
      </w:r>
    </w:p>
    <w:p>
      <w:pPr>
        <w:snapToGrid w:val="0"/>
        <w:spacing w:line="360" w:lineRule="auto"/>
        <w:ind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lang w:val="en-US" w:eastAsia="zh-CN"/>
        </w:rPr>
        <w:t>5.3</w:t>
      </w:r>
      <w:r>
        <w:rPr>
          <w:rFonts w:hint="eastAsia" w:ascii="宋体" w:hAnsi="宋体" w:cs="Times New Roman"/>
          <w:color w:val="auto"/>
          <w:szCs w:val="21"/>
          <w:highlight w:val="none"/>
        </w:rPr>
        <w:t>同一条河道年度内连续</w:t>
      </w:r>
      <w:r>
        <w:rPr>
          <w:rFonts w:hint="eastAsia" w:ascii="宋体" w:hAnsi="宋体" w:cs="Times New Roman"/>
          <w:color w:val="auto"/>
          <w:szCs w:val="21"/>
          <w:highlight w:val="none"/>
          <w:lang w:val="en-US" w:eastAsia="zh-CN"/>
        </w:rPr>
        <w:t>3</w:t>
      </w:r>
      <w:r>
        <w:rPr>
          <w:rFonts w:hint="eastAsia" w:ascii="宋体" w:hAnsi="宋体" w:cs="Times New Roman"/>
          <w:color w:val="auto"/>
          <w:szCs w:val="21"/>
          <w:highlight w:val="none"/>
        </w:rPr>
        <w:t>次或者累计</w:t>
      </w:r>
      <w:r>
        <w:rPr>
          <w:rFonts w:hint="eastAsia" w:ascii="宋体" w:hAnsi="宋体" w:cs="Times New Roman"/>
          <w:color w:val="auto"/>
          <w:szCs w:val="21"/>
          <w:highlight w:val="none"/>
          <w:lang w:val="en-US" w:eastAsia="zh-CN"/>
        </w:rPr>
        <w:t>4</w:t>
      </w:r>
      <w:r>
        <w:rPr>
          <w:rFonts w:hint="eastAsia" w:ascii="宋体" w:hAnsi="宋体" w:cs="Times New Roman"/>
          <w:color w:val="auto"/>
          <w:szCs w:val="21"/>
          <w:highlight w:val="none"/>
        </w:rPr>
        <w:t>次月度考核不合格的</w:t>
      </w:r>
      <w:r>
        <w:rPr>
          <w:rFonts w:hint="eastAsia" w:ascii="宋体" w:hAnsi="宋体" w:cs="Times New Roman"/>
          <w:color w:val="auto"/>
          <w:szCs w:val="21"/>
          <w:highlight w:val="none"/>
          <w:lang w:val="en-US" w:eastAsia="zh-CN"/>
        </w:rPr>
        <w:t>养护</w:t>
      </w:r>
      <w:r>
        <w:rPr>
          <w:rFonts w:hint="eastAsia" w:ascii="宋体" w:hAnsi="宋体" w:cs="Times New Roman"/>
          <w:color w:val="auto"/>
          <w:szCs w:val="21"/>
          <w:highlight w:val="none"/>
        </w:rPr>
        <w:t>单位，除执行正常违约责任外，另要求</w:t>
      </w:r>
      <w:r>
        <w:rPr>
          <w:rFonts w:hint="eastAsia" w:ascii="宋体" w:hAnsi="宋体" w:cs="Times New Roman"/>
          <w:color w:val="auto"/>
          <w:szCs w:val="21"/>
          <w:highlight w:val="none"/>
          <w:lang w:val="en-US" w:eastAsia="zh-CN"/>
        </w:rPr>
        <w:t>养护</w:t>
      </w:r>
      <w:r>
        <w:rPr>
          <w:rFonts w:hint="eastAsia" w:ascii="宋体" w:hAnsi="宋体" w:cs="Times New Roman"/>
          <w:color w:val="auto"/>
          <w:szCs w:val="21"/>
          <w:highlight w:val="none"/>
          <w:lang w:eastAsia="zh-CN"/>
        </w:rPr>
        <w:t>单位</w:t>
      </w:r>
      <w:r>
        <w:rPr>
          <w:rFonts w:hint="eastAsia" w:ascii="宋体" w:hAnsi="宋体" w:cs="Times New Roman"/>
          <w:color w:val="auto"/>
          <w:szCs w:val="21"/>
          <w:highlight w:val="none"/>
        </w:rPr>
        <w:t>承担该条河道年度合同款的</w:t>
      </w:r>
      <w:r>
        <w:rPr>
          <w:rFonts w:hint="eastAsia" w:ascii="宋体" w:hAnsi="宋体" w:cs="Times New Roman"/>
          <w:color w:val="auto"/>
          <w:szCs w:val="21"/>
          <w:highlight w:val="none"/>
          <w:lang w:val="en-US" w:eastAsia="zh-CN"/>
        </w:rPr>
        <w:t>40</w:t>
      </w:r>
      <w:r>
        <w:rPr>
          <w:rFonts w:hint="eastAsia" w:ascii="宋体" w:hAnsi="宋体" w:cs="Times New Roman"/>
          <w:color w:val="auto"/>
          <w:szCs w:val="21"/>
          <w:highlight w:val="none"/>
        </w:rPr>
        <w:t>%作为违约金，</w:t>
      </w:r>
      <w:r>
        <w:rPr>
          <w:rFonts w:hint="eastAsia" w:ascii="宋体" w:hAnsi="宋体"/>
          <w:color w:val="auto"/>
          <w:szCs w:val="21"/>
          <w:highlight w:val="none"/>
        </w:rPr>
        <w:t>同时</w:t>
      </w:r>
      <w:r>
        <w:rPr>
          <w:rFonts w:hint="eastAsia" w:ascii="宋体" w:hAnsi="宋体"/>
          <w:color w:val="auto"/>
          <w:szCs w:val="21"/>
          <w:highlight w:val="none"/>
          <w:lang w:val="en-US" w:eastAsia="zh-CN"/>
        </w:rPr>
        <w:t>采购单位</w:t>
      </w:r>
      <w:r>
        <w:rPr>
          <w:rFonts w:hint="eastAsia" w:ascii="宋体" w:hAnsi="宋体"/>
          <w:color w:val="auto"/>
          <w:szCs w:val="21"/>
          <w:highlight w:val="none"/>
        </w:rPr>
        <w:t>有权无条件提前解除合同，</w:t>
      </w:r>
      <w:r>
        <w:rPr>
          <w:rFonts w:hint="eastAsia" w:ascii="宋体" w:hAnsi="宋体"/>
          <w:color w:val="auto"/>
          <w:szCs w:val="21"/>
          <w:highlight w:val="none"/>
          <w:lang w:eastAsia="zh-CN"/>
        </w:rPr>
        <w:t>养护单位</w:t>
      </w:r>
      <w:r>
        <w:rPr>
          <w:rFonts w:hint="eastAsia" w:ascii="宋体" w:hAnsi="宋体"/>
          <w:color w:val="auto"/>
          <w:szCs w:val="21"/>
          <w:highlight w:val="none"/>
        </w:rPr>
        <w:t>提交的全额履约保证金作为违约金，不予退还，给</w:t>
      </w:r>
      <w:r>
        <w:rPr>
          <w:rFonts w:hint="eastAsia" w:ascii="宋体" w:hAnsi="宋体"/>
          <w:color w:val="auto"/>
          <w:szCs w:val="21"/>
          <w:highlight w:val="none"/>
          <w:lang w:val="en-US" w:eastAsia="zh-CN"/>
        </w:rPr>
        <w:t>采购单位</w:t>
      </w:r>
      <w:r>
        <w:rPr>
          <w:rFonts w:hint="eastAsia" w:ascii="宋体" w:hAnsi="宋体"/>
          <w:color w:val="auto"/>
          <w:szCs w:val="21"/>
          <w:highlight w:val="none"/>
        </w:rPr>
        <w:t>额外造成损失的，</w:t>
      </w:r>
      <w:r>
        <w:rPr>
          <w:rFonts w:hint="eastAsia" w:ascii="宋体" w:hAnsi="宋体"/>
          <w:color w:val="auto"/>
          <w:szCs w:val="21"/>
          <w:highlight w:val="none"/>
          <w:lang w:eastAsia="zh-CN"/>
        </w:rPr>
        <w:t>养护单位</w:t>
      </w:r>
      <w:r>
        <w:rPr>
          <w:rFonts w:hint="eastAsia" w:ascii="宋体" w:hAnsi="宋体"/>
          <w:color w:val="auto"/>
          <w:szCs w:val="21"/>
          <w:highlight w:val="none"/>
        </w:rPr>
        <w:t>还应承担全部赔偿责任，赔偿范围包括但不限于直接损失、间接损失、律师费、诉讼费等费用。</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同一条河道年度内连续</w:t>
      </w:r>
      <w:r>
        <w:rPr>
          <w:rFonts w:hint="eastAsia" w:ascii="宋体" w:hAnsi="宋体"/>
          <w:color w:val="auto"/>
          <w:szCs w:val="21"/>
          <w:highlight w:val="none"/>
          <w:lang w:val="en-US" w:eastAsia="zh-CN"/>
        </w:rPr>
        <w:t>4</w:t>
      </w:r>
      <w:r>
        <w:rPr>
          <w:rFonts w:hint="eastAsia" w:ascii="宋体" w:hAnsi="宋体"/>
          <w:color w:val="auto"/>
          <w:szCs w:val="21"/>
          <w:highlight w:val="none"/>
        </w:rPr>
        <w:t>次或者累计5次月度考核不合格的，除执行正常违约责任外，另</w:t>
      </w:r>
      <w:r>
        <w:rPr>
          <w:rFonts w:hint="eastAsia" w:ascii="宋体" w:hAnsi="宋体"/>
          <w:color w:val="auto"/>
          <w:szCs w:val="21"/>
          <w:highlight w:val="none"/>
          <w:lang w:val="en-US" w:eastAsia="zh-CN"/>
        </w:rPr>
        <w:t>要求养护</w:t>
      </w:r>
      <w:r>
        <w:rPr>
          <w:rFonts w:hint="eastAsia" w:ascii="宋体" w:hAnsi="宋体"/>
          <w:color w:val="auto"/>
          <w:szCs w:val="21"/>
          <w:highlight w:val="none"/>
          <w:lang w:eastAsia="zh-CN"/>
        </w:rPr>
        <w:t>单位</w:t>
      </w:r>
      <w:r>
        <w:rPr>
          <w:rFonts w:hint="eastAsia" w:ascii="宋体" w:hAnsi="宋体"/>
          <w:color w:val="auto"/>
          <w:szCs w:val="21"/>
          <w:highlight w:val="none"/>
        </w:rPr>
        <w:t>承担该标段年度合同款的20%作为违约金；同时</w:t>
      </w:r>
      <w:r>
        <w:rPr>
          <w:rFonts w:hint="eastAsia" w:ascii="宋体" w:hAnsi="宋体"/>
          <w:color w:val="auto"/>
          <w:szCs w:val="21"/>
          <w:highlight w:val="none"/>
          <w:lang w:val="en-US" w:eastAsia="zh-CN"/>
        </w:rPr>
        <w:t>采购单位</w:t>
      </w:r>
      <w:r>
        <w:rPr>
          <w:rFonts w:hint="eastAsia" w:ascii="宋体" w:hAnsi="宋体"/>
          <w:color w:val="auto"/>
          <w:szCs w:val="21"/>
          <w:highlight w:val="none"/>
        </w:rPr>
        <w:t>有权无条件提前解除合同，</w:t>
      </w:r>
      <w:r>
        <w:rPr>
          <w:rFonts w:hint="eastAsia" w:ascii="宋体" w:hAnsi="宋体"/>
          <w:color w:val="auto"/>
          <w:szCs w:val="21"/>
          <w:highlight w:val="none"/>
          <w:lang w:eastAsia="zh-CN"/>
        </w:rPr>
        <w:t>养护单位</w:t>
      </w:r>
      <w:r>
        <w:rPr>
          <w:rFonts w:hint="eastAsia" w:ascii="宋体" w:hAnsi="宋体"/>
          <w:color w:val="auto"/>
          <w:szCs w:val="21"/>
          <w:highlight w:val="none"/>
        </w:rPr>
        <w:t>提交的全额履约保证金作为违约金，不予退还，给</w:t>
      </w:r>
      <w:r>
        <w:rPr>
          <w:rFonts w:hint="eastAsia" w:ascii="宋体" w:hAnsi="宋体"/>
          <w:color w:val="auto"/>
          <w:szCs w:val="21"/>
          <w:highlight w:val="none"/>
          <w:lang w:val="en-US" w:eastAsia="zh-CN"/>
        </w:rPr>
        <w:t>采购单位</w:t>
      </w:r>
      <w:r>
        <w:rPr>
          <w:rFonts w:hint="eastAsia" w:ascii="宋体" w:hAnsi="宋体"/>
          <w:color w:val="auto"/>
          <w:szCs w:val="21"/>
          <w:highlight w:val="none"/>
        </w:rPr>
        <w:t>额外造成损失的，</w:t>
      </w:r>
      <w:r>
        <w:rPr>
          <w:rFonts w:hint="eastAsia" w:ascii="宋体" w:hAnsi="宋体"/>
          <w:color w:val="auto"/>
          <w:szCs w:val="21"/>
          <w:highlight w:val="none"/>
          <w:lang w:eastAsia="zh-CN"/>
        </w:rPr>
        <w:t>养护单位</w:t>
      </w:r>
      <w:r>
        <w:rPr>
          <w:rFonts w:hint="eastAsia" w:ascii="宋体" w:hAnsi="宋体"/>
          <w:color w:val="auto"/>
          <w:szCs w:val="21"/>
          <w:highlight w:val="none"/>
        </w:rPr>
        <w:t>还应承担全部赔偿责任，赔偿范围包括但不限于直接损失、间接损失、律师费、诉讼费等费用。</w:t>
      </w:r>
    </w:p>
    <w:p>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养护河道出现问题，</w:t>
      </w:r>
      <w:r>
        <w:rPr>
          <w:rFonts w:hint="eastAsia" w:ascii="宋体" w:hAnsi="宋体"/>
          <w:color w:val="auto"/>
          <w:szCs w:val="21"/>
          <w:highlight w:val="none"/>
          <w:lang w:eastAsia="zh-CN"/>
        </w:rPr>
        <w:t>养护单位</w:t>
      </w:r>
      <w:r>
        <w:rPr>
          <w:rFonts w:hint="eastAsia" w:ascii="宋体" w:hAnsi="宋体"/>
          <w:color w:val="auto"/>
          <w:szCs w:val="21"/>
          <w:highlight w:val="none"/>
        </w:rPr>
        <w:t>未能在</w:t>
      </w:r>
      <w:r>
        <w:rPr>
          <w:rFonts w:hint="eastAsia" w:ascii="宋体" w:hAnsi="宋体"/>
          <w:color w:val="auto"/>
          <w:szCs w:val="21"/>
          <w:highlight w:val="none"/>
          <w:lang w:eastAsia="zh-CN"/>
        </w:rPr>
        <w:t>投标单位</w:t>
      </w:r>
      <w:r>
        <w:rPr>
          <w:rFonts w:hint="eastAsia" w:ascii="宋体" w:hAnsi="宋体"/>
          <w:color w:val="auto"/>
          <w:szCs w:val="21"/>
          <w:highlight w:val="none"/>
        </w:rPr>
        <w:t>要求的时间内进行有效整改的，</w:t>
      </w:r>
      <w:r>
        <w:rPr>
          <w:rFonts w:hint="eastAsia" w:ascii="宋体" w:hAnsi="宋体"/>
          <w:color w:val="auto"/>
          <w:szCs w:val="21"/>
          <w:highlight w:val="none"/>
          <w:lang w:val="en-US" w:eastAsia="zh-CN"/>
        </w:rPr>
        <w:t>采购单位</w:t>
      </w:r>
      <w:r>
        <w:rPr>
          <w:rFonts w:hint="eastAsia" w:ascii="宋体" w:hAnsi="宋体"/>
          <w:color w:val="auto"/>
          <w:szCs w:val="21"/>
          <w:highlight w:val="none"/>
        </w:rPr>
        <w:t>有权委托其他中标单位进行整改，由此产生的费用从</w:t>
      </w:r>
      <w:r>
        <w:rPr>
          <w:rFonts w:hint="eastAsia" w:ascii="宋体" w:hAnsi="宋体"/>
          <w:color w:val="auto"/>
          <w:szCs w:val="21"/>
          <w:highlight w:val="none"/>
          <w:lang w:eastAsia="zh-CN"/>
        </w:rPr>
        <w:t>养护单位</w:t>
      </w:r>
      <w:r>
        <w:rPr>
          <w:rFonts w:hint="eastAsia" w:ascii="宋体" w:hAnsi="宋体"/>
          <w:color w:val="auto"/>
          <w:szCs w:val="21"/>
          <w:highlight w:val="none"/>
        </w:rPr>
        <w:t>养护经费中扣除。</w:t>
      </w:r>
    </w:p>
    <w:p>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在合同履行期间，若发现养护单位存在偷电、私接电或类似违法行为造成不良影响的，视情节轻重</w:t>
      </w:r>
      <w:r>
        <w:rPr>
          <w:rFonts w:hint="eastAsia" w:ascii="宋体" w:hAnsi="宋体"/>
          <w:color w:val="auto"/>
          <w:szCs w:val="21"/>
          <w:highlight w:val="none"/>
          <w:lang w:eastAsia="zh-CN"/>
        </w:rPr>
        <w:t>采购单位</w:t>
      </w:r>
      <w:r>
        <w:rPr>
          <w:rFonts w:hint="eastAsia" w:ascii="宋体" w:hAnsi="宋体"/>
          <w:color w:val="auto"/>
          <w:szCs w:val="21"/>
          <w:highlight w:val="none"/>
        </w:rPr>
        <w:t>有权给予扣款或单方解除合同，解除合同的将扣除全部履约保证金。给</w:t>
      </w:r>
      <w:r>
        <w:rPr>
          <w:rFonts w:hint="eastAsia" w:ascii="宋体" w:hAnsi="宋体"/>
          <w:color w:val="auto"/>
          <w:szCs w:val="21"/>
          <w:highlight w:val="none"/>
          <w:lang w:val="en-US" w:eastAsia="zh-CN"/>
        </w:rPr>
        <w:t>采购单位</w:t>
      </w:r>
      <w:r>
        <w:rPr>
          <w:rFonts w:hint="eastAsia" w:ascii="宋体" w:hAnsi="宋体"/>
          <w:color w:val="auto"/>
          <w:szCs w:val="21"/>
          <w:highlight w:val="none"/>
        </w:rPr>
        <w:t>额外造成损失的，养护单位还应承担全部赔偿责任，赔偿范围包括但不限于直接损失、间接损失、律师费、诉讼费等费用。</w:t>
      </w:r>
    </w:p>
    <w:p>
      <w:pPr>
        <w:pStyle w:val="21"/>
        <w:ind w:left="0" w:leftChars="0" w:firstLine="404" w:firstLineChars="200"/>
        <w:rPr>
          <w:rFonts w:hint="default" w:eastAsia="宋体"/>
          <w:color w:val="auto"/>
          <w:highlight w:val="none"/>
          <w:lang w:val="en-US" w:eastAsia="zh-CN"/>
        </w:rPr>
      </w:pPr>
      <w:r>
        <w:rPr>
          <w:rFonts w:hint="eastAsia" w:hAnsi="宋体"/>
          <w:color w:val="auto"/>
          <w:szCs w:val="21"/>
          <w:highlight w:val="none"/>
          <w:lang w:val="en-US" w:eastAsia="zh-CN"/>
        </w:rPr>
        <w:t>5.7养护单位拒不执行采购单位的养护任务要求，采购单位有权解除合同，并扣除全部履约保证金。</w:t>
      </w:r>
    </w:p>
    <w:p>
      <w:pPr>
        <w:spacing w:line="360" w:lineRule="auto"/>
        <w:ind w:firstLine="420" w:firstLineChars="200"/>
        <w:rPr>
          <w:b/>
          <w:color w:val="auto"/>
          <w:highlight w:val="none"/>
        </w:rPr>
      </w:pP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8</w:t>
      </w:r>
      <w:r>
        <w:rPr>
          <w:rFonts w:hint="eastAsia" w:ascii="宋体" w:hAnsi="宋体"/>
          <w:color w:val="auto"/>
          <w:szCs w:val="21"/>
          <w:highlight w:val="none"/>
        </w:rPr>
        <w:t>出现转包</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分包</w:t>
      </w:r>
      <w:r>
        <w:rPr>
          <w:rFonts w:hint="eastAsia" w:ascii="宋体" w:hAnsi="宋体"/>
          <w:color w:val="auto"/>
          <w:szCs w:val="21"/>
          <w:highlight w:val="none"/>
        </w:rPr>
        <w:t>或挂靠现象的，</w:t>
      </w:r>
      <w:r>
        <w:rPr>
          <w:rFonts w:hint="eastAsia" w:ascii="宋体" w:hAnsi="宋体"/>
          <w:color w:val="auto"/>
          <w:szCs w:val="21"/>
          <w:highlight w:val="none"/>
          <w:lang w:val="en-US" w:eastAsia="zh-CN"/>
        </w:rPr>
        <w:t>采购单位</w:t>
      </w:r>
      <w:r>
        <w:rPr>
          <w:rFonts w:hint="eastAsia" w:ascii="宋体" w:hAnsi="宋体"/>
          <w:color w:val="auto"/>
          <w:szCs w:val="21"/>
          <w:highlight w:val="none"/>
        </w:rPr>
        <w:t>有权单方解除合同、扣除全部履约保证金，给</w:t>
      </w:r>
      <w:r>
        <w:rPr>
          <w:rFonts w:hint="eastAsia" w:ascii="宋体" w:hAnsi="宋体"/>
          <w:color w:val="auto"/>
          <w:szCs w:val="21"/>
          <w:highlight w:val="none"/>
          <w:lang w:val="en-US" w:eastAsia="zh-CN"/>
        </w:rPr>
        <w:t>采购单位</w:t>
      </w:r>
      <w:r>
        <w:rPr>
          <w:rFonts w:hint="eastAsia" w:ascii="宋体" w:hAnsi="宋体"/>
          <w:color w:val="auto"/>
          <w:szCs w:val="21"/>
          <w:highlight w:val="none"/>
        </w:rPr>
        <w:t>额外造成损失的，</w:t>
      </w:r>
      <w:r>
        <w:rPr>
          <w:rFonts w:hint="eastAsia" w:ascii="宋体" w:hAnsi="宋体"/>
          <w:color w:val="auto"/>
          <w:szCs w:val="21"/>
          <w:highlight w:val="none"/>
          <w:lang w:val="en-US" w:eastAsia="zh-CN"/>
        </w:rPr>
        <w:t>养护单位</w:t>
      </w:r>
      <w:r>
        <w:rPr>
          <w:rFonts w:hint="eastAsia" w:ascii="宋体" w:hAnsi="宋体"/>
          <w:color w:val="auto"/>
          <w:szCs w:val="21"/>
          <w:highlight w:val="none"/>
        </w:rPr>
        <w:t>还应承担全部赔偿责任，赔偿范围包括但不限于直接损失、间接损失、律师费、诉讼费等费用。</w:t>
      </w:r>
    </w:p>
    <w:p>
      <w:pPr>
        <w:spacing w:line="360" w:lineRule="auto"/>
        <w:ind w:firstLine="422" w:firstLineChars="200"/>
        <w:rPr>
          <w:rFonts w:hint="eastAsia" w:ascii="宋体" w:hAnsi="宋体"/>
          <w:b/>
          <w:bCs/>
          <w:color w:val="auto"/>
          <w:szCs w:val="21"/>
          <w:highlight w:val="none"/>
          <w:lang w:val="en-US" w:eastAsia="zh-CN"/>
        </w:rPr>
      </w:pPr>
      <w:r>
        <w:rPr>
          <w:rFonts w:hint="eastAsia" w:ascii="宋体" w:hAnsi="宋体"/>
          <w:b/>
          <w:bCs/>
          <w:color w:val="auto"/>
          <w:szCs w:val="21"/>
          <w:highlight w:val="none"/>
        </w:rPr>
        <w:t>注：</w:t>
      </w:r>
      <w:r>
        <w:rPr>
          <w:rFonts w:hint="eastAsia" w:ascii="宋体" w:hAnsi="宋体"/>
          <w:b/>
          <w:bCs/>
          <w:color w:val="auto"/>
          <w:szCs w:val="21"/>
          <w:highlight w:val="none"/>
          <w:lang w:val="en-US" w:eastAsia="zh-CN"/>
        </w:rPr>
        <w:t>1.条款5.2、5.3、5.4不叠加扣款，且年度考核条款累计扣款不超过该标段年度合同款的20%。</w:t>
      </w:r>
    </w:p>
    <w:p>
      <w:pPr>
        <w:spacing w:line="360" w:lineRule="auto"/>
        <w:ind w:firstLine="422" w:firstLineChars="200"/>
        <w:rPr>
          <w:rFonts w:hint="eastAsia" w:ascii="宋体" w:hAnsi="宋体"/>
          <w:color w:val="auto"/>
          <w:szCs w:val="21"/>
          <w:highlight w:val="none"/>
        </w:rPr>
      </w:pPr>
      <w:r>
        <w:rPr>
          <w:rFonts w:hint="eastAsia" w:ascii="宋体" w:hAnsi="宋体"/>
          <w:b/>
          <w:bCs/>
          <w:color w:val="auto"/>
          <w:szCs w:val="21"/>
          <w:highlight w:val="none"/>
          <w:lang w:val="en-US" w:eastAsia="zh-CN"/>
        </w:rPr>
        <w:t>2.</w:t>
      </w:r>
      <w:r>
        <w:rPr>
          <w:rFonts w:hint="eastAsia" w:ascii="宋体" w:hAnsi="宋体"/>
          <w:b/>
          <w:bCs/>
          <w:color w:val="auto"/>
          <w:szCs w:val="21"/>
          <w:highlight w:val="none"/>
          <w:lang w:eastAsia="zh-CN"/>
        </w:rPr>
        <w:t>投标人</w:t>
      </w:r>
      <w:r>
        <w:rPr>
          <w:rFonts w:hint="eastAsia" w:ascii="宋体" w:hAnsi="宋体"/>
          <w:b/>
          <w:bCs/>
          <w:color w:val="auto"/>
          <w:szCs w:val="21"/>
          <w:highlight w:val="none"/>
        </w:rPr>
        <w:t>必须在投标文件中对以上项目要求及目标中的各条进行逐项响应和说明（格式见第六章投标文件格式 技术条款响应表）</w:t>
      </w:r>
      <w:bookmarkStart w:id="4" w:name="_Toc3358"/>
      <w:bookmarkStart w:id="5" w:name="_Toc5215"/>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br w:type="page"/>
      </w:r>
    </w:p>
    <w:p>
      <w:pPr>
        <w:pStyle w:val="3"/>
        <w:numPr>
          <w:ilvl w:val="0"/>
          <w:numId w:val="0"/>
        </w:numPr>
        <w:jc w:val="center"/>
        <w:rPr>
          <w:rFonts w:hint="eastAsia"/>
          <w:color w:val="auto"/>
          <w:highlight w:val="none"/>
          <w:lang w:val="en-US" w:eastAsia="zh-CN"/>
        </w:rPr>
      </w:pPr>
      <w:r>
        <w:rPr>
          <w:rFonts w:hint="eastAsia"/>
          <w:color w:val="auto"/>
          <w:highlight w:val="none"/>
          <w:lang w:val="en-US" w:eastAsia="zh-CN"/>
        </w:rPr>
        <w:t>第三章  投标人须知</w:t>
      </w:r>
    </w:p>
    <w:p>
      <w:pPr>
        <w:jc w:val="center"/>
        <w:rPr>
          <w:color w:val="auto"/>
          <w:highlight w:val="none"/>
        </w:rPr>
      </w:pPr>
      <w:r>
        <w:rPr>
          <w:rFonts w:hint="eastAsia"/>
          <w:b/>
          <w:bCs/>
          <w:color w:val="auto"/>
          <w:sz w:val="28"/>
          <w:szCs w:val="28"/>
          <w:highlight w:val="none"/>
        </w:rPr>
        <w:t>前 附 表</w:t>
      </w:r>
    </w:p>
    <w:bookmarkEnd w:id="4"/>
    <w:bookmarkEnd w:id="5"/>
    <w:tbl>
      <w:tblPr>
        <w:tblStyle w:val="22"/>
        <w:tblW w:w="929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74"/>
        <w:gridCol w:w="84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highlight w:val="none"/>
              </w:rPr>
            </w:pPr>
            <w:r>
              <w:rPr>
                <w:rFonts w:hint="eastAsia"/>
                <w:b/>
                <w:bCs/>
                <w:color w:val="auto"/>
                <w:highlight w:val="none"/>
              </w:rPr>
              <w:t>序号</w:t>
            </w:r>
          </w:p>
        </w:tc>
        <w:tc>
          <w:tcPr>
            <w:tcW w:w="84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rPr>
            </w:pPr>
            <w:r>
              <w:rPr>
                <w:rFonts w:hint="eastAsia"/>
                <w:b/>
                <w:bCs/>
                <w:color w:val="auto"/>
                <w:highlight w:val="none"/>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5"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highlight w:val="none"/>
              </w:rPr>
            </w:pPr>
            <w:r>
              <w:rPr>
                <w:b/>
                <w:bCs/>
                <w:color w:val="auto"/>
                <w:highlight w:val="none"/>
              </w:rPr>
              <w:t>1</w:t>
            </w:r>
          </w:p>
        </w:tc>
        <w:tc>
          <w:tcPr>
            <w:tcW w:w="84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highlight w:val="none"/>
              </w:rPr>
            </w:pPr>
            <w:r>
              <w:rPr>
                <w:rFonts w:hint="eastAsia"/>
                <w:b/>
                <w:bCs/>
                <w:color w:val="auto"/>
                <w:highlight w:val="none"/>
              </w:rPr>
              <w:t>项目名称：</w:t>
            </w:r>
            <w:r>
              <w:rPr>
                <w:rFonts w:hint="eastAsia"/>
                <w:color w:val="auto"/>
                <w:highlight w:val="none"/>
              </w:rPr>
              <w:t>宁波市鄞州区城区内河水质日常养护项目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highlight w:val="none"/>
              </w:rPr>
            </w:pPr>
            <w:r>
              <w:rPr>
                <w:rFonts w:hint="eastAsia"/>
                <w:b/>
                <w:bCs/>
                <w:color w:val="auto"/>
                <w:highlight w:val="none"/>
                <w:lang w:eastAsia="zh-CN"/>
              </w:rPr>
              <w:t>*</w:t>
            </w:r>
            <w:r>
              <w:rPr>
                <w:b/>
                <w:bCs/>
                <w:color w:val="auto"/>
                <w:highlight w:val="none"/>
              </w:rPr>
              <w:t>2</w:t>
            </w:r>
          </w:p>
        </w:tc>
        <w:tc>
          <w:tcPr>
            <w:tcW w:w="84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b/>
                <w:bCs/>
                <w:color w:val="auto"/>
                <w:highlight w:val="none"/>
              </w:rPr>
              <w:t>服务</w:t>
            </w:r>
            <w:r>
              <w:rPr>
                <w:rFonts w:hint="eastAsia" w:ascii="宋体" w:hAnsi="宋体"/>
                <w:b/>
                <w:bCs/>
                <w:color w:val="auto"/>
                <w:szCs w:val="21"/>
                <w:highlight w:val="none"/>
              </w:rPr>
              <w:t>期限：</w:t>
            </w:r>
            <w:r>
              <w:rPr>
                <w:color w:val="auto"/>
                <w:szCs w:val="21"/>
                <w:highlight w:val="none"/>
              </w:rPr>
              <w:t>总期限</w:t>
            </w:r>
            <w:r>
              <w:rPr>
                <w:rFonts w:hint="eastAsia"/>
                <w:color w:val="auto"/>
                <w:szCs w:val="21"/>
                <w:highlight w:val="none"/>
                <w:lang w:eastAsia="zh-CN"/>
              </w:rPr>
              <w:t>合计三</w:t>
            </w:r>
            <w:r>
              <w:rPr>
                <w:rFonts w:hint="eastAsia"/>
                <w:color w:val="auto"/>
                <w:szCs w:val="21"/>
                <w:highlight w:val="none"/>
                <w:shd w:val="clear"/>
                <w:lang w:eastAsia="zh-CN"/>
              </w:rPr>
              <w:t>年</w:t>
            </w:r>
            <w:r>
              <w:rPr>
                <w:color w:val="auto"/>
                <w:szCs w:val="21"/>
                <w:highlight w:val="none"/>
                <w:shd w:val="clear"/>
              </w:rPr>
              <w:t>，合同一年一签，</w:t>
            </w:r>
            <w:r>
              <w:rPr>
                <w:rFonts w:hint="eastAsia"/>
                <w:color w:val="auto"/>
                <w:szCs w:val="21"/>
                <w:highlight w:val="none"/>
                <w:shd w:val="clear"/>
                <w:lang w:eastAsia="zh-CN"/>
              </w:rPr>
              <w:t>采购单位</w:t>
            </w:r>
            <w:r>
              <w:rPr>
                <w:color w:val="auto"/>
                <w:szCs w:val="21"/>
                <w:highlight w:val="none"/>
                <w:shd w:val="clear"/>
              </w:rPr>
              <w:t>根</w:t>
            </w:r>
            <w:r>
              <w:rPr>
                <w:color w:val="auto"/>
                <w:szCs w:val="21"/>
                <w:highlight w:val="none"/>
              </w:rPr>
              <w:t>据中标人在</w:t>
            </w:r>
            <w:r>
              <w:rPr>
                <w:rFonts w:hint="eastAsia"/>
                <w:color w:val="auto"/>
                <w:szCs w:val="21"/>
                <w:highlight w:val="none"/>
                <w:lang w:eastAsia="zh-CN"/>
              </w:rPr>
              <w:t>上一年度</w:t>
            </w:r>
            <w:r>
              <w:rPr>
                <w:color w:val="auto"/>
                <w:szCs w:val="21"/>
                <w:highlight w:val="none"/>
              </w:rPr>
              <w:t>合同履约情况</w:t>
            </w:r>
            <w:r>
              <w:rPr>
                <w:rFonts w:hint="eastAsia"/>
                <w:color w:val="auto"/>
                <w:szCs w:val="21"/>
                <w:highlight w:val="none"/>
              </w:rPr>
              <w:t>、</w:t>
            </w:r>
            <w:r>
              <w:rPr>
                <w:color w:val="auto"/>
                <w:szCs w:val="21"/>
                <w:highlight w:val="none"/>
              </w:rPr>
              <w:t>财政资金审批情况</w:t>
            </w:r>
            <w:r>
              <w:rPr>
                <w:rFonts w:hint="eastAsia"/>
                <w:color w:val="auto"/>
                <w:szCs w:val="21"/>
                <w:highlight w:val="none"/>
              </w:rPr>
              <w:t>及河道养护的必要性</w:t>
            </w:r>
            <w:r>
              <w:rPr>
                <w:color w:val="auto"/>
                <w:szCs w:val="21"/>
                <w:highlight w:val="none"/>
              </w:rPr>
              <w:t>决定</w:t>
            </w:r>
            <w:r>
              <w:rPr>
                <w:rFonts w:hint="eastAsia"/>
                <w:color w:val="auto"/>
                <w:szCs w:val="21"/>
                <w:highlight w:val="none"/>
                <w:lang w:eastAsia="zh-CN"/>
              </w:rPr>
              <w:t>是否续签、</w:t>
            </w:r>
            <w:r>
              <w:rPr>
                <w:rFonts w:hint="eastAsia" w:ascii="宋体" w:hAnsi="宋体" w:cs="宋体"/>
                <w:color w:val="auto"/>
                <w:highlight w:val="none"/>
                <w:lang w:eastAsia="zh-CN"/>
              </w:rPr>
              <w:t>增减养护河道（段）。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highlight w:val="none"/>
              </w:rPr>
            </w:pPr>
            <w:r>
              <w:rPr>
                <w:rFonts w:hint="eastAsia"/>
                <w:b/>
                <w:bCs/>
                <w:color w:val="auto"/>
                <w:highlight w:val="none"/>
                <w:lang w:eastAsia="zh-CN"/>
              </w:rPr>
              <w:t>*</w:t>
            </w:r>
            <w:r>
              <w:rPr>
                <w:b/>
                <w:bCs/>
                <w:color w:val="auto"/>
                <w:highlight w:val="none"/>
              </w:rPr>
              <w:t>3</w:t>
            </w:r>
          </w:p>
        </w:tc>
        <w:tc>
          <w:tcPr>
            <w:tcW w:w="84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b/>
                <w:bCs/>
                <w:color w:val="auto"/>
                <w:highlight w:val="none"/>
              </w:rPr>
            </w:pPr>
            <w:r>
              <w:rPr>
                <w:rFonts w:hint="eastAsia"/>
                <w:b/>
                <w:bCs/>
                <w:color w:val="auto"/>
                <w:highlight w:val="none"/>
              </w:rPr>
              <w:t>1、报价方式：本项目应以含税人民币报价。</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rPr>
            </w:pPr>
            <w:r>
              <w:rPr>
                <w:rFonts w:hint="eastAsia"/>
                <w:b/>
                <w:bCs/>
                <w:color w:val="auto"/>
                <w:highlight w:val="none"/>
              </w:rPr>
              <w:t>2、报价构成：本项目要求报出各标段年度投标价、三年投标总价及年度综合单价；各标段年度投标价=该标段对</w:t>
            </w:r>
            <w:r>
              <w:rPr>
                <w:rFonts w:hint="eastAsia"/>
                <w:b/>
                <w:bCs/>
                <w:color w:val="auto"/>
                <w:highlight w:val="none"/>
                <w:shd w:val="clear"/>
              </w:rPr>
              <w:t>应的</w:t>
            </w:r>
            <w:r>
              <w:rPr>
                <w:rFonts w:hint="eastAsia"/>
                <w:b/>
                <w:bCs/>
                <w:color w:val="auto"/>
                <w:highlight w:val="none"/>
                <w:shd w:val="clear"/>
                <w:lang w:val="en-US" w:eastAsia="zh-CN"/>
              </w:rPr>
              <w:t>日常养护</w:t>
            </w:r>
            <w:r>
              <w:rPr>
                <w:rFonts w:hint="eastAsia"/>
                <w:b/>
                <w:bCs/>
                <w:color w:val="auto"/>
                <w:highlight w:val="none"/>
                <w:shd w:val="clear"/>
              </w:rPr>
              <w:t>水域面积（m</w:t>
            </w:r>
            <w:r>
              <w:rPr>
                <w:rFonts w:hint="eastAsia"/>
                <w:b/>
                <w:bCs/>
                <w:color w:val="auto"/>
                <w:sz w:val="21"/>
                <w:szCs w:val="24"/>
                <w:highlight w:val="none"/>
                <w:shd w:val="clear"/>
                <w:vertAlign w:val="superscript"/>
              </w:rPr>
              <w:t>2</w:t>
            </w:r>
            <w:r>
              <w:rPr>
                <w:rFonts w:hint="eastAsia"/>
                <w:b/>
                <w:bCs/>
                <w:color w:val="auto"/>
                <w:highlight w:val="none"/>
                <w:shd w:val="clear"/>
              </w:rPr>
              <w:t>）</w:t>
            </w:r>
            <w:r>
              <w:rPr>
                <w:rFonts w:hint="eastAsia"/>
                <w:b/>
                <w:bCs/>
                <w:color w:val="auto"/>
                <w:highlight w:val="none"/>
              </w:rPr>
              <w:t>×该年度综合单价（元/m</w:t>
            </w:r>
            <w:r>
              <w:rPr>
                <w:rFonts w:hint="eastAsia"/>
                <w:b/>
                <w:bCs/>
                <w:color w:val="auto"/>
                <w:highlight w:val="none"/>
                <w:vertAlign w:val="superscript"/>
              </w:rPr>
              <w:t>2</w:t>
            </w:r>
            <w:r>
              <w:rPr>
                <w:rFonts w:hint="eastAsia"/>
                <w:b/>
                <w:bCs/>
                <w:color w:val="auto"/>
                <w:highlight w:val="none"/>
              </w:rPr>
              <w:t>/年），各标段三年投标总价=各标段年度投标价×3；其中各标段年度综合单价最高限价为：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rPr>
            </w:pPr>
            <w:r>
              <w:rPr>
                <w:rFonts w:hint="eastAsia"/>
                <w:b/>
                <w:bCs/>
                <w:color w:val="auto"/>
                <w:highlight w:val="none"/>
              </w:rPr>
              <w:t>标段一</w:t>
            </w:r>
            <w:r>
              <w:rPr>
                <w:rFonts w:hint="eastAsia"/>
                <w:b/>
                <w:bCs/>
                <w:color w:val="auto"/>
                <w:highlight w:val="none"/>
                <w:lang w:val="en-US" w:eastAsia="zh-CN"/>
              </w:rPr>
              <w:t>21.20</w:t>
            </w:r>
            <w:r>
              <w:rPr>
                <w:rFonts w:hint="eastAsia"/>
                <w:b/>
                <w:bCs/>
                <w:color w:val="auto"/>
                <w:highlight w:val="none"/>
              </w:rPr>
              <w:t>元/m</w:t>
            </w:r>
            <w:r>
              <w:rPr>
                <w:rFonts w:hint="eastAsia"/>
                <w:b/>
                <w:bCs/>
                <w:color w:val="auto"/>
                <w:sz w:val="21"/>
                <w:szCs w:val="24"/>
                <w:highlight w:val="none"/>
                <w:vertAlign w:val="superscript"/>
              </w:rPr>
              <w:t>2</w:t>
            </w:r>
            <w:r>
              <w:rPr>
                <w:rFonts w:hint="eastAsia"/>
                <w:b/>
                <w:bCs/>
                <w:color w:val="auto"/>
                <w:highlight w:val="none"/>
              </w:rPr>
              <w:t>/年，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rPr>
            </w:pPr>
            <w:r>
              <w:rPr>
                <w:rFonts w:hint="eastAsia"/>
                <w:b/>
                <w:bCs/>
                <w:color w:val="auto"/>
                <w:highlight w:val="none"/>
              </w:rPr>
              <w:t>标段二</w:t>
            </w:r>
            <w:r>
              <w:rPr>
                <w:rFonts w:hint="eastAsia"/>
                <w:b/>
                <w:bCs/>
                <w:color w:val="auto"/>
                <w:highlight w:val="none"/>
                <w:lang w:val="en-US" w:eastAsia="zh-CN"/>
              </w:rPr>
              <w:t>23.43</w:t>
            </w:r>
            <w:r>
              <w:rPr>
                <w:rFonts w:hint="eastAsia"/>
                <w:b/>
                <w:bCs/>
                <w:color w:val="auto"/>
                <w:highlight w:val="none"/>
              </w:rPr>
              <w:t>元/m</w:t>
            </w:r>
            <w:r>
              <w:rPr>
                <w:rFonts w:hint="eastAsia"/>
                <w:b/>
                <w:bCs/>
                <w:color w:val="auto"/>
                <w:sz w:val="21"/>
                <w:szCs w:val="24"/>
                <w:highlight w:val="none"/>
                <w:vertAlign w:val="superscript"/>
              </w:rPr>
              <w:t>2</w:t>
            </w:r>
            <w:r>
              <w:rPr>
                <w:rFonts w:hint="eastAsia"/>
                <w:b/>
                <w:bCs/>
                <w:color w:val="auto"/>
                <w:highlight w:val="none"/>
              </w:rPr>
              <w:t>/年，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rPr>
            </w:pPr>
            <w:r>
              <w:rPr>
                <w:rFonts w:hint="eastAsia"/>
                <w:b/>
                <w:bCs/>
                <w:color w:val="auto"/>
                <w:highlight w:val="none"/>
              </w:rPr>
              <w:t>标段三27.19元/m</w:t>
            </w:r>
            <w:r>
              <w:rPr>
                <w:rFonts w:hint="eastAsia"/>
                <w:b/>
                <w:bCs/>
                <w:color w:val="auto"/>
                <w:sz w:val="21"/>
                <w:szCs w:val="24"/>
                <w:highlight w:val="none"/>
                <w:vertAlign w:val="superscript"/>
              </w:rPr>
              <w:t>2</w:t>
            </w:r>
            <w:r>
              <w:rPr>
                <w:rFonts w:hint="eastAsia"/>
                <w:b/>
                <w:bCs/>
                <w:color w:val="auto"/>
                <w:highlight w:val="none"/>
              </w:rPr>
              <w:t>/年，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rPr>
            </w:pPr>
            <w:r>
              <w:rPr>
                <w:rFonts w:hint="eastAsia"/>
                <w:b/>
                <w:bCs/>
                <w:color w:val="auto"/>
                <w:highlight w:val="none"/>
              </w:rPr>
              <w:t>标段四23.03元/m</w:t>
            </w:r>
            <w:r>
              <w:rPr>
                <w:rFonts w:hint="eastAsia"/>
                <w:b/>
                <w:bCs/>
                <w:color w:val="auto"/>
                <w:sz w:val="21"/>
                <w:szCs w:val="24"/>
                <w:highlight w:val="none"/>
                <w:vertAlign w:val="superscript"/>
              </w:rPr>
              <w:t>2</w:t>
            </w:r>
            <w:r>
              <w:rPr>
                <w:rFonts w:hint="eastAsia"/>
                <w:b/>
                <w:bCs/>
                <w:color w:val="auto"/>
                <w:highlight w:val="none"/>
              </w:rPr>
              <w:t>/年，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rPr>
            </w:pPr>
            <w:r>
              <w:rPr>
                <w:rFonts w:hint="eastAsia"/>
                <w:b/>
                <w:bCs/>
                <w:color w:val="auto"/>
                <w:highlight w:val="none"/>
              </w:rPr>
              <w:t>标段五23.34元/m</w:t>
            </w:r>
            <w:r>
              <w:rPr>
                <w:rFonts w:hint="eastAsia"/>
                <w:b/>
                <w:bCs/>
                <w:color w:val="auto"/>
                <w:sz w:val="21"/>
                <w:szCs w:val="24"/>
                <w:highlight w:val="none"/>
                <w:vertAlign w:val="superscript"/>
              </w:rPr>
              <w:t>2</w:t>
            </w:r>
            <w:r>
              <w:rPr>
                <w:rFonts w:hint="eastAsia"/>
                <w:b/>
                <w:bCs/>
                <w:color w:val="auto"/>
                <w:highlight w:val="none"/>
              </w:rPr>
              <w:t>/年，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rPr>
            </w:pPr>
            <w:r>
              <w:rPr>
                <w:rFonts w:hint="eastAsia"/>
                <w:b/>
                <w:bCs/>
                <w:color w:val="auto"/>
                <w:highlight w:val="none"/>
              </w:rPr>
              <w:t>标段六22.59元/m</w:t>
            </w:r>
            <w:r>
              <w:rPr>
                <w:rFonts w:hint="eastAsia"/>
                <w:b/>
                <w:bCs/>
                <w:color w:val="auto"/>
                <w:sz w:val="21"/>
                <w:szCs w:val="24"/>
                <w:highlight w:val="none"/>
                <w:vertAlign w:val="superscript"/>
              </w:rPr>
              <w:t>2</w:t>
            </w:r>
            <w:r>
              <w:rPr>
                <w:rFonts w:hint="eastAsia"/>
                <w:b/>
                <w:bCs/>
                <w:color w:val="auto"/>
                <w:highlight w:val="none"/>
              </w:rPr>
              <w:t>/年，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rPr>
            </w:pPr>
            <w:r>
              <w:rPr>
                <w:rFonts w:hint="eastAsia"/>
                <w:b/>
                <w:bCs/>
                <w:color w:val="auto"/>
                <w:highlight w:val="none"/>
              </w:rPr>
              <w:t>标段七</w:t>
            </w:r>
            <w:r>
              <w:rPr>
                <w:rFonts w:hint="eastAsia"/>
                <w:b/>
                <w:bCs/>
                <w:color w:val="auto"/>
                <w:highlight w:val="none"/>
                <w:lang w:val="en-US" w:eastAsia="zh-CN"/>
              </w:rPr>
              <w:t>21.68</w:t>
            </w:r>
            <w:r>
              <w:rPr>
                <w:rFonts w:hint="eastAsia"/>
                <w:b/>
                <w:bCs/>
                <w:color w:val="auto"/>
                <w:highlight w:val="none"/>
              </w:rPr>
              <w:t>元/m</w:t>
            </w:r>
            <w:r>
              <w:rPr>
                <w:rFonts w:hint="eastAsia"/>
                <w:b/>
                <w:bCs/>
                <w:color w:val="auto"/>
                <w:sz w:val="21"/>
                <w:szCs w:val="24"/>
                <w:highlight w:val="none"/>
                <w:vertAlign w:val="superscript"/>
              </w:rPr>
              <w:t>2</w:t>
            </w:r>
            <w:r>
              <w:rPr>
                <w:rFonts w:hint="eastAsia"/>
                <w:b/>
                <w:bCs/>
                <w:color w:val="auto"/>
                <w:highlight w:val="none"/>
              </w:rPr>
              <w:t>/年，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rPr>
            </w:pPr>
            <w:r>
              <w:rPr>
                <w:rFonts w:hint="eastAsia"/>
                <w:b/>
                <w:bCs/>
                <w:color w:val="auto"/>
                <w:highlight w:val="none"/>
              </w:rPr>
              <w:t>标段八</w:t>
            </w:r>
            <w:r>
              <w:rPr>
                <w:rFonts w:hint="eastAsia"/>
                <w:b/>
                <w:bCs/>
                <w:color w:val="auto"/>
                <w:highlight w:val="none"/>
                <w:lang w:val="en-US" w:eastAsia="zh-CN"/>
              </w:rPr>
              <w:t>23.40</w:t>
            </w:r>
            <w:r>
              <w:rPr>
                <w:rFonts w:hint="eastAsia"/>
                <w:b/>
                <w:bCs/>
                <w:color w:val="auto"/>
                <w:highlight w:val="none"/>
              </w:rPr>
              <w:t>元/m</w:t>
            </w:r>
            <w:r>
              <w:rPr>
                <w:rFonts w:hint="eastAsia"/>
                <w:b/>
                <w:bCs/>
                <w:color w:val="auto"/>
                <w:sz w:val="21"/>
                <w:szCs w:val="24"/>
                <w:highlight w:val="none"/>
                <w:vertAlign w:val="superscript"/>
              </w:rPr>
              <w:t>2</w:t>
            </w:r>
            <w:r>
              <w:rPr>
                <w:rFonts w:hint="eastAsia"/>
                <w:b/>
                <w:bCs/>
                <w:color w:val="auto"/>
                <w:highlight w:val="none"/>
              </w:rPr>
              <w:t>/年，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eastAsia="zh-CN"/>
              </w:rPr>
            </w:pPr>
            <w:r>
              <w:rPr>
                <w:rFonts w:hint="eastAsia"/>
                <w:b/>
                <w:bCs/>
                <w:color w:val="auto"/>
                <w:highlight w:val="none"/>
              </w:rPr>
              <w:t>标段九</w:t>
            </w:r>
            <w:r>
              <w:rPr>
                <w:rFonts w:hint="eastAsia"/>
                <w:b/>
                <w:bCs/>
                <w:color w:val="auto"/>
                <w:highlight w:val="none"/>
                <w:lang w:val="en-US" w:eastAsia="zh-CN"/>
              </w:rPr>
              <w:t>27.54</w:t>
            </w:r>
            <w:r>
              <w:rPr>
                <w:rFonts w:hint="eastAsia"/>
                <w:b/>
                <w:bCs/>
                <w:color w:val="auto"/>
                <w:highlight w:val="none"/>
              </w:rPr>
              <w:t>元/m</w:t>
            </w:r>
            <w:r>
              <w:rPr>
                <w:rFonts w:hint="eastAsia"/>
                <w:b/>
                <w:bCs/>
                <w:color w:val="auto"/>
                <w:sz w:val="21"/>
                <w:szCs w:val="24"/>
                <w:highlight w:val="none"/>
                <w:vertAlign w:val="superscript"/>
              </w:rPr>
              <w:t>2</w:t>
            </w:r>
            <w:r>
              <w:rPr>
                <w:rFonts w:hint="eastAsia"/>
                <w:b/>
                <w:bCs/>
                <w:color w:val="auto"/>
                <w:highlight w:val="none"/>
              </w:rPr>
              <w:t>/年</w:t>
            </w:r>
            <w:r>
              <w:rPr>
                <w:rFonts w:hint="eastAsia"/>
                <w:b/>
                <w:bCs/>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rPr>
            </w:pPr>
            <w:r>
              <w:rPr>
                <w:rFonts w:hint="eastAsia"/>
                <w:b/>
                <w:bCs/>
                <w:color w:val="auto"/>
                <w:highlight w:val="none"/>
              </w:rPr>
              <w:t>标段</w:t>
            </w:r>
            <w:r>
              <w:rPr>
                <w:rFonts w:hint="eastAsia"/>
                <w:b/>
                <w:bCs/>
                <w:color w:val="auto"/>
                <w:highlight w:val="none"/>
                <w:lang w:val="en-US" w:eastAsia="zh-CN"/>
              </w:rPr>
              <w:t>十28.42</w:t>
            </w:r>
            <w:r>
              <w:rPr>
                <w:rFonts w:hint="eastAsia"/>
                <w:b/>
                <w:bCs/>
                <w:color w:val="auto"/>
                <w:highlight w:val="none"/>
              </w:rPr>
              <w:t>元/m</w:t>
            </w:r>
            <w:r>
              <w:rPr>
                <w:rFonts w:hint="eastAsia"/>
                <w:b/>
                <w:bCs/>
                <w:color w:val="auto"/>
                <w:sz w:val="21"/>
                <w:szCs w:val="24"/>
                <w:highlight w:val="none"/>
                <w:vertAlign w:val="superscript"/>
              </w:rPr>
              <w:t>2</w:t>
            </w:r>
            <w:r>
              <w:rPr>
                <w:rFonts w:hint="eastAsia"/>
                <w:b/>
                <w:bCs/>
                <w:color w:val="auto"/>
                <w:highlight w:val="none"/>
              </w:rPr>
              <w:t>/年，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rPr>
            </w:pPr>
            <w:r>
              <w:rPr>
                <w:rFonts w:hint="eastAsia"/>
                <w:b/>
                <w:bCs/>
                <w:color w:val="auto"/>
                <w:highlight w:val="none"/>
              </w:rPr>
              <w:t>标段</w:t>
            </w:r>
            <w:r>
              <w:rPr>
                <w:rFonts w:hint="eastAsia"/>
                <w:b/>
                <w:bCs/>
                <w:color w:val="auto"/>
                <w:highlight w:val="none"/>
                <w:lang w:val="en-US" w:eastAsia="zh-CN"/>
              </w:rPr>
              <w:t>十一23.61</w:t>
            </w:r>
            <w:r>
              <w:rPr>
                <w:rFonts w:hint="eastAsia"/>
                <w:b/>
                <w:bCs/>
                <w:color w:val="auto"/>
                <w:highlight w:val="none"/>
              </w:rPr>
              <w:t>元/m</w:t>
            </w:r>
            <w:r>
              <w:rPr>
                <w:rFonts w:hint="eastAsia"/>
                <w:b/>
                <w:bCs/>
                <w:color w:val="auto"/>
                <w:sz w:val="21"/>
                <w:szCs w:val="24"/>
                <w:highlight w:val="none"/>
                <w:vertAlign w:val="superscript"/>
              </w:rPr>
              <w:t>2</w:t>
            </w:r>
            <w:r>
              <w:rPr>
                <w:rFonts w:hint="eastAsia"/>
                <w:b/>
                <w:bCs/>
                <w:color w:val="auto"/>
                <w:highlight w:val="none"/>
              </w:rPr>
              <w:t xml:space="preserve">/年， </w:t>
            </w:r>
          </w:p>
          <w:p>
            <w:pPr>
              <w:keepNext w:val="0"/>
              <w:keepLines w:val="0"/>
              <w:pageBreakBefore w:val="0"/>
              <w:widowControl w:val="0"/>
              <w:kinsoku/>
              <w:wordWrap/>
              <w:overflowPunct/>
              <w:topLinePunct w:val="0"/>
              <w:autoSpaceDE/>
              <w:autoSpaceDN/>
              <w:bidi w:val="0"/>
              <w:adjustRightInd/>
              <w:snapToGrid/>
              <w:spacing w:line="360" w:lineRule="exact"/>
              <w:textAlignment w:val="auto"/>
              <w:rPr>
                <w:b/>
                <w:bCs/>
                <w:color w:val="auto"/>
                <w:highlight w:val="none"/>
              </w:rPr>
            </w:pPr>
            <w:r>
              <w:rPr>
                <w:rFonts w:hint="eastAsia"/>
                <w:b/>
                <w:bCs/>
                <w:color w:val="auto"/>
                <w:highlight w:val="none"/>
              </w:rPr>
              <w:t>3、采购预算：采购预算为</w:t>
            </w:r>
            <w:r>
              <w:rPr>
                <w:rFonts w:hint="eastAsia"/>
                <w:b/>
                <w:bCs/>
                <w:color w:val="auto"/>
                <w:highlight w:val="none"/>
                <w:lang w:val="en-US" w:eastAsia="zh-CN"/>
              </w:rPr>
              <w:t>4100</w:t>
            </w:r>
            <w:r>
              <w:rPr>
                <w:rFonts w:hint="eastAsia"/>
                <w:b/>
                <w:bCs/>
                <w:color w:val="auto"/>
                <w:highlight w:val="none"/>
              </w:rPr>
              <w:t>万元，三年度采购总预算为</w:t>
            </w:r>
            <w:r>
              <w:rPr>
                <w:rFonts w:hint="eastAsia"/>
                <w:b/>
                <w:bCs/>
                <w:color w:val="auto"/>
                <w:highlight w:val="none"/>
                <w:lang w:val="en-US" w:eastAsia="zh-CN"/>
              </w:rPr>
              <w:t>12300</w:t>
            </w:r>
            <w:r>
              <w:rPr>
                <w:rFonts w:hint="eastAsia"/>
                <w:b/>
                <w:bCs/>
                <w:color w:val="auto"/>
                <w:highlight w:val="none"/>
              </w:rPr>
              <w:t>万元。</w:t>
            </w:r>
          </w:p>
          <w:p>
            <w:pPr>
              <w:keepNext w:val="0"/>
              <w:keepLines w:val="0"/>
              <w:pageBreakBefore w:val="0"/>
              <w:widowControl w:val="0"/>
              <w:kinsoku/>
              <w:wordWrap/>
              <w:overflowPunct/>
              <w:topLinePunct w:val="0"/>
              <w:autoSpaceDE/>
              <w:autoSpaceDN/>
              <w:bidi w:val="0"/>
              <w:adjustRightInd/>
              <w:snapToGrid/>
              <w:spacing w:line="360" w:lineRule="exact"/>
              <w:textAlignment w:val="auto"/>
              <w:rPr>
                <w:b/>
                <w:bCs/>
                <w:color w:val="auto"/>
                <w:highlight w:val="none"/>
              </w:rPr>
            </w:pPr>
            <w:r>
              <w:rPr>
                <w:rFonts w:hint="eastAsia"/>
                <w:b/>
                <w:bCs/>
                <w:color w:val="auto"/>
                <w:highlight w:val="none"/>
              </w:rPr>
              <w:t>各标投标最高限价如下：</w:t>
            </w:r>
          </w:p>
          <w:p>
            <w:pPr>
              <w:keepNext w:val="0"/>
              <w:keepLines w:val="0"/>
              <w:pageBreakBefore w:val="0"/>
              <w:widowControl w:val="0"/>
              <w:kinsoku/>
              <w:wordWrap/>
              <w:overflowPunct/>
              <w:topLinePunct w:val="0"/>
              <w:autoSpaceDE/>
              <w:autoSpaceDN/>
              <w:bidi w:val="0"/>
              <w:adjustRightInd/>
              <w:snapToGrid/>
              <w:spacing w:line="360" w:lineRule="exact"/>
              <w:textAlignment w:val="auto"/>
              <w:rPr>
                <w:b/>
                <w:bCs/>
                <w:color w:val="auto"/>
                <w:highlight w:val="none"/>
              </w:rPr>
            </w:pPr>
            <w:r>
              <w:rPr>
                <w:rFonts w:hint="eastAsia"/>
                <w:b/>
                <w:bCs/>
                <w:color w:val="auto"/>
                <w:highlight w:val="none"/>
              </w:rPr>
              <w:t>标段一：年度5</w:t>
            </w:r>
            <w:r>
              <w:rPr>
                <w:rFonts w:hint="eastAsia"/>
                <w:b/>
                <w:bCs/>
                <w:color w:val="auto"/>
                <w:highlight w:val="none"/>
                <w:lang w:val="en-US" w:eastAsia="zh-CN"/>
              </w:rPr>
              <w:t>90</w:t>
            </w:r>
            <w:r>
              <w:rPr>
                <w:rFonts w:hint="eastAsia"/>
                <w:b/>
                <w:bCs/>
                <w:color w:val="auto"/>
                <w:highlight w:val="none"/>
              </w:rPr>
              <w:t>万元/年，三年</w:t>
            </w:r>
            <w:r>
              <w:rPr>
                <w:rFonts w:hint="eastAsia"/>
                <w:b/>
                <w:bCs/>
                <w:color w:val="auto"/>
                <w:highlight w:val="none"/>
                <w:lang w:val="en-US" w:eastAsia="zh-CN"/>
              </w:rPr>
              <w:t>1770</w:t>
            </w:r>
            <w:r>
              <w:rPr>
                <w:rFonts w:hint="eastAsia"/>
                <w:b/>
                <w:bCs/>
                <w:color w:val="auto"/>
                <w:highlight w:val="none"/>
              </w:rPr>
              <w:t>万元；</w:t>
            </w:r>
          </w:p>
          <w:p>
            <w:pPr>
              <w:keepNext w:val="0"/>
              <w:keepLines w:val="0"/>
              <w:pageBreakBefore w:val="0"/>
              <w:widowControl w:val="0"/>
              <w:kinsoku/>
              <w:wordWrap/>
              <w:overflowPunct/>
              <w:topLinePunct w:val="0"/>
              <w:autoSpaceDE/>
              <w:autoSpaceDN/>
              <w:bidi w:val="0"/>
              <w:adjustRightInd/>
              <w:snapToGrid/>
              <w:spacing w:line="360" w:lineRule="exact"/>
              <w:textAlignment w:val="auto"/>
              <w:rPr>
                <w:b/>
                <w:bCs/>
                <w:color w:val="auto"/>
                <w:highlight w:val="none"/>
              </w:rPr>
            </w:pPr>
            <w:r>
              <w:rPr>
                <w:rFonts w:hint="eastAsia"/>
                <w:b/>
                <w:bCs/>
                <w:color w:val="auto"/>
                <w:highlight w:val="none"/>
              </w:rPr>
              <w:t>标段二：年度</w:t>
            </w:r>
            <w:r>
              <w:rPr>
                <w:rFonts w:hint="eastAsia"/>
                <w:b/>
                <w:bCs/>
                <w:color w:val="auto"/>
                <w:highlight w:val="none"/>
                <w:lang w:val="en-US" w:eastAsia="zh-CN"/>
              </w:rPr>
              <w:t>590</w:t>
            </w:r>
            <w:r>
              <w:rPr>
                <w:rFonts w:hint="eastAsia"/>
                <w:b/>
                <w:bCs/>
                <w:color w:val="auto"/>
                <w:highlight w:val="none"/>
              </w:rPr>
              <w:t>万元/年，三年</w:t>
            </w:r>
            <w:r>
              <w:rPr>
                <w:rFonts w:hint="eastAsia"/>
                <w:b/>
                <w:bCs/>
                <w:color w:val="auto"/>
                <w:highlight w:val="none"/>
                <w:lang w:val="en-US" w:eastAsia="zh-CN"/>
              </w:rPr>
              <w:t>1770</w:t>
            </w:r>
            <w:r>
              <w:rPr>
                <w:rFonts w:hint="eastAsia"/>
                <w:b/>
                <w:bCs/>
                <w:color w:val="auto"/>
                <w:highlight w:val="none"/>
              </w:rPr>
              <w:t>万元；</w:t>
            </w:r>
          </w:p>
          <w:p>
            <w:pPr>
              <w:keepNext w:val="0"/>
              <w:keepLines w:val="0"/>
              <w:pageBreakBefore w:val="0"/>
              <w:widowControl w:val="0"/>
              <w:kinsoku/>
              <w:wordWrap/>
              <w:overflowPunct/>
              <w:topLinePunct w:val="0"/>
              <w:autoSpaceDE/>
              <w:autoSpaceDN/>
              <w:bidi w:val="0"/>
              <w:adjustRightInd/>
              <w:snapToGrid/>
              <w:spacing w:line="360" w:lineRule="exact"/>
              <w:textAlignment w:val="auto"/>
              <w:rPr>
                <w:b/>
                <w:bCs/>
                <w:color w:val="auto"/>
                <w:highlight w:val="none"/>
              </w:rPr>
            </w:pPr>
            <w:r>
              <w:rPr>
                <w:rFonts w:hint="eastAsia"/>
                <w:b/>
                <w:bCs/>
                <w:color w:val="auto"/>
                <w:highlight w:val="none"/>
              </w:rPr>
              <w:t>标段三：年度3</w:t>
            </w:r>
            <w:r>
              <w:rPr>
                <w:rFonts w:hint="eastAsia"/>
                <w:b/>
                <w:bCs/>
                <w:color w:val="auto"/>
                <w:highlight w:val="none"/>
                <w:lang w:val="en-US" w:eastAsia="zh-CN"/>
              </w:rPr>
              <w:t>90</w:t>
            </w:r>
            <w:r>
              <w:rPr>
                <w:rFonts w:hint="eastAsia"/>
                <w:b/>
                <w:bCs/>
                <w:color w:val="auto"/>
                <w:highlight w:val="none"/>
              </w:rPr>
              <w:t>万元/年，三年11</w:t>
            </w:r>
            <w:r>
              <w:rPr>
                <w:rFonts w:hint="eastAsia"/>
                <w:b/>
                <w:bCs/>
                <w:color w:val="auto"/>
                <w:highlight w:val="none"/>
                <w:lang w:val="en-US" w:eastAsia="zh-CN"/>
              </w:rPr>
              <w:t>70</w:t>
            </w:r>
            <w:r>
              <w:rPr>
                <w:rFonts w:hint="eastAsia"/>
                <w:b/>
                <w:bCs/>
                <w:color w:val="auto"/>
                <w:highlight w:val="none"/>
              </w:rPr>
              <w:t>万元；</w:t>
            </w:r>
          </w:p>
          <w:p>
            <w:pPr>
              <w:keepNext w:val="0"/>
              <w:keepLines w:val="0"/>
              <w:pageBreakBefore w:val="0"/>
              <w:widowControl w:val="0"/>
              <w:kinsoku/>
              <w:wordWrap/>
              <w:overflowPunct/>
              <w:topLinePunct w:val="0"/>
              <w:autoSpaceDE/>
              <w:autoSpaceDN/>
              <w:bidi w:val="0"/>
              <w:adjustRightInd/>
              <w:snapToGrid/>
              <w:spacing w:line="360" w:lineRule="exact"/>
              <w:textAlignment w:val="auto"/>
              <w:rPr>
                <w:b/>
                <w:bCs/>
                <w:color w:val="auto"/>
                <w:highlight w:val="none"/>
              </w:rPr>
            </w:pPr>
            <w:r>
              <w:rPr>
                <w:rFonts w:hint="eastAsia"/>
                <w:b/>
                <w:bCs/>
                <w:color w:val="auto"/>
                <w:highlight w:val="none"/>
              </w:rPr>
              <w:t>标段四：年度</w:t>
            </w:r>
            <w:r>
              <w:rPr>
                <w:rFonts w:hint="eastAsia"/>
                <w:b/>
                <w:bCs/>
                <w:color w:val="auto"/>
                <w:highlight w:val="none"/>
                <w:lang w:val="en-US" w:eastAsia="zh-CN"/>
              </w:rPr>
              <w:t>270</w:t>
            </w:r>
            <w:r>
              <w:rPr>
                <w:rFonts w:hint="eastAsia"/>
                <w:b/>
                <w:bCs/>
                <w:color w:val="auto"/>
                <w:highlight w:val="none"/>
              </w:rPr>
              <w:t>万元/年，三年</w:t>
            </w:r>
            <w:r>
              <w:rPr>
                <w:rFonts w:hint="eastAsia"/>
                <w:b/>
                <w:bCs/>
                <w:color w:val="auto"/>
                <w:highlight w:val="none"/>
                <w:lang w:val="en-US" w:eastAsia="zh-CN"/>
              </w:rPr>
              <w:t>810</w:t>
            </w:r>
            <w:r>
              <w:rPr>
                <w:rFonts w:hint="eastAsia"/>
                <w:b/>
                <w:bCs/>
                <w:color w:val="auto"/>
                <w:highlight w:val="none"/>
              </w:rPr>
              <w:t>万元；</w:t>
            </w:r>
          </w:p>
          <w:p>
            <w:pPr>
              <w:keepNext w:val="0"/>
              <w:keepLines w:val="0"/>
              <w:pageBreakBefore w:val="0"/>
              <w:widowControl w:val="0"/>
              <w:kinsoku/>
              <w:wordWrap/>
              <w:overflowPunct/>
              <w:topLinePunct w:val="0"/>
              <w:autoSpaceDE/>
              <w:autoSpaceDN/>
              <w:bidi w:val="0"/>
              <w:adjustRightInd/>
              <w:snapToGrid/>
              <w:spacing w:line="360" w:lineRule="exact"/>
              <w:textAlignment w:val="auto"/>
              <w:rPr>
                <w:b/>
                <w:bCs/>
                <w:color w:val="auto"/>
                <w:highlight w:val="none"/>
              </w:rPr>
            </w:pPr>
            <w:r>
              <w:rPr>
                <w:rFonts w:hint="eastAsia"/>
                <w:b/>
                <w:bCs/>
                <w:color w:val="auto"/>
                <w:highlight w:val="none"/>
              </w:rPr>
              <w:t>标段五：年度3</w:t>
            </w:r>
            <w:r>
              <w:rPr>
                <w:rFonts w:hint="eastAsia"/>
                <w:b/>
                <w:bCs/>
                <w:color w:val="auto"/>
                <w:highlight w:val="none"/>
                <w:lang w:val="en-US" w:eastAsia="zh-CN"/>
              </w:rPr>
              <w:t>40</w:t>
            </w:r>
            <w:r>
              <w:rPr>
                <w:rFonts w:hint="eastAsia"/>
                <w:b/>
                <w:bCs/>
                <w:color w:val="auto"/>
                <w:highlight w:val="none"/>
              </w:rPr>
              <w:t>万元/年，三年10</w:t>
            </w:r>
            <w:r>
              <w:rPr>
                <w:rFonts w:hint="eastAsia"/>
                <w:b/>
                <w:bCs/>
                <w:color w:val="auto"/>
                <w:highlight w:val="none"/>
                <w:lang w:val="en-US" w:eastAsia="zh-CN"/>
              </w:rPr>
              <w:t>20</w:t>
            </w:r>
            <w:r>
              <w:rPr>
                <w:rFonts w:hint="eastAsia"/>
                <w:b/>
                <w:bCs/>
                <w:color w:val="auto"/>
                <w:highlight w:val="none"/>
              </w:rPr>
              <w:t>万元；</w:t>
            </w:r>
          </w:p>
          <w:p>
            <w:pPr>
              <w:keepNext w:val="0"/>
              <w:keepLines w:val="0"/>
              <w:pageBreakBefore w:val="0"/>
              <w:widowControl w:val="0"/>
              <w:kinsoku/>
              <w:wordWrap/>
              <w:overflowPunct/>
              <w:topLinePunct w:val="0"/>
              <w:autoSpaceDE/>
              <w:autoSpaceDN/>
              <w:bidi w:val="0"/>
              <w:adjustRightInd/>
              <w:snapToGrid/>
              <w:spacing w:line="360" w:lineRule="exact"/>
              <w:textAlignment w:val="auto"/>
              <w:rPr>
                <w:b/>
                <w:bCs/>
                <w:color w:val="auto"/>
                <w:highlight w:val="none"/>
              </w:rPr>
            </w:pPr>
            <w:r>
              <w:rPr>
                <w:rFonts w:hint="eastAsia"/>
                <w:b/>
                <w:bCs/>
                <w:color w:val="auto"/>
                <w:highlight w:val="none"/>
              </w:rPr>
              <w:t>标段六：年度</w:t>
            </w:r>
            <w:r>
              <w:rPr>
                <w:rFonts w:hint="eastAsia"/>
                <w:b/>
                <w:bCs/>
                <w:color w:val="auto"/>
                <w:highlight w:val="none"/>
                <w:lang w:val="en-US" w:eastAsia="zh-CN"/>
              </w:rPr>
              <w:t>375</w:t>
            </w:r>
            <w:r>
              <w:rPr>
                <w:rFonts w:hint="eastAsia"/>
                <w:b/>
                <w:bCs/>
                <w:color w:val="auto"/>
                <w:highlight w:val="none"/>
              </w:rPr>
              <w:t>万元/年，三年</w:t>
            </w:r>
            <w:r>
              <w:rPr>
                <w:rFonts w:hint="eastAsia"/>
                <w:b/>
                <w:bCs/>
                <w:color w:val="auto"/>
                <w:highlight w:val="none"/>
                <w:lang w:val="en-US" w:eastAsia="zh-CN"/>
              </w:rPr>
              <w:t>1125</w:t>
            </w:r>
            <w:r>
              <w:rPr>
                <w:rFonts w:hint="eastAsia"/>
                <w:b/>
                <w:bCs/>
                <w:color w:val="auto"/>
                <w:highlight w:val="none"/>
              </w:rPr>
              <w:t>万元；</w:t>
            </w:r>
          </w:p>
          <w:p>
            <w:pPr>
              <w:keepNext w:val="0"/>
              <w:keepLines w:val="0"/>
              <w:pageBreakBefore w:val="0"/>
              <w:widowControl w:val="0"/>
              <w:kinsoku/>
              <w:wordWrap/>
              <w:overflowPunct/>
              <w:topLinePunct w:val="0"/>
              <w:autoSpaceDE/>
              <w:autoSpaceDN/>
              <w:bidi w:val="0"/>
              <w:adjustRightInd/>
              <w:snapToGrid/>
              <w:spacing w:line="360" w:lineRule="exact"/>
              <w:textAlignment w:val="auto"/>
              <w:rPr>
                <w:b/>
                <w:bCs/>
                <w:color w:val="auto"/>
                <w:highlight w:val="none"/>
              </w:rPr>
            </w:pPr>
            <w:r>
              <w:rPr>
                <w:rFonts w:hint="eastAsia"/>
                <w:b/>
                <w:bCs/>
                <w:color w:val="auto"/>
                <w:highlight w:val="none"/>
              </w:rPr>
              <w:t>标段七：年度</w:t>
            </w:r>
            <w:r>
              <w:rPr>
                <w:rFonts w:hint="eastAsia"/>
                <w:b/>
                <w:bCs/>
                <w:color w:val="auto"/>
                <w:highlight w:val="none"/>
                <w:lang w:val="en-US" w:eastAsia="zh-CN"/>
              </w:rPr>
              <w:t>390</w:t>
            </w:r>
            <w:r>
              <w:rPr>
                <w:rFonts w:hint="eastAsia"/>
                <w:b/>
                <w:bCs/>
                <w:color w:val="auto"/>
                <w:highlight w:val="none"/>
              </w:rPr>
              <w:t>万元/年，三年11</w:t>
            </w:r>
            <w:r>
              <w:rPr>
                <w:rFonts w:hint="eastAsia"/>
                <w:b/>
                <w:bCs/>
                <w:color w:val="auto"/>
                <w:highlight w:val="none"/>
                <w:lang w:val="en-US" w:eastAsia="zh-CN"/>
              </w:rPr>
              <w:t>70</w:t>
            </w:r>
            <w:r>
              <w:rPr>
                <w:rFonts w:hint="eastAsia"/>
                <w:b/>
                <w:bCs/>
                <w:color w:val="auto"/>
                <w:highlight w:val="none"/>
              </w:rPr>
              <w:t>万元；</w:t>
            </w:r>
          </w:p>
          <w:p>
            <w:pPr>
              <w:keepNext w:val="0"/>
              <w:keepLines w:val="0"/>
              <w:pageBreakBefore w:val="0"/>
              <w:widowControl w:val="0"/>
              <w:kinsoku/>
              <w:wordWrap/>
              <w:overflowPunct/>
              <w:topLinePunct w:val="0"/>
              <w:autoSpaceDE/>
              <w:autoSpaceDN/>
              <w:bidi w:val="0"/>
              <w:adjustRightInd/>
              <w:snapToGrid/>
              <w:spacing w:line="360" w:lineRule="exact"/>
              <w:textAlignment w:val="auto"/>
              <w:rPr>
                <w:b/>
                <w:bCs/>
                <w:color w:val="auto"/>
                <w:highlight w:val="none"/>
              </w:rPr>
            </w:pPr>
            <w:r>
              <w:rPr>
                <w:rFonts w:hint="eastAsia"/>
                <w:b/>
                <w:bCs/>
                <w:color w:val="auto"/>
                <w:highlight w:val="none"/>
              </w:rPr>
              <w:t>标段八：年度3</w:t>
            </w:r>
            <w:r>
              <w:rPr>
                <w:rFonts w:hint="eastAsia"/>
                <w:b/>
                <w:bCs/>
                <w:color w:val="auto"/>
                <w:highlight w:val="none"/>
                <w:lang w:val="en-US" w:eastAsia="zh-CN"/>
              </w:rPr>
              <w:t>80</w:t>
            </w:r>
            <w:r>
              <w:rPr>
                <w:rFonts w:hint="eastAsia"/>
                <w:b/>
                <w:bCs/>
                <w:color w:val="auto"/>
                <w:highlight w:val="none"/>
              </w:rPr>
              <w:t>万元/年，三年</w:t>
            </w:r>
            <w:r>
              <w:rPr>
                <w:rFonts w:hint="eastAsia"/>
                <w:b/>
                <w:bCs/>
                <w:color w:val="auto"/>
                <w:highlight w:val="none"/>
                <w:lang w:val="en-US" w:eastAsia="zh-CN"/>
              </w:rPr>
              <w:t>1140</w:t>
            </w:r>
            <w:r>
              <w:rPr>
                <w:rFonts w:hint="eastAsia"/>
                <w:b/>
                <w:bCs/>
                <w:color w:val="auto"/>
                <w:highlight w:val="none"/>
              </w:rPr>
              <w:t>万元；</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Times New Roman"/>
                <w:b/>
                <w:bCs/>
                <w:color w:val="auto"/>
                <w:kern w:val="2"/>
                <w:sz w:val="21"/>
                <w:szCs w:val="24"/>
                <w:highlight w:val="none"/>
                <w:lang w:val="en-US" w:eastAsia="zh-CN" w:bidi="ar-SA"/>
              </w:rPr>
            </w:pPr>
            <w:r>
              <w:rPr>
                <w:rFonts w:hint="eastAsia"/>
                <w:b/>
                <w:bCs/>
                <w:color w:val="auto"/>
                <w:highlight w:val="none"/>
              </w:rPr>
              <w:t>标段九：年</w:t>
            </w:r>
            <w:r>
              <w:rPr>
                <w:rFonts w:hint="eastAsia" w:ascii="Times New Roman" w:hAnsi="Times New Roman" w:eastAsia="宋体" w:cs="Times New Roman"/>
                <w:b/>
                <w:bCs/>
                <w:color w:val="auto"/>
                <w:kern w:val="2"/>
                <w:sz w:val="21"/>
                <w:szCs w:val="24"/>
                <w:highlight w:val="none"/>
                <w:lang w:val="en-US" w:eastAsia="zh-CN" w:bidi="ar-SA"/>
              </w:rPr>
              <w:t>度270万元/年，三年810万元；</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标段十：年度245万元/年，三年735万元；</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标段十一：年度260万元/年，三年780万元；</w:t>
            </w:r>
          </w:p>
          <w:p>
            <w:pPr>
              <w:keepNext w:val="0"/>
              <w:keepLines w:val="0"/>
              <w:pageBreakBefore w:val="0"/>
              <w:widowControl w:val="0"/>
              <w:kinsoku/>
              <w:wordWrap/>
              <w:overflowPunct/>
              <w:topLinePunct w:val="0"/>
              <w:autoSpaceDE/>
              <w:autoSpaceDN/>
              <w:bidi w:val="0"/>
              <w:adjustRightInd/>
              <w:snapToGrid/>
              <w:spacing w:line="360" w:lineRule="exact"/>
              <w:textAlignment w:val="auto"/>
              <w:rPr>
                <w:b/>
                <w:bCs/>
                <w:color w:val="auto"/>
                <w:highlight w:val="none"/>
              </w:rPr>
            </w:pPr>
            <w:r>
              <w:rPr>
                <w:rFonts w:hint="eastAsia"/>
                <w:b/>
                <w:bCs/>
                <w:color w:val="auto"/>
                <w:highlight w:val="none"/>
              </w:rPr>
              <w:t>注：</w:t>
            </w:r>
            <w:r>
              <w:rPr>
                <w:rFonts w:hint="eastAsia"/>
                <w:b/>
                <w:bCs/>
                <w:color w:val="auto"/>
                <w:highlight w:val="none"/>
                <w:lang w:val="en-US" w:eastAsia="zh-CN"/>
              </w:rPr>
              <w:t>投标报价超过</w:t>
            </w:r>
            <w:r>
              <w:rPr>
                <w:rFonts w:hint="eastAsia"/>
                <w:b/>
                <w:bCs/>
                <w:color w:val="auto"/>
                <w:highlight w:val="none"/>
              </w:rPr>
              <w:t>各标段</w:t>
            </w:r>
            <w:r>
              <w:rPr>
                <w:rFonts w:hint="eastAsia"/>
                <w:b/>
                <w:bCs/>
                <w:color w:val="auto"/>
                <w:highlight w:val="none"/>
                <w:lang w:val="en-US" w:eastAsia="zh-CN"/>
              </w:rPr>
              <w:t>综合单价、</w:t>
            </w:r>
            <w:r>
              <w:rPr>
                <w:rFonts w:hint="eastAsia"/>
                <w:b/>
                <w:bCs/>
                <w:color w:val="auto"/>
                <w:highlight w:val="none"/>
              </w:rPr>
              <w:t>年度投标价及三年投标总价最高限价的均作无效标处理。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b/>
                <w:bCs/>
                <w:color w:val="auto"/>
                <w:highlight w:val="none"/>
              </w:rPr>
            </w:pPr>
            <w:r>
              <w:rPr>
                <w:rFonts w:hint="eastAsia"/>
                <w:b/>
                <w:bCs/>
                <w:color w:val="auto"/>
                <w:highlight w:val="none"/>
                <w:lang w:val="en-US" w:eastAsia="zh-CN"/>
              </w:rPr>
              <w:t>4、养护水域面积为暂定值，每月按实核定，应急养护水域面积不计入报价中。</w:t>
            </w:r>
            <w:r>
              <w:rPr>
                <w:rFonts w:hint="eastAsia"/>
                <w:b/>
                <w:bCs/>
                <w:color w:val="auto"/>
                <w:highlight w:val="none"/>
              </w:rPr>
              <w:t>服务期限内，中标人承诺的中标价不因市场因素和政策因素变动而调整。</w:t>
            </w:r>
            <w:r>
              <w:rPr>
                <w:b/>
                <w:bCs/>
                <w:color w:val="auto"/>
                <w:highlight w:val="none"/>
              </w:rPr>
              <w:t>但如</w:t>
            </w:r>
            <w:r>
              <w:rPr>
                <w:rFonts w:hint="eastAsia"/>
                <w:b/>
                <w:bCs/>
                <w:color w:val="auto"/>
                <w:highlight w:val="none"/>
                <w:lang w:eastAsia="zh-CN"/>
              </w:rPr>
              <w:t>增减养护河道（段）</w:t>
            </w:r>
            <w:r>
              <w:rPr>
                <w:rFonts w:hint="eastAsia"/>
                <w:b/>
                <w:bCs/>
                <w:color w:val="auto"/>
                <w:highlight w:val="none"/>
              </w:rPr>
              <w:t>或</w:t>
            </w:r>
            <w:r>
              <w:rPr>
                <w:b/>
                <w:bCs/>
                <w:color w:val="auto"/>
                <w:highlight w:val="none"/>
              </w:rPr>
              <w:t>发生所养护的工作量增加或减少，以</w:t>
            </w:r>
            <w:r>
              <w:rPr>
                <w:rFonts w:hint="eastAsia"/>
                <w:b/>
                <w:bCs/>
                <w:color w:val="auto"/>
                <w:highlight w:val="none"/>
                <w:lang w:eastAsia="zh-CN"/>
              </w:rPr>
              <w:t>采购单位</w:t>
            </w:r>
            <w:r>
              <w:rPr>
                <w:b/>
                <w:bCs/>
                <w:color w:val="auto"/>
                <w:highlight w:val="none"/>
              </w:rPr>
              <w:t>签证认可的联系单为准，产生的费用计入发生期间所对应的月份中</w:t>
            </w:r>
            <w:r>
              <w:rPr>
                <w:rFonts w:hint="eastAsia"/>
                <w:b/>
                <w:bCs/>
                <w:color w:val="auto"/>
                <w:highlight w:val="none"/>
              </w:rPr>
              <w:t>；因不可抗力等原因造成合同无法继续履行的，由</w:t>
            </w:r>
            <w:r>
              <w:rPr>
                <w:rFonts w:hint="eastAsia"/>
                <w:b/>
                <w:bCs/>
                <w:color w:val="auto"/>
                <w:highlight w:val="none"/>
                <w:lang w:eastAsia="zh-CN"/>
              </w:rPr>
              <w:t>采购单位</w:t>
            </w:r>
            <w:r>
              <w:rPr>
                <w:rFonts w:hint="eastAsia"/>
                <w:b/>
                <w:bCs/>
                <w:color w:val="auto"/>
                <w:highlight w:val="none"/>
              </w:rPr>
              <w:t>与养护单位协商解决后续问题。</w:t>
            </w:r>
          </w:p>
          <w:p>
            <w:pPr>
              <w:pStyle w:val="21"/>
              <w:keepNext w:val="0"/>
              <w:keepLines w:val="0"/>
              <w:pageBreakBefore w:val="0"/>
              <w:widowControl w:val="0"/>
              <w:kinsoku/>
              <w:wordWrap/>
              <w:overflowPunct/>
              <w:topLinePunct w:val="0"/>
              <w:autoSpaceDE/>
              <w:autoSpaceDN/>
              <w:bidi w:val="0"/>
              <w:adjustRightInd/>
              <w:snapToGrid/>
              <w:spacing w:after="0" w:line="360" w:lineRule="exact"/>
              <w:ind w:left="0" w:leftChars="0" w:firstLine="406"/>
              <w:textAlignment w:val="auto"/>
              <w:rPr>
                <w:b/>
                <w:bCs/>
                <w:color w:val="auto"/>
                <w:highlight w:val="none"/>
              </w:rPr>
            </w:pPr>
            <w:r>
              <w:rPr>
                <w:rFonts w:hint="eastAsia"/>
                <w:b/>
                <w:bCs/>
                <w:color w:val="auto"/>
                <w:highlight w:val="none"/>
              </w:rPr>
              <w:t>本项目投标报价包含但不局限于以下内容：</w:t>
            </w:r>
            <w:r>
              <w:rPr>
                <w:rFonts w:hint="eastAsia"/>
                <w:b/>
                <w:bCs/>
                <w:color w:val="auto"/>
                <w:highlight w:val="none"/>
                <w:lang w:eastAsia="zh-CN"/>
              </w:rPr>
              <w:t>（</w:t>
            </w:r>
            <w:r>
              <w:rPr>
                <w:rFonts w:hint="eastAsia"/>
                <w:b/>
                <w:bCs/>
                <w:color w:val="auto"/>
                <w:highlight w:val="none"/>
                <w:lang w:val="en-US" w:eastAsia="zh-CN"/>
              </w:rPr>
              <w:t>1</w:t>
            </w:r>
            <w:r>
              <w:rPr>
                <w:rFonts w:hint="eastAsia"/>
                <w:b/>
                <w:bCs/>
                <w:color w:val="auto"/>
                <w:highlight w:val="none"/>
                <w:lang w:eastAsia="zh-CN"/>
              </w:rPr>
              <w:t>）</w:t>
            </w:r>
            <w:r>
              <w:rPr>
                <w:rFonts w:hint="eastAsia"/>
                <w:b/>
                <w:bCs/>
                <w:color w:val="auto"/>
                <w:highlight w:val="none"/>
              </w:rPr>
              <w:t>建设投资费用：根据技术路线投入的各类设备、装置、材料及附属设施等的折旧成本及安装调试费用（所有设备、装置、设施等（除水生植物）所有权都归中标人所有）。</w:t>
            </w: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w:t>
            </w:r>
            <w:r>
              <w:rPr>
                <w:rFonts w:hint="eastAsia"/>
                <w:b/>
                <w:bCs/>
                <w:color w:val="auto"/>
                <w:highlight w:val="none"/>
              </w:rPr>
              <w:t>日常养护费用：各级管理养护人员的工资、社会保险、奖金、福利费用等；运行电费，燃料费用，截污费用，各类设备设施维护保养费用等。</w:t>
            </w:r>
            <w:r>
              <w:rPr>
                <w:rFonts w:hint="eastAsia"/>
                <w:b/>
                <w:bCs/>
                <w:color w:val="auto"/>
                <w:highlight w:val="none"/>
                <w:lang w:eastAsia="zh-CN"/>
              </w:rPr>
              <w:t>（</w:t>
            </w:r>
            <w:r>
              <w:rPr>
                <w:rFonts w:hint="eastAsia"/>
                <w:b/>
                <w:bCs/>
                <w:color w:val="auto"/>
                <w:highlight w:val="none"/>
                <w:lang w:val="en-US" w:eastAsia="zh-CN"/>
              </w:rPr>
              <w:t>3</w:t>
            </w:r>
            <w:r>
              <w:rPr>
                <w:rFonts w:hint="eastAsia"/>
                <w:b/>
                <w:bCs/>
                <w:color w:val="auto"/>
                <w:highlight w:val="none"/>
                <w:lang w:eastAsia="zh-CN"/>
              </w:rPr>
              <w:t>）</w:t>
            </w:r>
            <w:r>
              <w:rPr>
                <w:rFonts w:hint="eastAsia"/>
                <w:b/>
                <w:bCs/>
                <w:color w:val="auto"/>
                <w:highlight w:val="none"/>
              </w:rPr>
              <w:t>水质自行检测费用、水质应急处置费用、防汛防台等环境保障费用。</w:t>
            </w:r>
            <w:r>
              <w:rPr>
                <w:rFonts w:hint="eastAsia"/>
                <w:b/>
                <w:bCs/>
                <w:color w:val="auto"/>
                <w:highlight w:val="none"/>
                <w:lang w:eastAsia="zh-CN"/>
              </w:rPr>
              <w:t>（</w:t>
            </w:r>
            <w:r>
              <w:rPr>
                <w:rFonts w:hint="eastAsia"/>
                <w:b/>
                <w:bCs/>
                <w:color w:val="auto"/>
                <w:highlight w:val="none"/>
                <w:lang w:val="en-US" w:eastAsia="zh-CN"/>
              </w:rPr>
              <w:t>4</w:t>
            </w:r>
            <w:r>
              <w:rPr>
                <w:rFonts w:hint="eastAsia"/>
                <w:b/>
                <w:bCs/>
                <w:color w:val="auto"/>
                <w:highlight w:val="none"/>
                <w:lang w:eastAsia="zh-CN"/>
              </w:rPr>
              <w:t>）</w:t>
            </w:r>
            <w:r>
              <w:rPr>
                <w:rFonts w:hint="eastAsia"/>
                <w:b/>
                <w:bCs/>
                <w:color w:val="auto"/>
                <w:highlight w:val="none"/>
              </w:rPr>
              <w:t>企业管理费用，利润、税金以及其他与水质维护相关的各项费用。</w:t>
            </w:r>
          </w:p>
          <w:p>
            <w:pPr>
              <w:pStyle w:val="21"/>
              <w:keepNext w:val="0"/>
              <w:keepLines w:val="0"/>
              <w:pageBreakBefore w:val="0"/>
              <w:widowControl w:val="0"/>
              <w:kinsoku/>
              <w:wordWrap/>
              <w:overflowPunct/>
              <w:topLinePunct w:val="0"/>
              <w:autoSpaceDE/>
              <w:autoSpaceDN/>
              <w:bidi w:val="0"/>
              <w:adjustRightInd/>
              <w:snapToGrid/>
              <w:spacing w:after="0" w:line="360" w:lineRule="exact"/>
              <w:ind w:left="0" w:leftChars="0" w:firstLine="406"/>
              <w:textAlignment w:val="auto"/>
              <w:rPr>
                <w:b/>
                <w:bCs/>
                <w:color w:val="auto"/>
                <w:highlight w:val="none"/>
              </w:rPr>
            </w:pPr>
            <w:r>
              <w:rPr>
                <w:rFonts w:hint="eastAsia"/>
                <w:b/>
                <w:bCs/>
                <w:color w:val="auto"/>
                <w:highlight w:val="none"/>
                <w:shd w:val="clear"/>
              </w:rPr>
              <w:t>其中精品河道建设项目投资费用（景观部分）报价不得低于每条河报价的</w:t>
            </w:r>
            <w:r>
              <w:rPr>
                <w:rFonts w:hint="eastAsia"/>
                <w:b/>
                <w:bCs/>
                <w:color w:val="auto"/>
                <w:highlight w:val="none"/>
                <w:shd w:val="clear"/>
                <w:lang w:val="en-US" w:eastAsia="zh-CN"/>
              </w:rPr>
              <w:t>30</w:t>
            </w:r>
            <w:r>
              <w:rPr>
                <w:rFonts w:hint="eastAsia"/>
                <w:b/>
                <w:bCs/>
                <w:color w:val="auto"/>
                <w:highlight w:val="none"/>
                <w:shd w:val="clear"/>
              </w:rPr>
              <w:t>%，</w:t>
            </w:r>
            <w:r>
              <w:rPr>
                <w:rFonts w:hint="eastAsia"/>
                <w:b/>
                <w:bCs/>
                <w:color w:val="auto"/>
                <w:highlight w:val="none"/>
                <w:shd w:val="clear"/>
                <w:lang w:val="en-US" w:eastAsia="zh-CN"/>
              </w:rPr>
              <w:t>清水</w:t>
            </w:r>
            <w:r>
              <w:rPr>
                <w:rFonts w:hint="eastAsia"/>
                <w:b/>
                <w:bCs/>
                <w:color w:val="auto"/>
                <w:highlight w:val="none"/>
                <w:shd w:val="clear"/>
              </w:rPr>
              <w:t>河道建设项目投资费用（景观部分）报价不得低于每条河报价的</w:t>
            </w:r>
            <w:r>
              <w:rPr>
                <w:rFonts w:hint="eastAsia"/>
                <w:b/>
                <w:bCs/>
                <w:color w:val="auto"/>
                <w:highlight w:val="none"/>
                <w:shd w:val="clear"/>
                <w:lang w:val="en-US" w:eastAsia="zh-CN"/>
              </w:rPr>
              <w:t>20</w:t>
            </w:r>
            <w:r>
              <w:rPr>
                <w:rFonts w:hint="eastAsia"/>
                <w:b/>
                <w:bCs/>
                <w:color w:val="auto"/>
                <w:highlight w:val="none"/>
                <w:shd w:val="clear"/>
              </w:rPr>
              <w:t>%，一般河道建设项目投资费用（景观部分）报价不得低于每条河报价的</w:t>
            </w:r>
            <w:r>
              <w:rPr>
                <w:rFonts w:hint="eastAsia"/>
                <w:b/>
                <w:bCs/>
                <w:color w:val="auto"/>
                <w:highlight w:val="none"/>
                <w:shd w:val="clear"/>
                <w:lang w:val="en-US" w:eastAsia="zh-CN"/>
              </w:rPr>
              <w:t>10</w:t>
            </w:r>
            <w:r>
              <w:rPr>
                <w:rFonts w:hint="eastAsia"/>
                <w:b/>
                <w:bCs/>
                <w:color w:val="auto"/>
                <w:highlight w:val="none"/>
                <w:shd w:val="clear"/>
              </w:rPr>
              <w:t>%。其中水生植物等固定设施所有权归</w:t>
            </w:r>
            <w:r>
              <w:rPr>
                <w:rFonts w:hint="eastAsia"/>
                <w:b/>
                <w:bCs/>
                <w:color w:val="auto"/>
                <w:highlight w:val="none"/>
                <w:shd w:val="clear"/>
                <w:lang w:eastAsia="zh-CN"/>
              </w:rPr>
              <w:t>采购单位</w:t>
            </w:r>
            <w:r>
              <w:rPr>
                <w:rFonts w:hint="eastAsia"/>
                <w:b/>
                <w:bCs/>
                <w:color w:val="auto"/>
                <w:highlight w:val="none"/>
                <w:shd w:val="clear"/>
              </w:rPr>
              <w:t>所有，合同到期后原养护公司不得擅自处理。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color w:val="auto"/>
                <w:highlight w:val="none"/>
              </w:rPr>
            </w:pPr>
            <w:r>
              <w:rPr>
                <w:rFonts w:hint="eastAsia"/>
                <w:b/>
                <w:bCs/>
                <w:color w:val="auto"/>
                <w:highlight w:val="none"/>
                <w:lang w:val="en-US" w:eastAsia="zh-CN"/>
              </w:rPr>
              <w:t>5、不论投标结果如何，投标人均应自行承担所有与投标有关的全部费用。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highlight w:val="none"/>
              </w:rPr>
            </w:pPr>
            <w:r>
              <w:rPr>
                <w:rFonts w:hint="eastAsia"/>
                <w:b/>
                <w:bCs/>
                <w:color w:val="auto"/>
                <w:highlight w:val="none"/>
                <w:lang w:eastAsia="zh-CN"/>
              </w:rPr>
              <w:t>*</w:t>
            </w:r>
            <w:r>
              <w:rPr>
                <w:rFonts w:hint="eastAsia"/>
                <w:b/>
                <w:bCs/>
                <w:color w:val="auto"/>
                <w:highlight w:val="none"/>
              </w:rPr>
              <w:t>4</w:t>
            </w:r>
          </w:p>
        </w:tc>
        <w:tc>
          <w:tcPr>
            <w:tcW w:w="84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eastAsia="宋体"/>
                <w:b/>
                <w:color w:val="auto"/>
                <w:highlight w:val="none"/>
                <w:lang w:eastAsia="zh-CN"/>
              </w:rPr>
            </w:pPr>
            <w:r>
              <w:rPr>
                <w:rFonts w:hint="eastAsia"/>
                <w:b/>
                <w:bCs/>
                <w:color w:val="auto"/>
                <w:highlight w:val="none"/>
              </w:rPr>
              <w:t>投标保证金：</w:t>
            </w:r>
            <w:r>
              <w:rPr>
                <w:rFonts w:hint="eastAsia"/>
                <w:color w:val="auto"/>
                <w:highlight w:val="none"/>
              </w:rPr>
              <w:t>本项目无须缴纳</w:t>
            </w:r>
            <w:r>
              <w:rPr>
                <w:rFonts w:hint="eastAsia"/>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highlight w:val="none"/>
              </w:rPr>
            </w:pPr>
            <w:r>
              <w:rPr>
                <w:rFonts w:hint="eastAsia"/>
                <w:b/>
                <w:bCs/>
                <w:color w:val="auto"/>
                <w:highlight w:val="none"/>
              </w:rPr>
              <w:t>5</w:t>
            </w:r>
          </w:p>
        </w:tc>
        <w:tc>
          <w:tcPr>
            <w:tcW w:w="84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b/>
                <w:bCs/>
                <w:color w:val="auto"/>
                <w:highlight w:val="none"/>
              </w:rPr>
              <w:t>答疑与澄清：</w:t>
            </w:r>
            <w:r>
              <w:rPr>
                <w:rFonts w:hint="eastAsia"/>
                <w:color w:val="auto"/>
                <w:highlight w:val="none"/>
                <w:lang w:eastAsia="zh-CN"/>
              </w:rPr>
              <w:t>投标人</w:t>
            </w:r>
            <w:r>
              <w:rPr>
                <w:rFonts w:hint="eastAsia"/>
                <w:color w:val="auto"/>
                <w:highlight w:val="none"/>
              </w:rPr>
              <w:t>如认为招标文件表述不清晰、存在歧视性或者其他违法内容的，应知其权益受到损害之日起七个工作日内，以书面形式要求招标</w:t>
            </w:r>
            <w:r>
              <w:rPr>
                <w:rFonts w:hint="eastAsia"/>
                <w:color w:val="auto"/>
                <w:highlight w:val="none"/>
                <w:lang w:eastAsia="zh-CN"/>
              </w:rPr>
              <w:t>采购单位</w:t>
            </w:r>
            <w:r>
              <w:rPr>
                <w:rFonts w:hint="eastAsia"/>
                <w:color w:val="auto"/>
                <w:highlight w:val="none"/>
              </w:rPr>
              <w:t>作出书面解释、澄清或者向招标</w:t>
            </w:r>
            <w:r>
              <w:rPr>
                <w:rFonts w:hint="eastAsia"/>
                <w:color w:val="auto"/>
                <w:highlight w:val="none"/>
                <w:lang w:eastAsia="zh-CN"/>
              </w:rPr>
              <w:t>采购单位</w:t>
            </w:r>
            <w:r>
              <w:rPr>
                <w:rFonts w:hint="eastAsia"/>
                <w:color w:val="auto"/>
                <w:highlight w:val="none"/>
              </w:rPr>
              <w:t>提出书面质疑，逾期不予受理。招标</w:t>
            </w:r>
            <w:r>
              <w:rPr>
                <w:rFonts w:hint="eastAsia"/>
                <w:color w:val="auto"/>
                <w:highlight w:val="none"/>
                <w:lang w:eastAsia="zh-CN"/>
              </w:rPr>
              <w:t>采购单位</w:t>
            </w:r>
            <w:r>
              <w:rPr>
                <w:rFonts w:hint="eastAsia"/>
                <w:color w:val="auto"/>
                <w:highlight w:val="none"/>
              </w:rPr>
              <w:t>不专门组织答疑；如有答疑，答疑内容是招标文件的组成部分，并将以书面形式送达所有已报名的</w:t>
            </w:r>
            <w:r>
              <w:rPr>
                <w:rFonts w:hint="eastAsia"/>
                <w:color w:val="auto"/>
                <w:highlight w:val="none"/>
                <w:lang w:eastAsia="zh-CN"/>
              </w:rPr>
              <w:t>投标人</w:t>
            </w:r>
            <w:r>
              <w:rPr>
                <w:rFonts w:hint="eastAsia"/>
                <w:color w:val="auto"/>
                <w:highlight w:val="none"/>
              </w:rPr>
              <w:t>；因其他紧急情况影响本项目正常招标活动的，招标</w:t>
            </w:r>
            <w:r>
              <w:rPr>
                <w:rFonts w:hint="eastAsia"/>
                <w:color w:val="auto"/>
                <w:highlight w:val="none"/>
                <w:lang w:eastAsia="zh-CN"/>
              </w:rPr>
              <w:t>采购单位</w:t>
            </w:r>
            <w:r>
              <w:rPr>
                <w:rFonts w:hint="eastAsia"/>
                <w:color w:val="auto"/>
                <w:highlight w:val="none"/>
              </w:rPr>
              <w:t>将于投标截止日期3天前书面通知所有已报名的</w:t>
            </w:r>
            <w:r>
              <w:rPr>
                <w:rFonts w:hint="eastAsia"/>
                <w:color w:val="auto"/>
                <w:highlight w:val="none"/>
                <w:lang w:eastAsia="zh-CN"/>
              </w:rPr>
              <w:t>投标人</w:t>
            </w: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highlight w:val="none"/>
              </w:rPr>
            </w:pPr>
            <w:r>
              <w:rPr>
                <w:rFonts w:hint="eastAsia"/>
                <w:b/>
                <w:bCs/>
                <w:color w:val="auto"/>
                <w:highlight w:val="none"/>
                <w:lang w:eastAsia="zh-CN"/>
              </w:rPr>
              <w:t>*</w:t>
            </w:r>
            <w:r>
              <w:rPr>
                <w:rFonts w:hint="eastAsia"/>
                <w:b/>
                <w:bCs/>
                <w:color w:val="auto"/>
                <w:highlight w:val="none"/>
              </w:rPr>
              <w:t>6</w:t>
            </w:r>
          </w:p>
        </w:tc>
        <w:tc>
          <w:tcPr>
            <w:tcW w:w="84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color w:val="auto"/>
                <w:highlight w:val="none"/>
              </w:rPr>
              <w:t>投标文件组成：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投标文件正本</w:t>
            </w:r>
            <w:r>
              <w:rPr>
                <w:rFonts w:hint="eastAsia" w:ascii="宋体" w:hAnsi="宋体" w:cs="宋体"/>
                <w:color w:val="auto"/>
                <w:highlight w:val="none"/>
                <w:u w:val="single"/>
              </w:rPr>
              <w:t xml:space="preserve"> 1 </w:t>
            </w:r>
            <w:r>
              <w:rPr>
                <w:rFonts w:hint="eastAsia" w:ascii="宋体" w:hAnsi="宋体" w:cs="宋体"/>
                <w:color w:val="auto"/>
                <w:highlight w:val="none"/>
              </w:rPr>
              <w:t>份；副本</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4 </w:t>
            </w:r>
            <w:r>
              <w:rPr>
                <w:rFonts w:hint="eastAsia" w:ascii="宋体" w:hAnsi="宋体" w:cs="宋体"/>
                <w:color w:val="auto"/>
                <w:highlight w:val="none"/>
              </w:rPr>
              <w:t>份；电子文本</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1</w:t>
            </w:r>
            <w:r>
              <w:rPr>
                <w:rFonts w:hint="eastAsia" w:ascii="宋体" w:hAnsi="宋体" w:cs="宋体"/>
                <w:color w:val="auto"/>
                <w:highlight w:val="none"/>
              </w:rPr>
              <w:t>份（电子版投标文件为所有纸质投标文件的正本盖章扫描件，</w:t>
            </w:r>
            <w:r>
              <w:rPr>
                <w:rFonts w:hint="eastAsia" w:ascii="宋体" w:hAnsi="宋体" w:cs="宋体"/>
                <w:color w:val="auto"/>
                <w:highlight w:val="none"/>
                <w:lang w:val="en-US" w:eastAsia="zh-CN"/>
              </w:rPr>
              <w:t>存入U盘，</w:t>
            </w:r>
            <w:r>
              <w:rPr>
                <w:rFonts w:hint="eastAsia" w:ascii="宋体" w:hAnsi="宋体" w:cs="宋体"/>
                <w:color w:val="auto"/>
                <w:highlight w:val="none"/>
              </w:rPr>
              <w:t>单独密封）</w:t>
            </w:r>
            <w:r>
              <w:rPr>
                <w:rFonts w:hint="eastAsia" w:ascii="宋体" w:hAnsi="宋体" w:cs="宋体"/>
                <w:color w:val="auto"/>
                <w:highlight w:val="none"/>
                <w:lang w:val="en-US" w:eastAsia="zh-CN"/>
              </w:rPr>
              <w:t>单独装入包封中</w:t>
            </w:r>
            <w:r>
              <w:rPr>
                <w:rFonts w:hint="eastAsia" w:ascii="宋体" w:hAnsi="宋体" w:cs="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ascii="宋体" w:hAnsi="宋体" w:cs="宋体"/>
                <w:color w:val="auto"/>
                <w:highlight w:val="none"/>
              </w:rPr>
              <w:t>注：电子版和纸质版不一致以纸质版正本为准，正本和副本不一致的以正本为准。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highlight w:val="none"/>
              </w:rPr>
            </w:pPr>
            <w:r>
              <w:rPr>
                <w:rFonts w:hint="eastAsia"/>
                <w:b/>
                <w:bCs/>
                <w:color w:val="auto"/>
                <w:highlight w:val="none"/>
                <w:lang w:eastAsia="zh-CN"/>
              </w:rPr>
              <w:t>*</w:t>
            </w:r>
            <w:r>
              <w:rPr>
                <w:rFonts w:hint="eastAsia"/>
                <w:b/>
                <w:bCs/>
                <w:color w:val="auto"/>
                <w:highlight w:val="none"/>
              </w:rPr>
              <w:t>7</w:t>
            </w:r>
          </w:p>
        </w:tc>
        <w:tc>
          <w:tcPr>
            <w:tcW w:w="84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highlight w:val="none"/>
              </w:rPr>
            </w:pPr>
            <w:r>
              <w:rPr>
                <w:rFonts w:hint="eastAsia"/>
                <w:b/>
                <w:bCs/>
                <w:color w:val="auto"/>
                <w:highlight w:val="none"/>
              </w:rPr>
              <w:t>投标截止时间及地点：</w:t>
            </w:r>
            <w:r>
              <w:rPr>
                <w:rFonts w:hint="eastAsia"/>
                <w:color w:val="auto"/>
                <w:highlight w:val="none"/>
              </w:rPr>
              <w:t>详见“第一章公开招标采购公告”。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highlight w:val="none"/>
              </w:rPr>
            </w:pPr>
            <w:r>
              <w:rPr>
                <w:rFonts w:hint="eastAsia"/>
                <w:b/>
                <w:bCs/>
                <w:color w:val="auto"/>
                <w:highlight w:val="none"/>
                <w:lang w:eastAsia="zh-CN"/>
              </w:rPr>
              <w:t>*</w:t>
            </w:r>
            <w:r>
              <w:rPr>
                <w:rFonts w:hint="eastAsia"/>
                <w:b/>
                <w:bCs/>
                <w:color w:val="auto"/>
                <w:highlight w:val="none"/>
              </w:rPr>
              <w:t>8</w:t>
            </w:r>
          </w:p>
        </w:tc>
        <w:tc>
          <w:tcPr>
            <w:tcW w:w="84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highlight w:val="none"/>
              </w:rPr>
            </w:pPr>
            <w:r>
              <w:rPr>
                <w:rFonts w:hint="eastAsia"/>
                <w:b/>
                <w:bCs/>
                <w:color w:val="auto"/>
                <w:highlight w:val="none"/>
              </w:rPr>
              <w:t>开标时间及地点：</w:t>
            </w:r>
            <w:r>
              <w:rPr>
                <w:rFonts w:hint="eastAsia"/>
                <w:color w:val="auto"/>
                <w:highlight w:val="none"/>
              </w:rPr>
              <w:t>详见“第一章公开招标采购公告”。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highlight w:val="none"/>
              </w:rPr>
            </w:pPr>
            <w:r>
              <w:rPr>
                <w:rFonts w:hint="eastAsia"/>
                <w:b/>
                <w:bCs/>
                <w:color w:val="auto"/>
                <w:highlight w:val="none"/>
              </w:rPr>
              <w:t>9</w:t>
            </w:r>
          </w:p>
        </w:tc>
        <w:tc>
          <w:tcPr>
            <w:tcW w:w="84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highlight w:val="none"/>
              </w:rPr>
            </w:pPr>
            <w:r>
              <w:rPr>
                <w:rFonts w:hint="eastAsia"/>
                <w:b/>
                <w:bCs/>
                <w:color w:val="auto"/>
                <w:highlight w:val="none"/>
              </w:rPr>
              <w:t>评标办法及评分标准：</w:t>
            </w:r>
            <w:r>
              <w:rPr>
                <w:rFonts w:hint="eastAsia"/>
                <w:color w:val="auto"/>
                <w:highlight w:val="none"/>
              </w:rPr>
              <w:t>详见招标文件 第四章。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highlight w:val="none"/>
              </w:rPr>
            </w:pPr>
            <w:r>
              <w:rPr>
                <w:b/>
                <w:bCs/>
                <w:color w:val="auto"/>
                <w:highlight w:val="none"/>
              </w:rPr>
              <w:t>1</w:t>
            </w:r>
            <w:r>
              <w:rPr>
                <w:rFonts w:hint="eastAsia"/>
                <w:b/>
                <w:bCs/>
                <w:color w:val="auto"/>
                <w:highlight w:val="none"/>
              </w:rPr>
              <w:t>0</w:t>
            </w:r>
          </w:p>
        </w:tc>
        <w:tc>
          <w:tcPr>
            <w:tcW w:w="84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olor w:val="auto"/>
                <w:highlight w:val="none"/>
                <w:lang w:eastAsia="zh-CN"/>
              </w:rPr>
            </w:pPr>
            <w:r>
              <w:rPr>
                <w:rFonts w:hint="eastAsia"/>
                <w:b/>
                <w:bCs/>
                <w:color w:val="auto"/>
                <w:highlight w:val="none"/>
              </w:rPr>
              <w:t>评标结果公示：</w:t>
            </w:r>
            <w:r>
              <w:rPr>
                <w:rFonts w:hint="eastAsia"/>
                <w:color w:val="auto"/>
                <w:highlight w:val="none"/>
              </w:rPr>
              <w:t>评标结果公示于“浙江政府采购网”、“宁波市政府采购网”、“宁波公共资源交易网鄞州区分网”</w:t>
            </w:r>
            <w:r>
              <w:rPr>
                <w:rFonts w:hint="eastAsia"/>
                <w:color w:val="auto"/>
                <w:highlight w:val="none"/>
                <w:lang w:eastAsia="zh-CN"/>
              </w:rPr>
              <w:t>、</w:t>
            </w:r>
            <w:r>
              <w:rPr>
                <w:rFonts w:hint="eastAsia"/>
                <w:color w:val="auto"/>
                <w:highlight w:val="none"/>
              </w:rPr>
              <w:t>“浙江绿邦招标代理有限公司</w:t>
            </w:r>
            <w:r>
              <w:rPr>
                <w:rFonts w:hint="eastAsia"/>
                <w:color w:val="auto"/>
                <w:highlight w:val="none"/>
                <w:lang w:val="en-US" w:eastAsia="zh-CN"/>
              </w:rPr>
              <w:t>网站</w:t>
            </w:r>
            <w:r>
              <w:rPr>
                <w:rFonts w:hint="eastAsia"/>
                <w:color w:val="auto"/>
                <w:highlight w:val="none"/>
              </w:rPr>
              <w:t>”</w:t>
            </w:r>
            <w:r>
              <w:rPr>
                <w:rFonts w:hint="eastAsia"/>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highlight w:val="none"/>
              </w:rPr>
            </w:pPr>
            <w:r>
              <w:rPr>
                <w:rFonts w:hint="eastAsia"/>
                <w:b/>
                <w:bCs/>
                <w:color w:val="auto"/>
                <w:highlight w:val="none"/>
              </w:rPr>
              <w:t>11</w:t>
            </w:r>
          </w:p>
        </w:tc>
        <w:tc>
          <w:tcPr>
            <w:tcW w:w="84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highlight w:val="none"/>
              </w:rPr>
            </w:pPr>
            <w:r>
              <w:rPr>
                <w:rFonts w:hint="eastAsia"/>
                <w:b/>
                <w:bCs/>
                <w:color w:val="auto"/>
                <w:highlight w:val="none"/>
              </w:rPr>
              <w:t>签订合同时间：</w:t>
            </w:r>
            <w:r>
              <w:rPr>
                <w:rFonts w:hint="eastAsia"/>
                <w:color w:val="auto"/>
                <w:highlight w:val="none"/>
              </w:rPr>
              <w:t>中标通知书</w:t>
            </w:r>
            <w:r>
              <w:rPr>
                <w:rFonts w:hint="eastAsia"/>
                <w:color w:val="auto"/>
                <w:highlight w:val="none"/>
                <w:lang w:val="en-US" w:eastAsia="zh-CN"/>
              </w:rPr>
              <w:t>发放</w:t>
            </w:r>
            <w:r>
              <w:rPr>
                <w:rFonts w:hint="eastAsia"/>
                <w:color w:val="auto"/>
                <w:highlight w:val="none"/>
              </w:rPr>
              <w:t>后</w:t>
            </w:r>
            <w:r>
              <w:rPr>
                <w:rFonts w:hint="eastAsia" w:ascii="宋体" w:hAnsi="宋体" w:cs="宋体"/>
                <w:color w:val="auto"/>
                <w:highlight w:val="none"/>
                <w:lang w:val="en-US" w:eastAsia="zh-CN"/>
              </w:rPr>
              <w:t>6</w:t>
            </w:r>
            <w:r>
              <w:rPr>
                <w:rFonts w:hint="eastAsia" w:ascii="宋体" w:hAnsi="宋体" w:cs="宋体"/>
                <w:color w:val="auto"/>
                <w:highlight w:val="none"/>
              </w:rPr>
              <w:t>0</w:t>
            </w:r>
            <w:r>
              <w:rPr>
                <w:rFonts w:hint="eastAsia"/>
                <w:color w:val="auto"/>
                <w:highlight w:val="none"/>
              </w:rPr>
              <w:t>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highlight w:val="none"/>
              </w:rPr>
            </w:pPr>
            <w:r>
              <w:rPr>
                <w:rFonts w:hint="eastAsia"/>
                <w:b/>
                <w:bCs/>
                <w:color w:val="auto"/>
                <w:highlight w:val="none"/>
              </w:rPr>
              <w:t>12</w:t>
            </w:r>
          </w:p>
        </w:tc>
        <w:tc>
          <w:tcPr>
            <w:tcW w:w="84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color w:val="auto"/>
                <w:highlight w:val="none"/>
              </w:rPr>
            </w:pPr>
            <w:r>
              <w:rPr>
                <w:rFonts w:hint="eastAsia"/>
                <w:b/>
                <w:bCs/>
                <w:color w:val="auto"/>
                <w:highlight w:val="none"/>
              </w:rPr>
              <w:t>履约保证金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color w:val="auto"/>
                <w:highlight w:val="none"/>
              </w:rPr>
            </w:pPr>
            <w:r>
              <w:rPr>
                <w:rFonts w:hint="eastAsia"/>
                <w:color w:val="auto"/>
                <w:highlight w:val="none"/>
              </w:rPr>
              <w:t>履约保证金金额：每年向</w:t>
            </w:r>
            <w:r>
              <w:rPr>
                <w:rFonts w:hint="eastAsia"/>
                <w:color w:val="auto"/>
                <w:highlight w:val="none"/>
                <w:lang w:eastAsia="zh-CN"/>
              </w:rPr>
              <w:t>采购单位</w:t>
            </w:r>
            <w:r>
              <w:rPr>
                <w:rFonts w:hint="eastAsia"/>
                <w:color w:val="auto"/>
                <w:highlight w:val="none"/>
              </w:rPr>
              <w:t>递交中标标段年度合同价的5%。</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color w:val="auto"/>
                <w:highlight w:val="none"/>
              </w:rPr>
            </w:pPr>
            <w:r>
              <w:rPr>
                <w:rFonts w:hint="eastAsia"/>
                <w:color w:val="auto"/>
                <w:highlight w:val="none"/>
              </w:rPr>
              <w:t>履约保证金形式：支票、汇票、本票或者金融机构、担保机构出具的保函等非现金形式提交。</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提交时间：在合同签订之前；</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color w:val="auto"/>
                <w:highlight w:val="none"/>
              </w:rPr>
            </w:pPr>
            <w:r>
              <w:rPr>
                <w:rFonts w:hint="eastAsia"/>
                <w:color w:val="auto"/>
                <w:highlight w:val="none"/>
              </w:rPr>
              <w:t>履约保证金的退还：履约保证金在</w:t>
            </w:r>
            <w:r>
              <w:rPr>
                <w:rFonts w:hint="eastAsia"/>
                <w:color w:val="auto"/>
                <w:highlight w:val="none"/>
                <w:lang w:eastAsia="zh-CN"/>
              </w:rPr>
              <w:t>养护单位</w:t>
            </w:r>
            <w:r>
              <w:rPr>
                <w:rFonts w:hint="eastAsia"/>
                <w:color w:val="auto"/>
                <w:highlight w:val="none"/>
              </w:rPr>
              <w:t>完成合同履约后无息退还（但</w:t>
            </w:r>
            <w:r>
              <w:rPr>
                <w:rFonts w:hint="eastAsia"/>
                <w:color w:val="auto"/>
                <w:highlight w:val="none"/>
                <w:lang w:val="en-US" w:eastAsia="zh-CN"/>
              </w:rPr>
              <w:t>中标单位</w:t>
            </w:r>
            <w:r>
              <w:rPr>
                <w:rFonts w:hint="eastAsia"/>
                <w:color w:val="auto"/>
                <w:highlight w:val="none"/>
              </w:rPr>
              <w:t>未能履行合同规定的任何义务，</w:t>
            </w:r>
            <w:r>
              <w:rPr>
                <w:rFonts w:hint="eastAsia"/>
                <w:color w:val="auto"/>
                <w:highlight w:val="none"/>
                <w:lang w:val="en-US" w:eastAsia="zh-CN"/>
              </w:rPr>
              <w:t>采购单位</w:t>
            </w:r>
            <w:r>
              <w:rPr>
                <w:rFonts w:hint="eastAsia"/>
                <w:color w:val="auto"/>
                <w:highlight w:val="none"/>
              </w:rPr>
              <w:t>有权从履约保证金中优先得到补赔偿，且履约保证金被扣除后，</w:t>
            </w:r>
            <w:r>
              <w:rPr>
                <w:rFonts w:hint="eastAsia"/>
                <w:color w:val="auto"/>
                <w:highlight w:val="none"/>
                <w:lang w:eastAsia="zh-CN"/>
              </w:rPr>
              <w:t>养护单位</w:t>
            </w:r>
            <w:r>
              <w:rPr>
                <w:rFonts w:hint="eastAsia"/>
                <w:color w:val="auto"/>
                <w:highlight w:val="none"/>
              </w:rPr>
              <w:t>应在</w:t>
            </w:r>
            <w:r>
              <w:rPr>
                <w:rFonts w:hint="eastAsia"/>
                <w:color w:val="auto"/>
                <w:highlight w:val="none"/>
                <w:lang w:val="en-US" w:eastAsia="zh-CN"/>
              </w:rPr>
              <w:t>15个工作日</w:t>
            </w:r>
            <w:r>
              <w:rPr>
                <w:rFonts w:hint="eastAsia"/>
                <w:color w:val="auto"/>
                <w:highlight w:val="none"/>
              </w:rPr>
              <w:t>内及时补足至约定数额）。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highlight w:val="none"/>
              </w:rPr>
            </w:pPr>
            <w:r>
              <w:rPr>
                <w:rFonts w:hint="eastAsia"/>
                <w:b/>
                <w:bCs/>
                <w:color w:val="auto"/>
                <w:highlight w:val="none"/>
              </w:rPr>
              <w:t>13</w:t>
            </w:r>
          </w:p>
        </w:tc>
        <w:tc>
          <w:tcPr>
            <w:tcW w:w="84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highlight w:val="none"/>
              </w:rPr>
            </w:pPr>
            <w:r>
              <w:rPr>
                <w:rFonts w:hint="eastAsia"/>
                <w:b/>
                <w:bCs/>
                <w:color w:val="auto"/>
                <w:highlight w:val="none"/>
              </w:rPr>
              <w:t>采购资金来源：</w:t>
            </w:r>
            <w:r>
              <w:rPr>
                <w:rFonts w:hint="eastAsia"/>
                <w:color w:val="auto"/>
                <w:highlight w:val="none"/>
              </w:rPr>
              <w:t>预算资金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highlight w:val="none"/>
              </w:rPr>
            </w:pPr>
            <w:r>
              <w:rPr>
                <w:rFonts w:hint="eastAsia"/>
                <w:b/>
                <w:bCs/>
                <w:color w:val="auto"/>
                <w:highlight w:val="none"/>
                <w:lang w:eastAsia="zh-CN"/>
              </w:rPr>
              <w:t>*</w:t>
            </w:r>
            <w:r>
              <w:rPr>
                <w:rFonts w:hint="eastAsia"/>
                <w:b/>
                <w:bCs/>
                <w:color w:val="auto"/>
                <w:highlight w:val="none"/>
              </w:rPr>
              <w:t>14</w:t>
            </w:r>
          </w:p>
        </w:tc>
        <w:tc>
          <w:tcPr>
            <w:tcW w:w="84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color w:val="auto"/>
                <w:highlight w:val="none"/>
              </w:rPr>
            </w:pPr>
            <w:r>
              <w:rPr>
                <w:rFonts w:hint="eastAsia"/>
                <w:b/>
                <w:bCs/>
                <w:color w:val="auto"/>
                <w:highlight w:val="none"/>
              </w:rPr>
              <w:t>付款方式：</w:t>
            </w:r>
            <w:r>
              <w:rPr>
                <w:rFonts w:hint="eastAsia"/>
                <w:color w:val="auto"/>
                <w:highlight w:val="none"/>
              </w:rPr>
              <w:t>财政集中支付</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highlight w:val="none"/>
              </w:rPr>
            </w:pPr>
            <w:r>
              <w:rPr>
                <w:rFonts w:hint="eastAsia"/>
                <w:color w:val="auto"/>
                <w:highlight w:val="none"/>
              </w:rPr>
              <w:t>1、第一年：</w:t>
            </w:r>
            <w:r>
              <w:rPr>
                <w:rFonts w:hint="eastAsia"/>
                <w:color w:val="auto"/>
                <w:highlight w:val="none"/>
                <w:lang w:eastAsia="zh-CN"/>
              </w:rPr>
              <w:t>养护单位</w:t>
            </w:r>
            <w:r>
              <w:rPr>
                <w:rFonts w:hint="eastAsia"/>
                <w:color w:val="auto"/>
                <w:highlight w:val="none"/>
              </w:rPr>
              <w:t>须在中标通知书</w:t>
            </w:r>
            <w:r>
              <w:rPr>
                <w:rFonts w:hint="eastAsia"/>
                <w:color w:val="auto"/>
                <w:highlight w:val="none"/>
                <w:lang w:eastAsia="zh-CN"/>
              </w:rPr>
              <w:t>发放</w:t>
            </w:r>
            <w:r>
              <w:rPr>
                <w:rFonts w:hint="eastAsia"/>
                <w:color w:val="auto"/>
                <w:highlight w:val="none"/>
              </w:rPr>
              <w:t>之日起60天内与</w:t>
            </w:r>
            <w:r>
              <w:rPr>
                <w:rFonts w:hint="eastAsia"/>
                <w:color w:val="auto"/>
                <w:highlight w:val="none"/>
                <w:lang w:eastAsia="zh-CN"/>
              </w:rPr>
              <w:t>采购单位</w:t>
            </w:r>
            <w:r>
              <w:rPr>
                <w:rFonts w:hint="eastAsia"/>
                <w:color w:val="auto"/>
                <w:highlight w:val="none"/>
              </w:rPr>
              <w:t>签订中标合同；</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highlight w:val="none"/>
              </w:rPr>
            </w:pPr>
            <w:r>
              <w:rPr>
                <w:rFonts w:hint="eastAsia"/>
                <w:color w:val="auto"/>
                <w:highlight w:val="none"/>
              </w:rPr>
              <w:t>（1）建设款（合同价的20%）。河道施工工期为40天，中标通知书</w:t>
            </w:r>
            <w:r>
              <w:rPr>
                <w:rFonts w:hint="eastAsia"/>
                <w:color w:val="auto"/>
                <w:highlight w:val="none"/>
                <w:lang w:eastAsia="zh-CN"/>
              </w:rPr>
              <w:t>发放</w:t>
            </w:r>
            <w:r>
              <w:rPr>
                <w:rFonts w:hint="eastAsia"/>
                <w:color w:val="auto"/>
                <w:highlight w:val="none"/>
              </w:rPr>
              <w:t>之日起40天内，整个标段所有设备、管道、土建等工程实施完毕并交</w:t>
            </w:r>
            <w:r>
              <w:rPr>
                <w:rFonts w:hint="eastAsia"/>
                <w:color w:val="auto"/>
                <w:highlight w:val="none"/>
                <w:lang w:eastAsia="zh-CN"/>
              </w:rPr>
              <w:t>采购单位</w:t>
            </w:r>
            <w:r>
              <w:rPr>
                <w:rFonts w:hint="eastAsia"/>
                <w:color w:val="auto"/>
                <w:highlight w:val="none"/>
              </w:rPr>
              <w:t>整体验收合格，收到</w:t>
            </w:r>
            <w:r>
              <w:rPr>
                <w:rFonts w:hint="eastAsia"/>
                <w:color w:val="auto"/>
                <w:highlight w:val="none"/>
                <w:lang w:eastAsia="zh-CN"/>
              </w:rPr>
              <w:t>养护单位发放</w:t>
            </w:r>
            <w:r>
              <w:rPr>
                <w:rFonts w:hint="eastAsia"/>
                <w:color w:val="auto"/>
                <w:highlight w:val="none"/>
              </w:rPr>
              <w:t>的等额增值税发票后</w:t>
            </w:r>
            <w:r>
              <w:rPr>
                <w:rFonts w:hint="eastAsia"/>
                <w:color w:val="auto"/>
                <w:highlight w:val="none"/>
                <w:lang w:val="en-US" w:eastAsia="zh-CN"/>
              </w:rPr>
              <w:t>15个工作日</w:t>
            </w:r>
            <w:r>
              <w:rPr>
                <w:rFonts w:hint="eastAsia"/>
                <w:color w:val="auto"/>
                <w:highlight w:val="none"/>
              </w:rPr>
              <w:t>内付款合同价的20%；</w:t>
            </w:r>
            <w:r>
              <w:rPr>
                <w:rFonts w:hint="eastAsia"/>
                <w:color w:val="auto"/>
                <w:highlight w:val="none"/>
                <w:lang w:eastAsia="zh-CN"/>
              </w:rPr>
              <w:t>养护单位</w:t>
            </w:r>
            <w:r>
              <w:rPr>
                <w:rFonts w:hint="eastAsia"/>
                <w:color w:val="auto"/>
                <w:highlight w:val="none"/>
              </w:rPr>
              <w:t>逾期完工每延期1天承担合同总价1%的违约金。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highlight w:val="none"/>
              </w:rPr>
            </w:pPr>
            <w:r>
              <w:rPr>
                <w:rFonts w:hint="eastAsia"/>
                <w:color w:val="auto"/>
                <w:highlight w:val="none"/>
              </w:rPr>
              <w:t>中标通知书</w:t>
            </w:r>
            <w:r>
              <w:rPr>
                <w:rFonts w:hint="eastAsia"/>
                <w:color w:val="auto"/>
                <w:highlight w:val="none"/>
                <w:lang w:eastAsia="zh-CN"/>
              </w:rPr>
              <w:t>发放</w:t>
            </w:r>
            <w:r>
              <w:rPr>
                <w:rFonts w:hint="eastAsia"/>
                <w:color w:val="auto"/>
                <w:highlight w:val="none"/>
              </w:rPr>
              <w:t>之日起60天内仍未完成该标段整体施工及设备安装并验收合格的，第61天起每延期1天承担合同总价1‰的违约金；中标通知书</w:t>
            </w:r>
            <w:r>
              <w:rPr>
                <w:rFonts w:hint="eastAsia"/>
                <w:color w:val="auto"/>
                <w:highlight w:val="none"/>
                <w:lang w:eastAsia="zh-CN"/>
              </w:rPr>
              <w:t>发放</w:t>
            </w:r>
            <w:r>
              <w:rPr>
                <w:rFonts w:hint="eastAsia"/>
                <w:color w:val="auto"/>
                <w:highlight w:val="none"/>
              </w:rPr>
              <w:t>之日起120天内仍未完成安装及通过验收的，合同自动解除并扣除全部履约保证金，同时</w:t>
            </w:r>
            <w:r>
              <w:rPr>
                <w:rFonts w:hint="eastAsia"/>
                <w:color w:val="auto"/>
                <w:highlight w:val="none"/>
                <w:lang w:eastAsia="zh-CN"/>
              </w:rPr>
              <w:t>采购单位</w:t>
            </w:r>
            <w:r>
              <w:rPr>
                <w:rFonts w:hint="eastAsia"/>
                <w:color w:val="auto"/>
                <w:highlight w:val="none"/>
              </w:rPr>
              <w:t>有权追究其造成的全部损失，赔偿范围包括但不限于直接损失、间接损失、律师费、诉讼费等费用。</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highlight w:val="none"/>
              </w:rPr>
            </w:pPr>
            <w:r>
              <w:rPr>
                <w:rFonts w:hint="eastAsia"/>
                <w:color w:val="auto"/>
                <w:highlight w:val="none"/>
              </w:rPr>
              <w:t>（2）月度养护款（合同价的60%）。自工程验收合格之月的次月起为养护期，养护经费按月结算、依考核情况核拨，月养护经费以合同价的60%按照实际水质养护完成月数（N）结算，自</w:t>
            </w:r>
            <w:r>
              <w:rPr>
                <w:rFonts w:hint="eastAsia"/>
                <w:color w:val="auto"/>
                <w:highlight w:val="none"/>
                <w:lang w:eastAsia="zh-CN"/>
              </w:rPr>
              <w:t>采购单位</w:t>
            </w:r>
            <w:r>
              <w:rPr>
                <w:rFonts w:hint="eastAsia"/>
                <w:color w:val="auto"/>
                <w:highlight w:val="none"/>
              </w:rPr>
              <w:t>收到</w:t>
            </w:r>
            <w:r>
              <w:rPr>
                <w:rFonts w:hint="eastAsia"/>
                <w:color w:val="auto"/>
                <w:highlight w:val="none"/>
                <w:lang w:eastAsia="zh-CN"/>
              </w:rPr>
              <w:t>养护单位发放</w:t>
            </w:r>
            <w:r>
              <w:rPr>
                <w:rFonts w:hint="eastAsia"/>
                <w:color w:val="auto"/>
                <w:highlight w:val="none"/>
              </w:rPr>
              <w:t>的等额增值税发票后</w:t>
            </w:r>
            <w:r>
              <w:rPr>
                <w:rFonts w:hint="eastAsia"/>
                <w:color w:val="auto"/>
                <w:highlight w:val="none"/>
                <w:lang w:val="en-US" w:eastAsia="zh-CN"/>
              </w:rPr>
              <w:t>15个工作日</w:t>
            </w:r>
            <w:r>
              <w:rPr>
                <w:rFonts w:hint="eastAsia"/>
                <w:color w:val="auto"/>
                <w:highlight w:val="none"/>
              </w:rPr>
              <w:t>内付款，结算方式为：（合同价×60%/12×N）。</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highlight w:val="none"/>
              </w:rPr>
            </w:pPr>
            <w:r>
              <w:rPr>
                <w:rFonts w:hint="eastAsia"/>
                <w:color w:val="auto"/>
                <w:highlight w:val="none"/>
              </w:rPr>
              <w:t>（3）年度考核款（合同价的20%）根据实际水质养护完成月数（N）在年度合同履行完毕后进行结算，结算方式为：合同价×20%/12×N，依考核评定情况至合同期满且达到既定</w:t>
            </w:r>
            <w:r>
              <w:rPr>
                <w:rFonts w:hint="eastAsia"/>
                <w:color w:val="auto"/>
                <w:highlight w:val="none"/>
                <w:lang w:val="en-US" w:eastAsia="zh-CN"/>
              </w:rPr>
              <w:t>年度</w:t>
            </w:r>
            <w:r>
              <w:rPr>
                <w:rFonts w:hint="eastAsia"/>
                <w:color w:val="auto"/>
                <w:highlight w:val="none"/>
              </w:rPr>
              <w:t>目标，</w:t>
            </w:r>
            <w:r>
              <w:rPr>
                <w:rFonts w:hint="eastAsia"/>
                <w:color w:val="auto"/>
                <w:highlight w:val="none"/>
                <w:lang w:eastAsia="zh-CN"/>
              </w:rPr>
              <w:t>采购单位</w:t>
            </w:r>
            <w:r>
              <w:rPr>
                <w:rFonts w:hint="eastAsia"/>
                <w:color w:val="auto"/>
                <w:highlight w:val="none"/>
              </w:rPr>
              <w:t>收到</w:t>
            </w:r>
            <w:r>
              <w:rPr>
                <w:rFonts w:hint="eastAsia"/>
                <w:color w:val="auto"/>
                <w:highlight w:val="none"/>
                <w:lang w:eastAsia="zh-CN"/>
              </w:rPr>
              <w:t>养护单位发放</w:t>
            </w:r>
            <w:r>
              <w:rPr>
                <w:rFonts w:hint="eastAsia"/>
                <w:color w:val="auto"/>
                <w:highlight w:val="none"/>
              </w:rPr>
              <w:t>的等额增值税发票后</w:t>
            </w:r>
            <w:r>
              <w:rPr>
                <w:rFonts w:hint="eastAsia"/>
                <w:color w:val="auto"/>
                <w:highlight w:val="none"/>
                <w:lang w:val="en-US" w:eastAsia="zh-CN"/>
              </w:rPr>
              <w:t>15个工作日</w:t>
            </w:r>
            <w:r>
              <w:rPr>
                <w:rFonts w:hint="eastAsia"/>
                <w:color w:val="auto"/>
                <w:highlight w:val="none"/>
              </w:rPr>
              <w:t>内拨付，并退还履约保证金。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highlight w:val="none"/>
              </w:rPr>
            </w:pPr>
            <w:r>
              <w:rPr>
                <w:rFonts w:hint="eastAsia"/>
                <w:color w:val="auto"/>
                <w:highlight w:val="none"/>
              </w:rPr>
              <w:t>2、第二/三年：新合同签订后第一个月起养护经费按月结算、依考核情况核拨，月结算养护经费累计总额为新合同总价的80%</w:t>
            </w:r>
            <w:r>
              <w:rPr>
                <w:rFonts w:hint="eastAsia"/>
                <w:color w:val="auto"/>
                <w:highlight w:val="none"/>
                <w:lang w:eastAsia="zh-CN"/>
              </w:rPr>
              <w:t>（</w:t>
            </w:r>
            <w:r>
              <w:rPr>
                <w:rFonts w:hint="eastAsia"/>
                <w:color w:val="auto"/>
                <w:highlight w:val="none"/>
              </w:rPr>
              <w:t>结算方式为：合同价×</w:t>
            </w:r>
            <w:r>
              <w:rPr>
                <w:rFonts w:hint="eastAsia"/>
                <w:color w:val="auto"/>
                <w:highlight w:val="none"/>
                <w:lang w:val="en-US" w:eastAsia="zh-CN"/>
              </w:rPr>
              <w:t>8</w:t>
            </w:r>
            <w:r>
              <w:rPr>
                <w:rFonts w:hint="eastAsia"/>
                <w:color w:val="auto"/>
                <w:highlight w:val="none"/>
              </w:rPr>
              <w:t>0%/12×N</w:t>
            </w:r>
            <w:r>
              <w:rPr>
                <w:rFonts w:hint="eastAsia"/>
                <w:color w:val="auto"/>
                <w:highlight w:val="none"/>
                <w:lang w:eastAsia="zh-CN"/>
              </w:rPr>
              <w:t>）</w:t>
            </w:r>
            <w:r>
              <w:rPr>
                <w:rFonts w:hint="eastAsia"/>
                <w:color w:val="auto"/>
                <w:highlight w:val="none"/>
              </w:rPr>
              <w:t>，年度考核款（新合同价的20%）依考核评定情况至合同期满且达到既定年度目标后</w:t>
            </w:r>
            <w:r>
              <w:rPr>
                <w:rFonts w:hint="eastAsia"/>
                <w:color w:val="auto"/>
                <w:highlight w:val="none"/>
                <w:lang w:val="en-US" w:eastAsia="zh-CN"/>
              </w:rPr>
              <w:t>15个工作日</w:t>
            </w:r>
            <w:r>
              <w:rPr>
                <w:rFonts w:hint="eastAsia"/>
                <w:color w:val="auto"/>
                <w:highlight w:val="none"/>
              </w:rPr>
              <w:t>内拨付，并退还履约保证金。每笔费用均在</w:t>
            </w:r>
            <w:r>
              <w:rPr>
                <w:rFonts w:hint="eastAsia"/>
                <w:color w:val="auto"/>
                <w:highlight w:val="none"/>
                <w:lang w:eastAsia="zh-CN"/>
              </w:rPr>
              <w:t>采购单位</w:t>
            </w:r>
            <w:r>
              <w:rPr>
                <w:rFonts w:hint="eastAsia"/>
                <w:color w:val="auto"/>
                <w:highlight w:val="none"/>
              </w:rPr>
              <w:t>收到</w:t>
            </w:r>
            <w:r>
              <w:rPr>
                <w:rFonts w:hint="eastAsia"/>
                <w:color w:val="auto"/>
                <w:highlight w:val="none"/>
                <w:lang w:eastAsia="zh-CN"/>
              </w:rPr>
              <w:t>养护单位发放</w:t>
            </w:r>
            <w:r>
              <w:rPr>
                <w:rFonts w:hint="eastAsia"/>
                <w:color w:val="auto"/>
                <w:highlight w:val="none"/>
              </w:rPr>
              <w:t>的等额增值税发票后支付，</w:t>
            </w:r>
            <w:r>
              <w:rPr>
                <w:rFonts w:hint="eastAsia"/>
                <w:color w:val="auto"/>
                <w:highlight w:val="none"/>
                <w:lang w:eastAsia="zh-CN"/>
              </w:rPr>
              <w:t>养护单位</w:t>
            </w:r>
            <w:r>
              <w:rPr>
                <w:rFonts w:hint="eastAsia"/>
                <w:color w:val="auto"/>
                <w:highlight w:val="none"/>
              </w:rPr>
              <w:t>迟延</w:t>
            </w:r>
            <w:r>
              <w:rPr>
                <w:rFonts w:hint="eastAsia"/>
                <w:color w:val="auto"/>
                <w:highlight w:val="none"/>
                <w:lang w:eastAsia="zh-CN"/>
              </w:rPr>
              <w:t>发放</w:t>
            </w:r>
            <w:r>
              <w:rPr>
                <w:rFonts w:hint="eastAsia"/>
                <w:color w:val="auto"/>
                <w:highlight w:val="none"/>
              </w:rPr>
              <w:t>发票的，</w:t>
            </w:r>
            <w:r>
              <w:rPr>
                <w:rFonts w:hint="eastAsia"/>
                <w:color w:val="auto"/>
                <w:highlight w:val="none"/>
                <w:lang w:eastAsia="zh-CN"/>
              </w:rPr>
              <w:t>采购单位</w:t>
            </w:r>
            <w:r>
              <w:rPr>
                <w:rFonts w:hint="eastAsia"/>
                <w:color w:val="auto"/>
                <w:highlight w:val="none"/>
              </w:rPr>
              <w:t>不承担逾期付款违约责任。</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highlight w:val="none"/>
              </w:rPr>
            </w:pPr>
            <w:r>
              <w:rPr>
                <w:rFonts w:hint="eastAsia"/>
                <w:color w:val="auto"/>
                <w:highlight w:val="none"/>
              </w:rPr>
              <w:t>3、若在年度合同履行完毕后，</w:t>
            </w:r>
            <w:r>
              <w:rPr>
                <w:rFonts w:hint="eastAsia"/>
                <w:color w:val="auto"/>
                <w:highlight w:val="none"/>
                <w:lang w:eastAsia="zh-CN"/>
              </w:rPr>
              <w:t>养护单位</w:t>
            </w:r>
            <w:r>
              <w:rPr>
                <w:rFonts w:hint="eastAsia"/>
                <w:color w:val="auto"/>
                <w:highlight w:val="none"/>
              </w:rPr>
              <w:t>单方面提出不再续签合同的，则扣除上一年度合同总金额20%的服务经费。</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olor w:val="auto"/>
                <w:highlight w:val="none"/>
              </w:rPr>
            </w:pPr>
            <w:r>
              <w:rPr>
                <w:rFonts w:hint="eastAsia"/>
                <w:color w:val="auto"/>
                <w:highlight w:val="none"/>
              </w:rPr>
              <w:t>4、考核所扣取的经费直接在当月核拨的养护经费中扣除。</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color w:val="auto"/>
                <w:highlight w:val="none"/>
              </w:rPr>
            </w:pPr>
            <w:r>
              <w:rPr>
                <w:rFonts w:hint="eastAsia"/>
                <w:color w:val="auto"/>
                <w:highlight w:val="none"/>
              </w:rPr>
              <w:t>5、上述所有</w:t>
            </w:r>
            <w:r>
              <w:rPr>
                <w:rFonts w:hint="eastAsia"/>
                <w:color w:val="auto"/>
                <w:highlight w:val="none"/>
                <w:lang w:eastAsia="zh-CN"/>
              </w:rPr>
              <w:t>养护单位</w:t>
            </w:r>
            <w:r>
              <w:rPr>
                <w:rFonts w:hint="eastAsia"/>
                <w:color w:val="auto"/>
                <w:highlight w:val="none"/>
              </w:rPr>
              <w:t>应承担的违约金</w:t>
            </w:r>
            <w:r>
              <w:rPr>
                <w:rFonts w:hint="eastAsia"/>
                <w:color w:val="auto"/>
                <w:highlight w:val="none"/>
                <w:lang w:eastAsia="zh-CN"/>
              </w:rPr>
              <w:t>采购单位</w:t>
            </w:r>
            <w:r>
              <w:rPr>
                <w:rFonts w:hint="eastAsia"/>
                <w:color w:val="auto"/>
                <w:highlight w:val="none"/>
              </w:rPr>
              <w:t>有权直接在履约保证金中扣除，扣除后仍不足的，</w:t>
            </w:r>
            <w:r>
              <w:rPr>
                <w:rFonts w:hint="eastAsia"/>
                <w:color w:val="auto"/>
                <w:highlight w:val="none"/>
                <w:lang w:eastAsia="zh-CN"/>
              </w:rPr>
              <w:t>采购单位</w:t>
            </w:r>
            <w:r>
              <w:rPr>
                <w:rFonts w:hint="eastAsia"/>
                <w:color w:val="auto"/>
                <w:highlight w:val="none"/>
              </w:rPr>
              <w:t>有权在其他未结算款项中扣除。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highlight w:val="none"/>
              </w:rPr>
            </w:pPr>
            <w:r>
              <w:rPr>
                <w:rFonts w:hint="eastAsia"/>
                <w:b/>
                <w:bCs/>
                <w:color w:val="auto"/>
                <w:highlight w:val="none"/>
                <w:lang w:eastAsia="zh-CN"/>
              </w:rPr>
              <w:t>*</w:t>
            </w:r>
            <w:r>
              <w:rPr>
                <w:rFonts w:hint="eastAsia"/>
                <w:b/>
                <w:bCs/>
                <w:color w:val="auto"/>
                <w:highlight w:val="none"/>
              </w:rPr>
              <w:t>15</w:t>
            </w:r>
          </w:p>
        </w:tc>
        <w:tc>
          <w:tcPr>
            <w:tcW w:w="84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b/>
                <w:bCs/>
                <w:color w:val="auto"/>
                <w:highlight w:val="none"/>
              </w:rPr>
            </w:pPr>
            <w:r>
              <w:rPr>
                <w:rFonts w:hint="eastAsia"/>
                <w:b/>
                <w:bCs/>
                <w:color w:val="auto"/>
                <w:highlight w:val="none"/>
              </w:rPr>
              <w:t>投标文件有效期：自投标截止日起</w:t>
            </w:r>
            <w:r>
              <w:rPr>
                <w:rFonts w:hint="eastAsia"/>
                <w:b/>
                <w:bCs/>
                <w:color w:val="auto"/>
                <w:highlight w:val="none"/>
                <w:u w:val="single"/>
              </w:rPr>
              <w:t>120</w:t>
            </w:r>
            <w:r>
              <w:rPr>
                <w:rFonts w:hint="eastAsia"/>
                <w:b/>
                <w:bCs/>
                <w:color w:val="auto"/>
                <w:highlight w:val="none"/>
              </w:rPr>
              <w:t>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highlight w:val="none"/>
              </w:rPr>
            </w:pPr>
            <w:r>
              <w:rPr>
                <w:rFonts w:hint="eastAsia"/>
                <w:b/>
                <w:bCs/>
                <w:color w:val="auto"/>
                <w:highlight w:val="none"/>
              </w:rPr>
              <w:t>16</w:t>
            </w:r>
          </w:p>
        </w:tc>
        <w:tc>
          <w:tcPr>
            <w:tcW w:w="84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color w:val="auto"/>
                <w:highlight w:val="none"/>
              </w:rPr>
            </w:pPr>
            <w:r>
              <w:rPr>
                <w:rFonts w:hint="eastAsia"/>
                <w:b/>
                <w:bCs/>
                <w:color w:val="auto"/>
                <w:highlight w:val="none"/>
              </w:rPr>
              <w:t>服务有关要求：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color w:val="auto"/>
                <w:highlight w:val="none"/>
              </w:rPr>
            </w:pPr>
            <w:r>
              <w:rPr>
                <w:rFonts w:hint="eastAsia"/>
                <w:color w:val="auto"/>
                <w:highlight w:val="none"/>
              </w:rPr>
              <w:t>1、服务地点/服务现场：详见“第二章 采购需求”。</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b/>
                <w:color w:val="auto"/>
                <w:highlight w:val="none"/>
              </w:rPr>
            </w:pPr>
            <w:r>
              <w:rPr>
                <w:rFonts w:hint="eastAsia"/>
                <w:color w:val="auto"/>
                <w:highlight w:val="none"/>
              </w:rPr>
              <w:t>2、应提供的其他辅助服务</w:t>
            </w:r>
            <w:r>
              <w:rPr>
                <w:color w:val="auto"/>
                <w:highlight w:val="none"/>
              </w:rPr>
              <w:t>/</w:t>
            </w:r>
            <w:r>
              <w:rPr>
                <w:rFonts w:hint="eastAsia"/>
                <w:color w:val="auto"/>
                <w:highlight w:val="none"/>
              </w:rPr>
              <w:t>工作任务：详见“第二章 采购需求”。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72"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highlight w:val="none"/>
              </w:rPr>
            </w:pPr>
            <w:r>
              <w:rPr>
                <w:rFonts w:hint="eastAsia"/>
                <w:b/>
                <w:bCs/>
                <w:color w:val="auto"/>
                <w:highlight w:val="none"/>
              </w:rPr>
              <w:t>17</w:t>
            </w:r>
          </w:p>
        </w:tc>
        <w:tc>
          <w:tcPr>
            <w:tcW w:w="84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lang w:val="en-US" w:eastAsia="zh-CN"/>
              </w:rPr>
              <w:t>招标</w:t>
            </w:r>
            <w:r>
              <w:rPr>
                <w:rFonts w:hint="eastAsia"/>
              </w:rPr>
              <w:t>服务费：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rPr>
            </w:pPr>
            <w:r>
              <w:rPr>
                <w:rFonts w:hint="eastAsia"/>
              </w:rPr>
              <w:t>中标服务费的收取：本招标代理机构参照国家计委计价格[2002]1980号文</w:t>
            </w:r>
            <w:r>
              <w:rPr>
                <w:rFonts w:hint="eastAsia"/>
                <w:lang w:val="en-US" w:eastAsia="zh-CN"/>
              </w:rPr>
              <w:t>件规定，以</w:t>
            </w:r>
            <w:r>
              <w:rPr>
                <w:rFonts w:hint="eastAsia"/>
              </w:rPr>
              <w:t>宁波市中介超市网就本项目竞报价格</w:t>
            </w:r>
            <w:r>
              <w:rPr>
                <w:rFonts w:hint="eastAsia"/>
                <w:lang w:val="en-US" w:eastAsia="zh-CN"/>
              </w:rPr>
              <w:t>向</w:t>
            </w:r>
            <w:r>
              <w:rPr>
                <w:rFonts w:hint="eastAsia"/>
              </w:rPr>
              <w:t>中标人收取招标服务费。</w:t>
            </w:r>
            <w:r>
              <w:rPr>
                <w:rFonts w:hint="eastAsia"/>
                <w:lang w:val="en-US" w:eastAsia="zh-CN"/>
              </w:rPr>
              <w:t>向</w:t>
            </w:r>
            <w:r>
              <w:rPr>
                <w:rFonts w:hint="eastAsia"/>
              </w:rPr>
              <w:t>标段一的中标人收取</w:t>
            </w:r>
            <w:r>
              <w:rPr>
                <w:rFonts w:hint="eastAsia"/>
                <w:lang w:val="en-US" w:eastAsia="zh-CN"/>
              </w:rPr>
              <w:t>3.2</w:t>
            </w:r>
            <w:r>
              <w:rPr>
                <w:rFonts w:hint="eastAsia"/>
              </w:rPr>
              <w:t>万元的招标服务费，向标段二的中标人收取</w:t>
            </w:r>
            <w:r>
              <w:rPr>
                <w:rFonts w:hint="eastAsia"/>
                <w:lang w:val="en-US" w:eastAsia="zh-CN"/>
              </w:rPr>
              <w:t>3.2</w:t>
            </w:r>
            <w:r>
              <w:rPr>
                <w:rFonts w:hint="eastAsia"/>
              </w:rPr>
              <w:t>万元的招标服务费，向标段三的中标人收取</w:t>
            </w:r>
            <w:r>
              <w:rPr>
                <w:rFonts w:hint="eastAsia"/>
                <w:lang w:val="en-US" w:eastAsia="zh-CN"/>
              </w:rPr>
              <w:t>2.2</w:t>
            </w:r>
            <w:r>
              <w:rPr>
                <w:rFonts w:hint="eastAsia"/>
              </w:rPr>
              <w:t>万元的招标服务费，向标段四的中标人收取</w:t>
            </w:r>
            <w:r>
              <w:rPr>
                <w:rFonts w:hint="eastAsia"/>
                <w:lang w:val="en-US" w:eastAsia="zh-CN"/>
              </w:rPr>
              <w:t>1.6</w:t>
            </w:r>
            <w:r>
              <w:rPr>
                <w:rFonts w:hint="eastAsia"/>
              </w:rPr>
              <w:t>万元的招标服务费，向标段五的中标人收取</w:t>
            </w:r>
            <w:r>
              <w:rPr>
                <w:rFonts w:hint="eastAsia"/>
                <w:lang w:val="en-US" w:eastAsia="zh-CN"/>
              </w:rPr>
              <w:t>2.1</w:t>
            </w:r>
            <w:r>
              <w:rPr>
                <w:rFonts w:hint="eastAsia"/>
              </w:rPr>
              <w:t>万元的招标服务费，向标段六的中标人收取</w:t>
            </w:r>
            <w:r>
              <w:rPr>
                <w:rFonts w:hint="eastAsia"/>
                <w:lang w:val="en-US" w:eastAsia="zh-CN"/>
              </w:rPr>
              <w:t>2.2</w:t>
            </w:r>
            <w:r>
              <w:rPr>
                <w:rFonts w:hint="eastAsia"/>
              </w:rPr>
              <w:t>万元的招标服务费，向标段七的中标人收取1.</w:t>
            </w:r>
            <w:r>
              <w:rPr>
                <w:rFonts w:hint="eastAsia"/>
                <w:lang w:val="en-US" w:eastAsia="zh-CN"/>
              </w:rPr>
              <w:t>9</w:t>
            </w:r>
            <w:r>
              <w:rPr>
                <w:rFonts w:hint="eastAsia"/>
              </w:rPr>
              <w:t>万元的招标服务费，向标段八的中标人收取1.</w:t>
            </w:r>
            <w:r>
              <w:rPr>
                <w:rFonts w:hint="eastAsia"/>
                <w:lang w:val="en-US" w:eastAsia="zh-CN"/>
              </w:rPr>
              <w:t>6</w:t>
            </w:r>
            <w:r>
              <w:rPr>
                <w:rFonts w:hint="eastAsia"/>
              </w:rPr>
              <w:t>万元的招标服务费，向标段九的中标人收取</w:t>
            </w:r>
            <w:r>
              <w:rPr>
                <w:rFonts w:hint="eastAsia"/>
                <w:lang w:val="en-US" w:eastAsia="zh-CN"/>
              </w:rPr>
              <w:t>2.1</w:t>
            </w:r>
            <w:r>
              <w:rPr>
                <w:rFonts w:hint="eastAsia"/>
              </w:rPr>
              <w:t>万元的招标服务费</w:t>
            </w:r>
            <w:r>
              <w:rPr>
                <w:rFonts w:hint="eastAsia"/>
                <w:lang w:eastAsia="zh-CN"/>
              </w:rPr>
              <w:t>，</w:t>
            </w:r>
            <w:r>
              <w:rPr>
                <w:rFonts w:hint="eastAsia"/>
              </w:rPr>
              <w:t>向标段</w:t>
            </w:r>
            <w:r>
              <w:rPr>
                <w:rFonts w:hint="eastAsia"/>
                <w:lang w:val="en-US" w:eastAsia="zh-CN"/>
              </w:rPr>
              <w:t>十</w:t>
            </w:r>
            <w:r>
              <w:rPr>
                <w:rFonts w:hint="eastAsia"/>
              </w:rPr>
              <w:t>的中标人收取</w:t>
            </w:r>
            <w:r>
              <w:rPr>
                <w:rFonts w:hint="eastAsia"/>
                <w:lang w:val="en-US" w:eastAsia="zh-CN"/>
              </w:rPr>
              <w:t>1.5</w:t>
            </w:r>
            <w:r>
              <w:rPr>
                <w:rFonts w:hint="eastAsia"/>
              </w:rPr>
              <w:t>万元的招标服务费</w:t>
            </w:r>
            <w:r>
              <w:rPr>
                <w:rFonts w:hint="eastAsia"/>
                <w:lang w:eastAsia="zh-CN"/>
              </w:rPr>
              <w:t>，</w:t>
            </w:r>
            <w:r>
              <w:rPr>
                <w:rFonts w:hint="eastAsia"/>
              </w:rPr>
              <w:t>向标段</w:t>
            </w:r>
            <w:r>
              <w:rPr>
                <w:rFonts w:hint="eastAsia"/>
                <w:lang w:val="en-US" w:eastAsia="zh-CN"/>
              </w:rPr>
              <w:t>十一</w:t>
            </w:r>
            <w:r>
              <w:rPr>
                <w:rFonts w:hint="eastAsia"/>
              </w:rPr>
              <w:t>的中标人收取</w:t>
            </w:r>
            <w:r>
              <w:rPr>
                <w:rFonts w:hint="eastAsia"/>
                <w:lang w:val="en-US" w:eastAsia="zh-CN"/>
              </w:rPr>
              <w:t>1.4</w:t>
            </w:r>
            <w:r>
              <w:rPr>
                <w:rFonts w:hint="eastAsia"/>
              </w:rPr>
              <w:t>万元的招标服务费。</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default"/>
                <w:b/>
                <w:bCs/>
                <w:lang w:val="en-US" w:eastAsia="zh-CN"/>
              </w:rPr>
              <w:t>有关本项目的中标服务费汇入以下账户</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default"/>
                <w:b/>
                <w:bCs/>
                <w:lang w:val="en-US" w:eastAsia="zh-CN"/>
              </w:rPr>
              <w:t>开户名称：浙江绿邦招标代理有限公司</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default"/>
                <w:b/>
                <w:bCs/>
                <w:lang w:val="en-US" w:eastAsia="zh-CN"/>
              </w:rPr>
              <w:t>开户银行：鄞州农村商业银行股份有限公司灵桥支行</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b/>
                <w:bCs/>
                <w:lang w:val="en-US" w:eastAsia="zh-CN"/>
              </w:rPr>
            </w:pPr>
            <w:r>
              <w:rPr>
                <w:rFonts w:hint="default"/>
                <w:b/>
                <w:bCs/>
                <w:lang w:val="en-US" w:eastAsia="zh-CN"/>
              </w:rPr>
              <w:t>帐</w:t>
            </w:r>
            <w:r>
              <w:rPr>
                <w:rFonts w:hint="eastAsia"/>
                <w:b/>
                <w:bCs/>
                <w:lang w:val="en-US" w:eastAsia="zh-CN"/>
              </w:rPr>
              <w:t xml:space="preserve">    </w:t>
            </w:r>
            <w:r>
              <w:rPr>
                <w:rFonts w:hint="default"/>
                <w:b/>
                <w:bCs/>
                <w:lang w:val="en-US" w:eastAsia="zh-CN"/>
              </w:rPr>
              <w:t>号：8101 3101 3022 43688</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中标人的汇款凭证、开票信息及邮寄地址（若邮寄）以Word形式统一发送至</w:t>
            </w:r>
            <w:r>
              <w:rPr>
                <w:rFonts w:hint="eastAsia" w:ascii="宋体" w:hAnsi="宋体" w:eastAsia="宋体" w:cs="宋体"/>
                <w:color w:val="auto"/>
                <w:highlight w:val="none"/>
                <w:lang w:val="en-US" w:eastAsia="zh-CN"/>
              </w:rPr>
              <w:t>lvbangzb@163.com</w:t>
            </w:r>
            <w:r>
              <w:rPr>
                <w:rFonts w:hint="eastAsia" w:ascii="宋体" w:hAnsi="宋体" w:cs="宋体"/>
                <w:color w:val="auto"/>
                <w:highlight w:val="none"/>
                <w:lang w:val="en-US" w:eastAsia="zh-CN"/>
              </w:rPr>
              <w:t>工作邮箱。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highlight w:val="none"/>
              </w:rPr>
            </w:pPr>
            <w:r>
              <w:rPr>
                <w:rFonts w:hint="eastAsia"/>
                <w:b/>
                <w:bCs/>
                <w:color w:val="auto"/>
                <w:highlight w:val="none"/>
              </w:rPr>
              <w:t>18</w:t>
            </w:r>
          </w:p>
        </w:tc>
        <w:tc>
          <w:tcPr>
            <w:tcW w:w="84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highlight w:val="none"/>
              </w:rPr>
            </w:pPr>
            <w:r>
              <w:rPr>
                <w:rFonts w:hint="eastAsia"/>
                <w:b/>
                <w:bCs/>
                <w:color w:val="auto"/>
                <w:highlight w:val="none"/>
              </w:rPr>
              <w:t>解释：</w:t>
            </w:r>
            <w:r>
              <w:rPr>
                <w:rFonts w:hint="eastAsia"/>
                <w:color w:val="auto"/>
                <w:highlight w:val="none"/>
              </w:rPr>
              <w:t>本招标文件的解释权属于招标</w:t>
            </w:r>
            <w:r>
              <w:rPr>
                <w:rFonts w:hint="eastAsia"/>
                <w:color w:val="auto"/>
                <w:highlight w:val="none"/>
                <w:lang w:eastAsia="zh-CN"/>
              </w:rPr>
              <w:t>采购单位</w:t>
            </w:r>
            <w:r>
              <w:rPr>
                <w:rFonts w:hint="eastAsia"/>
                <w:color w:val="auto"/>
                <w:highlight w:val="none"/>
              </w:rPr>
              <w:t>。</w:t>
            </w:r>
          </w:p>
        </w:tc>
      </w:tr>
    </w:tbl>
    <w:p>
      <w:pPr>
        <w:pStyle w:val="8"/>
        <w:numPr>
          <w:ilvl w:val="0"/>
          <w:numId w:val="0"/>
        </w:numPr>
        <w:tabs>
          <w:tab w:val="left" w:pos="720"/>
          <w:tab w:val="clear" w:pos="360"/>
        </w:tabs>
        <w:snapToGrid w:val="0"/>
        <w:spacing w:line="360" w:lineRule="auto"/>
        <w:ind w:left="412" w:leftChars="196"/>
        <w:rPr>
          <w:rFonts w:hAnsi="宋体"/>
          <w:color w:val="auto"/>
          <w:szCs w:val="21"/>
          <w:highlight w:val="none"/>
        </w:rPr>
      </w:pPr>
      <w:r>
        <w:rPr>
          <w:color w:val="auto"/>
          <w:highlight w:val="none"/>
        </w:rPr>
        <w:br w:type="page"/>
      </w:r>
      <w:r>
        <w:rPr>
          <w:rFonts w:hint="eastAsia" w:ascii="宋体" w:hAnsi="宋体"/>
          <w:b/>
          <w:color w:val="auto"/>
          <w:szCs w:val="21"/>
          <w:highlight w:val="none"/>
        </w:rPr>
        <w:t>一 、总则</w:t>
      </w:r>
    </w:p>
    <w:p>
      <w:pPr>
        <w:pStyle w:val="8"/>
        <w:numPr>
          <w:ilvl w:val="0"/>
          <w:numId w:val="0"/>
        </w:numPr>
        <w:tabs>
          <w:tab w:val="left" w:pos="720"/>
          <w:tab w:val="clear" w:pos="360"/>
        </w:tabs>
        <w:snapToGrid w:val="0"/>
        <w:spacing w:line="360" w:lineRule="auto"/>
        <w:ind w:left="412" w:leftChars="196"/>
        <w:rPr>
          <w:rFonts w:ascii="宋体" w:hAnsi="宋体"/>
          <w:b/>
          <w:color w:val="auto"/>
          <w:szCs w:val="21"/>
          <w:highlight w:val="none"/>
        </w:rPr>
      </w:pPr>
      <w:r>
        <w:rPr>
          <w:rFonts w:hint="eastAsia" w:ascii="宋体" w:hAnsi="宋体"/>
          <w:b/>
          <w:color w:val="auto"/>
          <w:szCs w:val="21"/>
          <w:highlight w:val="none"/>
        </w:rPr>
        <w:t>（一）</w:t>
      </w:r>
      <w:r>
        <w:rPr>
          <w:rFonts w:ascii="宋体" w:hAnsi="宋体"/>
          <w:b/>
          <w:color w:val="auto"/>
          <w:szCs w:val="21"/>
          <w:highlight w:val="none"/>
        </w:rPr>
        <w:t xml:space="preserve"> 适用范围</w:t>
      </w:r>
    </w:p>
    <w:p>
      <w:pPr>
        <w:pStyle w:val="11"/>
        <w:snapToGrid w:val="0"/>
        <w:spacing w:beforeLines="0" w:afterLines="0" w:line="360" w:lineRule="auto"/>
        <w:ind w:firstLine="420" w:firstLineChars="200"/>
        <w:rPr>
          <w:rFonts w:hAnsi="宋体"/>
          <w:color w:val="auto"/>
          <w:sz w:val="21"/>
          <w:szCs w:val="21"/>
          <w:highlight w:val="none"/>
        </w:rPr>
      </w:pPr>
      <w:r>
        <w:rPr>
          <w:rFonts w:hint="eastAsia" w:hAnsi="宋体"/>
          <w:color w:val="auto"/>
          <w:sz w:val="21"/>
          <w:szCs w:val="21"/>
          <w:highlight w:val="none"/>
        </w:rPr>
        <w:t>本招标文件适用于本项目的招标、投标、评标、定标、验收、合同履约、付款等行为（法律、法规另有规定的，从其规定）。</w:t>
      </w:r>
    </w:p>
    <w:p>
      <w:pPr>
        <w:pStyle w:val="8"/>
        <w:numPr>
          <w:ilvl w:val="0"/>
          <w:numId w:val="0"/>
        </w:numPr>
        <w:tabs>
          <w:tab w:val="left" w:pos="720"/>
          <w:tab w:val="clear" w:pos="360"/>
        </w:tabs>
        <w:snapToGrid w:val="0"/>
        <w:spacing w:line="360" w:lineRule="auto"/>
        <w:ind w:left="412" w:leftChars="196"/>
        <w:rPr>
          <w:rFonts w:ascii="宋体" w:hAnsi="宋体"/>
          <w:b/>
          <w:color w:val="auto"/>
          <w:szCs w:val="21"/>
          <w:highlight w:val="none"/>
        </w:rPr>
      </w:pPr>
      <w:r>
        <w:rPr>
          <w:rFonts w:hint="eastAsia" w:ascii="宋体" w:hAnsi="宋体"/>
          <w:b/>
          <w:color w:val="auto"/>
          <w:szCs w:val="21"/>
          <w:highlight w:val="none"/>
        </w:rPr>
        <w:t>（二）定义</w:t>
      </w:r>
    </w:p>
    <w:p>
      <w:pPr>
        <w:pStyle w:val="11"/>
        <w:snapToGrid w:val="0"/>
        <w:spacing w:beforeLines="0" w:afterLines="0" w:line="360" w:lineRule="auto"/>
        <w:ind w:firstLine="420" w:firstLineChars="200"/>
        <w:rPr>
          <w:rFonts w:hAnsi="宋体"/>
          <w:color w:val="auto"/>
          <w:sz w:val="21"/>
          <w:szCs w:val="21"/>
          <w:highlight w:val="none"/>
        </w:rPr>
      </w:pPr>
      <w:r>
        <w:rPr>
          <w:rFonts w:hAnsi="宋体"/>
          <w:color w:val="auto"/>
          <w:sz w:val="21"/>
          <w:szCs w:val="21"/>
          <w:highlight w:val="none"/>
        </w:rPr>
        <w:t>1</w:t>
      </w:r>
      <w:r>
        <w:rPr>
          <w:rFonts w:hint="eastAsia" w:hAnsi="宋体"/>
          <w:color w:val="auto"/>
          <w:sz w:val="21"/>
          <w:szCs w:val="21"/>
          <w:highlight w:val="none"/>
        </w:rPr>
        <w:t>、“采购单位”系指组织本次招标</w:t>
      </w:r>
      <w:r>
        <w:rPr>
          <w:rFonts w:hAnsi="宋体"/>
          <w:color w:val="auto"/>
          <w:sz w:val="21"/>
          <w:szCs w:val="21"/>
          <w:highlight w:val="none"/>
        </w:rPr>
        <w:t>的代理机构和采购单位。</w:t>
      </w:r>
    </w:p>
    <w:p>
      <w:pPr>
        <w:pStyle w:val="11"/>
        <w:snapToGrid w:val="0"/>
        <w:spacing w:beforeLines="0" w:afterLines="0" w:line="360" w:lineRule="auto"/>
        <w:ind w:firstLine="420" w:firstLineChars="200"/>
        <w:rPr>
          <w:rFonts w:hAnsi="宋体"/>
          <w:color w:val="auto"/>
          <w:sz w:val="21"/>
          <w:szCs w:val="21"/>
          <w:highlight w:val="none"/>
        </w:rPr>
      </w:pPr>
      <w:r>
        <w:rPr>
          <w:rFonts w:hAnsi="宋体"/>
          <w:color w:val="auto"/>
          <w:sz w:val="21"/>
          <w:szCs w:val="21"/>
          <w:highlight w:val="none"/>
        </w:rPr>
        <w:t>2</w:t>
      </w:r>
      <w:r>
        <w:rPr>
          <w:rFonts w:hint="eastAsia" w:hAnsi="宋体"/>
          <w:color w:val="auto"/>
          <w:sz w:val="21"/>
          <w:szCs w:val="21"/>
          <w:highlight w:val="none"/>
        </w:rPr>
        <w:t>、“</w:t>
      </w:r>
      <w:r>
        <w:rPr>
          <w:rFonts w:hint="eastAsia" w:hAnsi="宋体"/>
          <w:color w:val="auto"/>
          <w:sz w:val="21"/>
          <w:szCs w:val="21"/>
          <w:highlight w:val="none"/>
          <w:lang w:eastAsia="zh-CN"/>
        </w:rPr>
        <w:t>投标人</w:t>
      </w:r>
      <w:r>
        <w:rPr>
          <w:rFonts w:hAnsi="宋体"/>
          <w:color w:val="auto"/>
          <w:sz w:val="21"/>
          <w:szCs w:val="21"/>
          <w:highlight w:val="none"/>
        </w:rPr>
        <w:t>”系指向招标方提交投标文件的</w:t>
      </w:r>
      <w:r>
        <w:rPr>
          <w:rFonts w:hint="eastAsia" w:hAnsi="宋体"/>
          <w:color w:val="auto"/>
          <w:sz w:val="21"/>
          <w:szCs w:val="21"/>
          <w:highlight w:val="none"/>
          <w:lang w:eastAsia="zh-CN"/>
        </w:rPr>
        <w:t>投标人</w:t>
      </w:r>
      <w:r>
        <w:rPr>
          <w:rFonts w:hAnsi="宋体"/>
          <w:color w:val="auto"/>
          <w:sz w:val="21"/>
          <w:szCs w:val="21"/>
          <w:highlight w:val="none"/>
        </w:rPr>
        <w:t>。</w:t>
      </w:r>
    </w:p>
    <w:p>
      <w:pPr>
        <w:pStyle w:val="11"/>
        <w:snapToGrid w:val="0"/>
        <w:spacing w:beforeLines="0" w:afterLines="0" w:line="360" w:lineRule="auto"/>
        <w:ind w:firstLine="420" w:firstLineChars="200"/>
        <w:rPr>
          <w:rFonts w:hAnsi="宋体"/>
          <w:color w:val="auto"/>
          <w:sz w:val="21"/>
          <w:szCs w:val="21"/>
          <w:highlight w:val="none"/>
        </w:rPr>
      </w:pPr>
      <w:r>
        <w:rPr>
          <w:rFonts w:hAnsi="宋体"/>
          <w:color w:val="auto"/>
          <w:sz w:val="21"/>
          <w:szCs w:val="21"/>
          <w:highlight w:val="none"/>
        </w:rPr>
        <w:t>3</w:t>
      </w:r>
      <w:r>
        <w:rPr>
          <w:rFonts w:hint="eastAsia" w:hAnsi="宋体"/>
          <w:color w:val="auto"/>
          <w:sz w:val="21"/>
          <w:szCs w:val="21"/>
          <w:highlight w:val="none"/>
        </w:rPr>
        <w:t>、</w:t>
      </w:r>
      <w:r>
        <w:rPr>
          <w:rFonts w:hAnsi="宋体"/>
          <w:color w:val="auto"/>
          <w:sz w:val="21"/>
          <w:szCs w:val="21"/>
          <w:highlight w:val="none"/>
        </w:rPr>
        <w:t>“产品”系指供方按招标文件规定，须向</w:t>
      </w:r>
      <w:r>
        <w:rPr>
          <w:rFonts w:hint="eastAsia" w:hAnsi="宋体"/>
          <w:color w:val="auto"/>
          <w:sz w:val="21"/>
          <w:szCs w:val="21"/>
          <w:highlight w:val="none"/>
          <w:lang w:eastAsia="zh-CN"/>
        </w:rPr>
        <w:t>采购单位</w:t>
      </w:r>
      <w:r>
        <w:rPr>
          <w:rFonts w:hAnsi="宋体"/>
          <w:color w:val="auto"/>
          <w:sz w:val="21"/>
          <w:szCs w:val="21"/>
          <w:highlight w:val="none"/>
        </w:rPr>
        <w:t>提供的</w:t>
      </w:r>
      <w:r>
        <w:rPr>
          <w:rFonts w:hint="eastAsia" w:hAnsi="宋体"/>
          <w:color w:val="auto"/>
          <w:sz w:val="21"/>
          <w:szCs w:val="21"/>
          <w:highlight w:val="none"/>
        </w:rPr>
        <w:t>巡检记录等本项目养护管理涉及到的所有文件资料</w:t>
      </w:r>
      <w:r>
        <w:rPr>
          <w:rFonts w:hAnsi="宋体"/>
          <w:color w:val="auto"/>
          <w:sz w:val="21"/>
          <w:szCs w:val="21"/>
          <w:highlight w:val="none"/>
        </w:rPr>
        <w:t>。</w:t>
      </w:r>
    </w:p>
    <w:p>
      <w:pPr>
        <w:pStyle w:val="11"/>
        <w:snapToGrid w:val="0"/>
        <w:spacing w:beforeLines="0" w:afterLines="0" w:line="360" w:lineRule="auto"/>
        <w:ind w:firstLine="420" w:firstLineChars="200"/>
        <w:rPr>
          <w:rFonts w:hAnsi="宋体"/>
          <w:color w:val="auto"/>
          <w:sz w:val="21"/>
          <w:szCs w:val="21"/>
          <w:highlight w:val="none"/>
        </w:rPr>
      </w:pPr>
      <w:r>
        <w:rPr>
          <w:rFonts w:hAnsi="宋体"/>
          <w:color w:val="auto"/>
          <w:sz w:val="21"/>
          <w:szCs w:val="21"/>
          <w:highlight w:val="none"/>
        </w:rPr>
        <w:t>4</w:t>
      </w:r>
      <w:r>
        <w:rPr>
          <w:rFonts w:hint="eastAsia" w:hAnsi="宋体"/>
          <w:color w:val="auto"/>
          <w:sz w:val="21"/>
          <w:szCs w:val="21"/>
          <w:highlight w:val="none"/>
        </w:rPr>
        <w:t>、</w:t>
      </w:r>
      <w:r>
        <w:rPr>
          <w:rFonts w:hAnsi="宋体"/>
          <w:color w:val="auto"/>
          <w:sz w:val="21"/>
          <w:szCs w:val="21"/>
          <w:highlight w:val="none"/>
        </w:rPr>
        <w:t>“服务”系指</w:t>
      </w:r>
      <w:r>
        <w:rPr>
          <w:rFonts w:hint="eastAsia" w:hAnsi="宋体"/>
          <w:color w:val="auto"/>
          <w:sz w:val="21"/>
          <w:szCs w:val="21"/>
          <w:highlight w:val="none"/>
        </w:rPr>
        <w:t>招标文件规定</w:t>
      </w:r>
      <w:r>
        <w:rPr>
          <w:rFonts w:hint="eastAsia" w:hAnsi="宋体"/>
          <w:color w:val="auto"/>
          <w:sz w:val="21"/>
          <w:szCs w:val="21"/>
          <w:highlight w:val="none"/>
          <w:lang w:eastAsia="zh-CN"/>
        </w:rPr>
        <w:t>投标人</w:t>
      </w:r>
      <w:r>
        <w:rPr>
          <w:rFonts w:hint="eastAsia" w:hAnsi="宋体"/>
          <w:color w:val="auto"/>
          <w:sz w:val="21"/>
          <w:szCs w:val="21"/>
          <w:highlight w:val="none"/>
        </w:rPr>
        <w:t>须承担的安装、调试、技术指导以及河道养护的服务</w:t>
      </w:r>
      <w:r>
        <w:rPr>
          <w:rFonts w:hAnsi="宋体"/>
          <w:color w:val="auto"/>
          <w:sz w:val="21"/>
          <w:szCs w:val="21"/>
          <w:highlight w:val="none"/>
        </w:rPr>
        <w:t>。</w:t>
      </w:r>
    </w:p>
    <w:p>
      <w:pPr>
        <w:pStyle w:val="11"/>
        <w:snapToGrid w:val="0"/>
        <w:spacing w:beforeLines="0" w:afterLines="0" w:line="360" w:lineRule="auto"/>
        <w:ind w:firstLine="420" w:firstLineChars="200"/>
        <w:rPr>
          <w:rFonts w:hAnsi="宋体"/>
          <w:color w:val="auto"/>
          <w:sz w:val="21"/>
          <w:szCs w:val="21"/>
          <w:highlight w:val="none"/>
        </w:rPr>
      </w:pPr>
      <w:r>
        <w:rPr>
          <w:rFonts w:hAnsi="宋体"/>
          <w:color w:val="auto"/>
          <w:sz w:val="21"/>
          <w:szCs w:val="21"/>
          <w:highlight w:val="none"/>
        </w:rPr>
        <w:t>5</w:t>
      </w:r>
      <w:r>
        <w:rPr>
          <w:rFonts w:hint="eastAsia" w:hAnsi="宋体"/>
          <w:color w:val="auto"/>
          <w:sz w:val="21"/>
          <w:szCs w:val="21"/>
          <w:highlight w:val="none"/>
        </w:rPr>
        <w:t>、</w:t>
      </w:r>
      <w:r>
        <w:rPr>
          <w:rFonts w:hAnsi="宋体"/>
          <w:color w:val="auto"/>
          <w:sz w:val="21"/>
          <w:szCs w:val="21"/>
          <w:highlight w:val="none"/>
        </w:rPr>
        <w:t>“项目”系指</w:t>
      </w:r>
      <w:r>
        <w:rPr>
          <w:rFonts w:hint="eastAsia" w:hAnsi="宋体"/>
          <w:color w:val="auto"/>
          <w:sz w:val="21"/>
          <w:szCs w:val="21"/>
          <w:highlight w:val="none"/>
          <w:lang w:eastAsia="zh-CN"/>
        </w:rPr>
        <w:t>投标人</w:t>
      </w:r>
      <w:r>
        <w:rPr>
          <w:rFonts w:hAnsi="宋体"/>
          <w:color w:val="auto"/>
          <w:sz w:val="21"/>
          <w:szCs w:val="21"/>
          <w:highlight w:val="none"/>
        </w:rPr>
        <w:t>按招标文件规定向</w:t>
      </w:r>
      <w:r>
        <w:rPr>
          <w:rFonts w:hint="eastAsia" w:hAnsi="宋体"/>
          <w:color w:val="auto"/>
          <w:sz w:val="21"/>
          <w:szCs w:val="21"/>
          <w:highlight w:val="none"/>
          <w:lang w:eastAsia="zh-CN"/>
        </w:rPr>
        <w:t>采购单位</w:t>
      </w:r>
      <w:r>
        <w:rPr>
          <w:rFonts w:hAnsi="宋体"/>
          <w:color w:val="auto"/>
          <w:sz w:val="21"/>
          <w:szCs w:val="21"/>
          <w:highlight w:val="none"/>
        </w:rPr>
        <w:t>提供的产品和服务。</w:t>
      </w:r>
    </w:p>
    <w:p>
      <w:pPr>
        <w:pStyle w:val="11"/>
        <w:snapToGrid w:val="0"/>
        <w:spacing w:beforeLines="0" w:afterLines="0" w:line="360" w:lineRule="auto"/>
        <w:ind w:firstLine="420" w:firstLineChars="200"/>
        <w:rPr>
          <w:rFonts w:hAnsi="宋体"/>
          <w:color w:val="auto"/>
          <w:sz w:val="21"/>
          <w:szCs w:val="21"/>
          <w:highlight w:val="none"/>
        </w:rPr>
      </w:pPr>
      <w:r>
        <w:rPr>
          <w:rFonts w:hAnsi="宋体"/>
          <w:color w:val="auto"/>
          <w:sz w:val="21"/>
          <w:szCs w:val="21"/>
          <w:highlight w:val="none"/>
        </w:rPr>
        <w:t>6</w:t>
      </w:r>
      <w:r>
        <w:rPr>
          <w:rFonts w:hint="eastAsia" w:hAnsi="宋体"/>
          <w:color w:val="auto"/>
          <w:sz w:val="21"/>
          <w:szCs w:val="21"/>
          <w:highlight w:val="none"/>
        </w:rPr>
        <w:t>、</w:t>
      </w:r>
      <w:r>
        <w:rPr>
          <w:rFonts w:hAnsi="宋体"/>
          <w:color w:val="auto"/>
          <w:sz w:val="21"/>
          <w:szCs w:val="21"/>
          <w:highlight w:val="none"/>
        </w:rPr>
        <w:t>“书面形式”包括信函、传真、电报等。</w:t>
      </w:r>
    </w:p>
    <w:p>
      <w:pPr>
        <w:pStyle w:val="11"/>
        <w:snapToGrid w:val="0"/>
        <w:spacing w:beforeLines="0" w:afterLines="0" w:line="360" w:lineRule="auto"/>
        <w:ind w:firstLine="420" w:firstLineChars="200"/>
        <w:rPr>
          <w:rFonts w:hAnsi="宋体"/>
          <w:color w:val="auto"/>
          <w:sz w:val="21"/>
          <w:szCs w:val="21"/>
          <w:highlight w:val="none"/>
        </w:rPr>
      </w:pPr>
      <w:r>
        <w:rPr>
          <w:rFonts w:hAnsi="宋体"/>
          <w:color w:val="auto"/>
          <w:sz w:val="21"/>
          <w:szCs w:val="21"/>
          <w:highlight w:val="none"/>
        </w:rPr>
        <w:t>7</w:t>
      </w:r>
      <w:r>
        <w:rPr>
          <w:rFonts w:hint="eastAsia" w:hAnsi="宋体"/>
          <w:color w:val="auto"/>
          <w:sz w:val="21"/>
          <w:szCs w:val="21"/>
          <w:highlight w:val="none"/>
        </w:rPr>
        <w:t>、</w:t>
      </w:r>
      <w:r>
        <w:rPr>
          <w:rFonts w:hAnsi="宋体"/>
          <w:color w:val="auto"/>
          <w:sz w:val="21"/>
          <w:szCs w:val="21"/>
          <w:highlight w:val="none"/>
        </w:rPr>
        <w:t>“</w:t>
      </w:r>
      <w:r>
        <w:rPr>
          <w:rFonts w:hint="eastAsia" w:hAnsi="宋体"/>
          <w:color w:val="auto"/>
          <w:sz w:val="21"/>
          <w:szCs w:val="21"/>
          <w:highlight w:val="none"/>
          <w:lang w:eastAsia="zh-CN"/>
        </w:rPr>
        <w:t>*</w:t>
      </w:r>
      <w:r>
        <w:rPr>
          <w:rFonts w:hAnsi="宋体"/>
          <w:color w:val="auto"/>
          <w:sz w:val="21"/>
          <w:szCs w:val="21"/>
          <w:highlight w:val="none"/>
        </w:rPr>
        <w:t>”系指实质性要求条款。</w:t>
      </w:r>
    </w:p>
    <w:p>
      <w:pPr>
        <w:pStyle w:val="8"/>
        <w:numPr>
          <w:ilvl w:val="0"/>
          <w:numId w:val="0"/>
        </w:numPr>
        <w:tabs>
          <w:tab w:val="left" w:pos="720"/>
          <w:tab w:val="clear" w:pos="360"/>
        </w:tabs>
        <w:snapToGrid w:val="0"/>
        <w:spacing w:line="360" w:lineRule="auto"/>
        <w:ind w:left="412" w:leftChars="196"/>
        <w:rPr>
          <w:rFonts w:ascii="宋体" w:hAnsi="宋体"/>
          <w:b/>
          <w:color w:val="auto"/>
          <w:szCs w:val="21"/>
          <w:highlight w:val="none"/>
        </w:rPr>
      </w:pPr>
      <w:r>
        <w:rPr>
          <w:rFonts w:hint="eastAsia" w:ascii="宋体" w:hAnsi="宋体"/>
          <w:b/>
          <w:color w:val="auto"/>
          <w:szCs w:val="21"/>
          <w:highlight w:val="none"/>
        </w:rPr>
        <w:t>（三）采购方式</w:t>
      </w:r>
    </w:p>
    <w:p>
      <w:pPr>
        <w:pStyle w:val="11"/>
        <w:snapToGrid w:val="0"/>
        <w:spacing w:beforeLines="0" w:afterLines="0" w:line="360" w:lineRule="auto"/>
        <w:ind w:firstLine="420" w:firstLineChars="200"/>
        <w:rPr>
          <w:rFonts w:hAnsi="宋体"/>
          <w:color w:val="auto"/>
          <w:sz w:val="21"/>
          <w:szCs w:val="21"/>
          <w:highlight w:val="none"/>
        </w:rPr>
      </w:pPr>
      <w:r>
        <w:rPr>
          <w:rFonts w:hAnsi="宋体"/>
          <w:color w:val="auto"/>
          <w:sz w:val="21"/>
          <w:szCs w:val="21"/>
          <w:highlight w:val="none"/>
        </w:rPr>
        <w:t>本次招标采用公开招标方式进行。</w:t>
      </w:r>
    </w:p>
    <w:p>
      <w:pPr>
        <w:pStyle w:val="8"/>
        <w:numPr>
          <w:ilvl w:val="0"/>
          <w:numId w:val="0"/>
        </w:numPr>
        <w:tabs>
          <w:tab w:val="left" w:pos="720"/>
          <w:tab w:val="clear" w:pos="360"/>
        </w:tabs>
        <w:snapToGrid w:val="0"/>
        <w:spacing w:line="360" w:lineRule="auto"/>
        <w:ind w:left="412" w:leftChars="196"/>
        <w:rPr>
          <w:rFonts w:ascii="宋体" w:hAnsi="宋体"/>
          <w:b/>
          <w:color w:val="auto"/>
          <w:szCs w:val="21"/>
          <w:highlight w:val="none"/>
        </w:rPr>
      </w:pPr>
      <w:r>
        <w:rPr>
          <w:rFonts w:hint="eastAsia" w:ascii="宋体" w:hAnsi="宋体"/>
          <w:b/>
          <w:color w:val="auto"/>
          <w:szCs w:val="21"/>
          <w:highlight w:val="none"/>
        </w:rPr>
        <w:t>（四）投标委托</w:t>
      </w:r>
    </w:p>
    <w:p>
      <w:pPr>
        <w:pStyle w:val="8"/>
        <w:numPr>
          <w:ilvl w:val="0"/>
          <w:numId w:val="0"/>
        </w:numPr>
        <w:tabs>
          <w:tab w:val="left" w:pos="720"/>
          <w:tab w:val="clear" w:pos="360"/>
        </w:tabs>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代表须携带有效身份证件。若投标人代表不是该单位法定代表人，须有该单位的法定代表人出具的授权委托书（投标文件正本用原件，副本可用复印件）并在投标文件中提供授权代表开标之日近三个月任意一个月内投标人所缴纳的社保证明，未按上述要求提供社保证明的作无效标处理。</w:t>
      </w:r>
    </w:p>
    <w:p>
      <w:pPr>
        <w:pStyle w:val="8"/>
        <w:numPr>
          <w:ilvl w:val="0"/>
          <w:numId w:val="0"/>
        </w:numPr>
        <w:tabs>
          <w:tab w:val="left" w:pos="720"/>
          <w:tab w:val="clear" w:pos="360"/>
        </w:tabs>
        <w:snapToGrid w:val="0"/>
        <w:spacing w:line="360" w:lineRule="auto"/>
        <w:ind w:left="412" w:leftChars="196"/>
        <w:rPr>
          <w:rFonts w:ascii="宋体" w:hAnsi="宋体"/>
          <w:b/>
          <w:color w:val="auto"/>
          <w:szCs w:val="21"/>
          <w:highlight w:val="none"/>
        </w:rPr>
      </w:pPr>
      <w:r>
        <w:rPr>
          <w:rFonts w:hint="eastAsia" w:ascii="宋体" w:hAnsi="宋体"/>
          <w:b/>
          <w:color w:val="auto"/>
          <w:szCs w:val="21"/>
          <w:highlight w:val="none"/>
        </w:rPr>
        <w:t>（五）投标费用</w:t>
      </w:r>
    </w:p>
    <w:p>
      <w:pPr>
        <w:pStyle w:val="11"/>
        <w:snapToGrid w:val="0"/>
        <w:spacing w:beforeLines="0" w:afterLines="0" w:line="360" w:lineRule="auto"/>
        <w:ind w:firstLine="420" w:firstLineChars="200"/>
        <w:rPr>
          <w:rFonts w:hAnsi="宋体"/>
          <w:color w:val="auto"/>
          <w:sz w:val="21"/>
          <w:szCs w:val="21"/>
          <w:highlight w:val="none"/>
        </w:rPr>
      </w:pPr>
      <w:r>
        <w:rPr>
          <w:rFonts w:hint="eastAsia" w:hAnsi="宋体"/>
          <w:color w:val="auto"/>
          <w:sz w:val="21"/>
          <w:szCs w:val="21"/>
          <w:highlight w:val="none"/>
        </w:rPr>
        <w:t>不论投标结果如何，</w:t>
      </w:r>
      <w:r>
        <w:rPr>
          <w:rFonts w:hint="eastAsia" w:hAnsi="宋体"/>
          <w:color w:val="auto"/>
          <w:sz w:val="21"/>
          <w:szCs w:val="21"/>
          <w:highlight w:val="none"/>
          <w:lang w:eastAsia="zh-CN"/>
        </w:rPr>
        <w:t>投标人</w:t>
      </w:r>
      <w:r>
        <w:rPr>
          <w:rFonts w:hint="eastAsia" w:hAnsi="宋体"/>
          <w:color w:val="auto"/>
          <w:sz w:val="21"/>
          <w:szCs w:val="21"/>
          <w:highlight w:val="none"/>
        </w:rPr>
        <w:t>均应自行承担所有与投标有关的全部费用。</w:t>
      </w:r>
    </w:p>
    <w:p>
      <w:pPr>
        <w:pStyle w:val="8"/>
        <w:numPr>
          <w:ilvl w:val="0"/>
          <w:numId w:val="0"/>
        </w:numPr>
        <w:tabs>
          <w:tab w:val="left" w:pos="720"/>
          <w:tab w:val="clear" w:pos="360"/>
        </w:tabs>
        <w:snapToGrid w:val="0"/>
        <w:spacing w:line="360" w:lineRule="auto"/>
        <w:ind w:left="412" w:leftChars="196"/>
        <w:rPr>
          <w:rFonts w:ascii="宋体" w:hAnsi="宋体"/>
          <w:b/>
          <w:color w:val="auto"/>
          <w:szCs w:val="21"/>
          <w:highlight w:val="none"/>
        </w:rPr>
      </w:pPr>
      <w:r>
        <w:rPr>
          <w:rFonts w:hint="eastAsia" w:ascii="宋体" w:hAnsi="宋体"/>
          <w:b/>
          <w:color w:val="auto"/>
          <w:szCs w:val="21"/>
          <w:highlight w:val="none"/>
        </w:rPr>
        <w:t>（六）联合体投标</w:t>
      </w:r>
    </w:p>
    <w:p>
      <w:pPr>
        <w:pStyle w:val="11"/>
        <w:snapToGrid w:val="0"/>
        <w:spacing w:beforeLines="0" w:afterLines="0" w:line="360" w:lineRule="auto"/>
        <w:ind w:firstLine="420" w:firstLineChars="200"/>
        <w:rPr>
          <w:rFonts w:hAnsi="宋体"/>
          <w:color w:val="auto"/>
          <w:sz w:val="21"/>
          <w:szCs w:val="21"/>
          <w:highlight w:val="none"/>
        </w:rPr>
      </w:pPr>
      <w:r>
        <w:rPr>
          <w:rFonts w:hint="eastAsia" w:hAnsi="宋体"/>
          <w:color w:val="auto"/>
          <w:sz w:val="21"/>
          <w:szCs w:val="21"/>
          <w:highlight w:val="none"/>
        </w:rPr>
        <w:t>本项目不接受联合体投标。</w:t>
      </w:r>
    </w:p>
    <w:p>
      <w:pPr>
        <w:pStyle w:val="8"/>
        <w:numPr>
          <w:ilvl w:val="0"/>
          <w:numId w:val="0"/>
        </w:numPr>
        <w:tabs>
          <w:tab w:val="left" w:pos="720"/>
          <w:tab w:val="clear" w:pos="360"/>
        </w:tabs>
        <w:snapToGrid w:val="0"/>
        <w:spacing w:line="360" w:lineRule="auto"/>
        <w:ind w:left="412" w:leftChars="196"/>
        <w:rPr>
          <w:rFonts w:ascii="宋体" w:hAnsi="宋体"/>
          <w:b/>
          <w:color w:val="auto"/>
          <w:szCs w:val="21"/>
          <w:highlight w:val="none"/>
        </w:rPr>
      </w:pPr>
      <w:r>
        <w:rPr>
          <w:rFonts w:hint="eastAsia" w:ascii="宋体" w:hAnsi="宋体"/>
          <w:b/>
          <w:color w:val="auto"/>
          <w:szCs w:val="21"/>
          <w:highlight w:val="none"/>
        </w:rPr>
        <w:t>（七）转包与分包</w:t>
      </w:r>
    </w:p>
    <w:p>
      <w:pPr>
        <w:pStyle w:val="11"/>
        <w:snapToGrid w:val="0"/>
        <w:spacing w:beforeLines="0" w:afterLines="0" w:line="360" w:lineRule="auto"/>
        <w:ind w:firstLine="420" w:firstLineChars="200"/>
        <w:rPr>
          <w:rFonts w:hAnsi="宋体"/>
          <w:color w:val="auto"/>
          <w:sz w:val="21"/>
          <w:szCs w:val="21"/>
          <w:highlight w:val="none"/>
        </w:rPr>
      </w:pPr>
      <w:r>
        <w:rPr>
          <w:rFonts w:hAnsi="宋体"/>
          <w:color w:val="auto"/>
          <w:sz w:val="21"/>
          <w:szCs w:val="21"/>
          <w:highlight w:val="none"/>
        </w:rPr>
        <w:t>本项目不允许转包</w:t>
      </w:r>
      <w:r>
        <w:rPr>
          <w:rFonts w:hint="eastAsia" w:hAnsi="宋体"/>
          <w:color w:val="auto"/>
          <w:sz w:val="21"/>
          <w:szCs w:val="21"/>
          <w:highlight w:val="none"/>
        </w:rPr>
        <w:t>；不经</w:t>
      </w:r>
      <w:r>
        <w:rPr>
          <w:rFonts w:hint="eastAsia" w:hAnsi="宋体"/>
          <w:color w:val="auto"/>
          <w:sz w:val="21"/>
          <w:szCs w:val="21"/>
          <w:highlight w:val="none"/>
          <w:lang w:eastAsia="zh-CN"/>
        </w:rPr>
        <w:t>采购单位</w:t>
      </w:r>
      <w:r>
        <w:rPr>
          <w:rFonts w:hint="eastAsia" w:hAnsi="宋体"/>
          <w:color w:val="auto"/>
          <w:sz w:val="21"/>
          <w:szCs w:val="21"/>
          <w:highlight w:val="none"/>
        </w:rPr>
        <w:t>同意，不得分包</w:t>
      </w:r>
      <w:r>
        <w:rPr>
          <w:rFonts w:hAnsi="宋体"/>
          <w:color w:val="auto"/>
          <w:sz w:val="21"/>
          <w:szCs w:val="21"/>
          <w:highlight w:val="none"/>
        </w:rPr>
        <w:t>。</w:t>
      </w:r>
    </w:p>
    <w:p>
      <w:pPr>
        <w:pStyle w:val="8"/>
        <w:numPr>
          <w:ilvl w:val="0"/>
          <w:numId w:val="0"/>
        </w:numPr>
        <w:tabs>
          <w:tab w:val="left" w:pos="720"/>
          <w:tab w:val="clear" w:pos="360"/>
        </w:tabs>
        <w:snapToGrid w:val="0"/>
        <w:spacing w:line="360" w:lineRule="auto"/>
        <w:ind w:left="412" w:leftChars="196"/>
        <w:rPr>
          <w:rFonts w:ascii="宋体" w:hAnsi="宋体"/>
          <w:b/>
          <w:color w:val="auto"/>
          <w:szCs w:val="21"/>
          <w:highlight w:val="none"/>
        </w:rPr>
      </w:pPr>
      <w:r>
        <w:rPr>
          <w:rFonts w:hint="eastAsia" w:ascii="宋体" w:hAnsi="宋体"/>
          <w:b/>
          <w:color w:val="auto"/>
          <w:szCs w:val="21"/>
          <w:highlight w:val="none"/>
        </w:rPr>
        <w:t>（八）特别说明：</w:t>
      </w:r>
    </w:p>
    <w:p>
      <w:pPr>
        <w:pStyle w:val="11"/>
        <w:spacing w:before="0" w:beforeLines="0" w:after="0" w:afterLines="0"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1、投标人在投标活动中提供任何虚假材料,其投标无效，并报监管部门查处。</w:t>
      </w:r>
    </w:p>
    <w:p>
      <w:pPr>
        <w:pStyle w:val="11"/>
        <w:spacing w:before="0" w:beforeLines="0" w:after="0" w:afterLines="0"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2、单位负责人为同一人或者存在直接控股、管理关系的不同投标人，不得参加同一合同项下的政府采购活动。</w:t>
      </w:r>
    </w:p>
    <w:p>
      <w:pPr>
        <w:pStyle w:val="11"/>
        <w:spacing w:before="0" w:beforeLines="0" w:after="0" w:afterLines="0"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除单一来源采购项目外，为采购项目提供整体设计、规范编制或者项目管理、监理、检测等服务的投标人，不得再参加本项目投标。</w:t>
      </w:r>
    </w:p>
    <w:p>
      <w:pPr>
        <w:pStyle w:val="11"/>
        <w:spacing w:before="0" w:beforeLines="0" w:after="0" w:afterLines="0"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3、提供相同品牌产品且通过资格审查、符合性审查的不同投标人参加同一合同项下投标的，按一家投标人计算。</w:t>
      </w:r>
    </w:p>
    <w:p>
      <w:pPr>
        <w:pStyle w:val="11"/>
        <w:spacing w:before="0" w:beforeLines="0" w:after="0" w:afterLines="0"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若采用综合评分法进行评审的，评审后得分最高的同品牌投标人获得中标人推荐资格；评审得分相同的，由评审小组按照采购文件规定的方式确定一个投标人获得中标人的推荐资格，采购文件未规定的采取随机抽取的方式确定，其他同品牌投标人不作为中标候选人。</w:t>
      </w:r>
    </w:p>
    <w:p>
      <w:pPr>
        <w:pStyle w:val="8"/>
        <w:numPr>
          <w:ilvl w:val="0"/>
          <w:numId w:val="0"/>
        </w:numPr>
        <w:tabs>
          <w:tab w:val="left" w:pos="720"/>
          <w:tab w:val="clear" w:pos="360"/>
        </w:tabs>
        <w:snapToGrid w:val="0"/>
        <w:spacing w:line="360" w:lineRule="auto"/>
        <w:ind w:firstLine="420" w:firstLineChars="200"/>
        <w:rPr>
          <w:rFonts w:ascii="宋体" w:hAnsi="宋体"/>
          <w:color w:val="auto"/>
          <w:szCs w:val="21"/>
          <w:highlight w:val="none"/>
        </w:rPr>
      </w:pPr>
      <w:r>
        <w:rPr>
          <w:rFonts w:hint="eastAsia" w:ascii="宋体" w:hAnsi="宋体" w:eastAsia="宋体" w:cs="宋体"/>
          <w:sz w:val="21"/>
          <w:szCs w:val="21"/>
          <w:highlight w:val="none"/>
        </w:rPr>
        <w:t>非单一产品采购项目，投标人使用相同制造产品（相同制造产品是指采购文件中指定的“核心产品”）作为其项目的一部分，按一家投标人认定。</w:t>
      </w:r>
    </w:p>
    <w:p>
      <w:pPr>
        <w:spacing w:line="360" w:lineRule="auto"/>
        <w:ind w:firstLine="422" w:firstLineChars="200"/>
        <w:rPr>
          <w:rFonts w:hint="eastAsia" w:ascii="宋体" w:hAnsi="宋体" w:eastAsia="宋体" w:cs="宋体"/>
          <w:b/>
          <w:szCs w:val="21"/>
          <w:highlight w:val="none"/>
        </w:rPr>
      </w:pPr>
      <w:r>
        <w:rPr>
          <w:rFonts w:hint="eastAsia" w:ascii="宋体" w:hAnsi="宋体" w:eastAsia="宋体" w:cs="宋体"/>
          <w:b/>
          <w:kern w:val="0"/>
          <w:szCs w:val="21"/>
          <w:highlight w:val="none"/>
        </w:rPr>
        <w:t>（九）</w:t>
      </w:r>
      <w:r>
        <w:rPr>
          <w:rFonts w:hint="eastAsia" w:ascii="宋体" w:hAnsi="宋体" w:eastAsia="宋体" w:cs="宋体"/>
          <w:b/>
          <w:szCs w:val="21"/>
          <w:highlight w:val="none"/>
        </w:rPr>
        <w:t>关于分公司投标</w:t>
      </w:r>
    </w:p>
    <w:p>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除银行、保险、石油石化、电力、</w:t>
      </w:r>
      <w:r>
        <w:rPr>
          <w:rFonts w:hint="eastAsia" w:ascii="宋体" w:hAnsi="宋体" w:eastAsia="宋体" w:cs="宋体"/>
          <w:highlight w:val="none"/>
        </w:rPr>
        <w:t>电信等特殊行业外</w:t>
      </w:r>
      <w:r>
        <w:rPr>
          <w:rFonts w:hint="eastAsia" w:ascii="宋体" w:hAnsi="宋体" w:eastAsia="宋体" w:cs="宋体"/>
          <w:szCs w:val="21"/>
          <w:highlight w:val="none"/>
        </w:rPr>
        <w:t>，</w:t>
      </w:r>
      <w:r>
        <w:rPr>
          <w:rFonts w:hint="eastAsia" w:ascii="宋体" w:hAnsi="宋体" w:eastAsia="宋体" w:cs="宋体"/>
          <w:highlight w:val="none"/>
        </w:rPr>
        <w:t>不允许分公司（分支机构）参加投标</w:t>
      </w:r>
      <w:r>
        <w:rPr>
          <w:rFonts w:hint="eastAsia" w:ascii="宋体" w:hAnsi="宋体" w:eastAsia="宋体" w:cs="宋体"/>
          <w:szCs w:val="21"/>
          <w:highlight w:val="none"/>
        </w:rPr>
        <w:t>。</w:t>
      </w:r>
    </w:p>
    <w:p>
      <w:pPr>
        <w:spacing w:line="360" w:lineRule="auto"/>
        <w:ind w:firstLine="422" w:firstLineChars="200"/>
        <w:rPr>
          <w:rFonts w:hint="eastAsia" w:ascii="宋体" w:hAnsi="宋体" w:eastAsia="宋体" w:cs="宋体"/>
          <w:b/>
          <w:szCs w:val="21"/>
          <w:highlight w:val="none"/>
        </w:rPr>
      </w:pPr>
      <w:r>
        <w:rPr>
          <w:rFonts w:hint="eastAsia" w:ascii="宋体" w:hAnsi="宋体" w:eastAsia="宋体" w:cs="宋体"/>
          <w:b/>
          <w:szCs w:val="21"/>
          <w:highlight w:val="none"/>
        </w:rPr>
        <w:t>（十）关于知识产权</w:t>
      </w:r>
    </w:p>
    <w:p>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投标人必须保证，采购人在中华人民共和国境内使用投标货物、资料、技术、服务或其任何一部分时，享有不受限制的无偿使用权，如有第三方向采购人提出侵犯其专利权、商标权或其它知识产权的主张，该责任应由投标人承担。</w:t>
      </w:r>
    </w:p>
    <w:p>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2、投标报价应包含所有应向所有权人支付的专利权、商标权或其它知识产权的一切相关费用。</w:t>
      </w:r>
    </w:p>
    <w:p>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3、系统软件、通用软件必须是具有在中国境内的合法使用权或版权的正版软件，涉及到第三方提出侵权或知识产权的起诉及支付版税等费用由投标人承担所有责任及费用。</w:t>
      </w:r>
    </w:p>
    <w:p>
      <w:pPr>
        <w:pStyle w:val="11"/>
        <w:widowControl/>
        <w:spacing w:before="0" w:beforeLines="0" w:after="0" w:afterLines="0" w:line="360" w:lineRule="auto"/>
        <w:ind w:firstLine="422" w:firstLineChars="200"/>
        <w:jc w:val="left"/>
        <w:rPr>
          <w:rFonts w:hint="eastAsia" w:ascii="宋体" w:hAnsi="宋体" w:eastAsia="宋体" w:cs="宋体"/>
          <w:b/>
          <w:sz w:val="21"/>
          <w:szCs w:val="21"/>
          <w:highlight w:val="none"/>
        </w:rPr>
      </w:pPr>
      <w:r>
        <w:rPr>
          <w:rFonts w:hint="eastAsia" w:ascii="宋体" w:hAnsi="宋体" w:eastAsia="宋体" w:cs="宋体"/>
          <w:b/>
          <w:sz w:val="21"/>
          <w:szCs w:val="21"/>
          <w:highlight w:val="none"/>
        </w:rPr>
        <w:t>（十一）质疑和投诉</w:t>
      </w:r>
    </w:p>
    <w:p>
      <w:pPr>
        <w:pStyle w:val="11"/>
        <w:widowControl/>
        <w:spacing w:before="0" w:beforeLines="0" w:after="0" w:afterLines="0" w:line="360" w:lineRule="auto"/>
        <w:ind w:firstLine="420" w:firstLineChars="20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1、供应商认为采购文件、采购过程、中标或者成交结果使自己的权益受到损害的，须在应知其利益受损之日起七个工作日内以书面形式向采购人、采购代理机构提出质疑。供应商应当在法定质疑期内一次性提出针对同一采购程序环节的质疑。</w:t>
      </w:r>
    </w:p>
    <w:p>
      <w:pPr>
        <w:pStyle w:val="11"/>
        <w:widowControl/>
        <w:spacing w:before="0" w:beforeLines="0" w:after="0" w:afterLines="0" w:line="360" w:lineRule="auto"/>
        <w:ind w:firstLine="420" w:firstLineChars="20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2、提出质疑的供应商应当是参与所质疑项目采购活动的供应商。未依法获取采购文件的，不得就采购文件提出质疑；未提交投标文件的供应商，视为与采购结果没有利害关系，不得就采购响应截止时间后的采购过程、采购结果提出质疑。</w:t>
      </w:r>
    </w:p>
    <w:p>
      <w:pPr>
        <w:pStyle w:val="11"/>
        <w:widowControl/>
        <w:spacing w:before="0" w:beforeLines="0" w:after="0" w:afterLines="0" w:line="360" w:lineRule="auto"/>
        <w:ind w:firstLine="420" w:firstLineChars="20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3、供应商提出质疑应当提交质疑函和必要的证明材料，质疑函应当面以书面形式提出，质疑函格式和内容须符合财政部《质疑函范本》要求，供应商可到中国政府采购网自行下载财政部《质疑函范本》。</w:t>
      </w:r>
    </w:p>
    <w:p>
      <w:pPr>
        <w:pStyle w:val="11"/>
        <w:widowControl/>
        <w:spacing w:before="0" w:beforeLines="0" w:after="0" w:afterLines="0" w:line="360" w:lineRule="auto"/>
        <w:ind w:firstLine="420" w:firstLineChars="20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4、接收书面质疑函的方式：质疑人可通过送达、邮寄、传真的形式提交书面质疑函，通过邮寄方式提交的书面质疑函以被质疑人签收邮件之日为收到书面质疑文件之日，通过传真方式提交的书面质疑函以被质疑人收到书面质疑文件原件之日为收到书面质疑文件之日。采购人和采购代理机构接收质疑函的联系方式：见本采购文件第一章有关联系方式。</w:t>
      </w:r>
    </w:p>
    <w:p>
      <w:pPr>
        <w:pStyle w:val="8"/>
        <w:numPr>
          <w:ilvl w:val="0"/>
          <w:numId w:val="0"/>
        </w:numPr>
        <w:tabs>
          <w:tab w:val="left" w:pos="720"/>
          <w:tab w:val="clear" w:pos="360"/>
        </w:tabs>
        <w:snapToGrid w:val="0"/>
        <w:spacing w:line="360" w:lineRule="auto"/>
        <w:ind w:firstLine="420" w:firstLineChars="200"/>
        <w:rPr>
          <w:rFonts w:ascii="宋体" w:hAnsi="宋体"/>
          <w:color w:val="auto"/>
          <w:szCs w:val="21"/>
          <w:highlight w:val="none"/>
        </w:rPr>
      </w:pPr>
      <w:r>
        <w:rPr>
          <w:rFonts w:hint="eastAsia" w:ascii="宋体" w:hAnsi="宋体" w:eastAsia="宋体" w:cs="宋体"/>
          <w:bCs/>
          <w:sz w:val="21"/>
          <w:szCs w:val="21"/>
          <w:highlight w:val="none"/>
        </w:rPr>
        <w:t>5、供应商对采购人或采购代理机构的质疑答复不满意或者采购人或采购代理机构未在规定时间内作出答复的，可以在答复期满后十五个工作日内向同级采购监管部门投诉</w:t>
      </w:r>
      <w:r>
        <w:rPr>
          <w:rFonts w:hint="eastAsia" w:ascii="宋体" w:hAnsi="宋体"/>
          <w:color w:val="auto"/>
          <w:szCs w:val="21"/>
          <w:highlight w:val="none"/>
        </w:rPr>
        <w:t>。</w:t>
      </w:r>
    </w:p>
    <w:p>
      <w:pPr>
        <w:pStyle w:val="8"/>
        <w:numPr>
          <w:ilvl w:val="0"/>
          <w:numId w:val="0"/>
        </w:numPr>
        <w:tabs>
          <w:tab w:val="left" w:pos="720"/>
          <w:tab w:val="clear" w:pos="360"/>
        </w:tabs>
        <w:snapToGrid w:val="0"/>
        <w:spacing w:line="360" w:lineRule="auto"/>
        <w:ind w:left="412" w:leftChars="196"/>
        <w:rPr>
          <w:rFonts w:ascii="宋体" w:hAnsi="宋体"/>
          <w:b/>
          <w:color w:val="auto"/>
          <w:szCs w:val="21"/>
          <w:highlight w:val="none"/>
        </w:rPr>
      </w:pPr>
      <w:r>
        <w:rPr>
          <w:rFonts w:ascii="宋体" w:hAnsi="宋体"/>
          <w:b/>
          <w:color w:val="auto"/>
          <w:szCs w:val="21"/>
          <w:highlight w:val="none"/>
        </w:rPr>
        <w:t>二</w:t>
      </w:r>
      <w:r>
        <w:rPr>
          <w:rFonts w:hint="eastAsia" w:ascii="宋体" w:hAnsi="宋体"/>
          <w:b/>
          <w:color w:val="auto"/>
          <w:szCs w:val="21"/>
          <w:highlight w:val="none"/>
        </w:rPr>
        <w:t>、采购</w:t>
      </w:r>
      <w:r>
        <w:rPr>
          <w:rFonts w:ascii="宋体" w:hAnsi="宋体"/>
          <w:b/>
          <w:color w:val="auto"/>
          <w:szCs w:val="21"/>
          <w:highlight w:val="none"/>
        </w:rPr>
        <w:t>文件</w:t>
      </w:r>
    </w:p>
    <w:p>
      <w:pPr>
        <w:pStyle w:val="8"/>
        <w:numPr>
          <w:ilvl w:val="0"/>
          <w:numId w:val="0"/>
        </w:numPr>
        <w:tabs>
          <w:tab w:val="left" w:pos="720"/>
          <w:tab w:val="clear" w:pos="360"/>
        </w:tabs>
        <w:snapToGrid w:val="0"/>
        <w:spacing w:line="360" w:lineRule="auto"/>
        <w:ind w:left="412" w:leftChars="196"/>
        <w:rPr>
          <w:rFonts w:hAnsi="宋体"/>
          <w:color w:val="auto"/>
          <w:sz w:val="21"/>
          <w:szCs w:val="21"/>
          <w:highlight w:val="none"/>
        </w:rPr>
      </w:pPr>
      <w:r>
        <w:rPr>
          <w:rFonts w:hint="eastAsia" w:ascii="宋体" w:hAnsi="宋体"/>
          <w:b/>
          <w:color w:val="auto"/>
          <w:szCs w:val="21"/>
          <w:highlight w:val="none"/>
        </w:rPr>
        <w:t>（一）采购文件的构成</w:t>
      </w:r>
      <w:r>
        <w:rPr>
          <w:rFonts w:hint="eastAsia" w:ascii="宋体" w:hAnsi="宋体"/>
          <w:b/>
          <w:color w:val="auto"/>
          <w:szCs w:val="21"/>
          <w:highlight w:val="none"/>
          <w:lang w:eastAsia="zh-CN"/>
        </w:rPr>
        <w:t>。</w:t>
      </w:r>
      <w:r>
        <w:rPr>
          <w:rFonts w:hint="eastAsia" w:hAnsi="宋体"/>
          <w:color w:val="auto"/>
          <w:sz w:val="21"/>
          <w:szCs w:val="21"/>
          <w:highlight w:val="none"/>
        </w:rPr>
        <w:t>本招标文件由以下部份组成：</w:t>
      </w:r>
    </w:p>
    <w:p>
      <w:pPr>
        <w:widowControl/>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w:t>
      </w:r>
      <w:r>
        <w:rPr>
          <w:rFonts w:hint="eastAsia" w:ascii="宋体" w:hAnsi="宋体" w:cs="宋体"/>
          <w:szCs w:val="21"/>
          <w:highlight w:val="none"/>
          <w:lang w:eastAsia="zh-CN"/>
        </w:rPr>
        <w:t>、</w:t>
      </w:r>
      <w:r>
        <w:rPr>
          <w:rFonts w:hint="eastAsia" w:ascii="宋体" w:hAnsi="宋体" w:eastAsia="宋体" w:cs="宋体"/>
          <w:szCs w:val="21"/>
          <w:highlight w:val="none"/>
        </w:rPr>
        <w:t>公开招标采购公告</w:t>
      </w:r>
    </w:p>
    <w:p>
      <w:pPr>
        <w:widowControl/>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w:t>
      </w:r>
      <w:r>
        <w:rPr>
          <w:rFonts w:hint="eastAsia" w:ascii="宋体" w:hAnsi="宋体" w:cs="宋体"/>
          <w:szCs w:val="21"/>
          <w:highlight w:val="none"/>
          <w:lang w:eastAsia="zh-CN"/>
        </w:rPr>
        <w:t>、</w:t>
      </w:r>
      <w:r>
        <w:rPr>
          <w:rFonts w:hint="eastAsia" w:ascii="宋体" w:hAnsi="宋体" w:eastAsia="宋体" w:cs="宋体"/>
          <w:szCs w:val="21"/>
          <w:highlight w:val="none"/>
        </w:rPr>
        <w:t>招标需求</w:t>
      </w:r>
    </w:p>
    <w:p>
      <w:pPr>
        <w:widowControl/>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3</w:t>
      </w:r>
      <w:r>
        <w:rPr>
          <w:rFonts w:hint="eastAsia" w:ascii="宋体" w:hAnsi="宋体" w:cs="宋体"/>
          <w:szCs w:val="21"/>
          <w:highlight w:val="none"/>
          <w:lang w:eastAsia="zh-CN"/>
        </w:rPr>
        <w:t>、</w:t>
      </w:r>
      <w:r>
        <w:rPr>
          <w:rFonts w:hint="eastAsia" w:ascii="宋体" w:hAnsi="宋体" w:eastAsia="宋体" w:cs="宋体"/>
          <w:szCs w:val="21"/>
          <w:highlight w:val="none"/>
        </w:rPr>
        <w:t>投标人须知</w:t>
      </w:r>
    </w:p>
    <w:p>
      <w:pPr>
        <w:widowControl/>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4</w:t>
      </w:r>
      <w:r>
        <w:rPr>
          <w:rFonts w:hint="eastAsia" w:ascii="宋体" w:hAnsi="宋体" w:cs="宋体"/>
          <w:szCs w:val="21"/>
          <w:highlight w:val="none"/>
          <w:lang w:eastAsia="zh-CN"/>
        </w:rPr>
        <w:t>、</w:t>
      </w:r>
      <w:r>
        <w:rPr>
          <w:rFonts w:hint="eastAsia" w:ascii="宋体" w:hAnsi="宋体" w:eastAsia="宋体" w:cs="宋体"/>
          <w:szCs w:val="21"/>
          <w:highlight w:val="none"/>
        </w:rPr>
        <w:t>评标办法及评分标准</w:t>
      </w:r>
    </w:p>
    <w:p>
      <w:pPr>
        <w:widowControl/>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5</w:t>
      </w:r>
      <w:r>
        <w:rPr>
          <w:rFonts w:hint="eastAsia" w:ascii="宋体" w:hAnsi="宋体" w:cs="宋体"/>
          <w:szCs w:val="21"/>
          <w:highlight w:val="none"/>
          <w:lang w:eastAsia="zh-CN"/>
        </w:rPr>
        <w:t>、</w:t>
      </w:r>
      <w:r>
        <w:rPr>
          <w:rFonts w:hint="eastAsia" w:ascii="宋体" w:hAnsi="宋体" w:eastAsia="宋体" w:cs="宋体"/>
          <w:szCs w:val="21"/>
          <w:highlight w:val="none"/>
        </w:rPr>
        <w:t>政府采购合同主要条款</w:t>
      </w:r>
    </w:p>
    <w:p>
      <w:pPr>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6</w:t>
      </w:r>
      <w:r>
        <w:rPr>
          <w:rFonts w:hint="eastAsia" w:ascii="宋体" w:hAnsi="宋体" w:cs="宋体"/>
          <w:szCs w:val="21"/>
          <w:highlight w:val="none"/>
          <w:lang w:eastAsia="zh-CN"/>
        </w:rPr>
        <w:t>、</w:t>
      </w:r>
      <w:r>
        <w:rPr>
          <w:rFonts w:hint="eastAsia" w:ascii="宋体" w:hAnsi="宋体" w:eastAsia="宋体" w:cs="宋体"/>
          <w:szCs w:val="21"/>
          <w:highlight w:val="none"/>
        </w:rPr>
        <w:t>投标文件格式</w:t>
      </w:r>
    </w:p>
    <w:p>
      <w:pPr>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7</w:t>
      </w:r>
      <w:r>
        <w:rPr>
          <w:rFonts w:hint="eastAsia" w:ascii="宋体" w:hAnsi="宋体" w:cs="宋体"/>
          <w:szCs w:val="21"/>
          <w:highlight w:val="none"/>
          <w:lang w:eastAsia="zh-CN"/>
        </w:rPr>
        <w:t>、</w:t>
      </w:r>
      <w:r>
        <w:rPr>
          <w:rFonts w:hint="eastAsia" w:ascii="宋体" w:hAnsi="宋体" w:eastAsia="宋体" w:cs="宋体"/>
          <w:szCs w:val="21"/>
          <w:highlight w:val="none"/>
        </w:rPr>
        <w:t>本项目招标文件的澄清、答复、修改、补充的内容</w:t>
      </w:r>
    </w:p>
    <w:p>
      <w:pPr>
        <w:pStyle w:val="8"/>
        <w:numPr>
          <w:ilvl w:val="0"/>
          <w:numId w:val="0"/>
        </w:numPr>
        <w:tabs>
          <w:tab w:val="left" w:pos="720"/>
          <w:tab w:val="clear" w:pos="360"/>
        </w:tabs>
        <w:snapToGrid w:val="0"/>
        <w:spacing w:line="360" w:lineRule="auto"/>
        <w:ind w:left="412" w:leftChars="196"/>
        <w:rPr>
          <w:rFonts w:ascii="宋体" w:hAnsi="宋体"/>
          <w:b/>
          <w:color w:val="auto"/>
          <w:szCs w:val="21"/>
          <w:highlight w:val="none"/>
        </w:rPr>
      </w:pPr>
      <w:r>
        <w:rPr>
          <w:rFonts w:hint="eastAsia" w:ascii="宋体" w:hAnsi="宋体"/>
          <w:b/>
          <w:color w:val="auto"/>
          <w:szCs w:val="21"/>
          <w:highlight w:val="none"/>
        </w:rPr>
        <w:t>（二）</w:t>
      </w:r>
      <w:r>
        <w:rPr>
          <w:rFonts w:hint="eastAsia" w:ascii="宋体" w:hAnsi="宋体"/>
          <w:b/>
          <w:color w:val="auto"/>
          <w:szCs w:val="21"/>
          <w:highlight w:val="none"/>
          <w:lang w:eastAsia="zh-CN"/>
        </w:rPr>
        <w:t>投标人</w:t>
      </w:r>
      <w:r>
        <w:rPr>
          <w:rFonts w:hint="eastAsia" w:ascii="宋体" w:hAnsi="宋体"/>
          <w:b/>
          <w:color w:val="auto"/>
          <w:szCs w:val="21"/>
          <w:highlight w:val="none"/>
        </w:rPr>
        <w:t>的风险</w:t>
      </w:r>
    </w:p>
    <w:p>
      <w:pPr>
        <w:pStyle w:val="11"/>
        <w:snapToGrid w:val="0"/>
        <w:spacing w:beforeLines="0" w:afterLines="0" w:line="360" w:lineRule="auto"/>
        <w:ind w:firstLine="420" w:firstLineChars="200"/>
        <w:rPr>
          <w:rFonts w:hint="eastAsia" w:hAnsi="宋体"/>
          <w:color w:val="auto"/>
          <w:sz w:val="21"/>
          <w:szCs w:val="21"/>
          <w:highlight w:val="none"/>
          <w:lang w:eastAsia="zh-CN"/>
        </w:rPr>
      </w:pPr>
      <w:r>
        <w:rPr>
          <w:rFonts w:hint="eastAsia" w:hAnsi="宋体"/>
          <w:color w:val="auto"/>
          <w:sz w:val="21"/>
          <w:szCs w:val="21"/>
          <w:highlight w:val="none"/>
          <w:lang w:eastAsia="zh-CN"/>
        </w:rPr>
        <w:t>1、投标人应详细阅读采购文件中的全部内容和要求，按照采购文件的要求提交投标文件，没有按照采购文件要求提供投标文件和资料导致的风险由投标人承担,并对所提供的全部资料的真实性承担法律责任。</w:t>
      </w:r>
    </w:p>
    <w:p>
      <w:pPr>
        <w:pStyle w:val="11"/>
        <w:snapToGrid w:val="0"/>
        <w:spacing w:beforeLines="0" w:afterLines="0" w:line="360" w:lineRule="auto"/>
        <w:ind w:firstLine="420" w:firstLineChars="200"/>
        <w:rPr>
          <w:rFonts w:hAnsi="宋体"/>
          <w:color w:val="auto"/>
          <w:sz w:val="21"/>
          <w:szCs w:val="21"/>
          <w:highlight w:val="none"/>
        </w:rPr>
      </w:pPr>
      <w:r>
        <w:rPr>
          <w:rFonts w:hint="eastAsia" w:hAnsi="宋体"/>
          <w:color w:val="auto"/>
          <w:sz w:val="21"/>
          <w:szCs w:val="21"/>
          <w:highlight w:val="none"/>
          <w:lang w:eastAsia="zh-CN"/>
        </w:rPr>
        <w:t>2、无论因何种原因导致本次采购活动终止致投标人损失的，相关责任人均不承担任何责任。</w:t>
      </w:r>
    </w:p>
    <w:p>
      <w:pPr>
        <w:pStyle w:val="8"/>
        <w:numPr>
          <w:ilvl w:val="0"/>
          <w:numId w:val="0"/>
        </w:numPr>
        <w:tabs>
          <w:tab w:val="left" w:pos="720"/>
          <w:tab w:val="clear" w:pos="360"/>
        </w:tabs>
        <w:snapToGrid w:val="0"/>
        <w:spacing w:line="360" w:lineRule="auto"/>
        <w:ind w:left="412" w:leftChars="196"/>
        <w:rPr>
          <w:rFonts w:ascii="宋体" w:hAnsi="宋体"/>
          <w:b/>
          <w:color w:val="auto"/>
          <w:szCs w:val="21"/>
          <w:highlight w:val="none"/>
        </w:rPr>
      </w:pPr>
      <w:r>
        <w:rPr>
          <w:rFonts w:hint="eastAsia" w:ascii="宋体" w:hAnsi="宋体"/>
          <w:b/>
          <w:color w:val="auto"/>
          <w:szCs w:val="21"/>
          <w:highlight w:val="none"/>
        </w:rPr>
        <w:t>（三）招标文件的澄清与修改</w:t>
      </w:r>
      <w:r>
        <w:rPr>
          <w:rFonts w:ascii="宋体" w:hAnsi="宋体"/>
          <w:b/>
          <w:color w:val="auto"/>
          <w:szCs w:val="21"/>
          <w:highlight w:val="none"/>
        </w:rPr>
        <w:t xml:space="preserve"> </w:t>
      </w:r>
    </w:p>
    <w:p>
      <w:pPr>
        <w:pStyle w:val="11"/>
        <w:spacing w:before="0" w:beforeLines="0" w:after="0" w:afterLines="0" w:line="360" w:lineRule="auto"/>
        <w:ind w:firstLine="413"/>
        <w:rPr>
          <w:rFonts w:hint="eastAsia" w:ascii="宋体" w:hAnsi="宋体" w:eastAsia="宋体" w:cs="宋体"/>
          <w:sz w:val="21"/>
          <w:szCs w:val="21"/>
          <w:highlight w:val="none"/>
        </w:rPr>
      </w:pPr>
      <w:r>
        <w:rPr>
          <w:rFonts w:hint="eastAsia" w:ascii="宋体" w:hAnsi="宋体" w:eastAsia="宋体" w:cs="宋体"/>
          <w:sz w:val="21"/>
          <w:szCs w:val="21"/>
          <w:highlight w:val="none"/>
        </w:rPr>
        <w:t>1、采购人对采购文件进行必要的澄清或者修改的，在发布招标公告的网站上发布更正公告。澄清或者修改的内容可能影响投标文件编制的，更正公告在投标截止时间至少15日前发出；不足15日的，顺延提交投标文件截止时间。</w:t>
      </w:r>
    </w:p>
    <w:p>
      <w:pPr>
        <w:pStyle w:val="11"/>
        <w:spacing w:before="0" w:beforeLines="0" w:after="0" w:afterLines="0" w:line="360" w:lineRule="auto"/>
        <w:ind w:firstLine="413"/>
        <w:rPr>
          <w:rFonts w:hint="eastAsia" w:ascii="宋体" w:hAnsi="宋体" w:eastAsia="宋体" w:cs="宋体"/>
          <w:sz w:val="21"/>
          <w:szCs w:val="21"/>
          <w:highlight w:val="none"/>
        </w:rPr>
      </w:pPr>
      <w:r>
        <w:rPr>
          <w:rFonts w:hint="eastAsia" w:ascii="宋体" w:hAnsi="宋体" w:eastAsia="宋体" w:cs="宋体"/>
          <w:sz w:val="21"/>
          <w:szCs w:val="21"/>
          <w:highlight w:val="none"/>
        </w:rPr>
        <w:t>2、更正公告为采购文件的组成部分，一经在网站发布，视同已通知所有采购文件的收受人，不再采用其它方式传达相关信息, 若因未能及时了解到上述网站上发布的相关信息而导致的一切后果自行承担。</w:t>
      </w:r>
    </w:p>
    <w:p>
      <w:pPr>
        <w:pStyle w:val="11"/>
        <w:spacing w:before="0" w:beforeLines="0" w:after="0" w:afterLines="0" w:line="360" w:lineRule="auto"/>
        <w:ind w:firstLine="413"/>
        <w:rPr>
          <w:rFonts w:hint="eastAsia" w:ascii="宋体" w:hAnsi="宋体" w:eastAsia="宋体" w:cs="宋体"/>
          <w:sz w:val="21"/>
          <w:szCs w:val="21"/>
          <w:highlight w:val="none"/>
        </w:rPr>
      </w:pPr>
      <w:r>
        <w:rPr>
          <w:rFonts w:hint="eastAsia" w:ascii="宋体" w:hAnsi="宋体" w:eastAsia="宋体" w:cs="宋体"/>
          <w:sz w:val="21"/>
          <w:szCs w:val="21"/>
          <w:highlight w:val="none"/>
        </w:rPr>
        <w:t>3、如更正公告有重新发布电子采购文件的，投标人应下载最新发布的电子招标文件制作投标文件。</w:t>
      </w:r>
    </w:p>
    <w:p>
      <w:pPr>
        <w:pStyle w:val="8"/>
        <w:numPr>
          <w:ilvl w:val="0"/>
          <w:numId w:val="0"/>
        </w:numPr>
        <w:tabs>
          <w:tab w:val="left" w:pos="720"/>
          <w:tab w:val="clear" w:pos="360"/>
        </w:tabs>
        <w:snapToGrid w:val="0"/>
        <w:spacing w:line="360" w:lineRule="auto"/>
        <w:ind w:firstLine="420" w:firstLineChars="200"/>
        <w:rPr>
          <w:rFonts w:hAnsi="宋体"/>
          <w:color w:val="auto"/>
          <w:szCs w:val="21"/>
          <w:highlight w:val="none"/>
        </w:rPr>
      </w:pPr>
      <w:r>
        <w:rPr>
          <w:rFonts w:hint="eastAsia" w:ascii="宋体" w:hAnsi="宋体" w:eastAsia="宋体" w:cs="宋体"/>
          <w:sz w:val="21"/>
          <w:szCs w:val="21"/>
          <w:highlight w:val="none"/>
        </w:rPr>
        <w:t>4、投标人在规定的时间内未对招标文件提出疑问、质疑或要求澄清的，将视其为无异议。对采购文件中描述有歧义或前后不一致的地方，评审小组有权进行评判，但对同一条款的评判应适用于每个投标人。</w:t>
      </w:r>
    </w:p>
    <w:p>
      <w:pPr>
        <w:pStyle w:val="8"/>
        <w:numPr>
          <w:ilvl w:val="0"/>
          <w:numId w:val="0"/>
        </w:numPr>
        <w:tabs>
          <w:tab w:val="left" w:pos="720"/>
          <w:tab w:val="clear" w:pos="360"/>
        </w:tabs>
        <w:snapToGrid w:val="0"/>
        <w:spacing w:line="360" w:lineRule="auto"/>
        <w:ind w:left="412" w:leftChars="196"/>
        <w:rPr>
          <w:rFonts w:ascii="宋体" w:hAnsi="宋体"/>
          <w:b/>
          <w:color w:val="auto"/>
          <w:szCs w:val="21"/>
          <w:highlight w:val="none"/>
        </w:rPr>
      </w:pPr>
      <w:r>
        <w:rPr>
          <w:rFonts w:ascii="宋体" w:hAnsi="宋体"/>
          <w:b/>
          <w:color w:val="auto"/>
          <w:szCs w:val="21"/>
          <w:highlight w:val="none"/>
        </w:rPr>
        <w:t>三、投标文件的编制</w:t>
      </w:r>
    </w:p>
    <w:p>
      <w:pPr>
        <w:pStyle w:val="8"/>
        <w:numPr>
          <w:ilvl w:val="0"/>
          <w:numId w:val="0"/>
        </w:numPr>
        <w:tabs>
          <w:tab w:val="left" w:pos="720"/>
          <w:tab w:val="clear" w:pos="360"/>
        </w:tabs>
        <w:snapToGrid w:val="0"/>
        <w:spacing w:line="360" w:lineRule="auto"/>
        <w:ind w:left="412" w:leftChars="196"/>
        <w:rPr>
          <w:rFonts w:ascii="宋体" w:hAnsi="宋体"/>
          <w:b/>
          <w:color w:val="auto"/>
          <w:szCs w:val="21"/>
          <w:highlight w:val="none"/>
        </w:rPr>
      </w:pPr>
      <w:r>
        <w:rPr>
          <w:rFonts w:hint="eastAsia" w:ascii="宋体" w:hAnsi="宋体"/>
          <w:b/>
          <w:color w:val="auto"/>
          <w:szCs w:val="21"/>
          <w:highlight w:val="none"/>
        </w:rPr>
        <w:t>（一）投标文件的组成</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投标文件由</w:t>
      </w:r>
      <w:r>
        <w:rPr>
          <w:rFonts w:hint="eastAsia" w:ascii="宋体" w:hAnsi="宋体"/>
          <w:color w:val="auto"/>
          <w:szCs w:val="21"/>
          <w:highlight w:val="none"/>
          <w:lang w:val="en-US" w:eastAsia="zh-CN"/>
        </w:rPr>
        <w:t>三</w:t>
      </w:r>
      <w:r>
        <w:rPr>
          <w:rFonts w:hint="eastAsia" w:ascii="宋体" w:hAnsi="宋体"/>
          <w:color w:val="auto"/>
          <w:szCs w:val="21"/>
          <w:highlight w:val="none"/>
        </w:rPr>
        <w:t>部分组成，分别为</w:t>
      </w:r>
      <w:r>
        <w:rPr>
          <w:rFonts w:hint="eastAsia" w:ascii="宋体" w:hAnsi="宋体" w:cs="Times New Roman"/>
          <w:b/>
          <w:bCs/>
          <w:color w:val="auto"/>
          <w:szCs w:val="21"/>
          <w:highlight w:val="none"/>
          <w:lang w:val="en-US" w:eastAsia="zh-CN"/>
        </w:rPr>
        <w:t>资信</w:t>
      </w:r>
      <w:r>
        <w:rPr>
          <w:rFonts w:hint="eastAsia" w:ascii="宋体" w:hAnsi="宋体"/>
          <w:b/>
          <w:bCs/>
          <w:color w:val="auto"/>
          <w:szCs w:val="21"/>
          <w:highlight w:val="none"/>
        </w:rPr>
        <w:t>商务</w:t>
      </w:r>
      <w:r>
        <w:rPr>
          <w:rFonts w:hint="eastAsia" w:ascii="宋体" w:hAnsi="宋体"/>
          <w:b/>
          <w:bCs/>
          <w:color w:val="auto"/>
          <w:szCs w:val="21"/>
          <w:highlight w:val="none"/>
          <w:lang w:val="en-US" w:eastAsia="zh-CN"/>
        </w:rPr>
        <w:t>文件、</w:t>
      </w:r>
      <w:r>
        <w:rPr>
          <w:rFonts w:hint="eastAsia" w:ascii="宋体" w:hAnsi="宋体"/>
          <w:b/>
          <w:bCs/>
          <w:color w:val="auto"/>
          <w:szCs w:val="21"/>
          <w:highlight w:val="none"/>
        </w:rPr>
        <w:t>技术文件</w:t>
      </w:r>
      <w:r>
        <w:rPr>
          <w:rFonts w:hint="eastAsia" w:ascii="宋体" w:hAnsi="宋体"/>
          <w:color w:val="auto"/>
          <w:szCs w:val="21"/>
          <w:highlight w:val="none"/>
        </w:rPr>
        <w:t>和</w:t>
      </w:r>
      <w:r>
        <w:rPr>
          <w:rFonts w:hint="eastAsia" w:ascii="宋体" w:hAnsi="宋体"/>
          <w:b/>
          <w:bCs/>
          <w:color w:val="auto"/>
          <w:szCs w:val="21"/>
          <w:highlight w:val="none"/>
        </w:rPr>
        <w:t>报价文件</w:t>
      </w:r>
      <w:r>
        <w:rPr>
          <w:rFonts w:hint="eastAsia" w:ascii="宋体" w:hAnsi="宋体"/>
          <w:color w:val="auto"/>
          <w:szCs w:val="21"/>
          <w:highlight w:val="none"/>
        </w:rPr>
        <w:t>：</w:t>
      </w:r>
    </w:p>
    <w:p>
      <w:pPr>
        <w:snapToGrid w:val="0"/>
        <w:spacing w:line="360" w:lineRule="auto"/>
        <w:ind w:firstLine="413" w:firstLineChars="196"/>
        <w:jc w:val="left"/>
        <w:rPr>
          <w:b/>
          <w:bCs/>
          <w:color w:val="auto"/>
          <w:szCs w:val="21"/>
          <w:highlight w:val="none"/>
        </w:rPr>
      </w:pPr>
      <w:r>
        <w:rPr>
          <w:rFonts w:hint="eastAsia"/>
          <w:b/>
          <w:bCs/>
          <w:color w:val="auto"/>
          <w:szCs w:val="21"/>
          <w:highlight w:val="none"/>
        </w:rPr>
        <w:t>1、</w:t>
      </w:r>
      <w:r>
        <w:rPr>
          <w:rFonts w:hint="eastAsia"/>
          <w:b/>
          <w:bCs/>
          <w:color w:val="auto"/>
          <w:szCs w:val="21"/>
          <w:highlight w:val="none"/>
          <w:lang w:val="en-US" w:eastAsia="zh-CN"/>
        </w:rPr>
        <w:t>资信</w:t>
      </w:r>
      <w:r>
        <w:rPr>
          <w:rFonts w:hint="eastAsia"/>
          <w:b/>
          <w:bCs/>
          <w:color w:val="auto"/>
          <w:szCs w:val="21"/>
          <w:highlight w:val="none"/>
        </w:rPr>
        <w:t>商务文件：</w:t>
      </w:r>
    </w:p>
    <w:p>
      <w:pPr>
        <w:snapToGrid w:val="0"/>
        <w:spacing w:line="360" w:lineRule="auto"/>
        <w:ind w:firstLine="420" w:firstLineChars="200"/>
        <w:jc w:val="left"/>
        <w:rPr>
          <w:rFonts w:ascii="宋体"/>
          <w:b w:val="0"/>
          <w:bCs/>
          <w:color w:val="auto"/>
          <w:szCs w:val="21"/>
          <w:highlight w:val="none"/>
        </w:rPr>
      </w:pPr>
      <w:r>
        <w:rPr>
          <w:rFonts w:hint="eastAsia" w:ascii="宋体" w:hAnsi="宋体"/>
          <w:b w:val="0"/>
          <w:bCs/>
          <w:color w:val="auto"/>
          <w:szCs w:val="21"/>
          <w:highlight w:val="none"/>
        </w:rPr>
        <w:t>1.1</w:t>
      </w:r>
      <w:r>
        <w:rPr>
          <w:rFonts w:hint="eastAsia" w:ascii="宋体" w:hAnsi="宋体" w:eastAsia="宋体" w:cs="宋体"/>
          <w:szCs w:val="21"/>
          <w:highlight w:val="none"/>
        </w:rPr>
        <w:t>资格条件自查表（格式见附件）；</w:t>
      </w:r>
    </w:p>
    <w:p>
      <w:pPr>
        <w:snapToGrid w:val="0"/>
        <w:spacing w:line="360" w:lineRule="auto"/>
        <w:ind w:firstLine="420" w:firstLineChars="200"/>
        <w:jc w:val="left"/>
        <w:rPr>
          <w:rFonts w:hint="eastAsia" w:ascii="宋体" w:hAnsi="宋体" w:eastAsia="宋体"/>
          <w:b w:val="0"/>
          <w:bCs/>
          <w:color w:val="auto"/>
          <w:szCs w:val="21"/>
          <w:highlight w:val="none"/>
          <w:lang w:eastAsia="zh-CN"/>
        </w:rPr>
      </w:pPr>
      <w:r>
        <w:rPr>
          <w:rFonts w:hint="eastAsia" w:ascii="宋体" w:hAnsi="宋体"/>
          <w:b w:val="0"/>
          <w:bCs/>
          <w:color w:val="auto"/>
          <w:szCs w:val="21"/>
          <w:highlight w:val="none"/>
        </w:rPr>
        <w:t>1.2</w:t>
      </w:r>
      <w:r>
        <w:rPr>
          <w:rFonts w:hint="eastAsia" w:ascii="宋体" w:hAnsi="宋体"/>
          <w:color w:val="auto"/>
          <w:szCs w:val="21"/>
          <w:highlight w:val="none"/>
        </w:rPr>
        <w:t>有效的企业法人营业执照（或事业法人登记证）、其他组织（个体工商户）的营业执照或者民办非企业单位登记证书复印件（复印件加盖公章</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现场原件备查</w:t>
      </w:r>
      <w:r>
        <w:rPr>
          <w:rFonts w:hint="eastAsia" w:ascii="宋体" w:hAnsi="宋体"/>
          <w:color w:val="auto"/>
          <w:szCs w:val="21"/>
          <w:highlight w:val="none"/>
        </w:rPr>
        <w:t>）；</w:t>
      </w:r>
    </w:p>
    <w:p>
      <w:pPr>
        <w:snapToGrid w:val="0"/>
        <w:spacing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lang w:val="en-US" w:eastAsia="zh-CN"/>
        </w:rPr>
        <w:t>1.3</w:t>
      </w:r>
      <w:r>
        <w:rPr>
          <w:rFonts w:hint="eastAsia" w:ascii="宋体" w:hAnsi="宋体"/>
          <w:color w:val="auto"/>
          <w:szCs w:val="21"/>
          <w:highlight w:val="none"/>
        </w:rPr>
        <w:t>投标声明书</w:t>
      </w:r>
      <w:r>
        <w:rPr>
          <w:rFonts w:ascii="宋体" w:hAnsi="宋体"/>
          <w:color w:val="auto"/>
          <w:szCs w:val="21"/>
          <w:highlight w:val="none"/>
        </w:rPr>
        <w:t>(格式见附件)；</w:t>
      </w:r>
    </w:p>
    <w:p>
      <w:pPr>
        <w:snapToGrid w:val="0"/>
        <w:spacing w:line="360" w:lineRule="auto"/>
        <w:ind w:firstLine="411" w:firstLineChars="196"/>
        <w:jc w:val="left"/>
        <w:rPr>
          <w:rFonts w:ascii="宋体" w:hAnsi="宋体"/>
          <w:color w:val="auto"/>
          <w:szCs w:val="21"/>
          <w:highlight w:val="none"/>
        </w:rPr>
      </w:pPr>
      <w:r>
        <w:rPr>
          <w:rFonts w:hint="eastAsia" w:ascii="宋体" w:hAnsi="宋体"/>
          <w:color w:val="auto"/>
          <w:szCs w:val="21"/>
          <w:highlight w:val="none"/>
          <w:lang w:val="en-US" w:eastAsia="zh-CN"/>
        </w:rPr>
        <w:t>1.4</w:t>
      </w:r>
      <w:r>
        <w:rPr>
          <w:rFonts w:hint="eastAsia" w:ascii="宋体" w:hAnsi="宋体"/>
          <w:color w:val="auto"/>
          <w:szCs w:val="21"/>
          <w:highlight w:val="none"/>
        </w:rPr>
        <w:t>法定代表人的身份证明或法定代表人授权书（</w:t>
      </w:r>
      <w:r>
        <w:rPr>
          <w:rFonts w:hint="eastAsia" w:ascii="宋体" w:hAnsi="宋体"/>
          <w:color w:val="auto"/>
          <w:szCs w:val="21"/>
          <w:highlight w:val="none"/>
          <w:lang w:eastAsia="zh-CN"/>
        </w:rPr>
        <w:t>投标人</w:t>
      </w:r>
      <w:r>
        <w:rPr>
          <w:rFonts w:hint="eastAsia" w:ascii="宋体" w:hAnsi="宋体"/>
          <w:color w:val="auto"/>
          <w:szCs w:val="21"/>
          <w:highlight w:val="none"/>
        </w:rPr>
        <w:t>的代表若为非法定代表人的，必须提交法定代表人授权书），并提供法定代表人和授权代表的身份证正反两面复印件（格式见附件）</w:t>
      </w:r>
      <w:r>
        <w:rPr>
          <w:rFonts w:ascii="宋体" w:hAnsi="宋体"/>
          <w:color w:val="auto"/>
          <w:szCs w:val="21"/>
          <w:highlight w:val="none"/>
        </w:rPr>
        <w:t>；</w:t>
      </w:r>
    </w:p>
    <w:p>
      <w:pPr>
        <w:snapToGrid w:val="0"/>
        <w:spacing w:line="360" w:lineRule="auto"/>
        <w:ind w:firstLine="411" w:firstLineChars="196"/>
        <w:jc w:val="left"/>
        <w:rPr>
          <w:rFonts w:ascii="宋体" w:hAnsi="宋体"/>
          <w:color w:val="auto"/>
          <w:szCs w:val="21"/>
          <w:highlight w:val="none"/>
        </w:rPr>
      </w:pPr>
      <w:r>
        <w:rPr>
          <w:rFonts w:hint="eastAsia" w:ascii="宋体" w:hAnsi="宋体" w:cs="Times New Roman"/>
          <w:color w:val="auto"/>
          <w:szCs w:val="21"/>
          <w:highlight w:val="none"/>
          <w:lang w:val="en-US" w:eastAsia="zh-CN"/>
        </w:rPr>
        <w:t xml:space="preserve">1.5 </w:t>
      </w:r>
      <w:r>
        <w:rPr>
          <w:rFonts w:hint="eastAsia" w:ascii="宋体" w:hAnsi="宋体"/>
          <w:color w:val="auto"/>
          <w:szCs w:val="21"/>
          <w:highlight w:val="none"/>
        </w:rPr>
        <w:t>投标人距离开标日近六个月任意一个月的财务状况报告复印件，其他组织或</w:t>
      </w:r>
      <w:r>
        <w:rPr>
          <w:rFonts w:hint="eastAsia" w:ascii="宋体" w:hAnsi="宋体"/>
          <w:color w:val="auto"/>
          <w:szCs w:val="21"/>
          <w:highlight w:val="none"/>
          <w:lang w:eastAsia="zh-CN"/>
        </w:rPr>
        <w:t>投标人</w:t>
      </w:r>
      <w:r>
        <w:rPr>
          <w:rFonts w:hint="eastAsia" w:ascii="宋体" w:hAnsi="宋体"/>
          <w:color w:val="auto"/>
          <w:szCs w:val="21"/>
          <w:highlight w:val="none"/>
        </w:rPr>
        <w:t>新成立不足一年，提供银行出具的资信证明材料复印件；（财务状况报告尚未审计的，可提供财务报表</w:t>
      </w:r>
      <w:r>
        <w:rPr>
          <w:rFonts w:hint="eastAsia" w:ascii="宋体" w:hAnsi="宋体"/>
          <w:color w:val="auto"/>
          <w:szCs w:val="21"/>
          <w:highlight w:val="none"/>
          <w:lang w:eastAsia="zh-CN"/>
        </w:rPr>
        <w:t>，</w:t>
      </w:r>
      <w:r>
        <w:rPr>
          <w:rFonts w:hint="eastAsia" w:ascii="宋体" w:hAnsi="宋体"/>
          <w:color w:val="auto"/>
          <w:szCs w:val="21"/>
          <w:highlight w:val="none"/>
        </w:rPr>
        <w:t>复印件加盖公章</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现场原件备查</w:t>
      </w:r>
      <w:r>
        <w:rPr>
          <w:rFonts w:hint="eastAsia" w:ascii="宋体" w:hAnsi="宋体"/>
          <w:color w:val="auto"/>
          <w:szCs w:val="21"/>
          <w:highlight w:val="none"/>
        </w:rPr>
        <w:t>）；</w:t>
      </w:r>
    </w:p>
    <w:p>
      <w:pPr>
        <w:snapToGrid w:val="0"/>
        <w:spacing w:line="360" w:lineRule="auto"/>
        <w:ind w:firstLine="411" w:firstLineChars="196"/>
        <w:jc w:val="left"/>
        <w:rPr>
          <w:rFonts w:ascii="宋体" w:hAnsi="宋体"/>
          <w:color w:val="auto"/>
          <w:szCs w:val="21"/>
          <w:highlight w:val="none"/>
        </w:rPr>
      </w:pPr>
      <w:r>
        <w:rPr>
          <w:rFonts w:hint="eastAsia" w:ascii="宋体" w:hAnsi="宋体" w:cs="Times New Roman"/>
          <w:color w:val="auto"/>
          <w:szCs w:val="21"/>
          <w:highlight w:val="none"/>
          <w:lang w:val="en-US" w:eastAsia="zh-CN"/>
        </w:rPr>
        <w:t xml:space="preserve">1.6 </w:t>
      </w:r>
      <w:r>
        <w:rPr>
          <w:rFonts w:hint="eastAsia" w:ascii="宋体" w:hAnsi="宋体"/>
          <w:color w:val="auto"/>
          <w:szCs w:val="21"/>
          <w:highlight w:val="none"/>
        </w:rPr>
        <w:t>投标人距离开标日近六个月任意一个月的缴纳税收的凭据证明材料复印件；如依法免税的，应提供相应文件证明其依法免税（复印件加盖公章</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现场原件备查</w:t>
      </w:r>
      <w:r>
        <w:rPr>
          <w:rFonts w:hint="eastAsia" w:ascii="宋体" w:hAnsi="宋体"/>
          <w:color w:val="auto"/>
          <w:szCs w:val="21"/>
          <w:highlight w:val="none"/>
        </w:rPr>
        <w:t>）；</w:t>
      </w:r>
    </w:p>
    <w:p>
      <w:pPr>
        <w:snapToGrid w:val="0"/>
        <w:spacing w:line="360" w:lineRule="auto"/>
        <w:ind w:firstLine="411" w:firstLineChars="196"/>
        <w:jc w:val="left"/>
        <w:rPr>
          <w:rFonts w:ascii="宋体" w:hAnsi="宋体"/>
          <w:color w:val="auto"/>
          <w:szCs w:val="21"/>
          <w:highlight w:val="none"/>
        </w:rPr>
      </w:pPr>
      <w:r>
        <w:rPr>
          <w:rFonts w:hint="eastAsia" w:ascii="宋体" w:hAnsi="宋体"/>
          <w:color w:val="auto"/>
          <w:szCs w:val="21"/>
          <w:highlight w:val="none"/>
          <w:lang w:val="en-US" w:eastAsia="zh-CN"/>
        </w:rPr>
        <w:t xml:space="preserve">1.7 </w:t>
      </w:r>
      <w:r>
        <w:rPr>
          <w:rFonts w:hint="eastAsia" w:ascii="宋体" w:hAnsi="宋体"/>
          <w:color w:val="auto"/>
          <w:szCs w:val="21"/>
          <w:highlight w:val="none"/>
        </w:rPr>
        <w:t>投标人距离开标日近六个月任意一个月的缴纳社会保险的凭据证明材料复印件；如依法不需要缴纳社会保障资金的，应提供相应文件证明其依法不需要缴纳社会保障资金（复印件加盖公章</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现场原件备查</w:t>
      </w:r>
      <w:r>
        <w:rPr>
          <w:rFonts w:hint="eastAsia" w:ascii="宋体" w:hAnsi="宋体"/>
          <w:color w:val="auto"/>
          <w:szCs w:val="21"/>
          <w:highlight w:val="none"/>
        </w:rPr>
        <w:t>）；</w:t>
      </w:r>
    </w:p>
    <w:p>
      <w:pPr>
        <w:snapToGrid w:val="0"/>
        <w:spacing w:line="360" w:lineRule="auto"/>
        <w:ind w:firstLine="411" w:firstLineChars="196"/>
        <w:jc w:val="left"/>
        <w:rPr>
          <w:rFonts w:ascii="宋体" w:hAnsi="宋体"/>
          <w:color w:val="auto"/>
          <w:szCs w:val="21"/>
          <w:highlight w:val="none"/>
        </w:rPr>
      </w:pPr>
      <w:r>
        <w:rPr>
          <w:rFonts w:hint="eastAsia" w:ascii="宋体" w:hAnsi="宋体"/>
          <w:color w:val="auto"/>
          <w:szCs w:val="21"/>
          <w:highlight w:val="none"/>
          <w:lang w:val="en-US" w:eastAsia="zh-CN"/>
        </w:rPr>
        <w:t>1.8</w:t>
      </w:r>
      <w:r>
        <w:rPr>
          <w:rFonts w:hint="eastAsia" w:ascii="宋体" w:hAnsi="宋体"/>
          <w:color w:val="auto"/>
          <w:szCs w:val="21"/>
          <w:highlight w:val="none"/>
        </w:rPr>
        <w:t>具备履行合同所需的设备和专业技术能力的承诺书</w:t>
      </w:r>
      <w:r>
        <w:rPr>
          <w:rFonts w:ascii="宋体" w:hAnsi="宋体"/>
          <w:color w:val="auto"/>
          <w:szCs w:val="21"/>
          <w:highlight w:val="none"/>
        </w:rPr>
        <w:t>(格式见附件)</w:t>
      </w:r>
      <w:r>
        <w:rPr>
          <w:rFonts w:hint="eastAsia" w:ascii="宋体" w:hAnsi="宋体"/>
          <w:color w:val="auto"/>
          <w:szCs w:val="21"/>
          <w:highlight w:val="none"/>
        </w:rPr>
        <w:t>；</w:t>
      </w:r>
    </w:p>
    <w:p>
      <w:pPr>
        <w:snapToGrid w:val="0"/>
        <w:spacing w:line="360" w:lineRule="auto"/>
        <w:ind w:firstLine="411" w:firstLineChars="196"/>
        <w:jc w:val="left"/>
        <w:rPr>
          <w:rFonts w:ascii="宋体" w:hAnsi="宋体"/>
          <w:color w:val="auto"/>
          <w:szCs w:val="21"/>
          <w:highlight w:val="none"/>
        </w:rPr>
      </w:pPr>
      <w:r>
        <w:rPr>
          <w:rFonts w:hint="eastAsia" w:ascii="宋体" w:hAnsi="宋体"/>
          <w:color w:val="auto"/>
          <w:szCs w:val="21"/>
          <w:highlight w:val="none"/>
          <w:lang w:val="en-US" w:eastAsia="zh-CN"/>
        </w:rPr>
        <w:t>1.9</w:t>
      </w:r>
      <w:r>
        <w:rPr>
          <w:rFonts w:hint="eastAsia" w:ascii="宋体" w:hAnsi="宋体"/>
          <w:color w:val="auto"/>
          <w:szCs w:val="21"/>
          <w:highlight w:val="none"/>
        </w:rPr>
        <w:t>有效的环境污染治理工程总承包资质正式</w:t>
      </w:r>
      <w:r>
        <w:rPr>
          <w:rFonts w:hint="eastAsia" w:ascii="宋体" w:hAnsi="宋体" w:cs="宋体"/>
          <w:color w:val="auto"/>
          <w:highlight w:val="none"/>
        </w:rPr>
        <w:t>证书复印件</w:t>
      </w:r>
      <w:r>
        <w:rPr>
          <w:rFonts w:hint="eastAsia" w:ascii="宋体" w:hAnsi="宋体"/>
          <w:color w:val="auto"/>
          <w:szCs w:val="21"/>
          <w:highlight w:val="none"/>
        </w:rPr>
        <w:t>（加盖公章，</w:t>
      </w:r>
      <w:r>
        <w:rPr>
          <w:rFonts w:hint="eastAsia" w:ascii="宋体" w:hAnsi="宋体"/>
          <w:color w:val="auto"/>
          <w:szCs w:val="21"/>
          <w:highlight w:val="none"/>
          <w:lang w:eastAsia="zh-CN"/>
        </w:rPr>
        <w:t>现场原件备查</w:t>
      </w:r>
      <w:r>
        <w:rPr>
          <w:rFonts w:hint="eastAsia" w:ascii="宋体" w:hAnsi="宋体"/>
          <w:color w:val="auto"/>
          <w:szCs w:val="21"/>
          <w:highlight w:val="none"/>
        </w:rPr>
        <w:t>）；</w:t>
      </w:r>
    </w:p>
    <w:p>
      <w:pPr>
        <w:snapToGrid w:val="0"/>
        <w:spacing w:line="360" w:lineRule="auto"/>
        <w:ind w:firstLine="411" w:firstLineChars="196"/>
        <w:jc w:val="left"/>
        <w:rPr>
          <w:rFonts w:hint="eastAsia" w:ascii="宋体" w:hAnsi="宋体" w:cs="Times New Roman"/>
          <w:color w:val="auto"/>
          <w:szCs w:val="21"/>
          <w:highlight w:val="none"/>
        </w:rPr>
      </w:pPr>
      <w:r>
        <w:rPr>
          <w:rFonts w:hint="eastAsia" w:ascii="宋体" w:hAnsi="宋体"/>
          <w:color w:val="auto"/>
          <w:szCs w:val="21"/>
          <w:highlight w:val="none"/>
          <w:lang w:val="en-US" w:eastAsia="zh-CN"/>
        </w:rPr>
        <w:t>1.10</w:t>
      </w:r>
      <w:r>
        <w:rPr>
          <w:rFonts w:hint="eastAsia" w:ascii="宋体" w:hAnsi="宋体"/>
          <w:color w:val="auto"/>
          <w:szCs w:val="21"/>
          <w:highlight w:val="none"/>
          <w:lang w:eastAsia="zh-CN"/>
        </w:rPr>
        <w:t>投标人</w:t>
      </w:r>
      <w:r>
        <w:rPr>
          <w:rFonts w:hint="eastAsia" w:ascii="宋体" w:hAnsi="宋体"/>
          <w:color w:val="auto"/>
          <w:szCs w:val="21"/>
          <w:highlight w:val="none"/>
        </w:rPr>
        <w:t>基本情况表（格式见附件）</w:t>
      </w:r>
      <w:r>
        <w:rPr>
          <w:rFonts w:hint="eastAsia" w:ascii="宋体" w:hAnsi="宋体"/>
          <w:bCs/>
          <w:color w:val="auto"/>
          <w:szCs w:val="21"/>
          <w:highlight w:val="none"/>
        </w:rPr>
        <w:t>及</w:t>
      </w:r>
      <w:r>
        <w:rPr>
          <w:rFonts w:hint="eastAsia" w:ascii="宋体" w:hAnsi="宋体"/>
          <w:bCs/>
          <w:color w:val="auto"/>
          <w:szCs w:val="21"/>
          <w:highlight w:val="none"/>
          <w:lang w:eastAsia="zh-CN"/>
        </w:rPr>
        <w:t>投标人</w:t>
      </w:r>
      <w:r>
        <w:rPr>
          <w:rFonts w:hint="eastAsia" w:ascii="宋体" w:hAnsi="宋体"/>
          <w:bCs/>
          <w:color w:val="auto"/>
          <w:szCs w:val="21"/>
          <w:highlight w:val="none"/>
        </w:rPr>
        <w:t>情况介绍（格式自拟）</w:t>
      </w:r>
      <w:r>
        <w:rPr>
          <w:rFonts w:hint="eastAsia" w:ascii="宋体" w:hAnsi="宋体"/>
          <w:b/>
          <w:color w:val="auto"/>
          <w:szCs w:val="21"/>
          <w:highlight w:val="none"/>
        </w:rPr>
        <w:t>：</w:t>
      </w:r>
      <w:r>
        <w:rPr>
          <w:rFonts w:hint="eastAsia" w:ascii="宋体" w:hAnsi="宋体"/>
          <w:color w:val="auto"/>
          <w:szCs w:val="21"/>
          <w:highlight w:val="none"/>
          <w:lang w:eastAsia="zh-CN"/>
        </w:rPr>
        <w:t>投标人</w:t>
      </w:r>
      <w:r>
        <w:rPr>
          <w:rFonts w:hint="eastAsia" w:ascii="宋体" w:hAnsi="宋体"/>
          <w:color w:val="auto"/>
          <w:szCs w:val="21"/>
          <w:highlight w:val="none"/>
        </w:rPr>
        <w:t>情况介绍包括</w:t>
      </w:r>
      <w:r>
        <w:rPr>
          <w:rFonts w:hint="eastAsia" w:ascii="宋体" w:hAnsi="宋体"/>
          <w:color w:val="auto"/>
          <w:szCs w:val="21"/>
          <w:highlight w:val="none"/>
          <w:lang w:eastAsia="zh-CN"/>
        </w:rPr>
        <w:t>投标人</w:t>
      </w:r>
      <w:r>
        <w:rPr>
          <w:rFonts w:hint="eastAsia" w:ascii="宋体" w:hAnsi="宋体"/>
          <w:color w:val="auto"/>
          <w:szCs w:val="21"/>
          <w:highlight w:val="none"/>
        </w:rPr>
        <w:t>企业的特点、优势，包括企业的核心技术特点、研发能力、经济实力、管理团队、</w:t>
      </w:r>
      <w:r>
        <w:rPr>
          <w:rFonts w:hint="eastAsia" w:ascii="宋体" w:hAnsi="宋体" w:cs="Times New Roman"/>
          <w:color w:val="auto"/>
          <w:szCs w:val="21"/>
          <w:highlight w:val="none"/>
        </w:rPr>
        <w:t>工作业绩等；</w:t>
      </w:r>
    </w:p>
    <w:p>
      <w:pPr>
        <w:snapToGrid w:val="0"/>
        <w:spacing w:line="360" w:lineRule="auto"/>
        <w:ind w:firstLine="411" w:firstLineChars="196"/>
        <w:jc w:val="left"/>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1.11项目业绩表（格式见附件）；</w:t>
      </w:r>
    </w:p>
    <w:p>
      <w:pPr>
        <w:snapToGrid w:val="0"/>
        <w:spacing w:line="360" w:lineRule="auto"/>
        <w:ind w:firstLine="411" w:firstLineChars="196"/>
        <w:jc w:val="left"/>
        <w:rPr>
          <w:rFonts w:hint="default"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1.12</w:t>
      </w:r>
      <w:r>
        <w:rPr>
          <w:rFonts w:hint="eastAsia" w:ascii="宋体" w:hAnsi="宋体"/>
          <w:color w:val="auto"/>
          <w:szCs w:val="21"/>
          <w:highlight w:val="none"/>
        </w:rPr>
        <w:t>商务条款响应表（格式见附件）；</w:t>
      </w:r>
    </w:p>
    <w:p>
      <w:pPr>
        <w:snapToGrid w:val="0"/>
        <w:spacing w:line="360" w:lineRule="auto"/>
        <w:ind w:firstLine="411" w:firstLineChars="196"/>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1.13管理体系认证（按评分标准提供）；</w:t>
      </w:r>
    </w:p>
    <w:p>
      <w:pPr>
        <w:snapToGrid w:val="0"/>
        <w:spacing w:line="360" w:lineRule="auto"/>
        <w:ind w:firstLine="411" w:firstLineChars="196"/>
        <w:jc w:val="left"/>
        <w:rPr>
          <w:rFonts w:ascii="宋体" w:hAnsi="宋体"/>
          <w:bCs/>
          <w:color w:val="auto"/>
          <w:spacing w:val="6"/>
          <w:szCs w:val="21"/>
          <w:highlight w:val="none"/>
        </w:rPr>
      </w:pPr>
      <w:r>
        <w:rPr>
          <w:rFonts w:hint="eastAsia" w:ascii="宋体" w:hAnsi="宋体"/>
          <w:color w:val="auto"/>
          <w:szCs w:val="21"/>
          <w:highlight w:val="none"/>
          <w:lang w:val="en-US" w:eastAsia="zh-CN"/>
        </w:rPr>
        <w:t>1.14</w:t>
      </w:r>
      <w:r>
        <w:rPr>
          <w:rFonts w:hint="eastAsia" w:ascii="宋体" w:hAnsi="宋体"/>
          <w:color w:val="auto"/>
          <w:szCs w:val="21"/>
          <w:highlight w:val="none"/>
        </w:rPr>
        <w:t>招标文件要求的或</w:t>
      </w:r>
      <w:r>
        <w:rPr>
          <w:rFonts w:hint="eastAsia" w:ascii="宋体" w:hAnsi="宋体"/>
          <w:color w:val="auto"/>
          <w:szCs w:val="21"/>
          <w:highlight w:val="none"/>
          <w:lang w:eastAsia="zh-CN"/>
        </w:rPr>
        <w:t>投标人</w:t>
      </w:r>
      <w:r>
        <w:rPr>
          <w:rFonts w:hint="eastAsia" w:ascii="宋体" w:hAnsi="宋体"/>
          <w:color w:val="auto"/>
          <w:szCs w:val="21"/>
          <w:highlight w:val="none"/>
        </w:rPr>
        <w:t>认为需要提供的商务资料（如有，请提供）；</w:t>
      </w:r>
    </w:p>
    <w:p>
      <w:pPr>
        <w:snapToGrid w:val="0"/>
        <w:spacing w:line="360" w:lineRule="auto"/>
        <w:ind w:firstLine="422" w:firstLineChars="200"/>
        <w:jc w:val="left"/>
        <w:rPr>
          <w:b/>
          <w:bCs/>
          <w:color w:val="auto"/>
          <w:highlight w:val="none"/>
        </w:rPr>
      </w:pPr>
      <w:r>
        <w:rPr>
          <w:rFonts w:hint="eastAsia"/>
          <w:b/>
          <w:bCs/>
          <w:color w:val="auto"/>
          <w:highlight w:val="none"/>
        </w:rPr>
        <w:t>2、技术文件：</w:t>
      </w:r>
    </w:p>
    <w:p>
      <w:pPr>
        <w:snapToGrid w:val="0"/>
        <w:spacing w:line="360" w:lineRule="auto"/>
        <w:ind w:firstLine="411" w:firstLineChars="196"/>
        <w:jc w:val="left"/>
        <w:rPr>
          <w:rFonts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.1针对本项目的完整技术方案：</w:t>
      </w:r>
    </w:p>
    <w:p>
      <w:pPr>
        <w:snapToGrid w:val="0"/>
        <w:spacing w:line="360" w:lineRule="auto"/>
        <w:ind w:firstLine="422" w:firstLineChars="200"/>
        <w:jc w:val="left"/>
        <w:rPr>
          <w:rFonts w:ascii="宋体" w:hAnsi="宋体"/>
          <w:color w:val="auto"/>
          <w:szCs w:val="21"/>
          <w:highlight w:val="none"/>
        </w:rPr>
      </w:pPr>
      <w:r>
        <w:rPr>
          <w:rFonts w:hint="eastAsia" w:ascii="仿宋" w:hAnsi="仿宋" w:eastAsia="仿宋" w:cs="仿宋"/>
          <w:b/>
          <w:bCs/>
          <w:color w:val="auto"/>
          <w:szCs w:val="21"/>
          <w:highlight w:val="none"/>
          <w:lang w:val="en-US" w:eastAsia="zh-CN"/>
        </w:rPr>
        <w:t>◆</w:t>
      </w:r>
      <w:r>
        <w:rPr>
          <w:rFonts w:hint="eastAsia" w:ascii="宋体" w:hAnsi="宋体"/>
          <w:b/>
          <w:bCs/>
          <w:color w:val="auto"/>
          <w:szCs w:val="21"/>
          <w:highlight w:val="none"/>
        </w:rPr>
        <w:t>总则</w:t>
      </w:r>
      <w:r>
        <w:rPr>
          <w:rFonts w:hint="eastAsia" w:ascii="宋体" w:hAnsi="宋体"/>
          <w:b/>
          <w:bCs/>
          <w:color w:val="auto"/>
          <w:szCs w:val="21"/>
          <w:highlight w:val="none"/>
          <w:lang w:eastAsia="zh-CN"/>
        </w:rPr>
        <w:t>：</w:t>
      </w:r>
      <w:r>
        <w:rPr>
          <w:rFonts w:hint="eastAsia" w:ascii="宋体" w:hAnsi="宋体"/>
          <w:b/>
          <w:bCs/>
          <w:color w:val="auto"/>
          <w:szCs w:val="21"/>
          <w:highlight w:val="none"/>
        </w:rPr>
        <w:t>论述响应招标文件各项要求的情况，至少包括：</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2.1.1</w:t>
      </w:r>
      <w:r>
        <w:rPr>
          <w:rFonts w:hint="eastAsia" w:ascii="宋体" w:hAnsi="宋体"/>
          <w:color w:val="auto"/>
          <w:szCs w:val="21"/>
          <w:highlight w:val="none"/>
        </w:rPr>
        <w:t>对本标段招标项目进行简要的分析，论述对本标段项目的理解，并表述总体工作思路及方向；</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2.1.2</w:t>
      </w:r>
      <w:r>
        <w:rPr>
          <w:rFonts w:hint="eastAsia" w:ascii="宋体" w:hAnsi="宋体"/>
          <w:color w:val="auto"/>
          <w:szCs w:val="21"/>
          <w:highlight w:val="none"/>
        </w:rPr>
        <w:t>纲领性的简述所采用的水质提升方案的技术、经济特点。</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2.1.3</w:t>
      </w:r>
      <w:r>
        <w:rPr>
          <w:rFonts w:hint="eastAsia" w:ascii="宋体" w:hAnsi="宋体"/>
          <w:color w:val="auto"/>
          <w:szCs w:val="21"/>
          <w:highlight w:val="none"/>
        </w:rPr>
        <w:t>简述年度工作目标，以及如何实现</w:t>
      </w:r>
      <w:r>
        <w:rPr>
          <w:rFonts w:hint="eastAsia"/>
          <w:color w:val="auto"/>
          <w:highlight w:val="none"/>
        </w:rPr>
        <w:t>。</w:t>
      </w:r>
    </w:p>
    <w:p>
      <w:pPr>
        <w:snapToGrid w:val="0"/>
        <w:spacing w:line="360" w:lineRule="auto"/>
        <w:ind w:firstLine="517" w:firstLineChars="245"/>
        <w:jc w:val="left"/>
        <w:rPr>
          <w:rFonts w:ascii="宋体" w:hAnsi="宋体"/>
          <w:b/>
          <w:color w:val="auto"/>
          <w:szCs w:val="21"/>
          <w:highlight w:val="none"/>
        </w:rPr>
      </w:pPr>
      <w:r>
        <w:rPr>
          <w:rFonts w:hint="eastAsia" w:ascii="仿宋" w:hAnsi="仿宋" w:eastAsia="仿宋" w:cs="仿宋"/>
          <w:b/>
          <w:bCs/>
          <w:color w:val="auto"/>
          <w:szCs w:val="21"/>
          <w:highlight w:val="none"/>
          <w:lang w:val="en-US" w:eastAsia="zh-CN"/>
        </w:rPr>
        <w:t>◆</w:t>
      </w:r>
      <w:r>
        <w:rPr>
          <w:rFonts w:hint="eastAsia" w:ascii="宋体" w:hAnsi="宋体"/>
          <w:b/>
          <w:color w:val="auto"/>
          <w:szCs w:val="21"/>
          <w:highlight w:val="none"/>
        </w:rPr>
        <w:t>技术路线方案，详细论述用于本标段的水质提升技术路线，至少包括以下内容：</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2.1.4</w:t>
      </w:r>
      <w:r>
        <w:rPr>
          <w:rFonts w:hint="eastAsia" w:ascii="宋体" w:hAnsi="宋体"/>
          <w:color w:val="auto"/>
          <w:szCs w:val="21"/>
          <w:highlight w:val="none"/>
        </w:rPr>
        <w:t>详细描述拟用于本标段中涉及的各项技术，如设备、材料、生物等，并说明其尺寸大小、投放数量等。</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2.1.5</w:t>
      </w:r>
      <w:r>
        <w:rPr>
          <w:rFonts w:hint="eastAsia" w:ascii="宋体" w:hAnsi="宋体"/>
          <w:color w:val="auto"/>
          <w:szCs w:val="21"/>
          <w:highlight w:val="none"/>
        </w:rPr>
        <w:t>根据河道现状，论述拟采用的完整技术路线（含截污方案、投放菌种药剂等时间间隔，设备开启时段等）。</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2.1.6</w:t>
      </w:r>
      <w:r>
        <w:rPr>
          <w:rFonts w:hint="eastAsia" w:ascii="宋体" w:hAnsi="宋体"/>
          <w:color w:val="auto"/>
          <w:szCs w:val="21"/>
          <w:highlight w:val="none"/>
        </w:rPr>
        <w:t>绘制完整的平面布置图。要求包括投入水质提升服务的各项设备、材料的平面位置（并注明陆上、水面或水下布置）、间距、单体面积等。如涉及水下设备安装，需绘制设备在河道内的垂直断面布置图。</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2.1.7</w:t>
      </w:r>
      <w:r>
        <w:rPr>
          <w:rFonts w:hint="eastAsia" w:ascii="宋体" w:hAnsi="宋体"/>
          <w:color w:val="auto"/>
          <w:szCs w:val="21"/>
          <w:highlight w:val="none"/>
        </w:rPr>
        <w:t>拟投入本标段水质提升的设施</w:t>
      </w:r>
      <w:r>
        <w:rPr>
          <w:rFonts w:hint="eastAsia" w:ascii="宋体" w:hAnsi="宋体"/>
          <w:bCs/>
          <w:color w:val="auto"/>
          <w:szCs w:val="21"/>
          <w:highlight w:val="none"/>
        </w:rPr>
        <w:t>设备、材料配置清单（格式见附件）</w:t>
      </w:r>
      <w:r>
        <w:rPr>
          <w:rFonts w:hint="eastAsia" w:ascii="宋体" w:hAnsi="宋体"/>
          <w:color w:val="auto"/>
          <w:szCs w:val="21"/>
          <w:highlight w:val="none"/>
        </w:rPr>
        <w:t>及详细说明（包括设备及材料的技术规格、产品材质、品牌和产地等），</w:t>
      </w:r>
      <w:r>
        <w:rPr>
          <w:rFonts w:hint="eastAsia" w:ascii="宋体" w:hAnsi="宋体"/>
          <w:b/>
          <w:bCs/>
          <w:color w:val="auto"/>
          <w:szCs w:val="21"/>
          <w:highlight w:val="none"/>
        </w:rPr>
        <w:t>不含报价</w:t>
      </w:r>
      <w:r>
        <w:rPr>
          <w:rFonts w:hint="eastAsia" w:ascii="宋体" w:hAnsi="宋体"/>
          <w:color w:val="auto"/>
          <w:szCs w:val="21"/>
          <w:highlight w:val="none"/>
        </w:rPr>
        <w:t>；</w:t>
      </w:r>
    </w:p>
    <w:p>
      <w:pPr>
        <w:snapToGrid w:val="0"/>
        <w:spacing w:line="360" w:lineRule="auto"/>
        <w:ind w:firstLine="422" w:firstLineChars="200"/>
        <w:jc w:val="left"/>
        <w:rPr>
          <w:rFonts w:ascii="宋体" w:hAnsi="宋体"/>
          <w:b/>
          <w:bCs/>
          <w:color w:val="auto"/>
          <w:szCs w:val="21"/>
          <w:highlight w:val="none"/>
        </w:rPr>
      </w:pPr>
      <w:r>
        <w:rPr>
          <w:rFonts w:hint="eastAsia" w:ascii="仿宋" w:hAnsi="仿宋" w:eastAsia="仿宋" w:cs="仿宋"/>
          <w:b/>
          <w:bCs/>
          <w:color w:val="auto"/>
          <w:szCs w:val="21"/>
          <w:highlight w:val="none"/>
          <w:lang w:val="en-US" w:eastAsia="zh-CN"/>
        </w:rPr>
        <w:t>◆</w:t>
      </w:r>
      <w:r>
        <w:rPr>
          <w:rFonts w:hint="eastAsia" w:ascii="宋体" w:hAnsi="宋体"/>
          <w:b/>
          <w:bCs/>
          <w:color w:val="auto"/>
          <w:szCs w:val="21"/>
          <w:highlight w:val="none"/>
        </w:rPr>
        <w:t>完整的施工组织设计方案，至少包括：</w:t>
      </w:r>
    </w:p>
    <w:p>
      <w:pPr>
        <w:snapToGrid w:val="0"/>
        <w:spacing w:line="360" w:lineRule="auto"/>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2.1.8</w:t>
      </w:r>
      <w:r>
        <w:rPr>
          <w:rFonts w:hint="eastAsia" w:ascii="宋体" w:hAnsi="宋体"/>
          <w:color w:val="auto"/>
          <w:szCs w:val="21"/>
          <w:highlight w:val="none"/>
        </w:rPr>
        <w:t>包括施工顺序、工期和质量保证措施、安全文明环保施工保障措施，并说明对现有水面保洁、绿化养护的影响情况、</w:t>
      </w:r>
      <w:r>
        <w:rPr>
          <w:rFonts w:hint="eastAsia" w:hAnsi="宋体"/>
          <w:color w:val="auto"/>
          <w:szCs w:val="21"/>
          <w:highlight w:val="none"/>
        </w:rPr>
        <w:t>验收方案</w:t>
      </w:r>
      <w:r>
        <w:rPr>
          <w:rFonts w:hint="eastAsia" w:ascii="宋体" w:hAnsi="宋体"/>
          <w:color w:val="auto"/>
          <w:szCs w:val="21"/>
          <w:highlight w:val="none"/>
        </w:rPr>
        <w:t>等有必要说明的其他内容</w:t>
      </w:r>
      <w:r>
        <w:rPr>
          <w:rFonts w:hint="eastAsia" w:ascii="宋体" w:hAnsi="宋体"/>
          <w:color w:val="auto"/>
          <w:szCs w:val="21"/>
          <w:highlight w:val="none"/>
          <w:lang w:eastAsia="zh-CN"/>
        </w:rPr>
        <w:t>；</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2.1.9</w:t>
      </w:r>
      <w:r>
        <w:rPr>
          <w:rFonts w:hint="eastAsia" w:ascii="宋体" w:hAnsi="宋体"/>
          <w:color w:val="auto"/>
          <w:szCs w:val="21"/>
          <w:highlight w:val="none"/>
        </w:rPr>
        <w:t>建设期主要施工机械设备表（格式见附件）；</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2.1.10</w:t>
      </w:r>
      <w:r>
        <w:rPr>
          <w:rFonts w:hint="eastAsia" w:ascii="宋体" w:hAnsi="宋体"/>
          <w:color w:val="auto"/>
          <w:szCs w:val="21"/>
          <w:highlight w:val="none"/>
        </w:rPr>
        <w:t>建设期项目实施人员配备表（格式见附件）；</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2.1.11</w:t>
      </w:r>
      <w:r>
        <w:rPr>
          <w:rFonts w:hint="eastAsia" w:ascii="宋体" w:hAnsi="宋体"/>
          <w:color w:val="auto"/>
          <w:szCs w:val="21"/>
          <w:highlight w:val="none"/>
        </w:rPr>
        <w:t>应对水质恶化突发性事件的应急方案，包括技术方案及相关设备等。</w:t>
      </w:r>
    </w:p>
    <w:p>
      <w:pPr>
        <w:snapToGrid w:val="0"/>
        <w:spacing w:line="360" w:lineRule="auto"/>
        <w:ind w:firstLine="422" w:firstLineChars="200"/>
        <w:jc w:val="left"/>
        <w:rPr>
          <w:rFonts w:ascii="宋体" w:hAnsi="宋体"/>
          <w:b/>
          <w:color w:val="auto"/>
          <w:szCs w:val="21"/>
          <w:highlight w:val="none"/>
        </w:rPr>
      </w:pPr>
      <w:r>
        <w:rPr>
          <w:rFonts w:hint="eastAsia" w:ascii="仿宋" w:hAnsi="仿宋" w:eastAsia="仿宋" w:cs="仿宋"/>
          <w:b/>
          <w:bCs/>
          <w:color w:val="auto"/>
          <w:szCs w:val="21"/>
          <w:highlight w:val="none"/>
          <w:lang w:val="en-US" w:eastAsia="zh-CN"/>
        </w:rPr>
        <w:t>◆</w:t>
      </w:r>
      <w:r>
        <w:rPr>
          <w:rFonts w:hint="eastAsia" w:ascii="宋体" w:hAnsi="宋体"/>
          <w:b/>
          <w:color w:val="auto"/>
          <w:szCs w:val="21"/>
          <w:highlight w:val="none"/>
        </w:rPr>
        <w:t>运行管理方案：提供详细的水质提升作业期间的日常管理制度和应急响应机制，至少包括以下内容：</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2.1.13</w:t>
      </w:r>
      <w:r>
        <w:rPr>
          <w:rFonts w:hint="eastAsia" w:ascii="宋体" w:hAnsi="宋体"/>
          <w:color w:val="auto"/>
          <w:szCs w:val="21"/>
          <w:highlight w:val="none"/>
        </w:rPr>
        <w:t>开展水质提升工作的内部管理网络及保证措施；</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2.1.14</w:t>
      </w:r>
      <w:r>
        <w:rPr>
          <w:rFonts w:hint="eastAsia" w:ascii="宋体" w:hAnsi="宋体"/>
          <w:color w:val="auto"/>
          <w:szCs w:val="21"/>
          <w:highlight w:val="none"/>
        </w:rPr>
        <w:t>水质提升服务期间的项目负责人和其他实施人员配备表</w:t>
      </w:r>
      <w:r>
        <w:rPr>
          <w:rFonts w:hint="eastAsia" w:ascii="宋体" w:hAnsi="宋体"/>
          <w:bCs/>
          <w:color w:val="auto"/>
          <w:szCs w:val="21"/>
          <w:highlight w:val="none"/>
        </w:rPr>
        <w:t>（格式见附件）；</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2.1.15日常</w:t>
      </w:r>
      <w:r>
        <w:rPr>
          <w:rFonts w:hint="eastAsia" w:ascii="宋体" w:hAnsi="宋体"/>
          <w:color w:val="auto"/>
          <w:szCs w:val="21"/>
          <w:highlight w:val="none"/>
        </w:rPr>
        <w:t>巡查方案；</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2.1.16</w:t>
      </w:r>
      <w:r>
        <w:rPr>
          <w:rFonts w:hint="eastAsia" w:ascii="宋体" w:hAnsi="宋体"/>
          <w:color w:val="auto"/>
          <w:szCs w:val="21"/>
          <w:highlight w:val="none"/>
        </w:rPr>
        <w:t>确保各项设备正常运行及损坏设备及时维修的措施；</w:t>
      </w:r>
    </w:p>
    <w:p>
      <w:pPr>
        <w:snapToGrid w:val="0"/>
        <w:spacing w:line="360" w:lineRule="auto"/>
        <w:jc w:val="left"/>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lang w:val="en-US" w:eastAsia="zh-CN"/>
        </w:rPr>
        <w:t>2.1.17</w:t>
      </w:r>
      <w:r>
        <w:rPr>
          <w:rFonts w:hint="eastAsia" w:ascii="宋体" w:hAnsi="宋体"/>
          <w:color w:val="auto"/>
          <w:szCs w:val="21"/>
          <w:highlight w:val="none"/>
        </w:rPr>
        <w:t>水质自行检测管理制度，包括检测设备及人员配备等内容；（如企业委托其他单位检测的请同时提供证明检测单位检测意向的材料</w:t>
      </w:r>
      <w:r>
        <w:rPr>
          <w:rFonts w:ascii="宋体" w:hAnsi="宋体"/>
          <w:color w:val="auto"/>
          <w:szCs w:val="21"/>
          <w:highlight w:val="none"/>
        </w:rPr>
        <w:t>）</w:t>
      </w:r>
      <w:r>
        <w:rPr>
          <w:rFonts w:hint="eastAsia" w:ascii="宋体" w:hAnsi="宋体"/>
          <w:color w:val="auto"/>
          <w:szCs w:val="21"/>
          <w:highlight w:val="none"/>
        </w:rPr>
        <w:t>。</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2.1.18水质恶化突发性事件、高温季节、防汛、渡汛的安全保证措施、重大活动创建和检查期间的应急响应管理方案和制度</w:t>
      </w:r>
      <w:r>
        <w:rPr>
          <w:rFonts w:hint="eastAsia" w:ascii="宋体" w:hAnsi="宋体"/>
          <w:color w:val="auto"/>
          <w:szCs w:val="21"/>
          <w:highlight w:val="none"/>
        </w:rPr>
        <w:t>。</w:t>
      </w:r>
    </w:p>
    <w:p>
      <w:pPr>
        <w:snapToGrid w:val="0"/>
        <w:spacing w:line="360" w:lineRule="auto"/>
        <w:ind w:firstLine="411" w:firstLineChars="196"/>
        <w:jc w:val="left"/>
        <w:rPr>
          <w:rFonts w:hint="default" w:eastAsia="宋体"/>
          <w:highlight w:val="none"/>
          <w:lang w:val="en-US" w:eastAsia="zh-CN"/>
        </w:rPr>
      </w:pPr>
      <w:r>
        <w:rPr>
          <w:rFonts w:hint="eastAsia" w:ascii="宋体" w:hAnsi="宋体"/>
          <w:color w:val="auto"/>
          <w:szCs w:val="21"/>
          <w:highlight w:val="none"/>
          <w:lang w:val="en-US" w:eastAsia="zh-CN"/>
        </w:rPr>
        <w:t>2</w:t>
      </w:r>
      <w:r>
        <w:rPr>
          <w:rFonts w:hint="eastAsia" w:ascii="宋体" w:hAnsi="宋体"/>
          <w:color w:val="auto"/>
          <w:szCs w:val="21"/>
          <w:highlight w:val="none"/>
        </w:rPr>
        <w:t>.2技术条款响应表（格式见附件）；</w:t>
      </w:r>
    </w:p>
    <w:p>
      <w:pPr>
        <w:snapToGrid w:val="0"/>
        <w:spacing w:line="360" w:lineRule="auto"/>
        <w:ind w:firstLine="411" w:firstLineChars="196"/>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2</w:t>
      </w:r>
      <w:r>
        <w:rPr>
          <w:rFonts w:hint="eastAsia" w:ascii="宋体" w:hAnsi="宋体"/>
          <w:color w:val="auto"/>
          <w:szCs w:val="21"/>
          <w:highlight w:val="none"/>
        </w:rPr>
        <w:t>.3</w:t>
      </w:r>
      <w:r>
        <w:rPr>
          <w:rFonts w:hint="eastAsia" w:ascii="宋体" w:hAnsi="宋体"/>
          <w:color w:val="auto"/>
          <w:szCs w:val="21"/>
          <w:highlight w:val="none"/>
          <w:lang w:val="en-US" w:eastAsia="zh-CN"/>
        </w:rPr>
        <w:t>合理化建议（格式自拟）；</w:t>
      </w:r>
    </w:p>
    <w:p>
      <w:pPr>
        <w:snapToGrid w:val="0"/>
        <w:spacing w:line="360" w:lineRule="auto"/>
        <w:ind w:firstLine="411" w:firstLineChars="196"/>
        <w:jc w:val="left"/>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2.4服务便捷性相关证明材料（格式自拟）；</w:t>
      </w:r>
    </w:p>
    <w:p>
      <w:pPr>
        <w:snapToGrid w:val="0"/>
        <w:spacing w:line="360" w:lineRule="auto"/>
        <w:ind w:firstLine="411" w:firstLineChars="196"/>
        <w:jc w:val="left"/>
        <w:rPr>
          <w:rFonts w:ascii="宋体" w:hAnsi="宋体"/>
          <w:color w:val="auto"/>
          <w:szCs w:val="21"/>
          <w:highlight w:val="none"/>
        </w:rPr>
      </w:pPr>
      <w:r>
        <w:rPr>
          <w:rFonts w:hint="eastAsia" w:ascii="宋体" w:hAnsi="宋体"/>
          <w:color w:val="auto"/>
          <w:szCs w:val="21"/>
          <w:highlight w:val="none"/>
          <w:lang w:val="en-US" w:eastAsia="zh-CN"/>
        </w:rPr>
        <w:t>2.5</w:t>
      </w:r>
      <w:r>
        <w:rPr>
          <w:rFonts w:hint="eastAsia" w:ascii="宋体" w:hAnsi="宋体"/>
          <w:color w:val="auto"/>
          <w:szCs w:val="21"/>
          <w:highlight w:val="none"/>
        </w:rPr>
        <w:t>招标文件规定的或</w:t>
      </w:r>
      <w:r>
        <w:rPr>
          <w:rFonts w:hint="eastAsia" w:ascii="宋体" w:hAnsi="宋体"/>
          <w:color w:val="auto"/>
          <w:szCs w:val="21"/>
          <w:highlight w:val="none"/>
          <w:lang w:eastAsia="zh-CN"/>
        </w:rPr>
        <w:t>投标人</w:t>
      </w:r>
      <w:r>
        <w:rPr>
          <w:rFonts w:hint="eastAsia" w:ascii="宋体" w:hAnsi="宋体"/>
          <w:color w:val="auto"/>
          <w:szCs w:val="21"/>
          <w:highlight w:val="none"/>
        </w:rPr>
        <w:t>认为需要提交的其他技术资料。</w:t>
      </w:r>
    </w:p>
    <w:p>
      <w:pPr>
        <w:snapToGrid w:val="0"/>
        <w:spacing w:line="360" w:lineRule="auto"/>
        <w:jc w:val="left"/>
        <w:rPr>
          <w:rFonts w:ascii="宋体" w:hAnsi="宋体"/>
          <w:b/>
          <w:color w:val="auto"/>
          <w:szCs w:val="21"/>
          <w:highlight w:val="none"/>
        </w:rPr>
      </w:pPr>
      <w:r>
        <w:rPr>
          <w:rFonts w:hint="eastAsia" w:ascii="宋体" w:hAnsi="宋体"/>
          <w:b/>
          <w:color w:val="auto"/>
          <w:szCs w:val="21"/>
          <w:highlight w:val="none"/>
        </w:rPr>
        <w:t xml:space="preserve"> </w:t>
      </w:r>
      <w:r>
        <w:rPr>
          <w:rFonts w:hint="eastAsia" w:ascii="宋体" w:hAnsi="宋体"/>
          <w:b/>
          <w:color w:val="auto"/>
          <w:szCs w:val="21"/>
          <w:highlight w:val="none"/>
          <w:lang w:val="en-US" w:eastAsia="zh-CN"/>
        </w:rPr>
        <w:t xml:space="preserve">   </w:t>
      </w:r>
      <w:r>
        <w:rPr>
          <w:rFonts w:hint="eastAsia" w:ascii="宋体" w:hAnsi="宋体"/>
          <w:b/>
          <w:color w:val="auto"/>
          <w:szCs w:val="21"/>
          <w:highlight w:val="none"/>
        </w:rPr>
        <w:t>3、</w:t>
      </w:r>
      <w:r>
        <w:rPr>
          <w:rFonts w:ascii="宋体" w:hAnsi="宋体"/>
          <w:b/>
          <w:color w:val="auto"/>
          <w:szCs w:val="21"/>
          <w:highlight w:val="none"/>
        </w:rPr>
        <w:t>报价</w:t>
      </w:r>
      <w:r>
        <w:rPr>
          <w:rFonts w:hint="eastAsia" w:ascii="宋体" w:hAnsi="宋体"/>
          <w:b/>
          <w:color w:val="auto"/>
          <w:szCs w:val="21"/>
          <w:highlight w:val="none"/>
        </w:rPr>
        <w:t>文件</w:t>
      </w:r>
      <w:r>
        <w:rPr>
          <w:rFonts w:ascii="宋体" w:hAnsi="宋体"/>
          <w:b/>
          <w:color w:val="auto"/>
          <w:szCs w:val="21"/>
          <w:highlight w:val="none"/>
        </w:rPr>
        <w:t>：</w:t>
      </w:r>
    </w:p>
    <w:p>
      <w:pPr>
        <w:snapToGrid w:val="0"/>
        <w:spacing w:line="360" w:lineRule="auto"/>
        <w:ind w:firstLine="411" w:firstLineChars="196"/>
        <w:jc w:val="left"/>
        <w:rPr>
          <w:rFonts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.1投标函（格式见附件）；</w:t>
      </w:r>
    </w:p>
    <w:p>
      <w:pPr>
        <w:snapToGrid w:val="0"/>
        <w:spacing w:line="360" w:lineRule="auto"/>
        <w:ind w:firstLine="411" w:firstLineChars="196"/>
        <w:jc w:val="left"/>
        <w:rPr>
          <w:rFonts w:hint="eastAsia" w:ascii="宋体" w:hAnsi="宋体" w:cs="Times New Roman"/>
          <w:color w:val="auto"/>
          <w:szCs w:val="21"/>
          <w:highlight w:val="none"/>
        </w:rPr>
      </w:pPr>
      <w:r>
        <w:rPr>
          <w:rFonts w:hint="eastAsia" w:ascii="宋体" w:hAnsi="宋体" w:cs="Times New Roman"/>
          <w:color w:val="auto"/>
          <w:szCs w:val="21"/>
          <w:highlight w:val="none"/>
          <w:lang w:val="en-US" w:eastAsia="zh-CN"/>
        </w:rPr>
        <w:t>3</w:t>
      </w:r>
      <w:r>
        <w:rPr>
          <w:rFonts w:hint="eastAsia" w:ascii="宋体" w:hAnsi="宋体" w:cs="Times New Roman"/>
          <w:color w:val="auto"/>
          <w:szCs w:val="21"/>
          <w:highlight w:val="none"/>
        </w:rPr>
        <w:t>.2开标一览表（格式见附件）；</w:t>
      </w:r>
    </w:p>
    <w:p>
      <w:pPr>
        <w:snapToGrid w:val="0"/>
        <w:spacing w:line="360" w:lineRule="auto"/>
        <w:ind w:firstLine="411" w:firstLineChars="196"/>
        <w:jc w:val="left"/>
        <w:rPr>
          <w:rFonts w:hint="eastAsia" w:ascii="宋体" w:hAnsi="宋体" w:cs="Times New Roman"/>
          <w:color w:val="auto"/>
          <w:szCs w:val="21"/>
          <w:highlight w:val="none"/>
        </w:rPr>
      </w:pPr>
      <w:r>
        <w:rPr>
          <w:rFonts w:hint="eastAsia" w:ascii="宋体" w:hAnsi="宋体" w:cs="Times New Roman"/>
          <w:color w:val="auto"/>
          <w:szCs w:val="21"/>
          <w:highlight w:val="none"/>
          <w:lang w:val="en-US" w:eastAsia="zh-CN"/>
        </w:rPr>
        <w:t>3</w:t>
      </w:r>
      <w:r>
        <w:rPr>
          <w:rFonts w:hint="eastAsia" w:ascii="宋体" w:hAnsi="宋体" w:cs="Times New Roman"/>
          <w:color w:val="auto"/>
          <w:szCs w:val="21"/>
          <w:highlight w:val="none"/>
        </w:rPr>
        <w:t>.3分项报价明细表（格式见附件）；</w:t>
      </w:r>
    </w:p>
    <w:p>
      <w:pPr>
        <w:snapToGrid w:val="0"/>
        <w:spacing w:line="360" w:lineRule="auto"/>
        <w:ind w:firstLine="411" w:firstLineChars="196"/>
        <w:jc w:val="left"/>
        <w:rPr>
          <w:rFonts w:hint="eastAsia" w:ascii="宋体" w:hAnsi="宋体" w:cs="Times New Roman"/>
          <w:color w:val="auto"/>
          <w:szCs w:val="21"/>
          <w:highlight w:val="none"/>
        </w:rPr>
      </w:pPr>
      <w:r>
        <w:rPr>
          <w:rFonts w:hint="eastAsia" w:ascii="宋体" w:hAnsi="宋体" w:cs="Times New Roman"/>
          <w:color w:val="auto"/>
          <w:szCs w:val="21"/>
          <w:highlight w:val="none"/>
          <w:lang w:val="en-US" w:eastAsia="zh-CN"/>
        </w:rPr>
        <w:t>3</w:t>
      </w:r>
      <w:r>
        <w:rPr>
          <w:rFonts w:hint="eastAsia" w:ascii="宋体" w:hAnsi="宋体" w:cs="Times New Roman"/>
          <w:color w:val="auto"/>
          <w:szCs w:val="21"/>
          <w:highlight w:val="none"/>
        </w:rPr>
        <w:t>.4中小企业声明函（</w:t>
      </w:r>
      <w:r>
        <w:rPr>
          <w:rFonts w:hint="eastAsia" w:ascii="宋体" w:hAnsi="宋体" w:cs="Times New Roman"/>
          <w:color w:val="auto"/>
          <w:szCs w:val="21"/>
          <w:highlight w:val="none"/>
          <w:lang w:val="en-US" w:eastAsia="zh-CN"/>
        </w:rPr>
        <w:t>如</w:t>
      </w:r>
      <w:r>
        <w:rPr>
          <w:rFonts w:hint="eastAsia" w:ascii="宋体" w:hAnsi="宋体" w:cs="Times New Roman"/>
          <w:color w:val="auto"/>
          <w:szCs w:val="21"/>
          <w:highlight w:val="none"/>
        </w:rPr>
        <w:t>有，格式见附件）；</w:t>
      </w:r>
    </w:p>
    <w:p>
      <w:pPr>
        <w:snapToGrid w:val="0"/>
        <w:spacing w:line="360" w:lineRule="auto"/>
        <w:ind w:firstLine="411" w:firstLineChars="196"/>
        <w:jc w:val="left"/>
        <w:rPr>
          <w:rFonts w:hint="eastAsia" w:ascii="宋体" w:hAnsi="宋体" w:cs="Times New Roman"/>
          <w:color w:val="auto"/>
          <w:szCs w:val="21"/>
          <w:highlight w:val="none"/>
          <w:lang w:eastAsia="zh-CN"/>
        </w:rPr>
      </w:pPr>
      <w:r>
        <w:rPr>
          <w:rFonts w:hint="eastAsia" w:ascii="宋体" w:hAnsi="宋体" w:cs="Times New Roman"/>
          <w:color w:val="auto"/>
          <w:szCs w:val="21"/>
          <w:highlight w:val="none"/>
          <w:lang w:val="en-US" w:eastAsia="zh-CN"/>
        </w:rPr>
        <w:t>3.5</w:t>
      </w:r>
      <w:r>
        <w:rPr>
          <w:rFonts w:hint="eastAsia" w:ascii="宋体" w:hAnsi="宋体" w:cs="Times New Roman"/>
          <w:color w:val="auto"/>
          <w:szCs w:val="21"/>
          <w:highlight w:val="none"/>
        </w:rPr>
        <w:t>残疾人福利性单位声明函（若有，格式见附件）</w:t>
      </w:r>
      <w:r>
        <w:rPr>
          <w:rFonts w:hint="eastAsia" w:ascii="宋体" w:hAnsi="宋体" w:cs="Times New Roman"/>
          <w:color w:val="auto"/>
          <w:szCs w:val="21"/>
          <w:highlight w:val="none"/>
          <w:lang w:eastAsia="zh-CN"/>
        </w:rPr>
        <w:t>；</w:t>
      </w:r>
    </w:p>
    <w:p>
      <w:pPr>
        <w:snapToGrid w:val="0"/>
        <w:spacing w:line="360" w:lineRule="auto"/>
        <w:ind w:firstLine="411" w:firstLineChars="196"/>
        <w:jc w:val="left"/>
        <w:rPr>
          <w:rFonts w:hint="eastAsia" w:ascii="Times New Roman" w:hAnsi="宋体" w:cs="Times New Roman"/>
          <w:color w:val="auto"/>
          <w:szCs w:val="21"/>
          <w:highlight w:val="none"/>
          <w:lang w:eastAsia="zh-CN"/>
        </w:rPr>
      </w:pPr>
      <w:r>
        <w:rPr>
          <w:rFonts w:hint="eastAsia" w:ascii="宋体" w:hAnsi="宋体" w:cs="Times New Roman"/>
          <w:color w:val="auto"/>
          <w:szCs w:val="21"/>
          <w:highlight w:val="none"/>
          <w:lang w:val="en-US" w:eastAsia="zh-CN"/>
        </w:rPr>
        <w:t>3.6</w:t>
      </w:r>
      <w:r>
        <w:rPr>
          <w:rFonts w:hint="eastAsia" w:ascii="宋体" w:hAnsi="宋体" w:cs="Times New Roman"/>
          <w:color w:val="auto"/>
          <w:szCs w:val="21"/>
          <w:highlight w:val="none"/>
        </w:rPr>
        <w:t>投标人针对</w:t>
      </w:r>
      <w:r>
        <w:rPr>
          <w:rFonts w:hint="eastAsia" w:ascii="Times New Roman" w:hAnsi="宋体" w:cs="Times New Roman"/>
          <w:color w:val="auto"/>
          <w:szCs w:val="21"/>
          <w:highlight w:val="none"/>
        </w:rPr>
        <w:t>报价需要说明的其他文件和说明</w:t>
      </w:r>
      <w:r>
        <w:rPr>
          <w:rFonts w:hint="eastAsia" w:ascii="Times New Roman" w:hAnsi="宋体" w:cs="Times New Roman"/>
          <w:color w:val="auto"/>
          <w:szCs w:val="21"/>
          <w:highlight w:val="none"/>
          <w:lang w:eastAsia="zh-CN"/>
        </w:rPr>
        <w:t>。</w:t>
      </w:r>
    </w:p>
    <w:p>
      <w:pPr>
        <w:snapToGrid w:val="0"/>
        <w:spacing w:line="360" w:lineRule="auto"/>
        <w:ind w:firstLine="413" w:firstLineChars="196"/>
        <w:jc w:val="left"/>
        <w:rPr>
          <w:rFonts w:ascii="宋体" w:hAnsi="宋体"/>
          <w:b/>
          <w:color w:val="auto"/>
          <w:szCs w:val="21"/>
          <w:highlight w:val="none"/>
        </w:rPr>
      </w:pPr>
      <w:r>
        <w:rPr>
          <w:rFonts w:hint="eastAsia" w:ascii="宋体" w:hAnsi="宋体"/>
          <w:b/>
          <w:color w:val="auto"/>
          <w:szCs w:val="21"/>
          <w:highlight w:val="none"/>
        </w:rPr>
        <w:t>4、注意事项</w:t>
      </w:r>
      <w:r>
        <w:rPr>
          <w:rFonts w:ascii="宋体" w:hAnsi="宋体"/>
          <w:b/>
          <w:color w:val="auto"/>
          <w:szCs w:val="21"/>
          <w:highlight w:val="none"/>
        </w:rPr>
        <w:t>：</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4.1</w:t>
      </w:r>
      <w:r>
        <w:rPr>
          <w:rFonts w:hint="eastAsia" w:ascii="宋体" w:hAnsi="宋体"/>
          <w:color w:val="auto"/>
          <w:szCs w:val="21"/>
          <w:highlight w:val="none"/>
        </w:rPr>
        <w:t>上述组成投标文件的各项资料中本采购文件的有规定格式的，应统一按本采购文件的规定格式填写。未有规定格式的资料，</w:t>
      </w:r>
      <w:r>
        <w:rPr>
          <w:rFonts w:hint="eastAsia" w:ascii="宋体" w:hAnsi="宋体"/>
          <w:color w:val="auto"/>
          <w:szCs w:val="21"/>
          <w:highlight w:val="none"/>
          <w:lang w:eastAsia="zh-CN"/>
        </w:rPr>
        <w:t>投标人</w:t>
      </w:r>
      <w:r>
        <w:rPr>
          <w:rFonts w:hint="eastAsia" w:ascii="宋体" w:hAnsi="宋体"/>
          <w:color w:val="auto"/>
          <w:szCs w:val="21"/>
          <w:highlight w:val="none"/>
        </w:rPr>
        <w:t>应自行编制，但至少要包含以上要求的内容。</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4.2</w:t>
      </w:r>
      <w:r>
        <w:rPr>
          <w:rFonts w:hint="eastAsia" w:ascii="宋体" w:hAnsi="宋体"/>
          <w:color w:val="auto"/>
          <w:szCs w:val="21"/>
          <w:highlight w:val="none"/>
        </w:rPr>
        <w:t>投标文件在提供对投标服务技术条款响应表的应答时，对采购文件有技术数值要求的参数，必须以投标服务的具体技术数值据实应答；对于采购文件无数值要求的参数的应答，必须作出明确、直接、无导致两种理解可能的应答。</w:t>
      </w:r>
    </w:p>
    <w:p>
      <w:pPr>
        <w:pStyle w:val="8"/>
        <w:numPr>
          <w:ilvl w:val="0"/>
          <w:numId w:val="0"/>
        </w:numPr>
        <w:tabs>
          <w:tab w:val="left" w:pos="720"/>
          <w:tab w:val="clear" w:pos="360"/>
        </w:tabs>
        <w:snapToGrid w:val="0"/>
        <w:spacing w:line="360" w:lineRule="auto"/>
        <w:ind w:left="412" w:leftChars="196"/>
        <w:rPr>
          <w:rFonts w:ascii="宋体" w:hAnsi="宋体"/>
          <w:b/>
          <w:color w:val="auto"/>
          <w:szCs w:val="21"/>
          <w:highlight w:val="none"/>
        </w:rPr>
      </w:pPr>
      <w:r>
        <w:rPr>
          <w:rFonts w:hint="eastAsia" w:ascii="宋体" w:hAnsi="宋体"/>
          <w:b/>
          <w:color w:val="auto"/>
          <w:szCs w:val="21"/>
          <w:highlight w:val="none"/>
        </w:rPr>
        <w:t>（二）投标文件的语言及计量</w:t>
      </w:r>
    </w:p>
    <w:p>
      <w:pPr>
        <w:snapToGrid w:val="0"/>
        <w:spacing w:line="360" w:lineRule="auto"/>
        <w:ind w:firstLine="422" w:firstLineChars="200"/>
        <w:jc w:val="left"/>
        <w:rPr>
          <w:rFonts w:ascii="宋体" w:hAnsi="宋体"/>
          <w:b/>
          <w:color w:val="auto"/>
          <w:szCs w:val="21"/>
          <w:highlight w:val="none"/>
        </w:rPr>
      </w:pPr>
      <w:r>
        <w:rPr>
          <w:rFonts w:hint="eastAsia" w:ascii="宋体" w:hAnsi="宋体"/>
          <w:b/>
          <w:bCs/>
          <w:color w:val="auto"/>
          <w:szCs w:val="21"/>
          <w:highlight w:val="none"/>
          <w:lang w:eastAsia="zh-CN"/>
        </w:rPr>
        <w:t>*</w:t>
      </w:r>
      <w:r>
        <w:rPr>
          <w:rFonts w:ascii="宋体" w:hAnsi="宋体"/>
          <w:b/>
          <w:color w:val="auto"/>
          <w:szCs w:val="21"/>
          <w:highlight w:val="none"/>
        </w:rPr>
        <w:t>1</w:t>
      </w:r>
      <w:r>
        <w:rPr>
          <w:rFonts w:hint="eastAsia" w:ascii="宋体" w:hAnsi="宋体"/>
          <w:b/>
          <w:color w:val="auto"/>
          <w:szCs w:val="21"/>
          <w:highlight w:val="none"/>
          <w:lang w:val="en-US" w:eastAsia="zh-CN"/>
        </w:rPr>
        <w:t>.</w:t>
      </w:r>
      <w:r>
        <w:rPr>
          <w:rFonts w:ascii="宋体" w:hAnsi="宋体"/>
          <w:b/>
          <w:color w:val="auto"/>
          <w:szCs w:val="21"/>
          <w:highlight w:val="none"/>
        </w:rPr>
        <w:t>投标文件以及投标方与招标方就有关投标事宜的所有来往函电，均应以中文汉语书写。除签名、盖章、专用名称等特殊情形外，以中文汉语以外的文字表述的投标文件视同未提供。</w:t>
      </w:r>
    </w:p>
    <w:p>
      <w:pPr>
        <w:snapToGrid w:val="0"/>
        <w:spacing w:line="360" w:lineRule="auto"/>
        <w:ind w:firstLine="422" w:firstLineChars="200"/>
        <w:jc w:val="left"/>
        <w:rPr>
          <w:rFonts w:ascii="宋体" w:hAnsi="宋体"/>
          <w:b/>
          <w:color w:val="auto"/>
          <w:szCs w:val="21"/>
          <w:highlight w:val="none"/>
        </w:rPr>
      </w:pPr>
      <w:r>
        <w:rPr>
          <w:rFonts w:hint="eastAsia" w:ascii="宋体" w:hAnsi="宋体"/>
          <w:b/>
          <w:bCs/>
          <w:color w:val="auto"/>
          <w:szCs w:val="21"/>
          <w:highlight w:val="none"/>
          <w:lang w:eastAsia="zh-CN"/>
        </w:rPr>
        <w:t>*</w:t>
      </w:r>
      <w:r>
        <w:rPr>
          <w:rFonts w:ascii="宋体" w:hAnsi="宋体"/>
          <w:b/>
          <w:color w:val="auto"/>
          <w:szCs w:val="21"/>
          <w:highlight w:val="none"/>
        </w:rPr>
        <w:t>2</w:t>
      </w:r>
      <w:r>
        <w:rPr>
          <w:rFonts w:hint="eastAsia" w:ascii="宋体" w:hAnsi="宋体"/>
          <w:b/>
          <w:color w:val="auto"/>
          <w:szCs w:val="21"/>
          <w:highlight w:val="none"/>
          <w:lang w:val="en-US" w:eastAsia="zh-CN"/>
        </w:rPr>
        <w:t>.</w:t>
      </w:r>
      <w:r>
        <w:rPr>
          <w:rFonts w:ascii="宋体" w:hAnsi="宋体"/>
          <w:b/>
          <w:color w:val="auto"/>
          <w:szCs w:val="21"/>
          <w:highlight w:val="none"/>
        </w:rPr>
        <w:t>投标计量单位，招标文件已有明确规定的，使用招标文件规定的计量单位；招标文件没有规定的，应采用中华人民共和国法定计量单位（货币单位：人民币元），否则视同未响应。</w:t>
      </w:r>
    </w:p>
    <w:p>
      <w:pPr>
        <w:pStyle w:val="8"/>
        <w:numPr>
          <w:ilvl w:val="0"/>
          <w:numId w:val="0"/>
        </w:numPr>
        <w:tabs>
          <w:tab w:val="left" w:pos="720"/>
          <w:tab w:val="clear" w:pos="360"/>
        </w:tabs>
        <w:snapToGrid w:val="0"/>
        <w:spacing w:line="360" w:lineRule="auto"/>
        <w:ind w:left="412" w:leftChars="196"/>
        <w:rPr>
          <w:rFonts w:ascii="宋体" w:hAnsi="宋体"/>
          <w:b/>
          <w:color w:val="auto"/>
          <w:szCs w:val="21"/>
          <w:highlight w:val="none"/>
        </w:rPr>
      </w:pPr>
      <w:r>
        <w:rPr>
          <w:rFonts w:hint="eastAsia" w:ascii="宋体" w:hAnsi="宋体"/>
          <w:b/>
          <w:color w:val="auto"/>
          <w:szCs w:val="21"/>
          <w:highlight w:val="none"/>
        </w:rPr>
        <w:t>（三）投标报价</w:t>
      </w:r>
    </w:p>
    <w:p>
      <w:pPr>
        <w:pStyle w:val="8"/>
        <w:numPr>
          <w:ilvl w:val="0"/>
          <w:numId w:val="0"/>
        </w:numPr>
        <w:tabs>
          <w:tab w:val="left" w:pos="720"/>
          <w:tab w:val="clear" w:pos="360"/>
        </w:tabs>
        <w:snapToGrid w:val="0"/>
        <w:spacing w:line="360" w:lineRule="auto"/>
        <w:ind w:left="412" w:leftChars="196"/>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投标报价应按招标文件中相关附表格式填写。</w:t>
      </w:r>
    </w:p>
    <w:p>
      <w:pPr>
        <w:pStyle w:val="8"/>
        <w:numPr>
          <w:ilvl w:val="0"/>
          <w:numId w:val="0"/>
        </w:numPr>
        <w:tabs>
          <w:tab w:val="left" w:pos="720"/>
          <w:tab w:val="clear" w:pos="360"/>
        </w:tabs>
        <w:snapToGrid w:val="0"/>
        <w:spacing w:line="360" w:lineRule="auto"/>
        <w:ind w:firstLine="422" w:firstLineChars="200"/>
        <w:rPr>
          <w:rFonts w:hint="eastAsia" w:ascii="宋体" w:hAnsi="宋体"/>
          <w:b/>
          <w:bCs/>
          <w:color w:val="auto"/>
          <w:szCs w:val="21"/>
          <w:highlight w:val="none"/>
        </w:rPr>
      </w:pPr>
      <w:r>
        <w:rPr>
          <w:rFonts w:hint="eastAsia" w:ascii="宋体" w:hAnsi="宋体"/>
          <w:b/>
          <w:bCs/>
          <w:color w:val="auto"/>
          <w:szCs w:val="21"/>
          <w:highlight w:val="none"/>
          <w:lang w:eastAsia="zh-CN"/>
        </w:rPr>
        <w:t>*</w:t>
      </w:r>
      <w:r>
        <w:rPr>
          <w:rFonts w:hint="eastAsia" w:ascii="宋体" w:hAnsi="宋体"/>
          <w:b w:val="0"/>
          <w:bCs w:val="0"/>
          <w:color w:val="auto"/>
          <w:szCs w:val="21"/>
          <w:highlight w:val="none"/>
        </w:rPr>
        <w:t>2</w:t>
      </w:r>
      <w:r>
        <w:rPr>
          <w:rFonts w:hint="eastAsia" w:ascii="宋体" w:hAnsi="宋体" w:cs="Times New Roman"/>
          <w:b w:val="0"/>
          <w:bCs w:val="0"/>
          <w:color w:val="auto"/>
          <w:szCs w:val="21"/>
          <w:highlight w:val="none"/>
          <w:lang w:eastAsia="zh-CN"/>
        </w:rPr>
        <w:t>、</w:t>
      </w:r>
      <w:r>
        <w:rPr>
          <w:rFonts w:hint="eastAsia" w:ascii="宋体" w:hAnsi="宋体" w:cs="Times New Roman"/>
          <w:color w:val="auto"/>
          <w:szCs w:val="21"/>
          <w:highlight w:val="none"/>
        </w:rPr>
        <w:t>报价要求：详见第三章《投标人须知》。</w:t>
      </w:r>
    </w:p>
    <w:p>
      <w:pPr>
        <w:pStyle w:val="8"/>
        <w:numPr>
          <w:ilvl w:val="0"/>
          <w:numId w:val="0"/>
        </w:numPr>
        <w:tabs>
          <w:tab w:val="left" w:pos="720"/>
          <w:tab w:val="clear" w:pos="360"/>
        </w:tabs>
        <w:snapToGrid w:val="0"/>
        <w:spacing w:line="360" w:lineRule="auto"/>
        <w:ind w:firstLine="422" w:firstLineChars="200"/>
        <w:rPr>
          <w:rFonts w:ascii="宋体" w:hAnsi="宋体"/>
          <w:color w:val="auto"/>
          <w:szCs w:val="21"/>
          <w:highlight w:val="none"/>
        </w:rPr>
      </w:pPr>
      <w:r>
        <w:rPr>
          <w:rFonts w:hint="eastAsia" w:ascii="宋体" w:hAnsi="宋体"/>
          <w:b/>
          <w:bCs/>
          <w:color w:val="auto"/>
          <w:szCs w:val="21"/>
          <w:highlight w:val="none"/>
          <w:lang w:eastAsia="zh-CN"/>
        </w:rPr>
        <w:t>*</w:t>
      </w:r>
      <w:r>
        <w:rPr>
          <w:rFonts w:hint="eastAsia" w:ascii="宋体" w:hAnsi="宋体"/>
          <w:b w:val="0"/>
          <w:bCs w:val="0"/>
          <w:color w:val="auto"/>
          <w:szCs w:val="21"/>
          <w:highlight w:val="none"/>
          <w:lang w:val="en-US" w:eastAsia="zh-CN"/>
        </w:rPr>
        <w:t>3、</w:t>
      </w:r>
      <w:r>
        <w:rPr>
          <w:rFonts w:ascii="宋体" w:hAnsi="宋体"/>
          <w:color w:val="auto"/>
          <w:szCs w:val="21"/>
          <w:highlight w:val="none"/>
        </w:rPr>
        <w:t>投标文件</w:t>
      </w:r>
      <w:r>
        <w:rPr>
          <w:rFonts w:hint="eastAsia" w:ascii="宋体" w:hAnsi="宋体"/>
          <w:color w:val="auto"/>
          <w:szCs w:val="21"/>
          <w:highlight w:val="none"/>
        </w:rPr>
        <w:t>针对同一内容</w:t>
      </w:r>
      <w:r>
        <w:rPr>
          <w:rFonts w:ascii="宋体" w:hAnsi="宋体"/>
          <w:color w:val="auto"/>
          <w:szCs w:val="21"/>
          <w:highlight w:val="none"/>
        </w:rPr>
        <w:t>只允许有一个报价，有选择的</w:t>
      </w:r>
      <w:r>
        <w:rPr>
          <w:rFonts w:hint="eastAsia" w:ascii="宋体" w:hAnsi="宋体"/>
          <w:color w:val="auto"/>
          <w:szCs w:val="21"/>
          <w:highlight w:val="none"/>
        </w:rPr>
        <w:t>或有条件的</w:t>
      </w:r>
      <w:r>
        <w:rPr>
          <w:rFonts w:ascii="宋体" w:hAnsi="宋体"/>
          <w:color w:val="auto"/>
          <w:szCs w:val="21"/>
          <w:highlight w:val="none"/>
        </w:rPr>
        <w:t>报价将不予接受。</w:t>
      </w:r>
    </w:p>
    <w:p>
      <w:pPr>
        <w:pStyle w:val="8"/>
        <w:numPr>
          <w:ilvl w:val="0"/>
          <w:numId w:val="0"/>
        </w:numPr>
        <w:tabs>
          <w:tab w:val="left" w:pos="720"/>
          <w:tab w:val="clear" w:pos="360"/>
        </w:tabs>
        <w:snapToGrid w:val="0"/>
        <w:spacing w:line="360" w:lineRule="auto"/>
        <w:ind w:left="412" w:leftChars="196"/>
        <w:rPr>
          <w:rFonts w:ascii="宋体" w:hAnsi="宋体"/>
          <w:b/>
          <w:color w:val="auto"/>
          <w:szCs w:val="21"/>
          <w:highlight w:val="none"/>
        </w:rPr>
      </w:pPr>
      <w:r>
        <w:rPr>
          <w:rFonts w:hint="eastAsia" w:ascii="宋体" w:hAnsi="宋体"/>
          <w:b/>
          <w:color w:val="auto"/>
          <w:szCs w:val="21"/>
          <w:highlight w:val="none"/>
        </w:rPr>
        <w:t>（四）投标文件的有效期</w:t>
      </w:r>
    </w:p>
    <w:p>
      <w:pPr>
        <w:pStyle w:val="8"/>
        <w:numPr>
          <w:ilvl w:val="0"/>
          <w:numId w:val="0"/>
        </w:numPr>
        <w:tabs>
          <w:tab w:val="left" w:pos="720"/>
          <w:tab w:val="clear" w:pos="360"/>
        </w:tabs>
        <w:snapToGrid w:val="0"/>
        <w:spacing w:line="360" w:lineRule="auto"/>
        <w:ind w:firstLine="422" w:firstLineChars="200"/>
        <w:rPr>
          <w:rFonts w:ascii="宋体" w:hAnsi="宋体"/>
          <w:color w:val="auto"/>
          <w:szCs w:val="21"/>
          <w:highlight w:val="none"/>
        </w:rPr>
      </w:pPr>
      <w:r>
        <w:rPr>
          <w:rFonts w:hint="eastAsia" w:ascii="宋体" w:hAnsi="宋体"/>
          <w:b/>
          <w:bCs/>
          <w:color w:val="auto"/>
          <w:szCs w:val="21"/>
          <w:highlight w:val="none"/>
          <w:lang w:eastAsia="zh-CN"/>
        </w:rPr>
        <w:t>*</w:t>
      </w: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自投标截止日起</w:t>
      </w:r>
      <w:r>
        <w:rPr>
          <w:rFonts w:hint="eastAsia" w:ascii="宋体" w:hAnsi="宋体"/>
          <w:color w:val="auto"/>
          <w:szCs w:val="21"/>
          <w:highlight w:val="none"/>
          <w:u w:val="single"/>
        </w:rPr>
        <w:t xml:space="preserve"> 120</w:t>
      </w:r>
      <w:r>
        <w:rPr>
          <w:rFonts w:hAnsi="宋体"/>
          <w:color w:val="auto"/>
          <w:szCs w:val="21"/>
          <w:highlight w:val="none"/>
        </w:rPr>
        <w:t>天投</w:t>
      </w:r>
      <w:r>
        <w:rPr>
          <w:rFonts w:ascii="宋体" w:hAnsi="宋体"/>
          <w:color w:val="auto"/>
          <w:szCs w:val="21"/>
          <w:highlight w:val="none"/>
        </w:rPr>
        <w:t>标</w:t>
      </w:r>
      <w:r>
        <w:rPr>
          <w:rFonts w:hint="eastAsia" w:ascii="宋体" w:hAnsi="宋体"/>
          <w:color w:val="auto"/>
          <w:szCs w:val="21"/>
          <w:highlight w:val="none"/>
        </w:rPr>
        <w:t>文件</w:t>
      </w:r>
      <w:r>
        <w:rPr>
          <w:rFonts w:ascii="宋体" w:hAnsi="宋体"/>
          <w:color w:val="auto"/>
          <w:szCs w:val="21"/>
          <w:highlight w:val="none"/>
        </w:rPr>
        <w:t>应保持有效。有效期</w:t>
      </w:r>
      <w:r>
        <w:rPr>
          <w:rFonts w:hint="eastAsia" w:ascii="宋体" w:hAnsi="宋体"/>
          <w:color w:val="auto"/>
          <w:szCs w:val="21"/>
          <w:highlight w:val="none"/>
        </w:rPr>
        <w:t>不足</w:t>
      </w:r>
      <w:r>
        <w:rPr>
          <w:rFonts w:ascii="宋体" w:hAnsi="宋体"/>
          <w:color w:val="auto"/>
          <w:szCs w:val="21"/>
          <w:highlight w:val="none"/>
        </w:rPr>
        <w:t>的投标</w:t>
      </w:r>
      <w:r>
        <w:rPr>
          <w:rFonts w:hint="eastAsia" w:ascii="宋体" w:hAnsi="宋体"/>
          <w:color w:val="auto"/>
          <w:szCs w:val="21"/>
          <w:highlight w:val="none"/>
        </w:rPr>
        <w:t>文件</w:t>
      </w:r>
      <w:r>
        <w:rPr>
          <w:rFonts w:ascii="宋体" w:hAnsi="宋体"/>
          <w:color w:val="auto"/>
          <w:szCs w:val="21"/>
          <w:highlight w:val="none"/>
        </w:rPr>
        <w:t>将被拒绝。</w:t>
      </w:r>
    </w:p>
    <w:p>
      <w:pPr>
        <w:pStyle w:val="8"/>
        <w:numPr>
          <w:ilvl w:val="0"/>
          <w:numId w:val="0"/>
        </w:numPr>
        <w:tabs>
          <w:tab w:val="left" w:pos="720"/>
          <w:tab w:val="clear" w:pos="360"/>
        </w:tabs>
        <w:snapToGrid w:val="0"/>
        <w:spacing w:line="360" w:lineRule="auto"/>
        <w:ind w:left="412" w:leftChars="196"/>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在特殊情况下，招标人可与</w:t>
      </w:r>
      <w:r>
        <w:rPr>
          <w:rFonts w:hint="eastAsia" w:ascii="宋体" w:hAnsi="宋体"/>
          <w:color w:val="auto"/>
          <w:szCs w:val="21"/>
          <w:highlight w:val="none"/>
          <w:lang w:eastAsia="zh-CN"/>
        </w:rPr>
        <w:t>投标人</w:t>
      </w:r>
      <w:r>
        <w:rPr>
          <w:rFonts w:ascii="宋体" w:hAnsi="宋体"/>
          <w:color w:val="auto"/>
          <w:szCs w:val="21"/>
          <w:highlight w:val="none"/>
        </w:rPr>
        <w:t>协商延长投标书的有效期，这种要求和答复均以书面形式进行。</w:t>
      </w:r>
    </w:p>
    <w:p>
      <w:pPr>
        <w:pStyle w:val="8"/>
        <w:numPr>
          <w:ilvl w:val="0"/>
          <w:numId w:val="0"/>
        </w:numPr>
        <w:tabs>
          <w:tab w:val="left" w:pos="720"/>
          <w:tab w:val="clear" w:pos="360"/>
        </w:tabs>
        <w:snapToGrid w:val="0"/>
        <w:spacing w:line="360" w:lineRule="auto"/>
        <w:ind w:left="412" w:leftChars="196"/>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3、投标人可拒绝接受延期要求或同意延长有效期，但不能修改投标文件。</w:t>
      </w:r>
    </w:p>
    <w:p>
      <w:pPr>
        <w:pStyle w:val="8"/>
        <w:numPr>
          <w:ilvl w:val="0"/>
          <w:numId w:val="0"/>
        </w:numPr>
        <w:tabs>
          <w:tab w:val="left" w:pos="720"/>
          <w:tab w:val="clear" w:pos="360"/>
        </w:tabs>
        <w:snapToGrid w:val="0"/>
        <w:spacing w:line="360" w:lineRule="auto"/>
        <w:ind w:left="412" w:leftChars="196"/>
        <w:rPr>
          <w:rFonts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ascii="宋体" w:hAnsi="宋体"/>
          <w:color w:val="auto"/>
          <w:szCs w:val="21"/>
          <w:highlight w:val="none"/>
        </w:rPr>
        <w:t>中标人的投标文件自开标之日起至合同履行完毕止均应保持有效。</w:t>
      </w:r>
    </w:p>
    <w:p>
      <w:pPr>
        <w:pStyle w:val="8"/>
        <w:keepNext w:val="0"/>
        <w:keepLines w:val="0"/>
        <w:pageBreakBefore w:val="0"/>
        <w:widowControl w:val="0"/>
        <w:numPr>
          <w:ilvl w:val="0"/>
          <w:numId w:val="0"/>
        </w:numPr>
        <w:tabs>
          <w:tab w:val="left" w:pos="720"/>
          <w:tab w:val="clear" w:pos="360"/>
        </w:tabs>
        <w:kinsoku/>
        <w:wordWrap/>
        <w:overflowPunct/>
        <w:topLinePunct w:val="0"/>
        <w:autoSpaceDE/>
        <w:autoSpaceDN/>
        <w:bidi w:val="0"/>
        <w:adjustRightInd/>
        <w:snapToGrid w:val="0"/>
        <w:spacing w:line="360" w:lineRule="auto"/>
        <w:ind w:leftChars="196"/>
        <w:textAlignment w:val="auto"/>
        <w:rPr>
          <w:rFonts w:ascii="宋体" w:hAnsi="宋体"/>
          <w:b/>
          <w:color w:val="auto"/>
          <w:sz w:val="21"/>
          <w:szCs w:val="21"/>
          <w:highlight w:val="none"/>
        </w:rPr>
      </w:pPr>
      <w:r>
        <w:rPr>
          <w:rFonts w:hint="eastAsia" w:ascii="宋体" w:hAnsi="宋体"/>
          <w:b/>
          <w:color w:val="auto"/>
          <w:sz w:val="21"/>
          <w:szCs w:val="21"/>
          <w:highlight w:val="none"/>
          <w:lang w:val="en-US" w:eastAsia="zh-CN"/>
        </w:rPr>
        <w:t>*</w:t>
      </w:r>
      <w:r>
        <w:rPr>
          <w:rFonts w:hint="eastAsia" w:ascii="宋体" w:hAnsi="宋体"/>
          <w:b/>
          <w:color w:val="auto"/>
          <w:sz w:val="21"/>
          <w:szCs w:val="21"/>
          <w:highlight w:val="none"/>
        </w:rPr>
        <w:t>（</w:t>
      </w:r>
      <w:r>
        <w:rPr>
          <w:rFonts w:hint="eastAsia" w:ascii="宋体" w:hAnsi="宋体"/>
          <w:b/>
          <w:color w:val="auto"/>
          <w:sz w:val="21"/>
          <w:szCs w:val="21"/>
          <w:highlight w:val="none"/>
          <w:lang w:val="en-US" w:eastAsia="zh-CN"/>
        </w:rPr>
        <w:t>五</w:t>
      </w:r>
      <w:r>
        <w:rPr>
          <w:rFonts w:hint="eastAsia" w:ascii="宋体" w:hAnsi="宋体"/>
          <w:b/>
          <w:color w:val="auto"/>
          <w:sz w:val="21"/>
          <w:szCs w:val="21"/>
          <w:highlight w:val="none"/>
        </w:rPr>
        <w:t>）投标文件的签署和份数</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395" w:firstLineChars="196"/>
        <w:textAlignment w:val="auto"/>
        <w:rPr>
          <w:rFonts w:hAnsi="宋体"/>
          <w:color w:val="auto"/>
          <w:sz w:val="21"/>
          <w:szCs w:val="21"/>
          <w:highlight w:val="none"/>
        </w:rPr>
      </w:pPr>
      <w:r>
        <w:rPr>
          <w:rFonts w:hAnsi="宋体"/>
          <w:color w:val="auto"/>
          <w:sz w:val="21"/>
          <w:szCs w:val="21"/>
          <w:highlight w:val="none"/>
        </w:rPr>
        <w:t>1</w:t>
      </w:r>
      <w:r>
        <w:rPr>
          <w:rFonts w:hint="eastAsia" w:hAnsi="宋体"/>
          <w:color w:val="auto"/>
          <w:sz w:val="21"/>
          <w:szCs w:val="21"/>
          <w:highlight w:val="none"/>
          <w:lang w:eastAsia="zh-CN"/>
        </w:rPr>
        <w:t>、投标人</w:t>
      </w:r>
      <w:r>
        <w:rPr>
          <w:rFonts w:hAnsi="宋体"/>
          <w:color w:val="auto"/>
          <w:sz w:val="21"/>
          <w:szCs w:val="21"/>
          <w:highlight w:val="none"/>
        </w:rPr>
        <w:t>应</w:t>
      </w:r>
      <w:r>
        <w:rPr>
          <w:rFonts w:hint="eastAsia" w:hAnsi="宋体"/>
          <w:color w:val="auto"/>
          <w:sz w:val="21"/>
          <w:szCs w:val="21"/>
          <w:highlight w:val="none"/>
        </w:rPr>
        <w:t>按</w:t>
      </w:r>
      <w:r>
        <w:rPr>
          <w:rFonts w:hAnsi="宋体"/>
          <w:color w:val="auto"/>
          <w:sz w:val="21"/>
          <w:szCs w:val="21"/>
          <w:highlight w:val="none"/>
        </w:rPr>
        <w:t>本招标文件规定的格式和顺序编制、装订投标文件</w:t>
      </w:r>
      <w:r>
        <w:rPr>
          <w:rFonts w:hint="eastAsia" w:hAnsi="宋体"/>
          <w:color w:val="auto"/>
          <w:sz w:val="21"/>
          <w:szCs w:val="21"/>
          <w:highlight w:val="none"/>
        </w:rPr>
        <w:t>并标注页码</w:t>
      </w:r>
      <w:r>
        <w:rPr>
          <w:rFonts w:hAnsi="宋体"/>
          <w:color w:val="auto"/>
          <w:sz w:val="21"/>
          <w:szCs w:val="21"/>
          <w:highlight w:val="none"/>
        </w:rPr>
        <w:t>，投标文件内容不完整、编排混乱导致投标文件被误读、漏读或者查找不到相关内容的，是</w:t>
      </w:r>
      <w:r>
        <w:rPr>
          <w:rFonts w:hint="eastAsia" w:hAnsi="宋体"/>
          <w:color w:val="auto"/>
          <w:sz w:val="21"/>
          <w:szCs w:val="21"/>
          <w:highlight w:val="none"/>
          <w:lang w:eastAsia="zh-CN"/>
        </w:rPr>
        <w:t>投标人</w:t>
      </w:r>
      <w:r>
        <w:rPr>
          <w:rFonts w:hAnsi="宋体"/>
          <w:color w:val="auto"/>
          <w:sz w:val="21"/>
          <w:szCs w:val="21"/>
          <w:highlight w:val="none"/>
        </w:rPr>
        <w:t>的责任。</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398" w:firstLineChars="196"/>
        <w:textAlignment w:val="auto"/>
        <w:rPr>
          <w:rFonts w:hint="eastAsia" w:ascii="黑体" w:hAnsi="黑体" w:eastAsia="黑体" w:cs="黑体"/>
          <w:b/>
          <w:bCs/>
          <w:color w:val="auto"/>
          <w:sz w:val="21"/>
          <w:szCs w:val="21"/>
          <w:highlight w:val="none"/>
          <w:lang w:eastAsia="zh-CN"/>
        </w:rPr>
      </w:pPr>
      <w:r>
        <w:rPr>
          <w:rFonts w:hint="eastAsia" w:ascii="黑体" w:hAnsi="黑体" w:eastAsia="黑体" w:cs="黑体"/>
          <w:b/>
          <w:bCs/>
          <w:color w:val="auto"/>
          <w:sz w:val="21"/>
          <w:szCs w:val="21"/>
          <w:highlight w:val="none"/>
        </w:rPr>
        <w:t>2</w:t>
      </w:r>
      <w:r>
        <w:rPr>
          <w:rFonts w:hint="eastAsia" w:ascii="黑体" w:hAnsi="黑体" w:eastAsia="黑体" w:cs="黑体"/>
          <w:b/>
          <w:bCs/>
          <w:color w:val="auto"/>
          <w:sz w:val="21"/>
          <w:szCs w:val="21"/>
          <w:highlight w:val="none"/>
          <w:lang w:eastAsia="zh-CN"/>
        </w:rPr>
        <w:t>、投标文件由资</w:t>
      </w:r>
      <w:r>
        <w:rPr>
          <w:rFonts w:hint="eastAsia" w:ascii="黑体" w:hAnsi="黑体" w:eastAsia="黑体" w:cs="黑体"/>
          <w:b/>
          <w:bCs/>
          <w:color w:val="auto"/>
          <w:sz w:val="21"/>
          <w:szCs w:val="21"/>
          <w:highlight w:val="none"/>
          <w:lang w:val="en-US" w:eastAsia="zh-CN"/>
        </w:rPr>
        <w:t>信</w:t>
      </w:r>
      <w:r>
        <w:rPr>
          <w:rFonts w:hint="eastAsia" w:ascii="黑体" w:hAnsi="黑体" w:eastAsia="黑体" w:cs="黑体"/>
          <w:b/>
          <w:bCs/>
          <w:color w:val="auto"/>
          <w:sz w:val="21"/>
          <w:szCs w:val="21"/>
          <w:highlight w:val="none"/>
          <w:lang w:eastAsia="zh-CN"/>
        </w:rPr>
        <w:t>商务文件、技术文件和报价文件</w:t>
      </w:r>
      <w:r>
        <w:rPr>
          <w:rFonts w:hint="eastAsia" w:ascii="黑体" w:hAnsi="黑体" w:eastAsia="黑体" w:cs="黑体"/>
          <w:b/>
          <w:bCs/>
          <w:color w:val="auto"/>
          <w:sz w:val="21"/>
          <w:szCs w:val="21"/>
          <w:highlight w:val="none"/>
          <w:lang w:val="en-US" w:eastAsia="zh-CN"/>
        </w:rPr>
        <w:t>三</w:t>
      </w:r>
      <w:r>
        <w:rPr>
          <w:rFonts w:hint="eastAsia" w:ascii="黑体" w:hAnsi="黑体" w:eastAsia="黑体" w:cs="黑体"/>
          <w:b/>
          <w:bCs/>
          <w:color w:val="auto"/>
          <w:sz w:val="21"/>
          <w:szCs w:val="21"/>
          <w:highlight w:val="none"/>
          <w:lang w:eastAsia="zh-CN"/>
        </w:rPr>
        <w:t>部分组成。资</w:t>
      </w:r>
      <w:r>
        <w:rPr>
          <w:rFonts w:hint="eastAsia" w:ascii="黑体" w:hAnsi="黑体" w:eastAsia="黑体" w:cs="黑体"/>
          <w:b/>
          <w:bCs/>
          <w:color w:val="auto"/>
          <w:sz w:val="21"/>
          <w:szCs w:val="21"/>
          <w:highlight w:val="none"/>
          <w:lang w:val="en-US" w:eastAsia="zh-CN"/>
        </w:rPr>
        <w:t>信</w:t>
      </w:r>
      <w:r>
        <w:rPr>
          <w:rFonts w:hint="eastAsia" w:ascii="黑体" w:hAnsi="黑体" w:eastAsia="黑体" w:cs="黑体"/>
          <w:b/>
          <w:bCs/>
          <w:color w:val="auto"/>
          <w:sz w:val="21"/>
          <w:szCs w:val="21"/>
          <w:highlight w:val="none"/>
          <w:lang w:eastAsia="zh-CN"/>
        </w:rPr>
        <w:t>商务文件、技术文件和报价文件应分开装订、分别密封。</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398" w:firstLineChars="196"/>
        <w:textAlignment w:val="auto"/>
        <w:rPr>
          <w:rFonts w:hint="eastAsia" w:ascii="黑体" w:hAnsi="黑体" w:eastAsia="黑体" w:cs="黑体"/>
          <w:b/>
          <w:bCs/>
          <w:color w:val="auto"/>
          <w:sz w:val="21"/>
          <w:szCs w:val="21"/>
          <w:highlight w:val="none"/>
          <w:lang w:eastAsia="zh-CN"/>
        </w:rPr>
      </w:pPr>
      <w:r>
        <w:rPr>
          <w:rFonts w:hint="eastAsia" w:ascii="黑体" w:hAnsi="黑体" w:eastAsia="黑体" w:cs="黑体"/>
          <w:b/>
          <w:bCs/>
          <w:color w:val="auto"/>
          <w:sz w:val="21"/>
          <w:szCs w:val="21"/>
          <w:highlight w:val="none"/>
          <w:lang w:eastAsia="zh-CN"/>
        </w:rPr>
        <w:t>资</w:t>
      </w:r>
      <w:r>
        <w:rPr>
          <w:rFonts w:hint="eastAsia" w:ascii="黑体" w:hAnsi="黑体" w:eastAsia="黑体" w:cs="黑体"/>
          <w:b/>
          <w:bCs/>
          <w:color w:val="auto"/>
          <w:sz w:val="21"/>
          <w:szCs w:val="21"/>
          <w:highlight w:val="none"/>
          <w:lang w:val="en-US" w:eastAsia="zh-CN"/>
        </w:rPr>
        <w:t>信</w:t>
      </w:r>
      <w:r>
        <w:rPr>
          <w:rFonts w:hint="eastAsia" w:ascii="黑体" w:hAnsi="黑体" w:eastAsia="黑体" w:cs="黑体"/>
          <w:b/>
          <w:bCs/>
          <w:color w:val="auto"/>
          <w:sz w:val="21"/>
          <w:szCs w:val="21"/>
          <w:highlight w:val="none"/>
          <w:lang w:eastAsia="zh-CN"/>
        </w:rPr>
        <w:t>商务文件按所投标段编制成一册，正本</w:t>
      </w:r>
      <w:r>
        <w:rPr>
          <w:rFonts w:hint="eastAsia" w:ascii="黑体" w:hAnsi="黑体" w:eastAsia="黑体" w:cs="黑体"/>
          <w:b/>
          <w:bCs/>
          <w:color w:val="auto"/>
          <w:sz w:val="21"/>
          <w:szCs w:val="21"/>
          <w:highlight w:val="none"/>
          <w:u w:val="single"/>
          <w:lang w:eastAsia="zh-CN"/>
        </w:rPr>
        <w:t xml:space="preserve"> 1 </w:t>
      </w:r>
      <w:r>
        <w:rPr>
          <w:rFonts w:hint="eastAsia" w:ascii="黑体" w:hAnsi="黑体" w:eastAsia="黑体" w:cs="黑体"/>
          <w:b/>
          <w:bCs/>
          <w:color w:val="auto"/>
          <w:sz w:val="21"/>
          <w:szCs w:val="21"/>
          <w:highlight w:val="none"/>
          <w:lang w:eastAsia="zh-CN"/>
        </w:rPr>
        <w:t>份，副本</w:t>
      </w:r>
      <w:r>
        <w:rPr>
          <w:rFonts w:hint="eastAsia" w:ascii="黑体" w:hAnsi="黑体" w:eastAsia="黑体" w:cs="黑体"/>
          <w:b/>
          <w:bCs/>
          <w:color w:val="auto"/>
          <w:sz w:val="21"/>
          <w:szCs w:val="21"/>
          <w:highlight w:val="none"/>
          <w:u w:val="single"/>
          <w:lang w:eastAsia="zh-CN"/>
        </w:rPr>
        <w:t xml:space="preserve"> </w:t>
      </w:r>
      <w:r>
        <w:rPr>
          <w:rFonts w:hint="eastAsia" w:ascii="黑体" w:hAnsi="黑体" w:eastAsia="黑体" w:cs="黑体"/>
          <w:b/>
          <w:bCs/>
          <w:color w:val="auto"/>
          <w:sz w:val="21"/>
          <w:szCs w:val="21"/>
          <w:highlight w:val="none"/>
          <w:u w:val="single"/>
          <w:lang w:val="en-US" w:eastAsia="zh-CN"/>
        </w:rPr>
        <w:t>4</w:t>
      </w:r>
      <w:r>
        <w:rPr>
          <w:rFonts w:hint="eastAsia" w:ascii="黑体" w:hAnsi="黑体" w:eastAsia="黑体" w:cs="黑体"/>
          <w:b/>
          <w:bCs/>
          <w:color w:val="auto"/>
          <w:sz w:val="21"/>
          <w:szCs w:val="21"/>
          <w:highlight w:val="none"/>
          <w:u w:val="single"/>
          <w:lang w:eastAsia="zh-CN"/>
        </w:rPr>
        <w:t xml:space="preserve"> </w:t>
      </w:r>
      <w:r>
        <w:rPr>
          <w:rFonts w:hint="eastAsia" w:ascii="黑体" w:hAnsi="黑体" w:eastAsia="黑体" w:cs="黑体"/>
          <w:b/>
          <w:bCs/>
          <w:color w:val="auto"/>
          <w:sz w:val="21"/>
          <w:szCs w:val="21"/>
          <w:highlight w:val="none"/>
          <w:lang w:eastAsia="zh-CN"/>
        </w:rPr>
        <w:t>份，</w:t>
      </w:r>
      <w:r>
        <w:rPr>
          <w:rFonts w:hint="eastAsia" w:ascii="黑体" w:hAnsi="黑体" w:eastAsia="黑体" w:cs="黑体"/>
          <w:b/>
          <w:bCs/>
          <w:color w:val="auto"/>
          <w:sz w:val="21"/>
          <w:szCs w:val="21"/>
          <w:highlight w:val="none"/>
          <w:lang w:val="en-US" w:eastAsia="zh-CN"/>
        </w:rPr>
        <w:t>封面注明所投标段</w:t>
      </w:r>
      <w:r>
        <w:rPr>
          <w:rFonts w:hint="eastAsia" w:ascii="黑体" w:hAnsi="黑体" w:eastAsia="黑体" w:cs="黑体"/>
          <w:b/>
          <w:bCs/>
          <w:color w:val="auto"/>
          <w:sz w:val="21"/>
          <w:szCs w:val="21"/>
          <w:highlight w:val="none"/>
          <w:lang w:eastAsia="zh-CN"/>
        </w:rPr>
        <w:t>；技术文件按所投标段分开编制，按所投标段分别密封，每标段正本各</w:t>
      </w:r>
      <w:r>
        <w:rPr>
          <w:rFonts w:hint="eastAsia" w:ascii="黑体" w:hAnsi="黑体" w:eastAsia="黑体" w:cs="黑体"/>
          <w:b/>
          <w:bCs/>
          <w:color w:val="auto"/>
          <w:sz w:val="21"/>
          <w:szCs w:val="21"/>
          <w:highlight w:val="none"/>
          <w:u w:val="single"/>
          <w:lang w:eastAsia="zh-CN"/>
        </w:rPr>
        <w:t xml:space="preserve"> 1 </w:t>
      </w:r>
      <w:r>
        <w:rPr>
          <w:rFonts w:hint="eastAsia" w:ascii="黑体" w:hAnsi="黑体" w:eastAsia="黑体" w:cs="黑体"/>
          <w:b/>
          <w:bCs/>
          <w:color w:val="auto"/>
          <w:sz w:val="21"/>
          <w:szCs w:val="21"/>
          <w:highlight w:val="none"/>
          <w:lang w:eastAsia="zh-CN"/>
        </w:rPr>
        <w:t>份、副本各</w:t>
      </w:r>
      <w:r>
        <w:rPr>
          <w:rFonts w:hint="eastAsia" w:ascii="黑体" w:hAnsi="黑体" w:eastAsia="黑体" w:cs="黑体"/>
          <w:b/>
          <w:bCs/>
          <w:color w:val="auto"/>
          <w:sz w:val="21"/>
          <w:szCs w:val="21"/>
          <w:highlight w:val="none"/>
          <w:u w:val="single"/>
          <w:lang w:eastAsia="zh-CN"/>
        </w:rPr>
        <w:t xml:space="preserve"> </w:t>
      </w:r>
      <w:r>
        <w:rPr>
          <w:rFonts w:hint="eastAsia" w:ascii="黑体" w:hAnsi="黑体" w:eastAsia="黑体" w:cs="黑体"/>
          <w:b/>
          <w:bCs/>
          <w:color w:val="auto"/>
          <w:sz w:val="21"/>
          <w:szCs w:val="21"/>
          <w:highlight w:val="none"/>
          <w:u w:val="single"/>
          <w:lang w:val="en-US" w:eastAsia="zh-CN"/>
        </w:rPr>
        <w:t>4</w:t>
      </w:r>
      <w:r>
        <w:rPr>
          <w:rFonts w:hint="eastAsia" w:ascii="黑体" w:hAnsi="黑体" w:eastAsia="黑体" w:cs="黑体"/>
          <w:b/>
          <w:bCs/>
          <w:color w:val="auto"/>
          <w:sz w:val="21"/>
          <w:szCs w:val="21"/>
          <w:highlight w:val="none"/>
          <w:u w:val="single"/>
          <w:lang w:eastAsia="zh-CN"/>
        </w:rPr>
        <w:t xml:space="preserve"> </w:t>
      </w:r>
      <w:r>
        <w:rPr>
          <w:rFonts w:hint="eastAsia" w:ascii="黑体" w:hAnsi="黑体" w:eastAsia="黑体" w:cs="黑体"/>
          <w:b/>
          <w:bCs/>
          <w:color w:val="auto"/>
          <w:sz w:val="21"/>
          <w:szCs w:val="21"/>
          <w:highlight w:val="none"/>
          <w:lang w:eastAsia="zh-CN"/>
        </w:rPr>
        <w:t>份；报价文件按所投标段分开编制，按所投标段分别密封，每标段正本各</w:t>
      </w:r>
      <w:r>
        <w:rPr>
          <w:rFonts w:hint="eastAsia" w:ascii="黑体" w:hAnsi="黑体" w:eastAsia="黑体" w:cs="黑体"/>
          <w:b/>
          <w:bCs/>
          <w:color w:val="auto"/>
          <w:sz w:val="21"/>
          <w:szCs w:val="21"/>
          <w:highlight w:val="none"/>
          <w:u w:val="single"/>
          <w:lang w:eastAsia="zh-CN"/>
        </w:rPr>
        <w:t xml:space="preserve"> 1 </w:t>
      </w:r>
      <w:r>
        <w:rPr>
          <w:rFonts w:hint="eastAsia" w:ascii="黑体" w:hAnsi="黑体" w:eastAsia="黑体" w:cs="黑体"/>
          <w:b/>
          <w:bCs/>
          <w:color w:val="auto"/>
          <w:sz w:val="21"/>
          <w:szCs w:val="21"/>
          <w:highlight w:val="none"/>
          <w:lang w:eastAsia="zh-CN"/>
        </w:rPr>
        <w:t>份、副本各</w:t>
      </w:r>
      <w:r>
        <w:rPr>
          <w:rFonts w:hint="eastAsia" w:ascii="黑体" w:hAnsi="黑体" w:eastAsia="黑体" w:cs="黑体"/>
          <w:b/>
          <w:bCs/>
          <w:color w:val="auto"/>
          <w:sz w:val="21"/>
          <w:szCs w:val="21"/>
          <w:highlight w:val="none"/>
          <w:u w:val="single"/>
          <w:lang w:eastAsia="zh-CN"/>
        </w:rPr>
        <w:t xml:space="preserve"> </w:t>
      </w:r>
      <w:r>
        <w:rPr>
          <w:rFonts w:hint="eastAsia" w:ascii="黑体" w:hAnsi="黑体" w:eastAsia="黑体" w:cs="黑体"/>
          <w:b/>
          <w:bCs/>
          <w:color w:val="auto"/>
          <w:sz w:val="21"/>
          <w:szCs w:val="21"/>
          <w:highlight w:val="none"/>
          <w:u w:val="single"/>
          <w:lang w:val="en-US" w:eastAsia="zh-CN"/>
        </w:rPr>
        <w:t>4</w:t>
      </w:r>
      <w:r>
        <w:rPr>
          <w:rFonts w:hint="eastAsia" w:ascii="黑体" w:hAnsi="黑体" w:eastAsia="黑体" w:cs="黑体"/>
          <w:b/>
          <w:bCs/>
          <w:color w:val="auto"/>
          <w:sz w:val="21"/>
          <w:szCs w:val="21"/>
          <w:highlight w:val="none"/>
          <w:u w:val="single"/>
          <w:lang w:eastAsia="zh-CN"/>
        </w:rPr>
        <w:t xml:space="preserve"> </w:t>
      </w:r>
      <w:r>
        <w:rPr>
          <w:rFonts w:hint="eastAsia" w:ascii="黑体" w:hAnsi="黑体" w:eastAsia="黑体" w:cs="黑体"/>
          <w:b/>
          <w:bCs/>
          <w:color w:val="auto"/>
          <w:sz w:val="21"/>
          <w:szCs w:val="21"/>
          <w:highlight w:val="none"/>
          <w:lang w:eastAsia="zh-CN"/>
        </w:rPr>
        <w:t>份。电子版投标文件</w:t>
      </w:r>
      <w:r>
        <w:rPr>
          <w:rFonts w:hint="eastAsia" w:ascii="黑体" w:hAnsi="黑体" w:eastAsia="黑体" w:cs="黑体"/>
          <w:b/>
          <w:bCs/>
          <w:color w:val="auto"/>
          <w:sz w:val="21"/>
          <w:szCs w:val="21"/>
          <w:highlight w:val="none"/>
          <w:u w:val="single"/>
          <w:lang w:eastAsia="zh-CN"/>
        </w:rPr>
        <w:t xml:space="preserve"> 1 </w:t>
      </w:r>
      <w:r>
        <w:rPr>
          <w:rFonts w:hint="eastAsia" w:ascii="黑体" w:hAnsi="黑体" w:eastAsia="黑体" w:cs="黑体"/>
          <w:b/>
          <w:bCs/>
          <w:color w:val="auto"/>
          <w:sz w:val="21"/>
          <w:szCs w:val="21"/>
          <w:highlight w:val="none"/>
          <w:lang w:eastAsia="zh-CN"/>
        </w:rPr>
        <w:t>份（电子版投标文件为所有纸质投标文件的正本盖章扫描件，存入U盘，单独密封）。</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398" w:firstLineChars="196"/>
        <w:textAlignment w:val="auto"/>
        <w:rPr>
          <w:rFonts w:hint="eastAsia" w:ascii="黑体" w:hAnsi="黑体" w:eastAsia="黑体" w:cs="黑体"/>
          <w:b/>
          <w:bCs/>
          <w:color w:val="auto"/>
          <w:sz w:val="21"/>
          <w:szCs w:val="21"/>
          <w:highlight w:val="none"/>
        </w:rPr>
      </w:pPr>
      <w:r>
        <w:rPr>
          <w:rFonts w:hint="eastAsia" w:ascii="黑体" w:hAnsi="黑体" w:eastAsia="黑体" w:cs="黑体"/>
          <w:b/>
          <w:bCs/>
          <w:color w:val="auto"/>
          <w:sz w:val="21"/>
          <w:szCs w:val="21"/>
          <w:highlight w:val="none"/>
          <w:lang w:val="en-US" w:eastAsia="zh-CN"/>
        </w:rPr>
        <w:t>所有</w:t>
      </w:r>
      <w:r>
        <w:rPr>
          <w:rFonts w:hint="eastAsia" w:ascii="黑体" w:hAnsi="黑体" w:eastAsia="黑体" w:cs="黑体"/>
          <w:b/>
          <w:bCs/>
          <w:color w:val="auto"/>
          <w:sz w:val="21"/>
          <w:szCs w:val="21"/>
          <w:highlight w:val="none"/>
        </w:rPr>
        <w:t>投标文件正副本分别装订成册，投标文件的封面应注明“正本”、“副本”字样。</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395" w:firstLineChars="196"/>
        <w:textAlignment w:val="auto"/>
        <w:rPr>
          <w:rFonts w:hAnsi="宋体"/>
          <w:color w:val="auto"/>
          <w:sz w:val="21"/>
          <w:szCs w:val="21"/>
          <w:highlight w:val="none"/>
        </w:rPr>
      </w:pPr>
      <w:r>
        <w:rPr>
          <w:rFonts w:hAnsi="宋体"/>
          <w:color w:val="auto"/>
          <w:sz w:val="21"/>
          <w:szCs w:val="21"/>
          <w:highlight w:val="none"/>
        </w:rPr>
        <w:t>3</w:t>
      </w:r>
      <w:r>
        <w:rPr>
          <w:rFonts w:hint="eastAsia" w:hAnsi="宋体"/>
          <w:color w:val="auto"/>
          <w:sz w:val="21"/>
          <w:szCs w:val="21"/>
          <w:highlight w:val="none"/>
          <w:lang w:eastAsia="zh-CN"/>
        </w:rPr>
        <w:t>、</w:t>
      </w:r>
      <w:r>
        <w:rPr>
          <w:rFonts w:hAnsi="宋体"/>
          <w:color w:val="auto"/>
          <w:sz w:val="21"/>
          <w:szCs w:val="21"/>
          <w:highlight w:val="none"/>
        </w:rPr>
        <w:t>投标文件的正本需打印或用不褪色的墨水填写，投标文件正本除本</w:t>
      </w:r>
      <w:r>
        <w:rPr>
          <w:rFonts w:hint="eastAsia" w:hAnsi="宋体"/>
          <w:color w:val="auto"/>
          <w:sz w:val="21"/>
          <w:szCs w:val="21"/>
          <w:highlight w:val="none"/>
        </w:rPr>
        <w:t>《</w:t>
      </w:r>
      <w:r>
        <w:rPr>
          <w:rFonts w:hint="eastAsia" w:hAnsi="宋体"/>
          <w:color w:val="auto"/>
          <w:sz w:val="21"/>
          <w:szCs w:val="21"/>
          <w:highlight w:val="none"/>
          <w:lang w:eastAsia="zh-CN"/>
        </w:rPr>
        <w:t>投标人</w:t>
      </w:r>
      <w:r>
        <w:rPr>
          <w:rFonts w:hAnsi="宋体"/>
          <w:color w:val="auto"/>
          <w:sz w:val="21"/>
          <w:szCs w:val="21"/>
          <w:highlight w:val="none"/>
        </w:rPr>
        <w:t>须知</w:t>
      </w:r>
      <w:r>
        <w:rPr>
          <w:rFonts w:hint="eastAsia" w:hAnsi="宋体"/>
          <w:color w:val="auto"/>
          <w:sz w:val="21"/>
          <w:szCs w:val="21"/>
          <w:highlight w:val="none"/>
        </w:rPr>
        <w:t>》</w:t>
      </w:r>
      <w:r>
        <w:rPr>
          <w:rFonts w:hAnsi="宋体"/>
          <w:color w:val="auto"/>
          <w:sz w:val="21"/>
          <w:szCs w:val="21"/>
          <w:highlight w:val="none"/>
        </w:rPr>
        <w:t>中规定的可提供复印件外均须提供原件。副本为正本的复印件。</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395" w:firstLineChars="196"/>
        <w:textAlignment w:val="auto"/>
        <w:rPr>
          <w:rFonts w:hAnsi="宋体"/>
          <w:color w:val="auto"/>
          <w:sz w:val="21"/>
          <w:szCs w:val="21"/>
          <w:highlight w:val="none"/>
        </w:rPr>
      </w:pPr>
      <w:r>
        <w:rPr>
          <w:rFonts w:hAnsi="宋体"/>
          <w:color w:val="auto"/>
          <w:sz w:val="21"/>
          <w:szCs w:val="21"/>
          <w:highlight w:val="none"/>
        </w:rPr>
        <w:t>4</w:t>
      </w:r>
      <w:r>
        <w:rPr>
          <w:rFonts w:hint="eastAsia" w:hAnsi="宋体"/>
          <w:color w:val="auto"/>
          <w:sz w:val="21"/>
          <w:szCs w:val="21"/>
          <w:highlight w:val="none"/>
          <w:lang w:eastAsia="zh-CN"/>
        </w:rPr>
        <w:t>、</w:t>
      </w:r>
      <w:r>
        <w:rPr>
          <w:rFonts w:hAnsi="宋体"/>
          <w:color w:val="auto"/>
          <w:sz w:val="21"/>
          <w:szCs w:val="21"/>
          <w:highlight w:val="none"/>
        </w:rPr>
        <w:t>投标文件须由</w:t>
      </w:r>
      <w:r>
        <w:rPr>
          <w:rFonts w:hint="eastAsia" w:hAnsi="宋体"/>
          <w:color w:val="auto"/>
          <w:sz w:val="21"/>
          <w:szCs w:val="21"/>
          <w:highlight w:val="none"/>
          <w:lang w:eastAsia="zh-CN"/>
        </w:rPr>
        <w:t>投标人</w:t>
      </w:r>
      <w:r>
        <w:rPr>
          <w:rFonts w:hAnsi="宋体"/>
          <w:color w:val="auto"/>
          <w:sz w:val="21"/>
          <w:szCs w:val="21"/>
          <w:highlight w:val="none"/>
        </w:rPr>
        <w:t>在规定位置盖章并由法定代表人或法定代表</w:t>
      </w:r>
      <w:r>
        <w:rPr>
          <w:rFonts w:hint="eastAsia" w:hAnsi="宋体"/>
          <w:color w:val="auto"/>
          <w:sz w:val="21"/>
          <w:szCs w:val="21"/>
          <w:highlight w:val="none"/>
        </w:rPr>
        <w:t>人的</w:t>
      </w:r>
      <w:r>
        <w:rPr>
          <w:rFonts w:hAnsi="宋体"/>
          <w:color w:val="auto"/>
          <w:sz w:val="21"/>
          <w:szCs w:val="21"/>
          <w:highlight w:val="none"/>
        </w:rPr>
        <w:t>授权</w:t>
      </w:r>
      <w:r>
        <w:rPr>
          <w:rFonts w:hint="eastAsia" w:hAnsi="宋体"/>
          <w:color w:val="auto"/>
          <w:sz w:val="21"/>
          <w:szCs w:val="21"/>
          <w:highlight w:val="none"/>
        </w:rPr>
        <w:t>委托</w:t>
      </w:r>
      <w:r>
        <w:rPr>
          <w:rFonts w:hAnsi="宋体"/>
          <w:color w:val="auto"/>
          <w:sz w:val="21"/>
          <w:szCs w:val="21"/>
          <w:highlight w:val="none"/>
        </w:rPr>
        <w:t>人签署，</w:t>
      </w:r>
      <w:r>
        <w:rPr>
          <w:rFonts w:hint="eastAsia" w:hAnsi="宋体"/>
          <w:color w:val="auto"/>
          <w:sz w:val="21"/>
          <w:szCs w:val="21"/>
          <w:highlight w:val="none"/>
          <w:lang w:eastAsia="zh-CN"/>
        </w:rPr>
        <w:t>投标人</w:t>
      </w:r>
      <w:r>
        <w:rPr>
          <w:rFonts w:hAnsi="宋体"/>
          <w:color w:val="auto"/>
          <w:sz w:val="21"/>
          <w:szCs w:val="21"/>
          <w:highlight w:val="none"/>
        </w:rPr>
        <w:t>应写全称。</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395" w:firstLineChars="196"/>
        <w:textAlignment w:val="auto"/>
        <w:rPr>
          <w:rFonts w:hAnsi="宋体"/>
          <w:color w:val="auto"/>
          <w:sz w:val="21"/>
          <w:szCs w:val="21"/>
          <w:highlight w:val="none"/>
        </w:rPr>
      </w:pPr>
      <w:r>
        <w:rPr>
          <w:rFonts w:hAnsi="宋体"/>
          <w:color w:val="auto"/>
          <w:sz w:val="21"/>
          <w:szCs w:val="21"/>
          <w:highlight w:val="none"/>
        </w:rPr>
        <w:t>5</w:t>
      </w:r>
      <w:r>
        <w:rPr>
          <w:rFonts w:hint="eastAsia" w:hAnsi="宋体"/>
          <w:color w:val="auto"/>
          <w:sz w:val="21"/>
          <w:szCs w:val="21"/>
          <w:highlight w:val="none"/>
          <w:lang w:eastAsia="zh-CN"/>
        </w:rPr>
        <w:t>、</w:t>
      </w:r>
      <w:r>
        <w:rPr>
          <w:rFonts w:hAnsi="宋体"/>
          <w:color w:val="auto"/>
          <w:sz w:val="21"/>
          <w:szCs w:val="21"/>
          <w:highlight w:val="none"/>
        </w:rPr>
        <w:t>投标文件不得涂改，若有修改错漏处，须加盖单位公章或者法定代表人或授权委托人签字或盖章。投标文件因字迹潦草或表达不清所引起的后果由</w:t>
      </w:r>
      <w:r>
        <w:rPr>
          <w:rFonts w:hint="eastAsia" w:hAnsi="宋体"/>
          <w:color w:val="auto"/>
          <w:sz w:val="21"/>
          <w:szCs w:val="21"/>
          <w:highlight w:val="none"/>
          <w:lang w:eastAsia="zh-CN"/>
        </w:rPr>
        <w:t>投标人</w:t>
      </w:r>
      <w:r>
        <w:rPr>
          <w:rFonts w:hAnsi="宋体"/>
          <w:color w:val="auto"/>
          <w:sz w:val="21"/>
          <w:szCs w:val="21"/>
          <w:highlight w:val="none"/>
        </w:rPr>
        <w:t>负责。</w:t>
      </w:r>
    </w:p>
    <w:p>
      <w:pPr>
        <w:pStyle w:val="8"/>
        <w:keepNext w:val="0"/>
        <w:keepLines w:val="0"/>
        <w:pageBreakBefore w:val="0"/>
        <w:widowControl w:val="0"/>
        <w:numPr>
          <w:ilvl w:val="0"/>
          <w:numId w:val="0"/>
        </w:numPr>
        <w:tabs>
          <w:tab w:val="left" w:pos="720"/>
          <w:tab w:val="clear" w:pos="360"/>
        </w:tabs>
        <w:kinsoku/>
        <w:wordWrap/>
        <w:overflowPunct/>
        <w:topLinePunct w:val="0"/>
        <w:autoSpaceDE/>
        <w:autoSpaceDN/>
        <w:bidi w:val="0"/>
        <w:adjustRightInd/>
        <w:snapToGrid w:val="0"/>
        <w:spacing w:line="360" w:lineRule="auto"/>
        <w:ind w:firstLine="211" w:firstLineChars="100"/>
        <w:textAlignment w:val="auto"/>
        <w:rPr>
          <w:rFonts w:ascii="宋体" w:hAnsi="宋体"/>
          <w:b/>
          <w:color w:val="auto"/>
          <w:sz w:val="21"/>
          <w:szCs w:val="21"/>
          <w:highlight w:val="none"/>
        </w:rPr>
      </w:pPr>
      <w:r>
        <w:rPr>
          <w:rFonts w:hint="eastAsia" w:ascii="宋体" w:hAnsi="宋体"/>
          <w:b/>
          <w:color w:val="auto"/>
          <w:sz w:val="21"/>
          <w:szCs w:val="21"/>
          <w:highlight w:val="none"/>
        </w:rPr>
        <w:t>（</w:t>
      </w:r>
      <w:r>
        <w:rPr>
          <w:rFonts w:hint="eastAsia" w:ascii="宋体" w:hAnsi="宋体"/>
          <w:b/>
          <w:color w:val="auto"/>
          <w:sz w:val="21"/>
          <w:szCs w:val="21"/>
          <w:highlight w:val="none"/>
          <w:lang w:val="en-US" w:eastAsia="zh-CN"/>
        </w:rPr>
        <w:t>六</w:t>
      </w:r>
      <w:r>
        <w:rPr>
          <w:rFonts w:hint="eastAsia" w:ascii="宋体" w:hAnsi="宋体"/>
          <w:b/>
          <w:color w:val="auto"/>
          <w:sz w:val="21"/>
          <w:szCs w:val="21"/>
          <w:highlight w:val="none"/>
        </w:rPr>
        <w:t>）投标文件的包装、递交、修改和撤回</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398" w:firstLineChars="196"/>
        <w:textAlignment w:val="auto"/>
        <w:rPr>
          <w:rFonts w:hint="eastAsia" w:hAnsi="宋体" w:cs="Times New Roman"/>
          <w:color w:val="auto"/>
          <w:sz w:val="21"/>
          <w:szCs w:val="21"/>
          <w:highlight w:val="none"/>
        </w:rPr>
      </w:pPr>
      <w:r>
        <w:rPr>
          <w:rFonts w:hint="eastAsia" w:ascii="宋体" w:hAnsi="宋体"/>
          <w:b/>
          <w:bCs/>
          <w:color w:val="auto"/>
          <w:sz w:val="21"/>
          <w:szCs w:val="21"/>
          <w:highlight w:val="none"/>
        </w:rPr>
        <w:t>1</w:t>
      </w:r>
      <w:r>
        <w:rPr>
          <w:rFonts w:hint="eastAsia" w:ascii="宋体" w:hAnsi="宋体"/>
          <w:b/>
          <w:bCs/>
          <w:color w:val="auto"/>
          <w:sz w:val="21"/>
          <w:szCs w:val="21"/>
          <w:highlight w:val="none"/>
          <w:lang w:eastAsia="zh-CN"/>
        </w:rPr>
        <w:t>、</w:t>
      </w:r>
      <w:r>
        <w:rPr>
          <w:rFonts w:hint="eastAsia" w:hAnsi="宋体"/>
          <w:b/>
          <w:bCs/>
          <w:color w:val="auto"/>
          <w:sz w:val="21"/>
          <w:szCs w:val="21"/>
          <w:highlight w:val="none"/>
          <w:lang w:eastAsia="zh-CN"/>
        </w:rPr>
        <w:t>投标人</w:t>
      </w:r>
      <w:r>
        <w:rPr>
          <w:rFonts w:hint="eastAsia" w:hAnsi="宋体"/>
          <w:b/>
          <w:bCs/>
          <w:color w:val="auto"/>
          <w:sz w:val="21"/>
          <w:szCs w:val="21"/>
          <w:highlight w:val="none"/>
        </w:rPr>
        <w:t>应密封封装投标文件</w:t>
      </w:r>
      <w:r>
        <w:rPr>
          <w:rFonts w:hint="eastAsia" w:ascii="宋体" w:hAnsi="宋体"/>
          <w:b/>
          <w:bCs/>
          <w:color w:val="auto"/>
          <w:sz w:val="21"/>
          <w:szCs w:val="21"/>
          <w:highlight w:val="none"/>
        </w:rPr>
        <w:t>。投标文件的包装封面上应注明投标项目名称、项目编号、</w:t>
      </w:r>
      <w:r>
        <w:rPr>
          <w:rFonts w:hint="eastAsia" w:ascii="宋体" w:hAnsi="宋体"/>
          <w:b/>
          <w:bCs/>
          <w:color w:val="auto"/>
          <w:sz w:val="21"/>
          <w:szCs w:val="21"/>
          <w:highlight w:val="none"/>
          <w:lang w:eastAsia="zh-CN"/>
        </w:rPr>
        <w:t>投标人</w:t>
      </w:r>
      <w:r>
        <w:rPr>
          <w:rFonts w:hint="eastAsia" w:ascii="宋体" w:hAnsi="宋体"/>
          <w:b/>
          <w:bCs/>
          <w:color w:val="auto"/>
          <w:sz w:val="21"/>
          <w:szCs w:val="21"/>
          <w:highlight w:val="none"/>
        </w:rPr>
        <w:t>名称、</w:t>
      </w:r>
      <w:r>
        <w:rPr>
          <w:rFonts w:hint="eastAsia" w:ascii="宋体" w:hAnsi="宋体"/>
          <w:b/>
          <w:bCs/>
          <w:color w:val="auto"/>
          <w:sz w:val="21"/>
          <w:szCs w:val="21"/>
          <w:highlight w:val="none"/>
          <w:lang w:eastAsia="zh-CN"/>
        </w:rPr>
        <w:t>投标人</w:t>
      </w:r>
      <w:r>
        <w:rPr>
          <w:rFonts w:hint="eastAsia" w:ascii="宋体" w:hAnsi="宋体"/>
          <w:b/>
          <w:bCs/>
          <w:color w:val="auto"/>
          <w:sz w:val="21"/>
          <w:szCs w:val="21"/>
          <w:highlight w:val="none"/>
        </w:rPr>
        <w:t>地址</w:t>
      </w: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lang w:val="en-US" w:eastAsia="zh-CN"/>
        </w:rPr>
        <w:t>标段号</w:t>
      </w:r>
      <w:r>
        <w:rPr>
          <w:rFonts w:hint="eastAsia" w:ascii="宋体" w:hAnsi="宋体"/>
          <w:b/>
          <w:bCs/>
          <w:color w:val="auto"/>
          <w:sz w:val="21"/>
          <w:szCs w:val="21"/>
          <w:highlight w:val="none"/>
        </w:rPr>
        <w:t>及“</w:t>
      </w:r>
      <w:r>
        <w:rPr>
          <w:rFonts w:hint="eastAsia" w:ascii="宋体" w:hAnsi="宋体" w:eastAsia="宋体" w:cs="宋体"/>
          <w:b/>
          <w:sz w:val="21"/>
          <w:szCs w:val="21"/>
          <w:highlight w:val="none"/>
          <w:lang w:val="en-US" w:eastAsia="zh-CN"/>
        </w:rPr>
        <w:t>开标</w:t>
      </w:r>
      <w:r>
        <w:rPr>
          <w:rFonts w:hint="eastAsia" w:ascii="宋体" w:hAnsi="宋体" w:eastAsia="宋体" w:cs="宋体"/>
          <w:b/>
          <w:sz w:val="21"/>
          <w:szCs w:val="21"/>
          <w:highlight w:val="none"/>
        </w:rPr>
        <w:t>之前不得启封</w:t>
      </w:r>
      <w:r>
        <w:rPr>
          <w:rFonts w:hint="eastAsia" w:ascii="宋体" w:hAnsi="宋体"/>
          <w:b/>
          <w:bCs/>
          <w:color w:val="auto"/>
          <w:sz w:val="21"/>
          <w:szCs w:val="21"/>
          <w:highlight w:val="none"/>
        </w:rPr>
        <w:t>”字样，并加盖</w:t>
      </w:r>
      <w:r>
        <w:rPr>
          <w:rFonts w:hint="eastAsia" w:ascii="宋体" w:hAnsi="宋体"/>
          <w:b/>
          <w:bCs/>
          <w:color w:val="auto"/>
          <w:sz w:val="21"/>
          <w:szCs w:val="21"/>
          <w:highlight w:val="none"/>
          <w:lang w:eastAsia="zh-CN"/>
        </w:rPr>
        <w:t>投标人</w:t>
      </w:r>
      <w:r>
        <w:rPr>
          <w:rFonts w:hint="eastAsia" w:hAnsi="宋体" w:cs="Times New Roman"/>
          <w:b/>
          <w:bCs/>
          <w:color w:val="auto"/>
          <w:sz w:val="21"/>
          <w:szCs w:val="21"/>
          <w:highlight w:val="none"/>
        </w:rPr>
        <w:t>公章。</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398" w:firstLineChars="196"/>
        <w:textAlignment w:val="auto"/>
        <w:rPr>
          <w:rFonts w:hint="eastAsia" w:hAnsi="宋体" w:cs="Times New Roman"/>
          <w:b/>
          <w:bCs/>
          <w:color w:val="auto"/>
          <w:sz w:val="21"/>
          <w:szCs w:val="21"/>
          <w:highlight w:val="none"/>
        </w:rPr>
      </w:pPr>
      <w:r>
        <w:rPr>
          <w:rFonts w:hint="eastAsia" w:ascii="黑体" w:hAnsi="黑体" w:eastAsia="黑体" w:cs="黑体"/>
          <w:b/>
          <w:bCs/>
          <w:color w:val="auto"/>
          <w:sz w:val="21"/>
          <w:szCs w:val="21"/>
          <w:highlight w:val="none"/>
        </w:rPr>
        <w:t>资</w:t>
      </w:r>
      <w:r>
        <w:rPr>
          <w:rFonts w:hint="eastAsia" w:ascii="黑体" w:hAnsi="黑体" w:eastAsia="黑体" w:cs="黑体"/>
          <w:b/>
          <w:bCs/>
          <w:color w:val="auto"/>
          <w:sz w:val="21"/>
          <w:szCs w:val="21"/>
          <w:highlight w:val="none"/>
          <w:lang w:val="en-US" w:eastAsia="zh-CN"/>
        </w:rPr>
        <w:t>信</w:t>
      </w:r>
      <w:r>
        <w:rPr>
          <w:rFonts w:hint="eastAsia" w:ascii="黑体" w:hAnsi="黑体" w:eastAsia="黑体" w:cs="黑体"/>
          <w:b/>
          <w:bCs/>
          <w:color w:val="auto"/>
          <w:sz w:val="21"/>
          <w:szCs w:val="21"/>
          <w:highlight w:val="none"/>
        </w:rPr>
        <w:t>商务文件、技术文件和报价文件应密封在不同的密封袋中，即资</w:t>
      </w:r>
      <w:r>
        <w:rPr>
          <w:rFonts w:hint="eastAsia" w:ascii="黑体" w:hAnsi="黑体" w:eastAsia="黑体" w:cs="黑体"/>
          <w:b/>
          <w:bCs/>
          <w:color w:val="auto"/>
          <w:sz w:val="21"/>
          <w:szCs w:val="21"/>
          <w:highlight w:val="none"/>
          <w:lang w:val="en-US" w:eastAsia="zh-CN"/>
        </w:rPr>
        <w:t>信</w:t>
      </w:r>
      <w:r>
        <w:rPr>
          <w:rFonts w:hint="eastAsia" w:ascii="黑体" w:hAnsi="黑体" w:eastAsia="黑体" w:cs="黑体"/>
          <w:b/>
          <w:bCs/>
          <w:color w:val="auto"/>
          <w:sz w:val="21"/>
          <w:szCs w:val="21"/>
          <w:highlight w:val="none"/>
        </w:rPr>
        <w:t>商务文件按所投标段编制装订成一册后密封在一个密封袋中，技术文件按所投标段分开编制，按所投标段分别密封在密封袋中</w:t>
      </w:r>
      <w:r>
        <w:rPr>
          <w:rFonts w:hint="eastAsia" w:ascii="黑体" w:hAnsi="黑体" w:eastAsia="黑体" w:cs="黑体"/>
          <w:b/>
          <w:bCs/>
          <w:color w:val="auto"/>
          <w:sz w:val="21"/>
          <w:szCs w:val="21"/>
          <w:highlight w:val="none"/>
          <w:lang w:eastAsia="zh-CN"/>
        </w:rPr>
        <w:t>，</w:t>
      </w:r>
      <w:r>
        <w:rPr>
          <w:rFonts w:hint="eastAsia" w:ascii="黑体" w:hAnsi="黑体" w:eastAsia="黑体" w:cs="黑体"/>
          <w:b/>
          <w:bCs/>
          <w:color w:val="auto"/>
          <w:sz w:val="21"/>
          <w:szCs w:val="21"/>
          <w:highlight w:val="none"/>
        </w:rPr>
        <w:t>报价文件按所投标段分开编制，按所投标段分别密封在密封袋中。电子版投标文件单独包封，外包装封面上应注明投标人名称、投标人地址、投标文件名称（电子版投标文件）、投标项目名称、项目编号、标段号，并加盖投标人公章。</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395" w:firstLineChars="196"/>
        <w:textAlignment w:val="auto"/>
        <w:rPr>
          <w:rFonts w:hint="eastAsia" w:hAnsi="宋体"/>
          <w:color w:val="auto"/>
          <w:sz w:val="21"/>
          <w:szCs w:val="21"/>
          <w:highlight w:val="none"/>
        </w:rPr>
      </w:pPr>
      <w:r>
        <w:rPr>
          <w:rFonts w:hint="eastAsia" w:hAnsi="宋体"/>
          <w:color w:val="auto"/>
          <w:sz w:val="21"/>
          <w:szCs w:val="21"/>
          <w:highlight w:val="none"/>
        </w:rPr>
        <w:t>2</w:t>
      </w:r>
      <w:r>
        <w:rPr>
          <w:rFonts w:hint="eastAsia" w:hAnsi="宋体"/>
          <w:color w:val="auto"/>
          <w:sz w:val="21"/>
          <w:szCs w:val="21"/>
          <w:highlight w:val="none"/>
          <w:lang w:eastAsia="zh-CN"/>
        </w:rPr>
        <w:t>、</w:t>
      </w:r>
      <w:r>
        <w:rPr>
          <w:rFonts w:hint="eastAsia" w:hAnsi="宋体"/>
          <w:color w:val="auto"/>
          <w:sz w:val="21"/>
          <w:szCs w:val="21"/>
          <w:highlight w:val="none"/>
        </w:rPr>
        <w:t>未按规定密封或标记的投标文件将被拒绝，由此造成投标文件被误投或提前拆封的风险由</w:t>
      </w:r>
      <w:r>
        <w:rPr>
          <w:rFonts w:hint="eastAsia" w:hAnsi="宋体"/>
          <w:color w:val="auto"/>
          <w:sz w:val="21"/>
          <w:szCs w:val="21"/>
          <w:highlight w:val="none"/>
          <w:lang w:eastAsia="zh-CN"/>
        </w:rPr>
        <w:t>投标人</w:t>
      </w:r>
      <w:r>
        <w:rPr>
          <w:rFonts w:hint="eastAsia" w:hAnsi="宋体"/>
          <w:color w:val="auto"/>
          <w:sz w:val="21"/>
          <w:szCs w:val="21"/>
          <w:highlight w:val="none"/>
        </w:rPr>
        <w:t>承担。</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395" w:firstLineChars="196"/>
        <w:textAlignment w:val="auto"/>
        <w:rPr>
          <w:rFonts w:hint="eastAsia" w:hAnsi="宋体"/>
          <w:color w:val="auto"/>
          <w:sz w:val="21"/>
          <w:szCs w:val="21"/>
          <w:highlight w:val="none"/>
        </w:rPr>
      </w:pPr>
      <w:r>
        <w:rPr>
          <w:rFonts w:hint="eastAsia" w:hAnsi="宋体"/>
          <w:color w:val="auto"/>
          <w:sz w:val="21"/>
          <w:szCs w:val="21"/>
          <w:highlight w:val="none"/>
        </w:rPr>
        <w:t>3</w:t>
      </w:r>
      <w:r>
        <w:rPr>
          <w:rFonts w:hint="eastAsia" w:hAnsi="宋体"/>
          <w:color w:val="auto"/>
          <w:sz w:val="21"/>
          <w:szCs w:val="21"/>
          <w:highlight w:val="none"/>
          <w:lang w:eastAsia="zh-CN"/>
        </w:rPr>
        <w:t>、投标人在投标截止时间之前，可以对所提交的投标文件进行补充、修改或者撤回，并书面通知采购人或采购代理机构。补充、修改的内容应当按照招标文件要求签署、盖章、密封后，作为投标文件的组成部分。</w:t>
      </w:r>
    </w:p>
    <w:p>
      <w:pPr>
        <w:pStyle w:val="8"/>
        <w:keepNext w:val="0"/>
        <w:keepLines w:val="0"/>
        <w:pageBreakBefore w:val="0"/>
        <w:widowControl w:val="0"/>
        <w:numPr>
          <w:ilvl w:val="0"/>
          <w:numId w:val="0"/>
        </w:numPr>
        <w:tabs>
          <w:tab w:val="left" w:pos="720"/>
          <w:tab w:val="clear" w:pos="360"/>
        </w:tabs>
        <w:kinsoku/>
        <w:wordWrap/>
        <w:overflowPunct/>
        <w:topLinePunct w:val="0"/>
        <w:autoSpaceDE/>
        <w:autoSpaceDN/>
        <w:bidi w:val="0"/>
        <w:adjustRightInd/>
        <w:snapToGrid w:val="0"/>
        <w:spacing w:line="360" w:lineRule="auto"/>
        <w:ind w:leftChars="196"/>
        <w:textAlignment w:val="auto"/>
        <w:rPr>
          <w:rFonts w:ascii="宋体" w:hAnsi="宋体"/>
          <w:b/>
          <w:bCs w:val="0"/>
          <w:i w:val="0"/>
          <w:iCs w:val="0"/>
          <w:color w:val="auto"/>
          <w:sz w:val="21"/>
          <w:szCs w:val="21"/>
          <w:highlight w:val="none"/>
          <w:u w:val="none"/>
        </w:rPr>
      </w:pPr>
      <w:r>
        <w:rPr>
          <w:rFonts w:hint="eastAsia" w:ascii="宋体" w:hAnsi="宋体"/>
          <w:b/>
          <w:bCs w:val="0"/>
          <w:i w:val="0"/>
          <w:iCs w:val="0"/>
          <w:color w:val="auto"/>
          <w:sz w:val="21"/>
          <w:szCs w:val="21"/>
          <w:highlight w:val="none"/>
          <w:u w:val="none"/>
        </w:rPr>
        <w:t>（</w:t>
      </w:r>
      <w:r>
        <w:rPr>
          <w:rFonts w:hint="eastAsia" w:ascii="宋体" w:hAnsi="宋体"/>
          <w:b/>
          <w:bCs w:val="0"/>
          <w:i w:val="0"/>
          <w:iCs w:val="0"/>
          <w:color w:val="auto"/>
          <w:sz w:val="21"/>
          <w:szCs w:val="21"/>
          <w:highlight w:val="none"/>
          <w:u w:val="none"/>
          <w:lang w:val="en-US" w:eastAsia="zh-CN"/>
        </w:rPr>
        <w:t>七</w:t>
      </w:r>
      <w:r>
        <w:rPr>
          <w:rFonts w:hint="eastAsia" w:ascii="宋体" w:hAnsi="宋体"/>
          <w:b/>
          <w:bCs w:val="0"/>
          <w:i w:val="0"/>
          <w:iCs w:val="0"/>
          <w:color w:val="auto"/>
          <w:sz w:val="21"/>
          <w:szCs w:val="21"/>
          <w:highlight w:val="none"/>
          <w:u w:val="none"/>
        </w:rPr>
        <w:t>）投标无效的情形</w:t>
      </w:r>
    </w:p>
    <w:p>
      <w:pPr>
        <w:spacing w:line="360" w:lineRule="auto"/>
        <w:ind w:firstLine="413" w:firstLineChars="196"/>
        <w:jc w:val="both"/>
        <w:rPr>
          <w:rFonts w:hint="eastAsia" w:ascii="宋体" w:hAnsi="宋体" w:eastAsia="宋体" w:cs="宋体"/>
          <w:b/>
          <w:bCs/>
          <w:szCs w:val="21"/>
          <w:highlight w:val="none"/>
        </w:rPr>
      </w:pPr>
      <w:r>
        <w:rPr>
          <w:rFonts w:hint="eastAsia" w:ascii="宋体" w:hAnsi="宋体" w:eastAsia="宋体" w:cs="宋体"/>
          <w:b/>
          <w:bCs/>
          <w:szCs w:val="21"/>
          <w:highlight w:val="none"/>
        </w:rPr>
        <w:t>实质上没有响应招标文件要求的投标将被视为无效投标。</w:t>
      </w:r>
    </w:p>
    <w:p>
      <w:pPr>
        <w:pStyle w:val="2"/>
        <w:spacing w:line="360" w:lineRule="auto"/>
        <w:ind w:firstLine="398" w:firstLineChars="196"/>
        <w:jc w:val="both"/>
        <w:rPr>
          <w:rFonts w:hint="eastAsia" w:ascii="宋体" w:hAnsi="宋体" w:eastAsia="宋体" w:cs="宋体"/>
          <w:b/>
          <w:sz w:val="21"/>
          <w:szCs w:val="21"/>
          <w:highlight w:val="none"/>
        </w:rPr>
      </w:pPr>
      <w:r>
        <w:rPr>
          <w:rFonts w:hint="eastAsia" w:ascii="宋体" w:hAnsi="宋体" w:eastAsia="宋体" w:cs="宋体"/>
          <w:b/>
          <w:bCs/>
          <w:sz w:val="21"/>
          <w:szCs w:val="21"/>
          <w:highlight w:val="none"/>
        </w:rPr>
        <w:t>1</w:t>
      </w:r>
      <w:r>
        <w:rPr>
          <w:rFonts w:hint="eastAsia" w:hAnsi="宋体" w:cs="宋体"/>
          <w:b/>
          <w:bCs/>
          <w:sz w:val="21"/>
          <w:szCs w:val="21"/>
          <w:highlight w:val="none"/>
          <w:lang w:eastAsia="zh-CN"/>
        </w:rPr>
        <w:t>、</w:t>
      </w:r>
      <w:r>
        <w:rPr>
          <w:rFonts w:hint="eastAsia" w:ascii="宋体" w:hAnsi="宋体" w:eastAsia="宋体" w:cs="宋体"/>
          <w:b/>
          <w:bCs/>
          <w:sz w:val="21"/>
          <w:szCs w:val="21"/>
          <w:highlight w:val="none"/>
        </w:rPr>
        <w:t>在资格审查时，不具备招标文件中规定的资格要求的，或者资格证明文件不全的，</w:t>
      </w:r>
      <w:r>
        <w:rPr>
          <w:rFonts w:hint="eastAsia" w:ascii="宋体" w:hAnsi="宋体" w:eastAsia="宋体" w:cs="宋体"/>
          <w:b/>
          <w:sz w:val="21"/>
          <w:szCs w:val="21"/>
          <w:highlight w:val="none"/>
        </w:rPr>
        <w:t>投标文件将被视为无效。</w:t>
      </w:r>
    </w:p>
    <w:p>
      <w:pPr>
        <w:pStyle w:val="2"/>
        <w:spacing w:line="360" w:lineRule="auto"/>
        <w:ind w:firstLine="398" w:firstLineChars="196"/>
        <w:jc w:val="both"/>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r>
        <w:rPr>
          <w:rFonts w:hint="eastAsia" w:hAnsi="宋体" w:cs="宋体"/>
          <w:b/>
          <w:sz w:val="21"/>
          <w:szCs w:val="21"/>
          <w:highlight w:val="none"/>
          <w:lang w:eastAsia="zh-CN"/>
        </w:rPr>
        <w:t>、</w:t>
      </w:r>
      <w:r>
        <w:rPr>
          <w:rFonts w:hint="eastAsia" w:ascii="宋体" w:hAnsi="宋体" w:eastAsia="宋体" w:cs="宋体"/>
          <w:b/>
          <w:sz w:val="21"/>
          <w:szCs w:val="21"/>
          <w:highlight w:val="none"/>
        </w:rPr>
        <w:t>在符合性审查时，如发现下列情形之一的，投标文件将被视为无效：</w:t>
      </w:r>
    </w:p>
    <w:p>
      <w:pPr>
        <w:pStyle w:val="2"/>
        <w:spacing w:line="360" w:lineRule="auto"/>
        <w:ind w:firstLine="398" w:firstLineChars="196"/>
        <w:jc w:val="both"/>
        <w:rPr>
          <w:rFonts w:hint="eastAsia" w:ascii="宋体" w:hAnsi="宋体" w:eastAsia="宋体" w:cs="宋体"/>
          <w:b/>
          <w:sz w:val="21"/>
          <w:szCs w:val="21"/>
          <w:highlight w:val="none"/>
        </w:rPr>
      </w:pPr>
      <w:r>
        <w:rPr>
          <w:rFonts w:hint="eastAsia" w:ascii="宋体" w:hAnsi="宋体" w:eastAsia="宋体" w:cs="宋体"/>
          <w:b/>
          <w:sz w:val="21"/>
          <w:szCs w:val="21"/>
          <w:highlight w:val="none"/>
        </w:rPr>
        <w:t>（1）投标文件未按招标文件要求签署、签章的；</w:t>
      </w:r>
    </w:p>
    <w:p>
      <w:pPr>
        <w:pStyle w:val="2"/>
        <w:spacing w:line="360" w:lineRule="auto"/>
        <w:ind w:firstLine="398" w:firstLineChars="196"/>
        <w:jc w:val="both"/>
        <w:rPr>
          <w:rFonts w:hint="eastAsia" w:ascii="宋体" w:hAnsi="宋体" w:eastAsia="宋体" w:cs="宋体"/>
          <w:b/>
          <w:sz w:val="21"/>
          <w:szCs w:val="21"/>
          <w:highlight w:val="none"/>
        </w:rPr>
      </w:pPr>
      <w:r>
        <w:rPr>
          <w:rFonts w:hint="eastAsia" w:ascii="宋体" w:hAnsi="宋体" w:eastAsia="宋体" w:cs="宋体"/>
          <w:b/>
          <w:sz w:val="21"/>
          <w:szCs w:val="21"/>
          <w:highlight w:val="none"/>
        </w:rPr>
        <w:t>（2）投标有效期不满足招标文件要求的；</w:t>
      </w:r>
    </w:p>
    <w:p>
      <w:pPr>
        <w:pStyle w:val="2"/>
        <w:spacing w:line="360" w:lineRule="auto"/>
        <w:ind w:firstLine="398" w:firstLineChars="196"/>
        <w:jc w:val="both"/>
        <w:rPr>
          <w:rFonts w:hint="eastAsia" w:ascii="宋体" w:hAnsi="宋体" w:eastAsia="宋体" w:cs="宋体"/>
          <w:b/>
          <w:sz w:val="21"/>
          <w:szCs w:val="21"/>
          <w:highlight w:val="none"/>
        </w:rPr>
      </w:pPr>
      <w:r>
        <w:rPr>
          <w:rFonts w:hint="eastAsia" w:ascii="宋体" w:hAnsi="宋体" w:eastAsia="宋体" w:cs="宋体"/>
          <w:b/>
          <w:sz w:val="21"/>
          <w:szCs w:val="21"/>
          <w:highlight w:val="none"/>
        </w:rPr>
        <w:t>（3）明显不符合招标文件要求的，或者与招标文件中标注“*”的条款发生负偏离的；</w:t>
      </w:r>
    </w:p>
    <w:p>
      <w:pPr>
        <w:pStyle w:val="2"/>
        <w:spacing w:line="360" w:lineRule="auto"/>
        <w:ind w:firstLine="398" w:firstLineChars="196"/>
        <w:jc w:val="both"/>
        <w:rPr>
          <w:rFonts w:hint="eastAsia" w:ascii="宋体" w:hAnsi="宋体" w:eastAsia="宋体" w:cs="宋体"/>
          <w:b/>
          <w:sz w:val="21"/>
          <w:szCs w:val="21"/>
          <w:highlight w:val="none"/>
        </w:rPr>
      </w:pPr>
      <w:r>
        <w:rPr>
          <w:rFonts w:hint="eastAsia" w:ascii="宋体" w:hAnsi="宋体" w:eastAsia="宋体" w:cs="宋体"/>
          <w:b/>
          <w:sz w:val="21"/>
          <w:szCs w:val="21"/>
          <w:highlight w:val="none"/>
        </w:rPr>
        <w:t>（4）投标文件中含有采购人不能接受的附加条件的；</w:t>
      </w:r>
    </w:p>
    <w:p>
      <w:pPr>
        <w:pStyle w:val="2"/>
        <w:spacing w:line="360" w:lineRule="auto"/>
        <w:ind w:firstLine="398" w:firstLineChars="196"/>
        <w:jc w:val="both"/>
        <w:rPr>
          <w:rFonts w:hint="eastAsia" w:ascii="宋体" w:hAnsi="宋体" w:eastAsia="宋体" w:cs="宋体"/>
          <w:b/>
          <w:sz w:val="21"/>
          <w:szCs w:val="21"/>
          <w:highlight w:val="none"/>
        </w:rPr>
      </w:pPr>
      <w:r>
        <w:rPr>
          <w:rFonts w:hint="eastAsia" w:ascii="宋体" w:hAnsi="宋体" w:eastAsia="宋体" w:cs="宋体"/>
          <w:b/>
          <w:sz w:val="21"/>
          <w:szCs w:val="21"/>
          <w:highlight w:val="none"/>
        </w:rPr>
        <w:t>（5）投标文件的实质性内容未使用中文表述、表述不明确、前后矛盾或者使用计量单位不符合招标文件要求的（经评审小组认定并允许其当场更正的笔误除外）；</w:t>
      </w:r>
    </w:p>
    <w:p>
      <w:pPr>
        <w:pStyle w:val="2"/>
        <w:spacing w:line="360" w:lineRule="auto"/>
        <w:ind w:firstLine="398" w:firstLineChars="196"/>
        <w:jc w:val="both"/>
        <w:rPr>
          <w:rFonts w:hint="eastAsia" w:ascii="宋体" w:hAnsi="宋体" w:eastAsia="宋体" w:cs="宋体"/>
          <w:b/>
          <w:sz w:val="21"/>
          <w:szCs w:val="21"/>
          <w:highlight w:val="none"/>
        </w:rPr>
      </w:pPr>
      <w:r>
        <w:rPr>
          <w:rFonts w:hint="eastAsia" w:ascii="宋体" w:hAnsi="宋体" w:eastAsia="宋体" w:cs="宋体"/>
          <w:b/>
          <w:sz w:val="21"/>
          <w:szCs w:val="21"/>
          <w:highlight w:val="none"/>
        </w:rPr>
        <w:t xml:space="preserve">（6）投标文件的关键内容字迹模糊、无法辨认的，或者投标文件中经修正的内容字迹模糊难以辩认或者修改处未按规定签署、盖章的； </w:t>
      </w:r>
    </w:p>
    <w:p>
      <w:pPr>
        <w:pStyle w:val="2"/>
        <w:spacing w:line="360" w:lineRule="auto"/>
        <w:ind w:firstLine="398" w:firstLineChars="196"/>
        <w:jc w:val="both"/>
        <w:rPr>
          <w:rFonts w:hint="eastAsia" w:ascii="宋体" w:hAnsi="宋体" w:eastAsia="宋体" w:cs="宋体"/>
          <w:b/>
          <w:sz w:val="21"/>
          <w:szCs w:val="21"/>
          <w:highlight w:val="none"/>
        </w:rPr>
      </w:pPr>
      <w:r>
        <w:rPr>
          <w:rFonts w:hint="eastAsia" w:ascii="宋体" w:hAnsi="宋体" w:eastAsia="宋体" w:cs="宋体"/>
          <w:b/>
          <w:sz w:val="21"/>
          <w:szCs w:val="21"/>
          <w:highlight w:val="none"/>
        </w:rPr>
        <w:t>（7）法律、法规和招标文件规定的其他无效情形。</w:t>
      </w:r>
    </w:p>
    <w:p>
      <w:pPr>
        <w:pStyle w:val="2"/>
        <w:spacing w:line="360" w:lineRule="auto"/>
        <w:ind w:firstLine="398" w:firstLineChars="196"/>
        <w:jc w:val="both"/>
        <w:rPr>
          <w:rFonts w:hint="eastAsia" w:ascii="宋体" w:hAnsi="宋体" w:eastAsia="宋体" w:cs="宋体"/>
          <w:b/>
          <w:sz w:val="21"/>
          <w:szCs w:val="21"/>
          <w:highlight w:val="none"/>
        </w:rPr>
      </w:pPr>
      <w:r>
        <w:rPr>
          <w:rFonts w:hint="eastAsia" w:ascii="宋体" w:hAnsi="宋体" w:eastAsia="宋体" w:cs="宋体"/>
          <w:b/>
          <w:bCs/>
          <w:sz w:val="21"/>
          <w:szCs w:val="21"/>
          <w:highlight w:val="none"/>
        </w:rPr>
        <w:t>3</w:t>
      </w:r>
      <w:r>
        <w:rPr>
          <w:rFonts w:hint="eastAsia" w:hAnsi="宋体" w:cs="宋体"/>
          <w:b/>
          <w:bCs/>
          <w:sz w:val="21"/>
          <w:szCs w:val="21"/>
          <w:highlight w:val="none"/>
          <w:lang w:eastAsia="zh-CN"/>
        </w:rPr>
        <w:t>、</w:t>
      </w:r>
      <w:r>
        <w:rPr>
          <w:rFonts w:hint="eastAsia" w:ascii="宋体" w:hAnsi="宋体" w:eastAsia="宋体" w:cs="宋体"/>
          <w:b/>
          <w:bCs/>
          <w:sz w:val="21"/>
          <w:szCs w:val="21"/>
          <w:highlight w:val="none"/>
        </w:rPr>
        <w:t>在技术商务评审时，如发现下列情形之一的，投标文件将被视为无效：</w:t>
      </w:r>
    </w:p>
    <w:p>
      <w:pPr>
        <w:pStyle w:val="2"/>
        <w:spacing w:line="360" w:lineRule="auto"/>
        <w:ind w:firstLine="398" w:firstLineChars="196"/>
        <w:jc w:val="both"/>
        <w:rPr>
          <w:rFonts w:hint="eastAsia" w:ascii="宋体" w:hAnsi="宋体" w:eastAsia="宋体" w:cs="宋体"/>
          <w:b/>
          <w:sz w:val="21"/>
          <w:szCs w:val="21"/>
          <w:highlight w:val="none"/>
        </w:rPr>
      </w:pPr>
      <w:r>
        <w:rPr>
          <w:rFonts w:hint="eastAsia" w:ascii="宋体" w:hAnsi="宋体" w:eastAsia="宋体" w:cs="宋体"/>
          <w:b/>
          <w:sz w:val="21"/>
          <w:szCs w:val="21"/>
          <w:highlight w:val="none"/>
        </w:rPr>
        <w:t>（1）未提供或未如实提供投标货物的技术参数，或者投标文件标明的响应或偏离与事实不符或虚假投标的；</w:t>
      </w:r>
    </w:p>
    <w:p>
      <w:pPr>
        <w:pStyle w:val="2"/>
        <w:spacing w:line="360" w:lineRule="auto"/>
        <w:ind w:firstLine="398" w:firstLineChars="196"/>
        <w:jc w:val="both"/>
        <w:rPr>
          <w:rFonts w:hint="eastAsia" w:ascii="宋体" w:hAnsi="宋体" w:eastAsia="宋体" w:cs="宋体"/>
          <w:b/>
          <w:sz w:val="21"/>
          <w:szCs w:val="21"/>
          <w:highlight w:val="none"/>
        </w:rPr>
      </w:pPr>
      <w:r>
        <w:rPr>
          <w:rFonts w:hint="eastAsia" w:ascii="宋体" w:hAnsi="宋体" w:eastAsia="宋体" w:cs="宋体"/>
          <w:b/>
          <w:sz w:val="21"/>
          <w:szCs w:val="21"/>
          <w:highlight w:val="none"/>
        </w:rPr>
        <w:t>（2）明显不符合招标文件要求的规格型号、质量标准，或者与招标文件中标“</w:t>
      </w:r>
      <w:r>
        <w:rPr>
          <w:rFonts w:hint="eastAsia" w:hAnsi="宋体"/>
          <w:b/>
          <w:bCs/>
          <w:color w:val="auto"/>
          <w:szCs w:val="21"/>
          <w:highlight w:val="none"/>
          <w:lang w:eastAsia="zh-CN"/>
        </w:rPr>
        <w:t>*</w:t>
      </w:r>
      <w:r>
        <w:rPr>
          <w:rFonts w:hint="eastAsia" w:ascii="宋体" w:hAnsi="宋体" w:eastAsia="宋体" w:cs="宋体"/>
          <w:b/>
          <w:sz w:val="21"/>
          <w:szCs w:val="21"/>
          <w:highlight w:val="none"/>
        </w:rPr>
        <w:t>”的条款发生实质性偏离的；</w:t>
      </w:r>
    </w:p>
    <w:p>
      <w:pPr>
        <w:pStyle w:val="2"/>
        <w:spacing w:line="360" w:lineRule="auto"/>
        <w:ind w:firstLine="406" w:firstLineChars="200"/>
        <w:jc w:val="both"/>
        <w:rPr>
          <w:rFonts w:hint="eastAsia" w:ascii="宋体" w:hAnsi="宋体" w:eastAsia="宋体" w:cs="宋体"/>
          <w:b/>
          <w:sz w:val="21"/>
          <w:szCs w:val="21"/>
          <w:highlight w:val="none"/>
        </w:rPr>
      </w:pPr>
      <w:r>
        <w:rPr>
          <w:rFonts w:hint="eastAsia" w:ascii="宋体" w:hAnsi="宋体" w:eastAsia="宋体" w:cs="宋体"/>
          <w:b/>
          <w:sz w:val="21"/>
          <w:szCs w:val="21"/>
          <w:highlight w:val="none"/>
        </w:rPr>
        <w:t>（3）投标技术方案不明确，存在一个或一个以上备选（替代）投标方案的。</w:t>
      </w:r>
    </w:p>
    <w:p>
      <w:pPr>
        <w:pStyle w:val="2"/>
        <w:spacing w:line="360" w:lineRule="auto"/>
        <w:ind w:firstLine="406" w:firstLineChars="200"/>
        <w:jc w:val="both"/>
        <w:rPr>
          <w:rFonts w:hint="eastAsia" w:ascii="宋体" w:hAnsi="宋体" w:eastAsia="宋体" w:cs="宋体"/>
          <w:b/>
          <w:sz w:val="21"/>
          <w:szCs w:val="21"/>
          <w:highlight w:val="none"/>
        </w:rPr>
      </w:pPr>
      <w:r>
        <w:rPr>
          <w:rFonts w:hint="eastAsia" w:ascii="宋体" w:hAnsi="宋体" w:eastAsia="宋体" w:cs="宋体"/>
          <w:b/>
          <w:sz w:val="21"/>
          <w:szCs w:val="21"/>
          <w:highlight w:val="none"/>
        </w:rPr>
        <w:t>（4）技术商务文件出现投标总价的。</w:t>
      </w:r>
    </w:p>
    <w:p>
      <w:pPr>
        <w:pStyle w:val="2"/>
        <w:spacing w:line="360" w:lineRule="auto"/>
        <w:ind w:firstLine="398" w:firstLineChars="196"/>
        <w:jc w:val="both"/>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4</w:t>
      </w:r>
      <w:r>
        <w:rPr>
          <w:rFonts w:hint="eastAsia" w:hAnsi="宋体" w:cs="宋体"/>
          <w:b/>
          <w:bCs/>
          <w:sz w:val="21"/>
          <w:szCs w:val="21"/>
          <w:highlight w:val="none"/>
          <w:lang w:eastAsia="zh-CN"/>
        </w:rPr>
        <w:t>、</w:t>
      </w:r>
      <w:r>
        <w:rPr>
          <w:rFonts w:hint="eastAsia" w:ascii="宋体" w:hAnsi="宋体" w:eastAsia="宋体" w:cs="宋体"/>
          <w:b/>
          <w:bCs/>
          <w:sz w:val="21"/>
          <w:szCs w:val="21"/>
          <w:highlight w:val="none"/>
        </w:rPr>
        <w:t>在报价评审时，如发现下列情形之一的，投标文件将被视为无效：</w:t>
      </w:r>
    </w:p>
    <w:p>
      <w:pPr>
        <w:pStyle w:val="2"/>
        <w:spacing w:line="360" w:lineRule="auto"/>
        <w:ind w:firstLine="398" w:firstLineChars="196"/>
        <w:jc w:val="both"/>
        <w:rPr>
          <w:rFonts w:hint="eastAsia" w:ascii="宋体" w:hAnsi="宋体" w:eastAsia="宋体" w:cs="宋体"/>
          <w:b/>
          <w:sz w:val="21"/>
          <w:szCs w:val="21"/>
          <w:highlight w:val="none"/>
        </w:rPr>
      </w:pPr>
      <w:r>
        <w:rPr>
          <w:rFonts w:hint="eastAsia" w:ascii="宋体" w:hAnsi="宋体" w:eastAsia="宋体" w:cs="宋体"/>
          <w:b/>
          <w:sz w:val="21"/>
          <w:szCs w:val="21"/>
          <w:highlight w:val="none"/>
        </w:rPr>
        <w:t>（1）</w:t>
      </w:r>
      <w:r>
        <w:rPr>
          <w:rFonts w:hint="eastAsia" w:ascii="宋体" w:hAnsi="宋体" w:eastAsia="宋体" w:cs="宋体"/>
          <w:b/>
          <w:bCs/>
          <w:sz w:val="21"/>
          <w:szCs w:val="21"/>
          <w:highlight w:val="none"/>
        </w:rPr>
        <w:t>报价超过招标文件中规定的预算金额或者最高限价的</w:t>
      </w:r>
      <w:r>
        <w:rPr>
          <w:rFonts w:hint="eastAsia" w:ascii="宋体" w:hAnsi="宋体" w:eastAsia="宋体" w:cs="宋体"/>
          <w:b/>
          <w:sz w:val="21"/>
          <w:szCs w:val="21"/>
          <w:highlight w:val="none"/>
        </w:rPr>
        <w:t>；</w:t>
      </w:r>
    </w:p>
    <w:p>
      <w:pPr>
        <w:pStyle w:val="2"/>
        <w:spacing w:line="360" w:lineRule="auto"/>
        <w:ind w:firstLine="398" w:firstLineChars="196"/>
        <w:jc w:val="both"/>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r>
        <w:rPr>
          <w:rFonts w:hint="eastAsia" w:ascii="宋体" w:hAnsi="宋体" w:eastAsia="宋体" w:cs="宋体"/>
          <w:b/>
          <w:bCs/>
          <w:sz w:val="21"/>
          <w:szCs w:val="21"/>
          <w:highlight w:val="none"/>
        </w:rPr>
        <w:t>未采用投标文件要求的报价形式报价的</w:t>
      </w:r>
      <w:r>
        <w:rPr>
          <w:rFonts w:hint="eastAsia" w:ascii="宋体" w:hAnsi="宋体" w:eastAsia="宋体" w:cs="宋体"/>
          <w:b/>
          <w:sz w:val="21"/>
          <w:szCs w:val="21"/>
          <w:highlight w:val="none"/>
        </w:rPr>
        <w:t>；</w:t>
      </w:r>
    </w:p>
    <w:p>
      <w:pPr>
        <w:pStyle w:val="2"/>
        <w:spacing w:line="360" w:lineRule="auto"/>
        <w:ind w:firstLine="406" w:firstLineChars="200"/>
        <w:jc w:val="both"/>
        <w:rPr>
          <w:rFonts w:hint="eastAsia" w:ascii="宋体" w:hAnsi="宋体" w:eastAsia="宋体" w:cs="宋体"/>
          <w:b/>
          <w:sz w:val="21"/>
          <w:szCs w:val="21"/>
          <w:highlight w:val="none"/>
        </w:rPr>
      </w:pPr>
      <w:r>
        <w:rPr>
          <w:rFonts w:hint="eastAsia" w:ascii="宋体" w:hAnsi="宋体" w:eastAsia="宋体" w:cs="宋体"/>
          <w:b/>
          <w:sz w:val="21"/>
          <w:szCs w:val="21"/>
          <w:highlight w:val="none"/>
        </w:rPr>
        <w:t>（3）投标报价具有选择性的；</w:t>
      </w:r>
    </w:p>
    <w:p>
      <w:pPr>
        <w:pStyle w:val="2"/>
        <w:spacing w:line="360" w:lineRule="auto"/>
        <w:ind w:firstLine="406" w:firstLineChars="200"/>
        <w:jc w:val="both"/>
        <w:rPr>
          <w:rFonts w:hint="eastAsia" w:ascii="宋体" w:hAnsi="宋体" w:eastAsia="宋体" w:cs="宋体"/>
          <w:b/>
          <w:sz w:val="21"/>
          <w:szCs w:val="21"/>
          <w:highlight w:val="none"/>
        </w:rPr>
      </w:pPr>
      <w:r>
        <w:rPr>
          <w:rFonts w:hint="eastAsia" w:ascii="宋体" w:hAnsi="宋体" w:eastAsia="宋体" w:cs="宋体"/>
          <w:b/>
          <w:sz w:val="21"/>
          <w:szCs w:val="21"/>
          <w:highlight w:val="none"/>
        </w:rPr>
        <w:t xml:space="preserve">（4）评委会一致认为报价明显不合理的；     </w:t>
      </w:r>
    </w:p>
    <w:p>
      <w:pPr>
        <w:pStyle w:val="2"/>
        <w:spacing w:line="360" w:lineRule="auto"/>
        <w:ind w:firstLine="406" w:firstLineChars="200"/>
        <w:jc w:val="both"/>
        <w:rPr>
          <w:rFonts w:hint="eastAsia" w:ascii="宋体" w:hAnsi="宋体" w:eastAsia="宋体" w:cs="宋体"/>
          <w:b/>
          <w:sz w:val="21"/>
          <w:szCs w:val="21"/>
          <w:highlight w:val="none"/>
        </w:rPr>
      </w:pPr>
      <w:r>
        <w:rPr>
          <w:rFonts w:hint="eastAsia" w:ascii="宋体" w:hAnsi="宋体" w:eastAsia="宋体" w:cs="宋体"/>
          <w:b/>
          <w:sz w:val="21"/>
          <w:szCs w:val="21"/>
          <w:highlight w:val="none"/>
        </w:rPr>
        <w:t>（5）评标委员会认为投标人的报价明显低于其他通过符合性审查投标人的报价，有可能影响服务质量或者不能诚信履约的，且不能在评标委员会规定的时间内提供相关证明材料说明其报价的合理性的；</w:t>
      </w:r>
    </w:p>
    <w:p>
      <w:pPr>
        <w:pStyle w:val="2"/>
        <w:spacing w:line="360" w:lineRule="auto"/>
        <w:ind w:firstLine="406" w:firstLineChars="200"/>
        <w:jc w:val="both"/>
        <w:rPr>
          <w:rFonts w:hint="eastAsia" w:ascii="宋体" w:hAnsi="宋体" w:eastAsia="宋体" w:cs="宋体"/>
          <w:b/>
          <w:sz w:val="21"/>
          <w:szCs w:val="21"/>
          <w:highlight w:val="none"/>
        </w:rPr>
      </w:pPr>
      <w:r>
        <w:rPr>
          <w:rFonts w:hint="eastAsia" w:ascii="宋体" w:hAnsi="宋体" w:eastAsia="宋体" w:cs="宋体"/>
          <w:b/>
          <w:sz w:val="21"/>
          <w:szCs w:val="21"/>
          <w:highlight w:val="none"/>
        </w:rPr>
        <w:t>（6）</w:t>
      </w:r>
      <w:r>
        <w:rPr>
          <w:rFonts w:hint="eastAsia" w:ascii="宋体" w:hAnsi="宋体" w:eastAsia="宋体" w:cs="宋体"/>
          <w:b/>
          <w:bCs/>
          <w:sz w:val="21"/>
          <w:szCs w:val="21"/>
          <w:highlight w:val="none"/>
        </w:rPr>
        <w:t>招标文件规定的其他无效情形。</w:t>
      </w:r>
    </w:p>
    <w:p>
      <w:pPr>
        <w:keepNext w:val="0"/>
        <w:keepLines w:val="0"/>
        <w:pageBreakBefore w:val="0"/>
        <w:widowControl w:val="0"/>
        <w:kinsoku/>
        <w:wordWrap/>
        <w:overflowPunct/>
        <w:topLinePunct w:val="0"/>
        <w:autoSpaceDE/>
        <w:autoSpaceDN/>
        <w:bidi w:val="0"/>
        <w:adjustRightInd/>
        <w:snapToGrid w:val="0"/>
        <w:spacing w:line="360" w:lineRule="auto"/>
        <w:ind w:firstLine="413" w:firstLineChars="196"/>
        <w:textAlignment w:val="auto"/>
        <w:rPr>
          <w:rFonts w:ascii="宋体"/>
          <w:b/>
          <w:color w:val="auto"/>
          <w:spacing w:val="-4"/>
          <w:szCs w:val="21"/>
          <w:highlight w:val="none"/>
        </w:rPr>
      </w:pPr>
      <w:r>
        <w:rPr>
          <w:rFonts w:hint="eastAsia" w:ascii="宋体" w:hAnsi="宋体" w:eastAsia="宋体" w:cs="宋体"/>
          <w:b/>
          <w:sz w:val="21"/>
          <w:szCs w:val="21"/>
          <w:highlight w:val="none"/>
        </w:rPr>
        <w:t>5</w:t>
      </w:r>
      <w:r>
        <w:rPr>
          <w:rFonts w:hint="eastAsia" w:ascii="宋体" w:hAnsi="宋体" w:cs="宋体"/>
          <w:b/>
          <w:sz w:val="21"/>
          <w:szCs w:val="21"/>
          <w:highlight w:val="none"/>
          <w:lang w:eastAsia="zh-CN"/>
        </w:rPr>
        <w:t>、</w:t>
      </w:r>
      <w:r>
        <w:rPr>
          <w:rFonts w:hint="eastAsia" w:ascii="宋体" w:hAnsi="宋体" w:eastAsia="宋体" w:cs="宋体"/>
          <w:b/>
          <w:sz w:val="21"/>
          <w:szCs w:val="21"/>
          <w:highlight w:val="none"/>
        </w:rPr>
        <w:t>被拒绝的投标文件为无效。</w:t>
      </w:r>
    </w:p>
    <w:p>
      <w:pPr>
        <w:keepNext w:val="0"/>
        <w:keepLines w:val="0"/>
        <w:pageBreakBefore w:val="0"/>
        <w:widowControl w:val="0"/>
        <w:tabs>
          <w:tab w:val="left" w:pos="720"/>
        </w:tabs>
        <w:kinsoku/>
        <w:wordWrap/>
        <w:overflowPunct/>
        <w:topLinePunct w:val="0"/>
        <w:autoSpaceDE/>
        <w:autoSpaceDN/>
        <w:bidi w:val="0"/>
        <w:adjustRightInd/>
        <w:snapToGrid w:val="0"/>
        <w:spacing w:line="360" w:lineRule="auto"/>
        <w:ind w:firstLine="413" w:firstLineChars="196"/>
        <w:jc w:val="left"/>
        <w:textAlignment w:val="auto"/>
        <w:rPr>
          <w:rFonts w:hint="eastAsia" w:ascii="宋体"/>
          <w:b/>
          <w:color w:val="auto"/>
          <w:kern w:val="0"/>
          <w:szCs w:val="21"/>
          <w:highlight w:val="none"/>
        </w:rPr>
      </w:pPr>
      <w:r>
        <w:rPr>
          <w:rFonts w:hint="eastAsia" w:ascii="宋体"/>
          <w:b/>
          <w:color w:val="auto"/>
          <w:kern w:val="0"/>
          <w:szCs w:val="21"/>
          <w:highlight w:val="none"/>
        </w:rPr>
        <w:t>四、开标</w:t>
      </w:r>
    </w:p>
    <w:p>
      <w:pPr>
        <w:keepNext w:val="0"/>
        <w:keepLines w:val="0"/>
        <w:pageBreakBefore w:val="0"/>
        <w:widowControl w:val="0"/>
        <w:kinsoku/>
        <w:wordWrap/>
        <w:overflowPunct/>
        <w:topLinePunct w:val="0"/>
        <w:autoSpaceDE/>
        <w:autoSpaceDN/>
        <w:bidi w:val="0"/>
        <w:adjustRightInd/>
        <w:snapToGrid w:val="0"/>
        <w:spacing w:line="360" w:lineRule="auto"/>
        <w:ind w:firstLine="413" w:firstLineChars="196"/>
        <w:textAlignment w:val="auto"/>
        <w:rPr>
          <w:rFonts w:ascii="宋体"/>
          <w:b/>
          <w:color w:val="auto"/>
          <w:szCs w:val="21"/>
          <w:highlight w:val="none"/>
        </w:rPr>
      </w:pPr>
      <w:r>
        <w:rPr>
          <w:rFonts w:ascii="宋体"/>
          <w:b/>
          <w:color w:val="auto"/>
          <w:szCs w:val="21"/>
          <w:highlight w:val="none"/>
        </w:rPr>
        <w:t>（一）开标准备</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bCs/>
          <w:color w:val="auto"/>
          <w:szCs w:val="21"/>
          <w:highlight w:val="none"/>
        </w:rPr>
      </w:pPr>
      <w:r>
        <w:rPr>
          <w:rFonts w:hint="eastAsia" w:ascii="宋体"/>
          <w:bCs/>
          <w:color w:val="auto"/>
          <w:szCs w:val="21"/>
          <w:highlight w:val="none"/>
          <w:lang w:eastAsia="zh-CN"/>
        </w:rPr>
        <w:t>投标人</w:t>
      </w:r>
      <w:r>
        <w:rPr>
          <w:rFonts w:hint="eastAsia" w:ascii="宋体"/>
          <w:bCs/>
          <w:color w:val="auto"/>
          <w:szCs w:val="21"/>
          <w:highlight w:val="none"/>
        </w:rPr>
        <w:t>应当在招标文件要求提交投标文件的截止时间前，将投标文件密封送达投标地点</w:t>
      </w:r>
      <w:r>
        <w:rPr>
          <w:rFonts w:hint="eastAsia" w:ascii="宋体"/>
          <w:bCs/>
          <w:color w:val="auto"/>
          <w:szCs w:val="21"/>
          <w:highlight w:val="none"/>
          <w:lang w:eastAsia="zh-CN"/>
        </w:rPr>
        <w:t>，</w:t>
      </w:r>
      <w:r>
        <w:rPr>
          <w:rFonts w:hint="eastAsia" w:ascii="宋体"/>
          <w:bCs/>
          <w:color w:val="auto"/>
          <w:szCs w:val="21"/>
          <w:highlight w:val="none"/>
          <w:lang w:val="en-US" w:eastAsia="zh-CN"/>
        </w:rPr>
        <w:t>送达人员甬行码须为绿码，送达后立即离开（答辩人员除外</w:t>
      </w:r>
      <w:r>
        <w:rPr>
          <w:rFonts w:hint="eastAsia" w:ascii="宋体"/>
          <w:bCs/>
          <w:color w:val="auto"/>
          <w:szCs w:val="21"/>
          <w:highlight w:val="none"/>
          <w:lang w:eastAsia="zh-CN"/>
        </w:rPr>
        <w:t>）</w:t>
      </w:r>
      <w:r>
        <w:rPr>
          <w:rFonts w:hint="eastAsia" w:ascii="宋体"/>
          <w:bCs/>
          <w:color w:val="auto"/>
          <w:szCs w:val="21"/>
          <w:highlight w:val="none"/>
        </w:rPr>
        <w:t>，采购代理机构将在规定的时间和地点进行开标。</w:t>
      </w:r>
      <w:r>
        <w:rPr>
          <w:rFonts w:hint="eastAsia" w:ascii="宋体"/>
          <w:bCs/>
          <w:color w:val="auto"/>
          <w:szCs w:val="21"/>
          <w:highlight w:val="none"/>
          <w:lang w:eastAsia="zh-CN"/>
        </w:rPr>
        <w:t>投标人</w:t>
      </w:r>
      <w:r>
        <w:rPr>
          <w:rFonts w:hint="eastAsia" w:ascii="宋体"/>
          <w:bCs/>
          <w:color w:val="auto"/>
          <w:szCs w:val="21"/>
          <w:highlight w:val="none"/>
        </w:rPr>
        <w:t>的法定代表人或其授权代表应确保手机畅通并及时关注加入的开标微信群</w:t>
      </w:r>
      <w:r>
        <w:rPr>
          <w:rFonts w:hint="eastAsia" w:ascii="宋体"/>
          <w:bCs/>
          <w:color w:val="auto"/>
          <w:szCs w:val="21"/>
          <w:highlight w:val="none"/>
          <w:lang w:eastAsia="zh-CN"/>
        </w:rPr>
        <w:t>（</w:t>
      </w:r>
      <w:r>
        <w:rPr>
          <w:rFonts w:hint="eastAsia" w:ascii="宋体"/>
          <w:bCs/>
          <w:color w:val="auto"/>
          <w:szCs w:val="21"/>
          <w:highlight w:val="none"/>
          <w:lang w:val="en-US" w:eastAsia="zh-CN"/>
        </w:rPr>
        <w:t>如有</w:t>
      </w:r>
      <w:r>
        <w:rPr>
          <w:rFonts w:hint="eastAsia" w:ascii="宋体"/>
          <w:bCs/>
          <w:color w:val="auto"/>
          <w:szCs w:val="21"/>
          <w:highlight w:val="none"/>
          <w:lang w:eastAsia="zh-CN"/>
        </w:rPr>
        <w:t>）</w:t>
      </w:r>
      <w:r>
        <w:rPr>
          <w:rFonts w:hint="eastAsia" w:ascii="宋体"/>
          <w:bCs/>
          <w:color w:val="auto"/>
          <w:szCs w:val="21"/>
          <w:highlight w:val="none"/>
        </w:rPr>
        <w:t>，采购代理机构收到投标文件后，应当记载投标文件送达时间，签收保存并向</w:t>
      </w:r>
      <w:r>
        <w:rPr>
          <w:rFonts w:hint="eastAsia" w:ascii="宋体"/>
          <w:bCs/>
          <w:color w:val="auto"/>
          <w:szCs w:val="21"/>
          <w:highlight w:val="none"/>
          <w:lang w:eastAsia="zh-CN"/>
        </w:rPr>
        <w:t>投标人</w:t>
      </w:r>
      <w:r>
        <w:rPr>
          <w:rFonts w:hint="eastAsia" w:ascii="宋体"/>
          <w:bCs/>
          <w:color w:val="auto"/>
          <w:szCs w:val="21"/>
          <w:highlight w:val="none"/>
        </w:rPr>
        <w:t>出具签收回执。</w:t>
      </w:r>
      <w:r>
        <w:rPr>
          <w:rFonts w:hint="eastAsia" w:ascii="宋体"/>
          <w:bCs/>
          <w:color w:val="auto"/>
          <w:szCs w:val="21"/>
          <w:highlight w:val="none"/>
          <w:lang w:eastAsia="zh-CN"/>
        </w:rPr>
        <w:t>投标人</w:t>
      </w:r>
      <w:r>
        <w:rPr>
          <w:rFonts w:hint="eastAsia" w:ascii="宋体"/>
          <w:bCs/>
          <w:color w:val="auto"/>
          <w:szCs w:val="21"/>
          <w:highlight w:val="none"/>
        </w:rPr>
        <w:t>的法定代表人或其授权代表未按时签到的，视同放弃开标监督权利、认可开标结果。</w:t>
      </w:r>
    </w:p>
    <w:p>
      <w:pPr>
        <w:keepNext w:val="0"/>
        <w:keepLines w:val="0"/>
        <w:pageBreakBefore w:val="0"/>
        <w:widowControl w:val="0"/>
        <w:kinsoku/>
        <w:wordWrap/>
        <w:overflowPunct/>
        <w:topLinePunct w:val="0"/>
        <w:autoSpaceDE/>
        <w:autoSpaceDN/>
        <w:bidi w:val="0"/>
        <w:adjustRightInd/>
        <w:snapToGrid w:val="0"/>
        <w:spacing w:line="360" w:lineRule="auto"/>
        <w:ind w:firstLine="413" w:firstLineChars="196"/>
        <w:textAlignment w:val="auto"/>
        <w:rPr>
          <w:rFonts w:ascii="宋体"/>
          <w:b/>
          <w:color w:val="auto"/>
          <w:szCs w:val="21"/>
          <w:highlight w:val="none"/>
        </w:rPr>
      </w:pPr>
      <w:r>
        <w:rPr>
          <w:rFonts w:ascii="宋体"/>
          <w:b/>
          <w:color w:val="auto"/>
          <w:szCs w:val="21"/>
          <w:highlight w:val="none"/>
        </w:rPr>
        <w:t>（二）开标程序</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olor w:val="auto"/>
          <w:szCs w:val="21"/>
          <w:highlight w:val="none"/>
        </w:rPr>
      </w:pPr>
      <w:r>
        <w:rPr>
          <w:rFonts w:ascii="宋体"/>
          <w:color w:val="auto"/>
          <w:szCs w:val="21"/>
          <w:highlight w:val="none"/>
        </w:rPr>
        <w:t>1</w:t>
      </w:r>
      <w:r>
        <w:rPr>
          <w:rFonts w:hint="eastAsia" w:ascii="宋体"/>
          <w:color w:val="auto"/>
          <w:szCs w:val="21"/>
          <w:highlight w:val="none"/>
          <w:lang w:eastAsia="zh-CN"/>
        </w:rPr>
        <w:t>、</w:t>
      </w:r>
      <w:r>
        <w:rPr>
          <w:rFonts w:ascii="宋体"/>
          <w:color w:val="auto"/>
          <w:szCs w:val="21"/>
          <w:highlight w:val="none"/>
        </w:rPr>
        <w:t>开标会由采购代理机构主持，主持人宣布开标会议开始；</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olor w:val="auto"/>
          <w:szCs w:val="21"/>
          <w:highlight w:val="none"/>
        </w:rPr>
      </w:pPr>
      <w:r>
        <w:rPr>
          <w:rFonts w:ascii="宋体"/>
          <w:color w:val="auto"/>
          <w:szCs w:val="21"/>
          <w:highlight w:val="none"/>
        </w:rPr>
        <w:t>2</w:t>
      </w:r>
      <w:r>
        <w:rPr>
          <w:rFonts w:hint="eastAsia" w:ascii="宋体"/>
          <w:color w:val="auto"/>
          <w:szCs w:val="21"/>
          <w:highlight w:val="none"/>
          <w:lang w:eastAsia="zh-CN"/>
        </w:rPr>
        <w:t>、</w:t>
      </w:r>
      <w:r>
        <w:rPr>
          <w:rFonts w:hint="eastAsia" w:ascii="宋体"/>
          <w:color w:val="auto"/>
          <w:szCs w:val="21"/>
          <w:highlight w:val="none"/>
        </w:rPr>
        <w:t>主持人</w:t>
      </w:r>
      <w:r>
        <w:rPr>
          <w:rFonts w:ascii="宋体"/>
          <w:color w:val="auto"/>
          <w:szCs w:val="21"/>
          <w:highlight w:val="none"/>
        </w:rPr>
        <w:t xml:space="preserve">介绍参加开标会的人员名单；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olor w:val="auto"/>
          <w:szCs w:val="21"/>
          <w:highlight w:val="none"/>
        </w:rPr>
      </w:pPr>
      <w:r>
        <w:rPr>
          <w:rFonts w:ascii="宋体"/>
          <w:color w:val="auto"/>
          <w:szCs w:val="21"/>
          <w:highlight w:val="none"/>
        </w:rPr>
        <w:t>3</w:t>
      </w:r>
      <w:r>
        <w:rPr>
          <w:rFonts w:hint="eastAsia" w:ascii="宋体"/>
          <w:color w:val="auto"/>
          <w:szCs w:val="21"/>
          <w:highlight w:val="none"/>
          <w:lang w:eastAsia="zh-CN"/>
        </w:rPr>
        <w:t>、</w:t>
      </w:r>
      <w:r>
        <w:rPr>
          <w:rFonts w:hint="eastAsia" w:ascii="宋体"/>
          <w:color w:val="auto"/>
          <w:szCs w:val="21"/>
          <w:highlight w:val="none"/>
        </w:rPr>
        <w:t>主持人</w:t>
      </w:r>
      <w:r>
        <w:rPr>
          <w:rFonts w:ascii="宋体"/>
          <w:color w:val="auto"/>
          <w:szCs w:val="21"/>
          <w:highlight w:val="none"/>
        </w:rPr>
        <w:t>宣布评标期间的有关事项；告知应当回避的情形,提请有关人员回避；</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olor w:val="auto"/>
          <w:szCs w:val="21"/>
          <w:highlight w:val="none"/>
        </w:rPr>
      </w:pPr>
      <w:r>
        <w:rPr>
          <w:rFonts w:ascii="宋体"/>
          <w:color w:val="auto"/>
          <w:szCs w:val="21"/>
          <w:highlight w:val="none"/>
        </w:rPr>
        <w:t>4</w:t>
      </w:r>
      <w:r>
        <w:rPr>
          <w:rFonts w:hint="eastAsia" w:ascii="宋体"/>
          <w:color w:val="auto"/>
          <w:szCs w:val="21"/>
          <w:highlight w:val="none"/>
          <w:lang w:eastAsia="zh-CN"/>
        </w:rPr>
        <w:t>、</w:t>
      </w:r>
      <w:r>
        <w:rPr>
          <w:rFonts w:hint="eastAsia" w:ascii="宋体"/>
          <w:color w:val="auto"/>
          <w:szCs w:val="21"/>
          <w:highlight w:val="none"/>
          <w:lang w:val="en-US" w:eastAsia="zh-CN"/>
        </w:rPr>
        <w:t>检查投标文件密封情况，经微信直播（如有），各投标人确认无误后，由采购代理机构工作人员同时开启各投标人资信商务文件、标段一技术文件、标段一报价文件，并清点份数。由唱标人公布投标人名称、投标内容、投标价格等以及采购代理机构认为合适的其他内容，并由记录人做开标记录，由投标人代表等在开标记录表上签字确认（不予确认的应说明理由，否则视为无异议）。唱标结束后，现场工作人员将资信商务文件、标段一技术文件、标段一报价文件护送至指定评审地点，由评审小组根据《招标文件》规定进行评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color w:val="auto"/>
          <w:szCs w:val="21"/>
          <w:highlight w:val="none"/>
          <w:lang w:val="en-US" w:eastAsia="zh-CN"/>
        </w:rPr>
      </w:pPr>
      <w:r>
        <w:rPr>
          <w:rFonts w:ascii="宋体"/>
          <w:color w:val="auto"/>
          <w:szCs w:val="21"/>
          <w:highlight w:val="none"/>
        </w:rPr>
        <w:t>5</w:t>
      </w:r>
      <w:r>
        <w:rPr>
          <w:rFonts w:hint="eastAsia" w:ascii="宋体"/>
          <w:color w:val="auto"/>
          <w:szCs w:val="21"/>
          <w:highlight w:val="none"/>
          <w:lang w:eastAsia="zh-CN"/>
        </w:rPr>
        <w:t>、</w:t>
      </w:r>
      <w:r>
        <w:rPr>
          <w:rFonts w:hint="eastAsia" w:ascii="宋体"/>
          <w:color w:val="auto"/>
          <w:szCs w:val="21"/>
          <w:highlight w:val="none"/>
          <w:lang w:val="en-US" w:eastAsia="zh-CN"/>
        </w:rPr>
        <w:t>标段一评审结束后，主持人公布标段一评审结果，拆封标段二的技术文件和报价文件进行评审。</w:t>
      </w:r>
      <w:r>
        <w:rPr>
          <w:rFonts w:hint="eastAsia" w:ascii="宋体" w:hAnsi="宋体"/>
          <w:bCs/>
          <w:kern w:val="0"/>
          <w:szCs w:val="21"/>
          <w:highlight w:val="none"/>
        </w:rPr>
        <w:t>后续标段开标及评审形式以此类推</w:t>
      </w:r>
      <w:r>
        <w:rPr>
          <w:rFonts w:hint="eastAsia" w:ascii="宋体"/>
          <w:color w:val="auto"/>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olor w:val="auto"/>
          <w:szCs w:val="21"/>
          <w:highlight w:val="none"/>
        </w:rPr>
      </w:pPr>
      <w:r>
        <w:rPr>
          <w:rFonts w:hint="eastAsia" w:ascii="宋体"/>
          <w:color w:val="auto"/>
          <w:szCs w:val="21"/>
          <w:highlight w:val="none"/>
          <w:lang w:val="en-US" w:eastAsia="zh-CN"/>
        </w:rPr>
        <w:t>6</w:t>
      </w:r>
      <w:r>
        <w:rPr>
          <w:rFonts w:hint="eastAsia" w:ascii="宋体"/>
          <w:color w:val="auto"/>
          <w:szCs w:val="21"/>
          <w:highlight w:val="none"/>
          <w:lang w:eastAsia="zh-CN"/>
        </w:rPr>
        <w:t>、</w:t>
      </w:r>
      <w:r>
        <w:rPr>
          <w:rFonts w:ascii="宋体"/>
          <w:color w:val="auto"/>
          <w:szCs w:val="21"/>
          <w:highlight w:val="none"/>
        </w:rPr>
        <w:t>开标会议结束。</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color w:val="auto"/>
          <w:highlight w:val="none"/>
        </w:rPr>
      </w:pPr>
      <w:r>
        <w:rPr>
          <w:rFonts w:hint="eastAsia"/>
          <w:b/>
          <w:bCs/>
          <w:color w:val="auto"/>
          <w:highlight w:val="none"/>
        </w:rPr>
        <w:t>注：</w:t>
      </w:r>
      <w:r>
        <w:rPr>
          <w:rFonts w:hint="eastAsia"/>
          <w:b/>
          <w:bCs/>
          <w:color w:val="auto"/>
          <w:highlight w:val="none"/>
          <w:lang w:eastAsia="zh-CN"/>
        </w:rPr>
        <w:t>投标人</w:t>
      </w:r>
      <w:r>
        <w:rPr>
          <w:rFonts w:hint="eastAsia"/>
          <w:b/>
          <w:bCs/>
          <w:color w:val="auto"/>
          <w:highlight w:val="none"/>
        </w:rPr>
        <w:t>代表对开标过程和开标记录有疑义，以及认为</w:t>
      </w:r>
      <w:r>
        <w:rPr>
          <w:rFonts w:hint="eastAsia"/>
          <w:b/>
          <w:bCs/>
          <w:color w:val="auto"/>
          <w:highlight w:val="none"/>
          <w:lang w:eastAsia="zh-CN"/>
        </w:rPr>
        <w:t>采购单位</w:t>
      </w:r>
      <w:r>
        <w:rPr>
          <w:rFonts w:hint="eastAsia"/>
          <w:b/>
          <w:bCs/>
          <w:color w:val="auto"/>
          <w:highlight w:val="none"/>
        </w:rPr>
        <w:t>、采购代理机构相关工作人员有需要回避的情形的，应</w:t>
      </w:r>
      <w:r>
        <w:rPr>
          <w:rFonts w:hint="eastAsia"/>
          <w:b/>
          <w:bCs/>
          <w:color w:val="auto"/>
          <w:highlight w:val="none"/>
          <w:lang w:val="en-US" w:eastAsia="zh-CN"/>
        </w:rPr>
        <w:t>及时</w:t>
      </w:r>
      <w:r>
        <w:rPr>
          <w:rFonts w:hint="eastAsia"/>
          <w:b/>
          <w:bCs/>
          <w:color w:val="auto"/>
          <w:highlight w:val="none"/>
        </w:rPr>
        <w:t>提出询问或者回避申请。</w:t>
      </w:r>
      <w:r>
        <w:rPr>
          <w:rFonts w:hint="eastAsia"/>
          <w:b/>
          <w:bCs/>
          <w:color w:val="auto"/>
          <w:highlight w:val="none"/>
          <w:lang w:eastAsia="zh-CN"/>
        </w:rPr>
        <w:t>采购单位</w:t>
      </w:r>
      <w:r>
        <w:rPr>
          <w:rFonts w:hint="eastAsia"/>
          <w:b/>
          <w:bCs/>
          <w:color w:val="auto"/>
          <w:highlight w:val="none"/>
        </w:rPr>
        <w:t>、采购代理机构对</w:t>
      </w:r>
      <w:r>
        <w:rPr>
          <w:rFonts w:hint="eastAsia"/>
          <w:b/>
          <w:bCs/>
          <w:color w:val="auto"/>
          <w:highlight w:val="none"/>
          <w:lang w:eastAsia="zh-CN"/>
        </w:rPr>
        <w:t>投标人</w:t>
      </w:r>
      <w:r>
        <w:rPr>
          <w:rFonts w:hint="eastAsia"/>
          <w:b/>
          <w:bCs/>
          <w:color w:val="auto"/>
          <w:highlight w:val="none"/>
        </w:rPr>
        <w:t>代表提出的询问或者回避申请应当及时处理</w:t>
      </w:r>
      <w:r>
        <w:rPr>
          <w:rFonts w:hint="eastAsia"/>
          <w:color w:val="auto"/>
          <w:highlight w:val="none"/>
        </w:rPr>
        <w:t>。</w:t>
      </w:r>
    </w:p>
    <w:p>
      <w:pPr>
        <w:keepNext w:val="0"/>
        <w:keepLines w:val="0"/>
        <w:pageBreakBefore w:val="0"/>
        <w:widowControl w:val="0"/>
        <w:tabs>
          <w:tab w:val="left" w:pos="720"/>
        </w:tabs>
        <w:kinsoku/>
        <w:wordWrap/>
        <w:overflowPunct/>
        <w:topLinePunct w:val="0"/>
        <w:autoSpaceDE/>
        <w:autoSpaceDN/>
        <w:bidi w:val="0"/>
        <w:adjustRightInd/>
        <w:snapToGrid w:val="0"/>
        <w:spacing w:line="360" w:lineRule="auto"/>
        <w:ind w:firstLine="413" w:firstLineChars="196"/>
        <w:jc w:val="left"/>
        <w:textAlignment w:val="auto"/>
        <w:rPr>
          <w:rFonts w:hint="eastAsia" w:ascii="宋体"/>
          <w:b/>
          <w:color w:val="auto"/>
          <w:kern w:val="0"/>
          <w:szCs w:val="21"/>
          <w:highlight w:val="none"/>
        </w:rPr>
      </w:pPr>
      <w:r>
        <w:rPr>
          <w:rFonts w:hint="eastAsia" w:ascii="宋体"/>
          <w:b/>
          <w:color w:val="auto"/>
          <w:kern w:val="0"/>
          <w:szCs w:val="21"/>
          <w:highlight w:val="none"/>
        </w:rPr>
        <w:t>五、评标</w:t>
      </w:r>
    </w:p>
    <w:p>
      <w:pPr>
        <w:keepNext w:val="0"/>
        <w:keepLines w:val="0"/>
        <w:pageBreakBefore w:val="0"/>
        <w:widowControl w:val="0"/>
        <w:kinsoku/>
        <w:wordWrap/>
        <w:overflowPunct/>
        <w:topLinePunct w:val="0"/>
        <w:autoSpaceDE/>
        <w:autoSpaceDN/>
        <w:bidi w:val="0"/>
        <w:adjustRightInd/>
        <w:snapToGrid w:val="0"/>
        <w:spacing w:line="360" w:lineRule="auto"/>
        <w:ind w:left="690" w:leftChars="228" w:hanging="211" w:hangingChars="100"/>
        <w:textAlignment w:val="auto"/>
        <w:rPr>
          <w:rFonts w:ascii="宋体"/>
          <w:b/>
          <w:color w:val="auto"/>
          <w:szCs w:val="21"/>
          <w:highlight w:val="none"/>
        </w:rPr>
      </w:pPr>
      <w:r>
        <w:rPr>
          <w:rFonts w:ascii="宋体"/>
          <w:b/>
          <w:color w:val="auto"/>
          <w:szCs w:val="21"/>
          <w:highlight w:val="none"/>
        </w:rPr>
        <w:t>（一）组建评标委员会</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olor w:val="auto"/>
          <w:szCs w:val="21"/>
          <w:highlight w:val="none"/>
        </w:rPr>
      </w:pPr>
      <w:r>
        <w:rPr>
          <w:rFonts w:ascii="宋体"/>
          <w:color w:val="auto"/>
          <w:szCs w:val="21"/>
          <w:highlight w:val="none"/>
        </w:rPr>
        <w:t>本项目评标委员会</w:t>
      </w:r>
      <w:r>
        <w:rPr>
          <w:rFonts w:hint="eastAsia" w:ascii="宋体"/>
          <w:color w:val="auto"/>
          <w:szCs w:val="21"/>
          <w:highlight w:val="none"/>
        </w:rPr>
        <w:t>按相关规定依法组建。</w:t>
      </w:r>
    </w:p>
    <w:p>
      <w:pPr>
        <w:keepNext w:val="0"/>
        <w:keepLines w:val="0"/>
        <w:pageBreakBefore w:val="0"/>
        <w:widowControl w:val="0"/>
        <w:kinsoku/>
        <w:wordWrap/>
        <w:overflowPunct/>
        <w:topLinePunct w:val="0"/>
        <w:autoSpaceDE/>
        <w:autoSpaceDN/>
        <w:bidi w:val="0"/>
        <w:adjustRightInd/>
        <w:snapToGrid w:val="0"/>
        <w:spacing w:line="360" w:lineRule="auto"/>
        <w:ind w:left="690" w:leftChars="228" w:hanging="211" w:hangingChars="100"/>
        <w:textAlignment w:val="auto"/>
        <w:rPr>
          <w:rFonts w:ascii="宋体"/>
          <w:b/>
          <w:color w:val="auto"/>
          <w:szCs w:val="21"/>
          <w:highlight w:val="none"/>
        </w:rPr>
      </w:pPr>
      <w:r>
        <w:rPr>
          <w:rFonts w:ascii="宋体"/>
          <w:b/>
          <w:color w:val="auto"/>
          <w:szCs w:val="21"/>
          <w:highlight w:val="none"/>
        </w:rPr>
        <w:t>（二）评标的方式</w:t>
      </w:r>
    </w:p>
    <w:p>
      <w:pPr>
        <w:keepNext w:val="0"/>
        <w:keepLines w:val="0"/>
        <w:pageBreakBefore w:val="0"/>
        <w:kinsoku/>
        <w:wordWrap/>
        <w:overflowPunct/>
        <w:topLinePunct w:val="0"/>
        <w:autoSpaceDE/>
        <w:autoSpaceDN/>
        <w:bidi w:val="0"/>
        <w:snapToGrid w:val="0"/>
        <w:spacing w:line="360" w:lineRule="auto"/>
        <w:ind w:left="689" w:leftChars="228" w:hanging="210" w:hangingChars="100"/>
        <w:textAlignment w:val="auto"/>
        <w:rPr>
          <w:rFonts w:ascii="宋体"/>
          <w:color w:val="auto"/>
          <w:szCs w:val="21"/>
          <w:highlight w:val="none"/>
        </w:rPr>
      </w:pPr>
      <w:r>
        <w:rPr>
          <w:rFonts w:ascii="宋体"/>
          <w:color w:val="auto"/>
          <w:szCs w:val="21"/>
          <w:highlight w:val="none"/>
        </w:rPr>
        <w:t>本项目采用不公开方式评标，评标的依据为招标文件和投标文件。</w:t>
      </w:r>
    </w:p>
    <w:p>
      <w:pPr>
        <w:keepNext w:val="0"/>
        <w:keepLines w:val="0"/>
        <w:pageBreakBefore w:val="0"/>
        <w:kinsoku/>
        <w:wordWrap/>
        <w:overflowPunct/>
        <w:topLinePunct w:val="0"/>
        <w:autoSpaceDE/>
        <w:autoSpaceDN/>
        <w:bidi w:val="0"/>
        <w:snapToGrid w:val="0"/>
        <w:spacing w:line="360" w:lineRule="auto"/>
        <w:ind w:left="690" w:leftChars="228" w:hanging="211" w:hangingChars="100"/>
        <w:textAlignment w:val="auto"/>
        <w:rPr>
          <w:rFonts w:ascii="宋体"/>
          <w:b/>
          <w:color w:val="auto"/>
          <w:szCs w:val="21"/>
          <w:highlight w:val="none"/>
        </w:rPr>
      </w:pPr>
      <w:r>
        <w:rPr>
          <w:rFonts w:ascii="宋体"/>
          <w:b/>
          <w:color w:val="auto"/>
          <w:szCs w:val="21"/>
          <w:highlight w:val="none"/>
        </w:rPr>
        <w:t>（三）</w:t>
      </w:r>
      <w:r>
        <w:rPr>
          <w:rFonts w:ascii="宋体"/>
          <w:b/>
          <w:bCs/>
          <w:color w:val="auto"/>
          <w:szCs w:val="21"/>
          <w:highlight w:val="none"/>
        </w:rPr>
        <w:t>评标程序</w:t>
      </w:r>
    </w:p>
    <w:p>
      <w:pPr>
        <w:spacing w:line="360" w:lineRule="auto"/>
        <w:ind w:firstLine="413" w:firstLineChars="196"/>
        <w:jc w:val="both"/>
        <w:rPr>
          <w:rFonts w:hint="eastAsia" w:ascii="宋体" w:hAnsi="宋体" w:eastAsia="宋体" w:cs="宋体"/>
          <w:b/>
          <w:bCs/>
          <w:szCs w:val="21"/>
          <w:highlight w:val="none"/>
        </w:rPr>
      </w:pPr>
      <w:r>
        <w:rPr>
          <w:rFonts w:hint="eastAsia" w:ascii="宋体" w:hAnsi="宋体" w:eastAsia="宋体" w:cs="宋体"/>
          <w:b/>
          <w:bCs/>
          <w:szCs w:val="21"/>
          <w:highlight w:val="none"/>
        </w:rPr>
        <w:t>1</w:t>
      </w:r>
      <w:r>
        <w:rPr>
          <w:rFonts w:hint="eastAsia" w:ascii="宋体" w:hAnsi="宋体" w:cs="宋体"/>
          <w:b/>
          <w:bCs/>
          <w:szCs w:val="21"/>
          <w:highlight w:val="none"/>
          <w:lang w:eastAsia="zh-CN"/>
        </w:rPr>
        <w:t>、</w:t>
      </w:r>
      <w:r>
        <w:rPr>
          <w:rFonts w:hint="eastAsia" w:ascii="宋体" w:hAnsi="宋体" w:eastAsia="宋体" w:cs="宋体"/>
          <w:b/>
          <w:bCs/>
          <w:szCs w:val="21"/>
          <w:highlight w:val="none"/>
        </w:rPr>
        <w:t>资格审查</w:t>
      </w:r>
    </w:p>
    <w:p>
      <w:pPr>
        <w:spacing w:line="360" w:lineRule="auto"/>
        <w:ind w:firstLine="420" w:firstLineChars="200"/>
        <w:jc w:val="both"/>
        <w:rPr>
          <w:rFonts w:hint="eastAsia" w:ascii="宋体" w:hAnsi="宋体" w:eastAsia="宋体" w:cs="宋体"/>
          <w:szCs w:val="21"/>
          <w:highlight w:val="none"/>
        </w:rPr>
      </w:pPr>
      <w:r>
        <w:rPr>
          <w:rFonts w:hint="eastAsia" w:ascii="宋体" w:hAnsi="宋体" w:eastAsia="宋体" w:cs="宋体"/>
          <w:szCs w:val="21"/>
          <w:highlight w:val="none"/>
        </w:rPr>
        <w:t>采购人代表或代理机构工作人员对投标人的资格进行审查。</w:t>
      </w:r>
    </w:p>
    <w:p>
      <w:pPr>
        <w:spacing w:line="360" w:lineRule="auto"/>
        <w:ind w:firstLine="422" w:firstLineChars="200"/>
        <w:jc w:val="both"/>
        <w:rPr>
          <w:rFonts w:hint="eastAsia" w:ascii="宋体" w:hAnsi="宋体" w:eastAsia="宋体" w:cs="宋体"/>
          <w:b/>
          <w:szCs w:val="21"/>
          <w:highlight w:val="none"/>
        </w:rPr>
      </w:pPr>
      <w:r>
        <w:rPr>
          <w:rFonts w:hint="eastAsia" w:ascii="宋体" w:hAnsi="宋体" w:eastAsia="宋体" w:cs="宋体"/>
          <w:b/>
          <w:szCs w:val="21"/>
          <w:highlight w:val="none"/>
        </w:rPr>
        <w:t>2</w:t>
      </w:r>
      <w:r>
        <w:rPr>
          <w:rFonts w:hint="eastAsia" w:ascii="宋体" w:hAnsi="宋体" w:cs="宋体"/>
          <w:b/>
          <w:szCs w:val="21"/>
          <w:highlight w:val="none"/>
          <w:lang w:eastAsia="zh-CN"/>
        </w:rPr>
        <w:t>、</w:t>
      </w:r>
      <w:r>
        <w:rPr>
          <w:rFonts w:hint="eastAsia" w:ascii="宋体" w:hAnsi="宋体" w:eastAsia="宋体" w:cs="宋体"/>
          <w:b/>
          <w:szCs w:val="21"/>
          <w:highlight w:val="none"/>
        </w:rPr>
        <w:t>符合性检查</w:t>
      </w:r>
    </w:p>
    <w:p>
      <w:pPr>
        <w:keepNext w:val="0"/>
        <w:keepLines w:val="0"/>
        <w:pageBreakBefore w:val="0"/>
        <w:kinsoku/>
        <w:wordWrap/>
        <w:overflowPunct/>
        <w:topLinePunct w:val="0"/>
        <w:autoSpaceDE/>
        <w:autoSpaceDN/>
        <w:bidi w:val="0"/>
        <w:snapToGrid w:val="0"/>
        <w:spacing w:line="360" w:lineRule="auto"/>
        <w:ind w:firstLine="411" w:firstLineChars="196"/>
        <w:textAlignment w:val="auto"/>
        <w:rPr>
          <w:rFonts w:hint="eastAsia" w:ascii="宋体" w:hAnsi="宋体" w:eastAsia="宋体" w:cs="宋体"/>
          <w:szCs w:val="21"/>
          <w:highlight w:val="none"/>
        </w:rPr>
      </w:pPr>
      <w:r>
        <w:rPr>
          <w:rFonts w:hint="eastAsia" w:ascii="宋体" w:hAnsi="宋体" w:eastAsia="宋体" w:cs="宋体"/>
          <w:szCs w:val="21"/>
          <w:highlight w:val="none"/>
        </w:rPr>
        <w:t>评审小组对通过资格审查的投标人的投标文件的完整性、合法性进行符合性检查。</w:t>
      </w:r>
    </w:p>
    <w:p>
      <w:pPr>
        <w:keepNext w:val="0"/>
        <w:keepLines w:val="0"/>
        <w:pageBreakBefore w:val="0"/>
        <w:kinsoku/>
        <w:wordWrap/>
        <w:overflowPunct/>
        <w:topLinePunct w:val="0"/>
        <w:autoSpaceDE/>
        <w:autoSpaceDN/>
        <w:bidi w:val="0"/>
        <w:snapToGrid w:val="0"/>
        <w:spacing w:line="360" w:lineRule="auto"/>
        <w:ind w:firstLine="413" w:firstLineChars="196"/>
        <w:textAlignment w:val="auto"/>
        <w:rPr>
          <w:rFonts w:hint="eastAsia" w:ascii="宋体"/>
          <w:b/>
          <w:bCs/>
          <w:color w:val="auto"/>
          <w:szCs w:val="21"/>
          <w:highlight w:val="none"/>
        </w:rPr>
      </w:pPr>
      <w:r>
        <w:rPr>
          <w:rFonts w:hint="eastAsia" w:ascii="宋体"/>
          <w:b/>
          <w:bCs/>
          <w:color w:val="auto"/>
          <w:szCs w:val="21"/>
          <w:highlight w:val="none"/>
          <w:lang w:val="en-US" w:eastAsia="zh-CN"/>
        </w:rPr>
        <w:t>3</w:t>
      </w:r>
      <w:r>
        <w:rPr>
          <w:rFonts w:hint="eastAsia" w:ascii="宋体"/>
          <w:b/>
          <w:bCs/>
          <w:color w:val="auto"/>
          <w:szCs w:val="21"/>
          <w:highlight w:val="none"/>
          <w:lang w:eastAsia="zh-CN"/>
        </w:rPr>
        <w:t>、</w:t>
      </w:r>
      <w:r>
        <w:rPr>
          <w:rFonts w:hint="eastAsia" w:ascii="宋体"/>
          <w:b/>
          <w:bCs/>
          <w:color w:val="auto"/>
          <w:szCs w:val="21"/>
          <w:highlight w:val="none"/>
        </w:rPr>
        <w:t>实质审查与比较</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color w:val="auto"/>
          <w:szCs w:val="21"/>
          <w:highlight w:val="none"/>
        </w:rPr>
      </w:pPr>
      <w:r>
        <w:rPr>
          <w:rFonts w:hint="eastAsia" w:ascii="宋体"/>
          <w:color w:val="auto"/>
          <w:szCs w:val="21"/>
          <w:highlight w:val="none"/>
        </w:rPr>
        <w:t>（1）评标委员会审查投标文件的实质性内容是否符合招标文件的实质性要求。</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color w:val="auto"/>
          <w:szCs w:val="21"/>
          <w:highlight w:val="none"/>
        </w:rPr>
      </w:pPr>
      <w:r>
        <w:rPr>
          <w:rFonts w:hint="eastAsia" w:ascii="宋体"/>
          <w:color w:val="auto"/>
          <w:szCs w:val="21"/>
          <w:highlight w:val="none"/>
        </w:rPr>
        <w:t>（2）评标委员会将根据</w:t>
      </w:r>
      <w:r>
        <w:rPr>
          <w:rFonts w:hint="eastAsia" w:ascii="宋体"/>
          <w:color w:val="auto"/>
          <w:szCs w:val="21"/>
          <w:highlight w:val="none"/>
          <w:lang w:eastAsia="zh-CN"/>
        </w:rPr>
        <w:t>投标人</w:t>
      </w:r>
      <w:r>
        <w:rPr>
          <w:rFonts w:hint="eastAsia" w:ascii="宋体"/>
          <w:color w:val="auto"/>
          <w:szCs w:val="21"/>
          <w:highlight w:val="none"/>
        </w:rPr>
        <w:t>的投标文件进行审查、核对,如有疑问,将对</w:t>
      </w:r>
      <w:r>
        <w:rPr>
          <w:rFonts w:hint="eastAsia" w:ascii="宋体"/>
          <w:color w:val="auto"/>
          <w:szCs w:val="21"/>
          <w:highlight w:val="none"/>
          <w:lang w:eastAsia="zh-CN"/>
        </w:rPr>
        <w:t>投标人</w:t>
      </w:r>
      <w:r>
        <w:rPr>
          <w:rFonts w:hint="eastAsia" w:ascii="宋体"/>
          <w:color w:val="auto"/>
          <w:szCs w:val="21"/>
          <w:highlight w:val="none"/>
        </w:rPr>
        <w:t>进行询标,</w:t>
      </w:r>
      <w:r>
        <w:rPr>
          <w:rFonts w:hint="eastAsia" w:ascii="宋体"/>
          <w:color w:val="auto"/>
          <w:szCs w:val="21"/>
          <w:highlight w:val="none"/>
          <w:lang w:eastAsia="zh-CN"/>
        </w:rPr>
        <w:t>投标人</w:t>
      </w:r>
      <w:r>
        <w:rPr>
          <w:rFonts w:hint="eastAsia" w:ascii="宋体"/>
          <w:color w:val="auto"/>
          <w:szCs w:val="21"/>
          <w:highlight w:val="none"/>
        </w:rPr>
        <w:t>要向评标委员会澄清有关问题,并最终以书面形式进行答复。</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color w:val="auto"/>
          <w:szCs w:val="21"/>
          <w:highlight w:val="none"/>
        </w:rPr>
      </w:pPr>
      <w:r>
        <w:rPr>
          <w:rFonts w:hint="eastAsia" w:ascii="宋体"/>
          <w:color w:val="auto"/>
          <w:szCs w:val="21"/>
          <w:highlight w:val="none"/>
          <w:lang w:eastAsia="zh-CN"/>
        </w:rPr>
        <w:t>投标人</w:t>
      </w:r>
      <w:r>
        <w:rPr>
          <w:rFonts w:hint="eastAsia" w:ascii="宋体"/>
          <w:color w:val="auto"/>
          <w:szCs w:val="21"/>
          <w:highlight w:val="none"/>
        </w:rPr>
        <w:t>代表未到场或者拒绝澄清或者澄清的内容改变了投标文件的实质性内容的，评标委员会有权对该投标文件作出不利于</w:t>
      </w:r>
      <w:r>
        <w:rPr>
          <w:rFonts w:hint="eastAsia" w:ascii="宋体"/>
          <w:color w:val="auto"/>
          <w:szCs w:val="21"/>
          <w:highlight w:val="none"/>
          <w:lang w:eastAsia="zh-CN"/>
        </w:rPr>
        <w:t>投标人</w:t>
      </w:r>
      <w:r>
        <w:rPr>
          <w:rFonts w:hint="eastAsia" w:ascii="宋体"/>
          <w:color w:val="auto"/>
          <w:szCs w:val="21"/>
          <w:highlight w:val="none"/>
        </w:rPr>
        <w:t>的评判。</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color w:val="auto"/>
          <w:szCs w:val="21"/>
          <w:highlight w:val="none"/>
        </w:rPr>
      </w:pPr>
      <w:r>
        <w:rPr>
          <w:rFonts w:hint="eastAsia" w:ascii="宋体"/>
          <w:color w:val="auto"/>
          <w:szCs w:val="21"/>
          <w:highlight w:val="none"/>
        </w:rPr>
        <w:t>（3）各</w:t>
      </w:r>
      <w:r>
        <w:rPr>
          <w:rFonts w:hint="eastAsia" w:ascii="宋体"/>
          <w:color w:val="auto"/>
          <w:szCs w:val="21"/>
          <w:highlight w:val="none"/>
          <w:lang w:eastAsia="zh-CN"/>
        </w:rPr>
        <w:t>投标人</w:t>
      </w:r>
      <w:r>
        <w:rPr>
          <w:rFonts w:hint="eastAsia" w:ascii="宋体"/>
          <w:color w:val="auto"/>
          <w:szCs w:val="21"/>
          <w:highlight w:val="none"/>
        </w:rPr>
        <w:t>的</w:t>
      </w:r>
      <w:r>
        <w:rPr>
          <w:rFonts w:hint="eastAsia" w:ascii="宋体"/>
          <w:color w:val="auto"/>
          <w:szCs w:val="21"/>
          <w:highlight w:val="none"/>
          <w:lang w:val="en-US" w:eastAsia="zh-CN"/>
        </w:rPr>
        <w:t>技术</w:t>
      </w:r>
      <w:r>
        <w:rPr>
          <w:rFonts w:hint="eastAsia" w:ascii="宋体"/>
          <w:color w:val="auto"/>
          <w:szCs w:val="21"/>
          <w:highlight w:val="none"/>
        </w:rPr>
        <w:t>得分为所有评委的有效评分的算术平均数，由指定专人进行计算复核。</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color w:val="auto"/>
          <w:szCs w:val="21"/>
          <w:highlight w:val="none"/>
        </w:rPr>
      </w:pPr>
      <w:r>
        <w:rPr>
          <w:rFonts w:hint="eastAsia" w:ascii="宋体"/>
          <w:color w:val="auto"/>
          <w:szCs w:val="21"/>
          <w:highlight w:val="none"/>
        </w:rPr>
        <w:t>（4）代理机构工作人员协助评标委员会根据本项目的评分标准计算各</w:t>
      </w:r>
      <w:r>
        <w:rPr>
          <w:rFonts w:hint="eastAsia" w:ascii="宋体"/>
          <w:color w:val="auto"/>
          <w:szCs w:val="21"/>
          <w:highlight w:val="none"/>
          <w:lang w:eastAsia="zh-CN"/>
        </w:rPr>
        <w:t>投标人</w:t>
      </w:r>
      <w:r>
        <w:rPr>
          <w:rFonts w:hint="eastAsia" w:ascii="宋体"/>
          <w:color w:val="auto"/>
          <w:szCs w:val="21"/>
          <w:highlight w:val="none"/>
        </w:rPr>
        <w:t>的报价得分。</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color w:val="auto"/>
          <w:szCs w:val="21"/>
          <w:highlight w:val="none"/>
        </w:rPr>
      </w:pPr>
      <w:r>
        <w:rPr>
          <w:rFonts w:hint="eastAsia" w:ascii="宋体"/>
          <w:color w:val="auto"/>
          <w:szCs w:val="21"/>
          <w:highlight w:val="none"/>
        </w:rPr>
        <w:t>（5）评标委员会完成评标后,评委对各部分得分汇总，计算出本项目最终得分。评标委员会按评标原则推荐中标候选人同时起草评标报告。</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hint="eastAsia" w:ascii="宋体"/>
          <w:b/>
          <w:color w:val="auto"/>
          <w:szCs w:val="21"/>
          <w:highlight w:val="none"/>
        </w:rPr>
      </w:pPr>
      <w:r>
        <w:rPr>
          <w:rFonts w:hint="eastAsia" w:ascii="宋体"/>
          <w:b/>
          <w:color w:val="auto"/>
          <w:szCs w:val="21"/>
          <w:highlight w:val="none"/>
        </w:rPr>
        <w:t>（四）澄清问题的形式</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color w:val="auto"/>
          <w:szCs w:val="21"/>
          <w:highlight w:val="none"/>
        </w:rPr>
      </w:pPr>
      <w:r>
        <w:rPr>
          <w:rFonts w:hint="eastAsia" w:ascii="宋体"/>
          <w:color w:val="auto"/>
          <w:szCs w:val="21"/>
          <w:highlight w:val="none"/>
        </w:rPr>
        <w:t>对投标文件中含义不明确、同类问题表述不一致或者有明显文字和计算错误的内容，评标委员会可要求</w:t>
      </w:r>
      <w:r>
        <w:rPr>
          <w:rFonts w:hint="eastAsia" w:ascii="宋体"/>
          <w:color w:val="auto"/>
          <w:szCs w:val="21"/>
          <w:highlight w:val="none"/>
          <w:lang w:eastAsia="zh-CN"/>
        </w:rPr>
        <w:t>投标人</w:t>
      </w:r>
      <w:r>
        <w:rPr>
          <w:rFonts w:hint="eastAsia" w:ascii="宋体"/>
          <w:color w:val="auto"/>
          <w:szCs w:val="21"/>
          <w:highlight w:val="none"/>
        </w:rPr>
        <w:t>作出必要的澄清、说明或者纠正。</w:t>
      </w:r>
      <w:r>
        <w:rPr>
          <w:rFonts w:hint="eastAsia" w:ascii="宋体"/>
          <w:color w:val="auto"/>
          <w:szCs w:val="21"/>
          <w:highlight w:val="none"/>
          <w:lang w:eastAsia="zh-CN"/>
        </w:rPr>
        <w:t>投标人</w:t>
      </w:r>
      <w:r>
        <w:rPr>
          <w:rFonts w:hint="eastAsia" w:ascii="宋体"/>
          <w:color w:val="auto"/>
          <w:szCs w:val="21"/>
          <w:highlight w:val="none"/>
        </w:rPr>
        <w:t>的澄清、说明或者补正应当采用书面形式，由其授权代表签字或盖章确认，并不得超出投标文件的范围或者改变投标文件的实质性内容。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hint="eastAsia" w:ascii="宋体"/>
          <w:b/>
          <w:color w:val="auto"/>
          <w:szCs w:val="21"/>
          <w:highlight w:val="none"/>
        </w:rPr>
      </w:pPr>
      <w:r>
        <w:rPr>
          <w:rFonts w:hint="eastAsia" w:ascii="宋体"/>
          <w:b/>
          <w:color w:val="auto"/>
          <w:szCs w:val="21"/>
          <w:highlight w:val="none"/>
        </w:rPr>
        <w:t>（五） 错误修正</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color w:val="auto"/>
          <w:szCs w:val="21"/>
          <w:highlight w:val="none"/>
        </w:rPr>
      </w:pPr>
      <w:r>
        <w:rPr>
          <w:rFonts w:hint="eastAsia" w:ascii="宋体"/>
          <w:color w:val="auto"/>
          <w:szCs w:val="21"/>
          <w:highlight w:val="none"/>
        </w:rPr>
        <w:t>投标文件如果出现计算或表达上的错误，修正错误的原则如下：</w:t>
      </w:r>
    </w:p>
    <w:p>
      <w:pPr>
        <w:pStyle w:val="11"/>
        <w:spacing w:before="0" w:beforeLines="0" w:after="0" w:afterLines="0" w:line="360" w:lineRule="auto"/>
        <w:ind w:firstLine="422"/>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1、投标文件中开标一览表（报价表）内容与投标文件中相应内容不一致的，以开标一览表（报价表）为准；</w:t>
      </w:r>
    </w:p>
    <w:p>
      <w:pPr>
        <w:pStyle w:val="11"/>
        <w:spacing w:before="0" w:beforeLines="0" w:after="0" w:afterLines="0" w:line="360" w:lineRule="auto"/>
        <w:ind w:firstLine="422"/>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2、大写金额和小写金额不一致的，以大写金额为准；</w:t>
      </w:r>
    </w:p>
    <w:p>
      <w:pPr>
        <w:pStyle w:val="11"/>
        <w:spacing w:before="0" w:beforeLines="0" w:after="0" w:afterLines="0" w:line="360" w:lineRule="auto"/>
        <w:ind w:firstLine="422"/>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3、单价金额小数点或者百分比有明显错位的，以开标一览表的总价为准，并修改单价；</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color w:val="auto"/>
          <w:szCs w:val="21"/>
          <w:highlight w:val="none"/>
        </w:rPr>
      </w:pPr>
      <w:r>
        <w:rPr>
          <w:rFonts w:hint="eastAsia" w:ascii="宋体" w:hAnsi="宋体" w:eastAsia="宋体" w:cs="宋体"/>
          <w:sz w:val="21"/>
          <w:szCs w:val="21"/>
          <w:highlight w:val="none"/>
        </w:rPr>
        <w:t>4、总价金额与按单价汇总金额不一致的，以单价金额计算结果为准。</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color w:val="auto"/>
          <w:szCs w:val="21"/>
          <w:highlight w:val="none"/>
        </w:rPr>
      </w:pPr>
      <w:r>
        <w:rPr>
          <w:rFonts w:hint="eastAsia" w:ascii="宋体"/>
          <w:color w:val="auto"/>
          <w:szCs w:val="21"/>
          <w:highlight w:val="none"/>
          <w:lang w:val="en-US" w:eastAsia="zh-CN"/>
        </w:rPr>
        <w:t>5</w:t>
      </w:r>
      <w:r>
        <w:rPr>
          <w:rFonts w:hint="eastAsia" w:ascii="宋体"/>
          <w:color w:val="auto"/>
          <w:szCs w:val="21"/>
          <w:highlight w:val="none"/>
        </w:rPr>
        <w:t>、对不同文字文本投标文件的解释发生异议的，以中文文本为准。</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color w:val="auto"/>
          <w:szCs w:val="21"/>
          <w:highlight w:val="none"/>
        </w:rPr>
      </w:pPr>
      <w:r>
        <w:rPr>
          <w:rFonts w:hint="eastAsia" w:ascii="宋体"/>
          <w:color w:val="auto"/>
          <w:szCs w:val="21"/>
          <w:highlight w:val="none"/>
          <w:lang w:val="en-US" w:eastAsia="zh-CN"/>
        </w:rPr>
        <w:t>6</w:t>
      </w:r>
      <w:r>
        <w:rPr>
          <w:rFonts w:hint="eastAsia" w:ascii="宋体"/>
          <w:color w:val="auto"/>
          <w:szCs w:val="21"/>
          <w:highlight w:val="none"/>
        </w:rPr>
        <w:t>、正本与副本不一致的，以正本为准。</w:t>
      </w:r>
    </w:p>
    <w:p>
      <w:pPr>
        <w:pStyle w:val="11"/>
        <w:spacing w:before="0" w:beforeLines="0" w:after="0" w:afterLines="0" w:line="360" w:lineRule="auto"/>
        <w:ind w:firstLine="422" w:firstLineChars="200"/>
        <w:jc w:val="both"/>
        <w:rPr>
          <w:rFonts w:hint="eastAsia" w:ascii="宋体" w:hAnsi="宋体" w:eastAsia="宋体" w:cs="宋体"/>
          <w:b/>
          <w:sz w:val="21"/>
          <w:szCs w:val="21"/>
          <w:highlight w:val="none"/>
        </w:rPr>
      </w:pPr>
      <w:r>
        <w:rPr>
          <w:rFonts w:hint="eastAsia" w:ascii="宋体" w:hAnsi="宋体" w:eastAsia="宋体" w:cs="宋体"/>
          <w:b/>
          <w:sz w:val="21"/>
          <w:szCs w:val="21"/>
          <w:highlight w:val="none"/>
        </w:rPr>
        <w:t>同时出现两种以上不一致的，按照前款规定的顺序修正。修正后的报价经投标人确认后产生约束力，投标人不确认的，其投标无效。</w:t>
      </w:r>
    </w:p>
    <w:p>
      <w:pPr>
        <w:keepNext w:val="0"/>
        <w:keepLines w:val="0"/>
        <w:pageBreakBefore w:val="0"/>
        <w:tabs>
          <w:tab w:val="left" w:pos="630"/>
        </w:tabs>
        <w:kinsoku/>
        <w:wordWrap/>
        <w:overflowPunct/>
        <w:topLinePunct w:val="0"/>
        <w:autoSpaceDE/>
        <w:autoSpaceDN/>
        <w:bidi w:val="0"/>
        <w:snapToGrid w:val="0"/>
        <w:spacing w:line="360" w:lineRule="auto"/>
        <w:ind w:firstLine="413" w:firstLineChars="196"/>
        <w:textAlignment w:val="auto"/>
        <w:rPr>
          <w:rFonts w:ascii="宋体"/>
          <w:b/>
          <w:color w:val="auto"/>
          <w:szCs w:val="21"/>
          <w:highlight w:val="none"/>
        </w:rPr>
      </w:pPr>
      <w:r>
        <w:rPr>
          <w:rFonts w:ascii="宋体"/>
          <w:b/>
          <w:color w:val="auto"/>
          <w:szCs w:val="21"/>
          <w:highlight w:val="none"/>
        </w:rPr>
        <w:t>（</w:t>
      </w:r>
      <w:r>
        <w:rPr>
          <w:rFonts w:hint="eastAsia" w:ascii="宋体"/>
          <w:b/>
          <w:color w:val="auto"/>
          <w:szCs w:val="21"/>
          <w:highlight w:val="none"/>
        </w:rPr>
        <w:t>六</w:t>
      </w:r>
      <w:r>
        <w:rPr>
          <w:rFonts w:ascii="宋体"/>
          <w:b/>
          <w:color w:val="auto"/>
          <w:szCs w:val="21"/>
          <w:highlight w:val="none"/>
        </w:rPr>
        <w:t>）评标原则和评标办法</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宋体"/>
          <w:color w:val="auto"/>
          <w:szCs w:val="21"/>
          <w:highlight w:val="none"/>
        </w:rPr>
      </w:pPr>
      <w:r>
        <w:rPr>
          <w:rFonts w:ascii="宋体"/>
          <w:color w:val="auto"/>
          <w:szCs w:val="21"/>
          <w:highlight w:val="none"/>
        </w:rPr>
        <w:t>1</w:t>
      </w:r>
      <w:r>
        <w:rPr>
          <w:rFonts w:hint="eastAsia" w:ascii="宋体"/>
          <w:color w:val="auto"/>
          <w:szCs w:val="21"/>
          <w:highlight w:val="none"/>
          <w:lang w:eastAsia="zh-CN"/>
        </w:rPr>
        <w:t>、</w:t>
      </w:r>
      <w:r>
        <w:rPr>
          <w:rFonts w:ascii="宋体"/>
          <w:color w:val="auto"/>
          <w:szCs w:val="21"/>
          <w:highlight w:val="none"/>
        </w:rPr>
        <w:t>评标原则。评标委员会必须公平、公正、客观，不带任何倾向性和启发性；不得向外界透露任何与评标有关的内容；任何单位和个人不得干扰、影响评标的正常进行；评标委员会及有关工作人员不得私下与</w:t>
      </w:r>
      <w:r>
        <w:rPr>
          <w:rFonts w:hint="eastAsia" w:ascii="宋体"/>
          <w:color w:val="auto"/>
          <w:szCs w:val="21"/>
          <w:highlight w:val="none"/>
          <w:lang w:eastAsia="zh-CN"/>
        </w:rPr>
        <w:t>投标人</w:t>
      </w:r>
      <w:r>
        <w:rPr>
          <w:rFonts w:ascii="宋体"/>
          <w:color w:val="auto"/>
          <w:szCs w:val="21"/>
          <w:highlight w:val="none"/>
        </w:rPr>
        <w:t>接触。</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宋体"/>
          <w:color w:val="auto"/>
          <w:szCs w:val="21"/>
          <w:highlight w:val="none"/>
        </w:rPr>
      </w:pPr>
      <w:r>
        <w:rPr>
          <w:rFonts w:ascii="宋体"/>
          <w:color w:val="auto"/>
          <w:szCs w:val="21"/>
          <w:highlight w:val="none"/>
        </w:rPr>
        <w:t>2</w:t>
      </w:r>
      <w:r>
        <w:rPr>
          <w:rFonts w:hint="eastAsia" w:ascii="宋体"/>
          <w:color w:val="auto"/>
          <w:szCs w:val="21"/>
          <w:highlight w:val="none"/>
          <w:lang w:eastAsia="zh-CN"/>
        </w:rPr>
        <w:t>、</w:t>
      </w:r>
      <w:r>
        <w:rPr>
          <w:rFonts w:ascii="宋体"/>
          <w:color w:val="auto"/>
          <w:szCs w:val="21"/>
          <w:highlight w:val="none"/>
        </w:rPr>
        <w:t>评标办法。本项目评标办法是</w:t>
      </w:r>
      <w:r>
        <w:rPr>
          <w:rFonts w:hint="eastAsia" w:ascii="宋体"/>
          <w:b/>
          <w:color w:val="auto"/>
          <w:szCs w:val="21"/>
          <w:highlight w:val="none"/>
        </w:rPr>
        <w:t>综合评分法</w:t>
      </w:r>
      <w:r>
        <w:rPr>
          <w:rFonts w:ascii="宋体"/>
          <w:color w:val="auto"/>
          <w:szCs w:val="21"/>
          <w:highlight w:val="none"/>
        </w:rPr>
        <w:t>，具体评标内容及评分标准等详见《第四章：评标办法及评分标准》。</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b/>
          <w:bCs/>
          <w:color w:val="auto"/>
          <w:szCs w:val="21"/>
          <w:highlight w:val="none"/>
        </w:rPr>
      </w:pPr>
      <w:r>
        <w:rPr>
          <w:rFonts w:hint="eastAsia" w:ascii="宋体"/>
          <w:b/>
          <w:color w:val="auto"/>
          <w:szCs w:val="21"/>
          <w:highlight w:val="none"/>
        </w:rPr>
        <w:t>六、定标</w:t>
      </w:r>
    </w:p>
    <w:p>
      <w:pPr>
        <w:spacing w:line="360" w:lineRule="auto"/>
        <w:ind w:firstLine="420" w:firstLineChars="200"/>
        <w:jc w:val="both"/>
        <w:rPr>
          <w:rFonts w:hint="eastAsia" w:ascii="宋体" w:hAnsi="宋体" w:eastAsia="宋体" w:cs="宋体"/>
          <w:bCs/>
          <w:szCs w:val="21"/>
          <w:highlight w:val="none"/>
        </w:rPr>
      </w:pPr>
      <w:r>
        <w:rPr>
          <w:rFonts w:hint="eastAsia" w:ascii="宋体" w:hAnsi="宋体" w:eastAsia="宋体" w:cs="宋体"/>
          <w:bCs/>
          <w:szCs w:val="21"/>
          <w:highlight w:val="none"/>
        </w:rPr>
        <w:t>1</w:t>
      </w:r>
      <w:r>
        <w:rPr>
          <w:rFonts w:hint="eastAsia" w:ascii="宋体" w:hAnsi="宋体" w:cs="宋体"/>
          <w:bCs/>
          <w:szCs w:val="21"/>
          <w:highlight w:val="none"/>
          <w:lang w:eastAsia="zh-CN"/>
        </w:rPr>
        <w:t>、</w:t>
      </w:r>
      <w:r>
        <w:rPr>
          <w:rFonts w:hint="eastAsia" w:ascii="宋体" w:hAnsi="宋体" w:eastAsia="宋体" w:cs="宋体"/>
          <w:bCs/>
          <w:szCs w:val="21"/>
          <w:highlight w:val="none"/>
        </w:rPr>
        <w:t>确定中标人。本项目由评审小组推荐中标候选人，采购人不得在评审小组推荐的中标候选人以外确定中标候选人。</w:t>
      </w:r>
    </w:p>
    <w:p>
      <w:pPr>
        <w:spacing w:line="360" w:lineRule="auto"/>
        <w:ind w:firstLine="420" w:firstLineChars="200"/>
        <w:jc w:val="both"/>
        <w:rPr>
          <w:rFonts w:hint="eastAsia" w:ascii="宋体" w:hAnsi="宋体" w:eastAsia="宋体" w:cs="宋体"/>
          <w:bCs/>
          <w:szCs w:val="21"/>
          <w:highlight w:val="none"/>
        </w:rPr>
      </w:pPr>
      <w:r>
        <w:rPr>
          <w:rFonts w:hint="eastAsia" w:ascii="宋体" w:hAnsi="宋体" w:eastAsia="宋体" w:cs="宋体"/>
          <w:bCs/>
          <w:szCs w:val="21"/>
          <w:highlight w:val="none"/>
        </w:rPr>
        <w:t>2</w:t>
      </w:r>
      <w:r>
        <w:rPr>
          <w:rFonts w:hint="eastAsia" w:ascii="宋体" w:hAnsi="宋体" w:cs="宋体"/>
          <w:bCs/>
          <w:szCs w:val="21"/>
          <w:highlight w:val="none"/>
          <w:lang w:eastAsia="zh-CN"/>
        </w:rPr>
        <w:t>、</w:t>
      </w:r>
      <w:r>
        <w:rPr>
          <w:rFonts w:hint="eastAsia" w:ascii="宋体" w:hAnsi="宋体" w:eastAsia="宋体" w:cs="宋体"/>
          <w:bCs/>
          <w:szCs w:val="21"/>
          <w:highlight w:val="none"/>
        </w:rPr>
        <w:t>代理机构在评标结束后2个工作日内将评标报告交采购人确认，采购人在收到评标报告之日起5个工作日内在评标报告确定的中标候选人中按顺序确定中标人，采购人在收到评标报告之日起5个工作日内未按评标报告推荐的中标候选人排序确定中标人，又不能说明合法理由的，视同按评标报告推荐的顺序确定排名第一的第一中标候选人为中标人。</w:t>
      </w:r>
    </w:p>
    <w:p>
      <w:pPr>
        <w:spacing w:line="360" w:lineRule="auto"/>
        <w:ind w:firstLine="420" w:firstLineChars="200"/>
        <w:jc w:val="both"/>
        <w:rPr>
          <w:rFonts w:hint="eastAsia" w:ascii="宋体" w:hAnsi="宋体" w:eastAsia="宋体" w:cs="宋体"/>
          <w:bCs/>
          <w:szCs w:val="21"/>
          <w:highlight w:val="none"/>
        </w:rPr>
      </w:pPr>
      <w:r>
        <w:rPr>
          <w:rFonts w:hint="eastAsia" w:ascii="宋体" w:hAnsi="宋体" w:eastAsia="宋体" w:cs="宋体"/>
          <w:bCs/>
          <w:szCs w:val="21"/>
          <w:highlight w:val="none"/>
        </w:rPr>
        <w:t>3</w:t>
      </w:r>
      <w:r>
        <w:rPr>
          <w:rFonts w:hint="eastAsia" w:ascii="宋体" w:hAnsi="宋体" w:cs="宋体"/>
          <w:bCs/>
          <w:szCs w:val="21"/>
          <w:highlight w:val="none"/>
          <w:lang w:eastAsia="zh-CN"/>
        </w:rPr>
        <w:t>、</w:t>
      </w:r>
      <w:r>
        <w:rPr>
          <w:rFonts w:hint="eastAsia" w:ascii="宋体" w:hAnsi="宋体" w:eastAsia="宋体" w:cs="宋体"/>
          <w:bCs/>
          <w:szCs w:val="21"/>
          <w:highlight w:val="none"/>
        </w:rPr>
        <w:t>代理机构自中标人确定之日起2个工作日内，在发布招标公告的网站上对中标结果进行公示，中标结果公告期限为1个工作日。</w:t>
      </w:r>
    </w:p>
    <w:p>
      <w:pPr>
        <w:spacing w:line="360" w:lineRule="auto"/>
        <w:ind w:firstLine="420" w:firstLineChars="200"/>
        <w:jc w:val="both"/>
        <w:rPr>
          <w:rFonts w:hint="eastAsia" w:ascii="宋体" w:hAnsi="宋体" w:eastAsia="宋体" w:cs="宋体"/>
          <w:bCs/>
          <w:szCs w:val="21"/>
          <w:highlight w:val="none"/>
        </w:rPr>
      </w:pPr>
      <w:r>
        <w:rPr>
          <w:rFonts w:hint="eastAsia" w:ascii="宋体" w:hAnsi="宋体" w:eastAsia="宋体" w:cs="宋体"/>
          <w:bCs/>
          <w:szCs w:val="21"/>
          <w:highlight w:val="none"/>
        </w:rPr>
        <w:t>4</w:t>
      </w:r>
      <w:r>
        <w:rPr>
          <w:rFonts w:hint="eastAsia" w:ascii="宋体" w:hAnsi="宋体" w:cs="宋体"/>
          <w:bCs/>
          <w:szCs w:val="21"/>
          <w:highlight w:val="none"/>
          <w:lang w:eastAsia="zh-CN"/>
        </w:rPr>
        <w:t>、</w:t>
      </w:r>
      <w:r>
        <w:rPr>
          <w:rFonts w:hint="eastAsia" w:ascii="宋体" w:hAnsi="宋体" w:eastAsia="宋体" w:cs="宋体"/>
          <w:bCs/>
          <w:szCs w:val="21"/>
          <w:highlight w:val="none"/>
        </w:rPr>
        <w:t>凡发现中标人有下列行为之一的，将移交政府采购监督管理部门依法处理：</w:t>
      </w:r>
    </w:p>
    <w:p>
      <w:pPr>
        <w:numPr>
          <w:ilvl w:val="0"/>
          <w:numId w:val="0"/>
        </w:numPr>
        <w:spacing w:line="360" w:lineRule="auto"/>
        <w:ind w:leftChars="200"/>
        <w:jc w:val="both"/>
        <w:rPr>
          <w:rFonts w:hint="eastAsia" w:ascii="宋体" w:hAnsi="宋体" w:eastAsia="宋体" w:cs="宋体"/>
          <w:bCs/>
          <w:szCs w:val="21"/>
          <w:highlight w:val="none"/>
        </w:rPr>
      </w:pPr>
      <w:r>
        <w:rPr>
          <w:rFonts w:hint="eastAsia" w:ascii="宋体" w:hAnsi="宋体" w:cs="宋体"/>
          <w:bCs/>
          <w:szCs w:val="21"/>
          <w:highlight w:val="none"/>
          <w:lang w:eastAsia="zh-CN"/>
        </w:rPr>
        <w:t>（</w:t>
      </w:r>
      <w:r>
        <w:rPr>
          <w:rFonts w:hint="eastAsia" w:ascii="宋体" w:hAnsi="宋体" w:cs="宋体"/>
          <w:bCs/>
          <w:szCs w:val="21"/>
          <w:highlight w:val="none"/>
          <w:lang w:val="en-US" w:eastAsia="zh-CN"/>
        </w:rPr>
        <w:t>1</w:t>
      </w:r>
      <w:r>
        <w:rPr>
          <w:rFonts w:hint="eastAsia" w:ascii="宋体" w:hAnsi="宋体" w:cs="宋体"/>
          <w:bCs/>
          <w:szCs w:val="21"/>
          <w:highlight w:val="none"/>
          <w:lang w:eastAsia="zh-CN"/>
        </w:rPr>
        <w:t>）</w:t>
      </w:r>
      <w:r>
        <w:rPr>
          <w:rFonts w:hint="eastAsia" w:ascii="宋体" w:hAnsi="宋体" w:eastAsia="宋体" w:cs="宋体"/>
          <w:bCs/>
          <w:szCs w:val="21"/>
          <w:highlight w:val="none"/>
        </w:rPr>
        <w:t>提供虚假材料谋取中标的；</w:t>
      </w:r>
    </w:p>
    <w:p>
      <w:pPr>
        <w:numPr>
          <w:ilvl w:val="0"/>
          <w:numId w:val="0"/>
        </w:numPr>
        <w:spacing w:line="360" w:lineRule="auto"/>
        <w:ind w:leftChars="200"/>
        <w:jc w:val="both"/>
        <w:rPr>
          <w:rFonts w:hint="eastAsia" w:ascii="宋体" w:hAnsi="宋体" w:eastAsia="宋体" w:cs="宋体"/>
          <w:bCs/>
          <w:szCs w:val="21"/>
          <w:highlight w:val="none"/>
        </w:rPr>
      </w:pPr>
      <w:r>
        <w:rPr>
          <w:rFonts w:hint="eastAsia" w:ascii="宋体" w:hAnsi="宋体" w:cs="宋体"/>
          <w:bCs/>
          <w:szCs w:val="21"/>
          <w:highlight w:val="none"/>
          <w:lang w:eastAsia="zh-CN"/>
        </w:rPr>
        <w:t>（</w:t>
      </w:r>
      <w:r>
        <w:rPr>
          <w:rFonts w:hint="eastAsia" w:ascii="宋体" w:hAnsi="宋体" w:cs="宋体"/>
          <w:bCs/>
          <w:szCs w:val="21"/>
          <w:highlight w:val="none"/>
          <w:lang w:val="en-US" w:eastAsia="zh-CN"/>
        </w:rPr>
        <w:t>2</w:t>
      </w:r>
      <w:r>
        <w:rPr>
          <w:rFonts w:hint="eastAsia" w:ascii="宋体" w:hAnsi="宋体" w:cs="宋体"/>
          <w:bCs/>
          <w:szCs w:val="21"/>
          <w:highlight w:val="none"/>
          <w:lang w:eastAsia="zh-CN"/>
        </w:rPr>
        <w:t>）</w:t>
      </w:r>
      <w:r>
        <w:rPr>
          <w:rFonts w:hint="eastAsia" w:ascii="宋体" w:hAnsi="宋体" w:eastAsia="宋体" w:cs="宋体"/>
          <w:bCs/>
          <w:szCs w:val="21"/>
          <w:highlight w:val="none"/>
        </w:rPr>
        <w:t>采取不正当手段诋毁、排挤其他投标人的；</w:t>
      </w:r>
    </w:p>
    <w:p>
      <w:pPr>
        <w:numPr>
          <w:ilvl w:val="0"/>
          <w:numId w:val="0"/>
        </w:numPr>
        <w:spacing w:line="360" w:lineRule="auto"/>
        <w:ind w:leftChars="200"/>
        <w:jc w:val="both"/>
        <w:rPr>
          <w:rFonts w:hint="eastAsia" w:ascii="宋体" w:hAnsi="宋体" w:eastAsia="宋体" w:cs="宋体"/>
          <w:bCs/>
          <w:szCs w:val="21"/>
          <w:highlight w:val="none"/>
        </w:rPr>
      </w:pPr>
      <w:r>
        <w:rPr>
          <w:rFonts w:hint="eastAsia" w:ascii="宋体" w:hAnsi="宋体" w:cs="宋体"/>
          <w:bCs/>
          <w:szCs w:val="21"/>
          <w:highlight w:val="none"/>
          <w:lang w:eastAsia="zh-CN"/>
        </w:rPr>
        <w:t>（</w:t>
      </w:r>
      <w:r>
        <w:rPr>
          <w:rFonts w:hint="eastAsia" w:ascii="宋体" w:hAnsi="宋体" w:cs="宋体"/>
          <w:bCs/>
          <w:szCs w:val="21"/>
          <w:highlight w:val="none"/>
          <w:lang w:val="en-US" w:eastAsia="zh-CN"/>
        </w:rPr>
        <w:t>3</w:t>
      </w:r>
      <w:r>
        <w:rPr>
          <w:rFonts w:hint="eastAsia" w:ascii="宋体" w:hAnsi="宋体" w:cs="宋体"/>
          <w:bCs/>
          <w:szCs w:val="21"/>
          <w:highlight w:val="none"/>
          <w:lang w:eastAsia="zh-CN"/>
        </w:rPr>
        <w:t>）</w:t>
      </w:r>
      <w:r>
        <w:rPr>
          <w:rFonts w:hint="eastAsia" w:ascii="宋体" w:hAnsi="宋体" w:eastAsia="宋体" w:cs="宋体"/>
          <w:bCs/>
          <w:szCs w:val="21"/>
          <w:highlight w:val="none"/>
        </w:rPr>
        <w:t>与采购人、其他投标人或者采购代理机构工作人员恶意串通的；</w:t>
      </w:r>
    </w:p>
    <w:p>
      <w:pPr>
        <w:numPr>
          <w:ilvl w:val="0"/>
          <w:numId w:val="0"/>
        </w:numPr>
        <w:spacing w:line="360" w:lineRule="auto"/>
        <w:ind w:leftChars="200"/>
        <w:jc w:val="both"/>
        <w:rPr>
          <w:rFonts w:hint="eastAsia" w:ascii="宋体" w:hAnsi="宋体" w:eastAsia="宋体" w:cs="宋体"/>
          <w:bCs/>
          <w:szCs w:val="21"/>
          <w:highlight w:val="none"/>
        </w:rPr>
      </w:pPr>
      <w:r>
        <w:rPr>
          <w:rFonts w:hint="eastAsia" w:ascii="宋体" w:hAnsi="宋体" w:cs="宋体"/>
          <w:bCs/>
          <w:szCs w:val="21"/>
          <w:highlight w:val="none"/>
          <w:lang w:eastAsia="zh-CN"/>
        </w:rPr>
        <w:t>（</w:t>
      </w:r>
      <w:r>
        <w:rPr>
          <w:rFonts w:hint="eastAsia" w:ascii="宋体" w:hAnsi="宋体" w:cs="宋体"/>
          <w:bCs/>
          <w:szCs w:val="21"/>
          <w:highlight w:val="none"/>
          <w:lang w:val="en-US" w:eastAsia="zh-CN"/>
        </w:rPr>
        <w:t>4</w:t>
      </w:r>
      <w:r>
        <w:rPr>
          <w:rFonts w:hint="eastAsia" w:ascii="宋体" w:hAnsi="宋体" w:cs="宋体"/>
          <w:bCs/>
          <w:szCs w:val="21"/>
          <w:highlight w:val="none"/>
          <w:lang w:eastAsia="zh-CN"/>
        </w:rPr>
        <w:t>）</w:t>
      </w:r>
      <w:r>
        <w:rPr>
          <w:rFonts w:hint="eastAsia" w:ascii="宋体" w:hAnsi="宋体" w:eastAsia="宋体" w:cs="宋体"/>
          <w:bCs/>
          <w:szCs w:val="21"/>
          <w:highlight w:val="none"/>
        </w:rPr>
        <w:t>向采购人或采购代理机构人员行贿或者提供其他不正当利益的；</w:t>
      </w:r>
    </w:p>
    <w:p>
      <w:pPr>
        <w:numPr>
          <w:ilvl w:val="0"/>
          <w:numId w:val="0"/>
        </w:numPr>
        <w:spacing w:line="360" w:lineRule="auto"/>
        <w:ind w:leftChars="200"/>
        <w:jc w:val="both"/>
        <w:rPr>
          <w:rFonts w:hint="eastAsia" w:ascii="宋体" w:hAnsi="宋体" w:eastAsia="宋体" w:cs="宋体"/>
          <w:bCs/>
          <w:szCs w:val="21"/>
          <w:highlight w:val="none"/>
        </w:rPr>
      </w:pPr>
      <w:r>
        <w:rPr>
          <w:rFonts w:hint="eastAsia" w:ascii="宋体" w:hAnsi="宋体" w:cs="宋体"/>
          <w:bCs/>
          <w:szCs w:val="21"/>
          <w:highlight w:val="none"/>
          <w:lang w:eastAsia="zh-CN"/>
        </w:rPr>
        <w:t>（</w:t>
      </w:r>
      <w:r>
        <w:rPr>
          <w:rFonts w:hint="eastAsia" w:ascii="宋体" w:hAnsi="宋体" w:cs="宋体"/>
          <w:bCs/>
          <w:szCs w:val="21"/>
          <w:highlight w:val="none"/>
          <w:lang w:val="en-US" w:eastAsia="zh-CN"/>
        </w:rPr>
        <w:t>5</w:t>
      </w:r>
      <w:r>
        <w:rPr>
          <w:rFonts w:hint="eastAsia" w:ascii="宋体" w:hAnsi="宋体" w:cs="宋体"/>
          <w:bCs/>
          <w:szCs w:val="21"/>
          <w:highlight w:val="none"/>
          <w:lang w:eastAsia="zh-CN"/>
        </w:rPr>
        <w:t>）</w:t>
      </w:r>
      <w:r>
        <w:rPr>
          <w:rFonts w:hint="eastAsia" w:ascii="宋体" w:hAnsi="宋体" w:eastAsia="宋体" w:cs="宋体"/>
          <w:bCs/>
          <w:szCs w:val="21"/>
          <w:highlight w:val="none"/>
        </w:rPr>
        <w:t>拒绝有关部门监督检查或者提供虚假情况的；</w:t>
      </w:r>
    </w:p>
    <w:p>
      <w:pPr>
        <w:numPr>
          <w:ilvl w:val="0"/>
          <w:numId w:val="0"/>
        </w:numPr>
        <w:spacing w:line="360" w:lineRule="auto"/>
        <w:ind w:leftChars="200"/>
        <w:jc w:val="both"/>
        <w:rPr>
          <w:rFonts w:hint="eastAsia" w:ascii="宋体" w:hAnsi="宋体" w:eastAsia="宋体" w:cs="宋体"/>
          <w:bCs/>
          <w:szCs w:val="21"/>
          <w:highlight w:val="none"/>
        </w:rPr>
      </w:pPr>
      <w:r>
        <w:rPr>
          <w:rFonts w:hint="eastAsia" w:ascii="宋体" w:hAnsi="宋体" w:eastAsia="宋体" w:cs="宋体"/>
          <w:bCs/>
          <w:szCs w:val="21"/>
          <w:highlight w:val="none"/>
          <w:lang w:eastAsia="zh-CN"/>
        </w:rPr>
        <w:t>（</w:t>
      </w:r>
      <w:r>
        <w:rPr>
          <w:rFonts w:hint="eastAsia" w:ascii="宋体" w:hAnsi="宋体" w:cs="宋体"/>
          <w:bCs/>
          <w:szCs w:val="21"/>
          <w:highlight w:val="none"/>
          <w:lang w:val="en-US" w:eastAsia="zh-CN"/>
        </w:rPr>
        <w:t>6</w:t>
      </w:r>
      <w:r>
        <w:rPr>
          <w:rFonts w:hint="eastAsia" w:ascii="宋体" w:hAnsi="宋体" w:eastAsia="宋体" w:cs="宋体"/>
          <w:bCs/>
          <w:szCs w:val="21"/>
          <w:highlight w:val="none"/>
          <w:lang w:eastAsia="zh-CN"/>
        </w:rPr>
        <w:t>）</w:t>
      </w:r>
      <w:r>
        <w:rPr>
          <w:rFonts w:hint="eastAsia" w:ascii="宋体" w:hAnsi="宋体" w:eastAsia="宋体" w:cs="宋体"/>
          <w:bCs/>
          <w:szCs w:val="21"/>
          <w:highlight w:val="none"/>
        </w:rPr>
        <w:t>有法律、法规规定的其他损害采购人利益和社会公共利益情形的。</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default" w:eastAsia="宋体"/>
          <w:color w:val="auto"/>
          <w:highlight w:val="none"/>
          <w:lang w:val="en-US" w:eastAsia="zh-CN"/>
        </w:rPr>
      </w:pPr>
      <w:r>
        <w:rPr>
          <w:rFonts w:hint="eastAsia" w:ascii="宋体"/>
          <w:color w:val="auto"/>
          <w:szCs w:val="21"/>
          <w:highlight w:val="none"/>
          <w:lang w:val="en-US" w:eastAsia="zh-CN"/>
        </w:rPr>
        <w:t>5</w:t>
      </w:r>
      <w:r>
        <w:rPr>
          <w:rFonts w:hint="eastAsia" w:ascii="宋体"/>
          <w:color w:val="auto"/>
          <w:szCs w:val="21"/>
          <w:highlight w:val="none"/>
        </w:rPr>
        <w:t>、在公告中标结果的同时，</w:t>
      </w:r>
      <w:r>
        <w:rPr>
          <w:rFonts w:hint="eastAsia" w:ascii="宋体"/>
          <w:color w:val="auto"/>
          <w:szCs w:val="21"/>
          <w:highlight w:val="none"/>
          <w:lang w:eastAsia="zh-CN"/>
        </w:rPr>
        <w:t>采购单位</w:t>
      </w:r>
      <w:r>
        <w:rPr>
          <w:rFonts w:hint="eastAsia" w:ascii="宋体"/>
          <w:color w:val="auto"/>
          <w:szCs w:val="21"/>
          <w:highlight w:val="none"/>
        </w:rPr>
        <w:t>或采购代理机构向中标人发出中标通知书；中标人无正当理由不得放弃中标；若中标人放弃中标、或因不可抗力提出不能履行合同，或不按招标文件规定提交履约保证金（如有）或其它原因被依法撤销中标资格，则</w:t>
      </w:r>
      <w:r>
        <w:rPr>
          <w:rFonts w:hint="eastAsia" w:ascii="宋体"/>
          <w:color w:val="auto"/>
          <w:szCs w:val="21"/>
          <w:highlight w:val="none"/>
          <w:lang w:eastAsia="zh-CN"/>
        </w:rPr>
        <w:t>采购单位</w:t>
      </w:r>
      <w:r>
        <w:rPr>
          <w:rFonts w:hint="eastAsia" w:ascii="宋体"/>
          <w:color w:val="auto"/>
          <w:szCs w:val="21"/>
          <w:highlight w:val="none"/>
        </w:rPr>
        <w:t>可选择该项目综合得分排名下一位的</w:t>
      </w:r>
      <w:r>
        <w:rPr>
          <w:rFonts w:hint="eastAsia" w:ascii="宋体"/>
          <w:color w:val="auto"/>
          <w:szCs w:val="21"/>
          <w:highlight w:val="none"/>
          <w:lang w:eastAsia="zh-CN"/>
        </w:rPr>
        <w:t>投标人</w:t>
      </w:r>
      <w:r>
        <w:rPr>
          <w:rFonts w:hint="eastAsia" w:ascii="宋体"/>
          <w:color w:val="auto"/>
          <w:szCs w:val="21"/>
          <w:highlight w:val="none"/>
        </w:rPr>
        <w:t>中标或重新组织招标。</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b/>
          <w:color w:val="auto"/>
          <w:szCs w:val="21"/>
          <w:highlight w:val="none"/>
        </w:rPr>
      </w:pPr>
      <w:r>
        <w:rPr>
          <w:rFonts w:hint="eastAsia" w:ascii="宋体"/>
          <w:b/>
          <w:color w:val="auto"/>
          <w:szCs w:val="21"/>
          <w:highlight w:val="none"/>
        </w:rPr>
        <w:t>七、合同授予</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color w:val="auto"/>
          <w:szCs w:val="21"/>
          <w:highlight w:val="none"/>
        </w:rPr>
      </w:pPr>
      <w:r>
        <w:rPr>
          <w:rFonts w:hint="eastAsia" w:ascii="宋体"/>
          <w:color w:val="auto"/>
          <w:szCs w:val="21"/>
          <w:highlight w:val="none"/>
        </w:rPr>
        <w:t>1</w:t>
      </w:r>
      <w:r>
        <w:rPr>
          <w:rFonts w:hint="eastAsia" w:ascii="宋体"/>
          <w:color w:val="auto"/>
          <w:szCs w:val="21"/>
          <w:highlight w:val="none"/>
          <w:lang w:eastAsia="zh-CN"/>
        </w:rPr>
        <w:t>、</w:t>
      </w:r>
      <w:r>
        <w:rPr>
          <w:rFonts w:hint="eastAsia" w:ascii="宋体"/>
          <w:color w:val="auto"/>
          <w:szCs w:val="21"/>
          <w:highlight w:val="none"/>
        </w:rPr>
        <w:t>采购单位与中标人应当在《中标通知书》发出之日起</w:t>
      </w:r>
      <w:r>
        <w:rPr>
          <w:rFonts w:hint="eastAsia" w:ascii="宋体"/>
          <w:b w:val="0"/>
          <w:bCs/>
          <w:color w:val="auto"/>
          <w:szCs w:val="21"/>
          <w:highlight w:val="none"/>
          <w:u w:val="single"/>
          <w:lang w:val="en-US" w:eastAsia="zh-CN"/>
        </w:rPr>
        <w:t>6</w:t>
      </w:r>
      <w:r>
        <w:rPr>
          <w:rFonts w:hint="eastAsia" w:ascii="宋体"/>
          <w:b w:val="0"/>
          <w:bCs/>
          <w:color w:val="auto"/>
          <w:szCs w:val="21"/>
          <w:highlight w:val="none"/>
          <w:u w:val="single"/>
        </w:rPr>
        <w:t>0</w:t>
      </w:r>
      <w:r>
        <w:rPr>
          <w:rFonts w:hint="eastAsia" w:ascii="宋体"/>
          <w:color w:val="auto"/>
          <w:szCs w:val="21"/>
          <w:highlight w:val="none"/>
        </w:rPr>
        <w:t>日内签订合同。同时，采购代理机构对合同内容进行审查，如发现与采购结果和投标承诺内容不一致的，应予以纠正。</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color w:val="auto"/>
          <w:szCs w:val="21"/>
          <w:highlight w:val="none"/>
        </w:rPr>
      </w:pPr>
      <w:r>
        <w:rPr>
          <w:rFonts w:hint="eastAsia" w:ascii="宋体"/>
          <w:color w:val="auto"/>
          <w:szCs w:val="21"/>
          <w:highlight w:val="none"/>
        </w:rPr>
        <w:t>2</w:t>
      </w:r>
      <w:r>
        <w:rPr>
          <w:rFonts w:hint="eastAsia" w:ascii="宋体"/>
          <w:color w:val="auto"/>
          <w:szCs w:val="21"/>
          <w:highlight w:val="none"/>
          <w:lang w:eastAsia="zh-CN"/>
        </w:rPr>
        <w:t>、</w:t>
      </w:r>
      <w:r>
        <w:rPr>
          <w:rFonts w:hint="eastAsia" w:ascii="宋体"/>
          <w:color w:val="auto"/>
          <w:szCs w:val="21"/>
          <w:highlight w:val="none"/>
        </w:rPr>
        <w:t>中标人拒绝与</w:t>
      </w:r>
      <w:r>
        <w:rPr>
          <w:rFonts w:hint="eastAsia" w:ascii="宋体"/>
          <w:color w:val="auto"/>
          <w:szCs w:val="21"/>
          <w:highlight w:val="none"/>
          <w:lang w:eastAsia="zh-CN"/>
        </w:rPr>
        <w:t>采购单位</w:t>
      </w:r>
      <w:r>
        <w:rPr>
          <w:rFonts w:hint="eastAsia" w:ascii="宋体"/>
          <w:color w:val="auto"/>
          <w:szCs w:val="21"/>
          <w:highlight w:val="none"/>
        </w:rPr>
        <w:t>签订合同的，</w:t>
      </w:r>
      <w:r>
        <w:rPr>
          <w:rFonts w:hint="eastAsia" w:ascii="宋体"/>
          <w:color w:val="auto"/>
          <w:szCs w:val="21"/>
          <w:highlight w:val="none"/>
          <w:lang w:eastAsia="zh-CN"/>
        </w:rPr>
        <w:t>采购单位</w:t>
      </w:r>
      <w:r>
        <w:rPr>
          <w:rFonts w:hint="eastAsia" w:ascii="宋体"/>
          <w:color w:val="auto"/>
          <w:szCs w:val="21"/>
          <w:highlight w:val="none"/>
        </w:rPr>
        <w:t>可选择该项目综合得分排名下一位的</w:t>
      </w:r>
      <w:r>
        <w:rPr>
          <w:rFonts w:hint="eastAsia" w:ascii="宋体"/>
          <w:color w:val="auto"/>
          <w:szCs w:val="21"/>
          <w:highlight w:val="none"/>
          <w:lang w:eastAsia="zh-CN"/>
        </w:rPr>
        <w:t>投标人</w:t>
      </w:r>
      <w:r>
        <w:rPr>
          <w:rFonts w:hint="eastAsia" w:ascii="宋体"/>
          <w:color w:val="auto"/>
          <w:szCs w:val="21"/>
          <w:highlight w:val="none"/>
        </w:rPr>
        <w:t>中标或重新组织招标。</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hint="eastAsia" w:ascii="宋体" w:hAnsi="Times New Roman" w:cs="Times New Roman"/>
          <w:b/>
          <w:color w:val="auto"/>
          <w:szCs w:val="21"/>
          <w:highlight w:val="none"/>
        </w:rPr>
      </w:pPr>
      <w:r>
        <w:rPr>
          <w:rFonts w:hint="eastAsia" w:ascii="宋体" w:hAnsi="Times New Roman" w:cs="Times New Roman"/>
          <w:b/>
          <w:color w:val="auto"/>
          <w:szCs w:val="21"/>
          <w:highlight w:val="none"/>
          <w:lang w:val="en-US" w:eastAsia="zh-CN"/>
        </w:rPr>
        <w:t>八</w:t>
      </w:r>
      <w:r>
        <w:rPr>
          <w:rFonts w:hint="eastAsia" w:ascii="宋体" w:hAnsi="Times New Roman" w:cs="Times New Roman"/>
          <w:b/>
          <w:color w:val="auto"/>
          <w:szCs w:val="21"/>
          <w:highlight w:val="none"/>
        </w:rPr>
        <w:t>、特别说明</w:t>
      </w:r>
    </w:p>
    <w:p>
      <w:pPr>
        <w:pStyle w:val="10"/>
        <w:keepNext w:val="0"/>
        <w:keepLines w:val="0"/>
        <w:pageBreakBefore w:val="0"/>
        <w:numPr>
          <w:ilvl w:val="0"/>
          <w:numId w:val="0"/>
        </w:numPr>
        <w:kinsoku/>
        <w:wordWrap/>
        <w:overflowPunct/>
        <w:topLinePunct w:val="0"/>
        <w:autoSpaceDE/>
        <w:autoSpaceDN/>
        <w:bidi w:val="0"/>
        <w:adjustRightInd/>
        <w:snapToGrid/>
        <w:spacing w:after="0" w:afterLines="0" w:line="360" w:lineRule="auto"/>
        <w:ind w:leftChars="0" w:firstLine="420" w:firstLineChars="200"/>
        <w:textAlignment w:val="auto"/>
        <w:rPr>
          <w:rFonts w:hint="eastAsia" w:ascii="宋体" w:hAnsi="宋体" w:eastAsia="宋体" w:cs="宋体"/>
          <w:kern w:val="2"/>
          <w:sz w:val="21"/>
          <w:szCs w:val="24"/>
          <w:highlight w:val="none"/>
          <w:vertAlign w:val="baseline"/>
          <w:lang w:val="en-US" w:eastAsia="zh-CN" w:bidi="ar-SA"/>
        </w:rPr>
      </w:pPr>
      <w:r>
        <w:rPr>
          <w:rFonts w:hint="eastAsia" w:ascii="宋体" w:hAnsi="宋体" w:eastAsia="宋体" w:cs="宋体"/>
          <w:kern w:val="2"/>
          <w:sz w:val="21"/>
          <w:szCs w:val="24"/>
          <w:highlight w:val="none"/>
          <w:vertAlign w:val="baseline"/>
          <w:lang w:val="en-US" w:eastAsia="zh-CN" w:bidi="ar-SA"/>
        </w:rPr>
        <w:t>1、本项目</w:t>
      </w:r>
      <w:r>
        <w:rPr>
          <w:rFonts w:hint="eastAsia" w:ascii="宋体" w:hAnsi="宋体" w:cs="宋体"/>
          <w:kern w:val="2"/>
          <w:sz w:val="21"/>
          <w:szCs w:val="24"/>
          <w:highlight w:val="none"/>
          <w:u w:val="single"/>
          <w:vertAlign w:val="baseline"/>
          <w:lang w:val="en-US" w:eastAsia="zh-CN" w:bidi="ar-SA"/>
        </w:rPr>
        <w:t xml:space="preserve"> </w:t>
      </w:r>
      <w:r>
        <w:rPr>
          <w:rFonts w:hint="eastAsia" w:ascii="宋体" w:hAnsi="宋体" w:eastAsia="宋体" w:cs="宋体"/>
          <w:b/>
          <w:bCs/>
          <w:i w:val="0"/>
          <w:iCs w:val="0"/>
          <w:color w:val="auto"/>
          <w:kern w:val="2"/>
          <w:sz w:val="21"/>
          <w:szCs w:val="24"/>
          <w:highlight w:val="none"/>
          <w:u w:val="single"/>
          <w:vertAlign w:val="baseline"/>
          <w:lang w:val="en-US" w:eastAsia="zh-CN" w:bidi="ar-SA"/>
        </w:rPr>
        <w:t>非</w:t>
      </w:r>
      <w:r>
        <w:rPr>
          <w:rFonts w:hint="eastAsia" w:ascii="宋体" w:hAnsi="宋体" w:cs="宋体"/>
          <w:b/>
          <w:bCs/>
          <w:i w:val="0"/>
          <w:iCs w:val="0"/>
          <w:color w:val="auto"/>
          <w:kern w:val="2"/>
          <w:sz w:val="21"/>
          <w:szCs w:val="24"/>
          <w:highlight w:val="none"/>
          <w:u w:val="single"/>
          <w:vertAlign w:val="baseline"/>
          <w:lang w:val="en-US" w:eastAsia="zh-CN" w:bidi="ar-SA"/>
        </w:rPr>
        <w:t xml:space="preserve"> </w:t>
      </w:r>
      <w:r>
        <w:rPr>
          <w:rFonts w:hint="eastAsia" w:ascii="宋体" w:hAnsi="宋体" w:eastAsia="宋体" w:cs="宋体"/>
          <w:kern w:val="2"/>
          <w:sz w:val="21"/>
          <w:szCs w:val="24"/>
          <w:highlight w:val="none"/>
          <w:vertAlign w:val="baseline"/>
          <w:lang w:val="en-US" w:eastAsia="zh-CN" w:bidi="ar-SA"/>
        </w:rPr>
        <w:t>专门面向中小企业采购。</w:t>
      </w:r>
    </w:p>
    <w:p>
      <w:pPr>
        <w:pStyle w:val="10"/>
        <w:keepNext w:val="0"/>
        <w:keepLines w:val="0"/>
        <w:pageBreakBefore w:val="0"/>
        <w:numPr>
          <w:ilvl w:val="0"/>
          <w:numId w:val="0"/>
        </w:numPr>
        <w:kinsoku/>
        <w:wordWrap/>
        <w:overflowPunct/>
        <w:topLinePunct w:val="0"/>
        <w:autoSpaceDE/>
        <w:autoSpaceDN/>
        <w:bidi w:val="0"/>
        <w:adjustRightInd/>
        <w:snapToGrid/>
        <w:spacing w:after="0" w:afterLines="0" w:line="360" w:lineRule="auto"/>
        <w:ind w:leftChars="0" w:firstLine="420" w:firstLineChars="200"/>
        <w:textAlignment w:val="auto"/>
        <w:rPr>
          <w:rFonts w:hint="eastAsia" w:ascii="宋体" w:hAnsi="宋体" w:eastAsia="宋体" w:cs="宋体"/>
          <w:kern w:val="2"/>
          <w:sz w:val="21"/>
          <w:szCs w:val="24"/>
          <w:highlight w:val="none"/>
          <w:u w:val="none"/>
          <w:vertAlign w:val="baseline"/>
          <w:lang w:val="en-US" w:eastAsia="zh-CN" w:bidi="ar-SA"/>
        </w:rPr>
      </w:pPr>
      <w:r>
        <w:rPr>
          <w:rFonts w:hint="eastAsia" w:ascii="宋体" w:hAnsi="宋体" w:eastAsia="宋体" w:cs="宋体"/>
          <w:kern w:val="2"/>
          <w:sz w:val="21"/>
          <w:szCs w:val="24"/>
          <w:highlight w:val="none"/>
          <w:u w:val="none"/>
          <w:vertAlign w:val="baseline"/>
          <w:lang w:val="en-US" w:eastAsia="zh-CN" w:bidi="ar-SA"/>
        </w:rPr>
        <w:t>2、本项目对应的中小企业划分标准所属行业：</w:t>
      </w:r>
      <w:r>
        <w:rPr>
          <w:rFonts w:hint="eastAsia" w:ascii="宋体" w:hAnsi="宋体" w:eastAsia="宋体" w:cs="宋体"/>
          <w:kern w:val="2"/>
          <w:sz w:val="21"/>
          <w:szCs w:val="24"/>
          <w:highlight w:val="none"/>
          <w:u w:val="single"/>
          <w:vertAlign w:val="baseline"/>
          <w:lang w:val="en-US" w:eastAsia="zh-CN" w:bidi="ar-SA"/>
        </w:rPr>
        <w:t>其他未列明行业</w:t>
      </w:r>
      <w:r>
        <w:rPr>
          <w:rFonts w:hint="eastAsia" w:ascii="宋体" w:hAnsi="宋体" w:eastAsia="宋体" w:cs="宋体"/>
          <w:kern w:val="2"/>
          <w:sz w:val="21"/>
          <w:szCs w:val="24"/>
          <w:highlight w:val="none"/>
          <w:u w:val="none"/>
          <w:vertAlign w:val="baseline"/>
          <w:lang w:val="en-US" w:eastAsia="zh-CN" w:bidi="ar-SA"/>
        </w:rPr>
        <w:t xml:space="preserve">。 </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rPr>
      </w:pPr>
      <w:r>
        <w:rPr>
          <w:rFonts w:hint="eastAsia" w:ascii="宋体" w:hAnsi="宋体" w:eastAsia="宋体" w:cs="宋体"/>
          <w:highlight w:val="none"/>
          <w:vertAlign w:val="baseline"/>
          <w:lang w:val="en-US" w:eastAsia="zh-CN"/>
        </w:rPr>
        <w:t>3、小微企业是指</w:t>
      </w:r>
      <w:r>
        <w:rPr>
          <w:rFonts w:hint="eastAsia" w:ascii="宋体" w:hAnsi="宋体" w:eastAsia="宋体" w:cs="宋体"/>
          <w:highlight w:val="none"/>
        </w:rPr>
        <w:t>中华人民共和国境内依法设立，依据国务院批准的中小企业划分标准确定的小型企业和微型企业，但与大企业的负责人为同一人，或者与大企业存在直接控股、管理关系的除外。</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highlight w:val="none"/>
        </w:rPr>
      </w:pPr>
      <w:r>
        <w:rPr>
          <w:rFonts w:hint="eastAsia" w:ascii="宋体" w:hAnsi="宋体" w:eastAsia="宋体" w:cs="宋体"/>
          <w:highlight w:val="none"/>
        </w:rPr>
        <w:t>符合中小企业划分标准的个体工商户，在政府采购活动中视同中小企业。</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highlight w:val="none"/>
        </w:rPr>
      </w:pPr>
      <w:r>
        <w:rPr>
          <w:rFonts w:hint="eastAsia" w:ascii="宋体" w:hAnsi="宋体" w:eastAsia="宋体" w:cs="宋体"/>
          <w:highlight w:val="none"/>
        </w:rPr>
        <w:t>国务院批准的中小企业划分标准</w:t>
      </w:r>
      <w:r>
        <w:rPr>
          <w:rFonts w:hint="eastAsia" w:ascii="宋体" w:hAnsi="宋体" w:eastAsia="宋体" w:cs="宋体"/>
          <w:highlight w:val="none"/>
          <w:lang w:eastAsia="zh-CN"/>
        </w:rPr>
        <w:t>：</w:t>
      </w:r>
      <w:r>
        <w:rPr>
          <w:rFonts w:hint="eastAsia" w:ascii="宋体" w:hAnsi="宋体" w:eastAsia="宋体" w:cs="宋体"/>
          <w:highlight w:val="none"/>
          <w:vertAlign w:val="baseline"/>
          <w:lang w:val="en-US" w:eastAsia="zh-CN"/>
        </w:rPr>
        <w:t>具体见工信部联企业[2011]300号。</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highlight w:val="none"/>
        </w:rPr>
      </w:pPr>
      <w:r>
        <w:rPr>
          <w:rFonts w:hint="eastAsia" w:ascii="宋体" w:hAnsi="宋体" w:eastAsia="宋体" w:cs="宋体"/>
          <w:highlight w:val="none"/>
          <w:lang w:val="en-US" w:eastAsia="zh-CN"/>
        </w:rPr>
        <w:t>4、</w:t>
      </w:r>
      <w:r>
        <w:rPr>
          <w:rFonts w:hint="eastAsia" w:ascii="宋体" w:hAnsi="宋体" w:eastAsia="宋体" w:cs="宋体"/>
          <w:highlight w:val="none"/>
        </w:rPr>
        <w:t>在政府采购活动中，供应商提供的货物、工程或者服务符合下列情形</w:t>
      </w:r>
      <w:r>
        <w:rPr>
          <w:rFonts w:hint="eastAsia" w:ascii="宋体" w:hAnsi="宋体" w:eastAsia="宋体" w:cs="宋体"/>
          <w:highlight w:val="none"/>
          <w:lang w:val="en-US" w:eastAsia="zh-CN"/>
        </w:rPr>
        <w:t>的，可</w:t>
      </w:r>
      <w:r>
        <w:rPr>
          <w:rFonts w:hint="eastAsia" w:ascii="宋体" w:hAnsi="宋体" w:eastAsia="宋体" w:cs="宋体"/>
          <w:highlight w:val="none"/>
          <w:vertAlign w:val="baseline"/>
          <w:lang w:val="en-US" w:eastAsia="zh-CN"/>
        </w:rPr>
        <w:t>享受小型、微型企业（以下简称小微企业）的价格扣除</w:t>
      </w:r>
      <w:r>
        <w:rPr>
          <w:rFonts w:hint="eastAsia" w:ascii="宋体" w:hAnsi="宋体" w:eastAsia="宋体" w:cs="宋体"/>
          <w:highlight w:val="none"/>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rPr>
      </w:pPr>
      <w:r>
        <w:rPr>
          <w:rFonts w:hint="eastAsia" w:ascii="宋体" w:hAnsi="宋体" w:eastAsia="宋体" w:cs="宋体"/>
          <w:highlight w:val="none"/>
          <w:lang w:val="en-US" w:eastAsia="zh-CN"/>
        </w:rPr>
        <w:t>（1）</w:t>
      </w:r>
      <w:r>
        <w:rPr>
          <w:rFonts w:hint="eastAsia" w:ascii="宋体" w:hAnsi="宋体" w:eastAsia="宋体" w:cs="宋体"/>
          <w:highlight w:val="none"/>
        </w:rPr>
        <w:t>在货物采购项目中，货物由小</w:t>
      </w:r>
      <w:r>
        <w:rPr>
          <w:rFonts w:hint="eastAsia" w:ascii="宋体" w:hAnsi="宋体" w:eastAsia="宋体" w:cs="宋体"/>
          <w:highlight w:val="none"/>
          <w:lang w:val="en-US" w:eastAsia="zh-CN"/>
        </w:rPr>
        <w:t>微</w:t>
      </w:r>
      <w:r>
        <w:rPr>
          <w:rFonts w:hint="eastAsia" w:ascii="宋体" w:hAnsi="宋体" w:eastAsia="宋体" w:cs="宋体"/>
          <w:highlight w:val="none"/>
        </w:rPr>
        <w:t>企业制造，即货物由小</w:t>
      </w:r>
      <w:r>
        <w:rPr>
          <w:rFonts w:hint="eastAsia" w:ascii="宋体" w:hAnsi="宋体" w:eastAsia="宋体" w:cs="宋体"/>
          <w:highlight w:val="none"/>
          <w:lang w:val="en-US" w:eastAsia="zh-CN"/>
        </w:rPr>
        <w:t>微</w:t>
      </w:r>
      <w:r>
        <w:rPr>
          <w:rFonts w:hint="eastAsia" w:ascii="宋体" w:hAnsi="宋体" w:eastAsia="宋体" w:cs="宋体"/>
          <w:highlight w:val="none"/>
        </w:rPr>
        <w:t>企业生产且使用该小</w:t>
      </w:r>
      <w:r>
        <w:rPr>
          <w:rFonts w:hint="eastAsia" w:ascii="宋体" w:hAnsi="宋体" w:eastAsia="宋体" w:cs="宋体"/>
          <w:highlight w:val="none"/>
          <w:lang w:val="en-US" w:eastAsia="zh-CN"/>
        </w:rPr>
        <w:t>微</w:t>
      </w:r>
      <w:r>
        <w:rPr>
          <w:rFonts w:hint="eastAsia" w:ascii="宋体" w:hAnsi="宋体" w:eastAsia="宋体" w:cs="宋体"/>
          <w:highlight w:val="none"/>
        </w:rPr>
        <w:t>企业商号或者注册商标；</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eastAsia="宋体" w:cs="宋体"/>
          <w:highlight w:val="none"/>
        </w:rPr>
        <w:t>在工程采购项目中，工程由小</w:t>
      </w:r>
      <w:r>
        <w:rPr>
          <w:rFonts w:hint="eastAsia" w:ascii="宋体" w:hAnsi="宋体" w:eastAsia="宋体" w:cs="宋体"/>
          <w:highlight w:val="none"/>
          <w:lang w:val="en-US" w:eastAsia="zh-CN"/>
        </w:rPr>
        <w:t>微</w:t>
      </w:r>
      <w:r>
        <w:rPr>
          <w:rFonts w:hint="eastAsia" w:ascii="宋体" w:hAnsi="宋体" w:eastAsia="宋体" w:cs="宋体"/>
          <w:highlight w:val="none"/>
        </w:rPr>
        <w:t>企业承建，即工程施工单位为小</w:t>
      </w:r>
      <w:r>
        <w:rPr>
          <w:rFonts w:hint="eastAsia" w:ascii="宋体" w:hAnsi="宋体" w:eastAsia="宋体" w:cs="宋体"/>
          <w:highlight w:val="none"/>
          <w:lang w:val="en-US" w:eastAsia="zh-CN"/>
        </w:rPr>
        <w:t>微</w:t>
      </w:r>
      <w:r>
        <w:rPr>
          <w:rFonts w:hint="eastAsia" w:ascii="宋体" w:hAnsi="宋体" w:eastAsia="宋体" w:cs="宋体"/>
          <w:highlight w:val="none"/>
        </w:rPr>
        <w:t>企业；</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highlight w:val="none"/>
        </w:rPr>
      </w:pPr>
      <w:r>
        <w:rPr>
          <w:rFonts w:hint="eastAsia" w:ascii="宋体" w:hAnsi="宋体" w:eastAsia="宋体" w:cs="宋体"/>
          <w:highlight w:val="none"/>
          <w:lang w:val="en-US" w:eastAsia="zh-CN"/>
        </w:rPr>
        <w:t>（3）</w:t>
      </w:r>
      <w:r>
        <w:rPr>
          <w:rFonts w:hint="eastAsia" w:ascii="宋体" w:hAnsi="宋体" w:eastAsia="宋体" w:cs="宋体"/>
          <w:highlight w:val="none"/>
        </w:rPr>
        <w:t>在服务采购项目中，服务由小</w:t>
      </w:r>
      <w:r>
        <w:rPr>
          <w:rFonts w:hint="eastAsia" w:ascii="宋体" w:hAnsi="宋体" w:eastAsia="宋体" w:cs="宋体"/>
          <w:highlight w:val="none"/>
          <w:lang w:val="en-US" w:eastAsia="zh-CN"/>
        </w:rPr>
        <w:t>微</w:t>
      </w:r>
      <w:r>
        <w:rPr>
          <w:rFonts w:hint="eastAsia" w:ascii="宋体" w:hAnsi="宋体" w:eastAsia="宋体" w:cs="宋体"/>
          <w:highlight w:val="none"/>
        </w:rPr>
        <w:t>企业承接，即提供服务的人员为小</w:t>
      </w:r>
      <w:r>
        <w:rPr>
          <w:rFonts w:hint="eastAsia" w:ascii="宋体" w:hAnsi="宋体" w:eastAsia="宋体" w:cs="宋体"/>
          <w:highlight w:val="none"/>
          <w:lang w:val="en-US" w:eastAsia="zh-CN"/>
        </w:rPr>
        <w:t>微</w:t>
      </w:r>
      <w:r>
        <w:rPr>
          <w:rFonts w:hint="eastAsia" w:ascii="宋体" w:hAnsi="宋体" w:eastAsia="宋体" w:cs="宋体"/>
          <w:highlight w:val="none"/>
        </w:rPr>
        <w:t>企业依照《中华人民共和国劳动合同法》订立劳动合同的从业人员。</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highlight w:val="none"/>
        </w:rPr>
      </w:pPr>
      <w:r>
        <w:rPr>
          <w:rFonts w:hint="eastAsia" w:ascii="宋体" w:hAnsi="宋体" w:eastAsia="宋体" w:cs="宋体"/>
          <w:highlight w:val="none"/>
        </w:rPr>
        <w:t>以联合体形式参加政府采购活动，联合体各方均为小微企业的，联合体视同小微企业。</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highlight w:val="none"/>
          <w:lang w:eastAsia="zh-CN"/>
        </w:rPr>
      </w:pPr>
      <w:r>
        <w:rPr>
          <w:rFonts w:hint="eastAsia" w:ascii="宋体" w:hAnsi="宋体" w:eastAsia="宋体" w:cs="宋体"/>
          <w:highlight w:val="none"/>
          <w:lang w:val="en-US" w:eastAsia="zh-CN"/>
        </w:rPr>
        <w:t>5、</w:t>
      </w:r>
      <w:r>
        <w:rPr>
          <w:rFonts w:hint="eastAsia" w:ascii="宋体" w:hAnsi="宋体" w:eastAsia="宋体" w:cs="宋体"/>
          <w:highlight w:val="none"/>
        </w:rPr>
        <w:t>在货物采购项目中，供应商提供的货物既有中小企业制造货物，也有大型企业制造货物的，不享受的</w:t>
      </w:r>
      <w:r>
        <w:rPr>
          <w:rFonts w:hint="eastAsia" w:ascii="宋体" w:hAnsi="宋体" w:eastAsia="宋体" w:cs="宋体"/>
          <w:highlight w:val="none"/>
          <w:lang w:val="en-US" w:eastAsia="zh-CN"/>
        </w:rPr>
        <w:t>小微企业价格扣除</w:t>
      </w:r>
      <w:r>
        <w:rPr>
          <w:rFonts w:hint="eastAsia" w:ascii="宋体" w:hAnsi="宋体" w:eastAsia="宋体" w:cs="宋体"/>
          <w:highlight w:val="none"/>
          <w:vertAlign w:val="baseline"/>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rPr>
      </w:pPr>
      <w:r>
        <w:rPr>
          <w:rFonts w:hint="eastAsia" w:ascii="宋体" w:hAnsi="宋体" w:eastAsia="宋体" w:cs="宋体"/>
          <w:highlight w:val="none"/>
          <w:vertAlign w:val="baseline"/>
          <w:lang w:val="en-US" w:eastAsia="zh-CN"/>
        </w:rPr>
        <w:t>6、对于非专门面向中小企业采购的采购项目，</w:t>
      </w:r>
      <w:r>
        <w:rPr>
          <w:rFonts w:hint="eastAsia" w:ascii="宋体" w:hAnsi="宋体" w:eastAsia="宋体" w:cs="宋体"/>
          <w:highlight w:val="none"/>
        </w:rPr>
        <w:t>小微企业报价给予 6%（工程项目为 3%）的扣除，用扣除后的价格参加评审。</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7、小微企业应按照招标文件格式要求提供《中小企业声明函》。</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8、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9、根据《关于促进残疾人就业政府采购政策的通知》（财库[2017]141号）规定，在政府采购活动中，残疾人福利性单位视同小型、微型企业。残疾人福利性单位参加政府采购活动时，提供《残疾人福利性单位声明函》。</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lang w:val="en-US" w:eastAsia="zh-CN"/>
        </w:rPr>
        <w:t>10、按</w:t>
      </w:r>
      <w:r>
        <w:rPr>
          <w:rFonts w:hint="eastAsia" w:ascii="宋体" w:hAnsi="宋体" w:eastAsia="宋体" w:cs="宋体"/>
          <w:highlight w:val="none"/>
        </w:rPr>
        <w:t>规定享受扶持政策获得政府采购合同的，小微企业不得将合同分包给大中型企业，中型企业不得将合同分包给大型企业</w:t>
      </w:r>
      <w:r>
        <w:rPr>
          <w:rFonts w:hint="eastAsia" w:ascii="宋体" w:hAnsi="宋体" w:eastAsia="宋体" w:cs="宋体"/>
          <w:highlight w:val="none"/>
          <w:lang w:eastAsia="zh-CN"/>
        </w:rPr>
        <w:t>。</w:t>
      </w:r>
    </w:p>
    <w:p>
      <w:pPr>
        <w:snapToGrid w:val="0"/>
        <w:spacing w:line="360" w:lineRule="auto"/>
        <w:ind w:firstLine="420" w:firstLineChars="200"/>
        <w:rPr>
          <w:rFonts w:ascii="宋体"/>
          <w:color w:val="auto"/>
          <w:szCs w:val="21"/>
          <w:highlight w:val="none"/>
        </w:rPr>
      </w:pPr>
      <w:r>
        <w:rPr>
          <w:rFonts w:hint="eastAsia" w:ascii="宋体" w:hAnsi="宋体" w:eastAsia="宋体" w:cs="宋体"/>
          <w:highlight w:val="none"/>
          <w:vertAlign w:val="baseline"/>
          <w:lang w:val="en-US" w:eastAsia="zh-CN"/>
        </w:rPr>
        <w:t>11、</w:t>
      </w:r>
      <w:r>
        <w:rPr>
          <w:rFonts w:hint="eastAsia" w:ascii="宋体" w:hAnsi="宋体" w:eastAsia="宋体" w:cs="宋体"/>
          <w:highlight w:val="none"/>
        </w:rPr>
        <w:t>供应商按照</w:t>
      </w:r>
      <w:r>
        <w:rPr>
          <w:rFonts w:hint="eastAsia" w:ascii="宋体" w:hAnsi="宋体" w:eastAsia="宋体" w:cs="宋体"/>
          <w:highlight w:val="none"/>
          <w:lang w:eastAsia="zh-CN"/>
        </w:rPr>
        <w:t>《</w:t>
      </w:r>
      <w:r>
        <w:rPr>
          <w:rFonts w:hint="eastAsia" w:ascii="宋体" w:hAnsi="宋体" w:eastAsia="宋体" w:cs="宋体"/>
          <w:highlight w:val="none"/>
        </w:rPr>
        <w:t>政府采购促进中小企业发展管理办法</w:t>
      </w:r>
      <w:r>
        <w:rPr>
          <w:rFonts w:hint="eastAsia" w:ascii="宋体" w:hAnsi="宋体" w:eastAsia="宋体" w:cs="宋体"/>
          <w:highlight w:val="none"/>
          <w:lang w:eastAsia="zh-CN"/>
        </w:rPr>
        <w:t>》（财库﹝2020﹞46号）</w:t>
      </w:r>
      <w:r>
        <w:rPr>
          <w:rFonts w:hint="eastAsia" w:ascii="宋体" w:hAnsi="宋体" w:eastAsia="宋体" w:cs="宋体"/>
          <w:highlight w:val="none"/>
        </w:rPr>
        <w:t>规定提供声明函内容不实的，属于提供虚假材料谋取中标、成交，依照《中华人民共和国政府采购法》等国家有关规定追究相应责任。</w:t>
      </w:r>
    </w:p>
    <w:p>
      <w:pPr>
        <w:pStyle w:val="3"/>
        <w:rPr>
          <w:color w:val="auto"/>
          <w:highlight w:val="none"/>
        </w:rPr>
      </w:pPr>
      <w:r>
        <w:rPr>
          <w:rFonts w:hAnsi="宋体"/>
          <w:color w:val="auto"/>
          <w:sz w:val="21"/>
          <w:szCs w:val="21"/>
          <w:highlight w:val="none"/>
        </w:rPr>
        <w:br w:type="page"/>
      </w:r>
      <w:bookmarkStart w:id="6" w:name="_Toc24478"/>
      <w:bookmarkStart w:id="7" w:name="_Toc18779"/>
      <w:r>
        <w:rPr>
          <w:rFonts w:hint="eastAsia"/>
          <w:color w:val="auto"/>
          <w:highlight w:val="none"/>
        </w:rPr>
        <w:t>第四章  评标办法及评分标准</w:t>
      </w:r>
      <w:bookmarkEnd w:id="6"/>
      <w:bookmarkEnd w:id="7"/>
    </w:p>
    <w:p>
      <w:pPr>
        <w:snapToGrid w:val="0"/>
        <w:spacing w:line="360" w:lineRule="auto"/>
        <w:ind w:firstLine="411" w:firstLineChars="196"/>
        <w:rPr>
          <w:rFonts w:ascii="宋体" w:hAnsi="仿宋_GB2312"/>
          <w:color w:val="auto"/>
          <w:szCs w:val="21"/>
          <w:highlight w:val="none"/>
        </w:rPr>
      </w:pPr>
      <w:r>
        <w:rPr>
          <w:rFonts w:hint="eastAsia" w:ascii="宋体" w:hAnsi="仿宋_GB2312"/>
          <w:color w:val="auto"/>
          <w:szCs w:val="21"/>
          <w:highlight w:val="none"/>
        </w:rPr>
        <w:t>本办法严格遵照《中华人民共和国政府采购法》、《中华人民共和国政府</w:t>
      </w:r>
      <w:r>
        <w:rPr>
          <w:rFonts w:hint="eastAsia" w:ascii="宋体" w:hAnsi="仿宋_GB2312"/>
          <w:color w:val="auto"/>
          <w:szCs w:val="21"/>
          <w:highlight w:val="none"/>
          <w:lang w:val="en-US" w:eastAsia="zh-CN"/>
        </w:rPr>
        <w:t>采购法</w:t>
      </w:r>
      <w:r>
        <w:rPr>
          <w:rFonts w:hint="eastAsia" w:ascii="宋体" w:hAnsi="仿宋_GB2312"/>
          <w:color w:val="auto"/>
          <w:szCs w:val="21"/>
          <w:highlight w:val="none"/>
        </w:rPr>
        <w:t>实施条例》、《政府采购货物和服务招标投标管理办法》，结合项目所在地政府有关政府采购规定和项目的实际情况制定。</w:t>
      </w:r>
    </w:p>
    <w:p>
      <w:pPr>
        <w:spacing w:line="360" w:lineRule="auto"/>
        <w:rPr>
          <w:rFonts w:ascii="宋体"/>
          <w:b/>
          <w:bCs/>
          <w:color w:val="auto"/>
          <w:szCs w:val="21"/>
          <w:highlight w:val="none"/>
        </w:rPr>
      </w:pPr>
      <w:r>
        <w:rPr>
          <w:rFonts w:hint="eastAsia" w:ascii="宋体"/>
          <w:b/>
          <w:bCs/>
          <w:color w:val="auto"/>
          <w:szCs w:val="21"/>
          <w:highlight w:val="none"/>
        </w:rPr>
        <w:t>一、总则</w:t>
      </w:r>
    </w:p>
    <w:p>
      <w:pPr>
        <w:spacing w:line="360" w:lineRule="auto"/>
        <w:ind w:firstLine="420" w:firstLineChars="200"/>
        <w:rPr>
          <w:rFonts w:ascii="宋体"/>
          <w:color w:val="auto"/>
          <w:szCs w:val="21"/>
          <w:highlight w:val="none"/>
        </w:rPr>
      </w:pPr>
      <w:r>
        <w:rPr>
          <w:rFonts w:hint="eastAsia" w:ascii="宋体"/>
          <w:color w:val="auto"/>
          <w:szCs w:val="21"/>
          <w:highlight w:val="none"/>
        </w:rPr>
        <w:t>招标活动遵循公平、公正、科学、择优的原则依法进行，招标活动及当事人接受依法实施的监督。本次招标采用综合评分法。</w:t>
      </w:r>
    </w:p>
    <w:p>
      <w:pPr>
        <w:spacing w:line="360" w:lineRule="auto"/>
        <w:rPr>
          <w:rFonts w:ascii="宋体"/>
          <w:b/>
          <w:bCs/>
          <w:color w:val="auto"/>
          <w:szCs w:val="21"/>
          <w:highlight w:val="none"/>
        </w:rPr>
      </w:pPr>
      <w:r>
        <w:rPr>
          <w:rFonts w:hint="eastAsia" w:ascii="宋体"/>
          <w:b/>
          <w:bCs/>
          <w:color w:val="auto"/>
          <w:szCs w:val="21"/>
          <w:highlight w:val="none"/>
        </w:rPr>
        <w:t>二、评标组织</w:t>
      </w:r>
    </w:p>
    <w:p>
      <w:pPr>
        <w:spacing w:line="360" w:lineRule="auto"/>
        <w:ind w:firstLine="420" w:firstLineChars="200"/>
        <w:rPr>
          <w:rFonts w:ascii="宋体"/>
          <w:color w:val="auto"/>
          <w:szCs w:val="21"/>
          <w:highlight w:val="none"/>
        </w:rPr>
      </w:pPr>
      <w:r>
        <w:rPr>
          <w:rFonts w:hint="eastAsia" w:ascii="宋体"/>
          <w:color w:val="auto"/>
          <w:szCs w:val="21"/>
          <w:highlight w:val="none"/>
        </w:rPr>
        <w:t>评标委员会：采购代理机构根据采购项目的内容特点按照规定组建评标委员会。评标委员会由技术、经济方面专家等有关人员组成。</w:t>
      </w:r>
    </w:p>
    <w:p>
      <w:pPr>
        <w:pStyle w:val="17"/>
        <w:spacing w:before="0" w:after="0" w:line="360" w:lineRule="auto"/>
        <w:jc w:val="both"/>
        <w:rPr>
          <w:rFonts w:ascii="Times New Roman" w:hAnsi="Times New Roman"/>
          <w:color w:val="000000"/>
          <w:sz w:val="21"/>
          <w:szCs w:val="21"/>
          <w:highlight w:val="none"/>
        </w:rPr>
      </w:pPr>
      <w:bookmarkStart w:id="8" w:name="_Toc41978682"/>
      <w:r>
        <w:rPr>
          <w:rFonts w:hint="eastAsia" w:ascii="Times New Roman" w:hAnsi="Times New Roman"/>
          <w:color w:val="000000"/>
          <w:sz w:val="21"/>
          <w:szCs w:val="21"/>
          <w:highlight w:val="none"/>
        </w:rPr>
        <w:t>三</w:t>
      </w:r>
      <w:r>
        <w:rPr>
          <w:rFonts w:ascii="Times New Roman" w:hAnsi="Times New Roman"/>
          <w:color w:val="000000"/>
          <w:sz w:val="21"/>
          <w:szCs w:val="21"/>
          <w:highlight w:val="none"/>
        </w:rPr>
        <w:t>、评标委员会</w:t>
      </w:r>
      <w:bookmarkEnd w:id="8"/>
    </w:p>
    <w:p>
      <w:pPr>
        <w:spacing w:line="360" w:lineRule="auto"/>
        <w:ind w:firstLine="420" w:firstLineChars="200"/>
        <w:rPr>
          <w:rFonts w:hint="eastAsia" w:ascii="宋体" w:hAnsi="Times New Roman" w:cs="Times New Roman"/>
          <w:b w:val="0"/>
          <w:bCs w:val="0"/>
          <w:color w:val="auto"/>
          <w:szCs w:val="21"/>
          <w:highlight w:val="none"/>
          <w:lang w:val="en-US" w:eastAsia="zh-CN"/>
        </w:rPr>
      </w:pPr>
      <w:r>
        <w:rPr>
          <w:rFonts w:hint="eastAsia" w:ascii="宋体" w:hAnsi="Times New Roman" w:cs="Times New Roman"/>
          <w:b w:val="0"/>
          <w:bCs w:val="0"/>
          <w:color w:val="auto"/>
          <w:szCs w:val="21"/>
          <w:highlight w:val="none"/>
          <w:lang w:val="en-US" w:eastAsia="zh-CN"/>
        </w:rPr>
        <w:t>（一）本次招标依法组建评标委员会。评标委员会由招标人代表和评审专家组成或全部由评审专家组成，评审专家从专家库随机抽取。</w:t>
      </w:r>
    </w:p>
    <w:p>
      <w:pPr>
        <w:spacing w:line="360" w:lineRule="auto"/>
        <w:ind w:firstLine="420" w:firstLineChars="200"/>
        <w:rPr>
          <w:rFonts w:hint="eastAsia" w:ascii="宋体" w:hAnsi="Times New Roman" w:cs="Times New Roman"/>
          <w:b w:val="0"/>
          <w:bCs w:val="0"/>
          <w:color w:val="auto"/>
          <w:szCs w:val="21"/>
          <w:highlight w:val="none"/>
          <w:lang w:val="en-US" w:eastAsia="zh-CN"/>
        </w:rPr>
      </w:pPr>
      <w:r>
        <w:rPr>
          <w:rFonts w:hint="eastAsia" w:ascii="宋体" w:hAnsi="Times New Roman" w:cs="Times New Roman"/>
          <w:b w:val="0"/>
          <w:bCs w:val="0"/>
          <w:color w:val="auto"/>
          <w:szCs w:val="21"/>
          <w:highlight w:val="none"/>
          <w:lang w:val="en-US" w:eastAsia="zh-CN"/>
        </w:rPr>
        <w:t>（二）评标原则。评标委员会必须遵循公平、公正、客观、科学的原则和规定的程序进行评标；评标的依据为招标文件和投标文件；评审人员应独立评标，不得带有任何倾向性和启发性影响他人评审；任何单位和个人不得干扰、影响评标的正常进行；评标委员会及有关工作人员不得私下与投标人接触，不得向外界透露任何与评标有关的内容。</w:t>
      </w:r>
    </w:p>
    <w:p>
      <w:pPr>
        <w:spacing w:line="360" w:lineRule="auto"/>
        <w:ind w:firstLine="420" w:firstLineChars="200"/>
        <w:rPr>
          <w:rFonts w:hint="eastAsia" w:ascii="宋体" w:hAnsi="Times New Roman" w:cs="Times New Roman"/>
          <w:b w:val="0"/>
          <w:bCs w:val="0"/>
          <w:color w:val="auto"/>
          <w:szCs w:val="21"/>
          <w:highlight w:val="none"/>
          <w:lang w:val="en-US" w:eastAsia="zh-CN"/>
        </w:rPr>
      </w:pPr>
      <w:r>
        <w:rPr>
          <w:rFonts w:hint="eastAsia" w:ascii="宋体" w:hAnsi="Times New Roman" w:cs="Times New Roman"/>
          <w:b w:val="0"/>
          <w:bCs w:val="0"/>
          <w:color w:val="auto"/>
          <w:szCs w:val="21"/>
          <w:highlight w:val="none"/>
          <w:lang w:val="en-US" w:eastAsia="zh-CN"/>
        </w:rPr>
        <w:t>（三）评审专家有下列情形之一的，受到邀请应主动提出回避，采购当事人也可以要求该评审专家回避：</w:t>
      </w:r>
    </w:p>
    <w:p>
      <w:pPr>
        <w:spacing w:line="360" w:lineRule="auto"/>
        <w:ind w:firstLine="420" w:firstLineChars="200"/>
        <w:rPr>
          <w:rFonts w:hint="eastAsia" w:ascii="宋体" w:hAnsi="Times New Roman" w:cs="Times New Roman"/>
          <w:b w:val="0"/>
          <w:bCs w:val="0"/>
          <w:color w:val="auto"/>
          <w:szCs w:val="21"/>
          <w:highlight w:val="none"/>
          <w:lang w:val="en-US" w:eastAsia="zh-CN"/>
        </w:rPr>
      </w:pPr>
      <w:r>
        <w:rPr>
          <w:rFonts w:hint="eastAsia" w:ascii="宋体" w:hAnsi="Times New Roman" w:cs="Times New Roman"/>
          <w:b w:val="0"/>
          <w:bCs w:val="0"/>
          <w:color w:val="auto"/>
          <w:szCs w:val="21"/>
          <w:highlight w:val="none"/>
          <w:lang w:val="en-US" w:eastAsia="zh-CN"/>
        </w:rPr>
        <w:t>1、本人、配偶或直系亲属3年内曾在参加该招标项目的投标人中任职（包括一般工作）或担任顾问，或与参加该招标项目的投标人发生过法律纠纷；</w:t>
      </w:r>
    </w:p>
    <w:p>
      <w:pPr>
        <w:spacing w:line="360" w:lineRule="auto"/>
        <w:ind w:firstLine="420" w:firstLineChars="200"/>
        <w:rPr>
          <w:rFonts w:hint="eastAsia" w:ascii="宋体" w:hAnsi="Times New Roman" w:cs="Times New Roman"/>
          <w:b w:val="0"/>
          <w:bCs w:val="0"/>
          <w:color w:val="auto"/>
          <w:szCs w:val="21"/>
          <w:highlight w:val="none"/>
          <w:lang w:val="en-US" w:eastAsia="zh-CN"/>
        </w:rPr>
      </w:pPr>
      <w:r>
        <w:rPr>
          <w:rFonts w:hint="eastAsia" w:ascii="宋体" w:hAnsi="Times New Roman" w:cs="Times New Roman"/>
          <w:b w:val="0"/>
          <w:bCs w:val="0"/>
          <w:color w:val="auto"/>
          <w:szCs w:val="21"/>
          <w:highlight w:val="none"/>
          <w:lang w:val="en-US" w:eastAsia="zh-CN"/>
        </w:rPr>
        <w:t>2、任职单位与招标人或参加该招标项目投标人存在行政隶属关系；</w:t>
      </w:r>
    </w:p>
    <w:p>
      <w:pPr>
        <w:spacing w:line="360" w:lineRule="auto"/>
        <w:ind w:firstLine="420" w:firstLineChars="200"/>
        <w:rPr>
          <w:rFonts w:hint="eastAsia" w:ascii="宋体" w:hAnsi="Times New Roman" w:cs="Times New Roman"/>
          <w:b w:val="0"/>
          <w:bCs w:val="0"/>
          <w:color w:val="auto"/>
          <w:szCs w:val="21"/>
          <w:highlight w:val="none"/>
          <w:lang w:val="en-US" w:eastAsia="zh-CN"/>
        </w:rPr>
      </w:pPr>
      <w:r>
        <w:rPr>
          <w:rFonts w:hint="eastAsia" w:ascii="宋体" w:hAnsi="Times New Roman" w:cs="Times New Roman"/>
          <w:b w:val="0"/>
          <w:bCs w:val="0"/>
          <w:color w:val="auto"/>
          <w:szCs w:val="21"/>
          <w:highlight w:val="none"/>
          <w:lang w:val="en-US" w:eastAsia="zh-CN"/>
        </w:rPr>
        <w:t>3、曾经参加过该招标项目的进口产品或招标文件、采购需求、招标方式的论证和咨询服务工作；</w:t>
      </w:r>
    </w:p>
    <w:p>
      <w:pPr>
        <w:spacing w:line="360" w:lineRule="auto"/>
        <w:ind w:firstLine="420" w:firstLineChars="200"/>
        <w:rPr>
          <w:rFonts w:hint="eastAsia" w:ascii="宋体" w:hAnsi="Times New Roman" w:cs="Times New Roman"/>
          <w:b w:val="0"/>
          <w:bCs w:val="0"/>
          <w:color w:val="auto"/>
          <w:szCs w:val="21"/>
          <w:highlight w:val="none"/>
          <w:lang w:val="en-US" w:eastAsia="zh-CN"/>
        </w:rPr>
      </w:pPr>
      <w:r>
        <w:rPr>
          <w:rFonts w:hint="eastAsia" w:ascii="宋体" w:hAnsi="Times New Roman" w:cs="Times New Roman"/>
          <w:b w:val="0"/>
          <w:bCs w:val="0"/>
          <w:color w:val="auto"/>
          <w:szCs w:val="21"/>
          <w:highlight w:val="none"/>
          <w:lang w:val="en-US" w:eastAsia="zh-CN"/>
        </w:rPr>
        <w:t>4、是参加该招标项目投标人的上级主管部门、控股或参股单位的工作人员，或与该投标人存在其他经济利益关系；</w:t>
      </w:r>
    </w:p>
    <w:p>
      <w:pPr>
        <w:spacing w:line="360" w:lineRule="auto"/>
        <w:ind w:firstLine="420" w:firstLineChars="200"/>
        <w:rPr>
          <w:rFonts w:hint="eastAsia" w:ascii="宋体" w:hAnsi="Times New Roman" w:cs="Times New Roman"/>
          <w:b w:val="0"/>
          <w:bCs w:val="0"/>
          <w:color w:val="auto"/>
          <w:szCs w:val="21"/>
          <w:highlight w:val="none"/>
          <w:lang w:val="en-US" w:eastAsia="zh-CN"/>
        </w:rPr>
      </w:pPr>
      <w:r>
        <w:rPr>
          <w:rFonts w:hint="eastAsia" w:ascii="宋体" w:hAnsi="Times New Roman" w:cs="Times New Roman"/>
          <w:b w:val="0"/>
          <w:bCs w:val="0"/>
          <w:color w:val="auto"/>
          <w:szCs w:val="21"/>
          <w:highlight w:val="none"/>
          <w:lang w:val="en-US" w:eastAsia="zh-CN"/>
        </w:rPr>
        <w:t>5、评审委员会成员之间具有配偶、近亲属关系；</w:t>
      </w:r>
    </w:p>
    <w:p>
      <w:pPr>
        <w:spacing w:line="360" w:lineRule="auto"/>
        <w:ind w:firstLine="420" w:firstLineChars="200"/>
        <w:rPr>
          <w:rFonts w:hint="eastAsia" w:ascii="宋体" w:hAnsi="Times New Roman" w:cs="Times New Roman"/>
          <w:b w:val="0"/>
          <w:bCs w:val="0"/>
          <w:color w:val="auto"/>
          <w:szCs w:val="21"/>
          <w:highlight w:val="none"/>
          <w:lang w:val="en-US" w:eastAsia="zh-CN"/>
        </w:rPr>
      </w:pPr>
      <w:r>
        <w:rPr>
          <w:rFonts w:hint="eastAsia" w:ascii="宋体" w:hAnsi="Times New Roman" w:cs="Times New Roman"/>
          <w:b w:val="0"/>
          <w:bCs w:val="0"/>
          <w:color w:val="auto"/>
          <w:szCs w:val="21"/>
          <w:highlight w:val="none"/>
          <w:lang w:val="en-US" w:eastAsia="zh-CN"/>
        </w:rPr>
        <w:t>6、同一单位的评审专家在同一项目评审委员会成员中超过一名；</w:t>
      </w:r>
    </w:p>
    <w:p>
      <w:pPr>
        <w:spacing w:line="360" w:lineRule="auto"/>
        <w:ind w:firstLine="420" w:firstLineChars="200"/>
        <w:rPr>
          <w:rFonts w:hint="eastAsia" w:ascii="宋体" w:hAnsi="Times New Roman" w:cs="Times New Roman"/>
          <w:b w:val="0"/>
          <w:bCs w:val="0"/>
          <w:color w:val="auto"/>
          <w:szCs w:val="21"/>
          <w:highlight w:val="none"/>
          <w:lang w:val="en-US" w:eastAsia="zh-CN"/>
        </w:rPr>
      </w:pPr>
      <w:r>
        <w:rPr>
          <w:rFonts w:hint="eastAsia" w:ascii="宋体" w:hAnsi="Times New Roman" w:cs="Times New Roman"/>
          <w:b w:val="0"/>
          <w:bCs w:val="0"/>
          <w:color w:val="auto"/>
          <w:szCs w:val="21"/>
          <w:highlight w:val="none"/>
          <w:lang w:val="en-US" w:eastAsia="zh-CN"/>
        </w:rPr>
        <w:t>7、法律、法规、规章规定应当回避以及其他可能影响公正评审的。</w:t>
      </w:r>
    </w:p>
    <w:p>
      <w:pPr>
        <w:spacing w:line="360" w:lineRule="auto"/>
        <w:ind w:firstLine="420" w:firstLineChars="200"/>
        <w:rPr>
          <w:rFonts w:hint="eastAsia" w:ascii="宋体" w:hAnsi="Times New Roman" w:cs="Times New Roman"/>
          <w:b w:val="0"/>
          <w:bCs w:val="0"/>
          <w:color w:val="auto"/>
          <w:szCs w:val="21"/>
          <w:highlight w:val="none"/>
          <w:lang w:val="en-US" w:eastAsia="zh-CN"/>
        </w:rPr>
      </w:pPr>
      <w:r>
        <w:rPr>
          <w:rFonts w:hint="eastAsia" w:ascii="宋体" w:hAnsi="Times New Roman" w:cs="Times New Roman"/>
          <w:b w:val="0"/>
          <w:bCs w:val="0"/>
          <w:color w:val="auto"/>
          <w:szCs w:val="21"/>
          <w:highlight w:val="none"/>
          <w:lang w:val="en-US" w:eastAsia="zh-CN"/>
        </w:rPr>
        <w:t>（四）评标委员会判断投标文件的有效性、合格性和响应情况，仅依据投标人所递交一切文件的真实表述，不受与本项目无直接关联的外部信息、传言而影响自身的专业判断。</w:t>
      </w:r>
    </w:p>
    <w:p>
      <w:pPr>
        <w:spacing w:line="360" w:lineRule="auto"/>
        <w:ind w:firstLine="420" w:firstLineChars="200"/>
        <w:rPr>
          <w:rFonts w:hint="eastAsia" w:ascii="宋体" w:hAnsi="Times New Roman" w:cs="Times New Roman"/>
          <w:b w:val="0"/>
          <w:bCs w:val="0"/>
          <w:color w:val="auto"/>
          <w:szCs w:val="21"/>
          <w:highlight w:val="none"/>
          <w:lang w:val="en-US" w:eastAsia="zh-CN"/>
        </w:rPr>
      </w:pPr>
      <w:r>
        <w:rPr>
          <w:rFonts w:hint="eastAsia" w:ascii="宋体" w:hAnsi="Times New Roman" w:cs="Times New Roman"/>
          <w:b w:val="0"/>
          <w:bCs w:val="0"/>
          <w:color w:val="auto"/>
          <w:szCs w:val="21"/>
          <w:highlight w:val="none"/>
          <w:lang w:val="en-US" w:eastAsia="zh-CN"/>
        </w:rPr>
        <w:t>（五）评委依法独立评审，并对评审意见承担个人责任。评委对需要共同认定的事项存在争议的，按照少数服从多数的原则做出结论。持不同意见的评委应当在评审报告上签署不同意见并说明理由，否则视为同意。</w:t>
      </w:r>
    </w:p>
    <w:p>
      <w:pPr>
        <w:spacing w:line="360" w:lineRule="auto"/>
        <w:rPr>
          <w:rFonts w:ascii="宋体"/>
          <w:b/>
          <w:bCs/>
          <w:color w:val="auto"/>
          <w:szCs w:val="21"/>
          <w:highlight w:val="none"/>
        </w:rPr>
      </w:pPr>
      <w:r>
        <w:rPr>
          <w:rFonts w:hint="eastAsia" w:ascii="宋体"/>
          <w:b/>
          <w:bCs/>
          <w:color w:val="auto"/>
          <w:szCs w:val="21"/>
          <w:highlight w:val="none"/>
          <w:lang w:val="en-US" w:eastAsia="zh-CN"/>
        </w:rPr>
        <w:t>四</w:t>
      </w:r>
      <w:r>
        <w:rPr>
          <w:rFonts w:hint="eastAsia" w:ascii="宋体"/>
          <w:b/>
          <w:bCs/>
          <w:color w:val="auto"/>
          <w:szCs w:val="21"/>
          <w:highlight w:val="none"/>
        </w:rPr>
        <w:t>、评标程序</w:t>
      </w:r>
    </w:p>
    <w:p>
      <w:pPr>
        <w:spacing w:line="360" w:lineRule="auto"/>
        <w:ind w:firstLine="420"/>
        <w:rPr>
          <w:rFonts w:ascii="宋体"/>
          <w:color w:val="auto"/>
          <w:szCs w:val="21"/>
          <w:highlight w:val="none"/>
        </w:rPr>
      </w:pPr>
      <w:r>
        <w:rPr>
          <w:rFonts w:hint="eastAsia" w:ascii="宋体"/>
          <w:color w:val="auto"/>
          <w:szCs w:val="21"/>
          <w:highlight w:val="none"/>
        </w:rPr>
        <w:t>1</w:t>
      </w:r>
      <w:r>
        <w:rPr>
          <w:rFonts w:hint="eastAsia" w:ascii="宋体"/>
          <w:color w:val="auto"/>
          <w:szCs w:val="21"/>
          <w:highlight w:val="none"/>
          <w:lang w:val="en-US" w:eastAsia="zh-CN"/>
        </w:rPr>
        <w:t>.</w:t>
      </w:r>
      <w:r>
        <w:rPr>
          <w:rFonts w:hint="eastAsia" w:ascii="宋体"/>
          <w:color w:val="auto"/>
          <w:szCs w:val="21"/>
          <w:highlight w:val="none"/>
        </w:rPr>
        <w:t>采购代理机构按《招标文件》规定的时间、地点组织进行开标。开标会议由采购代理机构组织，按《招标文件》的规定对投标人的基本情况进行审核。</w:t>
      </w:r>
    </w:p>
    <w:p>
      <w:pPr>
        <w:shd w:val="clear"/>
        <w:spacing w:line="360" w:lineRule="auto"/>
        <w:ind w:firstLine="422" w:firstLineChars="200"/>
        <w:rPr>
          <w:rFonts w:hint="eastAsia" w:ascii="宋体"/>
          <w:b/>
          <w:bCs/>
          <w:color w:val="auto"/>
          <w:szCs w:val="21"/>
          <w:highlight w:val="none"/>
        </w:rPr>
      </w:pPr>
      <w:r>
        <w:rPr>
          <w:rFonts w:hint="eastAsia" w:ascii="宋体"/>
          <w:b/>
          <w:bCs/>
          <w:color w:val="auto"/>
          <w:szCs w:val="21"/>
          <w:highlight w:val="none"/>
        </w:rPr>
        <w:t>2.本次采购项目的评标方法为：综合评分法</w:t>
      </w:r>
      <w:r>
        <w:rPr>
          <w:rFonts w:hint="eastAsia" w:ascii="宋体"/>
          <w:b/>
          <w:bCs/>
          <w:color w:val="auto"/>
          <w:szCs w:val="21"/>
          <w:highlight w:val="none"/>
          <w:lang w:eastAsia="zh-CN"/>
        </w:rPr>
        <w:t>。</w:t>
      </w:r>
      <w:r>
        <w:rPr>
          <w:rFonts w:hint="eastAsia" w:ascii="宋体"/>
          <w:b/>
          <w:bCs/>
          <w:color w:val="auto"/>
          <w:szCs w:val="21"/>
          <w:highlight w:val="none"/>
        </w:rPr>
        <w:t>采购代理机构</w:t>
      </w:r>
      <w:r>
        <w:rPr>
          <w:rFonts w:hint="eastAsia" w:ascii="宋体"/>
          <w:b/>
          <w:bCs/>
          <w:color w:val="auto"/>
          <w:szCs w:val="21"/>
          <w:highlight w:val="none"/>
          <w:lang w:val="en-US" w:eastAsia="zh-CN"/>
        </w:rPr>
        <w:t>同时开启</w:t>
      </w:r>
      <w:r>
        <w:rPr>
          <w:rFonts w:hint="eastAsia" w:ascii="宋体"/>
          <w:b/>
          <w:bCs/>
          <w:color w:val="auto"/>
          <w:szCs w:val="21"/>
          <w:highlight w:val="none"/>
        </w:rPr>
        <w:t>各投标人资信商务文件、标段一技术文件、标段一报价文件，并清点份数。由唱标人公布投标人名称、投标内容、投标价格等以及采购代理机构认为合适的其他内容，并由记录人做开标记录，由投标人代表等在开标记录表上签字确认（不予确认的应说明理由，否则视为无异议）。唱标结束后，现场工作人员将资信商务文件、标段一技术文件、标段一报价文件护送至指定评审地点，由评审小组根据《招标文件》规定标段一的</w:t>
      </w:r>
      <w:r>
        <w:rPr>
          <w:rFonts w:hint="eastAsia" w:ascii="宋体"/>
          <w:b/>
          <w:bCs/>
          <w:color w:val="auto"/>
          <w:szCs w:val="21"/>
          <w:highlight w:val="none"/>
          <w:lang w:eastAsia="zh-CN"/>
        </w:rPr>
        <w:t>投标人</w:t>
      </w:r>
      <w:r>
        <w:rPr>
          <w:rFonts w:hint="eastAsia" w:ascii="宋体"/>
          <w:b/>
          <w:bCs/>
          <w:color w:val="auto"/>
          <w:szCs w:val="21"/>
          <w:highlight w:val="none"/>
        </w:rPr>
        <w:t>的投标文件进行评审</w:t>
      </w:r>
      <w:r>
        <w:rPr>
          <w:rFonts w:hint="eastAsia" w:ascii="宋体"/>
          <w:b/>
          <w:bCs/>
          <w:color w:val="auto"/>
          <w:szCs w:val="21"/>
          <w:highlight w:val="none"/>
          <w:lang w:eastAsia="zh-CN"/>
        </w:rPr>
        <w:t>。</w:t>
      </w:r>
      <w:r>
        <w:rPr>
          <w:rFonts w:hint="eastAsia" w:ascii="宋体"/>
          <w:b/>
          <w:bCs/>
          <w:color w:val="auto"/>
          <w:szCs w:val="21"/>
          <w:highlight w:val="none"/>
        </w:rPr>
        <w:t>对</w:t>
      </w:r>
      <w:r>
        <w:rPr>
          <w:rFonts w:hint="eastAsia" w:ascii="宋体"/>
          <w:b/>
          <w:bCs/>
          <w:color w:val="auto"/>
          <w:szCs w:val="21"/>
          <w:highlight w:val="none"/>
          <w:lang w:eastAsia="zh-CN"/>
        </w:rPr>
        <w:t>投标人</w:t>
      </w:r>
      <w:r>
        <w:rPr>
          <w:rFonts w:hint="eastAsia" w:ascii="宋体"/>
          <w:b/>
          <w:bCs/>
          <w:color w:val="auto"/>
          <w:szCs w:val="21"/>
          <w:highlight w:val="none"/>
        </w:rPr>
        <w:t>表述不清的内容，评标委员会将向</w:t>
      </w:r>
      <w:r>
        <w:rPr>
          <w:rFonts w:hint="eastAsia" w:ascii="宋体"/>
          <w:b/>
          <w:bCs/>
          <w:color w:val="auto"/>
          <w:szCs w:val="21"/>
          <w:highlight w:val="none"/>
          <w:lang w:eastAsia="zh-CN"/>
        </w:rPr>
        <w:t>投标人</w:t>
      </w:r>
      <w:r>
        <w:rPr>
          <w:rFonts w:hint="eastAsia" w:ascii="宋体"/>
          <w:b/>
          <w:bCs/>
          <w:color w:val="auto"/>
          <w:szCs w:val="21"/>
          <w:highlight w:val="none"/>
        </w:rPr>
        <w:t>进行询标，请其澄清其</w:t>
      </w:r>
      <w:r>
        <w:rPr>
          <w:rFonts w:hint="eastAsia" w:ascii="宋体"/>
          <w:b/>
          <w:bCs/>
          <w:color w:val="auto"/>
          <w:szCs w:val="21"/>
          <w:highlight w:val="none"/>
          <w:lang w:val="en-US" w:eastAsia="zh-CN"/>
        </w:rPr>
        <w:t>资信</w:t>
      </w:r>
      <w:r>
        <w:rPr>
          <w:rFonts w:hint="eastAsia" w:ascii="宋体"/>
          <w:b/>
          <w:bCs/>
          <w:color w:val="auto"/>
          <w:szCs w:val="21"/>
          <w:highlight w:val="none"/>
        </w:rPr>
        <w:t>商务文件、技术文件和报价文件的内容</w:t>
      </w:r>
      <w:r>
        <w:rPr>
          <w:rFonts w:hint="eastAsia" w:ascii="宋体"/>
          <w:b/>
          <w:bCs/>
          <w:color w:val="auto"/>
          <w:szCs w:val="21"/>
          <w:highlight w:val="none"/>
          <w:lang w:eastAsia="zh-CN"/>
        </w:rPr>
        <w:t>。</w:t>
      </w:r>
      <w:r>
        <w:rPr>
          <w:rFonts w:hint="eastAsia" w:ascii="宋体"/>
          <w:b/>
          <w:bCs/>
          <w:color w:val="auto"/>
          <w:szCs w:val="21"/>
          <w:highlight w:val="none"/>
          <w:lang w:val="en-US" w:eastAsia="zh-CN"/>
        </w:rPr>
        <w:t>其中</w:t>
      </w:r>
      <w:r>
        <w:rPr>
          <w:rFonts w:hint="eastAsia" w:ascii="宋体"/>
          <w:b/>
          <w:bCs/>
          <w:color w:val="auto"/>
          <w:szCs w:val="21"/>
          <w:highlight w:val="none"/>
        </w:rPr>
        <w:t>现场答辩为</w:t>
      </w:r>
      <w:r>
        <w:rPr>
          <w:rFonts w:hint="eastAsia" w:ascii="宋体"/>
          <w:b/>
          <w:bCs/>
          <w:color w:val="auto"/>
          <w:szCs w:val="21"/>
          <w:highlight w:val="none"/>
          <w:lang w:val="en-US" w:eastAsia="zh-CN"/>
        </w:rPr>
        <w:t>各投标人对所投标段进行一次整体答辩，评委进行打分，并将分数计入该投标人所投各个标段的答辩分。</w:t>
      </w:r>
      <w:r>
        <w:rPr>
          <w:rFonts w:hint="eastAsia" w:ascii="宋体"/>
          <w:b/>
          <w:bCs/>
          <w:color w:val="auto"/>
          <w:szCs w:val="21"/>
          <w:highlight w:val="none"/>
        </w:rPr>
        <w:t>最终评标委员会对该标段各</w:t>
      </w:r>
      <w:r>
        <w:rPr>
          <w:rFonts w:hint="eastAsia" w:ascii="宋体"/>
          <w:b/>
          <w:bCs/>
          <w:color w:val="auto"/>
          <w:szCs w:val="21"/>
          <w:highlight w:val="none"/>
          <w:lang w:eastAsia="zh-CN"/>
        </w:rPr>
        <w:t>投标人</w:t>
      </w:r>
      <w:r>
        <w:rPr>
          <w:rFonts w:hint="eastAsia" w:ascii="宋体"/>
          <w:b/>
          <w:bCs/>
          <w:color w:val="auto"/>
          <w:szCs w:val="21"/>
          <w:highlight w:val="none"/>
        </w:rPr>
        <w:t>进行打分，汇总</w:t>
      </w:r>
      <w:r>
        <w:rPr>
          <w:rFonts w:hint="eastAsia" w:ascii="宋体"/>
          <w:b/>
          <w:bCs/>
          <w:color w:val="auto"/>
          <w:szCs w:val="21"/>
          <w:highlight w:val="none"/>
          <w:lang w:val="en-US" w:eastAsia="zh-CN"/>
        </w:rPr>
        <w:t>并公布评审结果</w:t>
      </w:r>
      <w:r>
        <w:rPr>
          <w:rFonts w:hint="eastAsia" w:ascii="宋体"/>
          <w:b/>
          <w:bCs/>
          <w:color w:val="auto"/>
          <w:szCs w:val="21"/>
          <w:highlight w:val="none"/>
        </w:rPr>
        <w:t>。</w:t>
      </w:r>
      <w:r>
        <w:rPr>
          <w:rFonts w:hint="eastAsia" w:ascii="宋体"/>
          <w:b/>
          <w:bCs/>
          <w:color w:val="auto"/>
          <w:szCs w:val="21"/>
          <w:highlight w:val="none"/>
          <w:lang w:val="en-US" w:eastAsia="zh-CN"/>
        </w:rPr>
        <w:t>标段一开标结束后，</w:t>
      </w:r>
      <w:r>
        <w:rPr>
          <w:rFonts w:hint="eastAsia" w:ascii="宋体"/>
          <w:b/>
          <w:bCs/>
          <w:color w:val="auto"/>
          <w:szCs w:val="21"/>
          <w:highlight w:val="none"/>
        </w:rPr>
        <w:t>根据标段号（一、二、三、四、五、六、七、八、九</w:t>
      </w:r>
      <w:r>
        <w:rPr>
          <w:rFonts w:hint="eastAsia" w:ascii="宋体"/>
          <w:b/>
          <w:bCs/>
          <w:color w:val="auto"/>
          <w:szCs w:val="21"/>
          <w:highlight w:val="none"/>
          <w:lang w:eastAsia="zh-CN"/>
        </w:rPr>
        <w:t>、</w:t>
      </w:r>
      <w:r>
        <w:rPr>
          <w:rFonts w:hint="eastAsia" w:ascii="宋体"/>
          <w:b/>
          <w:bCs/>
          <w:color w:val="auto"/>
          <w:szCs w:val="21"/>
          <w:highlight w:val="none"/>
          <w:lang w:val="en-US" w:eastAsia="zh-CN"/>
        </w:rPr>
        <w:t>十、十一</w:t>
      </w:r>
      <w:r>
        <w:rPr>
          <w:rFonts w:hint="eastAsia" w:ascii="宋体"/>
          <w:b/>
          <w:bCs/>
          <w:color w:val="auto"/>
          <w:szCs w:val="21"/>
          <w:highlight w:val="none"/>
        </w:rPr>
        <w:t>）顺序依次类推</w:t>
      </w:r>
      <w:r>
        <w:rPr>
          <w:rFonts w:hint="eastAsia" w:ascii="宋体"/>
          <w:b/>
          <w:bCs/>
          <w:color w:val="auto"/>
          <w:szCs w:val="21"/>
          <w:highlight w:val="none"/>
          <w:lang w:val="en-US" w:eastAsia="zh-CN"/>
        </w:rPr>
        <w:t>进行下一标段的评审</w:t>
      </w:r>
      <w:r>
        <w:rPr>
          <w:rFonts w:hint="eastAsia" w:ascii="宋体"/>
          <w:b/>
          <w:bCs/>
          <w:color w:val="auto"/>
          <w:szCs w:val="21"/>
          <w:highlight w:val="none"/>
        </w:rPr>
        <w:t>。</w:t>
      </w:r>
    </w:p>
    <w:p>
      <w:pPr>
        <w:spacing w:line="360" w:lineRule="auto"/>
        <w:ind w:firstLine="420" w:firstLineChars="200"/>
        <w:rPr>
          <w:rFonts w:hint="eastAsia" w:ascii="宋体"/>
          <w:color w:val="auto"/>
          <w:szCs w:val="21"/>
          <w:highlight w:val="none"/>
        </w:rPr>
      </w:pPr>
      <w:r>
        <w:rPr>
          <w:rFonts w:hint="eastAsia" w:ascii="宋体"/>
          <w:color w:val="auto"/>
          <w:szCs w:val="21"/>
          <w:highlight w:val="none"/>
        </w:rPr>
        <w:t>3. 按照评标办法得分，评标委员会推荐中标候选人，最后在招标公告发布的网站上公布中标结果。</w:t>
      </w:r>
    </w:p>
    <w:p>
      <w:pPr>
        <w:spacing w:line="360" w:lineRule="auto"/>
        <w:rPr>
          <w:rFonts w:ascii="宋体"/>
          <w:b/>
          <w:bCs/>
          <w:color w:val="auto"/>
          <w:szCs w:val="21"/>
          <w:highlight w:val="none"/>
        </w:rPr>
      </w:pPr>
      <w:r>
        <w:rPr>
          <w:rFonts w:hint="eastAsia" w:ascii="宋体"/>
          <w:b/>
          <w:bCs/>
          <w:color w:val="auto"/>
          <w:szCs w:val="21"/>
          <w:highlight w:val="none"/>
          <w:lang w:val="en-US" w:eastAsia="zh-CN"/>
        </w:rPr>
        <w:t>五</w:t>
      </w:r>
      <w:r>
        <w:rPr>
          <w:rFonts w:hint="eastAsia" w:ascii="宋体"/>
          <w:b/>
          <w:bCs/>
          <w:color w:val="auto"/>
          <w:szCs w:val="21"/>
          <w:highlight w:val="none"/>
        </w:rPr>
        <w:t>、评标过程</w:t>
      </w:r>
    </w:p>
    <w:p>
      <w:pPr>
        <w:snapToGrid w:val="0"/>
        <w:spacing w:line="360" w:lineRule="auto"/>
        <w:ind w:firstLine="472" w:firstLineChars="225"/>
        <w:rPr>
          <w:rFonts w:ascii="宋体" w:hAnsi="仿宋_GB2312"/>
          <w:color w:val="auto"/>
          <w:szCs w:val="21"/>
          <w:highlight w:val="none"/>
        </w:rPr>
      </w:pPr>
      <w:r>
        <w:rPr>
          <w:rFonts w:hint="eastAsia" w:ascii="宋体" w:hAnsi="仿宋_GB2312"/>
          <w:color w:val="auto"/>
          <w:szCs w:val="21"/>
          <w:highlight w:val="none"/>
        </w:rPr>
        <w:t>1</w:t>
      </w:r>
      <w:r>
        <w:rPr>
          <w:rFonts w:hint="eastAsia" w:ascii="宋体" w:hAnsi="仿宋_GB2312"/>
          <w:color w:val="auto"/>
          <w:szCs w:val="21"/>
          <w:highlight w:val="none"/>
          <w:lang w:val="en-US" w:eastAsia="zh-CN"/>
        </w:rPr>
        <w:t>.</w:t>
      </w:r>
      <w:r>
        <w:rPr>
          <w:rFonts w:hint="eastAsia" w:ascii="宋体" w:hAnsi="仿宋_GB2312"/>
          <w:color w:val="auto"/>
          <w:szCs w:val="21"/>
          <w:highlight w:val="none"/>
        </w:rPr>
        <w:t>初步审查</w:t>
      </w:r>
    </w:p>
    <w:p>
      <w:pPr>
        <w:spacing w:line="360" w:lineRule="auto"/>
        <w:ind w:firstLine="420" w:firstLineChars="200"/>
        <w:rPr>
          <w:rFonts w:ascii="宋体"/>
          <w:color w:val="auto"/>
          <w:szCs w:val="21"/>
          <w:highlight w:val="none"/>
        </w:rPr>
      </w:pPr>
      <w:r>
        <w:rPr>
          <w:rFonts w:hint="eastAsia" w:ascii="宋体"/>
          <w:color w:val="auto"/>
          <w:szCs w:val="21"/>
          <w:highlight w:val="none"/>
        </w:rPr>
        <w:t>初审分为资格性检查和符合性检查。</w:t>
      </w:r>
    </w:p>
    <w:p>
      <w:pPr>
        <w:spacing w:line="360" w:lineRule="auto"/>
        <w:ind w:firstLine="420" w:firstLineChars="200"/>
        <w:rPr>
          <w:rFonts w:ascii="宋体"/>
          <w:color w:val="auto"/>
          <w:szCs w:val="21"/>
          <w:highlight w:val="none"/>
        </w:rPr>
      </w:pPr>
      <w:r>
        <w:rPr>
          <w:rFonts w:hint="eastAsia" w:ascii="宋体"/>
          <w:color w:val="auto"/>
          <w:szCs w:val="21"/>
          <w:highlight w:val="none"/>
        </w:rPr>
        <w:t>资格性检查。依据法律法规和招标文件的规定，对投标文件中的资格证明等进行审查，以确定投标供应商是否具备投标资格。</w:t>
      </w:r>
    </w:p>
    <w:p>
      <w:pPr>
        <w:spacing w:line="360" w:lineRule="auto"/>
        <w:ind w:firstLine="420" w:firstLineChars="200"/>
        <w:rPr>
          <w:rFonts w:ascii="宋体"/>
          <w:color w:val="auto"/>
          <w:szCs w:val="21"/>
          <w:highlight w:val="none"/>
        </w:rPr>
      </w:pPr>
      <w:r>
        <w:rPr>
          <w:rFonts w:hint="eastAsia" w:ascii="宋体"/>
          <w:color w:val="auto"/>
          <w:szCs w:val="21"/>
          <w:highlight w:val="none"/>
        </w:rPr>
        <w:t>符合性检查。依据招标文件的规定，从投标文件的有效性、完整性和对招标文件的响应程度进行审查，以确定是否对招标文件的实质性要求作出响应。</w:t>
      </w:r>
    </w:p>
    <w:p>
      <w:pPr>
        <w:snapToGrid w:val="0"/>
        <w:spacing w:line="360" w:lineRule="auto"/>
        <w:ind w:firstLine="472" w:firstLineChars="225"/>
        <w:rPr>
          <w:rFonts w:ascii="宋体" w:hAnsi="仿宋_GB2312"/>
          <w:b/>
          <w:bCs/>
          <w:color w:val="auto"/>
          <w:szCs w:val="21"/>
          <w:highlight w:val="none"/>
        </w:rPr>
      </w:pPr>
      <w:r>
        <w:rPr>
          <w:rFonts w:hint="eastAsia" w:ascii="宋体" w:hAnsi="仿宋_GB2312"/>
          <w:color w:val="auto"/>
          <w:szCs w:val="21"/>
          <w:highlight w:val="none"/>
        </w:rPr>
        <w:t>2</w:t>
      </w:r>
      <w:r>
        <w:rPr>
          <w:rFonts w:hint="eastAsia" w:ascii="宋体" w:hAnsi="仿宋_GB2312"/>
          <w:color w:val="auto"/>
          <w:szCs w:val="21"/>
          <w:highlight w:val="none"/>
          <w:lang w:val="en-US" w:eastAsia="zh-CN"/>
        </w:rPr>
        <w:t>.</w:t>
      </w:r>
      <w:r>
        <w:rPr>
          <w:rFonts w:hint="eastAsia" w:ascii="宋体" w:hAnsi="仿宋_GB2312"/>
          <w:color w:val="auto"/>
          <w:szCs w:val="21"/>
          <w:highlight w:val="none"/>
        </w:rPr>
        <w:t>澄清问题</w:t>
      </w:r>
    </w:p>
    <w:p>
      <w:pPr>
        <w:spacing w:line="360" w:lineRule="auto"/>
        <w:ind w:firstLine="420" w:firstLineChars="200"/>
        <w:rPr>
          <w:rFonts w:ascii="宋体"/>
          <w:color w:val="auto"/>
          <w:szCs w:val="21"/>
          <w:highlight w:val="none"/>
        </w:rPr>
      </w:pPr>
      <w:r>
        <w:rPr>
          <w:rFonts w:hint="eastAsia" w:ascii="宋体"/>
          <w:color w:val="auto"/>
          <w:szCs w:val="21"/>
          <w:highlight w:val="none"/>
        </w:rPr>
        <w:t>对投标文件中含义不明确、同类问题表述不一致或者有明显文字和计算错误的内容，评标委员会要求</w:t>
      </w:r>
      <w:r>
        <w:rPr>
          <w:rFonts w:hint="eastAsia" w:ascii="宋体"/>
          <w:color w:val="auto"/>
          <w:szCs w:val="21"/>
          <w:highlight w:val="none"/>
          <w:lang w:eastAsia="zh-CN"/>
        </w:rPr>
        <w:t>投标人</w:t>
      </w:r>
      <w:r>
        <w:rPr>
          <w:rFonts w:hint="eastAsia" w:ascii="宋体"/>
          <w:color w:val="auto"/>
          <w:szCs w:val="21"/>
          <w:highlight w:val="none"/>
        </w:rPr>
        <w:t>作出必要的澄清、说明或者纠正。</w:t>
      </w:r>
      <w:r>
        <w:rPr>
          <w:rFonts w:hint="eastAsia" w:ascii="宋体"/>
          <w:color w:val="auto"/>
          <w:szCs w:val="21"/>
          <w:highlight w:val="none"/>
          <w:lang w:eastAsia="zh-CN"/>
        </w:rPr>
        <w:t>投标人</w:t>
      </w:r>
      <w:r>
        <w:rPr>
          <w:rFonts w:hint="eastAsia" w:ascii="宋体"/>
          <w:color w:val="auto"/>
          <w:szCs w:val="21"/>
          <w:highlight w:val="none"/>
        </w:rPr>
        <w:t>的澄清、说明或者补正应当采用书面形式，由其授权的代表签字，并不得超出投标文件的范围或者改变投标文件的实质性内容。</w:t>
      </w:r>
    </w:p>
    <w:p>
      <w:pPr>
        <w:snapToGrid w:val="0"/>
        <w:spacing w:line="360" w:lineRule="auto"/>
        <w:ind w:firstLine="420" w:firstLineChars="200"/>
        <w:rPr>
          <w:rFonts w:ascii="宋体" w:hAnsi="仿宋_GB2312"/>
          <w:color w:val="auto"/>
          <w:szCs w:val="21"/>
          <w:highlight w:val="none"/>
        </w:rPr>
      </w:pPr>
      <w:r>
        <w:rPr>
          <w:rFonts w:hint="eastAsia" w:ascii="宋体" w:hAnsi="仿宋_GB2312"/>
          <w:color w:val="auto"/>
          <w:szCs w:val="21"/>
          <w:highlight w:val="none"/>
        </w:rPr>
        <w:t>3</w:t>
      </w:r>
      <w:r>
        <w:rPr>
          <w:rFonts w:hint="eastAsia" w:ascii="宋体" w:hAnsi="仿宋_GB2312"/>
          <w:color w:val="auto"/>
          <w:szCs w:val="21"/>
          <w:highlight w:val="none"/>
          <w:lang w:val="en-US" w:eastAsia="zh-CN"/>
        </w:rPr>
        <w:t>.</w:t>
      </w:r>
      <w:r>
        <w:rPr>
          <w:rFonts w:hint="eastAsia" w:ascii="宋体" w:hAnsi="仿宋_GB2312"/>
          <w:color w:val="auto"/>
          <w:szCs w:val="21"/>
          <w:highlight w:val="none"/>
        </w:rPr>
        <w:t>详细评审</w:t>
      </w:r>
    </w:p>
    <w:p>
      <w:pPr>
        <w:spacing w:line="360" w:lineRule="auto"/>
        <w:ind w:firstLine="420" w:firstLineChars="200"/>
        <w:rPr>
          <w:rFonts w:ascii="宋体"/>
          <w:color w:val="auto"/>
          <w:szCs w:val="21"/>
          <w:highlight w:val="none"/>
        </w:rPr>
      </w:pPr>
      <w:r>
        <w:rPr>
          <w:rFonts w:hint="eastAsia" w:ascii="宋体"/>
          <w:color w:val="auto"/>
          <w:szCs w:val="21"/>
          <w:highlight w:val="none"/>
        </w:rPr>
        <w:t>评标委员会对初步评审合格的投标文件，依照本办法对</w:t>
      </w:r>
      <w:r>
        <w:rPr>
          <w:rFonts w:hint="eastAsia" w:ascii="宋体"/>
          <w:color w:val="auto"/>
          <w:szCs w:val="21"/>
          <w:highlight w:val="none"/>
          <w:lang w:val="en-US" w:eastAsia="zh-CN"/>
        </w:rPr>
        <w:t>资信商务</w:t>
      </w:r>
      <w:r>
        <w:rPr>
          <w:rFonts w:hint="eastAsia" w:ascii="宋体"/>
          <w:color w:val="auto"/>
          <w:szCs w:val="21"/>
          <w:highlight w:val="none"/>
        </w:rPr>
        <w:t>、</w:t>
      </w:r>
      <w:r>
        <w:rPr>
          <w:rFonts w:hint="eastAsia" w:ascii="宋体"/>
          <w:color w:val="auto"/>
          <w:szCs w:val="21"/>
          <w:highlight w:val="none"/>
          <w:lang w:val="en-US" w:eastAsia="zh-CN"/>
        </w:rPr>
        <w:t>技术</w:t>
      </w:r>
      <w:r>
        <w:rPr>
          <w:rFonts w:hint="eastAsia" w:ascii="宋体"/>
          <w:color w:val="auto"/>
          <w:szCs w:val="21"/>
          <w:highlight w:val="none"/>
        </w:rPr>
        <w:t>以及</w:t>
      </w:r>
      <w:r>
        <w:rPr>
          <w:rFonts w:hint="eastAsia" w:ascii="宋体"/>
          <w:color w:val="auto"/>
          <w:szCs w:val="21"/>
          <w:highlight w:val="none"/>
          <w:lang w:eastAsia="zh-CN"/>
        </w:rPr>
        <w:t>投标人</w:t>
      </w:r>
      <w:r>
        <w:rPr>
          <w:rFonts w:hint="eastAsia" w:ascii="宋体"/>
          <w:color w:val="auto"/>
          <w:szCs w:val="21"/>
          <w:highlight w:val="none"/>
        </w:rPr>
        <w:t>答辩情况作进一步评审、比较。评标委员会成员经过阅标、审标和询标，对各</w:t>
      </w:r>
      <w:r>
        <w:rPr>
          <w:rFonts w:hint="eastAsia" w:ascii="宋体"/>
          <w:color w:val="auto"/>
          <w:szCs w:val="21"/>
          <w:highlight w:val="none"/>
          <w:lang w:eastAsia="zh-CN"/>
        </w:rPr>
        <w:t>投标人</w:t>
      </w:r>
      <w:r>
        <w:rPr>
          <w:rFonts w:hint="eastAsia" w:ascii="宋体"/>
          <w:color w:val="auto"/>
          <w:szCs w:val="21"/>
          <w:highlight w:val="none"/>
        </w:rPr>
        <w:t>进行综合打分。</w:t>
      </w:r>
    </w:p>
    <w:p>
      <w:pPr>
        <w:spacing w:line="360" w:lineRule="auto"/>
        <w:ind w:firstLine="420" w:firstLineChars="200"/>
        <w:rPr>
          <w:rFonts w:ascii="宋体"/>
          <w:color w:val="auto"/>
          <w:szCs w:val="21"/>
          <w:highlight w:val="none"/>
        </w:rPr>
      </w:pPr>
      <w:r>
        <w:rPr>
          <w:rFonts w:hint="eastAsia" w:ascii="宋体"/>
          <w:color w:val="auto"/>
          <w:szCs w:val="21"/>
          <w:highlight w:val="none"/>
        </w:rPr>
        <w:t>评委打分参照本部分附表：评分标准表。其中</w:t>
      </w:r>
      <w:r>
        <w:rPr>
          <w:rFonts w:hint="eastAsia" w:ascii="宋体"/>
          <w:color w:val="auto"/>
          <w:szCs w:val="21"/>
          <w:highlight w:val="none"/>
          <w:lang w:val="en-US" w:eastAsia="zh-CN"/>
        </w:rPr>
        <w:t>资信</w:t>
      </w:r>
      <w:r>
        <w:rPr>
          <w:rFonts w:hint="eastAsia" w:ascii="宋体"/>
          <w:color w:val="auto"/>
          <w:szCs w:val="21"/>
          <w:highlight w:val="none"/>
        </w:rPr>
        <w:t>商务</w:t>
      </w:r>
      <w:r>
        <w:rPr>
          <w:rFonts w:hint="eastAsia" w:ascii="宋体"/>
          <w:color w:val="auto"/>
          <w:szCs w:val="21"/>
          <w:highlight w:val="none"/>
          <w:lang w:eastAsia="zh-CN"/>
        </w:rPr>
        <w:t>、</w:t>
      </w:r>
      <w:r>
        <w:rPr>
          <w:rFonts w:hint="eastAsia" w:ascii="宋体"/>
          <w:color w:val="auto"/>
          <w:szCs w:val="21"/>
          <w:highlight w:val="none"/>
        </w:rPr>
        <w:t>技术以及</w:t>
      </w:r>
      <w:r>
        <w:rPr>
          <w:rFonts w:hint="eastAsia" w:ascii="宋体"/>
          <w:color w:val="auto"/>
          <w:szCs w:val="21"/>
          <w:highlight w:val="none"/>
          <w:lang w:eastAsia="zh-CN"/>
        </w:rPr>
        <w:t>投标人</w:t>
      </w:r>
      <w:r>
        <w:rPr>
          <w:rFonts w:hint="eastAsia" w:ascii="宋体"/>
          <w:color w:val="auto"/>
          <w:szCs w:val="21"/>
          <w:highlight w:val="none"/>
        </w:rPr>
        <w:t>答辩情况由各评标委员会成员打分，根据</w:t>
      </w:r>
      <w:r>
        <w:rPr>
          <w:rFonts w:hint="eastAsia" w:ascii="宋体"/>
          <w:color w:val="auto"/>
          <w:szCs w:val="21"/>
          <w:highlight w:val="none"/>
          <w:lang w:eastAsia="zh-CN"/>
        </w:rPr>
        <w:t>投标人</w:t>
      </w:r>
      <w:r>
        <w:rPr>
          <w:rFonts w:hint="eastAsia" w:ascii="宋体"/>
          <w:color w:val="auto"/>
          <w:szCs w:val="21"/>
          <w:highlight w:val="none"/>
        </w:rPr>
        <w:t>的投标文件及相关澄清文件，进行独立打分。评委打分采用记名方式，取算术平均分（小数点后保留二位小数）。报价分经评标委员会评审后按评分标准表进行统一计算（小数点后保留二位小数）。</w:t>
      </w:r>
    </w:p>
    <w:p>
      <w:pPr>
        <w:spacing w:line="360" w:lineRule="auto"/>
        <w:ind w:firstLine="420" w:firstLineChars="200"/>
        <w:rPr>
          <w:rFonts w:ascii="宋体"/>
          <w:color w:val="auto"/>
          <w:szCs w:val="21"/>
          <w:highlight w:val="none"/>
        </w:rPr>
      </w:pPr>
      <w:r>
        <w:rPr>
          <w:rFonts w:hint="eastAsia" w:ascii="宋体"/>
          <w:color w:val="auto"/>
          <w:szCs w:val="21"/>
          <w:highlight w:val="none"/>
        </w:rPr>
        <w:t>注：评标委员会成员独立评审。评标委员会组长对拟认定为投标文件无效、供应商资格不符合的，应组织相关供应商代表进行陈述、澄清或申辩；招标代理机构可协助评标委员会对打分结 果进行校对、核对并汇总统计；对明显畸高、畸低的评分（其总评分偏离平均分30%以上的），评标委员会组长应提醒相关评标委员会成员进行复核或书面说明理由，评标委员会成员拒绝说明的，由现场监督员据实记录；评标委员会成员的评审、修改记录应保留原件，随项目其他资料一并存档。</w:t>
      </w:r>
    </w:p>
    <w:p>
      <w:pPr>
        <w:spacing w:line="360" w:lineRule="auto"/>
        <w:ind w:firstLine="420" w:firstLineChars="200"/>
        <w:rPr>
          <w:rFonts w:ascii="宋体"/>
          <w:color w:val="auto"/>
          <w:szCs w:val="21"/>
          <w:highlight w:val="none"/>
        </w:rPr>
      </w:pPr>
      <w:r>
        <w:rPr>
          <w:rFonts w:hint="eastAsia" w:ascii="宋体"/>
          <w:color w:val="auto"/>
          <w:szCs w:val="21"/>
          <w:highlight w:val="none"/>
        </w:rPr>
        <w:t>评标委员会认为</w:t>
      </w:r>
      <w:r>
        <w:rPr>
          <w:rFonts w:hint="eastAsia" w:ascii="宋体"/>
          <w:color w:val="auto"/>
          <w:szCs w:val="21"/>
          <w:highlight w:val="none"/>
          <w:lang w:eastAsia="zh-CN"/>
        </w:rPr>
        <w:t>投标人</w:t>
      </w:r>
      <w:r>
        <w:rPr>
          <w:rFonts w:hint="eastAsia" w:ascii="宋体"/>
          <w:color w:val="auto"/>
          <w:szCs w:val="21"/>
          <w:highlight w:val="none"/>
        </w:rPr>
        <w:t>的报价明显低于其他通过符合性审查</w:t>
      </w:r>
      <w:r>
        <w:rPr>
          <w:rFonts w:hint="eastAsia" w:ascii="宋体"/>
          <w:color w:val="auto"/>
          <w:szCs w:val="21"/>
          <w:highlight w:val="none"/>
          <w:lang w:eastAsia="zh-CN"/>
        </w:rPr>
        <w:t>投标人</w:t>
      </w:r>
      <w:r>
        <w:rPr>
          <w:rFonts w:hint="eastAsia" w:ascii="宋体"/>
          <w:color w:val="auto"/>
          <w:szCs w:val="21"/>
          <w:highlight w:val="none"/>
        </w:rPr>
        <w:t>的报价，有可能影响服务质量或者不能诚信履约的，且不能在评标现场合理时间内提供相关证明材料说明其报价合理性的，则文件将被视为无效。</w:t>
      </w:r>
    </w:p>
    <w:p>
      <w:pPr>
        <w:spacing w:line="360" w:lineRule="auto"/>
        <w:ind w:firstLine="422" w:firstLineChars="200"/>
        <w:rPr>
          <w:rFonts w:ascii="宋体"/>
          <w:b/>
          <w:bCs/>
          <w:color w:val="auto"/>
          <w:szCs w:val="21"/>
          <w:highlight w:val="none"/>
        </w:rPr>
      </w:pPr>
      <w:r>
        <w:rPr>
          <w:rFonts w:hint="eastAsia" w:ascii="宋体"/>
          <w:b/>
          <w:bCs/>
          <w:color w:val="auto"/>
          <w:szCs w:val="21"/>
          <w:highlight w:val="none"/>
        </w:rPr>
        <w:t>4</w:t>
      </w:r>
      <w:r>
        <w:rPr>
          <w:rFonts w:hint="eastAsia" w:ascii="宋体"/>
          <w:b/>
          <w:bCs/>
          <w:color w:val="auto"/>
          <w:szCs w:val="21"/>
          <w:highlight w:val="none"/>
          <w:lang w:val="en-US" w:eastAsia="zh-CN"/>
        </w:rPr>
        <w:t>.</w:t>
      </w:r>
      <w:r>
        <w:rPr>
          <w:rFonts w:hint="eastAsia" w:ascii="宋体"/>
          <w:b/>
          <w:bCs/>
          <w:color w:val="auto"/>
          <w:szCs w:val="21"/>
          <w:highlight w:val="none"/>
        </w:rPr>
        <w:t>中标原则</w:t>
      </w:r>
    </w:p>
    <w:p>
      <w:pPr>
        <w:snapToGrid w:val="0"/>
        <w:spacing w:line="360" w:lineRule="auto"/>
        <w:ind w:firstLine="422" w:firstLineChars="200"/>
        <w:rPr>
          <w:rFonts w:hint="eastAsia" w:ascii="宋体" w:hAnsi="仿宋_GB2312"/>
          <w:color w:val="auto"/>
          <w:szCs w:val="21"/>
          <w:highlight w:val="none"/>
          <w:shd w:val="clear" w:fill="FBD4B4" w:themeFill="accent6" w:themeFillTint="66"/>
        </w:rPr>
      </w:pPr>
      <w:r>
        <w:rPr>
          <w:rFonts w:hint="eastAsia" w:ascii="宋体" w:hAnsi="仿宋_GB2312"/>
          <w:b/>
          <w:bCs/>
          <w:color w:val="auto"/>
          <w:szCs w:val="21"/>
          <w:highlight w:val="none"/>
        </w:rPr>
        <w:t>评标委员会根据</w:t>
      </w:r>
      <w:r>
        <w:rPr>
          <w:rFonts w:hint="eastAsia" w:ascii="宋体" w:hAnsi="仿宋_GB2312"/>
          <w:b/>
          <w:bCs/>
          <w:color w:val="auto"/>
          <w:szCs w:val="21"/>
          <w:highlight w:val="none"/>
          <w:lang w:eastAsia="zh-CN"/>
        </w:rPr>
        <w:t>投标人</w:t>
      </w:r>
      <w:r>
        <w:rPr>
          <w:rFonts w:hint="eastAsia" w:ascii="宋体" w:hAnsi="仿宋_GB2312"/>
          <w:b/>
          <w:bCs/>
          <w:color w:val="auto"/>
          <w:szCs w:val="21"/>
          <w:highlight w:val="none"/>
        </w:rPr>
        <w:t>的综合得分高低排定顺序，</w:t>
      </w:r>
      <w:r>
        <w:rPr>
          <w:rFonts w:hint="eastAsia" w:ascii="宋体" w:hAnsi="仿宋_GB2312"/>
          <w:b/>
          <w:bCs/>
          <w:color w:val="auto"/>
          <w:szCs w:val="21"/>
          <w:highlight w:val="none"/>
          <w:shd w:val="clear"/>
        </w:rPr>
        <w:t>推荐综合得分排名第一的</w:t>
      </w:r>
      <w:r>
        <w:rPr>
          <w:rFonts w:hint="eastAsia" w:ascii="宋体" w:hAnsi="仿宋_GB2312"/>
          <w:b/>
          <w:bCs/>
          <w:color w:val="auto"/>
          <w:szCs w:val="21"/>
          <w:highlight w:val="none"/>
          <w:shd w:val="clear"/>
          <w:lang w:eastAsia="zh-CN"/>
        </w:rPr>
        <w:t>投标人</w:t>
      </w:r>
      <w:r>
        <w:rPr>
          <w:rFonts w:hint="eastAsia" w:ascii="宋体" w:hAnsi="仿宋_GB2312"/>
          <w:b/>
          <w:bCs/>
          <w:color w:val="auto"/>
          <w:szCs w:val="21"/>
          <w:highlight w:val="none"/>
          <w:shd w:val="clear"/>
        </w:rPr>
        <w:t>为本项目的第一中标候选人</w:t>
      </w:r>
      <w:r>
        <w:rPr>
          <w:rFonts w:hint="eastAsia" w:ascii="宋体" w:hAnsi="仿宋_GB2312"/>
          <w:b/>
          <w:bCs/>
          <w:color w:val="auto"/>
          <w:szCs w:val="21"/>
          <w:highlight w:val="none"/>
          <w:shd w:val="clear"/>
          <w:lang w:eastAsia="zh-CN"/>
        </w:rPr>
        <w:t>，</w:t>
      </w:r>
      <w:r>
        <w:rPr>
          <w:rFonts w:hint="eastAsia" w:ascii="宋体" w:hAnsi="仿宋_GB2312"/>
          <w:b/>
          <w:bCs/>
          <w:color w:val="auto"/>
          <w:szCs w:val="21"/>
          <w:highlight w:val="none"/>
          <w:shd w:val="clear"/>
        </w:rPr>
        <w:t>具体评定原则如下：</w:t>
      </w:r>
    </w:p>
    <w:p>
      <w:pPr>
        <w:snapToGrid w:val="0"/>
        <w:spacing w:line="360" w:lineRule="auto"/>
        <w:ind w:firstLine="474" w:firstLineChars="225"/>
        <w:rPr>
          <w:rFonts w:hint="eastAsia" w:ascii="宋体" w:hAnsi="仿宋_GB2312"/>
          <w:b/>
          <w:bCs/>
          <w:color w:val="auto"/>
          <w:szCs w:val="21"/>
          <w:highlight w:val="none"/>
        </w:rPr>
      </w:pPr>
      <w:r>
        <w:rPr>
          <w:rFonts w:hint="eastAsia" w:ascii="宋体" w:hAnsi="仿宋_GB2312"/>
          <w:b/>
          <w:bCs/>
          <w:color w:val="auto"/>
          <w:szCs w:val="21"/>
          <w:highlight w:val="none"/>
        </w:rPr>
        <w:t>（1）一个投标人最多只能中一个标段，若某一投标人被推荐为排序靠前的标段的第一中标候选人，则不再进入后序标段号的评审。</w:t>
      </w:r>
    </w:p>
    <w:p>
      <w:pPr>
        <w:snapToGrid w:val="0"/>
        <w:spacing w:line="360" w:lineRule="auto"/>
        <w:ind w:firstLine="474" w:firstLineChars="225"/>
        <w:rPr>
          <w:rFonts w:hint="eastAsia" w:ascii="宋体" w:hAnsi="仿宋_GB2312"/>
          <w:b/>
          <w:bCs/>
          <w:color w:val="auto"/>
          <w:szCs w:val="21"/>
          <w:highlight w:val="none"/>
        </w:rPr>
      </w:pPr>
      <w:r>
        <w:rPr>
          <w:rFonts w:hint="eastAsia" w:ascii="宋体" w:hAnsi="仿宋_GB2312"/>
          <w:b/>
          <w:bCs/>
          <w:color w:val="auto"/>
          <w:szCs w:val="21"/>
          <w:highlight w:val="none"/>
        </w:rPr>
        <w:t>（</w:t>
      </w:r>
      <w:r>
        <w:rPr>
          <w:rFonts w:hint="eastAsia" w:ascii="宋体" w:hAnsi="仿宋_GB2312"/>
          <w:b/>
          <w:bCs/>
          <w:color w:val="auto"/>
          <w:szCs w:val="21"/>
          <w:highlight w:val="none"/>
          <w:lang w:val="en-US" w:eastAsia="zh-CN"/>
        </w:rPr>
        <w:t>2</w:t>
      </w:r>
      <w:r>
        <w:rPr>
          <w:rFonts w:hint="eastAsia" w:ascii="宋体" w:hAnsi="仿宋_GB2312"/>
          <w:b/>
          <w:bCs/>
          <w:color w:val="auto"/>
          <w:szCs w:val="21"/>
          <w:highlight w:val="none"/>
        </w:rPr>
        <w:t>）某标段若出现参与的</w:t>
      </w:r>
      <w:r>
        <w:rPr>
          <w:rFonts w:hint="eastAsia" w:ascii="宋体" w:hAnsi="仿宋_GB2312"/>
          <w:b/>
          <w:bCs/>
          <w:color w:val="auto"/>
          <w:szCs w:val="21"/>
          <w:highlight w:val="none"/>
          <w:lang w:eastAsia="zh-CN"/>
        </w:rPr>
        <w:t>投标人</w:t>
      </w:r>
      <w:r>
        <w:rPr>
          <w:rFonts w:hint="eastAsia" w:ascii="宋体" w:hAnsi="仿宋_GB2312"/>
          <w:b/>
          <w:bCs/>
          <w:color w:val="auto"/>
          <w:szCs w:val="21"/>
          <w:highlight w:val="none"/>
        </w:rPr>
        <w:t>或者对招标文件作出实质性响应的</w:t>
      </w:r>
      <w:r>
        <w:rPr>
          <w:rFonts w:hint="eastAsia" w:ascii="宋体" w:hAnsi="仿宋_GB2312"/>
          <w:b/>
          <w:bCs/>
          <w:color w:val="auto"/>
          <w:szCs w:val="21"/>
          <w:highlight w:val="none"/>
          <w:lang w:eastAsia="zh-CN"/>
        </w:rPr>
        <w:t>投标人</w:t>
      </w:r>
      <w:r>
        <w:rPr>
          <w:rFonts w:hint="eastAsia" w:ascii="宋体" w:hAnsi="仿宋_GB2312"/>
          <w:b/>
          <w:bCs/>
          <w:color w:val="auto"/>
          <w:szCs w:val="21"/>
          <w:highlight w:val="none"/>
        </w:rPr>
        <w:t>不足3家的情况，该标段招标采购活动终止。</w:t>
      </w:r>
    </w:p>
    <w:p>
      <w:pPr>
        <w:snapToGrid w:val="0"/>
        <w:spacing w:line="360" w:lineRule="auto"/>
        <w:ind w:firstLine="474" w:firstLineChars="225"/>
        <w:rPr>
          <w:rFonts w:hint="eastAsia" w:ascii="宋体" w:hAnsi="仿宋_GB2312"/>
          <w:b/>
          <w:bCs/>
          <w:color w:val="auto"/>
          <w:szCs w:val="21"/>
          <w:highlight w:val="none"/>
        </w:rPr>
      </w:pPr>
      <w:r>
        <w:rPr>
          <w:rFonts w:hint="eastAsia" w:ascii="宋体" w:hAnsi="仿宋_GB2312"/>
          <w:b/>
          <w:bCs/>
          <w:color w:val="auto"/>
          <w:szCs w:val="21"/>
          <w:highlight w:val="none"/>
        </w:rPr>
        <w:t>（</w:t>
      </w:r>
      <w:r>
        <w:rPr>
          <w:rFonts w:hint="eastAsia" w:ascii="宋体" w:hAnsi="仿宋_GB2312"/>
          <w:b/>
          <w:bCs/>
          <w:color w:val="auto"/>
          <w:szCs w:val="21"/>
          <w:highlight w:val="none"/>
          <w:lang w:val="en-US" w:eastAsia="zh-CN"/>
        </w:rPr>
        <w:t>3</w:t>
      </w:r>
      <w:r>
        <w:rPr>
          <w:rFonts w:hint="eastAsia" w:ascii="宋体" w:hAnsi="仿宋_GB2312"/>
          <w:b/>
          <w:bCs/>
          <w:color w:val="auto"/>
          <w:szCs w:val="21"/>
          <w:highlight w:val="none"/>
        </w:rPr>
        <w:t>）在同一标段中，</w:t>
      </w:r>
      <w:r>
        <w:rPr>
          <w:rFonts w:hint="eastAsia" w:ascii="宋体" w:hAnsi="仿宋_GB2312"/>
          <w:b/>
          <w:bCs/>
          <w:color w:val="auto"/>
          <w:szCs w:val="21"/>
          <w:highlight w:val="none"/>
          <w:lang w:eastAsia="zh-CN"/>
        </w:rPr>
        <w:t>投标人</w:t>
      </w:r>
      <w:r>
        <w:rPr>
          <w:rFonts w:hint="eastAsia" w:ascii="宋体" w:hAnsi="仿宋_GB2312"/>
          <w:b/>
          <w:bCs/>
          <w:color w:val="auto"/>
          <w:szCs w:val="21"/>
          <w:highlight w:val="none"/>
        </w:rPr>
        <w:t>综合得分相同的则报价低者优先，报价也相同的，则由</w:t>
      </w:r>
      <w:r>
        <w:rPr>
          <w:rFonts w:hint="eastAsia" w:ascii="宋体" w:hAnsi="仿宋_GB2312"/>
          <w:b/>
          <w:bCs/>
          <w:color w:val="auto"/>
          <w:szCs w:val="21"/>
          <w:highlight w:val="none"/>
          <w:lang w:eastAsia="zh-CN"/>
        </w:rPr>
        <w:t>投标人</w:t>
      </w:r>
      <w:r>
        <w:rPr>
          <w:rFonts w:hint="eastAsia" w:ascii="宋体" w:hAnsi="仿宋_GB2312"/>
          <w:b/>
          <w:bCs/>
          <w:color w:val="auto"/>
          <w:szCs w:val="21"/>
          <w:highlight w:val="none"/>
        </w:rPr>
        <w:t>抽签决定。</w:t>
      </w:r>
    </w:p>
    <w:p>
      <w:pPr>
        <w:snapToGrid w:val="0"/>
        <w:spacing w:line="360" w:lineRule="auto"/>
        <w:ind w:firstLine="474" w:firstLineChars="225"/>
        <w:rPr>
          <w:rFonts w:ascii="宋体" w:hAnsi="仿宋_GB2312"/>
          <w:color w:val="auto"/>
          <w:szCs w:val="21"/>
          <w:highlight w:val="none"/>
        </w:rPr>
      </w:pPr>
      <w:r>
        <w:rPr>
          <w:rFonts w:hint="eastAsia" w:ascii="宋体" w:hAnsi="仿宋_GB2312"/>
          <w:b/>
          <w:bCs/>
          <w:color w:val="auto"/>
          <w:szCs w:val="21"/>
          <w:highlight w:val="none"/>
        </w:rPr>
        <w:t>（</w:t>
      </w:r>
      <w:r>
        <w:rPr>
          <w:rFonts w:hint="eastAsia" w:ascii="宋体" w:hAnsi="仿宋_GB2312"/>
          <w:b/>
          <w:bCs/>
          <w:color w:val="auto"/>
          <w:szCs w:val="21"/>
          <w:highlight w:val="none"/>
          <w:lang w:val="en-US" w:eastAsia="zh-CN"/>
        </w:rPr>
        <w:t>4</w:t>
      </w:r>
      <w:r>
        <w:rPr>
          <w:rFonts w:hint="eastAsia" w:ascii="宋体" w:hAnsi="仿宋_GB2312"/>
          <w:b/>
          <w:bCs/>
          <w:color w:val="auto"/>
          <w:szCs w:val="21"/>
          <w:highlight w:val="none"/>
        </w:rPr>
        <w:t>）如评标过程中出现本招标文件未尽事宜，则由评标委员会讨论决定。</w:t>
      </w:r>
    </w:p>
    <w:p>
      <w:pPr>
        <w:snapToGrid w:val="0"/>
        <w:spacing w:line="360" w:lineRule="auto"/>
        <w:ind w:firstLine="420" w:firstLineChars="200"/>
        <w:rPr>
          <w:rFonts w:ascii="宋体" w:hAnsi="仿宋_GB2312"/>
          <w:color w:val="auto"/>
          <w:szCs w:val="21"/>
          <w:highlight w:val="none"/>
        </w:rPr>
      </w:pPr>
      <w:r>
        <w:rPr>
          <w:rFonts w:hint="eastAsia" w:ascii="宋体" w:hAnsi="仿宋_GB2312"/>
          <w:color w:val="auto"/>
          <w:szCs w:val="21"/>
          <w:highlight w:val="none"/>
        </w:rPr>
        <w:t>5</w:t>
      </w:r>
      <w:r>
        <w:rPr>
          <w:rFonts w:hint="eastAsia" w:ascii="宋体" w:hAnsi="仿宋_GB2312"/>
          <w:color w:val="auto"/>
          <w:szCs w:val="21"/>
          <w:highlight w:val="none"/>
          <w:lang w:val="en-US" w:eastAsia="zh-CN"/>
        </w:rPr>
        <w:t>.</w:t>
      </w:r>
      <w:r>
        <w:rPr>
          <w:rFonts w:hint="eastAsia" w:ascii="宋体" w:hAnsi="仿宋_GB2312"/>
          <w:color w:val="auto"/>
          <w:szCs w:val="21"/>
          <w:highlight w:val="none"/>
        </w:rPr>
        <w:t>中标结果</w:t>
      </w:r>
    </w:p>
    <w:p>
      <w:pPr>
        <w:spacing w:line="360" w:lineRule="auto"/>
        <w:ind w:firstLine="420" w:firstLineChars="200"/>
        <w:rPr>
          <w:rFonts w:ascii="宋体"/>
          <w:color w:val="auto"/>
          <w:szCs w:val="21"/>
          <w:highlight w:val="none"/>
        </w:rPr>
      </w:pPr>
      <w:r>
        <w:rPr>
          <w:rFonts w:hint="eastAsia" w:ascii="宋体"/>
          <w:color w:val="auto"/>
          <w:szCs w:val="21"/>
          <w:highlight w:val="none"/>
        </w:rPr>
        <w:t>采购代理机构将中标结果在招标公告发布的网站上公示，并向中标人发出中标通知书。</w:t>
      </w:r>
    </w:p>
    <w:p>
      <w:pPr>
        <w:spacing w:line="360" w:lineRule="auto"/>
        <w:rPr>
          <w:rFonts w:ascii="宋体"/>
          <w:b/>
          <w:bCs/>
          <w:color w:val="auto"/>
          <w:szCs w:val="21"/>
          <w:highlight w:val="none"/>
        </w:rPr>
      </w:pPr>
    </w:p>
    <w:p>
      <w:pPr>
        <w:pStyle w:val="2"/>
        <w:rPr>
          <w:rFonts w:ascii="宋体"/>
          <w:b/>
          <w:bCs/>
          <w:color w:val="auto"/>
          <w:szCs w:val="21"/>
          <w:highlight w:val="none"/>
        </w:rPr>
      </w:pPr>
    </w:p>
    <w:p>
      <w:pPr>
        <w:rPr>
          <w:highlight w:val="none"/>
        </w:rPr>
      </w:pPr>
    </w:p>
    <w:p>
      <w:pPr>
        <w:spacing w:line="360" w:lineRule="auto"/>
        <w:rPr>
          <w:rFonts w:ascii="宋体"/>
          <w:b/>
          <w:bCs/>
          <w:color w:val="auto"/>
          <w:szCs w:val="21"/>
          <w:highlight w:val="none"/>
        </w:rPr>
      </w:pPr>
    </w:p>
    <w:p>
      <w:pPr>
        <w:rPr>
          <w:rFonts w:hint="eastAsia" w:ascii="宋体"/>
          <w:b/>
          <w:bCs/>
          <w:color w:val="auto"/>
          <w:szCs w:val="21"/>
          <w:highlight w:val="none"/>
        </w:rPr>
      </w:pPr>
      <w:r>
        <w:rPr>
          <w:rFonts w:hint="eastAsia" w:ascii="宋体"/>
          <w:b/>
          <w:bCs/>
          <w:color w:val="auto"/>
          <w:szCs w:val="21"/>
          <w:highlight w:val="none"/>
        </w:rPr>
        <w:br w:type="page"/>
      </w:r>
    </w:p>
    <w:p>
      <w:pPr>
        <w:spacing w:line="360" w:lineRule="auto"/>
        <w:rPr>
          <w:rFonts w:ascii="宋体"/>
          <w:b/>
          <w:bCs/>
          <w:color w:val="auto"/>
          <w:szCs w:val="21"/>
          <w:highlight w:val="none"/>
        </w:rPr>
      </w:pPr>
      <w:r>
        <w:rPr>
          <w:rFonts w:hint="eastAsia" w:ascii="宋体"/>
          <w:b/>
          <w:bCs/>
          <w:color w:val="auto"/>
          <w:szCs w:val="21"/>
          <w:highlight w:val="none"/>
        </w:rPr>
        <w:t>五、评分标准（适用于各标段）</w:t>
      </w:r>
    </w:p>
    <w:tbl>
      <w:tblPr>
        <w:tblStyle w:val="22"/>
        <w:tblW w:w="10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287"/>
        <w:gridCol w:w="7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2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价格分</w:t>
            </w:r>
          </w:p>
          <w:p>
            <w:pPr>
              <w:jc w:val="center"/>
              <w:rPr>
                <w:rFonts w:ascii="宋体" w:hAnsi="宋体" w:cs="宋体"/>
                <w:color w:val="auto"/>
                <w:szCs w:val="21"/>
                <w:highlight w:val="none"/>
              </w:rPr>
            </w:pPr>
            <w:r>
              <w:rPr>
                <w:rFonts w:hint="eastAsia" w:ascii="宋体" w:hAnsi="宋体" w:cs="宋体"/>
                <w:color w:val="auto"/>
                <w:szCs w:val="21"/>
                <w:highlight w:val="none"/>
              </w:rPr>
              <w:t>（12分）</w:t>
            </w:r>
          </w:p>
        </w:tc>
        <w:tc>
          <w:tcPr>
            <w:tcW w:w="8939"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s="宋体"/>
                <w:bCs/>
                <w:color w:val="auto"/>
                <w:szCs w:val="21"/>
                <w:highlight w:val="none"/>
              </w:rPr>
            </w:pPr>
            <w:r>
              <w:rPr>
                <w:rFonts w:hint="eastAsia" w:ascii="宋体" w:hAnsi="宋体" w:cs="宋体"/>
                <w:bCs/>
                <w:color w:val="auto"/>
                <w:szCs w:val="21"/>
                <w:highlight w:val="none"/>
              </w:rPr>
              <w:t>参与评审的价格=最终报价-小微企业价格扣除优惠值6%</w:t>
            </w:r>
          </w:p>
          <w:p>
            <w:pPr>
              <w:widowControl/>
              <w:rPr>
                <w:rFonts w:ascii="宋体" w:hAnsi="宋体" w:cs="宋体"/>
                <w:bCs/>
                <w:color w:val="auto"/>
                <w:szCs w:val="21"/>
                <w:highlight w:val="none"/>
              </w:rPr>
            </w:pPr>
            <w:r>
              <w:rPr>
                <w:rFonts w:hint="eastAsia" w:ascii="宋体" w:hAnsi="宋体" w:cs="宋体"/>
                <w:bCs/>
                <w:color w:val="auto"/>
                <w:szCs w:val="21"/>
                <w:highlight w:val="none"/>
              </w:rPr>
              <w:t>满足采购文件要求</w:t>
            </w:r>
            <w:r>
              <w:rPr>
                <w:rFonts w:hint="eastAsia" w:ascii="宋体" w:hAnsi="宋体" w:cs="宋体"/>
                <w:color w:val="auto"/>
                <w:szCs w:val="21"/>
                <w:highlight w:val="none"/>
              </w:rPr>
              <w:t>（初步评审合格且商务、技术、报价部分评审合格）</w:t>
            </w:r>
            <w:r>
              <w:rPr>
                <w:rFonts w:hint="eastAsia" w:ascii="宋体" w:hAnsi="宋体" w:cs="宋体"/>
                <w:bCs/>
                <w:color w:val="auto"/>
                <w:szCs w:val="21"/>
                <w:highlight w:val="none"/>
              </w:rPr>
              <w:t>且参与评审的价格最低的报价为评标基准价，得满分12分，其他报价得分计算公式如下：</w:t>
            </w:r>
          </w:p>
          <w:p>
            <w:pPr>
              <w:rPr>
                <w:rFonts w:ascii="宋体" w:hAnsi="宋体" w:cs="宋体"/>
                <w:bCs/>
                <w:color w:val="auto"/>
                <w:szCs w:val="21"/>
                <w:highlight w:val="none"/>
              </w:rPr>
            </w:pPr>
            <w:r>
              <w:rPr>
                <w:rFonts w:hint="eastAsia" w:ascii="宋体" w:hAnsi="宋体" w:cs="宋体"/>
                <w:bCs/>
                <w:color w:val="auto"/>
                <w:szCs w:val="21"/>
                <w:highlight w:val="none"/>
              </w:rPr>
              <w:t>报价得分=（评标基准价/参与评审的价格）×12%×100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分项报价的完整和合理性（5分）</w:t>
            </w:r>
          </w:p>
        </w:tc>
        <w:tc>
          <w:tcPr>
            <w:tcW w:w="8939"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s="宋体"/>
                <w:bCs/>
                <w:color w:val="auto"/>
                <w:szCs w:val="21"/>
                <w:highlight w:val="none"/>
              </w:rPr>
            </w:pPr>
            <w:r>
              <w:rPr>
                <w:rFonts w:hint="eastAsia" w:ascii="宋体" w:hAnsi="宋体" w:cs="宋体"/>
                <w:color w:val="auto"/>
                <w:szCs w:val="21"/>
                <w:highlight w:val="none"/>
              </w:rPr>
              <w:t>评委会根据</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提供的分项报价清单的详细、完整和合理性等</w:t>
            </w:r>
            <w:r>
              <w:rPr>
                <w:rFonts w:hint="eastAsia" w:ascii="宋体" w:hAnsi="宋体" w:cs="宋体"/>
                <w:color w:val="auto"/>
                <w:szCs w:val="21"/>
                <w:highlight w:val="none"/>
                <w:lang w:val="en-US" w:eastAsia="zh-CN"/>
              </w:rPr>
              <w:t>综合评定</w:t>
            </w:r>
            <w:r>
              <w:rPr>
                <w:rFonts w:hint="eastAsia" w:ascii="宋体" w:hAnsi="宋体" w:cs="宋体"/>
                <w:color w:val="auto"/>
                <w:szCs w:val="21"/>
                <w:highlight w:val="none"/>
              </w:rPr>
              <w:t xml:space="preserve">：3.5分≤优≤5分；1.8分≤良&lt;3.4分；0≤一般&lt;1.7分。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270" w:type="dxa"/>
            <w:vMerge w:val="restart"/>
            <w:tcBorders>
              <w:top w:val="single" w:color="auto" w:sz="4" w:space="0"/>
              <w:left w:val="single" w:color="auto" w:sz="4" w:space="0"/>
              <w:right w:val="single" w:color="auto" w:sz="4" w:space="0"/>
            </w:tcBorders>
            <w:vAlign w:val="center"/>
          </w:tcPr>
          <w:p>
            <w:pPr>
              <w:ind w:firstLine="315" w:firstLineChars="150"/>
              <w:rPr>
                <w:rFonts w:ascii="宋体" w:hAnsi="宋体" w:cs="宋体"/>
                <w:color w:val="auto"/>
                <w:szCs w:val="21"/>
                <w:highlight w:val="none"/>
              </w:rPr>
            </w:pPr>
            <w:r>
              <w:rPr>
                <w:rFonts w:hint="eastAsia" w:ascii="宋体" w:hAnsi="宋体" w:cs="宋体"/>
                <w:color w:val="auto"/>
                <w:szCs w:val="21"/>
                <w:highlight w:val="none"/>
              </w:rPr>
              <w:t xml:space="preserve"> </w:t>
            </w:r>
          </w:p>
          <w:p>
            <w:pPr>
              <w:jc w:val="center"/>
              <w:rPr>
                <w:rFonts w:ascii="宋体" w:hAnsi="宋体" w:cs="宋体"/>
                <w:color w:val="auto"/>
                <w:szCs w:val="21"/>
                <w:highlight w:val="none"/>
              </w:rPr>
            </w:pPr>
            <w:r>
              <w:rPr>
                <w:rFonts w:hint="eastAsia" w:ascii="宋体" w:hAnsi="宋体" w:cs="宋体"/>
                <w:color w:val="auto"/>
                <w:szCs w:val="21"/>
                <w:highlight w:val="none"/>
              </w:rPr>
              <w:t>商</w:t>
            </w:r>
          </w:p>
          <w:p>
            <w:pPr>
              <w:jc w:val="center"/>
              <w:rPr>
                <w:rFonts w:ascii="宋体" w:hAnsi="宋体" w:cs="宋体"/>
                <w:color w:val="auto"/>
                <w:szCs w:val="21"/>
                <w:highlight w:val="none"/>
              </w:rPr>
            </w:pPr>
            <w:r>
              <w:rPr>
                <w:rFonts w:hint="eastAsia" w:ascii="宋体" w:hAnsi="宋体" w:cs="宋体"/>
                <w:color w:val="auto"/>
                <w:szCs w:val="21"/>
                <w:highlight w:val="none"/>
              </w:rPr>
              <w:t>务</w:t>
            </w:r>
          </w:p>
          <w:p>
            <w:pPr>
              <w:jc w:val="center"/>
              <w:rPr>
                <w:rFonts w:ascii="宋体" w:hAnsi="宋体" w:cs="宋体"/>
                <w:color w:val="auto"/>
                <w:szCs w:val="21"/>
                <w:highlight w:val="none"/>
              </w:rPr>
            </w:pPr>
            <w:r>
              <w:rPr>
                <w:rFonts w:hint="eastAsia" w:ascii="宋体" w:hAnsi="宋体" w:cs="宋体"/>
                <w:color w:val="auto"/>
                <w:szCs w:val="21"/>
                <w:highlight w:val="none"/>
              </w:rPr>
              <w:t>部</w:t>
            </w:r>
          </w:p>
          <w:p>
            <w:pPr>
              <w:jc w:val="center"/>
              <w:rPr>
                <w:rFonts w:ascii="宋体" w:hAnsi="宋体" w:cs="宋体"/>
                <w:color w:val="auto"/>
                <w:szCs w:val="21"/>
                <w:highlight w:val="none"/>
              </w:rPr>
            </w:pPr>
            <w:r>
              <w:rPr>
                <w:rFonts w:hint="eastAsia" w:ascii="宋体" w:hAnsi="宋体" w:cs="宋体"/>
                <w:color w:val="auto"/>
                <w:szCs w:val="21"/>
                <w:highlight w:val="none"/>
              </w:rPr>
              <w:t>分</w:t>
            </w:r>
          </w:p>
          <w:p>
            <w:pPr>
              <w:jc w:val="center"/>
              <w:rPr>
                <w:rFonts w:ascii="宋体" w:hAnsi="宋体" w:cs="宋体"/>
                <w:color w:val="auto"/>
                <w:szCs w:val="21"/>
                <w:highlight w:val="none"/>
              </w:rPr>
            </w:pPr>
            <w:r>
              <w:rPr>
                <w:rFonts w:hint="eastAsia" w:ascii="宋体" w:hAnsi="宋体" w:cs="宋体"/>
                <w:color w:val="auto"/>
                <w:szCs w:val="21"/>
                <w:highlight w:val="none"/>
              </w:rPr>
              <w:t>评</w:t>
            </w:r>
          </w:p>
          <w:p>
            <w:pPr>
              <w:jc w:val="center"/>
              <w:rPr>
                <w:rFonts w:ascii="宋体" w:hAnsi="宋体" w:cs="宋体"/>
                <w:color w:val="auto"/>
                <w:szCs w:val="21"/>
                <w:highlight w:val="none"/>
              </w:rPr>
            </w:pPr>
            <w:r>
              <w:rPr>
                <w:rFonts w:hint="eastAsia" w:ascii="宋体" w:hAnsi="宋体" w:cs="宋体"/>
                <w:color w:val="auto"/>
                <w:szCs w:val="21"/>
                <w:highlight w:val="none"/>
              </w:rPr>
              <w:t>分</w:t>
            </w:r>
          </w:p>
          <w:p>
            <w:pPr>
              <w:jc w:val="center"/>
              <w:rPr>
                <w:rFonts w:ascii="宋体" w:hAnsi="宋体" w:cs="宋体"/>
                <w:color w:val="auto"/>
                <w:szCs w:val="21"/>
                <w:highlight w:val="none"/>
              </w:rPr>
            </w:pPr>
            <w:r>
              <w:rPr>
                <w:rFonts w:hint="eastAsia" w:ascii="宋体" w:hAnsi="宋体" w:cs="宋体"/>
                <w:color w:val="auto"/>
                <w:szCs w:val="21"/>
                <w:highlight w:val="none"/>
              </w:rPr>
              <w:t>（12分）</w:t>
            </w:r>
          </w:p>
          <w:p>
            <w:pPr>
              <w:jc w:val="center"/>
              <w:rPr>
                <w:rFonts w:ascii="宋体" w:hAnsi="宋体" w:cs="宋体"/>
                <w:color w:val="auto"/>
                <w:szCs w:val="21"/>
                <w:highlight w:val="none"/>
              </w:rPr>
            </w:pPr>
          </w:p>
        </w:tc>
        <w:tc>
          <w:tcPr>
            <w:tcW w:w="128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管理体系认证</w:t>
            </w:r>
          </w:p>
          <w:p>
            <w:pPr>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p>
        </w:tc>
        <w:tc>
          <w:tcPr>
            <w:tcW w:w="7652"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szCs w:val="21"/>
                <w:highlight w:val="none"/>
              </w:rPr>
            </w:pPr>
            <w:r>
              <w:rPr>
                <w:rFonts w:hint="eastAsia" w:ascii="宋体" w:hAnsi="宋体" w:cs="宋体"/>
                <w:color w:val="auto"/>
                <w:szCs w:val="21"/>
                <w:highlight w:val="none"/>
                <w:lang w:eastAsia="zh-CN"/>
              </w:rPr>
              <w:t>投标人</w:t>
            </w:r>
            <w:r>
              <w:rPr>
                <w:rFonts w:hint="eastAsia" w:ascii="宋体" w:hAnsi="宋体" w:cs="宋体"/>
                <w:color w:val="auto"/>
                <w:szCs w:val="21"/>
                <w:highlight w:val="none"/>
                <w:lang w:val="en-US" w:eastAsia="zh-CN"/>
              </w:rPr>
              <w:t>具有质量管理体系</w:t>
            </w:r>
            <w:r>
              <w:rPr>
                <w:rFonts w:hint="eastAsia" w:ascii="宋体" w:hAnsi="宋体" w:cs="宋体"/>
                <w:color w:val="auto"/>
                <w:szCs w:val="21"/>
                <w:highlight w:val="none"/>
              </w:rPr>
              <w:t>、环境管理体系</w:t>
            </w:r>
            <w:r>
              <w:rPr>
                <w:rFonts w:hint="eastAsia" w:ascii="宋体" w:hAnsi="宋体" w:cs="宋体"/>
                <w:color w:val="auto"/>
                <w:szCs w:val="21"/>
                <w:highlight w:val="none"/>
                <w:lang w:eastAsia="zh-CN"/>
              </w:rPr>
              <w:t>、</w:t>
            </w:r>
            <w:r>
              <w:rPr>
                <w:rFonts w:hint="eastAsia" w:ascii="宋体" w:hAnsi="宋体" w:cs="宋体"/>
                <w:color w:val="auto"/>
                <w:szCs w:val="21"/>
                <w:highlight w:val="none"/>
              </w:rPr>
              <w:t>职业健康安全管理体系认证</w:t>
            </w:r>
            <w:r>
              <w:rPr>
                <w:rFonts w:hint="eastAsia" w:ascii="宋体" w:hAnsi="宋体" w:cs="宋体"/>
                <w:color w:val="auto"/>
                <w:szCs w:val="21"/>
                <w:highlight w:val="none"/>
                <w:lang w:val="en-US" w:eastAsia="zh-CN"/>
              </w:rPr>
              <w:t>证书</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每个得1分，最多3分</w:t>
            </w:r>
            <w:r>
              <w:rPr>
                <w:rFonts w:hint="eastAsia" w:ascii="宋体" w:hAnsi="宋体" w:cs="宋体"/>
                <w:color w:val="auto"/>
                <w:szCs w:val="21"/>
                <w:highlight w:val="none"/>
              </w:rPr>
              <w:t>。投标文件中提供有效的管理体系认证证书复印件加盖公章，现场原件备查。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1270" w:type="dxa"/>
            <w:vMerge w:val="continue"/>
            <w:tcBorders>
              <w:left w:val="single" w:color="auto" w:sz="4" w:space="0"/>
              <w:right w:val="single" w:color="auto" w:sz="4" w:space="0"/>
            </w:tcBorders>
            <w:vAlign w:val="center"/>
          </w:tcPr>
          <w:p>
            <w:pPr>
              <w:widowControl/>
              <w:jc w:val="left"/>
              <w:rPr>
                <w:rFonts w:ascii="宋体" w:hAnsi="宋体" w:cs="宋体"/>
                <w:color w:val="auto"/>
                <w:szCs w:val="21"/>
                <w:highlight w:val="none"/>
              </w:rPr>
            </w:pPr>
          </w:p>
        </w:tc>
        <w:tc>
          <w:tcPr>
            <w:tcW w:w="12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服务便捷性（4分）</w:t>
            </w:r>
          </w:p>
        </w:tc>
        <w:tc>
          <w:tcPr>
            <w:tcW w:w="7652" w:type="dxa"/>
            <w:tcBorders>
              <w:top w:val="single" w:color="auto" w:sz="4" w:space="0"/>
              <w:left w:val="single" w:color="auto" w:sz="4" w:space="0"/>
              <w:right w:val="single" w:color="auto" w:sz="4" w:space="0"/>
            </w:tcBorders>
            <w:vAlign w:val="center"/>
          </w:tcPr>
          <w:p>
            <w:pPr>
              <w:jc w:val="left"/>
              <w:rPr>
                <w:rFonts w:ascii="宋体" w:hAnsi="宋体" w:cs="宋体"/>
                <w:color w:val="auto"/>
                <w:szCs w:val="21"/>
                <w:highlight w:val="none"/>
              </w:rPr>
            </w:pPr>
            <w:r>
              <w:rPr>
                <w:rFonts w:hint="eastAsia" w:ascii="宋体" w:hAnsi="宋体" w:cs="宋体"/>
                <w:color w:val="auto"/>
                <w:szCs w:val="21"/>
                <w:highlight w:val="none"/>
              </w:rPr>
              <w:t>根据</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对本项目所投标段设置的驻场地或办事处的</w:t>
            </w:r>
            <w:r>
              <w:rPr>
                <w:rFonts w:hint="eastAsia" w:ascii="宋体" w:hAnsi="宋体" w:cs="宋体"/>
                <w:color w:val="auto"/>
                <w:szCs w:val="21"/>
                <w:highlight w:val="none"/>
                <w:lang w:eastAsia="zh-CN"/>
              </w:rPr>
              <w:t>距离远近、</w:t>
            </w:r>
            <w:r>
              <w:rPr>
                <w:rFonts w:hint="eastAsia" w:ascii="宋体" w:hAnsi="宋体" w:cs="宋体"/>
                <w:bCs/>
                <w:color w:val="auto"/>
                <w:szCs w:val="21"/>
                <w:highlight w:val="none"/>
              </w:rPr>
              <w:t>响应速度及服务内容等情况进行综合</w:t>
            </w:r>
            <w:r>
              <w:rPr>
                <w:rFonts w:hint="eastAsia" w:ascii="宋体" w:hAnsi="宋体" w:cs="宋体"/>
                <w:bCs/>
                <w:color w:val="auto"/>
                <w:szCs w:val="21"/>
                <w:highlight w:val="none"/>
                <w:lang w:eastAsia="zh-CN"/>
              </w:rPr>
              <w:t>评定</w:t>
            </w:r>
            <w:r>
              <w:rPr>
                <w:rFonts w:hint="eastAsia" w:ascii="宋体" w:hAnsi="宋体" w:cs="宋体"/>
                <w:color w:val="auto"/>
                <w:szCs w:val="21"/>
                <w:highlight w:val="none"/>
              </w:rPr>
              <w:t>：3.2分≤优≤4分；2.4分≤良&lt;3.2分；0≤一般&lt;2.4分，无不得分。</w:t>
            </w:r>
          </w:p>
          <w:p>
            <w:pPr>
              <w:jc w:val="left"/>
              <w:rPr>
                <w:rFonts w:ascii="宋体" w:hAnsi="宋体" w:cs="宋体"/>
                <w:color w:val="auto"/>
                <w:szCs w:val="21"/>
                <w:highlight w:val="none"/>
              </w:rPr>
            </w:pPr>
            <w:r>
              <w:rPr>
                <w:rFonts w:hint="eastAsia" w:ascii="宋体" w:hAnsi="宋体" w:cs="宋体"/>
                <w:color w:val="auto"/>
                <w:szCs w:val="21"/>
                <w:highlight w:val="none"/>
              </w:rPr>
              <w:t>（投标文件中须提供：服务场所如自有，房产证复印件须加盖公章，</w:t>
            </w:r>
            <w:r>
              <w:rPr>
                <w:rFonts w:hint="eastAsia" w:ascii="宋体" w:hAnsi="宋体" w:cs="宋体"/>
                <w:color w:val="auto"/>
                <w:szCs w:val="21"/>
                <w:highlight w:val="none"/>
                <w:lang w:eastAsia="zh-CN"/>
              </w:rPr>
              <w:t>现场原件备查</w:t>
            </w:r>
            <w:r>
              <w:rPr>
                <w:rFonts w:hint="eastAsia" w:ascii="宋体" w:hAnsi="宋体" w:cs="宋体"/>
                <w:color w:val="auto"/>
                <w:szCs w:val="21"/>
                <w:highlight w:val="none"/>
              </w:rPr>
              <w:t>；如租赁，须提供租赁合同和房屋租赁登记备案证明复印件加盖公章，现场原件备查）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270" w:type="dxa"/>
            <w:vMerge w:val="continue"/>
            <w:tcBorders>
              <w:left w:val="single" w:color="auto" w:sz="4" w:space="0"/>
              <w:right w:val="single" w:color="auto" w:sz="4" w:space="0"/>
            </w:tcBorders>
            <w:vAlign w:val="center"/>
          </w:tcPr>
          <w:p>
            <w:pPr>
              <w:widowControl/>
              <w:jc w:val="left"/>
              <w:rPr>
                <w:rFonts w:ascii="宋体" w:hAnsi="宋体" w:cs="宋体"/>
                <w:color w:val="auto"/>
                <w:szCs w:val="21"/>
                <w:highlight w:val="none"/>
              </w:rPr>
            </w:pPr>
          </w:p>
        </w:tc>
        <w:tc>
          <w:tcPr>
            <w:tcW w:w="12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业绩（3分）</w:t>
            </w:r>
          </w:p>
        </w:tc>
        <w:tc>
          <w:tcPr>
            <w:tcW w:w="7652" w:type="dxa"/>
            <w:tcBorders>
              <w:top w:val="single" w:color="auto" w:sz="4" w:space="0"/>
              <w:left w:val="single" w:color="auto" w:sz="4" w:space="0"/>
              <w:bottom w:val="single" w:color="auto" w:sz="4" w:space="0"/>
              <w:right w:val="single" w:color="auto" w:sz="4" w:space="0"/>
            </w:tcBorders>
            <w:vAlign w:val="top"/>
          </w:tcPr>
          <w:p>
            <w:pPr>
              <w:snapToGrid w:val="0"/>
              <w:rPr>
                <w:rFonts w:ascii="宋体" w:hAnsi="宋体" w:cs="宋体"/>
                <w:color w:val="auto"/>
                <w:szCs w:val="21"/>
                <w:highlight w:val="none"/>
              </w:rPr>
            </w:pPr>
            <w:r>
              <w:rPr>
                <w:rFonts w:hint="eastAsia" w:ascii="宋体" w:hAnsi="宋体" w:cs="宋体"/>
                <w:color w:val="auto"/>
                <w:szCs w:val="21"/>
                <w:highlight w:val="none"/>
              </w:rPr>
              <w:t>201</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年1月1日以来，</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具有的城镇河道水质养护、提升业绩，总量达到500万元及以上的得3分，总量达到300万元（含）~500万元的得2分，总量在100万元（含）~300万元的得1分。</w:t>
            </w:r>
          </w:p>
          <w:p>
            <w:pPr>
              <w:snapToGrid w:val="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（投标文件中提供</w:t>
            </w:r>
            <w:r>
              <w:rPr>
                <w:rFonts w:hint="eastAsia" w:ascii="宋体" w:hAnsi="宋体" w:cs="宋体"/>
                <w:color w:val="auto"/>
                <w:szCs w:val="21"/>
                <w:highlight w:val="none"/>
                <w:lang w:val="en-US" w:eastAsia="zh-CN"/>
              </w:rPr>
              <w:t>政府采购项目</w:t>
            </w:r>
            <w:r>
              <w:rPr>
                <w:rFonts w:hint="eastAsia" w:ascii="宋体" w:hAnsi="宋体" w:cs="宋体"/>
                <w:color w:val="auto"/>
                <w:szCs w:val="21"/>
                <w:highlight w:val="none"/>
              </w:rPr>
              <w:t>中标通知书</w:t>
            </w:r>
            <w:r>
              <w:rPr>
                <w:rFonts w:hint="eastAsia" w:ascii="宋体" w:hAnsi="宋体" w:cs="宋体"/>
                <w:color w:val="auto"/>
                <w:szCs w:val="21"/>
                <w:highlight w:val="none"/>
                <w:lang w:eastAsia="zh-CN"/>
              </w:rPr>
              <w:t>、</w:t>
            </w:r>
            <w:r>
              <w:rPr>
                <w:rFonts w:hint="eastAsia" w:ascii="宋体" w:hAnsi="宋体" w:cs="宋体"/>
                <w:color w:val="auto"/>
                <w:szCs w:val="21"/>
                <w:highlight w:val="none"/>
              </w:rPr>
              <w:t>业绩合同复印件及该业主年度评价证明</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评价证明材料中须有业主单位盖章和业主方相关联系人签字及联系电话</w:t>
            </w:r>
            <w:r>
              <w:rPr>
                <w:rFonts w:hint="eastAsia" w:ascii="宋体" w:hAnsi="宋体" w:cs="宋体"/>
                <w:color w:val="auto"/>
                <w:szCs w:val="21"/>
                <w:highlight w:val="none"/>
                <w:lang w:eastAsia="zh-CN"/>
              </w:rPr>
              <w:t>；</w:t>
            </w:r>
            <w:r>
              <w:rPr>
                <w:rFonts w:hint="eastAsia" w:ascii="宋体" w:hAnsi="宋体" w:cs="宋体"/>
                <w:color w:val="auto"/>
                <w:szCs w:val="21"/>
                <w:highlight w:val="none"/>
              </w:rPr>
              <w:t>合同签订时间要求在201</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年1月1日以</w:t>
            </w:r>
            <w:r>
              <w:rPr>
                <w:rFonts w:hint="eastAsia" w:ascii="宋体" w:hAnsi="宋体" w:cs="宋体"/>
                <w:color w:val="auto"/>
                <w:szCs w:val="21"/>
                <w:highlight w:val="none"/>
                <w:lang w:val="en-US" w:eastAsia="zh-CN"/>
              </w:rPr>
              <w:t>后</w:t>
            </w:r>
            <w:r>
              <w:rPr>
                <w:rFonts w:hint="eastAsia" w:ascii="宋体" w:hAnsi="宋体" w:cs="宋体"/>
                <w:color w:val="auto"/>
                <w:szCs w:val="21"/>
                <w:highlight w:val="none"/>
              </w:rPr>
              <w:t>；合同中如不能反映该项目合同签订时间、水质养护或提升作业内容、合同价的，均需提供业主证明材料加盖该业主单位公章）</w:t>
            </w:r>
            <w:r>
              <w:rPr>
                <w:rFonts w:hint="eastAsia" w:ascii="宋体" w:hAnsi="宋体" w:cs="宋体"/>
                <w:color w:val="auto"/>
                <w:szCs w:val="21"/>
                <w:highlight w:val="none"/>
                <w:lang w:val="en-US" w:eastAsia="zh-CN"/>
              </w:rPr>
              <w:t>以上所有文件须加盖公章做入投标文件中，现场原件备查。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270" w:type="dxa"/>
            <w:vMerge w:val="continue"/>
            <w:tcBorders>
              <w:left w:val="single" w:color="auto" w:sz="4" w:space="0"/>
              <w:right w:val="single" w:color="auto" w:sz="4" w:space="0"/>
            </w:tcBorders>
            <w:vAlign w:val="center"/>
          </w:tcPr>
          <w:p>
            <w:pPr>
              <w:widowControl/>
              <w:jc w:val="left"/>
              <w:rPr>
                <w:rFonts w:ascii="宋体" w:hAnsi="宋体" w:cs="宋体"/>
                <w:color w:val="auto"/>
                <w:szCs w:val="21"/>
                <w:highlight w:val="none"/>
              </w:rPr>
            </w:pPr>
          </w:p>
        </w:tc>
        <w:tc>
          <w:tcPr>
            <w:tcW w:w="128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综合实力</w:t>
            </w:r>
          </w:p>
          <w:p>
            <w:pPr>
              <w:jc w:val="center"/>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 ）</w:t>
            </w:r>
          </w:p>
        </w:tc>
        <w:tc>
          <w:tcPr>
            <w:tcW w:w="7652" w:type="dxa"/>
            <w:tcBorders>
              <w:top w:val="single" w:color="auto" w:sz="4" w:space="0"/>
              <w:left w:val="single" w:color="auto" w:sz="4" w:space="0"/>
              <w:bottom w:val="single" w:color="auto" w:sz="4" w:space="0"/>
              <w:right w:val="single" w:color="auto" w:sz="4" w:space="0"/>
            </w:tcBorders>
            <w:vAlign w:val="top"/>
          </w:tcPr>
          <w:p>
            <w:pPr>
              <w:snapToGrid w:val="0"/>
              <w:rPr>
                <w:rFonts w:ascii="宋体" w:hAnsi="宋体" w:cs="宋体"/>
                <w:color w:val="auto"/>
                <w:szCs w:val="21"/>
                <w:highlight w:val="none"/>
              </w:rPr>
            </w:pPr>
            <w:r>
              <w:rPr>
                <w:rFonts w:hint="eastAsia" w:ascii="宋体" w:hAnsi="宋体" w:cs="宋体"/>
                <w:color w:val="auto"/>
                <w:szCs w:val="21"/>
                <w:highlight w:val="none"/>
              </w:rPr>
              <w:t>根据</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提供的现有服务机构人员综合实力</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1分</w:t>
            </w:r>
            <w:r>
              <w:rPr>
                <w:rFonts w:hint="eastAsia" w:ascii="宋体" w:hAnsi="宋体" w:cs="宋体"/>
                <w:color w:val="auto"/>
                <w:szCs w:val="21"/>
                <w:highlight w:val="none"/>
                <w:lang w:eastAsia="zh-CN"/>
              </w:rPr>
              <w:t>）、标书制作（</w:t>
            </w:r>
            <w:r>
              <w:rPr>
                <w:rFonts w:hint="eastAsia" w:ascii="宋体" w:hAnsi="宋体" w:cs="宋体"/>
                <w:color w:val="auto"/>
                <w:szCs w:val="21"/>
                <w:highlight w:val="none"/>
                <w:lang w:val="en-US" w:eastAsia="zh-CN"/>
              </w:rPr>
              <w:t>1分</w:t>
            </w:r>
            <w:r>
              <w:rPr>
                <w:rFonts w:hint="eastAsia" w:ascii="宋体" w:hAnsi="宋体" w:cs="宋体"/>
                <w:color w:val="auto"/>
                <w:szCs w:val="21"/>
                <w:highlight w:val="none"/>
                <w:lang w:eastAsia="zh-CN"/>
              </w:rPr>
              <w:t>）等</w:t>
            </w:r>
            <w:r>
              <w:rPr>
                <w:rFonts w:hint="eastAsia" w:ascii="宋体" w:hAnsi="宋体" w:cs="宋体"/>
                <w:color w:val="auto"/>
                <w:szCs w:val="21"/>
                <w:highlight w:val="none"/>
              </w:rPr>
              <w:t>情况进行</w:t>
            </w:r>
            <w:r>
              <w:rPr>
                <w:rFonts w:hint="eastAsia" w:ascii="宋体" w:hAnsi="宋体" w:cs="宋体"/>
                <w:color w:val="auto"/>
                <w:szCs w:val="21"/>
                <w:highlight w:val="none"/>
                <w:lang w:val="en-US" w:eastAsia="zh-CN"/>
              </w:rPr>
              <w:t>综合</w:t>
            </w:r>
            <w:r>
              <w:rPr>
                <w:rFonts w:hint="eastAsia" w:ascii="宋体" w:hAnsi="宋体" w:cs="宋体"/>
                <w:color w:val="auto"/>
                <w:szCs w:val="21"/>
                <w:highlight w:val="none"/>
              </w:rPr>
              <w:t>评</w:t>
            </w:r>
            <w:r>
              <w:rPr>
                <w:rFonts w:hint="eastAsia" w:ascii="宋体" w:hAnsi="宋体" w:cs="宋体"/>
                <w:color w:val="auto"/>
                <w:szCs w:val="21"/>
                <w:highlight w:val="none"/>
                <w:lang w:val="en-US" w:eastAsia="zh-CN"/>
              </w:rPr>
              <w:t>定</w:t>
            </w:r>
            <w:r>
              <w:rPr>
                <w:rFonts w:hint="eastAsia" w:ascii="宋体" w:hAnsi="宋体" w:cs="宋体"/>
                <w:color w:val="auto"/>
                <w:szCs w:val="21"/>
                <w:highlight w:val="none"/>
              </w:rPr>
              <w:t>：</w:t>
            </w:r>
          </w:p>
          <w:p>
            <w:pPr>
              <w:snapToGrid w:val="0"/>
              <w:rPr>
                <w:rFonts w:hint="eastAsia" w:ascii="宋体" w:hAnsi="宋体" w:cs="宋体"/>
                <w:color w:val="auto"/>
                <w:szCs w:val="21"/>
                <w:highlight w:val="none"/>
              </w:rPr>
            </w:pPr>
            <w:r>
              <w:rPr>
                <w:rFonts w:hint="eastAsia" w:ascii="宋体" w:hAnsi="宋体" w:cs="宋体"/>
                <w:color w:val="auto"/>
                <w:szCs w:val="21"/>
                <w:highlight w:val="none"/>
              </w:rPr>
              <w:t>（投标文件中须提供现有服务机构人员的社会保险参保证明，社会保险参保证明开具时间应在开标日前，能证明距开标日近三个月该人员的社会保险费均已正常缴纳，且该三个月社会保险费的缴费单位均为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70" w:type="dxa"/>
            <w:vMerge w:val="restart"/>
            <w:tcBorders>
              <w:top w:val="single" w:color="auto" w:sz="4" w:space="0"/>
              <w:left w:val="single" w:color="auto" w:sz="4" w:space="0"/>
              <w:right w:val="single" w:color="auto" w:sz="4" w:space="0"/>
            </w:tcBorders>
            <w:vAlign w:val="center"/>
          </w:tcPr>
          <w:p>
            <w:pPr>
              <w:ind w:firstLine="315" w:firstLineChars="150"/>
              <w:jc w:val="center"/>
              <w:rPr>
                <w:rFonts w:ascii="宋体" w:hAnsi="宋体" w:cs="宋体"/>
                <w:color w:val="auto"/>
                <w:szCs w:val="21"/>
                <w:highlight w:val="none"/>
              </w:rPr>
            </w:pPr>
          </w:p>
          <w:p>
            <w:pPr>
              <w:ind w:firstLine="315" w:firstLineChars="150"/>
              <w:jc w:val="center"/>
              <w:rPr>
                <w:rFonts w:ascii="宋体" w:hAnsi="宋体" w:cs="宋体"/>
                <w:color w:val="auto"/>
                <w:szCs w:val="21"/>
                <w:highlight w:val="none"/>
              </w:rPr>
            </w:pPr>
          </w:p>
          <w:p>
            <w:pPr>
              <w:jc w:val="center"/>
              <w:rPr>
                <w:rFonts w:ascii="宋体" w:hAnsi="宋体" w:cs="宋体"/>
                <w:color w:val="auto"/>
                <w:szCs w:val="21"/>
                <w:highlight w:val="none"/>
              </w:rPr>
            </w:pPr>
            <w:r>
              <w:rPr>
                <w:rFonts w:hint="eastAsia" w:ascii="宋体" w:hAnsi="宋体" w:cs="宋体"/>
                <w:color w:val="auto"/>
                <w:szCs w:val="21"/>
                <w:highlight w:val="none"/>
              </w:rPr>
              <w:t>技</w:t>
            </w:r>
          </w:p>
          <w:p>
            <w:pPr>
              <w:jc w:val="center"/>
              <w:rPr>
                <w:rFonts w:ascii="宋体" w:hAnsi="宋体" w:cs="宋体"/>
                <w:color w:val="auto"/>
                <w:szCs w:val="21"/>
                <w:highlight w:val="none"/>
              </w:rPr>
            </w:pPr>
            <w:r>
              <w:rPr>
                <w:rFonts w:hint="eastAsia" w:ascii="宋体" w:hAnsi="宋体" w:cs="宋体"/>
                <w:color w:val="auto"/>
                <w:szCs w:val="21"/>
                <w:highlight w:val="none"/>
              </w:rPr>
              <w:t>术</w:t>
            </w:r>
          </w:p>
          <w:p>
            <w:pPr>
              <w:jc w:val="center"/>
              <w:rPr>
                <w:rFonts w:ascii="宋体" w:hAnsi="宋体" w:cs="宋体"/>
                <w:color w:val="auto"/>
                <w:szCs w:val="21"/>
                <w:highlight w:val="none"/>
              </w:rPr>
            </w:pPr>
            <w:r>
              <w:rPr>
                <w:rFonts w:hint="eastAsia" w:ascii="宋体" w:hAnsi="宋体" w:cs="宋体"/>
                <w:color w:val="auto"/>
                <w:szCs w:val="21"/>
                <w:highlight w:val="none"/>
              </w:rPr>
              <w:t>部</w:t>
            </w:r>
          </w:p>
          <w:p>
            <w:pPr>
              <w:jc w:val="center"/>
              <w:rPr>
                <w:rFonts w:ascii="宋体" w:hAnsi="宋体" w:cs="宋体"/>
                <w:color w:val="auto"/>
                <w:szCs w:val="21"/>
                <w:highlight w:val="none"/>
              </w:rPr>
            </w:pPr>
            <w:r>
              <w:rPr>
                <w:rFonts w:hint="eastAsia" w:ascii="宋体" w:hAnsi="宋体" w:cs="宋体"/>
                <w:color w:val="auto"/>
                <w:szCs w:val="21"/>
                <w:highlight w:val="none"/>
              </w:rPr>
              <w:t>分</w:t>
            </w:r>
          </w:p>
          <w:p>
            <w:pPr>
              <w:jc w:val="center"/>
              <w:rPr>
                <w:rFonts w:ascii="宋体" w:hAnsi="宋体" w:cs="宋体"/>
                <w:color w:val="auto"/>
                <w:szCs w:val="21"/>
                <w:highlight w:val="none"/>
              </w:rPr>
            </w:pPr>
            <w:r>
              <w:rPr>
                <w:rFonts w:hint="eastAsia" w:ascii="宋体" w:hAnsi="宋体" w:cs="宋体"/>
                <w:color w:val="auto"/>
                <w:szCs w:val="21"/>
                <w:highlight w:val="none"/>
              </w:rPr>
              <w:t>评</w:t>
            </w:r>
          </w:p>
          <w:p>
            <w:pPr>
              <w:jc w:val="center"/>
              <w:rPr>
                <w:rFonts w:ascii="宋体" w:hAnsi="宋体" w:cs="宋体"/>
                <w:color w:val="auto"/>
                <w:szCs w:val="21"/>
                <w:highlight w:val="none"/>
              </w:rPr>
            </w:pPr>
            <w:r>
              <w:rPr>
                <w:rFonts w:hint="eastAsia" w:ascii="宋体" w:hAnsi="宋体" w:cs="宋体"/>
                <w:color w:val="auto"/>
                <w:szCs w:val="21"/>
                <w:highlight w:val="none"/>
              </w:rPr>
              <w:t>分</w:t>
            </w:r>
          </w:p>
          <w:p>
            <w:pPr>
              <w:jc w:val="center"/>
              <w:rPr>
                <w:rFonts w:ascii="宋体" w:hAnsi="宋体" w:cs="宋体"/>
                <w:color w:val="auto"/>
                <w:szCs w:val="21"/>
                <w:highlight w:val="none"/>
              </w:rPr>
            </w:pPr>
            <w:r>
              <w:rPr>
                <w:rFonts w:hint="eastAsia" w:ascii="宋体" w:hAnsi="宋体" w:cs="宋体"/>
                <w:color w:val="auto"/>
                <w:szCs w:val="21"/>
                <w:highlight w:val="none"/>
              </w:rPr>
              <w:t>（71分）</w:t>
            </w:r>
          </w:p>
        </w:tc>
        <w:tc>
          <w:tcPr>
            <w:tcW w:w="128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投标技术方案</w:t>
            </w:r>
          </w:p>
          <w:p>
            <w:pPr>
              <w:jc w:val="center"/>
              <w:rPr>
                <w:rFonts w:ascii="宋体" w:hAnsi="宋体" w:cs="宋体"/>
                <w:color w:val="auto"/>
                <w:szCs w:val="21"/>
                <w:highlight w:val="none"/>
              </w:rPr>
            </w:pPr>
            <w:r>
              <w:rPr>
                <w:rFonts w:hint="eastAsia" w:ascii="宋体" w:hAnsi="宋体" w:cs="宋体"/>
                <w:color w:val="auto"/>
                <w:szCs w:val="21"/>
                <w:highlight w:val="none"/>
              </w:rPr>
              <w:t>（40分）</w:t>
            </w:r>
          </w:p>
        </w:tc>
        <w:tc>
          <w:tcPr>
            <w:tcW w:w="7652" w:type="dxa"/>
            <w:tcBorders>
              <w:top w:val="single" w:color="auto" w:sz="4" w:space="0"/>
              <w:left w:val="single" w:color="auto" w:sz="4" w:space="0"/>
              <w:bottom w:val="single" w:color="auto" w:sz="4" w:space="0"/>
              <w:right w:val="single" w:color="auto" w:sz="4" w:space="0"/>
            </w:tcBorders>
            <w:vAlign w:val="top"/>
          </w:tcPr>
          <w:p>
            <w:pPr>
              <w:snapToGrid w:val="0"/>
              <w:rPr>
                <w:rFonts w:ascii="宋体" w:hAnsi="宋体" w:cs="宋体"/>
                <w:color w:val="auto"/>
                <w:szCs w:val="21"/>
                <w:highlight w:val="none"/>
              </w:rPr>
            </w:pPr>
            <w:r>
              <w:rPr>
                <w:rFonts w:hint="eastAsia" w:ascii="宋体" w:hAnsi="宋体" w:cs="宋体"/>
                <w:color w:val="auto"/>
                <w:szCs w:val="21"/>
                <w:highlight w:val="none"/>
              </w:rPr>
              <w:t>对本标段的理解程度（8分）：包括对本标段所涉及到的所有河道现场实际情况的了解和调研（如点源污染，面源污染，周边环境等）、本次水质提升服务的关键点和难点以及针对上述关键点、难点和相应的解决措施。评委会根据各</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对本项目的理解程度进行综合评定：</w:t>
            </w:r>
          </w:p>
          <w:p>
            <w:pPr>
              <w:snapToGrid w:val="0"/>
              <w:rPr>
                <w:rFonts w:ascii="宋体" w:hAnsi="宋体" w:cs="宋体"/>
                <w:color w:val="auto"/>
                <w:szCs w:val="21"/>
                <w:highlight w:val="none"/>
              </w:rPr>
            </w:pPr>
            <w:r>
              <w:rPr>
                <w:rFonts w:hint="eastAsia" w:ascii="宋体" w:hAnsi="宋体" w:cs="宋体"/>
                <w:color w:val="auto"/>
                <w:szCs w:val="21"/>
                <w:highlight w:val="none"/>
              </w:rPr>
              <w:t>6.4分≤优≤8分，4.8分≤良&lt;6.4分，1≤一般&lt;4.8分。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2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szCs w:val="21"/>
                <w:highlight w:val="none"/>
              </w:rPr>
            </w:pPr>
          </w:p>
        </w:tc>
        <w:tc>
          <w:tcPr>
            <w:tcW w:w="1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szCs w:val="21"/>
                <w:highlight w:val="none"/>
              </w:rPr>
            </w:pPr>
          </w:p>
        </w:tc>
        <w:tc>
          <w:tcPr>
            <w:tcW w:w="7652" w:type="dxa"/>
            <w:tcBorders>
              <w:top w:val="single" w:color="auto" w:sz="4" w:space="0"/>
              <w:left w:val="single" w:color="auto" w:sz="4" w:space="0"/>
              <w:bottom w:val="single" w:color="auto" w:sz="4" w:space="0"/>
              <w:right w:val="single" w:color="auto" w:sz="4" w:space="0"/>
            </w:tcBorders>
            <w:vAlign w:val="top"/>
          </w:tcPr>
          <w:p>
            <w:pPr>
              <w:snapToGrid w:val="0"/>
              <w:rPr>
                <w:rFonts w:ascii="宋体" w:hAnsi="宋体" w:cs="宋体"/>
                <w:color w:val="auto"/>
                <w:szCs w:val="21"/>
                <w:highlight w:val="none"/>
              </w:rPr>
            </w:pPr>
            <w:r>
              <w:rPr>
                <w:rFonts w:hint="eastAsia" w:ascii="宋体" w:hAnsi="宋体" w:cs="宋体"/>
                <w:color w:val="auto"/>
                <w:szCs w:val="21"/>
                <w:highlight w:val="none"/>
              </w:rPr>
              <w:t>水质提升技术路线方案（12分）：评委根据</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提供的针对不同河道的水质现状所采用的技术路线和养护工艺，从其技术路线和水质提升工艺的完整性、客观性、科学合理性等进行综合评定：</w:t>
            </w:r>
          </w:p>
          <w:p>
            <w:pPr>
              <w:snapToGrid w:val="0"/>
              <w:rPr>
                <w:rFonts w:ascii="宋体" w:hAnsi="宋体" w:cs="宋体"/>
                <w:color w:val="auto"/>
                <w:szCs w:val="21"/>
                <w:highlight w:val="none"/>
              </w:rPr>
            </w:pPr>
            <w:r>
              <w:rPr>
                <w:rFonts w:hint="eastAsia" w:ascii="宋体" w:hAnsi="宋体" w:cs="宋体"/>
                <w:color w:val="auto"/>
                <w:szCs w:val="21"/>
                <w:highlight w:val="none"/>
              </w:rPr>
              <w:t>9.6分≤优≤12分，7.2分≤良&lt;9.6分，1≤一般&lt;7.2分。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2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szCs w:val="21"/>
                <w:highlight w:val="none"/>
              </w:rPr>
            </w:pPr>
          </w:p>
        </w:tc>
        <w:tc>
          <w:tcPr>
            <w:tcW w:w="1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szCs w:val="21"/>
                <w:highlight w:val="none"/>
              </w:rPr>
            </w:pPr>
          </w:p>
        </w:tc>
        <w:tc>
          <w:tcPr>
            <w:tcW w:w="7652" w:type="dxa"/>
            <w:tcBorders>
              <w:top w:val="single" w:color="auto" w:sz="4" w:space="0"/>
              <w:left w:val="single" w:color="auto" w:sz="4" w:space="0"/>
              <w:bottom w:val="single" w:color="auto" w:sz="4" w:space="0"/>
              <w:right w:val="single" w:color="auto" w:sz="4" w:space="0"/>
            </w:tcBorders>
            <w:vAlign w:val="top"/>
          </w:tcPr>
          <w:p>
            <w:pPr>
              <w:snapToGrid w:val="0"/>
              <w:rPr>
                <w:rFonts w:ascii="宋体" w:hAnsi="宋体" w:cs="宋体"/>
                <w:color w:val="auto"/>
                <w:szCs w:val="21"/>
                <w:highlight w:val="none"/>
              </w:rPr>
            </w:pPr>
            <w:r>
              <w:rPr>
                <w:rFonts w:hint="eastAsia" w:ascii="宋体" w:hAnsi="宋体" w:cs="宋体"/>
                <w:color w:val="auto"/>
                <w:szCs w:val="21"/>
                <w:highlight w:val="none"/>
              </w:rPr>
              <w:t>施工组织设计方案（6分）：评委会根据</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提供的施工组织设计方案、施工进度安排、文明和安全施工的质量保证措施、施工过程对河流开放性及当前水质提升管理工作的影响性分析、验收方案等方面进行综合评定：</w:t>
            </w:r>
          </w:p>
          <w:p>
            <w:pPr>
              <w:snapToGrid w:val="0"/>
              <w:rPr>
                <w:rFonts w:ascii="宋体" w:hAnsi="宋体" w:cs="宋体"/>
                <w:color w:val="auto"/>
                <w:kern w:val="0"/>
                <w:szCs w:val="21"/>
                <w:highlight w:val="none"/>
              </w:rPr>
            </w:pPr>
            <w:r>
              <w:rPr>
                <w:rFonts w:hint="eastAsia" w:ascii="宋体" w:hAnsi="宋体" w:cs="宋体"/>
                <w:color w:val="auto"/>
                <w:szCs w:val="21"/>
                <w:highlight w:val="none"/>
              </w:rPr>
              <w:t>4.8分≤优≤6分；3.6分≤良&lt;4.8分；1分≤一般&lt;3.6分。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2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szCs w:val="21"/>
                <w:highlight w:val="none"/>
              </w:rPr>
            </w:pPr>
          </w:p>
        </w:tc>
        <w:tc>
          <w:tcPr>
            <w:tcW w:w="1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szCs w:val="21"/>
                <w:highlight w:val="none"/>
              </w:rPr>
            </w:pPr>
          </w:p>
        </w:tc>
        <w:tc>
          <w:tcPr>
            <w:tcW w:w="7652" w:type="dxa"/>
            <w:tcBorders>
              <w:top w:val="single" w:color="auto" w:sz="4" w:space="0"/>
              <w:left w:val="single" w:color="auto" w:sz="4" w:space="0"/>
              <w:bottom w:val="single" w:color="auto" w:sz="4" w:space="0"/>
              <w:right w:val="single" w:color="auto" w:sz="4" w:space="0"/>
            </w:tcBorders>
            <w:vAlign w:val="top"/>
          </w:tcPr>
          <w:p>
            <w:pPr>
              <w:snapToGrid w:val="0"/>
              <w:rPr>
                <w:rFonts w:ascii="宋体" w:hAnsi="宋体" w:cs="宋体"/>
                <w:color w:val="auto"/>
                <w:szCs w:val="21"/>
                <w:highlight w:val="none"/>
              </w:rPr>
            </w:pPr>
            <w:r>
              <w:rPr>
                <w:rFonts w:hint="eastAsia" w:ascii="宋体" w:hAnsi="宋体" w:cs="宋体"/>
                <w:color w:val="auto"/>
                <w:szCs w:val="21"/>
                <w:highlight w:val="none"/>
              </w:rPr>
              <w:t>根据</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拟投入本标段水质提升的设施设备、材料配备情况（8分）：评委根据</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拟投入本标段水质提升的设施设备的技术参数、功能实现、外观特征，品牌选用、主要性能指标、功能的满足性、配置完整性、性能稳定性等进行综合评定：</w:t>
            </w:r>
          </w:p>
          <w:p>
            <w:pPr>
              <w:snapToGrid w:val="0"/>
              <w:rPr>
                <w:rFonts w:ascii="宋体" w:hAnsi="宋体" w:cs="宋体"/>
                <w:color w:val="auto"/>
                <w:szCs w:val="21"/>
                <w:highlight w:val="none"/>
              </w:rPr>
            </w:pPr>
            <w:r>
              <w:rPr>
                <w:rFonts w:hint="eastAsia" w:ascii="宋体" w:hAnsi="宋体" w:cs="宋体"/>
                <w:color w:val="auto"/>
                <w:szCs w:val="21"/>
                <w:highlight w:val="none"/>
              </w:rPr>
              <w:t>6.4分≤优≤8分，4.8分≤良&lt;6.4分，1≤一般&lt;4.8分。</w:t>
            </w:r>
          </w:p>
          <w:p>
            <w:pPr>
              <w:snapToGrid w:val="0"/>
              <w:rPr>
                <w:rFonts w:ascii="宋体" w:hAnsi="宋体" w:cs="宋体"/>
                <w:color w:val="auto"/>
                <w:szCs w:val="21"/>
                <w:highlight w:val="none"/>
              </w:rPr>
            </w:pPr>
            <w:r>
              <w:rPr>
                <w:rFonts w:hint="eastAsia" w:ascii="宋体" w:hAnsi="宋体" w:cs="宋体"/>
                <w:color w:val="auto"/>
                <w:szCs w:val="21"/>
                <w:highlight w:val="none"/>
              </w:rPr>
              <w:t>（投标文件中需提供投标产品各项合格证明文件，并加盖制造商公章。若为自有，提供购买合同、发票复印件，如租赁，提供租赁合同复印件加盖公章，现场原件备查）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szCs w:val="21"/>
                <w:highlight w:val="none"/>
              </w:rPr>
            </w:pPr>
          </w:p>
        </w:tc>
        <w:tc>
          <w:tcPr>
            <w:tcW w:w="1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szCs w:val="21"/>
                <w:highlight w:val="none"/>
              </w:rPr>
            </w:pPr>
          </w:p>
        </w:tc>
        <w:tc>
          <w:tcPr>
            <w:tcW w:w="7652" w:type="dxa"/>
            <w:tcBorders>
              <w:top w:val="single" w:color="auto" w:sz="4" w:space="0"/>
              <w:left w:val="single" w:color="auto" w:sz="4" w:space="0"/>
              <w:bottom w:val="single" w:color="auto" w:sz="4" w:space="0"/>
              <w:right w:val="single" w:color="auto" w:sz="4" w:space="0"/>
            </w:tcBorders>
            <w:vAlign w:val="top"/>
          </w:tcPr>
          <w:p>
            <w:pPr>
              <w:snapToGrid w:val="0"/>
              <w:rPr>
                <w:rFonts w:ascii="宋体" w:hAnsi="宋体" w:cs="宋体"/>
                <w:color w:val="auto"/>
                <w:szCs w:val="21"/>
                <w:highlight w:val="none"/>
              </w:rPr>
            </w:pPr>
            <w:r>
              <w:rPr>
                <w:rFonts w:hint="eastAsia" w:ascii="宋体" w:hAnsi="宋体" w:cs="宋体"/>
                <w:color w:val="auto"/>
                <w:szCs w:val="21"/>
                <w:highlight w:val="none"/>
              </w:rPr>
              <w:t>河道平面布置图（6分）：评委根据</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提供的图纸的完整性、合理性、科学性等进行综合评</w:t>
            </w:r>
            <w:r>
              <w:rPr>
                <w:rFonts w:hint="eastAsia" w:ascii="宋体" w:hAnsi="宋体" w:cs="宋体"/>
                <w:color w:val="auto"/>
                <w:szCs w:val="21"/>
                <w:highlight w:val="none"/>
                <w:lang w:val="en-US" w:eastAsia="zh-CN"/>
              </w:rPr>
              <w:t>定</w:t>
            </w:r>
            <w:r>
              <w:rPr>
                <w:rFonts w:hint="eastAsia" w:ascii="宋体" w:hAnsi="宋体" w:cs="宋体"/>
                <w:color w:val="auto"/>
                <w:szCs w:val="21"/>
                <w:highlight w:val="none"/>
              </w:rPr>
              <w:t>：4.8分≤优≤6分；3.6分≤良&lt;4.8分；1≤一般&lt;3.6分，缺项不得分。</w:t>
            </w:r>
          </w:p>
          <w:p>
            <w:pPr>
              <w:snapToGrid w:val="0"/>
              <w:rPr>
                <w:rFonts w:ascii="宋体" w:hAnsi="宋体" w:cs="宋体"/>
                <w:color w:val="auto"/>
                <w:szCs w:val="21"/>
                <w:highlight w:val="none"/>
              </w:rPr>
            </w:pPr>
            <w:r>
              <w:rPr>
                <w:rFonts w:hint="eastAsia" w:ascii="宋体" w:hAnsi="宋体" w:cs="宋体"/>
                <w:color w:val="auto"/>
                <w:szCs w:val="21"/>
                <w:highlight w:val="none"/>
              </w:rPr>
              <w:t>布置图要求包括但不限于如下内容：投入水质提升的各项设备、材料的平面位置（并注明陆上、水面或水下布置）、间距、单体面积等，如涉及水下设备安装，需绘制设备在河道内的垂直断面布置图。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2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szCs w:val="21"/>
                <w:highlight w:val="none"/>
              </w:rPr>
            </w:pPr>
          </w:p>
        </w:tc>
        <w:tc>
          <w:tcPr>
            <w:tcW w:w="128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运行管理方案</w:t>
            </w:r>
          </w:p>
          <w:p>
            <w:pPr>
              <w:jc w:val="center"/>
              <w:rPr>
                <w:rFonts w:ascii="宋体" w:hAnsi="宋体" w:cs="宋体"/>
                <w:color w:val="auto"/>
                <w:szCs w:val="21"/>
                <w:highlight w:val="none"/>
              </w:rPr>
            </w:pPr>
            <w:r>
              <w:rPr>
                <w:rFonts w:hint="eastAsia" w:ascii="宋体" w:hAnsi="宋体" w:cs="宋体"/>
                <w:color w:val="auto"/>
                <w:szCs w:val="21"/>
                <w:highlight w:val="none"/>
              </w:rPr>
              <w:t>（15分）</w:t>
            </w:r>
          </w:p>
        </w:tc>
        <w:tc>
          <w:tcPr>
            <w:tcW w:w="7652" w:type="dxa"/>
            <w:tcBorders>
              <w:top w:val="single" w:color="auto" w:sz="4" w:space="0"/>
              <w:left w:val="single" w:color="auto" w:sz="4" w:space="0"/>
              <w:bottom w:val="single" w:color="auto" w:sz="4" w:space="0"/>
              <w:right w:val="single" w:color="auto" w:sz="4" w:space="0"/>
            </w:tcBorders>
            <w:vAlign w:val="top"/>
          </w:tcPr>
          <w:p>
            <w:pPr>
              <w:snapToGrid w:val="0"/>
              <w:rPr>
                <w:rFonts w:ascii="宋体" w:hAnsi="宋体" w:cs="宋体"/>
                <w:color w:val="auto"/>
                <w:szCs w:val="21"/>
                <w:highlight w:val="none"/>
              </w:rPr>
            </w:pPr>
            <w:r>
              <w:rPr>
                <w:rFonts w:hint="eastAsia" w:ascii="宋体" w:hAnsi="宋体" w:cs="宋体"/>
                <w:color w:val="auto"/>
                <w:szCs w:val="21"/>
                <w:highlight w:val="none"/>
              </w:rPr>
              <w:t>日常巡查方案（5分）：</w:t>
            </w:r>
            <w:r>
              <w:rPr>
                <w:rFonts w:hint="eastAsia" w:ascii="宋体" w:hAnsi="宋体" w:cs="宋体"/>
                <w:color w:val="auto"/>
                <w:kern w:val="0"/>
                <w:szCs w:val="21"/>
                <w:highlight w:val="none"/>
              </w:rPr>
              <w:t>评委根据</w:t>
            </w:r>
            <w:r>
              <w:rPr>
                <w:rFonts w:hint="eastAsia" w:ascii="宋体" w:hAnsi="宋体" w:cs="宋体"/>
                <w:color w:val="auto"/>
                <w:szCs w:val="21"/>
                <w:highlight w:val="none"/>
              </w:rPr>
              <w:t>水质提升作业期间的日常巡查方案进行综合评</w:t>
            </w:r>
            <w:r>
              <w:rPr>
                <w:rFonts w:hint="eastAsia" w:ascii="宋体" w:hAnsi="宋体" w:cs="宋体"/>
                <w:color w:val="auto"/>
                <w:szCs w:val="21"/>
                <w:highlight w:val="none"/>
                <w:lang w:val="en-US" w:eastAsia="zh-CN"/>
              </w:rPr>
              <w:t>定</w:t>
            </w:r>
            <w:r>
              <w:rPr>
                <w:rFonts w:hint="eastAsia" w:ascii="宋体" w:hAnsi="宋体" w:cs="宋体"/>
                <w:color w:val="auto"/>
                <w:szCs w:val="21"/>
                <w:highlight w:val="none"/>
              </w:rPr>
              <w:t>：4分≤优≤5分；3分≤良&lt;4分；1分≤一般&lt;3分，缺项不得分。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2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szCs w:val="21"/>
                <w:highlight w:val="none"/>
              </w:rPr>
            </w:pPr>
          </w:p>
        </w:tc>
        <w:tc>
          <w:tcPr>
            <w:tcW w:w="1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szCs w:val="21"/>
                <w:highlight w:val="none"/>
              </w:rPr>
            </w:pPr>
          </w:p>
        </w:tc>
        <w:tc>
          <w:tcPr>
            <w:tcW w:w="7652" w:type="dxa"/>
            <w:tcBorders>
              <w:top w:val="single" w:color="auto" w:sz="4" w:space="0"/>
              <w:left w:val="single" w:color="auto" w:sz="4" w:space="0"/>
              <w:bottom w:val="single" w:color="auto" w:sz="4" w:space="0"/>
              <w:right w:val="single" w:color="auto" w:sz="4" w:space="0"/>
            </w:tcBorders>
            <w:vAlign w:val="top"/>
          </w:tcPr>
          <w:p>
            <w:pPr>
              <w:snapToGrid w:val="0"/>
              <w:rPr>
                <w:rFonts w:ascii="宋体" w:hAnsi="宋体" w:cs="宋体"/>
                <w:color w:val="auto"/>
                <w:szCs w:val="21"/>
                <w:highlight w:val="none"/>
              </w:rPr>
            </w:pPr>
            <w:r>
              <w:rPr>
                <w:rFonts w:hint="eastAsia" w:ascii="宋体" w:hAnsi="宋体" w:cs="宋体"/>
                <w:color w:val="auto"/>
                <w:szCs w:val="21"/>
                <w:highlight w:val="none"/>
              </w:rPr>
              <w:t>水质自行检测方案（4分）：评委根据</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提供的水质自行检测方案科学性、合理性、严谨性等进行综合评定：</w:t>
            </w:r>
          </w:p>
          <w:p>
            <w:pPr>
              <w:snapToGrid w:val="0"/>
              <w:rPr>
                <w:rFonts w:ascii="宋体" w:hAnsi="宋体" w:cs="宋体"/>
                <w:color w:val="auto"/>
                <w:szCs w:val="21"/>
                <w:highlight w:val="none"/>
              </w:rPr>
            </w:pPr>
            <w:r>
              <w:rPr>
                <w:rFonts w:hint="eastAsia" w:ascii="宋体" w:hAnsi="宋体" w:cs="宋体"/>
                <w:color w:val="auto"/>
                <w:szCs w:val="21"/>
                <w:highlight w:val="none"/>
              </w:rPr>
              <w:t>3.2分≤优≤4分；2.4分≤良&lt;3.2分；1≤一般&lt;2.4分，缺项不得分。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2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szCs w:val="21"/>
                <w:highlight w:val="none"/>
              </w:rPr>
            </w:pPr>
          </w:p>
        </w:tc>
        <w:tc>
          <w:tcPr>
            <w:tcW w:w="1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szCs w:val="21"/>
                <w:highlight w:val="none"/>
              </w:rPr>
            </w:pPr>
          </w:p>
        </w:tc>
        <w:tc>
          <w:tcPr>
            <w:tcW w:w="7652" w:type="dxa"/>
            <w:tcBorders>
              <w:top w:val="single" w:color="auto" w:sz="4" w:space="0"/>
              <w:left w:val="single" w:color="auto" w:sz="4" w:space="0"/>
              <w:bottom w:val="single" w:color="auto" w:sz="4" w:space="0"/>
              <w:right w:val="single" w:color="auto" w:sz="4" w:space="0"/>
            </w:tcBorders>
            <w:vAlign w:val="top"/>
          </w:tcPr>
          <w:p>
            <w:pPr>
              <w:snapToGrid w:val="0"/>
              <w:rPr>
                <w:rFonts w:ascii="宋体" w:hAnsi="宋体" w:cs="宋体"/>
                <w:color w:val="auto"/>
                <w:szCs w:val="21"/>
                <w:highlight w:val="none"/>
              </w:rPr>
            </w:pPr>
            <w:r>
              <w:rPr>
                <w:rFonts w:hint="eastAsia" w:ascii="宋体" w:hAnsi="宋体" w:cs="宋体"/>
                <w:color w:val="auto"/>
                <w:szCs w:val="21"/>
                <w:highlight w:val="none"/>
              </w:rPr>
              <w:t>应急响应方案（6分）：评委根据</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提供的针对水质恶化突发性事件、高温季节、防汛、渡汛的安全保证措施、重大活动创建和检查期间的应急响应管理方案和制度进行综合评定：</w:t>
            </w:r>
          </w:p>
          <w:p>
            <w:pPr>
              <w:snapToGrid w:val="0"/>
              <w:rPr>
                <w:rFonts w:ascii="宋体" w:hAnsi="宋体" w:cs="宋体"/>
                <w:color w:val="auto"/>
                <w:szCs w:val="21"/>
                <w:highlight w:val="none"/>
              </w:rPr>
            </w:pPr>
            <w:r>
              <w:rPr>
                <w:rFonts w:hint="eastAsia" w:ascii="宋体" w:hAnsi="宋体" w:cs="宋体"/>
                <w:color w:val="auto"/>
                <w:szCs w:val="21"/>
                <w:highlight w:val="none"/>
              </w:rPr>
              <w:t>4.8分≤优≤6分；3.6分≤良&lt;4.8分；1≤一般&lt;3.6分，缺项不得分。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2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szCs w:val="21"/>
                <w:highlight w:val="none"/>
              </w:rPr>
            </w:pPr>
          </w:p>
        </w:tc>
        <w:tc>
          <w:tcPr>
            <w:tcW w:w="1287" w:type="dxa"/>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针对本标段的养护管理人员配备（9分）</w:t>
            </w:r>
          </w:p>
        </w:tc>
        <w:tc>
          <w:tcPr>
            <w:tcW w:w="765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评委会根据</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提供的拟投入本标段的人员配置进行综合评定（根据拟投入本标段的项目负责人经验、项目组其他成员的数量、专业素质、技术能力及</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为完成本标段的各项资源调动能力等），酌情打分（6分）：4.8分≤优≤6分；3.6分≤良&lt;4.8分；1≤一般&lt;3.6分；缺项不得分。</w:t>
            </w:r>
          </w:p>
          <w:p>
            <w:pPr>
              <w:rPr>
                <w:rFonts w:ascii="宋体" w:hAnsi="宋体" w:cs="宋体"/>
                <w:color w:val="auto"/>
                <w:szCs w:val="21"/>
                <w:highlight w:val="none"/>
              </w:rPr>
            </w:pPr>
            <w:r>
              <w:rPr>
                <w:rFonts w:hint="eastAsia" w:ascii="宋体" w:hAnsi="宋体" w:cs="宋体"/>
                <w:color w:val="auto"/>
                <w:szCs w:val="21"/>
                <w:highlight w:val="none"/>
              </w:rPr>
              <w:t>（注：拟投入本标段的人员须包含项目负责人、巡查考核人员、电工（兼修理工）和养护人员，其中电工、巡查考核人员每个标段至少各配1名，养护人员每个标段按不少于25000</w:t>
            </w:r>
            <w:r>
              <w:rPr>
                <w:rFonts w:hint="eastAsia"/>
                <w:color w:val="auto"/>
                <w:highlight w:val="none"/>
              </w:rPr>
              <w:t>m</w:t>
            </w:r>
            <w:r>
              <w:rPr>
                <w:rFonts w:hint="eastAsia"/>
                <w:color w:val="auto"/>
                <w:sz w:val="21"/>
                <w:szCs w:val="24"/>
                <w:highlight w:val="none"/>
                <w:vertAlign w:val="superscript"/>
              </w:rPr>
              <w:t>2</w:t>
            </w:r>
            <w:r>
              <w:rPr>
                <w:rFonts w:hint="eastAsia" w:ascii="宋体" w:hAnsi="宋体" w:cs="宋体"/>
                <w:color w:val="auto"/>
                <w:szCs w:val="21"/>
                <w:highlight w:val="none"/>
              </w:rPr>
              <w:t>/人配备（计算结果出现小数点的需向上递增取整）。</w:t>
            </w:r>
            <w:r>
              <w:rPr>
                <w:rFonts w:hint="eastAsia" w:ascii="宋体" w:hAnsi="宋体" w:cs="宋体"/>
                <w:bCs/>
                <w:color w:val="auto"/>
                <w:szCs w:val="21"/>
                <w:highlight w:val="none"/>
              </w:rPr>
              <w:t>以上人员中如已为</w:t>
            </w:r>
            <w:r>
              <w:rPr>
                <w:rFonts w:hint="eastAsia" w:ascii="宋体" w:hAnsi="宋体" w:cs="宋体"/>
                <w:bCs/>
                <w:color w:val="auto"/>
                <w:szCs w:val="21"/>
                <w:highlight w:val="none"/>
                <w:lang w:eastAsia="zh-CN"/>
              </w:rPr>
              <w:t>投标人</w:t>
            </w:r>
            <w:r>
              <w:rPr>
                <w:rFonts w:hint="eastAsia" w:ascii="宋体" w:hAnsi="宋体" w:cs="宋体"/>
                <w:bCs/>
                <w:color w:val="auto"/>
                <w:szCs w:val="21"/>
                <w:highlight w:val="none"/>
              </w:rPr>
              <w:t>正式职工的，</w:t>
            </w:r>
            <w:r>
              <w:rPr>
                <w:rFonts w:hint="eastAsia" w:ascii="宋体" w:hAnsi="宋体" w:cs="宋体"/>
                <w:color w:val="auto"/>
                <w:szCs w:val="21"/>
                <w:highlight w:val="none"/>
              </w:rPr>
              <w:t>投标文件中提供相关人员社会保险参保证明原件（</w:t>
            </w:r>
            <w:r>
              <w:rPr>
                <w:rFonts w:hint="eastAsia" w:ascii="宋体" w:hAnsi="宋体" w:cs="宋体"/>
                <w:color w:val="auto"/>
                <w:szCs w:val="21"/>
                <w:highlight w:val="none"/>
                <w:shd w:val="clear"/>
              </w:rPr>
              <w:t>社会保险参保证明开具时间应在开标日前，能证明距开标日近三个月该人员的社会保险费均已正常缴纳，且该三个月社会保险费的缴费单位均为投标人</w:t>
            </w:r>
            <w:r>
              <w:rPr>
                <w:rFonts w:hint="eastAsia" w:ascii="宋体" w:hAnsi="宋体" w:cs="宋体"/>
                <w:color w:val="auto"/>
                <w:szCs w:val="21"/>
                <w:highlight w:val="none"/>
              </w:rPr>
              <w:t>，与本水质提升项目相关的上岗/职称证书等复印件；复印件加盖公章，</w:t>
            </w:r>
            <w:r>
              <w:rPr>
                <w:rFonts w:hint="eastAsia" w:ascii="宋体" w:hAnsi="宋体" w:cs="宋体"/>
                <w:color w:val="auto"/>
                <w:szCs w:val="21"/>
                <w:highlight w:val="none"/>
                <w:lang w:val="en-US" w:eastAsia="zh-CN"/>
              </w:rPr>
              <w:t>做入投标文件中，</w:t>
            </w:r>
            <w:r>
              <w:rPr>
                <w:rFonts w:hint="eastAsia" w:ascii="宋体" w:hAnsi="宋体" w:cs="宋体"/>
                <w:color w:val="auto"/>
                <w:szCs w:val="21"/>
                <w:highlight w:val="none"/>
              </w:rPr>
              <w:t>现场原件备查。）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2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szCs w:val="21"/>
                <w:highlight w:val="none"/>
              </w:rPr>
            </w:pPr>
          </w:p>
        </w:tc>
        <w:tc>
          <w:tcPr>
            <w:tcW w:w="1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szCs w:val="21"/>
                <w:highlight w:val="none"/>
              </w:rPr>
            </w:pPr>
          </w:p>
        </w:tc>
        <w:tc>
          <w:tcPr>
            <w:tcW w:w="765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评委根据</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提供的针对本标段的人员管理方案（3分）：人员层级管理以及组织架构、考核方案、人员管理规范等进行评定。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szCs w:val="21"/>
                <w:highlight w:val="none"/>
              </w:rPr>
            </w:pPr>
          </w:p>
        </w:tc>
        <w:tc>
          <w:tcPr>
            <w:tcW w:w="128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合理化建议</w:t>
            </w:r>
          </w:p>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（2分）</w:t>
            </w:r>
          </w:p>
        </w:tc>
        <w:tc>
          <w:tcPr>
            <w:tcW w:w="765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评委根据</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的针对本标段提出</w:t>
            </w:r>
            <w:r>
              <w:rPr>
                <w:rFonts w:hint="eastAsia" w:ascii="宋体" w:hAnsi="宋体" w:cs="宋体"/>
                <w:color w:val="auto"/>
                <w:szCs w:val="21"/>
                <w:highlight w:val="none"/>
                <w:lang w:eastAsia="zh-CN"/>
              </w:rPr>
              <w:t>的</w:t>
            </w:r>
            <w:r>
              <w:rPr>
                <w:rFonts w:hint="eastAsia" w:ascii="宋体" w:hAnsi="宋体" w:cs="宋体"/>
                <w:color w:val="auto"/>
                <w:szCs w:val="21"/>
                <w:highlight w:val="none"/>
              </w:rPr>
              <w:t>合理化建议进行评定。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2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szCs w:val="21"/>
                <w:highlight w:val="none"/>
              </w:rPr>
            </w:pPr>
          </w:p>
        </w:tc>
        <w:tc>
          <w:tcPr>
            <w:tcW w:w="12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答辩分</w:t>
            </w:r>
          </w:p>
          <w:p>
            <w:pPr>
              <w:jc w:val="center"/>
              <w:rPr>
                <w:rFonts w:ascii="宋体" w:hAnsi="宋体" w:cs="宋体"/>
                <w:color w:val="auto"/>
                <w:szCs w:val="21"/>
                <w:highlight w:val="none"/>
              </w:rPr>
            </w:pPr>
            <w:r>
              <w:rPr>
                <w:rFonts w:hint="eastAsia" w:ascii="宋体" w:hAnsi="宋体" w:cs="宋体"/>
                <w:color w:val="auto"/>
                <w:szCs w:val="21"/>
                <w:highlight w:val="none"/>
              </w:rPr>
              <w:t>（5分）</w:t>
            </w:r>
          </w:p>
        </w:tc>
        <w:tc>
          <w:tcPr>
            <w:tcW w:w="765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根据项目负责人对评委会提出的关于本项目养护管理服务方案或重难点等问题的现场答辩情况进行相对评议，酌情打分（5分）： 4分≤优≤5分；3分≤良&lt;4分；一般&lt;3分。未参与现场答辩或答辩人员非本项目项目负责人的不得分。</w:t>
            </w:r>
          </w:p>
          <w:p>
            <w:pPr>
              <w:rPr>
                <w:rFonts w:ascii="宋体" w:hAnsi="宋体" w:cs="宋体"/>
                <w:color w:val="auto"/>
                <w:szCs w:val="21"/>
                <w:highlight w:val="none"/>
              </w:rPr>
            </w:pPr>
            <w:r>
              <w:rPr>
                <w:rFonts w:hint="eastAsia" w:ascii="宋体" w:hAnsi="宋体" w:cs="宋体"/>
                <w:color w:val="auto"/>
                <w:szCs w:val="21"/>
                <w:highlight w:val="none"/>
                <w:lang w:val="en-US" w:eastAsia="zh-CN"/>
              </w:rPr>
              <w:t>现场答辩</w:t>
            </w:r>
            <w:r>
              <w:rPr>
                <w:rFonts w:hint="eastAsia" w:ascii="宋体" w:hAnsi="宋体" w:cs="宋体"/>
                <w:color w:val="auto"/>
                <w:szCs w:val="21"/>
                <w:highlight w:val="none"/>
              </w:rPr>
              <w:t>说明：</w:t>
            </w:r>
            <w:r>
              <w:rPr>
                <w:rFonts w:hint="eastAsia" w:ascii="宋体" w:hAnsi="宋体" w:cs="宋体"/>
                <w:color w:val="auto"/>
                <w:szCs w:val="21"/>
                <w:highlight w:val="none"/>
                <w:lang w:val="en-US" w:eastAsia="zh-CN"/>
              </w:rPr>
              <w:t>各投标人对所投标段进行一次整体</w:t>
            </w:r>
            <w:r>
              <w:rPr>
                <w:rFonts w:hint="eastAsia" w:ascii="宋体" w:hAnsi="宋体" w:cs="宋体"/>
                <w:color w:val="auto"/>
                <w:szCs w:val="21"/>
                <w:highlight w:val="none"/>
              </w:rPr>
              <w:t>答辩</w:t>
            </w:r>
            <w:r>
              <w:rPr>
                <w:rFonts w:hint="eastAsia" w:ascii="宋体" w:hAnsi="宋体" w:cs="宋体"/>
                <w:color w:val="auto"/>
                <w:szCs w:val="21"/>
                <w:highlight w:val="none"/>
                <w:lang w:val="en-US" w:eastAsia="zh-CN"/>
              </w:rPr>
              <w:t>，评委进行打分，</w:t>
            </w:r>
            <w:r>
              <w:rPr>
                <w:rFonts w:hint="eastAsia" w:ascii="宋体" w:hAnsi="宋体" w:cs="宋体"/>
                <w:color w:val="auto"/>
                <w:szCs w:val="21"/>
                <w:highlight w:val="none"/>
              </w:rPr>
              <w:t>并将分数计入</w:t>
            </w:r>
            <w:r>
              <w:rPr>
                <w:rFonts w:hint="eastAsia" w:ascii="宋体" w:hAnsi="宋体" w:cs="宋体"/>
                <w:color w:val="auto"/>
                <w:szCs w:val="21"/>
                <w:highlight w:val="none"/>
                <w:lang w:val="en-US" w:eastAsia="zh-CN"/>
              </w:rPr>
              <w:t>该投标人所投</w:t>
            </w:r>
            <w:r>
              <w:rPr>
                <w:rFonts w:hint="eastAsia" w:ascii="宋体" w:hAnsi="宋体" w:cs="宋体"/>
                <w:color w:val="auto"/>
                <w:szCs w:val="21"/>
                <w:highlight w:val="none"/>
              </w:rPr>
              <w:t>各个标段的答辩分。</w:t>
            </w:r>
          </w:p>
          <w:p>
            <w:pPr>
              <w:rPr>
                <w:rFonts w:ascii="宋体" w:hAnsi="宋体" w:cs="宋体"/>
                <w:color w:val="auto"/>
                <w:szCs w:val="21"/>
                <w:highlight w:val="none"/>
              </w:rPr>
            </w:pPr>
            <w:r>
              <w:rPr>
                <w:rFonts w:hint="eastAsia" w:ascii="宋体" w:hAnsi="宋体" w:cs="宋体"/>
                <w:color w:val="auto"/>
                <w:szCs w:val="21"/>
                <w:highlight w:val="none"/>
              </w:rPr>
              <w:t>参加现场答辩的必须是本项目负责人，现场需提供身份证原件供查验。每次答辩现场仅限一人，答辩时间控制在3分钟之内。</w:t>
            </w:r>
          </w:p>
        </w:tc>
      </w:tr>
    </w:tbl>
    <w:p>
      <w:pPr>
        <w:rPr>
          <w:color w:val="auto"/>
          <w:highlight w:val="none"/>
        </w:rPr>
      </w:pPr>
      <w:r>
        <w:rPr>
          <w:color w:val="auto"/>
          <w:highlight w:val="none"/>
        </w:rPr>
        <w:br w:type="page"/>
      </w:r>
    </w:p>
    <w:p>
      <w:pPr>
        <w:pStyle w:val="3"/>
        <w:rPr>
          <w:color w:val="auto"/>
          <w:highlight w:val="none"/>
        </w:rPr>
      </w:pPr>
      <w:bookmarkStart w:id="9" w:name="_Toc481145765"/>
      <w:bookmarkStart w:id="10" w:name="_Toc27895"/>
      <w:r>
        <w:rPr>
          <w:rFonts w:hint="eastAsia"/>
          <w:color w:val="auto"/>
          <w:highlight w:val="none"/>
        </w:rPr>
        <w:t>第五章  政府采购合同主要条款</w:t>
      </w:r>
      <w:bookmarkEnd w:id="9"/>
      <w:bookmarkEnd w:id="10"/>
    </w:p>
    <w:p>
      <w:pPr>
        <w:snapToGrid w:val="0"/>
        <w:spacing w:beforeLines="50" w:afterLines="50"/>
        <w:jc w:val="center"/>
        <w:rPr>
          <w:rFonts w:ascii="宋体" w:hAnsi="宋体"/>
          <w:b/>
          <w:color w:val="auto"/>
          <w:sz w:val="30"/>
          <w:szCs w:val="32"/>
          <w:highlight w:val="none"/>
        </w:rPr>
      </w:pPr>
      <w:r>
        <w:rPr>
          <w:rFonts w:hint="eastAsia" w:ascii="宋体" w:hAnsi="宋体"/>
          <w:b/>
          <w:color w:val="auto"/>
          <w:sz w:val="30"/>
          <w:szCs w:val="32"/>
          <w:highlight w:val="none"/>
        </w:rPr>
        <w:t>宁波市鄞州区城区内河水质日常养护项目采购合同</w:t>
      </w:r>
    </w:p>
    <w:p>
      <w:pPr>
        <w:snapToGrid w:val="0"/>
        <w:spacing w:beforeLines="50" w:afterLines="50"/>
        <w:jc w:val="center"/>
        <w:rPr>
          <w:rFonts w:ascii="宋体" w:hAnsi="宋体"/>
          <w:b/>
          <w:color w:val="auto"/>
          <w:sz w:val="30"/>
          <w:szCs w:val="32"/>
          <w:highlight w:val="none"/>
        </w:rPr>
      </w:pPr>
      <w:r>
        <w:rPr>
          <w:rFonts w:hint="eastAsia" w:ascii="宋体" w:hAnsi="宋体"/>
          <w:b/>
          <w:color w:val="auto"/>
          <w:sz w:val="30"/>
          <w:szCs w:val="32"/>
          <w:highlight w:val="none"/>
        </w:rPr>
        <w:t>（以合同签订时为准）</w:t>
      </w:r>
    </w:p>
    <w:p>
      <w:pPr>
        <w:pStyle w:val="11"/>
        <w:snapToGrid w:val="0"/>
        <w:spacing w:before="120" w:after="120" w:line="360" w:lineRule="auto"/>
        <w:jc w:val="left"/>
        <w:rPr>
          <w:rFonts w:hAnsi="宋体"/>
          <w:color w:val="auto"/>
          <w:sz w:val="21"/>
          <w:szCs w:val="21"/>
          <w:highlight w:val="none"/>
        </w:rPr>
      </w:pPr>
      <w:r>
        <w:rPr>
          <w:rFonts w:hAnsi="宋体"/>
          <w:color w:val="auto"/>
          <w:sz w:val="21"/>
          <w:szCs w:val="21"/>
          <w:highlight w:val="none"/>
        </w:rPr>
        <w:t xml:space="preserve">                              </w:t>
      </w:r>
    </w:p>
    <w:p>
      <w:pPr>
        <w:pStyle w:val="11"/>
        <w:snapToGrid w:val="0"/>
        <w:spacing w:beforeLines="0" w:afterLines="0" w:line="360" w:lineRule="auto"/>
        <w:rPr>
          <w:rFonts w:hAnsi="宋体"/>
          <w:b/>
          <w:color w:val="auto"/>
          <w:sz w:val="21"/>
          <w:szCs w:val="21"/>
          <w:highlight w:val="none"/>
        </w:rPr>
      </w:pPr>
      <w:r>
        <w:rPr>
          <w:rFonts w:hAnsi="宋体"/>
          <w:b/>
          <w:color w:val="auto"/>
          <w:sz w:val="21"/>
          <w:szCs w:val="21"/>
          <w:highlight w:val="none"/>
        </w:rPr>
        <w:t>甲方：</w:t>
      </w:r>
      <w:r>
        <w:rPr>
          <w:rFonts w:hint="eastAsia" w:hAnsi="宋体"/>
          <w:b/>
          <w:color w:val="auto"/>
          <w:sz w:val="21"/>
          <w:szCs w:val="21"/>
          <w:highlight w:val="none"/>
        </w:rPr>
        <w:t>宁波市鄞州区城区内河管理中心</w:t>
      </w:r>
    </w:p>
    <w:p>
      <w:pPr>
        <w:pStyle w:val="11"/>
        <w:tabs>
          <w:tab w:val="left" w:pos="4931"/>
        </w:tabs>
        <w:snapToGrid w:val="0"/>
        <w:spacing w:beforeLines="0" w:afterLines="0" w:line="360" w:lineRule="auto"/>
        <w:rPr>
          <w:rFonts w:hint="eastAsia" w:hAnsi="宋体" w:eastAsia="宋体"/>
          <w:b/>
          <w:color w:val="auto"/>
          <w:sz w:val="21"/>
          <w:szCs w:val="21"/>
          <w:highlight w:val="none"/>
          <w:lang w:eastAsia="zh-CN"/>
        </w:rPr>
      </w:pPr>
      <w:r>
        <w:rPr>
          <w:rFonts w:hAnsi="宋体"/>
          <w:b/>
          <w:color w:val="auto"/>
          <w:sz w:val="21"/>
          <w:szCs w:val="21"/>
          <w:highlight w:val="none"/>
        </w:rPr>
        <w:t>乙方：</w:t>
      </w:r>
      <w:r>
        <w:rPr>
          <w:rFonts w:hint="eastAsia" w:hAnsi="宋体"/>
          <w:b/>
          <w:color w:val="auto"/>
          <w:sz w:val="21"/>
          <w:szCs w:val="21"/>
          <w:highlight w:val="none"/>
          <w:lang w:eastAsia="zh-CN"/>
        </w:rPr>
        <w:tab/>
      </w:r>
    </w:p>
    <w:p>
      <w:pPr>
        <w:pStyle w:val="11"/>
        <w:snapToGrid w:val="0"/>
        <w:spacing w:beforeLines="0" w:afterLines="0" w:line="360" w:lineRule="auto"/>
        <w:rPr>
          <w:rFonts w:hAnsi="宋体"/>
          <w:b/>
          <w:color w:val="auto"/>
          <w:sz w:val="21"/>
          <w:szCs w:val="21"/>
          <w:highlight w:val="none"/>
        </w:rPr>
      </w:pPr>
      <w:r>
        <w:rPr>
          <w:rFonts w:hAnsi="宋体"/>
          <w:b/>
          <w:color w:val="auto"/>
          <w:sz w:val="21"/>
          <w:szCs w:val="21"/>
          <w:highlight w:val="none"/>
        </w:rPr>
        <w:t xml:space="preserve">    </w:t>
      </w:r>
      <w:r>
        <w:rPr>
          <w:rFonts w:hAnsi="宋体"/>
          <w:color w:val="auto"/>
          <w:sz w:val="21"/>
          <w:szCs w:val="21"/>
          <w:highlight w:val="none"/>
        </w:rPr>
        <w:t>甲、乙双方根据</w:t>
      </w:r>
      <w:r>
        <w:rPr>
          <w:rFonts w:hint="eastAsia" w:hAnsi="宋体"/>
          <w:color w:val="auto"/>
          <w:sz w:val="21"/>
          <w:szCs w:val="21"/>
          <w:highlight w:val="none"/>
          <w:u w:val="single"/>
        </w:rPr>
        <w:t xml:space="preserve"> 宁波市鄞州区城区内河水质日常养护项目</w:t>
      </w:r>
      <w:r>
        <w:rPr>
          <w:rFonts w:hAnsi="宋体"/>
          <w:color w:val="auto"/>
          <w:sz w:val="21"/>
          <w:szCs w:val="21"/>
          <w:highlight w:val="none"/>
        </w:rPr>
        <w:t>公开招标的结果，签署本合同。</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Ansi="宋体"/>
          <w:b/>
          <w:color w:val="auto"/>
          <w:sz w:val="21"/>
          <w:szCs w:val="21"/>
          <w:highlight w:val="none"/>
        </w:rPr>
      </w:pPr>
      <w:r>
        <w:rPr>
          <w:rFonts w:hAnsi="宋体"/>
          <w:b/>
          <w:color w:val="auto"/>
          <w:sz w:val="21"/>
          <w:szCs w:val="21"/>
          <w:highlight w:val="none"/>
        </w:rPr>
        <w:t>一、</w:t>
      </w:r>
      <w:r>
        <w:rPr>
          <w:rFonts w:hint="eastAsia" w:hAnsi="宋体"/>
          <w:b/>
          <w:color w:val="auto"/>
          <w:sz w:val="21"/>
          <w:szCs w:val="21"/>
          <w:highlight w:val="none"/>
        </w:rPr>
        <w:t>项目概况</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left="359"/>
        <w:textAlignment w:val="auto"/>
        <w:rPr>
          <w:rFonts w:hAnsi="宋体"/>
          <w:color w:val="auto"/>
          <w:sz w:val="21"/>
          <w:szCs w:val="21"/>
          <w:highlight w:val="none"/>
        </w:rPr>
      </w:pPr>
      <w:r>
        <w:rPr>
          <w:rFonts w:hint="eastAsia" w:hAnsi="宋体"/>
          <w:color w:val="auto"/>
          <w:sz w:val="21"/>
          <w:szCs w:val="21"/>
          <w:highlight w:val="none"/>
        </w:rPr>
        <w:t>1.1 项目名称：宁波市鄞州区城区内河水质日常养护项目（项目编号：ZJLB2020-ZB-010）</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left="359"/>
        <w:textAlignment w:val="auto"/>
        <w:rPr>
          <w:rFonts w:hAnsi="宋体"/>
          <w:color w:val="auto"/>
          <w:sz w:val="21"/>
          <w:szCs w:val="21"/>
          <w:highlight w:val="none"/>
        </w:rPr>
      </w:pPr>
      <w:r>
        <w:rPr>
          <w:rFonts w:hint="eastAsia" w:hAnsi="宋体"/>
          <w:color w:val="auto"/>
          <w:sz w:val="21"/>
          <w:szCs w:val="21"/>
          <w:highlight w:val="none"/>
        </w:rPr>
        <w:t>1.2 项目地点：宁波市鄞州区</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left="359"/>
        <w:textAlignment w:val="auto"/>
        <w:rPr>
          <w:rFonts w:hAnsi="宋体"/>
          <w:color w:val="auto"/>
          <w:sz w:val="21"/>
          <w:szCs w:val="21"/>
          <w:highlight w:val="none"/>
        </w:rPr>
      </w:pPr>
      <w:r>
        <w:rPr>
          <w:rFonts w:hint="eastAsia" w:hAnsi="宋体"/>
          <w:color w:val="auto"/>
          <w:sz w:val="21"/>
          <w:szCs w:val="21"/>
          <w:highlight w:val="none"/>
        </w:rPr>
        <w:t>1.3 项目内容：</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left="359"/>
        <w:textAlignment w:val="auto"/>
        <w:rPr>
          <w:rFonts w:hAnsi="宋体"/>
          <w:color w:val="auto"/>
          <w:sz w:val="21"/>
          <w:szCs w:val="21"/>
          <w:highlight w:val="none"/>
        </w:rPr>
      </w:pPr>
      <w:r>
        <w:rPr>
          <w:rFonts w:hint="eastAsia" w:hAnsi="宋体"/>
          <w:color w:val="auto"/>
          <w:sz w:val="21"/>
          <w:szCs w:val="21"/>
          <w:highlight w:val="none"/>
        </w:rPr>
        <w:t>1.4 资金来源：预算内资金</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Ansi="宋体"/>
          <w:b/>
          <w:color w:val="auto"/>
          <w:sz w:val="21"/>
          <w:szCs w:val="21"/>
          <w:highlight w:val="none"/>
        </w:rPr>
      </w:pPr>
      <w:r>
        <w:rPr>
          <w:rFonts w:hAnsi="宋体"/>
          <w:b/>
          <w:color w:val="auto"/>
          <w:sz w:val="21"/>
          <w:szCs w:val="21"/>
          <w:highlight w:val="none"/>
        </w:rPr>
        <w:t>二、</w:t>
      </w:r>
      <w:r>
        <w:rPr>
          <w:rFonts w:hint="eastAsia" w:hAnsi="宋体"/>
          <w:b/>
          <w:color w:val="auto"/>
          <w:sz w:val="21"/>
          <w:szCs w:val="21"/>
          <w:highlight w:val="none"/>
        </w:rPr>
        <w:t>项目范围</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left="359"/>
        <w:textAlignment w:val="auto"/>
        <w:rPr>
          <w:rFonts w:hAnsi="宋体"/>
          <w:color w:val="auto"/>
          <w:sz w:val="21"/>
          <w:szCs w:val="21"/>
          <w:highlight w:val="none"/>
        </w:rPr>
      </w:pPr>
      <w:r>
        <w:rPr>
          <w:rFonts w:hint="eastAsia" w:hAnsi="宋体"/>
          <w:color w:val="auto"/>
          <w:sz w:val="21"/>
          <w:szCs w:val="21"/>
          <w:highlight w:val="none"/>
        </w:rPr>
        <w:t>2.1 水质维护范围：</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Ansi="宋体"/>
          <w:b/>
          <w:color w:val="auto"/>
          <w:sz w:val="21"/>
          <w:szCs w:val="21"/>
          <w:highlight w:val="none"/>
        </w:rPr>
      </w:pPr>
      <w:r>
        <w:rPr>
          <w:rFonts w:hint="eastAsia" w:hAnsi="宋体"/>
          <w:b/>
          <w:color w:val="auto"/>
          <w:sz w:val="21"/>
          <w:szCs w:val="21"/>
          <w:highlight w:val="none"/>
        </w:rPr>
        <w:t>三、项目期限</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int="eastAsia" w:hAnsi="宋体"/>
          <w:color w:val="auto"/>
          <w:sz w:val="21"/>
          <w:szCs w:val="21"/>
          <w:highlight w:val="none"/>
        </w:rPr>
      </w:pPr>
      <w:r>
        <w:rPr>
          <w:rFonts w:hint="eastAsia" w:hAnsi="宋体"/>
          <w:color w:val="auto"/>
          <w:sz w:val="21"/>
          <w:szCs w:val="21"/>
          <w:highlight w:val="none"/>
        </w:rPr>
        <w:t>3.1 建设工期：</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int="eastAsia" w:hAnsi="宋体"/>
          <w:color w:val="auto"/>
          <w:sz w:val="21"/>
          <w:szCs w:val="21"/>
          <w:highlight w:val="none"/>
        </w:rPr>
      </w:pPr>
      <w:r>
        <w:rPr>
          <w:rFonts w:hint="eastAsia" w:hAnsi="宋体"/>
          <w:color w:val="auto"/>
          <w:sz w:val="21"/>
          <w:szCs w:val="21"/>
          <w:highlight w:val="none"/>
          <w:shd w:val="clear"/>
        </w:rPr>
        <w:t>河道施工工期为40天</w:t>
      </w:r>
      <w:r>
        <w:rPr>
          <w:rFonts w:hint="eastAsia" w:hAnsi="宋体"/>
          <w:color w:val="auto"/>
          <w:sz w:val="21"/>
          <w:szCs w:val="21"/>
          <w:highlight w:val="none"/>
        </w:rPr>
        <w:t>，中标通知书</w:t>
      </w:r>
      <w:r>
        <w:rPr>
          <w:rFonts w:hint="eastAsia" w:hAnsi="宋体"/>
          <w:color w:val="auto"/>
          <w:sz w:val="21"/>
          <w:szCs w:val="21"/>
          <w:highlight w:val="none"/>
          <w:lang w:val="en-US" w:eastAsia="zh-CN"/>
        </w:rPr>
        <w:t>发放</w:t>
      </w:r>
      <w:r>
        <w:rPr>
          <w:rFonts w:hint="eastAsia" w:hAnsi="宋体"/>
          <w:color w:val="auto"/>
          <w:sz w:val="21"/>
          <w:szCs w:val="21"/>
          <w:highlight w:val="none"/>
        </w:rPr>
        <w:t>之日起40天内设备、管道、土建等工程实施完毕并验收合格。</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int="eastAsia" w:hAnsi="宋体"/>
          <w:color w:val="auto"/>
          <w:sz w:val="21"/>
          <w:szCs w:val="21"/>
          <w:highlight w:val="none"/>
        </w:rPr>
      </w:pPr>
      <w:r>
        <w:rPr>
          <w:rFonts w:hint="eastAsia" w:hAnsi="宋体"/>
          <w:color w:val="auto"/>
          <w:sz w:val="21"/>
          <w:szCs w:val="21"/>
          <w:highlight w:val="none"/>
        </w:rPr>
        <w:t>3.2 水质养护期：</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int="eastAsia" w:hAnsi="宋体"/>
          <w:color w:val="auto"/>
          <w:sz w:val="21"/>
          <w:szCs w:val="21"/>
          <w:highlight w:val="none"/>
        </w:rPr>
      </w:pPr>
      <w:r>
        <w:rPr>
          <w:rFonts w:hint="eastAsia" w:hAnsi="宋体"/>
          <w:color w:val="auto"/>
          <w:sz w:val="21"/>
          <w:szCs w:val="21"/>
          <w:highlight w:val="none"/>
          <w:shd w:val="clear"/>
        </w:rPr>
        <w:t>自工程验收合格之月的次月至第一年养护合同履约完毕</w:t>
      </w:r>
      <w:r>
        <w:rPr>
          <w:rFonts w:hint="eastAsia" w:hAnsi="宋体"/>
          <w:color w:val="auto"/>
          <w:sz w:val="21"/>
          <w:szCs w:val="21"/>
          <w:highlight w:val="none"/>
        </w:rPr>
        <w:t>。一年合同期满后若经</w:t>
      </w:r>
      <w:r>
        <w:rPr>
          <w:rFonts w:hint="eastAsia" w:hAnsi="宋体"/>
          <w:color w:val="auto"/>
          <w:sz w:val="21"/>
          <w:szCs w:val="21"/>
          <w:highlight w:val="none"/>
          <w:lang w:val="en-US" w:eastAsia="zh-CN"/>
        </w:rPr>
        <w:t>甲方</w:t>
      </w:r>
      <w:r>
        <w:rPr>
          <w:rFonts w:hint="eastAsia" w:hAnsi="宋体"/>
          <w:color w:val="auto"/>
          <w:sz w:val="21"/>
          <w:szCs w:val="21"/>
          <w:highlight w:val="none"/>
        </w:rPr>
        <w:t>考核合格且根据养护河道的必要性，合同可续签一年，最多可续签两次。若在合同履行期间出现因清淤整治等工程建设必须中止水质提升服务的，</w:t>
      </w:r>
      <w:r>
        <w:rPr>
          <w:rFonts w:hint="eastAsia" w:hAnsi="宋体"/>
          <w:color w:val="auto"/>
          <w:sz w:val="21"/>
          <w:szCs w:val="21"/>
          <w:highlight w:val="none"/>
          <w:lang w:val="en-US" w:eastAsia="zh-CN"/>
        </w:rPr>
        <w:t>乙方</w:t>
      </w:r>
      <w:r>
        <w:rPr>
          <w:rFonts w:hint="eastAsia" w:hAnsi="宋体"/>
          <w:color w:val="auto"/>
          <w:sz w:val="21"/>
          <w:szCs w:val="21"/>
          <w:highlight w:val="none"/>
        </w:rPr>
        <w:t>应无条件中止养护，</w:t>
      </w:r>
      <w:r>
        <w:rPr>
          <w:rFonts w:hint="eastAsia" w:hAnsi="宋体"/>
          <w:color w:val="auto"/>
          <w:sz w:val="21"/>
          <w:szCs w:val="21"/>
          <w:highlight w:val="none"/>
          <w:lang w:val="en-US" w:eastAsia="zh-CN"/>
        </w:rPr>
        <w:t>甲方</w:t>
      </w:r>
      <w:r>
        <w:rPr>
          <w:rFonts w:hint="eastAsia" w:hAnsi="宋体"/>
          <w:color w:val="auto"/>
          <w:sz w:val="21"/>
          <w:szCs w:val="21"/>
          <w:highlight w:val="none"/>
        </w:rPr>
        <w:t>停止拨付养护经费，</w:t>
      </w:r>
      <w:r>
        <w:rPr>
          <w:rFonts w:hint="eastAsia" w:hAnsi="宋体"/>
          <w:color w:val="auto"/>
          <w:sz w:val="21"/>
          <w:szCs w:val="21"/>
          <w:highlight w:val="none"/>
          <w:lang w:val="en-US" w:eastAsia="zh-CN"/>
        </w:rPr>
        <w:t>甲方</w:t>
      </w:r>
      <w:r>
        <w:rPr>
          <w:rFonts w:hint="eastAsia" w:hAnsi="宋体"/>
          <w:color w:val="auto"/>
          <w:sz w:val="21"/>
          <w:szCs w:val="21"/>
          <w:highlight w:val="none"/>
        </w:rPr>
        <w:t>不承担设备拆装费用，</w:t>
      </w:r>
      <w:r>
        <w:rPr>
          <w:rFonts w:hint="eastAsia" w:hAnsi="宋体"/>
          <w:color w:val="auto"/>
          <w:sz w:val="21"/>
          <w:szCs w:val="21"/>
          <w:highlight w:val="none"/>
          <w:lang w:val="en-US" w:eastAsia="zh-CN"/>
        </w:rPr>
        <w:t>工程建设完毕后</w:t>
      </w:r>
      <w:r>
        <w:rPr>
          <w:rFonts w:hint="eastAsia" w:hAnsi="宋体"/>
          <w:color w:val="auto"/>
          <w:sz w:val="21"/>
          <w:szCs w:val="21"/>
          <w:highlight w:val="none"/>
        </w:rPr>
        <w:t>设备</w:t>
      </w:r>
      <w:r>
        <w:rPr>
          <w:rFonts w:hint="eastAsia" w:hAnsi="宋体"/>
          <w:color w:val="auto"/>
          <w:sz w:val="21"/>
          <w:szCs w:val="21"/>
          <w:highlight w:val="none"/>
          <w:lang w:val="en-US" w:eastAsia="zh-CN"/>
        </w:rPr>
        <w:t>重新</w:t>
      </w:r>
      <w:r>
        <w:rPr>
          <w:rFonts w:hint="eastAsia" w:hAnsi="宋体"/>
          <w:color w:val="auto"/>
          <w:sz w:val="21"/>
          <w:szCs w:val="21"/>
          <w:highlight w:val="none"/>
        </w:rPr>
        <w:t>安装完毕后继续考核并按规定拨付水质提升服务费用，合同履行期限不作顺延。因其他政策性原因增减养护河道（段）</w:t>
      </w:r>
      <w:r>
        <w:rPr>
          <w:rFonts w:hint="eastAsia" w:hAnsi="宋体"/>
          <w:color w:val="auto"/>
          <w:sz w:val="21"/>
          <w:szCs w:val="21"/>
          <w:highlight w:val="none"/>
          <w:shd w:val="clear"/>
        </w:rPr>
        <w:t>或</w:t>
      </w:r>
      <w:r>
        <w:rPr>
          <w:rFonts w:hint="eastAsia" w:hAnsi="宋体"/>
          <w:color w:val="auto"/>
          <w:sz w:val="21"/>
          <w:szCs w:val="21"/>
          <w:highlight w:val="none"/>
        </w:rPr>
        <w:t>需要终止养护的，</w:t>
      </w:r>
      <w:r>
        <w:rPr>
          <w:rFonts w:hint="eastAsia" w:hAnsi="宋体"/>
          <w:color w:val="auto"/>
          <w:sz w:val="21"/>
          <w:szCs w:val="21"/>
          <w:highlight w:val="none"/>
          <w:lang w:val="en-US" w:eastAsia="zh-CN"/>
        </w:rPr>
        <w:t>甲方</w:t>
      </w:r>
      <w:r>
        <w:rPr>
          <w:rFonts w:hint="eastAsia" w:hAnsi="宋体"/>
          <w:color w:val="auto"/>
          <w:sz w:val="21"/>
          <w:szCs w:val="21"/>
          <w:highlight w:val="none"/>
        </w:rPr>
        <w:t>不予赔偿。</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Ansi="宋体"/>
          <w:b/>
          <w:color w:val="auto"/>
          <w:sz w:val="21"/>
          <w:szCs w:val="21"/>
          <w:highlight w:val="none"/>
        </w:rPr>
      </w:pPr>
      <w:r>
        <w:rPr>
          <w:rFonts w:hint="eastAsia" w:hAnsi="宋体"/>
          <w:b/>
          <w:color w:val="auto"/>
          <w:sz w:val="21"/>
          <w:szCs w:val="21"/>
          <w:highlight w:val="none"/>
        </w:rPr>
        <w:t>四、质量标准</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4.1 建设质量标准：达到乙方投标文件明确的设备技术规格要求及国家有关质量标准要求。</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4.2 水质维护质量标准：达到招标文件及《鄞州城区内河水质日常养护项目考核办法》的有关要求。</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Ansi="宋体"/>
          <w:b/>
          <w:color w:val="auto"/>
          <w:sz w:val="21"/>
          <w:szCs w:val="21"/>
          <w:highlight w:val="none"/>
        </w:rPr>
      </w:pPr>
      <w:r>
        <w:rPr>
          <w:rFonts w:hint="eastAsia" w:hAnsi="宋体"/>
          <w:b/>
          <w:color w:val="auto"/>
          <w:sz w:val="21"/>
          <w:szCs w:val="21"/>
          <w:highlight w:val="none"/>
        </w:rPr>
        <w:t>五、</w:t>
      </w:r>
      <w:r>
        <w:rPr>
          <w:rFonts w:hAnsi="宋体"/>
          <w:b/>
          <w:color w:val="auto"/>
          <w:sz w:val="21"/>
          <w:szCs w:val="21"/>
          <w:highlight w:val="none"/>
        </w:rPr>
        <w:t>合同</w:t>
      </w:r>
      <w:r>
        <w:rPr>
          <w:rFonts w:hint="eastAsia" w:hAnsi="宋体"/>
          <w:b/>
          <w:color w:val="auto"/>
          <w:sz w:val="21"/>
          <w:szCs w:val="21"/>
          <w:highlight w:val="none"/>
        </w:rPr>
        <w:t>价款</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5.1 本次合同单价按每平方米水域面积每年</w:t>
      </w:r>
      <w:r>
        <w:rPr>
          <w:rFonts w:hint="eastAsia" w:hAnsi="宋体"/>
          <w:color w:val="auto"/>
          <w:sz w:val="21"/>
          <w:szCs w:val="21"/>
          <w:highlight w:val="none"/>
          <w:u w:val="single"/>
        </w:rPr>
        <w:t xml:space="preserve">    </w:t>
      </w:r>
      <w:r>
        <w:rPr>
          <w:rFonts w:hint="eastAsia" w:hAnsi="宋体"/>
          <w:color w:val="auto"/>
          <w:sz w:val="21"/>
          <w:szCs w:val="21"/>
          <w:highlight w:val="none"/>
        </w:rPr>
        <w:t>元计算，水域面积暂定</w:t>
      </w:r>
      <w:r>
        <w:rPr>
          <w:rFonts w:hint="eastAsia" w:hAnsi="宋体"/>
          <w:color w:val="auto"/>
          <w:sz w:val="21"/>
          <w:szCs w:val="21"/>
          <w:highlight w:val="none"/>
          <w:u w:val="single"/>
        </w:rPr>
        <w:t xml:space="preserve">    </w:t>
      </w:r>
      <w:r>
        <w:rPr>
          <w:rFonts w:hint="eastAsia" w:hAnsi="宋体"/>
          <w:color w:val="auto"/>
          <w:sz w:val="21"/>
          <w:szCs w:val="21"/>
          <w:highlight w:val="none"/>
        </w:rPr>
        <w:t>平方米，年度合同总价</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含税</w:t>
      </w:r>
      <w:r>
        <w:rPr>
          <w:rFonts w:hint="eastAsia" w:hAnsi="宋体"/>
          <w:color w:val="auto"/>
          <w:sz w:val="21"/>
          <w:szCs w:val="21"/>
          <w:highlight w:val="none"/>
          <w:lang w:eastAsia="zh-CN"/>
        </w:rPr>
        <w:t>）</w:t>
      </w:r>
      <w:r>
        <w:rPr>
          <w:rFonts w:hint="eastAsia" w:hAnsi="宋体"/>
          <w:color w:val="auto"/>
          <w:sz w:val="21"/>
          <w:szCs w:val="21"/>
          <w:highlight w:val="none"/>
        </w:rPr>
        <w:t>暂定</w:t>
      </w:r>
      <w:r>
        <w:rPr>
          <w:rFonts w:hint="eastAsia" w:hAnsi="宋体"/>
          <w:color w:val="auto"/>
          <w:sz w:val="21"/>
          <w:szCs w:val="21"/>
          <w:highlight w:val="none"/>
          <w:u w:val="single"/>
        </w:rPr>
        <w:t xml:space="preserve">     </w:t>
      </w:r>
      <w:r>
        <w:rPr>
          <w:rFonts w:hint="eastAsia" w:hAnsi="宋体"/>
          <w:color w:val="auto"/>
          <w:sz w:val="21"/>
          <w:szCs w:val="21"/>
          <w:highlight w:val="none"/>
        </w:rPr>
        <w:t>元。水域面积每月按实核定，承包方式为包工包料。</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Ansi="宋体"/>
          <w:b/>
          <w:color w:val="auto"/>
          <w:sz w:val="21"/>
          <w:szCs w:val="21"/>
          <w:highlight w:val="none"/>
        </w:rPr>
      </w:pPr>
      <w:r>
        <w:rPr>
          <w:rFonts w:hint="eastAsia" w:hAnsi="宋体"/>
          <w:b/>
          <w:color w:val="auto"/>
          <w:sz w:val="21"/>
          <w:szCs w:val="21"/>
          <w:highlight w:val="none"/>
        </w:rPr>
        <w:t>六</w:t>
      </w:r>
      <w:r>
        <w:rPr>
          <w:rFonts w:hAnsi="宋体"/>
          <w:b/>
          <w:color w:val="auto"/>
          <w:sz w:val="21"/>
          <w:szCs w:val="21"/>
          <w:highlight w:val="none"/>
        </w:rPr>
        <w:t>、</w:t>
      </w:r>
      <w:r>
        <w:rPr>
          <w:rFonts w:hint="eastAsia" w:hAnsi="宋体"/>
          <w:b/>
          <w:color w:val="auto"/>
          <w:sz w:val="21"/>
          <w:szCs w:val="21"/>
          <w:highlight w:val="none"/>
        </w:rPr>
        <w:t>相关要求</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6.1</w:t>
      </w:r>
      <w:r>
        <w:rPr>
          <w:rFonts w:hint="eastAsia" w:hAnsi="宋体"/>
          <w:color w:val="auto"/>
          <w:sz w:val="21"/>
          <w:szCs w:val="21"/>
          <w:highlight w:val="none"/>
          <w:lang w:val="en-US" w:eastAsia="zh-CN"/>
        </w:rPr>
        <w:t xml:space="preserve"> </w:t>
      </w:r>
      <w:r>
        <w:rPr>
          <w:rFonts w:hAnsi="宋体"/>
          <w:color w:val="auto"/>
          <w:sz w:val="21"/>
          <w:szCs w:val="21"/>
          <w:highlight w:val="none"/>
        </w:rPr>
        <w:t>根据国家和当地有关环境保护法规的要求，对河道</w:t>
      </w:r>
      <w:r>
        <w:rPr>
          <w:rFonts w:hint="eastAsia" w:hAnsi="宋体"/>
          <w:color w:val="auto"/>
          <w:sz w:val="21"/>
          <w:szCs w:val="21"/>
          <w:highlight w:val="none"/>
        </w:rPr>
        <w:t>水质</w:t>
      </w:r>
      <w:r>
        <w:rPr>
          <w:rFonts w:hAnsi="宋体"/>
          <w:color w:val="auto"/>
          <w:sz w:val="21"/>
          <w:szCs w:val="21"/>
          <w:highlight w:val="none"/>
        </w:rPr>
        <w:t>进行有效治理</w:t>
      </w:r>
      <w:r>
        <w:rPr>
          <w:rFonts w:hint="eastAsia" w:hAnsi="宋体"/>
          <w:color w:val="auto"/>
          <w:sz w:val="21"/>
          <w:szCs w:val="21"/>
          <w:highlight w:val="none"/>
        </w:rPr>
        <w:t>及维护提升</w:t>
      </w:r>
      <w:r>
        <w:rPr>
          <w:rFonts w:hAnsi="宋体"/>
          <w:color w:val="auto"/>
          <w:sz w:val="21"/>
          <w:szCs w:val="21"/>
          <w:highlight w:val="none"/>
        </w:rPr>
        <w:t>，使之符合国家和</w:t>
      </w:r>
      <w:r>
        <w:rPr>
          <w:rFonts w:hint="eastAsia" w:hAnsi="宋体"/>
          <w:color w:val="auto"/>
          <w:sz w:val="21"/>
          <w:szCs w:val="21"/>
          <w:highlight w:val="none"/>
        </w:rPr>
        <w:t>招标文件要求的</w:t>
      </w:r>
      <w:r>
        <w:rPr>
          <w:rFonts w:hAnsi="宋体"/>
          <w:color w:val="auto"/>
          <w:sz w:val="21"/>
          <w:szCs w:val="21"/>
          <w:highlight w:val="none"/>
        </w:rPr>
        <w:t>水质标准。</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6.2</w:t>
      </w:r>
      <w:r>
        <w:rPr>
          <w:rFonts w:hint="eastAsia" w:hAnsi="宋体"/>
          <w:color w:val="auto"/>
          <w:sz w:val="21"/>
          <w:szCs w:val="21"/>
          <w:highlight w:val="none"/>
          <w:lang w:val="en-US" w:eastAsia="zh-CN"/>
        </w:rPr>
        <w:t xml:space="preserve"> </w:t>
      </w:r>
      <w:r>
        <w:rPr>
          <w:rFonts w:hint="eastAsia" w:hAnsi="宋体"/>
          <w:color w:val="auto"/>
          <w:sz w:val="21"/>
          <w:szCs w:val="21"/>
          <w:highlight w:val="none"/>
        </w:rPr>
        <w:t>应根据不同河道的水质状况合理划分水质提升作业区域。养护工作全过程包括设备设施安装施工阶段及运行维护阶段均应确保河道的流动开放性，不得设置影响河道正常行洪排涝等功能的设施。水质维护所采用的技术应以生态方式为主，不得采用可能对河道造成二次污染和生态破坏的技术手段。</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int="eastAsia" w:hAnsi="宋体" w:eastAsia="宋体"/>
          <w:color w:val="auto"/>
          <w:sz w:val="21"/>
          <w:szCs w:val="21"/>
          <w:highlight w:val="none"/>
          <w:lang w:eastAsia="zh-CN"/>
        </w:rPr>
      </w:pPr>
      <w:r>
        <w:rPr>
          <w:rFonts w:hint="eastAsia" w:hAnsi="宋体"/>
          <w:color w:val="auto"/>
          <w:sz w:val="21"/>
          <w:szCs w:val="21"/>
          <w:highlight w:val="none"/>
        </w:rPr>
        <w:t>6.3</w:t>
      </w:r>
      <w:r>
        <w:rPr>
          <w:rFonts w:hint="eastAsia" w:hAnsi="宋体"/>
          <w:color w:val="auto"/>
          <w:sz w:val="21"/>
          <w:szCs w:val="21"/>
          <w:highlight w:val="none"/>
          <w:lang w:val="en-US" w:eastAsia="zh-CN"/>
        </w:rPr>
        <w:t xml:space="preserve"> </w:t>
      </w:r>
      <w:r>
        <w:rPr>
          <w:rFonts w:hint="eastAsia" w:hAnsi="宋体"/>
          <w:color w:val="auto"/>
          <w:sz w:val="21"/>
          <w:szCs w:val="21"/>
          <w:highlight w:val="none"/>
        </w:rPr>
        <w:t>合同履行期间，乙方投入的设备设施类型、数量必须与乙方在投标文件中明确的拟投入设备设施类型、数量保持一致并要求在合同签订前向甲方提供相关设备设施的租赁协议或发票，如有实际需要，在经得甲方书面同意的前提下，可根据水质情况及乙方合理要求进行设备尽快调整现有水质维护技术</w:t>
      </w:r>
      <w:r>
        <w:rPr>
          <w:rFonts w:hint="eastAsia" w:hAnsi="宋体"/>
          <w:color w:val="auto"/>
          <w:sz w:val="21"/>
          <w:szCs w:val="21"/>
          <w:highlight w:val="none"/>
          <w:lang w:eastAsia="zh-CN"/>
        </w:rPr>
        <w:t>。</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int="eastAsia" w:hAnsi="宋体"/>
          <w:color w:val="auto"/>
          <w:sz w:val="21"/>
          <w:szCs w:val="21"/>
          <w:highlight w:val="none"/>
        </w:rPr>
      </w:pPr>
      <w:r>
        <w:rPr>
          <w:rFonts w:hint="eastAsia" w:hAnsi="宋体"/>
          <w:color w:val="auto"/>
          <w:sz w:val="21"/>
          <w:szCs w:val="21"/>
          <w:highlight w:val="none"/>
          <w:lang w:val="en-US" w:eastAsia="zh-CN"/>
        </w:rPr>
        <w:t xml:space="preserve">6.4 </w:t>
      </w:r>
      <w:r>
        <w:rPr>
          <w:rFonts w:hint="eastAsia" w:hAnsi="宋体"/>
          <w:color w:val="auto"/>
          <w:sz w:val="21"/>
          <w:szCs w:val="21"/>
          <w:highlight w:val="none"/>
        </w:rPr>
        <w:t>除公园景观水体外，原则上不得使用各类曝气设备。对于水质较差的河道，确需曝气增氧的，各区可结合实际情况采用对河道水面观感影响较小的水下曝气技术。</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int="eastAsia" w:hAnsi="宋体"/>
          <w:color w:val="auto"/>
          <w:sz w:val="21"/>
          <w:szCs w:val="21"/>
          <w:highlight w:val="none"/>
        </w:rPr>
      </w:pPr>
      <w:r>
        <w:rPr>
          <w:rFonts w:hint="eastAsia" w:hAnsi="宋体"/>
          <w:color w:val="auto"/>
          <w:sz w:val="21"/>
          <w:szCs w:val="21"/>
          <w:highlight w:val="none"/>
          <w:lang w:val="en-US" w:eastAsia="zh-CN"/>
        </w:rPr>
        <w:t xml:space="preserve">6.5 </w:t>
      </w:r>
      <w:r>
        <w:rPr>
          <w:rFonts w:hint="eastAsia" w:hAnsi="宋体"/>
          <w:color w:val="auto"/>
          <w:sz w:val="21"/>
          <w:szCs w:val="21"/>
          <w:highlight w:val="none"/>
        </w:rPr>
        <w:t>主要补水通道、行洪排涝通道及区域内其他主干河道原则上不得种植各类水生植物。除公园水体或其他重要景观节点外，不得在河道内使用人工浮岛。支流河道确需种植水生植物的，应与河道景观相结合，并严格控制规模，不得对河面观感造成影响。更换或增减，费用不予增补。</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6.</w:t>
      </w:r>
      <w:r>
        <w:rPr>
          <w:rFonts w:hint="eastAsia" w:hAnsi="宋体"/>
          <w:color w:val="auto"/>
          <w:sz w:val="21"/>
          <w:szCs w:val="21"/>
          <w:highlight w:val="none"/>
          <w:lang w:val="en-US" w:eastAsia="zh-CN"/>
        </w:rPr>
        <w:t xml:space="preserve">6 </w:t>
      </w:r>
      <w:r>
        <w:rPr>
          <w:rFonts w:hint="eastAsia" w:hAnsi="宋体"/>
          <w:color w:val="auto"/>
          <w:sz w:val="21"/>
          <w:szCs w:val="21"/>
          <w:highlight w:val="none"/>
        </w:rPr>
        <w:t>乙方不得随意更换项目组成员，如确需调整的应报请甲方</w:t>
      </w:r>
      <w:r>
        <w:rPr>
          <w:rFonts w:hint="eastAsia" w:hAnsi="宋体"/>
          <w:color w:val="auto"/>
          <w:sz w:val="21"/>
          <w:szCs w:val="21"/>
          <w:highlight w:val="none"/>
          <w:lang w:val="en-US" w:eastAsia="zh-CN"/>
        </w:rPr>
        <w:t>书面</w:t>
      </w:r>
      <w:r>
        <w:rPr>
          <w:rFonts w:hint="eastAsia" w:hAnsi="宋体"/>
          <w:color w:val="auto"/>
          <w:sz w:val="21"/>
          <w:szCs w:val="21"/>
          <w:highlight w:val="none"/>
        </w:rPr>
        <w:t>确认。</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6.</w:t>
      </w:r>
      <w:r>
        <w:rPr>
          <w:rFonts w:hint="eastAsia" w:hAnsi="宋体"/>
          <w:color w:val="auto"/>
          <w:sz w:val="21"/>
          <w:szCs w:val="21"/>
          <w:highlight w:val="none"/>
          <w:lang w:val="en-US" w:eastAsia="zh-CN"/>
        </w:rPr>
        <w:t xml:space="preserve">7 </w:t>
      </w:r>
      <w:r>
        <w:rPr>
          <w:rFonts w:hint="eastAsia" w:hAnsi="宋体"/>
          <w:color w:val="auto"/>
          <w:sz w:val="21"/>
          <w:szCs w:val="21"/>
          <w:highlight w:val="none"/>
        </w:rPr>
        <w:t>水质提升工作开展过程中，常用设备</w:t>
      </w:r>
      <w:r>
        <w:rPr>
          <w:rFonts w:hint="eastAsia" w:hAnsi="宋体"/>
          <w:color w:val="auto"/>
          <w:sz w:val="21"/>
          <w:szCs w:val="21"/>
          <w:highlight w:val="none"/>
          <w:lang w:val="en-US" w:eastAsia="zh-CN"/>
        </w:rPr>
        <w:t>每日</w:t>
      </w:r>
      <w:r>
        <w:rPr>
          <w:rFonts w:hint="eastAsia" w:hAnsi="宋体"/>
          <w:color w:val="auto"/>
          <w:sz w:val="21"/>
          <w:szCs w:val="21"/>
          <w:highlight w:val="none"/>
        </w:rPr>
        <w:t>开启时间不少于1</w:t>
      </w:r>
      <w:r>
        <w:rPr>
          <w:rFonts w:hint="eastAsia" w:hAnsi="宋体"/>
          <w:color w:val="auto"/>
          <w:sz w:val="21"/>
          <w:szCs w:val="21"/>
          <w:highlight w:val="none"/>
          <w:lang w:val="en-US" w:eastAsia="zh-CN"/>
        </w:rPr>
        <w:t>0</w:t>
      </w:r>
      <w:r>
        <w:rPr>
          <w:rFonts w:hint="eastAsia" w:hAnsi="宋体"/>
          <w:color w:val="auto"/>
          <w:sz w:val="21"/>
          <w:szCs w:val="21"/>
          <w:highlight w:val="none"/>
        </w:rPr>
        <w:t>小时。</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int="eastAsia" w:hAnsi="宋体"/>
          <w:color w:val="auto"/>
          <w:sz w:val="21"/>
          <w:szCs w:val="21"/>
          <w:highlight w:val="none"/>
        </w:rPr>
      </w:pPr>
      <w:r>
        <w:rPr>
          <w:rFonts w:hint="eastAsia" w:hAnsi="宋体"/>
          <w:color w:val="auto"/>
          <w:sz w:val="21"/>
          <w:szCs w:val="21"/>
          <w:highlight w:val="none"/>
        </w:rPr>
        <w:t>6.</w:t>
      </w:r>
      <w:r>
        <w:rPr>
          <w:rFonts w:hint="eastAsia" w:hAnsi="宋体"/>
          <w:color w:val="auto"/>
          <w:sz w:val="21"/>
          <w:szCs w:val="21"/>
          <w:highlight w:val="none"/>
          <w:lang w:val="en-US" w:eastAsia="zh-CN"/>
        </w:rPr>
        <w:t>8</w:t>
      </w:r>
      <w:r>
        <w:rPr>
          <w:rFonts w:hint="eastAsia" w:hAnsi="宋体"/>
          <w:color w:val="auto"/>
          <w:sz w:val="21"/>
          <w:szCs w:val="21"/>
          <w:highlight w:val="none"/>
        </w:rPr>
        <w:t xml:space="preserve"> 乙方必须严格按投标文件明确的运行管理方案执行，做好防汛防台应急工作，服从甲方的统一指挥；在甲方的重大活动创建和检查期间，应主动做好各类创建活动期间的水质保障。</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int="eastAsia" w:hAnsi="宋体"/>
          <w:color w:val="auto"/>
          <w:sz w:val="21"/>
          <w:szCs w:val="21"/>
          <w:highlight w:val="none"/>
        </w:rPr>
      </w:pPr>
      <w:r>
        <w:rPr>
          <w:rFonts w:hint="eastAsia" w:hAnsi="宋体"/>
          <w:color w:val="auto"/>
          <w:sz w:val="21"/>
          <w:szCs w:val="21"/>
          <w:highlight w:val="none"/>
          <w:lang w:val="en-US" w:eastAsia="zh-CN"/>
        </w:rPr>
        <w:t>6.9 乙方必须</w:t>
      </w:r>
      <w:r>
        <w:rPr>
          <w:rFonts w:hint="eastAsia" w:hAnsi="宋体"/>
          <w:color w:val="auto"/>
          <w:sz w:val="21"/>
          <w:szCs w:val="21"/>
          <w:highlight w:val="none"/>
        </w:rPr>
        <w:t>全面提升水质应急处置能力</w:t>
      </w:r>
      <w:r>
        <w:rPr>
          <w:rFonts w:hint="eastAsia" w:hAnsi="宋体"/>
          <w:color w:val="auto"/>
          <w:sz w:val="21"/>
          <w:szCs w:val="21"/>
          <w:highlight w:val="none"/>
          <w:lang w:eastAsia="zh-CN"/>
        </w:rPr>
        <w:t>：</w:t>
      </w:r>
      <w:r>
        <w:rPr>
          <w:rFonts w:hint="eastAsia" w:hAnsi="宋体"/>
          <w:color w:val="auto"/>
          <w:sz w:val="21"/>
          <w:szCs w:val="21"/>
          <w:highlight w:val="none"/>
        </w:rPr>
        <w:t>全面加强河道水质监测，及时发现河道水质恶化问题。进一步优化水质应急处置预案，建立专业水质应急处置队伍，加强应急处置技术、物资储备。</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6.</w:t>
      </w:r>
      <w:r>
        <w:rPr>
          <w:rFonts w:hint="eastAsia" w:hAnsi="宋体"/>
          <w:color w:val="auto"/>
          <w:sz w:val="21"/>
          <w:szCs w:val="21"/>
          <w:highlight w:val="none"/>
          <w:lang w:val="en-US" w:eastAsia="zh-CN"/>
        </w:rPr>
        <w:t>10</w:t>
      </w:r>
      <w:r>
        <w:rPr>
          <w:rFonts w:hint="eastAsia" w:hAnsi="宋体"/>
          <w:color w:val="auto"/>
          <w:sz w:val="21"/>
          <w:szCs w:val="21"/>
          <w:highlight w:val="none"/>
        </w:rPr>
        <w:t>针</w:t>
      </w:r>
      <w:r>
        <w:rPr>
          <w:rFonts w:hAnsi="宋体"/>
          <w:color w:val="auto"/>
          <w:sz w:val="21"/>
          <w:szCs w:val="21"/>
          <w:highlight w:val="none"/>
        </w:rPr>
        <w:t>对本项目实施</w:t>
      </w:r>
      <w:r>
        <w:rPr>
          <w:rFonts w:hint="eastAsia" w:hAnsi="宋体"/>
          <w:color w:val="auto"/>
          <w:sz w:val="21"/>
          <w:szCs w:val="21"/>
          <w:highlight w:val="none"/>
        </w:rPr>
        <w:t>水质提升</w:t>
      </w:r>
      <w:r>
        <w:rPr>
          <w:rFonts w:hAnsi="宋体"/>
          <w:color w:val="auto"/>
          <w:sz w:val="21"/>
          <w:szCs w:val="21"/>
          <w:highlight w:val="none"/>
        </w:rPr>
        <w:t>管理所需的一切劳动力、材料、设备和服务由</w:t>
      </w:r>
      <w:r>
        <w:rPr>
          <w:rFonts w:hint="eastAsia" w:hAnsi="宋体"/>
          <w:color w:val="auto"/>
          <w:sz w:val="21"/>
          <w:szCs w:val="21"/>
          <w:highlight w:val="none"/>
        </w:rPr>
        <w:t>乙方</w:t>
      </w:r>
      <w:r>
        <w:rPr>
          <w:rFonts w:hAnsi="宋体"/>
          <w:color w:val="auto"/>
          <w:sz w:val="21"/>
          <w:szCs w:val="21"/>
          <w:highlight w:val="none"/>
        </w:rPr>
        <w:t>自行组织，由此产生的一切费用由</w:t>
      </w:r>
      <w:r>
        <w:rPr>
          <w:rFonts w:hint="eastAsia" w:hAnsi="宋体"/>
          <w:color w:val="auto"/>
          <w:sz w:val="21"/>
          <w:szCs w:val="21"/>
          <w:highlight w:val="none"/>
        </w:rPr>
        <w:t>乙方</w:t>
      </w:r>
      <w:r>
        <w:rPr>
          <w:rFonts w:hAnsi="宋体"/>
          <w:color w:val="auto"/>
          <w:sz w:val="21"/>
          <w:szCs w:val="21"/>
          <w:highlight w:val="none"/>
        </w:rPr>
        <w:t>承担。</w:t>
      </w:r>
      <w:r>
        <w:rPr>
          <w:rFonts w:hint="eastAsia" w:hAnsi="宋体"/>
          <w:color w:val="auto"/>
          <w:sz w:val="21"/>
          <w:szCs w:val="21"/>
          <w:highlight w:val="none"/>
        </w:rPr>
        <w:t>设备安装过程中的场地租借、接电等事项均由乙方自行解决，甲方原则上不提供任何协助。</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int="default" w:hAnsi="宋体" w:eastAsia="宋体"/>
          <w:color w:val="auto"/>
          <w:sz w:val="21"/>
          <w:szCs w:val="21"/>
          <w:highlight w:val="none"/>
          <w:lang w:val="en-US" w:eastAsia="zh-CN"/>
        </w:rPr>
      </w:pPr>
      <w:r>
        <w:rPr>
          <w:rFonts w:hint="eastAsia" w:hAnsi="宋体"/>
          <w:color w:val="auto"/>
          <w:sz w:val="21"/>
          <w:szCs w:val="21"/>
          <w:highlight w:val="none"/>
        </w:rPr>
        <w:t>6.</w:t>
      </w:r>
      <w:r>
        <w:rPr>
          <w:rFonts w:hint="eastAsia" w:hAnsi="宋体"/>
          <w:color w:val="auto"/>
          <w:sz w:val="21"/>
          <w:szCs w:val="21"/>
          <w:highlight w:val="none"/>
          <w:lang w:val="en-US" w:eastAsia="zh-CN"/>
        </w:rPr>
        <w:t>11</w:t>
      </w:r>
      <w:r>
        <w:rPr>
          <w:rFonts w:hint="eastAsia" w:hAnsi="宋体"/>
          <w:color w:val="auto"/>
          <w:sz w:val="21"/>
          <w:szCs w:val="21"/>
          <w:highlight w:val="none"/>
        </w:rPr>
        <w:t>乙方必须为全体作业员工购买社保和人身意外保险，必须重视安全生产工作，确保全年不出安全生产责任事故。如发生安全生产责任事故或交通事故或造成第三人损害的，由乙方承担一切责任及损失，与甲方无涉，甲方因此承担责任后，有权向乙方全额追偿。</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6.</w:t>
      </w:r>
      <w:r>
        <w:rPr>
          <w:rFonts w:hint="eastAsia" w:hAnsi="宋体"/>
          <w:color w:val="auto"/>
          <w:sz w:val="21"/>
          <w:szCs w:val="21"/>
          <w:highlight w:val="none"/>
          <w:lang w:val="en-US" w:eastAsia="zh-CN"/>
        </w:rPr>
        <w:t>12</w:t>
      </w:r>
      <w:r>
        <w:rPr>
          <w:rFonts w:hAnsi="宋体"/>
          <w:color w:val="auto"/>
          <w:sz w:val="21"/>
          <w:szCs w:val="21"/>
          <w:highlight w:val="none"/>
        </w:rPr>
        <w:t>乙方应保证提供服务过程中不会侵犯任何第三方的知识产权。</w:t>
      </w:r>
      <w:r>
        <w:rPr>
          <w:rFonts w:hint="eastAsia" w:hAnsi="宋体"/>
          <w:color w:val="auto"/>
          <w:sz w:val="21"/>
          <w:szCs w:val="21"/>
          <w:highlight w:val="none"/>
          <w:lang w:val="en-US" w:eastAsia="zh-CN"/>
        </w:rPr>
        <w:t>因乙方侵权导致甲方被第三方索赔或起诉的，由乙方承担全部损失赔偿责任，甲方因此承担责任后有权向乙方全额追偿。</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int="eastAsia" w:hAnsi="宋体"/>
          <w:color w:val="auto"/>
          <w:sz w:val="21"/>
          <w:szCs w:val="21"/>
          <w:highlight w:val="none"/>
        </w:rPr>
      </w:pPr>
      <w:r>
        <w:rPr>
          <w:rFonts w:hint="eastAsia" w:hAnsi="宋体"/>
          <w:color w:val="auto"/>
          <w:sz w:val="21"/>
          <w:szCs w:val="21"/>
          <w:highlight w:val="none"/>
        </w:rPr>
        <w:t>6.1</w:t>
      </w:r>
      <w:r>
        <w:rPr>
          <w:rFonts w:hint="eastAsia" w:hAnsi="宋体"/>
          <w:color w:val="auto"/>
          <w:sz w:val="21"/>
          <w:szCs w:val="21"/>
          <w:highlight w:val="none"/>
          <w:lang w:val="en-US" w:eastAsia="zh-CN"/>
        </w:rPr>
        <w:t>3</w:t>
      </w:r>
      <w:r>
        <w:rPr>
          <w:rFonts w:hint="eastAsia" w:hAnsi="宋体"/>
          <w:color w:val="auto"/>
          <w:sz w:val="21"/>
          <w:szCs w:val="21"/>
          <w:highlight w:val="none"/>
        </w:rPr>
        <w:t>乙方在菌种等投放过程中必须提前通知甲方并由甲方签字确认，否则按照考核办法扣除相应分数及款项。</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int="eastAsia" w:hAnsi="宋体"/>
          <w:color w:val="auto"/>
          <w:sz w:val="21"/>
          <w:szCs w:val="21"/>
          <w:highlight w:val="none"/>
        </w:rPr>
      </w:pPr>
      <w:r>
        <w:rPr>
          <w:rFonts w:hint="eastAsia" w:hAnsi="宋体"/>
          <w:color w:val="auto"/>
          <w:sz w:val="21"/>
          <w:szCs w:val="21"/>
          <w:highlight w:val="none"/>
          <w:lang w:val="en-US" w:eastAsia="zh-CN"/>
        </w:rPr>
        <w:t>6.14因其</w:t>
      </w:r>
      <w:r>
        <w:rPr>
          <w:rFonts w:hint="eastAsia" w:hAnsi="宋体"/>
          <w:color w:val="auto"/>
          <w:sz w:val="21"/>
          <w:szCs w:val="21"/>
          <w:highlight w:val="none"/>
        </w:rPr>
        <w:t>他单位认管、认养、施工、河道占用等原因造成部分河段未养护的，当月养护费用需减去未养护面积后核算。</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int="eastAsia" w:hAnsi="宋体"/>
          <w:color w:val="auto"/>
          <w:sz w:val="21"/>
          <w:szCs w:val="21"/>
          <w:highlight w:val="none"/>
        </w:rPr>
      </w:pPr>
      <w:r>
        <w:rPr>
          <w:rFonts w:hint="eastAsia" w:hAnsi="宋体"/>
          <w:color w:val="auto"/>
          <w:sz w:val="21"/>
          <w:szCs w:val="21"/>
          <w:highlight w:val="none"/>
          <w:lang w:val="en-US" w:eastAsia="zh-CN"/>
        </w:rPr>
        <w:t>6.15</w:t>
      </w:r>
      <w:r>
        <w:rPr>
          <w:rFonts w:hint="eastAsia" w:hAnsi="宋体"/>
          <w:color w:val="auto"/>
          <w:sz w:val="21"/>
          <w:szCs w:val="21"/>
          <w:highlight w:val="none"/>
        </w:rPr>
        <w:t>合同履行期间，</w:t>
      </w:r>
      <w:r>
        <w:rPr>
          <w:rFonts w:hint="eastAsia" w:hAnsi="宋体"/>
          <w:color w:val="auto"/>
          <w:sz w:val="21"/>
          <w:szCs w:val="21"/>
          <w:highlight w:val="none"/>
          <w:lang w:val="en-US" w:eastAsia="zh-CN"/>
        </w:rPr>
        <w:t>甲方</w:t>
      </w:r>
      <w:r>
        <w:rPr>
          <w:rFonts w:hint="eastAsia" w:hAnsi="宋体"/>
          <w:color w:val="auto"/>
          <w:sz w:val="21"/>
          <w:szCs w:val="21"/>
          <w:highlight w:val="none"/>
        </w:rPr>
        <w:t>有权根据行业要求或河道养护需要作出调整技术路线要求，</w:t>
      </w:r>
      <w:r>
        <w:rPr>
          <w:rFonts w:hint="eastAsia" w:hAnsi="宋体"/>
          <w:color w:val="auto"/>
          <w:sz w:val="21"/>
          <w:szCs w:val="21"/>
          <w:highlight w:val="none"/>
          <w:lang w:val="en-US" w:eastAsia="zh-CN"/>
        </w:rPr>
        <w:t>乙方</w:t>
      </w:r>
      <w:r>
        <w:rPr>
          <w:rFonts w:hint="eastAsia" w:hAnsi="宋体"/>
          <w:color w:val="auto"/>
          <w:sz w:val="21"/>
          <w:szCs w:val="21"/>
          <w:highlight w:val="none"/>
        </w:rPr>
        <w:t>须无条件响应。</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Ansi="宋体"/>
          <w:b/>
          <w:color w:val="auto"/>
          <w:sz w:val="21"/>
          <w:szCs w:val="21"/>
          <w:highlight w:val="none"/>
        </w:rPr>
      </w:pPr>
      <w:r>
        <w:rPr>
          <w:rFonts w:hint="eastAsia" w:hAnsi="宋体"/>
          <w:b/>
          <w:color w:val="auto"/>
          <w:sz w:val="21"/>
          <w:szCs w:val="21"/>
          <w:highlight w:val="none"/>
        </w:rPr>
        <w:t>七</w:t>
      </w:r>
      <w:r>
        <w:rPr>
          <w:rFonts w:hAnsi="宋体"/>
          <w:b/>
          <w:color w:val="auto"/>
          <w:sz w:val="21"/>
          <w:szCs w:val="21"/>
          <w:highlight w:val="none"/>
        </w:rPr>
        <w:t>、履约保证金</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7</w:t>
      </w:r>
      <w:r>
        <w:rPr>
          <w:rFonts w:hAnsi="宋体"/>
          <w:color w:val="auto"/>
          <w:sz w:val="21"/>
          <w:szCs w:val="21"/>
          <w:highlight w:val="none"/>
        </w:rPr>
        <w:t>.1</w:t>
      </w:r>
      <w:r>
        <w:rPr>
          <w:rFonts w:hint="eastAsia" w:hAnsi="宋体"/>
          <w:color w:val="auto"/>
          <w:sz w:val="21"/>
          <w:szCs w:val="21"/>
          <w:highlight w:val="none"/>
        </w:rPr>
        <w:t xml:space="preserve"> 履约保证金金额：</w:t>
      </w:r>
      <w:r>
        <w:rPr>
          <w:rFonts w:hint="eastAsia" w:hAnsi="宋体"/>
          <w:color w:val="auto"/>
          <w:sz w:val="21"/>
          <w:szCs w:val="21"/>
          <w:highlight w:val="none"/>
          <w:u w:val="single"/>
        </w:rPr>
        <w:t xml:space="preserve">     </w:t>
      </w:r>
      <w:r>
        <w:rPr>
          <w:rFonts w:hint="eastAsia" w:hAnsi="宋体"/>
          <w:color w:val="auto"/>
          <w:sz w:val="21"/>
          <w:szCs w:val="21"/>
          <w:highlight w:val="none"/>
        </w:rPr>
        <w:t>万元。</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7.2 履约保证金形式：银行汇票（电汇）、支票（仅限于使用宁波大市区范围内的银行开具的支票）。</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7.3 履约保证金须在签订合同之前支付。履约保证金在乙方完成合同履约后无息退还（但乙方未能履行合同规定的任何义务，甲方有权从履约保证金中</w:t>
      </w:r>
      <w:r>
        <w:rPr>
          <w:rFonts w:hint="eastAsia" w:hAnsi="宋体"/>
          <w:color w:val="auto"/>
          <w:sz w:val="21"/>
          <w:szCs w:val="21"/>
          <w:highlight w:val="none"/>
          <w:lang w:val="en-US" w:eastAsia="zh-CN"/>
        </w:rPr>
        <w:t>优先</w:t>
      </w:r>
      <w:r>
        <w:rPr>
          <w:rFonts w:hint="eastAsia" w:hAnsi="宋体"/>
          <w:color w:val="auto"/>
          <w:sz w:val="21"/>
          <w:szCs w:val="21"/>
          <w:highlight w:val="none"/>
        </w:rPr>
        <w:t>得到补</w:t>
      </w:r>
      <w:r>
        <w:rPr>
          <w:rFonts w:hint="eastAsia" w:hAnsi="宋体"/>
          <w:color w:val="auto"/>
          <w:sz w:val="21"/>
          <w:szCs w:val="21"/>
          <w:highlight w:val="none"/>
          <w:lang w:val="en-US" w:eastAsia="zh-CN"/>
        </w:rPr>
        <w:t>赔</w:t>
      </w:r>
      <w:r>
        <w:rPr>
          <w:rFonts w:hint="eastAsia" w:hAnsi="宋体"/>
          <w:color w:val="auto"/>
          <w:sz w:val="21"/>
          <w:szCs w:val="21"/>
          <w:highlight w:val="none"/>
        </w:rPr>
        <w:t>偿</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且履约保证金被扣除后，乙方应在15个工作日内及时补足至约定数额</w:t>
      </w:r>
      <w:r>
        <w:rPr>
          <w:rFonts w:hint="eastAsia" w:hAnsi="宋体"/>
          <w:color w:val="auto"/>
          <w:sz w:val="21"/>
          <w:szCs w:val="21"/>
          <w:highlight w:val="none"/>
        </w:rPr>
        <w:t>）。</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Ansi="宋体"/>
          <w:b/>
          <w:color w:val="auto"/>
          <w:sz w:val="21"/>
          <w:szCs w:val="21"/>
          <w:highlight w:val="none"/>
        </w:rPr>
      </w:pPr>
      <w:r>
        <w:rPr>
          <w:rFonts w:hint="eastAsia" w:hAnsi="宋体"/>
          <w:b/>
          <w:color w:val="auto"/>
          <w:sz w:val="21"/>
          <w:szCs w:val="21"/>
          <w:highlight w:val="none"/>
        </w:rPr>
        <w:t>八</w:t>
      </w:r>
      <w:r>
        <w:rPr>
          <w:rFonts w:hAnsi="宋体"/>
          <w:b/>
          <w:color w:val="auto"/>
          <w:sz w:val="21"/>
          <w:szCs w:val="21"/>
          <w:highlight w:val="none"/>
        </w:rPr>
        <w:t>.</w:t>
      </w:r>
      <w:r>
        <w:rPr>
          <w:rFonts w:hint="eastAsia" w:hAnsi="宋体"/>
          <w:b/>
          <w:color w:val="auto"/>
          <w:sz w:val="21"/>
          <w:szCs w:val="21"/>
          <w:highlight w:val="none"/>
        </w:rPr>
        <w:t>转包或分包</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8</w:t>
      </w:r>
      <w:r>
        <w:rPr>
          <w:rFonts w:ascii="宋体" w:hAnsi="宋体"/>
          <w:color w:val="auto"/>
          <w:szCs w:val="21"/>
          <w:highlight w:val="none"/>
        </w:rPr>
        <w:t>.1</w:t>
      </w:r>
      <w:r>
        <w:rPr>
          <w:rFonts w:hint="eastAsia" w:ascii="宋体" w:hAnsi="宋体"/>
          <w:color w:val="auto"/>
          <w:szCs w:val="21"/>
          <w:highlight w:val="none"/>
        </w:rPr>
        <w:t xml:space="preserve"> 本项目不允许转包</w:t>
      </w:r>
      <w:r>
        <w:rPr>
          <w:rFonts w:hint="eastAsia" w:ascii="宋体" w:hAnsi="宋体"/>
          <w:color w:val="auto"/>
          <w:szCs w:val="21"/>
          <w:highlight w:val="none"/>
          <w:lang w:val="en-US" w:eastAsia="zh-CN"/>
        </w:rPr>
        <w:t>或分包</w:t>
      </w:r>
      <w:r>
        <w:rPr>
          <w:rFonts w:hint="eastAsia" w:ascii="宋体" w:hAnsi="宋体"/>
          <w:color w:val="auto"/>
          <w:szCs w:val="21"/>
          <w:highlight w:val="none"/>
        </w:rPr>
        <w:t>；未经甲方</w:t>
      </w:r>
      <w:r>
        <w:rPr>
          <w:rFonts w:hint="eastAsia" w:ascii="宋体" w:hAnsi="宋体"/>
          <w:color w:val="auto"/>
          <w:szCs w:val="21"/>
          <w:highlight w:val="none"/>
          <w:lang w:val="en-US" w:eastAsia="zh-CN"/>
        </w:rPr>
        <w:t>书面</w:t>
      </w:r>
      <w:r>
        <w:rPr>
          <w:rFonts w:hint="eastAsia" w:ascii="宋体" w:hAnsi="宋体"/>
          <w:color w:val="auto"/>
          <w:szCs w:val="21"/>
          <w:highlight w:val="none"/>
        </w:rPr>
        <w:t>同意，</w:t>
      </w:r>
      <w:r>
        <w:rPr>
          <w:rFonts w:hint="eastAsia" w:ascii="宋体" w:hAnsi="宋体"/>
          <w:color w:val="auto"/>
          <w:szCs w:val="21"/>
          <w:highlight w:val="none"/>
          <w:lang w:val="en-US" w:eastAsia="zh-CN"/>
        </w:rPr>
        <w:t>乙方</w:t>
      </w:r>
      <w:r>
        <w:rPr>
          <w:rFonts w:hint="eastAsia" w:ascii="宋体" w:hAnsi="宋体"/>
          <w:color w:val="auto"/>
          <w:szCs w:val="21"/>
          <w:highlight w:val="none"/>
        </w:rPr>
        <w:t>不得</w:t>
      </w:r>
      <w:r>
        <w:rPr>
          <w:rFonts w:hint="eastAsia" w:ascii="宋体" w:hAnsi="宋体"/>
          <w:color w:val="auto"/>
          <w:szCs w:val="21"/>
          <w:highlight w:val="none"/>
          <w:lang w:val="en-US" w:eastAsia="zh-CN"/>
        </w:rPr>
        <w:t>将本合同项下的养护工作转包或</w:t>
      </w:r>
      <w:r>
        <w:rPr>
          <w:rFonts w:hint="eastAsia" w:ascii="宋体" w:hAnsi="宋体"/>
          <w:color w:val="auto"/>
          <w:szCs w:val="21"/>
          <w:highlight w:val="none"/>
        </w:rPr>
        <w:t>分包</w:t>
      </w:r>
      <w:r>
        <w:rPr>
          <w:rFonts w:hint="eastAsia" w:ascii="宋体" w:hAnsi="宋体"/>
          <w:color w:val="auto"/>
          <w:szCs w:val="21"/>
          <w:highlight w:val="none"/>
          <w:lang w:val="en-US" w:eastAsia="zh-CN"/>
        </w:rPr>
        <w:t>给第三人</w:t>
      </w:r>
      <w:r>
        <w:rPr>
          <w:rFonts w:hint="eastAsia" w:ascii="宋体" w:hAnsi="宋体"/>
          <w:color w:val="auto"/>
          <w:szCs w:val="21"/>
          <w:highlight w:val="none"/>
        </w:rPr>
        <w:t>。</w:t>
      </w:r>
      <w:r>
        <w:rPr>
          <w:rFonts w:hint="eastAsia" w:ascii="宋体" w:hAnsi="宋体"/>
          <w:color w:val="auto"/>
          <w:szCs w:val="21"/>
          <w:highlight w:val="none"/>
          <w:lang w:val="en-US" w:eastAsia="zh-CN"/>
        </w:rPr>
        <w:t>否则甲方有权直接解除本合同，不予退还全部履约保证金，给甲方额外造成损失的，乙方还应承担全部赔偿责任，赔偿范围包括但不限于直接损失、间接损失、律师费、诉讼费等费用。</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Ansi="宋体"/>
          <w:b/>
          <w:color w:val="auto"/>
          <w:sz w:val="21"/>
          <w:szCs w:val="21"/>
          <w:highlight w:val="none"/>
        </w:rPr>
      </w:pPr>
      <w:r>
        <w:rPr>
          <w:rFonts w:hAnsi="宋体"/>
          <w:b/>
          <w:color w:val="auto"/>
          <w:sz w:val="21"/>
          <w:szCs w:val="21"/>
          <w:highlight w:val="none"/>
        </w:rPr>
        <w:t>九、款项支付</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9</w:t>
      </w:r>
      <w:r>
        <w:rPr>
          <w:rFonts w:hAnsi="宋体"/>
          <w:color w:val="auto"/>
          <w:sz w:val="21"/>
          <w:szCs w:val="21"/>
          <w:highlight w:val="none"/>
        </w:rPr>
        <w:t xml:space="preserve">.1 </w:t>
      </w:r>
      <w:r>
        <w:rPr>
          <w:rFonts w:hint="eastAsia" w:hAnsi="宋体"/>
          <w:color w:val="auto"/>
          <w:sz w:val="21"/>
          <w:szCs w:val="21"/>
          <w:highlight w:val="none"/>
        </w:rPr>
        <w:t>合同价款调整</w:t>
      </w:r>
      <w:r>
        <w:rPr>
          <w:rFonts w:hAnsi="宋体"/>
          <w:color w:val="auto"/>
          <w:sz w:val="21"/>
          <w:szCs w:val="21"/>
          <w:highlight w:val="none"/>
        </w:rPr>
        <w:t>：</w:t>
      </w:r>
      <w:r>
        <w:rPr>
          <w:rFonts w:hint="eastAsia" w:hAnsi="宋体"/>
          <w:color w:val="auto"/>
          <w:sz w:val="21"/>
          <w:szCs w:val="21"/>
          <w:highlight w:val="none"/>
        </w:rPr>
        <w:t>年度</w:t>
      </w:r>
      <w:r>
        <w:rPr>
          <w:rFonts w:hAnsi="宋体"/>
          <w:color w:val="auto"/>
          <w:sz w:val="21"/>
          <w:szCs w:val="21"/>
          <w:highlight w:val="none"/>
        </w:rPr>
        <w:t>合同履行期间，</w:t>
      </w:r>
      <w:r>
        <w:rPr>
          <w:rFonts w:hint="eastAsia" w:hAnsi="宋体"/>
          <w:color w:val="auto"/>
          <w:sz w:val="21"/>
          <w:szCs w:val="21"/>
          <w:highlight w:val="none"/>
        </w:rPr>
        <w:t>合同单价</w:t>
      </w:r>
      <w:r>
        <w:rPr>
          <w:rFonts w:hAnsi="宋体"/>
          <w:color w:val="auto"/>
          <w:sz w:val="21"/>
          <w:szCs w:val="21"/>
          <w:highlight w:val="none"/>
        </w:rPr>
        <w:t>不因市场因素和政策因素的变动而调整，</w:t>
      </w:r>
      <w:r>
        <w:rPr>
          <w:rFonts w:hAnsi="宋体"/>
          <w:bCs/>
          <w:color w:val="auto"/>
          <w:sz w:val="21"/>
          <w:szCs w:val="21"/>
          <w:highlight w:val="none"/>
        </w:rPr>
        <w:t>但如</w:t>
      </w:r>
      <w:r>
        <w:rPr>
          <w:rFonts w:hint="eastAsia" w:hAnsi="宋体"/>
          <w:bCs/>
          <w:color w:val="auto"/>
          <w:sz w:val="21"/>
          <w:szCs w:val="21"/>
          <w:highlight w:val="none"/>
          <w:lang w:eastAsia="zh-CN"/>
        </w:rPr>
        <w:t>增减养护河道（段）</w:t>
      </w:r>
      <w:r>
        <w:rPr>
          <w:rFonts w:hint="eastAsia" w:hAnsi="宋体"/>
          <w:bCs/>
          <w:color w:val="auto"/>
          <w:sz w:val="21"/>
          <w:szCs w:val="21"/>
          <w:highlight w:val="none"/>
        </w:rPr>
        <w:t>或</w:t>
      </w:r>
      <w:r>
        <w:rPr>
          <w:rFonts w:hAnsi="宋体"/>
          <w:bCs/>
          <w:color w:val="auto"/>
          <w:sz w:val="21"/>
          <w:szCs w:val="21"/>
          <w:highlight w:val="none"/>
        </w:rPr>
        <w:t>发生所养护的工作量增加或减少，</w:t>
      </w:r>
      <w:r>
        <w:rPr>
          <w:rFonts w:hAnsi="宋体"/>
          <w:color w:val="auto"/>
          <w:sz w:val="21"/>
          <w:szCs w:val="21"/>
          <w:highlight w:val="none"/>
        </w:rPr>
        <w:t>以</w:t>
      </w:r>
      <w:r>
        <w:rPr>
          <w:rFonts w:hint="eastAsia" w:hAnsi="宋体"/>
          <w:color w:val="auto"/>
          <w:sz w:val="21"/>
          <w:szCs w:val="21"/>
          <w:highlight w:val="none"/>
        </w:rPr>
        <w:t>甲方</w:t>
      </w:r>
      <w:r>
        <w:rPr>
          <w:rFonts w:hAnsi="宋体"/>
          <w:color w:val="auto"/>
          <w:sz w:val="21"/>
          <w:szCs w:val="21"/>
          <w:highlight w:val="none"/>
        </w:rPr>
        <w:t>签证认可的联系单为准，产生的费用计入发生期间所对应的月份中</w:t>
      </w:r>
      <w:r>
        <w:rPr>
          <w:rFonts w:hint="eastAsia" w:hAnsi="宋体"/>
          <w:color w:val="auto"/>
          <w:sz w:val="21"/>
          <w:szCs w:val="21"/>
          <w:highlight w:val="none"/>
        </w:rPr>
        <w:t>；因不可抗力等原因造成合同无法继续履行的，由甲方与乙方协商解决后续问题。</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9.2水质提升工作量的确定：甲方在每月底核实乙方的水质提升作业面积，并在核实前24小时通知乙方，乙方为核实计量提供便利条件并派人参加。乙方收到通知后不参加计量，计量结果有效，作为水质提升作业合同价款支付的依据。对乙方超出水质提升作业范围和因乙方原因造成重新水质提升的工作量，甲方不予认可</w:t>
      </w:r>
      <w:r>
        <w:rPr>
          <w:rFonts w:hint="eastAsia" w:hAnsi="宋体"/>
          <w:color w:val="auto"/>
          <w:sz w:val="21"/>
          <w:szCs w:val="21"/>
          <w:highlight w:val="none"/>
          <w:lang w:val="en-US" w:eastAsia="zh-CN"/>
        </w:rPr>
        <w:t>并不予支付相应款项，乙方自行承担全部费用</w:t>
      </w:r>
      <w:r>
        <w:rPr>
          <w:rFonts w:hint="eastAsia" w:hAnsi="宋体"/>
          <w:color w:val="auto"/>
          <w:sz w:val="21"/>
          <w:szCs w:val="21"/>
          <w:highlight w:val="none"/>
        </w:rPr>
        <w:t>。</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9.3 合同款支付：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ascii="宋体" w:hAnsi="宋体" w:eastAsia="宋体" w:cs="Times New Roman"/>
          <w:color w:val="auto"/>
          <w:kern w:val="2"/>
          <w:sz w:val="21"/>
          <w:szCs w:val="21"/>
          <w:highlight w:val="none"/>
          <w:lang w:val="en-US" w:eastAsia="zh-CN" w:bidi="ar-SA"/>
        </w:rPr>
        <w:t>付款方式：财政</w:t>
      </w:r>
      <w:r>
        <w:rPr>
          <w:rFonts w:hint="eastAsia"/>
          <w:color w:val="auto"/>
          <w:highlight w:val="none"/>
        </w:rPr>
        <w:t>集中支付</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olor w:val="auto"/>
          <w:highlight w:val="none"/>
        </w:rPr>
      </w:pPr>
      <w:r>
        <w:rPr>
          <w:rFonts w:hint="eastAsia"/>
          <w:color w:val="auto"/>
          <w:highlight w:val="none"/>
        </w:rPr>
        <w:t>1、第一年：</w:t>
      </w:r>
      <w:r>
        <w:rPr>
          <w:rFonts w:hint="eastAsia"/>
          <w:color w:val="auto"/>
          <w:highlight w:val="none"/>
          <w:lang w:val="en-US" w:eastAsia="zh-CN"/>
        </w:rPr>
        <w:t>乙方</w:t>
      </w:r>
      <w:r>
        <w:rPr>
          <w:rFonts w:hint="eastAsia"/>
          <w:color w:val="auto"/>
          <w:highlight w:val="none"/>
        </w:rPr>
        <w:t>须在中标通知书</w:t>
      </w:r>
      <w:r>
        <w:rPr>
          <w:rFonts w:hint="eastAsia"/>
          <w:color w:val="auto"/>
          <w:highlight w:val="none"/>
          <w:lang w:eastAsia="zh-CN"/>
        </w:rPr>
        <w:t>发放</w:t>
      </w:r>
      <w:r>
        <w:rPr>
          <w:rFonts w:hint="eastAsia"/>
          <w:color w:val="auto"/>
          <w:highlight w:val="none"/>
        </w:rPr>
        <w:t>之日起60天内与</w:t>
      </w:r>
      <w:r>
        <w:rPr>
          <w:rFonts w:hint="eastAsia"/>
          <w:color w:val="auto"/>
          <w:highlight w:val="none"/>
          <w:lang w:val="en-US" w:eastAsia="zh-CN"/>
        </w:rPr>
        <w:t>甲方</w:t>
      </w:r>
      <w:r>
        <w:rPr>
          <w:rFonts w:hint="eastAsia"/>
          <w:color w:val="auto"/>
          <w:highlight w:val="none"/>
        </w:rPr>
        <w:t>签订中标合同；</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olor w:val="auto"/>
          <w:highlight w:val="none"/>
          <w:u w:val="none"/>
        </w:rPr>
      </w:pPr>
      <w:r>
        <w:rPr>
          <w:rFonts w:hint="eastAsia"/>
          <w:color w:val="auto"/>
          <w:highlight w:val="none"/>
        </w:rPr>
        <w:t>（1）建设款（合同价的20%）。河道施工工期为40天，中标通知书</w:t>
      </w:r>
      <w:r>
        <w:rPr>
          <w:rFonts w:hint="eastAsia"/>
          <w:color w:val="auto"/>
          <w:highlight w:val="none"/>
          <w:lang w:val="en-US" w:eastAsia="zh-CN"/>
        </w:rPr>
        <w:t>发放</w:t>
      </w:r>
      <w:r>
        <w:rPr>
          <w:rFonts w:hint="eastAsia"/>
          <w:color w:val="auto"/>
          <w:highlight w:val="none"/>
        </w:rPr>
        <w:t>之日起40天内，整个标段所有设备、管道、土建等工程实施完毕并交</w:t>
      </w:r>
      <w:r>
        <w:rPr>
          <w:rFonts w:hint="eastAsia"/>
          <w:color w:val="auto"/>
          <w:highlight w:val="none"/>
          <w:lang w:val="en-US" w:eastAsia="zh-CN"/>
        </w:rPr>
        <w:t>甲方</w:t>
      </w:r>
      <w:r>
        <w:rPr>
          <w:rFonts w:hint="eastAsia"/>
          <w:color w:val="auto"/>
          <w:highlight w:val="none"/>
        </w:rPr>
        <w:t>整体验收合格</w:t>
      </w:r>
      <w:r>
        <w:rPr>
          <w:rFonts w:hint="eastAsia"/>
          <w:color w:val="auto"/>
          <w:highlight w:val="none"/>
          <w:lang w:eastAsia="zh-CN"/>
        </w:rPr>
        <w:t>，</w:t>
      </w:r>
      <w:r>
        <w:rPr>
          <w:rFonts w:hint="eastAsia"/>
          <w:color w:val="auto"/>
          <w:highlight w:val="none"/>
          <w:lang w:val="en-US" w:eastAsia="zh-CN"/>
        </w:rPr>
        <w:t>收到乙方送达的等额增值税发</w:t>
      </w:r>
      <w:r>
        <w:rPr>
          <w:rFonts w:hint="eastAsia"/>
          <w:color w:val="auto"/>
          <w:highlight w:val="none"/>
          <w:u w:val="none"/>
          <w:lang w:val="en-US" w:eastAsia="zh-CN"/>
        </w:rPr>
        <w:t>票</w:t>
      </w:r>
      <w:r>
        <w:rPr>
          <w:rFonts w:hint="eastAsia"/>
          <w:color w:val="auto"/>
          <w:highlight w:val="none"/>
          <w:u w:val="none"/>
        </w:rPr>
        <w:t>后</w:t>
      </w:r>
      <w:r>
        <w:rPr>
          <w:rFonts w:hint="eastAsia"/>
          <w:color w:val="auto"/>
          <w:highlight w:val="none"/>
          <w:u w:val="none"/>
          <w:lang w:val="en-US" w:eastAsia="zh-CN"/>
        </w:rPr>
        <w:t>15个工作日内</w:t>
      </w:r>
      <w:r>
        <w:rPr>
          <w:rFonts w:hint="eastAsia"/>
          <w:color w:val="auto"/>
          <w:highlight w:val="none"/>
          <w:u w:val="none"/>
        </w:rPr>
        <w:t>付款合同价的20%；</w:t>
      </w:r>
      <w:r>
        <w:rPr>
          <w:rFonts w:hint="eastAsia"/>
          <w:color w:val="auto"/>
          <w:highlight w:val="none"/>
          <w:u w:val="none"/>
          <w:lang w:val="en-US" w:eastAsia="zh-CN"/>
        </w:rPr>
        <w:t>乙方逾期完工</w:t>
      </w:r>
      <w:r>
        <w:rPr>
          <w:rFonts w:hint="eastAsia"/>
          <w:color w:val="auto"/>
          <w:highlight w:val="none"/>
          <w:u w:val="none"/>
        </w:rPr>
        <w:t>每延期1天</w:t>
      </w:r>
      <w:r>
        <w:rPr>
          <w:rFonts w:hint="eastAsia"/>
          <w:color w:val="auto"/>
          <w:highlight w:val="none"/>
          <w:u w:val="none"/>
          <w:lang w:val="en-US" w:eastAsia="zh-CN"/>
        </w:rPr>
        <w:t>承担合同总价</w:t>
      </w:r>
      <w:r>
        <w:rPr>
          <w:rFonts w:hint="eastAsia"/>
          <w:color w:val="auto"/>
          <w:highlight w:val="none"/>
          <w:u w:val="none"/>
        </w:rPr>
        <w:t>1%</w:t>
      </w:r>
      <w:r>
        <w:rPr>
          <w:rFonts w:hint="eastAsia"/>
          <w:color w:val="auto"/>
          <w:highlight w:val="none"/>
          <w:u w:val="none"/>
          <w:lang w:val="en-US" w:eastAsia="zh-CN"/>
        </w:rPr>
        <w:t>的违约金</w:t>
      </w:r>
      <w:r>
        <w:rPr>
          <w:rFonts w:hint="eastAsia"/>
          <w:color w:val="auto"/>
          <w:highlight w:val="none"/>
          <w:u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highlight w:val="none"/>
          <w:u w:val="none"/>
        </w:rPr>
      </w:pPr>
      <w:r>
        <w:rPr>
          <w:rFonts w:hint="eastAsia"/>
          <w:color w:val="auto"/>
          <w:highlight w:val="none"/>
          <w:u w:val="none"/>
        </w:rPr>
        <w:t>中标通知书</w:t>
      </w:r>
      <w:r>
        <w:rPr>
          <w:rFonts w:hint="eastAsia"/>
          <w:color w:val="auto"/>
          <w:highlight w:val="none"/>
          <w:u w:val="none"/>
          <w:lang w:eastAsia="zh-CN"/>
        </w:rPr>
        <w:t>发放</w:t>
      </w:r>
      <w:r>
        <w:rPr>
          <w:rFonts w:hint="eastAsia"/>
          <w:color w:val="auto"/>
          <w:highlight w:val="none"/>
          <w:u w:val="none"/>
        </w:rPr>
        <w:t>之日起60天内仍未完成该标段整体施工及设备安装并验收合格的，第61天起每延期1天</w:t>
      </w:r>
      <w:r>
        <w:rPr>
          <w:rFonts w:hint="eastAsia"/>
          <w:color w:val="auto"/>
          <w:highlight w:val="none"/>
          <w:u w:val="none"/>
          <w:lang w:val="en-US" w:eastAsia="zh-CN"/>
        </w:rPr>
        <w:t>承担</w:t>
      </w:r>
      <w:r>
        <w:rPr>
          <w:rFonts w:hint="eastAsia"/>
          <w:color w:val="auto"/>
          <w:highlight w:val="none"/>
          <w:u w:val="none"/>
        </w:rPr>
        <w:t>合同</w:t>
      </w:r>
      <w:r>
        <w:rPr>
          <w:rFonts w:hint="eastAsia"/>
          <w:color w:val="auto"/>
          <w:highlight w:val="none"/>
          <w:u w:val="none"/>
          <w:lang w:val="en-US" w:eastAsia="zh-CN"/>
        </w:rPr>
        <w:t>总</w:t>
      </w:r>
      <w:r>
        <w:rPr>
          <w:rFonts w:hint="eastAsia"/>
          <w:color w:val="auto"/>
          <w:highlight w:val="none"/>
          <w:u w:val="none"/>
        </w:rPr>
        <w:t>价1‰</w:t>
      </w:r>
      <w:r>
        <w:rPr>
          <w:rFonts w:hint="eastAsia"/>
          <w:color w:val="auto"/>
          <w:highlight w:val="none"/>
          <w:u w:val="none"/>
          <w:lang w:val="en-US" w:eastAsia="zh-CN"/>
        </w:rPr>
        <w:t>的违约金</w:t>
      </w:r>
      <w:r>
        <w:rPr>
          <w:rFonts w:hint="eastAsia"/>
          <w:color w:val="auto"/>
          <w:highlight w:val="none"/>
          <w:u w:val="none"/>
        </w:rPr>
        <w:t>；中标通知书</w:t>
      </w:r>
      <w:r>
        <w:rPr>
          <w:rFonts w:hint="eastAsia"/>
          <w:color w:val="auto"/>
          <w:highlight w:val="none"/>
          <w:u w:val="none"/>
          <w:lang w:eastAsia="zh-CN"/>
        </w:rPr>
        <w:t>发放</w:t>
      </w:r>
      <w:r>
        <w:rPr>
          <w:rFonts w:hint="eastAsia"/>
          <w:color w:val="auto"/>
          <w:highlight w:val="none"/>
          <w:u w:val="none"/>
        </w:rPr>
        <w:t>之日起120天内仍未完成安装及通过验收的，合同自动解除并扣除</w:t>
      </w:r>
      <w:r>
        <w:rPr>
          <w:rFonts w:hint="eastAsia"/>
          <w:color w:val="auto"/>
          <w:highlight w:val="none"/>
          <w:u w:val="none"/>
          <w:lang w:val="en-US" w:eastAsia="zh-CN"/>
        </w:rPr>
        <w:t>全部</w:t>
      </w:r>
      <w:r>
        <w:rPr>
          <w:rFonts w:hint="eastAsia"/>
          <w:color w:val="auto"/>
          <w:highlight w:val="none"/>
          <w:u w:val="none"/>
        </w:rPr>
        <w:t>履约保证金，同时甲方有权追究其造成的</w:t>
      </w:r>
      <w:r>
        <w:rPr>
          <w:rFonts w:hint="eastAsia"/>
          <w:color w:val="auto"/>
          <w:highlight w:val="none"/>
          <w:u w:val="none"/>
          <w:lang w:val="en-US" w:eastAsia="zh-CN"/>
        </w:rPr>
        <w:t>全部</w:t>
      </w:r>
      <w:r>
        <w:rPr>
          <w:rFonts w:hint="eastAsia"/>
          <w:color w:val="auto"/>
          <w:highlight w:val="none"/>
          <w:u w:val="none"/>
        </w:rPr>
        <w:t>损失</w:t>
      </w:r>
      <w:r>
        <w:rPr>
          <w:rFonts w:hint="eastAsia"/>
          <w:color w:val="auto"/>
          <w:highlight w:val="none"/>
          <w:u w:val="none"/>
          <w:lang w:eastAsia="zh-CN"/>
        </w:rPr>
        <w:t>，</w:t>
      </w:r>
      <w:r>
        <w:rPr>
          <w:rFonts w:hint="eastAsia"/>
          <w:color w:val="auto"/>
          <w:highlight w:val="none"/>
          <w:u w:val="none"/>
          <w:lang w:val="en-US" w:eastAsia="zh-CN"/>
        </w:rPr>
        <w:t>赔偿范围包括但不限于</w:t>
      </w:r>
      <w:r>
        <w:rPr>
          <w:rFonts w:hint="eastAsia" w:ascii="宋体" w:hAnsi="宋体"/>
          <w:color w:val="auto"/>
          <w:szCs w:val="21"/>
          <w:highlight w:val="none"/>
          <w:u w:val="none"/>
          <w:lang w:val="en-US" w:eastAsia="zh-CN"/>
        </w:rPr>
        <w:t>直接损失、间接损失、律师费、诉讼费等费用</w:t>
      </w:r>
      <w:r>
        <w:rPr>
          <w:rFonts w:hint="eastAsia"/>
          <w:color w:val="auto"/>
          <w:highlight w:val="none"/>
          <w:u w:val="none"/>
        </w:rPr>
        <w:t>。</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olor w:val="auto"/>
          <w:highlight w:val="none"/>
        </w:rPr>
      </w:pPr>
      <w:r>
        <w:rPr>
          <w:rFonts w:hint="eastAsia"/>
          <w:color w:val="auto"/>
          <w:highlight w:val="none"/>
          <w:u w:val="none"/>
        </w:rPr>
        <w:t>（2）月度养护款（合同价的60%）。自工程验收合格之月的次月起为养护期，养护经费按月结算、依考核情况核拨，月养护经费以合同价的60%按照实</w:t>
      </w:r>
      <w:r>
        <w:rPr>
          <w:rFonts w:hint="eastAsia"/>
          <w:color w:val="auto"/>
          <w:highlight w:val="none"/>
        </w:rPr>
        <w:t>际水质养护完成月数（N）结算，</w:t>
      </w:r>
      <w:r>
        <w:rPr>
          <w:rFonts w:hint="eastAsia"/>
          <w:color w:val="auto"/>
          <w:highlight w:val="none"/>
          <w:lang w:val="en-US" w:eastAsia="zh-CN"/>
        </w:rPr>
        <w:t>自甲方收到乙方送达的等额增值税发</w:t>
      </w:r>
      <w:r>
        <w:rPr>
          <w:rFonts w:hint="eastAsia"/>
          <w:color w:val="auto"/>
          <w:highlight w:val="none"/>
          <w:u w:val="none"/>
          <w:lang w:val="en-US" w:eastAsia="zh-CN"/>
        </w:rPr>
        <w:t>票</w:t>
      </w:r>
      <w:r>
        <w:rPr>
          <w:rFonts w:hint="eastAsia"/>
          <w:color w:val="auto"/>
          <w:highlight w:val="none"/>
          <w:u w:val="none"/>
        </w:rPr>
        <w:t>后</w:t>
      </w:r>
      <w:r>
        <w:rPr>
          <w:rFonts w:hint="eastAsia"/>
          <w:color w:val="auto"/>
          <w:highlight w:val="none"/>
          <w:u w:val="none"/>
          <w:lang w:val="en-US" w:eastAsia="zh-CN"/>
        </w:rPr>
        <w:t>15个工作日内</w:t>
      </w:r>
      <w:r>
        <w:rPr>
          <w:rFonts w:hint="eastAsia"/>
          <w:color w:val="auto"/>
          <w:highlight w:val="none"/>
          <w:u w:val="none"/>
        </w:rPr>
        <w:t>付款</w:t>
      </w:r>
      <w:r>
        <w:rPr>
          <w:rFonts w:hint="eastAsia"/>
          <w:color w:val="auto"/>
          <w:highlight w:val="none"/>
          <w:lang w:eastAsia="zh-CN"/>
        </w:rPr>
        <w:t>，</w:t>
      </w:r>
      <w:r>
        <w:rPr>
          <w:rFonts w:hint="eastAsia"/>
          <w:color w:val="auto"/>
          <w:highlight w:val="none"/>
        </w:rPr>
        <w:t>结算方式为：（合同价×60%/12×N）。</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olor w:val="auto"/>
          <w:highlight w:val="none"/>
        </w:rPr>
      </w:pPr>
      <w:r>
        <w:rPr>
          <w:rFonts w:hint="eastAsia"/>
          <w:color w:val="auto"/>
          <w:highlight w:val="none"/>
        </w:rPr>
        <w:t>（3）年度考核款（合同价的20%）根据实际水质养护完成月数（N）在年</w:t>
      </w:r>
      <w:r>
        <w:rPr>
          <w:rFonts w:hint="eastAsia"/>
          <w:color w:val="auto"/>
          <w:highlight w:val="none"/>
          <w:lang w:val="en-US" w:eastAsia="zh-CN"/>
        </w:rPr>
        <w:t>度合同履行完毕后</w:t>
      </w:r>
      <w:r>
        <w:rPr>
          <w:rFonts w:hint="eastAsia"/>
          <w:color w:val="auto"/>
          <w:highlight w:val="none"/>
        </w:rPr>
        <w:t>进行结算，结算方式为：合同价×20%/12×N，依考核评定情况至合同期满且达到既定水质目标</w:t>
      </w:r>
      <w:r>
        <w:rPr>
          <w:rFonts w:hint="eastAsia"/>
          <w:color w:val="auto"/>
          <w:highlight w:val="none"/>
          <w:lang w:eastAsia="zh-CN"/>
        </w:rPr>
        <w:t>，</w:t>
      </w:r>
      <w:r>
        <w:rPr>
          <w:rFonts w:hint="eastAsia"/>
          <w:color w:val="auto"/>
          <w:highlight w:val="none"/>
          <w:lang w:val="en-US" w:eastAsia="zh-CN"/>
        </w:rPr>
        <w:t>甲方收到乙方送达的等额增值税发票</w:t>
      </w:r>
      <w:r>
        <w:rPr>
          <w:rFonts w:hint="eastAsia"/>
          <w:color w:val="auto"/>
          <w:highlight w:val="none"/>
        </w:rPr>
        <w:t>后15个工作日内拨付，并退还履约保证金。</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eastAsia="宋体"/>
          <w:color w:val="auto"/>
          <w:highlight w:val="none"/>
          <w:lang w:val="en-US" w:eastAsia="zh-CN"/>
        </w:rPr>
      </w:pPr>
      <w:r>
        <w:rPr>
          <w:rFonts w:hint="eastAsia"/>
          <w:color w:val="auto"/>
          <w:highlight w:val="none"/>
        </w:rPr>
        <w:t>2、第二/三年：</w:t>
      </w:r>
      <w:r>
        <w:rPr>
          <w:rFonts w:hint="eastAsia"/>
          <w:color w:val="auto"/>
          <w:highlight w:val="none"/>
          <w:lang w:val="en-US" w:eastAsia="zh-CN"/>
        </w:rPr>
        <w:t>新</w:t>
      </w:r>
      <w:r>
        <w:rPr>
          <w:rFonts w:hint="eastAsia"/>
          <w:color w:val="auto"/>
          <w:highlight w:val="none"/>
        </w:rPr>
        <w:t>合同签订后第一个月起养护经费按月结算、依考核情况核拨，月结算养护经费累计总额为</w:t>
      </w:r>
      <w:r>
        <w:rPr>
          <w:rFonts w:hint="eastAsia"/>
          <w:color w:val="auto"/>
          <w:highlight w:val="none"/>
          <w:lang w:val="en-US" w:eastAsia="zh-CN"/>
        </w:rPr>
        <w:t>新</w:t>
      </w:r>
      <w:r>
        <w:rPr>
          <w:rFonts w:hint="eastAsia"/>
          <w:color w:val="auto"/>
          <w:highlight w:val="none"/>
        </w:rPr>
        <w:t>合同总价的80%，年度考核款（</w:t>
      </w:r>
      <w:r>
        <w:rPr>
          <w:rFonts w:hint="eastAsia"/>
          <w:color w:val="auto"/>
          <w:highlight w:val="none"/>
          <w:lang w:val="en-US" w:eastAsia="zh-CN"/>
        </w:rPr>
        <w:t>新</w:t>
      </w:r>
      <w:r>
        <w:rPr>
          <w:rFonts w:hint="eastAsia"/>
          <w:color w:val="auto"/>
          <w:highlight w:val="none"/>
        </w:rPr>
        <w:t>合同价的20%）依考核评定情况至合同期满且达到既定年度目标后15个工作日内拨付，并退还履约保证金。</w:t>
      </w:r>
      <w:r>
        <w:rPr>
          <w:rFonts w:hint="eastAsia"/>
          <w:color w:val="auto"/>
          <w:highlight w:val="none"/>
          <w:lang w:val="en-US" w:eastAsia="zh-CN"/>
        </w:rPr>
        <w:t>每笔费用均在甲方收到乙方送达的等额增值税发票后支付，乙方迟延送达发票的，甲方不承担逾期付款违约责任。</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olor w:val="auto"/>
          <w:highlight w:val="none"/>
        </w:rPr>
      </w:pPr>
      <w:r>
        <w:rPr>
          <w:rFonts w:hint="eastAsia"/>
          <w:color w:val="auto"/>
          <w:highlight w:val="none"/>
        </w:rPr>
        <w:t>3、若在年度合同履行完毕后，</w:t>
      </w:r>
      <w:r>
        <w:rPr>
          <w:rFonts w:hint="eastAsia"/>
          <w:color w:val="auto"/>
          <w:highlight w:val="none"/>
          <w:lang w:val="en-US" w:eastAsia="zh-CN"/>
        </w:rPr>
        <w:t>乙方</w:t>
      </w:r>
      <w:r>
        <w:rPr>
          <w:rFonts w:hint="eastAsia"/>
          <w:color w:val="auto"/>
          <w:highlight w:val="none"/>
        </w:rPr>
        <w:t>单方面提出不再续签合同的，则扣除上一年度合同总金额20%的服务经费。</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olor w:val="auto"/>
          <w:highlight w:val="none"/>
        </w:rPr>
      </w:pPr>
      <w:r>
        <w:rPr>
          <w:rFonts w:hint="eastAsia"/>
          <w:color w:val="auto"/>
          <w:highlight w:val="none"/>
        </w:rPr>
        <w:t>4、考核所扣取的经费直接在当月核拨的养护经费中扣除。</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color w:val="auto"/>
          <w:highlight w:val="none"/>
          <w:lang w:val="en-US" w:eastAsia="zh-CN"/>
        </w:rPr>
      </w:pPr>
      <w:r>
        <w:rPr>
          <w:rFonts w:hint="eastAsia"/>
          <w:color w:val="auto"/>
          <w:highlight w:val="none"/>
          <w:lang w:val="en-US" w:eastAsia="zh-CN"/>
        </w:rPr>
        <w:t>5、上述所有乙方应承担的违约金甲方有权直接在履约保证金中扣除，扣除后仍不足的，甲方有权在其他未结算款项中扣除。</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color w:val="auto"/>
          <w:szCs w:val="21"/>
          <w:highlight w:val="none"/>
        </w:rPr>
      </w:pPr>
      <w:r>
        <w:rPr>
          <w:rFonts w:hint="eastAsia" w:ascii="宋体" w:hAnsi="宋体"/>
          <w:b/>
          <w:color w:val="auto"/>
          <w:szCs w:val="21"/>
          <w:highlight w:val="none"/>
        </w:rPr>
        <w:t>十、税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10</w:t>
      </w:r>
      <w:r>
        <w:rPr>
          <w:rFonts w:ascii="宋体" w:hAnsi="宋体"/>
          <w:color w:val="auto"/>
          <w:szCs w:val="21"/>
          <w:highlight w:val="none"/>
        </w:rPr>
        <w:t>.1</w:t>
      </w:r>
      <w:r>
        <w:rPr>
          <w:rFonts w:hint="eastAsia" w:ascii="宋体" w:hAnsi="宋体"/>
          <w:color w:val="auto"/>
          <w:szCs w:val="21"/>
          <w:highlight w:val="none"/>
        </w:rPr>
        <w:t>本合同执行中相关的一切税费均由乙方负担。</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color w:val="auto"/>
          <w:szCs w:val="21"/>
          <w:highlight w:val="none"/>
        </w:rPr>
      </w:pPr>
      <w:r>
        <w:rPr>
          <w:rFonts w:ascii="宋体" w:hAnsi="宋体"/>
          <w:b/>
          <w:color w:val="auto"/>
          <w:szCs w:val="21"/>
          <w:highlight w:val="none"/>
        </w:rPr>
        <w:t>十</w:t>
      </w:r>
      <w:r>
        <w:rPr>
          <w:rFonts w:hint="eastAsia" w:ascii="宋体" w:hAnsi="宋体"/>
          <w:b/>
          <w:color w:val="auto"/>
          <w:szCs w:val="21"/>
          <w:highlight w:val="none"/>
        </w:rPr>
        <w:t>一</w:t>
      </w:r>
      <w:r>
        <w:rPr>
          <w:rFonts w:ascii="宋体" w:hAnsi="宋体"/>
          <w:b/>
          <w:color w:val="auto"/>
          <w:szCs w:val="21"/>
          <w:highlight w:val="none"/>
        </w:rPr>
        <w:t>、</w:t>
      </w:r>
      <w:r>
        <w:rPr>
          <w:rFonts w:hint="eastAsia" w:ascii="宋体" w:hAnsi="宋体"/>
          <w:b/>
          <w:color w:val="auto"/>
          <w:szCs w:val="21"/>
          <w:highlight w:val="none"/>
        </w:rPr>
        <w:t>违约及争议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lang w:val="en-US" w:eastAsia="zh-CN"/>
        </w:rPr>
      </w:pPr>
      <w:r>
        <w:rPr>
          <w:rFonts w:hint="eastAsia" w:ascii="宋体" w:hAnsi="宋体"/>
          <w:color w:val="auto"/>
          <w:szCs w:val="21"/>
          <w:highlight w:val="none"/>
        </w:rPr>
        <w:t>11.1</w:t>
      </w:r>
      <w:r>
        <w:rPr>
          <w:rFonts w:hint="eastAsia" w:ascii="宋体" w:hAnsi="宋体"/>
          <w:color w:val="auto"/>
          <w:szCs w:val="21"/>
          <w:highlight w:val="none"/>
          <w:lang w:val="en-US" w:eastAsia="zh-CN"/>
        </w:rPr>
        <w:t>同一条河道年度内累计2次月度考核不合格的养护单位，除执行正常违约责任外，同时要求养护单位提交书面整改措施并及时有效落实。如未及时提交书面整改措施或未及时有效落实的，采购单位有权单方面提前解除本合同，并扣除全部履约保证金，给采购单位额外造成损失的，养护单位还应承担全部赔偿责任，赔偿范围包括但不限于直接损失、间接损失、律师费、诉讼费等费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11.2同一条河道年度内连续2次或者累计3次月度考核不合格的养护单位，除执行正常违约责任外，另要求养护单位承担该条河道年度合同款的20%作为违约金，同时要求养护单位提交书面整改措施并及时落实。如未及时提交书面整改措施或未及时有效落实的，采购单位有权单方面提前解除本合同，并扣除全部履约保证金，给采购单位额外造成损失的，养护单位还应承担全部赔偿责任，赔偿范围包括但不限于直接损失、间接损失、律师费、诉讼费等费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11.3同一条河道年度内连续3次或者累计4次月度考核不合格的养护单位，除执行正常违约责任外，另要求养护单位承担该条河道年度合同款的40%作为违约金，同时采购单位有权无条件提前解除合同，养护单位提交的全额履约保证金作为违约金，不予退还，给采购单位额外造成损失的，养护单位还应</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lang w:val="en-US" w:eastAsia="zh-CN"/>
        </w:rPr>
        <w:t>11.4同一条河道年度内连续4次或者累计5次月度考核不合格的，除执行正常违约责任外，另要求养护单位承担该标段年度合同款的20%作为违约金；同时采购单位有权无条件提前解除合同，养护单位提交的全额履约保证金作为违约金，不予退还，给采购单位额外造成损失的，养护单位还应承担全部赔偿责任，赔偿范围包括但不限于直接损失、间接损失、律师费、诉讼费等费用。等费用</w:t>
      </w:r>
      <w:r>
        <w:rPr>
          <w:rFonts w:hint="eastAsia" w:ascii="宋体" w:hAnsi="宋体"/>
          <w:color w:val="auto"/>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11.</w:t>
      </w:r>
      <w:r>
        <w:rPr>
          <w:rFonts w:hint="eastAsia" w:ascii="宋体" w:hAnsi="宋体"/>
          <w:color w:val="auto"/>
          <w:szCs w:val="21"/>
          <w:highlight w:val="none"/>
          <w:lang w:val="en-US" w:eastAsia="zh-CN"/>
        </w:rPr>
        <w:t>5</w:t>
      </w:r>
      <w:r>
        <w:rPr>
          <w:rFonts w:hint="eastAsia" w:ascii="宋体" w:hAnsi="宋体"/>
          <w:color w:val="auto"/>
          <w:szCs w:val="21"/>
          <w:highlight w:val="none"/>
        </w:rPr>
        <w:t>养护河道出现问题，乙方未能在甲方要求的时间内进行有效整改的，甲方有权委托其他中标单位进行整改，由此产生的费用从乙方养护经费中扣除。</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11.</w:t>
      </w:r>
      <w:r>
        <w:rPr>
          <w:rFonts w:hint="eastAsia" w:ascii="宋体" w:hAnsi="宋体"/>
          <w:color w:val="auto"/>
          <w:szCs w:val="21"/>
          <w:highlight w:val="none"/>
          <w:lang w:val="en-US" w:eastAsia="zh-CN"/>
        </w:rPr>
        <w:t>6</w:t>
      </w:r>
      <w:r>
        <w:rPr>
          <w:rFonts w:hint="eastAsia" w:ascii="宋体" w:hAnsi="宋体"/>
          <w:color w:val="auto"/>
          <w:szCs w:val="21"/>
          <w:highlight w:val="none"/>
        </w:rPr>
        <w:t>在合同履行期间，若发现</w:t>
      </w:r>
      <w:r>
        <w:rPr>
          <w:rFonts w:hint="eastAsia" w:ascii="宋体" w:hAnsi="宋体"/>
          <w:color w:val="auto"/>
          <w:szCs w:val="21"/>
          <w:highlight w:val="none"/>
          <w:lang w:val="en-US" w:eastAsia="zh-CN"/>
        </w:rPr>
        <w:t>乙方</w:t>
      </w:r>
      <w:r>
        <w:rPr>
          <w:rFonts w:hint="eastAsia" w:ascii="宋体" w:hAnsi="宋体"/>
          <w:color w:val="auto"/>
          <w:szCs w:val="21"/>
          <w:highlight w:val="none"/>
        </w:rPr>
        <w:t>存在偷电、私接电或类似违法行为造成不良影响的，视情节轻重</w:t>
      </w:r>
      <w:r>
        <w:rPr>
          <w:rFonts w:hint="eastAsia" w:ascii="宋体" w:hAnsi="宋体"/>
          <w:color w:val="auto"/>
          <w:szCs w:val="21"/>
          <w:highlight w:val="none"/>
          <w:lang w:val="en-US" w:eastAsia="zh-CN"/>
        </w:rPr>
        <w:t>甲方</w:t>
      </w:r>
      <w:r>
        <w:rPr>
          <w:rFonts w:hint="eastAsia" w:ascii="宋体" w:hAnsi="宋体"/>
          <w:color w:val="auto"/>
          <w:szCs w:val="21"/>
          <w:highlight w:val="none"/>
        </w:rPr>
        <w:t>有权给予扣款或单方解除合同，解除合同的将扣除全部履约保证金</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给甲方额外造成损失的，乙方还应承担全部赔偿责任，赔偿范围包括但不限于直接损失、间接损失、律师费、诉讼费等费用</w:t>
      </w:r>
      <w:r>
        <w:rPr>
          <w:rFonts w:hint="eastAsia" w:ascii="宋体" w:hAnsi="宋体"/>
          <w:color w:val="auto"/>
          <w:szCs w:val="21"/>
          <w:highlight w:val="none"/>
        </w:rPr>
        <w:t>。</w:t>
      </w:r>
    </w:p>
    <w:p>
      <w:pPr>
        <w:keepNext w:val="0"/>
        <w:keepLines w:val="0"/>
        <w:pageBreakBefore w:val="0"/>
        <w:widowControl w:val="0"/>
        <w:kinsoku/>
        <w:wordWrap/>
        <w:overflowPunct/>
        <w:topLinePunct w:val="0"/>
        <w:autoSpaceDE/>
        <w:autoSpaceDN/>
        <w:bidi w:val="0"/>
        <w:adjustRightInd/>
        <w:snapToGrid w:val="0"/>
        <w:spacing w:after="0" w:line="360" w:lineRule="auto"/>
        <w:ind w:left="0" w:leftChars="0" w:firstLine="420" w:firstLineChars="200"/>
        <w:textAlignment w:val="auto"/>
        <w:rPr>
          <w:rFonts w:hint="default" w:eastAsia="宋体"/>
          <w:color w:val="auto"/>
          <w:highlight w:val="none"/>
          <w:lang w:val="en-US" w:eastAsia="zh-CN"/>
        </w:rPr>
      </w:pPr>
      <w:r>
        <w:rPr>
          <w:rFonts w:hint="eastAsia" w:ascii="宋体" w:hAnsi="宋体"/>
          <w:color w:val="auto"/>
          <w:szCs w:val="21"/>
          <w:highlight w:val="none"/>
        </w:rPr>
        <w:t>11.</w:t>
      </w:r>
      <w:r>
        <w:rPr>
          <w:rFonts w:hint="eastAsia" w:ascii="宋体" w:hAnsi="宋体"/>
          <w:color w:val="auto"/>
          <w:szCs w:val="21"/>
          <w:highlight w:val="none"/>
          <w:lang w:val="en-US" w:eastAsia="zh-CN"/>
        </w:rPr>
        <w:t>7</w:t>
      </w:r>
      <w:r>
        <w:rPr>
          <w:rFonts w:hint="eastAsia" w:hAnsi="宋体"/>
          <w:color w:val="auto"/>
          <w:szCs w:val="21"/>
          <w:highlight w:val="none"/>
          <w:lang w:val="en-US" w:eastAsia="zh-CN"/>
        </w:rPr>
        <w:t>乙方拒不执行甲方的养护任务要求，甲方有权解除合同，并扣除全部履约保证金，</w:t>
      </w:r>
      <w:r>
        <w:rPr>
          <w:rFonts w:hint="eastAsia" w:ascii="宋体" w:hAnsi="宋体"/>
          <w:color w:val="auto"/>
          <w:szCs w:val="21"/>
          <w:highlight w:val="none"/>
          <w:lang w:val="en-US" w:eastAsia="zh-CN"/>
        </w:rPr>
        <w:t>给甲方额外造成损失的，乙方还应承担全部赔偿责任，赔偿范围包括但不限于直接损失、间接损失、律师费、诉讼费等费用</w:t>
      </w:r>
      <w:r>
        <w:rPr>
          <w:rFonts w:hint="eastAsia" w:hAnsi="宋体"/>
          <w:color w:val="auto"/>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11.</w:t>
      </w:r>
      <w:r>
        <w:rPr>
          <w:rFonts w:hint="eastAsia" w:ascii="宋体" w:hAnsi="宋体"/>
          <w:color w:val="auto"/>
          <w:szCs w:val="21"/>
          <w:highlight w:val="none"/>
          <w:lang w:val="en-US" w:eastAsia="zh-CN"/>
        </w:rPr>
        <w:t>8</w:t>
      </w:r>
      <w:r>
        <w:rPr>
          <w:rFonts w:hint="eastAsia" w:ascii="宋体" w:hAnsi="宋体"/>
          <w:color w:val="auto"/>
          <w:szCs w:val="21"/>
          <w:highlight w:val="none"/>
        </w:rPr>
        <w:t>出现转包</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分包</w:t>
      </w:r>
      <w:r>
        <w:rPr>
          <w:rFonts w:hint="eastAsia" w:ascii="宋体" w:hAnsi="宋体"/>
          <w:color w:val="auto"/>
          <w:szCs w:val="21"/>
          <w:highlight w:val="none"/>
        </w:rPr>
        <w:t>或挂靠现象的，甲方</w:t>
      </w:r>
      <w:r>
        <w:rPr>
          <w:rFonts w:hint="eastAsia" w:ascii="宋体" w:hAnsi="宋体"/>
          <w:color w:val="auto"/>
          <w:szCs w:val="21"/>
          <w:highlight w:val="none"/>
          <w:lang w:val="en-US" w:eastAsia="zh-CN"/>
        </w:rPr>
        <w:t>有权</w:t>
      </w:r>
      <w:r>
        <w:rPr>
          <w:rFonts w:hint="eastAsia" w:ascii="宋体" w:hAnsi="宋体"/>
          <w:color w:val="auto"/>
          <w:szCs w:val="21"/>
          <w:highlight w:val="none"/>
        </w:rPr>
        <w:t>单方解除合同、扣除全部履约保证金，</w:t>
      </w:r>
      <w:r>
        <w:rPr>
          <w:rFonts w:hint="eastAsia" w:ascii="宋体" w:hAnsi="宋体"/>
          <w:color w:val="auto"/>
          <w:szCs w:val="21"/>
          <w:highlight w:val="none"/>
          <w:lang w:val="en-US" w:eastAsia="zh-CN"/>
        </w:rPr>
        <w:t>给甲方额外造成损失的，乙方还应承担全部赔偿责任，赔偿范围包括但不限于直接损失、间接损失、律师费、诉讼费等费用</w:t>
      </w:r>
      <w:r>
        <w:rPr>
          <w:rFonts w:hint="eastAsia" w:ascii="宋体" w:hAnsi="宋体"/>
          <w:color w:val="auto"/>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11.9合同因任何原因终止、解除时乙方应在甲方指定时间内移交相关材料、设备并撤离，未在指定时间内移交和撤离的，甲方有权委托其他单位执行，由此产生的费用从乙方养护经费中扣除。</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宋体" w:hAnsi="宋体"/>
          <w:color w:val="auto"/>
          <w:szCs w:val="21"/>
          <w:highlight w:val="none"/>
          <w:lang w:val="en-US" w:eastAsia="zh-CN"/>
        </w:rPr>
      </w:pPr>
      <w:r>
        <w:rPr>
          <w:rFonts w:hint="eastAsia" w:ascii="宋体" w:hAnsi="宋体"/>
          <w:b/>
          <w:bCs/>
          <w:color w:val="auto"/>
          <w:szCs w:val="21"/>
          <w:highlight w:val="none"/>
          <w:u w:val="single"/>
          <w:lang w:val="en-US" w:eastAsia="zh-CN"/>
        </w:rPr>
        <w:t>注：条款11.2、11.3、11.4不叠加扣款，且年度考核条款累计扣款不超过该标段年度合同款的20%。</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Ansi="宋体"/>
          <w:b/>
          <w:color w:val="auto"/>
          <w:sz w:val="21"/>
          <w:szCs w:val="21"/>
          <w:highlight w:val="none"/>
        </w:rPr>
      </w:pPr>
      <w:r>
        <w:rPr>
          <w:rFonts w:hAnsi="宋体"/>
          <w:b/>
          <w:color w:val="auto"/>
          <w:sz w:val="21"/>
          <w:szCs w:val="21"/>
          <w:highlight w:val="none"/>
        </w:rPr>
        <w:t>十</w:t>
      </w:r>
      <w:r>
        <w:rPr>
          <w:rFonts w:hint="eastAsia" w:hAnsi="宋体"/>
          <w:b/>
          <w:color w:val="auto"/>
          <w:sz w:val="21"/>
          <w:szCs w:val="21"/>
          <w:highlight w:val="none"/>
        </w:rPr>
        <w:t>二</w:t>
      </w:r>
      <w:r>
        <w:rPr>
          <w:rFonts w:hAnsi="宋体"/>
          <w:b/>
          <w:color w:val="auto"/>
          <w:sz w:val="21"/>
          <w:szCs w:val="21"/>
          <w:highlight w:val="none"/>
        </w:rPr>
        <w:t>、调试和验收</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420" w:firstLineChars="200"/>
        <w:textAlignment w:val="auto"/>
        <w:rPr>
          <w:rFonts w:hAnsi="宋体"/>
          <w:color w:val="auto"/>
          <w:sz w:val="21"/>
          <w:szCs w:val="21"/>
          <w:highlight w:val="none"/>
        </w:rPr>
      </w:pPr>
      <w:r>
        <w:rPr>
          <w:rFonts w:hAnsi="宋体"/>
          <w:color w:val="auto"/>
          <w:sz w:val="21"/>
          <w:szCs w:val="21"/>
          <w:highlight w:val="none"/>
        </w:rPr>
        <w:t>1</w:t>
      </w:r>
      <w:r>
        <w:rPr>
          <w:rFonts w:hint="eastAsia" w:hAnsi="宋体"/>
          <w:color w:val="auto"/>
          <w:sz w:val="21"/>
          <w:szCs w:val="21"/>
          <w:highlight w:val="none"/>
        </w:rPr>
        <w:t>2</w:t>
      </w:r>
      <w:r>
        <w:rPr>
          <w:rFonts w:hAnsi="宋体"/>
          <w:color w:val="auto"/>
          <w:sz w:val="21"/>
          <w:szCs w:val="21"/>
          <w:highlight w:val="none"/>
        </w:rPr>
        <w:t>.1 甲方</w:t>
      </w:r>
      <w:r>
        <w:rPr>
          <w:rFonts w:hint="eastAsia" w:hAnsi="宋体"/>
          <w:color w:val="auto"/>
          <w:sz w:val="21"/>
          <w:szCs w:val="21"/>
          <w:highlight w:val="none"/>
        </w:rPr>
        <w:t>须在</w:t>
      </w:r>
      <w:r>
        <w:rPr>
          <w:rFonts w:hAnsi="宋体"/>
          <w:color w:val="auto"/>
          <w:sz w:val="21"/>
          <w:szCs w:val="21"/>
          <w:highlight w:val="none"/>
        </w:rPr>
        <w:t>乙方</w:t>
      </w:r>
      <w:r>
        <w:rPr>
          <w:rFonts w:hint="eastAsia" w:hAnsi="宋体"/>
          <w:color w:val="auto"/>
          <w:sz w:val="21"/>
          <w:szCs w:val="21"/>
          <w:highlight w:val="none"/>
        </w:rPr>
        <w:t>报请设备安装调试验收的五个工作日内，</w:t>
      </w:r>
      <w:r>
        <w:rPr>
          <w:rFonts w:hAnsi="宋体"/>
          <w:color w:val="auto"/>
          <w:sz w:val="21"/>
          <w:szCs w:val="21"/>
          <w:highlight w:val="none"/>
        </w:rPr>
        <w:t>依据</w:t>
      </w:r>
      <w:r>
        <w:rPr>
          <w:rFonts w:hint="eastAsia" w:hAnsi="宋体"/>
          <w:color w:val="auto"/>
          <w:sz w:val="21"/>
          <w:szCs w:val="21"/>
          <w:highlight w:val="none"/>
        </w:rPr>
        <w:t>乙方投标</w:t>
      </w:r>
      <w:r>
        <w:rPr>
          <w:rFonts w:hAnsi="宋体"/>
          <w:color w:val="auto"/>
          <w:sz w:val="21"/>
          <w:szCs w:val="21"/>
          <w:highlight w:val="none"/>
        </w:rPr>
        <w:t>文件上</w:t>
      </w:r>
      <w:r>
        <w:rPr>
          <w:rFonts w:hint="eastAsia" w:hAnsi="宋体"/>
          <w:color w:val="auto"/>
          <w:sz w:val="21"/>
          <w:szCs w:val="21"/>
          <w:highlight w:val="none"/>
        </w:rPr>
        <w:t>明确的设备</w:t>
      </w:r>
      <w:r>
        <w:rPr>
          <w:rFonts w:hAnsi="宋体"/>
          <w:color w:val="auto"/>
          <w:sz w:val="21"/>
          <w:szCs w:val="21"/>
          <w:highlight w:val="none"/>
        </w:rPr>
        <w:t>技术规格要求和国家有关质量标准进行现场验收。</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left="420"/>
        <w:textAlignment w:val="auto"/>
        <w:rPr>
          <w:rFonts w:hAnsi="宋体"/>
          <w:color w:val="auto"/>
          <w:sz w:val="21"/>
          <w:szCs w:val="21"/>
          <w:highlight w:val="none"/>
        </w:rPr>
      </w:pPr>
      <w:r>
        <w:rPr>
          <w:rFonts w:hAnsi="宋体"/>
          <w:color w:val="auto"/>
          <w:sz w:val="21"/>
          <w:szCs w:val="21"/>
          <w:highlight w:val="none"/>
        </w:rPr>
        <w:t>1</w:t>
      </w:r>
      <w:r>
        <w:rPr>
          <w:rFonts w:hint="eastAsia" w:hAnsi="宋体"/>
          <w:color w:val="auto"/>
          <w:sz w:val="21"/>
          <w:szCs w:val="21"/>
          <w:highlight w:val="none"/>
        </w:rPr>
        <w:t>2</w:t>
      </w:r>
      <w:r>
        <w:rPr>
          <w:rFonts w:hAnsi="宋体"/>
          <w:color w:val="auto"/>
          <w:sz w:val="21"/>
          <w:szCs w:val="21"/>
          <w:highlight w:val="none"/>
        </w:rPr>
        <w:t>.2</w:t>
      </w:r>
      <w:r>
        <w:rPr>
          <w:rFonts w:hint="eastAsia" w:hAnsi="宋体"/>
          <w:color w:val="auto"/>
          <w:sz w:val="21"/>
          <w:szCs w:val="21"/>
          <w:highlight w:val="none"/>
        </w:rPr>
        <w:t xml:space="preserve"> </w:t>
      </w:r>
      <w:r>
        <w:rPr>
          <w:rFonts w:hAnsi="宋体"/>
          <w:color w:val="auto"/>
          <w:sz w:val="21"/>
          <w:szCs w:val="21"/>
          <w:highlight w:val="none"/>
        </w:rPr>
        <w:t>验收时乙方必须在现场，验收完毕后作出验收结果报告；验收</w:t>
      </w:r>
      <w:r>
        <w:rPr>
          <w:rFonts w:hint="eastAsia" w:hAnsi="宋体"/>
          <w:color w:val="auto"/>
          <w:sz w:val="21"/>
          <w:szCs w:val="21"/>
          <w:highlight w:val="none"/>
        </w:rPr>
        <w:t>相关</w:t>
      </w:r>
      <w:r>
        <w:rPr>
          <w:rFonts w:hAnsi="宋体"/>
          <w:color w:val="auto"/>
          <w:sz w:val="21"/>
          <w:szCs w:val="21"/>
          <w:highlight w:val="none"/>
        </w:rPr>
        <w:t>费用由乙方负</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Ansi="宋体"/>
          <w:color w:val="auto"/>
          <w:sz w:val="21"/>
          <w:szCs w:val="21"/>
          <w:highlight w:val="none"/>
        </w:rPr>
      </w:pPr>
      <w:r>
        <w:rPr>
          <w:rFonts w:hAnsi="宋体"/>
          <w:color w:val="auto"/>
          <w:sz w:val="21"/>
          <w:szCs w:val="21"/>
          <w:highlight w:val="none"/>
        </w:rPr>
        <w:t>责。</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Ansi="宋体"/>
          <w:b/>
          <w:color w:val="auto"/>
          <w:sz w:val="21"/>
          <w:szCs w:val="21"/>
          <w:highlight w:val="none"/>
        </w:rPr>
      </w:pPr>
      <w:r>
        <w:rPr>
          <w:rFonts w:hAnsi="宋体"/>
          <w:b/>
          <w:color w:val="auto"/>
          <w:sz w:val="21"/>
          <w:szCs w:val="21"/>
          <w:highlight w:val="none"/>
        </w:rPr>
        <w:t>十</w:t>
      </w:r>
      <w:r>
        <w:rPr>
          <w:rFonts w:hint="eastAsia" w:hAnsi="宋体"/>
          <w:b/>
          <w:color w:val="auto"/>
          <w:sz w:val="21"/>
          <w:szCs w:val="21"/>
          <w:highlight w:val="none"/>
        </w:rPr>
        <w:t>三</w:t>
      </w:r>
      <w:r>
        <w:rPr>
          <w:rFonts w:hAnsi="宋体"/>
          <w:b/>
          <w:color w:val="auto"/>
          <w:sz w:val="21"/>
          <w:szCs w:val="21"/>
          <w:highlight w:val="none"/>
        </w:rPr>
        <w:t>、不可抗力事件处理</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left="420"/>
        <w:textAlignment w:val="auto"/>
        <w:rPr>
          <w:rFonts w:hAnsi="宋体"/>
          <w:color w:val="auto"/>
          <w:sz w:val="21"/>
          <w:szCs w:val="21"/>
          <w:highlight w:val="none"/>
        </w:rPr>
      </w:pPr>
      <w:r>
        <w:rPr>
          <w:rFonts w:hint="eastAsia" w:hAnsi="宋体"/>
          <w:color w:val="auto"/>
          <w:sz w:val="21"/>
          <w:szCs w:val="21"/>
          <w:highlight w:val="none"/>
        </w:rPr>
        <w:t>13</w:t>
      </w:r>
      <w:r>
        <w:rPr>
          <w:rFonts w:hAnsi="宋体"/>
          <w:color w:val="auto"/>
          <w:sz w:val="21"/>
          <w:szCs w:val="21"/>
          <w:highlight w:val="none"/>
        </w:rPr>
        <w:t xml:space="preserve">.1 </w:t>
      </w:r>
      <w:r>
        <w:rPr>
          <w:rFonts w:hint="eastAsia" w:hAnsi="宋体"/>
          <w:color w:val="auto"/>
          <w:sz w:val="21"/>
          <w:szCs w:val="21"/>
          <w:highlight w:val="none"/>
        </w:rPr>
        <w:t>双方关于不可抗力的约定：仅指战争、地震</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疫情</w:t>
      </w:r>
      <w:r>
        <w:rPr>
          <w:rFonts w:hint="eastAsia" w:hAnsi="宋体"/>
          <w:color w:val="auto"/>
          <w:sz w:val="21"/>
          <w:szCs w:val="21"/>
          <w:highlight w:val="none"/>
        </w:rPr>
        <w:t>及重大自然灾害。</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left="420"/>
        <w:textAlignment w:val="auto"/>
        <w:rPr>
          <w:rFonts w:hAnsi="宋体"/>
          <w:color w:val="auto"/>
          <w:sz w:val="21"/>
          <w:szCs w:val="21"/>
          <w:highlight w:val="none"/>
        </w:rPr>
      </w:pPr>
      <w:r>
        <w:rPr>
          <w:rFonts w:hint="eastAsia" w:hAnsi="宋体"/>
          <w:color w:val="auto"/>
          <w:sz w:val="21"/>
          <w:szCs w:val="21"/>
          <w:highlight w:val="none"/>
        </w:rPr>
        <w:t>13.2 在合同有效期内，任何一方因不可抗力事件导致不能履行合同，则合同履行期可</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Ansi="宋体"/>
          <w:color w:val="auto"/>
          <w:sz w:val="21"/>
          <w:szCs w:val="21"/>
          <w:highlight w:val="none"/>
        </w:rPr>
      </w:pPr>
      <w:r>
        <w:rPr>
          <w:rFonts w:hint="eastAsia" w:hAnsi="宋体"/>
          <w:color w:val="auto"/>
          <w:sz w:val="21"/>
          <w:szCs w:val="21"/>
          <w:highlight w:val="none"/>
        </w:rPr>
        <w:t>延长，其延长期与不可抗力影响期相同。</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left="420"/>
        <w:textAlignment w:val="auto"/>
        <w:rPr>
          <w:rFonts w:hAnsi="宋体"/>
          <w:color w:val="auto"/>
          <w:sz w:val="21"/>
          <w:szCs w:val="21"/>
          <w:highlight w:val="none"/>
        </w:rPr>
      </w:pPr>
      <w:r>
        <w:rPr>
          <w:rFonts w:hint="eastAsia" w:hAnsi="宋体"/>
          <w:color w:val="auto"/>
          <w:sz w:val="21"/>
          <w:szCs w:val="21"/>
          <w:highlight w:val="none"/>
        </w:rPr>
        <w:t>13.3 不可抗力事件发生后，应立即通知对方，并寄送有关权威机构出具的证明。</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left="420"/>
        <w:textAlignment w:val="auto"/>
        <w:rPr>
          <w:rFonts w:hAnsi="宋体"/>
          <w:color w:val="auto"/>
          <w:sz w:val="21"/>
          <w:szCs w:val="21"/>
          <w:highlight w:val="none"/>
        </w:rPr>
      </w:pPr>
      <w:r>
        <w:rPr>
          <w:rFonts w:hint="eastAsia" w:hAnsi="宋体"/>
          <w:color w:val="auto"/>
          <w:sz w:val="21"/>
          <w:szCs w:val="21"/>
          <w:highlight w:val="none"/>
        </w:rPr>
        <w:t>13.4 不可抗力</w:t>
      </w:r>
      <w:r>
        <w:rPr>
          <w:rFonts w:hAnsi="宋体"/>
          <w:color w:val="auto"/>
          <w:sz w:val="21"/>
          <w:szCs w:val="21"/>
          <w:highlight w:val="none"/>
        </w:rPr>
        <w:t>事件延续120天以上，双方应通过友好协商，确定是否继续履行合同。</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Ansi="宋体"/>
          <w:b/>
          <w:color w:val="auto"/>
          <w:sz w:val="21"/>
          <w:szCs w:val="21"/>
          <w:highlight w:val="none"/>
        </w:rPr>
      </w:pPr>
      <w:r>
        <w:rPr>
          <w:rFonts w:hAnsi="宋体"/>
          <w:b/>
          <w:color w:val="auto"/>
          <w:sz w:val="21"/>
          <w:szCs w:val="21"/>
          <w:highlight w:val="none"/>
        </w:rPr>
        <w:t>十</w:t>
      </w:r>
      <w:r>
        <w:rPr>
          <w:rFonts w:hint="eastAsia" w:hAnsi="宋体"/>
          <w:b/>
          <w:color w:val="auto"/>
          <w:sz w:val="21"/>
          <w:szCs w:val="21"/>
          <w:highlight w:val="none"/>
        </w:rPr>
        <w:t>四</w:t>
      </w:r>
      <w:r>
        <w:rPr>
          <w:rFonts w:hAnsi="宋体"/>
          <w:b/>
          <w:color w:val="auto"/>
          <w:sz w:val="21"/>
          <w:szCs w:val="21"/>
          <w:highlight w:val="none"/>
        </w:rPr>
        <w:t>、合同生效及其它</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left="420"/>
        <w:textAlignment w:val="auto"/>
        <w:rPr>
          <w:rFonts w:hAnsi="宋体"/>
          <w:color w:val="auto"/>
          <w:sz w:val="21"/>
          <w:szCs w:val="21"/>
          <w:highlight w:val="none"/>
        </w:rPr>
      </w:pPr>
      <w:r>
        <w:rPr>
          <w:rFonts w:hint="eastAsia" w:hAnsi="宋体"/>
          <w:color w:val="auto"/>
          <w:sz w:val="21"/>
          <w:szCs w:val="21"/>
          <w:highlight w:val="none"/>
        </w:rPr>
        <w:t>14.1 合同经双方法定代表人及经办人签字并加盖单位公章后生效。水质维护期满，双</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Ansi="宋体"/>
          <w:color w:val="auto"/>
          <w:sz w:val="21"/>
          <w:szCs w:val="21"/>
          <w:highlight w:val="none"/>
        </w:rPr>
      </w:pPr>
      <w:r>
        <w:rPr>
          <w:rFonts w:hint="eastAsia" w:hAnsi="宋体"/>
          <w:color w:val="auto"/>
          <w:sz w:val="21"/>
          <w:szCs w:val="21"/>
          <w:highlight w:val="none"/>
        </w:rPr>
        <w:t>方履行合同全部义务，合同价款支付完毕，且完成相关移交工作，本合同即告终止。</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left="420"/>
        <w:textAlignment w:val="auto"/>
        <w:rPr>
          <w:rFonts w:hAnsi="宋体"/>
          <w:color w:val="auto"/>
          <w:sz w:val="21"/>
          <w:szCs w:val="21"/>
          <w:highlight w:val="none"/>
        </w:rPr>
      </w:pPr>
      <w:r>
        <w:rPr>
          <w:rFonts w:hint="eastAsia" w:hAnsi="宋体"/>
          <w:color w:val="auto"/>
          <w:sz w:val="21"/>
          <w:szCs w:val="21"/>
          <w:highlight w:val="none"/>
        </w:rPr>
        <w:t>14.2  项目招标文件，投标文件和投标承诺及《鄞州城区内河水质日常养护项目考核办</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Ansi="宋体"/>
          <w:color w:val="auto"/>
          <w:sz w:val="21"/>
          <w:szCs w:val="21"/>
          <w:highlight w:val="none"/>
        </w:rPr>
      </w:pPr>
      <w:r>
        <w:rPr>
          <w:rFonts w:hint="eastAsia" w:hAnsi="宋体"/>
          <w:color w:val="auto"/>
          <w:sz w:val="21"/>
          <w:szCs w:val="21"/>
          <w:highlight w:val="none"/>
        </w:rPr>
        <w:t>法》视为本合同的组成部分。</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left="420"/>
        <w:textAlignment w:val="auto"/>
        <w:rPr>
          <w:rFonts w:hAnsi="宋体"/>
          <w:color w:val="auto"/>
          <w:sz w:val="21"/>
          <w:szCs w:val="21"/>
          <w:highlight w:val="none"/>
        </w:rPr>
      </w:pPr>
      <w:r>
        <w:rPr>
          <w:rFonts w:hint="eastAsia" w:hAnsi="宋体"/>
          <w:color w:val="auto"/>
          <w:sz w:val="21"/>
          <w:szCs w:val="21"/>
          <w:highlight w:val="none"/>
        </w:rPr>
        <w:t>14.3合同执行中涉及采购资金和采购内容修改或补充的，须经区财政部门审批，并签</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Ansi="宋体"/>
          <w:color w:val="auto"/>
          <w:sz w:val="21"/>
          <w:szCs w:val="21"/>
          <w:highlight w:val="none"/>
        </w:rPr>
      </w:pPr>
      <w:r>
        <w:rPr>
          <w:rFonts w:hint="eastAsia" w:hAnsi="宋体"/>
          <w:color w:val="auto"/>
          <w:sz w:val="21"/>
          <w:szCs w:val="21"/>
          <w:highlight w:val="none"/>
        </w:rPr>
        <w:t>书面补充协议报鄞州区政府采购监督管理部门备案，方可作为主合同不可分割的一部分。</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left="420"/>
        <w:textAlignment w:val="auto"/>
        <w:rPr>
          <w:rFonts w:hAnsi="宋体"/>
          <w:color w:val="auto"/>
          <w:sz w:val="21"/>
          <w:szCs w:val="21"/>
          <w:highlight w:val="none"/>
        </w:rPr>
      </w:pPr>
      <w:r>
        <w:rPr>
          <w:rFonts w:hint="eastAsia" w:hAnsi="宋体"/>
          <w:color w:val="auto"/>
          <w:sz w:val="21"/>
          <w:szCs w:val="21"/>
          <w:highlight w:val="none"/>
        </w:rPr>
        <w:t>14.4本合同未尽事宜，遵照《合同法》有关条文执行。</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left="420"/>
        <w:textAlignment w:val="auto"/>
        <w:rPr>
          <w:rFonts w:ascii="Times New Roman" w:hAnsi="宋体"/>
          <w:color w:val="auto"/>
          <w:sz w:val="21"/>
          <w:szCs w:val="21"/>
          <w:highlight w:val="none"/>
        </w:rPr>
      </w:pPr>
      <w:r>
        <w:rPr>
          <w:rFonts w:hint="eastAsia" w:hAnsi="宋体"/>
          <w:color w:val="auto"/>
          <w:sz w:val="21"/>
          <w:szCs w:val="21"/>
          <w:highlight w:val="none"/>
        </w:rPr>
        <w:t>14.5本合同正本</w:t>
      </w:r>
      <w:r>
        <w:rPr>
          <w:rFonts w:ascii="Times New Roman" w:hAnsi="宋体"/>
          <w:color w:val="auto"/>
          <w:sz w:val="21"/>
          <w:szCs w:val="21"/>
          <w:highlight w:val="none"/>
        </w:rPr>
        <w:t>一式</w:t>
      </w:r>
      <w:r>
        <w:rPr>
          <w:rFonts w:hint="eastAsia" w:ascii="Times New Roman" w:hAnsi="宋体"/>
          <w:color w:val="auto"/>
          <w:sz w:val="21"/>
          <w:szCs w:val="21"/>
          <w:highlight w:val="none"/>
        </w:rPr>
        <w:t>六</w:t>
      </w:r>
      <w:r>
        <w:rPr>
          <w:rFonts w:ascii="Times New Roman" w:hAnsi="宋体"/>
          <w:color w:val="auto"/>
          <w:sz w:val="21"/>
          <w:szCs w:val="21"/>
          <w:highlight w:val="none"/>
        </w:rPr>
        <w:t>份，具有同等法律效力，甲乙双方各执</w:t>
      </w:r>
      <w:r>
        <w:rPr>
          <w:rFonts w:hint="eastAsia" w:ascii="Times New Roman" w:hAnsi="宋体"/>
          <w:color w:val="auto"/>
          <w:sz w:val="21"/>
          <w:szCs w:val="21"/>
          <w:highlight w:val="none"/>
        </w:rPr>
        <w:t>三</w:t>
      </w:r>
      <w:r>
        <w:rPr>
          <w:rFonts w:ascii="Times New Roman" w:hAnsi="宋体"/>
          <w:color w:val="auto"/>
          <w:sz w:val="21"/>
          <w:szCs w:val="21"/>
          <w:highlight w:val="none"/>
        </w:rPr>
        <w:t>份；副本</w:t>
      </w:r>
      <w:r>
        <w:rPr>
          <w:rFonts w:ascii="Times New Roman" w:hAnsi="Times New Roman"/>
          <w:b/>
          <w:color w:val="auto"/>
          <w:sz w:val="21"/>
          <w:szCs w:val="21"/>
          <w:highlight w:val="none"/>
          <w:u w:val="single"/>
        </w:rPr>
        <w:t xml:space="preserve">   </w:t>
      </w:r>
      <w:r>
        <w:rPr>
          <w:rFonts w:ascii="Times New Roman" w:hAnsi="宋体"/>
          <w:color w:val="auto"/>
          <w:sz w:val="21"/>
          <w:szCs w:val="21"/>
          <w:highlight w:val="none"/>
        </w:rPr>
        <w:t>份，其中</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Ansi="宋体"/>
          <w:color w:val="auto"/>
          <w:sz w:val="21"/>
          <w:szCs w:val="21"/>
          <w:highlight w:val="none"/>
        </w:rPr>
      </w:pPr>
      <w:r>
        <w:rPr>
          <w:rFonts w:hint="eastAsia" w:ascii="Times New Roman" w:hAnsi="宋体"/>
          <w:color w:val="auto"/>
          <w:sz w:val="21"/>
          <w:szCs w:val="21"/>
          <w:highlight w:val="none"/>
        </w:rPr>
        <w:t>两</w:t>
      </w:r>
      <w:r>
        <w:rPr>
          <w:rFonts w:ascii="Times New Roman" w:hAnsi="宋体"/>
          <w:color w:val="auto"/>
          <w:sz w:val="21"/>
          <w:szCs w:val="21"/>
          <w:highlight w:val="none"/>
        </w:rPr>
        <w:t>份提供给</w:t>
      </w:r>
      <w:r>
        <w:rPr>
          <w:rFonts w:hint="eastAsia" w:ascii="Times New Roman" w:hAnsi="宋体"/>
          <w:color w:val="auto"/>
          <w:sz w:val="21"/>
          <w:szCs w:val="21"/>
          <w:highlight w:val="none"/>
          <w:u w:val="single"/>
        </w:rPr>
        <w:t>浙江绿邦招标代理</w:t>
      </w:r>
      <w:r>
        <w:rPr>
          <w:rFonts w:ascii="Times New Roman" w:hAnsi="宋体"/>
          <w:color w:val="auto"/>
          <w:sz w:val="21"/>
          <w:szCs w:val="21"/>
          <w:highlight w:val="none"/>
          <w:u w:val="single"/>
        </w:rPr>
        <w:t>有限公司</w:t>
      </w:r>
      <w:r>
        <w:rPr>
          <w:rFonts w:hint="eastAsia" w:ascii="Times New Roman" w:hAnsi="宋体"/>
          <w:color w:val="auto"/>
          <w:sz w:val="21"/>
          <w:szCs w:val="21"/>
          <w:highlight w:val="none"/>
        </w:rPr>
        <w:t>和</w:t>
      </w:r>
      <w:r>
        <w:rPr>
          <w:rFonts w:ascii="Times New Roman" w:hAnsi="宋体"/>
          <w:color w:val="auto"/>
          <w:sz w:val="21"/>
          <w:szCs w:val="21"/>
          <w:highlight w:val="none"/>
          <w:u w:val="single"/>
        </w:rPr>
        <w:t>鄞州区政府采购管理办公室</w:t>
      </w:r>
      <w:r>
        <w:rPr>
          <w:rFonts w:ascii="Times New Roman" w:hAnsi="宋体"/>
          <w:color w:val="auto"/>
          <w:sz w:val="21"/>
          <w:szCs w:val="21"/>
          <w:highlight w:val="none"/>
        </w:rPr>
        <w:t>政府采购项目备案用。</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left="420" w:hanging="420" w:hangingChars="200"/>
        <w:textAlignment w:val="auto"/>
        <w:rPr>
          <w:rFonts w:hAnsi="宋体"/>
          <w:color w:val="auto"/>
          <w:sz w:val="21"/>
          <w:szCs w:val="21"/>
          <w:highlight w:val="none"/>
        </w:rPr>
      </w:pPr>
      <w:r>
        <w:rPr>
          <w:rFonts w:hAnsi="宋体"/>
          <w:color w:val="auto"/>
          <w:sz w:val="21"/>
          <w:szCs w:val="21"/>
          <w:highlight w:val="none"/>
        </w:rPr>
        <w:t xml:space="preserve"> </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left="420" w:hanging="420" w:hangingChars="200"/>
        <w:textAlignment w:val="auto"/>
        <w:rPr>
          <w:rFonts w:hAnsi="宋体"/>
          <w:color w:val="auto"/>
          <w:sz w:val="21"/>
          <w:szCs w:val="21"/>
          <w:highlight w:val="none"/>
        </w:rPr>
      </w:pP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left="420" w:leftChars="100" w:hanging="210" w:hangingChars="100"/>
        <w:textAlignment w:val="auto"/>
        <w:rPr>
          <w:rFonts w:hAnsi="宋体"/>
          <w:color w:val="auto"/>
          <w:sz w:val="21"/>
          <w:szCs w:val="21"/>
          <w:highlight w:val="none"/>
        </w:rPr>
      </w:pPr>
      <w:r>
        <w:rPr>
          <w:rFonts w:hAnsi="宋体"/>
          <w:color w:val="auto"/>
          <w:sz w:val="21"/>
          <w:szCs w:val="21"/>
          <w:highlight w:val="none"/>
        </w:rPr>
        <w:t xml:space="preserve">甲方：                                   乙方： </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Ansi="宋体"/>
          <w:color w:val="auto"/>
          <w:sz w:val="21"/>
          <w:szCs w:val="21"/>
          <w:highlight w:val="none"/>
        </w:rPr>
      </w:pPr>
      <w:r>
        <w:rPr>
          <w:rFonts w:hAnsi="宋体"/>
          <w:color w:val="auto"/>
          <w:sz w:val="21"/>
          <w:szCs w:val="21"/>
          <w:highlight w:val="none"/>
        </w:rPr>
        <w:t xml:space="preserve">  地址：                                   地址： </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Ansi="宋体"/>
          <w:color w:val="auto"/>
          <w:sz w:val="21"/>
          <w:szCs w:val="21"/>
          <w:highlight w:val="none"/>
        </w:rPr>
      </w:pPr>
      <w:r>
        <w:rPr>
          <w:rFonts w:hAnsi="宋体"/>
          <w:color w:val="auto"/>
          <w:sz w:val="21"/>
          <w:szCs w:val="21"/>
          <w:highlight w:val="none"/>
        </w:rPr>
        <w:t xml:space="preserve">  法定代表人：                             法定代表人：</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int="eastAsia" w:hAnsi="宋体"/>
          <w:color w:val="auto"/>
          <w:sz w:val="21"/>
          <w:szCs w:val="21"/>
          <w:highlight w:val="none"/>
        </w:rPr>
      </w:pPr>
      <w:r>
        <w:rPr>
          <w:rFonts w:hint="eastAsia" w:hAnsi="宋体"/>
          <w:color w:val="auto"/>
          <w:sz w:val="21"/>
          <w:szCs w:val="21"/>
          <w:highlight w:val="none"/>
        </w:rPr>
        <w:t xml:space="preserve">  经办人：</w:t>
      </w:r>
      <w:r>
        <w:rPr>
          <w:rFonts w:hint="eastAsia" w:hAnsi="宋体"/>
          <w:color w:val="auto"/>
          <w:sz w:val="21"/>
          <w:szCs w:val="21"/>
          <w:highlight w:val="none"/>
          <w:lang w:val="en-US" w:eastAsia="zh-CN"/>
        </w:rPr>
        <w:t xml:space="preserve">                                 </w:t>
      </w:r>
      <w:r>
        <w:rPr>
          <w:rFonts w:hint="eastAsia" w:hAnsi="宋体"/>
          <w:color w:val="auto"/>
          <w:sz w:val="21"/>
          <w:szCs w:val="21"/>
          <w:highlight w:val="none"/>
        </w:rPr>
        <w:t>经办人：</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ind w:firstLine="210" w:firstLineChars="100"/>
        <w:textAlignment w:val="auto"/>
        <w:rPr>
          <w:rFonts w:hAnsi="宋体"/>
          <w:color w:val="auto"/>
          <w:sz w:val="21"/>
          <w:szCs w:val="21"/>
          <w:highlight w:val="none"/>
        </w:rPr>
      </w:pPr>
      <w:r>
        <w:rPr>
          <w:rFonts w:hint="eastAsia" w:hAnsi="宋体"/>
          <w:color w:val="auto"/>
          <w:sz w:val="21"/>
          <w:szCs w:val="21"/>
          <w:highlight w:val="none"/>
          <w:lang w:val="en-US" w:eastAsia="zh-CN"/>
        </w:rPr>
        <w:t>联系电话：                               联系电话：</w:t>
      </w:r>
      <w:r>
        <w:rPr>
          <w:rFonts w:hint="eastAsia" w:hAnsi="宋体"/>
          <w:color w:val="auto"/>
          <w:sz w:val="21"/>
          <w:szCs w:val="21"/>
          <w:highlight w:val="none"/>
        </w:rPr>
        <w:t xml:space="preserve">                                 </w:t>
      </w:r>
    </w:p>
    <w:p>
      <w:pPr>
        <w:pStyle w:val="11"/>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ascii="Times New Roman" w:hAnsi="Times New Roman"/>
          <w:color w:val="auto"/>
          <w:sz w:val="21"/>
          <w:szCs w:val="21"/>
          <w:highlight w:val="none"/>
        </w:rPr>
      </w:pPr>
      <w:r>
        <w:rPr>
          <w:rFonts w:hAnsi="宋体"/>
          <w:color w:val="auto"/>
          <w:sz w:val="21"/>
          <w:szCs w:val="21"/>
          <w:highlight w:val="none"/>
        </w:rPr>
        <w:t xml:space="preserve"> </w:t>
      </w:r>
      <w:r>
        <w:rPr>
          <w:rFonts w:hint="eastAsia" w:hAnsi="宋体"/>
          <w:color w:val="auto"/>
          <w:sz w:val="21"/>
          <w:szCs w:val="21"/>
          <w:highlight w:val="none"/>
        </w:rPr>
        <w:t xml:space="preserve"> </w:t>
      </w:r>
      <w:r>
        <w:rPr>
          <w:rFonts w:hAnsi="宋体"/>
          <w:color w:val="auto"/>
          <w:sz w:val="21"/>
          <w:szCs w:val="21"/>
          <w:highlight w:val="none"/>
        </w:rPr>
        <w:t xml:space="preserve">签订地点：                   </w:t>
      </w:r>
      <w:r>
        <w:rPr>
          <w:rFonts w:hint="eastAsia" w:hAnsi="宋体"/>
          <w:color w:val="auto"/>
          <w:sz w:val="21"/>
          <w:szCs w:val="21"/>
          <w:highlight w:val="none"/>
        </w:rPr>
        <w:t xml:space="preserve">          </w:t>
      </w:r>
      <w:r>
        <w:rPr>
          <w:rFonts w:hAnsi="宋体"/>
          <w:color w:val="auto"/>
          <w:sz w:val="21"/>
          <w:szCs w:val="21"/>
          <w:highlight w:val="none"/>
        </w:rPr>
        <w:t xml:space="preserve">  签订日期：      年  </w:t>
      </w:r>
      <w:r>
        <w:rPr>
          <w:rFonts w:hint="eastAsia" w:hAnsi="宋体"/>
          <w:color w:val="auto"/>
          <w:sz w:val="21"/>
          <w:szCs w:val="21"/>
          <w:highlight w:val="none"/>
        </w:rPr>
        <w:t xml:space="preserve">  </w:t>
      </w:r>
      <w:r>
        <w:rPr>
          <w:rFonts w:hAnsi="宋体"/>
          <w:color w:val="auto"/>
          <w:sz w:val="21"/>
          <w:szCs w:val="21"/>
          <w:highlight w:val="none"/>
        </w:rPr>
        <w:t xml:space="preserve">月  </w:t>
      </w:r>
      <w:r>
        <w:rPr>
          <w:rFonts w:hint="eastAsia" w:hAnsi="宋体"/>
          <w:color w:val="auto"/>
          <w:sz w:val="21"/>
          <w:szCs w:val="21"/>
          <w:highlight w:val="none"/>
        </w:rPr>
        <w:t xml:space="preserve"> </w:t>
      </w:r>
      <w:r>
        <w:rPr>
          <w:rFonts w:hAnsi="宋体"/>
          <w:color w:val="auto"/>
          <w:sz w:val="21"/>
          <w:szCs w:val="21"/>
          <w:highlight w:val="none"/>
        </w:rPr>
        <w:t>日</w:t>
      </w:r>
    </w:p>
    <w:p>
      <w:pPr>
        <w:rPr>
          <w:rFonts w:hint="eastAsia"/>
          <w:color w:val="auto"/>
          <w:highlight w:val="none"/>
        </w:rPr>
      </w:pPr>
      <w:bookmarkStart w:id="11" w:name="_Toc3471"/>
      <w:bookmarkStart w:id="12" w:name="_Toc29402"/>
      <w:r>
        <w:rPr>
          <w:rFonts w:hint="eastAsia"/>
          <w:color w:val="auto"/>
          <w:highlight w:val="none"/>
        </w:rPr>
        <w:br w:type="page"/>
      </w:r>
    </w:p>
    <w:p>
      <w:pPr>
        <w:pStyle w:val="3"/>
        <w:pageBreakBefore w:val="0"/>
        <w:widowControl w:val="0"/>
        <w:kinsoku/>
        <w:wordWrap/>
        <w:overflowPunct/>
        <w:topLinePunct w:val="0"/>
        <w:autoSpaceDE/>
        <w:autoSpaceDN/>
        <w:bidi w:val="0"/>
        <w:adjustRightInd/>
        <w:spacing w:line="480" w:lineRule="auto"/>
        <w:textAlignment w:val="auto"/>
        <w:rPr>
          <w:rFonts w:ascii="黑体" w:hAnsi="宋体" w:eastAsia="黑体"/>
          <w:color w:val="auto"/>
          <w:highlight w:val="none"/>
        </w:rPr>
      </w:pPr>
      <w:r>
        <w:rPr>
          <w:rFonts w:hint="eastAsia"/>
          <w:color w:val="auto"/>
          <w:highlight w:val="none"/>
        </w:rPr>
        <w:t>第六章  投标文件格式</w:t>
      </w:r>
      <w:bookmarkEnd w:id="11"/>
      <w:bookmarkEnd w:id="12"/>
    </w:p>
    <w:p>
      <w:pPr>
        <w:snapToGrid w:val="0"/>
        <w:spacing w:before="50" w:after="50"/>
        <w:rPr>
          <w:rFonts w:ascii="宋体" w:hAnsi="宋体"/>
          <w:color w:val="auto"/>
          <w:sz w:val="32"/>
          <w:szCs w:val="20"/>
          <w:highlight w:val="none"/>
        </w:rPr>
      </w:pPr>
    </w:p>
    <w:p>
      <w:pPr>
        <w:snapToGrid w:val="0"/>
        <w:spacing w:beforeLines="50" w:after="50"/>
        <w:rPr>
          <w:rFonts w:ascii="宋体" w:hAnsi="宋体"/>
          <w:color w:val="auto"/>
          <w:sz w:val="28"/>
          <w:szCs w:val="28"/>
          <w:highlight w:val="none"/>
        </w:rPr>
      </w:pPr>
      <w:r>
        <w:rPr>
          <w:rFonts w:ascii="宋体" w:hAnsi="宋体"/>
          <w:color w:val="auto"/>
          <w:sz w:val="24"/>
          <w:szCs w:val="24"/>
          <w:highlight w:val="none"/>
        </w:rPr>
        <w:t>1</w:t>
      </w:r>
      <w:r>
        <w:rPr>
          <w:rFonts w:hint="eastAsia" w:ascii="宋体" w:hAnsi="宋体"/>
          <w:color w:val="auto"/>
          <w:sz w:val="24"/>
          <w:szCs w:val="24"/>
          <w:highlight w:val="none"/>
          <w:lang w:val="en-US" w:eastAsia="zh-CN"/>
        </w:rPr>
        <w:t>.</w:t>
      </w:r>
      <w:r>
        <w:rPr>
          <w:rFonts w:hint="eastAsia" w:ascii="宋体" w:hAnsi="宋体"/>
          <w:color w:val="auto"/>
          <w:sz w:val="24"/>
          <w:szCs w:val="24"/>
          <w:highlight w:val="none"/>
        </w:rPr>
        <w:t>投标文件的外包装封面及投标文件封面格式：</w:t>
      </w:r>
    </w:p>
    <w:p>
      <w:pPr>
        <w:snapToGrid w:val="0"/>
        <w:spacing w:beforeLines="50" w:after="50"/>
        <w:rPr>
          <w:rFonts w:ascii="宋体" w:hAnsi="宋体"/>
          <w:color w:val="auto"/>
          <w:szCs w:val="21"/>
          <w:highlight w:val="none"/>
        </w:rPr>
      </w:pPr>
    </w:p>
    <w:p>
      <w:pPr>
        <w:snapToGrid w:val="0"/>
        <w:spacing w:beforeLines="50" w:after="50"/>
        <w:jc w:val="center"/>
        <w:rPr>
          <w:rFonts w:ascii="宋体" w:hAnsi="宋体"/>
          <w:bCs/>
          <w:color w:val="auto"/>
          <w:szCs w:val="21"/>
          <w:highlight w:val="none"/>
        </w:rPr>
      </w:pPr>
    </w:p>
    <w:p>
      <w:pPr>
        <w:snapToGrid w:val="0"/>
        <w:spacing w:beforeLines="50" w:after="50"/>
        <w:jc w:val="center"/>
        <w:rPr>
          <w:rFonts w:ascii="宋体" w:hAnsi="宋体"/>
          <w:bCs/>
          <w:color w:val="auto"/>
          <w:szCs w:val="21"/>
          <w:highlight w:val="none"/>
        </w:rPr>
      </w:pPr>
    </w:p>
    <w:p>
      <w:pPr>
        <w:snapToGrid w:val="0"/>
        <w:spacing w:beforeLines="50" w:after="50"/>
        <w:jc w:val="center"/>
        <w:rPr>
          <w:rFonts w:ascii="宋体" w:hAnsi="宋体"/>
          <w:bCs/>
          <w:color w:val="auto"/>
          <w:szCs w:val="21"/>
          <w:highlight w:val="none"/>
        </w:rPr>
      </w:pPr>
      <w:r>
        <w:rPr>
          <w:rFonts w:hint="eastAsia" w:ascii="宋体" w:hAnsi="宋体"/>
          <w:bCs/>
          <w:color w:val="auto"/>
          <w:szCs w:val="21"/>
          <w:highlight w:val="none"/>
        </w:rPr>
        <w:t>投</w:t>
      </w:r>
      <w:r>
        <w:rPr>
          <w:rFonts w:ascii="宋体" w:hAnsi="宋体"/>
          <w:bCs/>
          <w:color w:val="auto"/>
          <w:szCs w:val="21"/>
          <w:highlight w:val="none"/>
        </w:rPr>
        <w:t xml:space="preserve"> </w:t>
      </w:r>
      <w:r>
        <w:rPr>
          <w:rFonts w:hint="eastAsia" w:ascii="宋体" w:hAnsi="宋体"/>
          <w:bCs/>
          <w:color w:val="auto"/>
          <w:szCs w:val="21"/>
          <w:highlight w:val="none"/>
        </w:rPr>
        <w:t>标</w:t>
      </w:r>
      <w:r>
        <w:rPr>
          <w:rFonts w:ascii="宋体" w:hAnsi="宋体"/>
          <w:bCs/>
          <w:color w:val="auto"/>
          <w:szCs w:val="21"/>
          <w:highlight w:val="none"/>
        </w:rPr>
        <w:t xml:space="preserve"> </w:t>
      </w:r>
      <w:r>
        <w:rPr>
          <w:rFonts w:hint="eastAsia" w:ascii="宋体" w:hAnsi="宋体"/>
          <w:bCs/>
          <w:color w:val="auto"/>
          <w:szCs w:val="21"/>
          <w:highlight w:val="none"/>
        </w:rPr>
        <w:t>文</w:t>
      </w:r>
      <w:r>
        <w:rPr>
          <w:rFonts w:ascii="宋体" w:hAnsi="宋体"/>
          <w:bCs/>
          <w:color w:val="auto"/>
          <w:szCs w:val="21"/>
          <w:highlight w:val="none"/>
        </w:rPr>
        <w:t xml:space="preserve"> </w:t>
      </w:r>
      <w:r>
        <w:rPr>
          <w:rFonts w:hint="eastAsia" w:ascii="宋体" w:hAnsi="宋体"/>
          <w:bCs/>
          <w:color w:val="auto"/>
          <w:szCs w:val="21"/>
          <w:highlight w:val="none"/>
        </w:rPr>
        <w:t>件</w:t>
      </w:r>
    </w:p>
    <w:p>
      <w:pPr>
        <w:snapToGrid w:val="0"/>
        <w:spacing w:beforeLines="50" w:after="50"/>
        <w:ind w:firstLine="945" w:firstLineChars="450"/>
        <w:rPr>
          <w:rFonts w:ascii="宋体" w:hAnsi="宋体"/>
          <w:bCs/>
          <w:color w:val="auto"/>
          <w:szCs w:val="21"/>
          <w:highlight w:val="none"/>
        </w:rPr>
      </w:pPr>
      <w:r>
        <w:rPr>
          <w:rFonts w:hint="eastAsia" w:ascii="宋体" w:hAnsi="宋体"/>
          <w:bCs/>
          <w:color w:val="auto"/>
          <w:szCs w:val="21"/>
          <w:highlight w:val="none"/>
        </w:rPr>
        <w:t>项目名称：</w:t>
      </w:r>
    </w:p>
    <w:p>
      <w:pPr>
        <w:snapToGrid w:val="0"/>
        <w:spacing w:beforeLines="50" w:after="50"/>
        <w:ind w:firstLine="420" w:firstLineChars="200"/>
        <w:rPr>
          <w:rFonts w:ascii="宋体" w:hAnsi="宋体"/>
          <w:bCs/>
          <w:color w:val="auto"/>
          <w:szCs w:val="21"/>
          <w:highlight w:val="none"/>
        </w:rPr>
      </w:pPr>
      <w:r>
        <w:rPr>
          <w:rFonts w:ascii="宋体" w:hAnsi="宋体"/>
          <w:bCs/>
          <w:color w:val="auto"/>
          <w:szCs w:val="21"/>
          <w:highlight w:val="none"/>
        </w:rPr>
        <w:t xml:space="preserve">    </w:t>
      </w:r>
      <w:r>
        <w:rPr>
          <w:rFonts w:hint="eastAsia" w:ascii="宋体" w:hAnsi="宋体"/>
          <w:bCs/>
          <w:color w:val="auto"/>
          <w:szCs w:val="21"/>
          <w:highlight w:val="none"/>
        </w:rPr>
        <w:t xml:space="preserve"> 项目编号：</w:t>
      </w:r>
    </w:p>
    <w:p>
      <w:pPr>
        <w:snapToGrid w:val="0"/>
        <w:spacing w:beforeLines="50" w:after="50"/>
        <w:ind w:firstLine="945" w:firstLineChars="450"/>
        <w:rPr>
          <w:rFonts w:ascii="宋体" w:hAnsi="宋体"/>
          <w:bCs/>
          <w:color w:val="auto"/>
          <w:szCs w:val="21"/>
          <w:highlight w:val="none"/>
        </w:rPr>
      </w:pPr>
      <w:r>
        <w:rPr>
          <w:rFonts w:hint="eastAsia" w:ascii="宋体" w:hAnsi="宋体"/>
          <w:bCs/>
          <w:color w:val="auto"/>
          <w:szCs w:val="21"/>
          <w:highlight w:val="none"/>
        </w:rPr>
        <w:t>投标文件名称：资信技术文件/报价文件</w:t>
      </w:r>
    </w:p>
    <w:p>
      <w:pPr>
        <w:snapToGrid w:val="0"/>
        <w:spacing w:beforeLines="50" w:after="50"/>
        <w:ind w:firstLine="945" w:firstLineChars="450"/>
        <w:rPr>
          <w:rFonts w:ascii="宋体" w:hAnsi="宋体"/>
          <w:bCs/>
          <w:color w:val="auto"/>
          <w:szCs w:val="21"/>
          <w:highlight w:val="none"/>
        </w:rPr>
      </w:pPr>
      <w:r>
        <w:rPr>
          <w:rFonts w:hint="eastAsia" w:ascii="宋体" w:hAnsi="宋体"/>
          <w:bCs/>
          <w:color w:val="auto"/>
          <w:szCs w:val="21"/>
          <w:highlight w:val="none"/>
          <w:lang w:eastAsia="zh-CN"/>
        </w:rPr>
        <w:t>投标人</w:t>
      </w:r>
      <w:r>
        <w:rPr>
          <w:rFonts w:hint="eastAsia" w:ascii="宋体" w:hAnsi="宋体"/>
          <w:bCs/>
          <w:color w:val="auto"/>
          <w:szCs w:val="21"/>
          <w:highlight w:val="none"/>
        </w:rPr>
        <w:t>名称（加盖公章）：</w:t>
      </w:r>
    </w:p>
    <w:p>
      <w:pPr>
        <w:snapToGrid w:val="0"/>
        <w:spacing w:beforeLines="50" w:after="50"/>
        <w:ind w:firstLine="945" w:firstLineChars="450"/>
        <w:rPr>
          <w:rFonts w:ascii="宋体" w:hAnsi="宋体"/>
          <w:bCs/>
          <w:color w:val="auto"/>
          <w:szCs w:val="21"/>
          <w:highlight w:val="none"/>
        </w:rPr>
      </w:pPr>
      <w:r>
        <w:rPr>
          <w:rFonts w:hint="eastAsia" w:ascii="宋体" w:hAnsi="宋体"/>
          <w:bCs/>
          <w:color w:val="auto"/>
          <w:szCs w:val="21"/>
          <w:highlight w:val="none"/>
          <w:lang w:eastAsia="zh-CN"/>
        </w:rPr>
        <w:t>投标人</w:t>
      </w:r>
      <w:r>
        <w:rPr>
          <w:rFonts w:hint="eastAsia" w:ascii="宋体" w:hAnsi="宋体"/>
          <w:bCs/>
          <w:color w:val="auto"/>
          <w:szCs w:val="21"/>
          <w:highlight w:val="none"/>
        </w:rPr>
        <w:t>地址：</w:t>
      </w:r>
    </w:p>
    <w:p>
      <w:pPr>
        <w:snapToGrid w:val="0"/>
        <w:spacing w:beforeLines="50" w:after="50"/>
        <w:ind w:firstLine="945" w:firstLineChars="450"/>
        <w:rPr>
          <w:rFonts w:ascii="宋体" w:hAnsi="宋体"/>
          <w:bCs/>
          <w:color w:val="auto"/>
          <w:szCs w:val="21"/>
          <w:highlight w:val="none"/>
        </w:rPr>
      </w:pPr>
      <w:r>
        <w:rPr>
          <w:rFonts w:hint="eastAsia" w:ascii="宋体" w:hAnsi="宋体"/>
          <w:bCs/>
          <w:color w:val="auto"/>
          <w:szCs w:val="21"/>
          <w:highlight w:val="none"/>
        </w:rPr>
        <w:t>开标前不得启封</w:t>
      </w:r>
    </w:p>
    <w:p>
      <w:pPr>
        <w:snapToGrid w:val="0"/>
        <w:spacing w:beforeLines="50" w:after="50"/>
        <w:jc w:val="center"/>
        <w:rPr>
          <w:rFonts w:ascii="宋体" w:hAnsi="宋体"/>
          <w:bCs/>
          <w:color w:val="auto"/>
          <w:szCs w:val="21"/>
          <w:highlight w:val="none"/>
        </w:rPr>
      </w:pPr>
      <w:r>
        <w:rPr>
          <w:rFonts w:ascii="宋体" w:hAnsi="宋体"/>
          <w:bCs/>
          <w:color w:val="auto"/>
          <w:szCs w:val="21"/>
          <w:highlight w:val="none"/>
        </w:rPr>
        <w:t xml:space="preserve">                        </w:t>
      </w:r>
      <w:r>
        <w:rPr>
          <w:rFonts w:hint="eastAsia" w:ascii="宋体" w:hAnsi="宋体"/>
          <w:bCs/>
          <w:color w:val="auto"/>
          <w:szCs w:val="21"/>
          <w:highlight w:val="none"/>
        </w:rPr>
        <w:t>年</w:t>
      </w:r>
      <w:r>
        <w:rPr>
          <w:rFonts w:ascii="宋体" w:hAnsi="宋体"/>
          <w:bCs/>
          <w:color w:val="auto"/>
          <w:szCs w:val="21"/>
          <w:highlight w:val="none"/>
        </w:rPr>
        <w:t xml:space="preserve">  </w:t>
      </w:r>
      <w:r>
        <w:rPr>
          <w:rFonts w:hint="eastAsia" w:ascii="宋体" w:hAnsi="宋体"/>
          <w:bCs/>
          <w:color w:val="auto"/>
          <w:szCs w:val="21"/>
          <w:highlight w:val="none"/>
        </w:rPr>
        <w:t>月</w:t>
      </w:r>
      <w:r>
        <w:rPr>
          <w:rFonts w:ascii="宋体" w:hAnsi="宋体"/>
          <w:bCs/>
          <w:color w:val="auto"/>
          <w:szCs w:val="21"/>
          <w:highlight w:val="none"/>
        </w:rPr>
        <w:t xml:space="preserve">  </w:t>
      </w:r>
      <w:r>
        <w:rPr>
          <w:rFonts w:hint="eastAsia" w:ascii="宋体" w:hAnsi="宋体"/>
          <w:bCs/>
          <w:color w:val="auto"/>
          <w:szCs w:val="21"/>
          <w:highlight w:val="none"/>
        </w:rPr>
        <w:t>日</w:t>
      </w:r>
    </w:p>
    <w:p>
      <w:pPr>
        <w:snapToGrid w:val="0"/>
        <w:spacing w:beforeLines="50" w:after="50"/>
        <w:jc w:val="center"/>
        <w:rPr>
          <w:rFonts w:ascii="宋体" w:hAnsi="宋体"/>
          <w:bCs/>
          <w:color w:val="auto"/>
          <w:szCs w:val="21"/>
          <w:highlight w:val="none"/>
        </w:rPr>
      </w:pPr>
    </w:p>
    <w:p>
      <w:pPr>
        <w:snapToGrid w:val="0"/>
        <w:spacing w:beforeLines="50" w:after="50"/>
        <w:jc w:val="center"/>
        <w:rPr>
          <w:rFonts w:ascii="宋体" w:hAnsi="宋体"/>
          <w:bCs/>
          <w:color w:val="auto"/>
          <w:szCs w:val="21"/>
          <w:highlight w:val="none"/>
        </w:rPr>
      </w:pPr>
    </w:p>
    <w:p>
      <w:pPr>
        <w:snapToGrid w:val="0"/>
        <w:spacing w:beforeLines="50" w:after="50"/>
        <w:jc w:val="center"/>
        <w:rPr>
          <w:rFonts w:ascii="宋体" w:hAnsi="宋体"/>
          <w:bCs/>
          <w:color w:val="auto"/>
          <w:szCs w:val="21"/>
          <w:highlight w:val="none"/>
        </w:rPr>
      </w:pPr>
      <w:r>
        <w:rPr>
          <w:rFonts w:hint="eastAsia" w:ascii="宋体" w:hAnsi="宋体"/>
          <w:b/>
          <w:bCs/>
          <w:color w:val="auto"/>
          <w:szCs w:val="21"/>
          <w:highlight w:val="none"/>
        </w:rPr>
        <w:t xml:space="preserve">                                            正本</w:t>
      </w:r>
      <w:r>
        <w:rPr>
          <w:rFonts w:ascii="宋体" w:hAnsi="宋体"/>
          <w:b/>
          <w:bCs/>
          <w:color w:val="auto"/>
          <w:szCs w:val="21"/>
          <w:highlight w:val="none"/>
        </w:rPr>
        <w:t>/</w:t>
      </w:r>
      <w:r>
        <w:rPr>
          <w:rFonts w:hint="eastAsia" w:ascii="宋体" w:hAnsi="宋体"/>
          <w:b/>
          <w:bCs/>
          <w:color w:val="auto"/>
          <w:szCs w:val="21"/>
          <w:highlight w:val="none"/>
        </w:rPr>
        <w:t>或副本</w:t>
      </w:r>
    </w:p>
    <w:p>
      <w:pPr>
        <w:snapToGrid w:val="0"/>
        <w:spacing w:beforeLines="50" w:after="50"/>
        <w:jc w:val="center"/>
        <w:rPr>
          <w:rFonts w:ascii="宋体" w:hAnsi="宋体"/>
          <w:bCs/>
          <w:color w:val="auto"/>
          <w:szCs w:val="21"/>
          <w:highlight w:val="none"/>
        </w:rPr>
      </w:pPr>
      <w:r>
        <w:rPr>
          <w:rFonts w:hint="eastAsia" w:ascii="宋体" w:hAnsi="宋体"/>
          <w:bCs/>
          <w:color w:val="auto"/>
          <w:szCs w:val="21"/>
          <w:highlight w:val="none"/>
        </w:rPr>
        <w:t>投</w:t>
      </w:r>
      <w:r>
        <w:rPr>
          <w:rFonts w:ascii="宋体" w:hAnsi="宋体"/>
          <w:bCs/>
          <w:color w:val="auto"/>
          <w:szCs w:val="21"/>
          <w:highlight w:val="none"/>
        </w:rPr>
        <w:t xml:space="preserve"> </w:t>
      </w:r>
      <w:r>
        <w:rPr>
          <w:rFonts w:hint="eastAsia" w:ascii="宋体" w:hAnsi="宋体"/>
          <w:bCs/>
          <w:color w:val="auto"/>
          <w:szCs w:val="21"/>
          <w:highlight w:val="none"/>
        </w:rPr>
        <w:t>标</w:t>
      </w:r>
      <w:r>
        <w:rPr>
          <w:rFonts w:ascii="宋体" w:hAnsi="宋体"/>
          <w:bCs/>
          <w:color w:val="auto"/>
          <w:szCs w:val="21"/>
          <w:highlight w:val="none"/>
        </w:rPr>
        <w:t xml:space="preserve"> </w:t>
      </w:r>
      <w:r>
        <w:rPr>
          <w:rFonts w:hint="eastAsia" w:ascii="宋体" w:hAnsi="宋体"/>
          <w:bCs/>
          <w:color w:val="auto"/>
          <w:szCs w:val="21"/>
          <w:highlight w:val="none"/>
        </w:rPr>
        <w:t>文</w:t>
      </w:r>
      <w:r>
        <w:rPr>
          <w:rFonts w:ascii="宋体" w:hAnsi="宋体"/>
          <w:bCs/>
          <w:color w:val="auto"/>
          <w:szCs w:val="21"/>
          <w:highlight w:val="none"/>
        </w:rPr>
        <w:t xml:space="preserve"> </w:t>
      </w:r>
      <w:r>
        <w:rPr>
          <w:rFonts w:hint="eastAsia" w:ascii="宋体" w:hAnsi="宋体"/>
          <w:bCs/>
          <w:color w:val="auto"/>
          <w:szCs w:val="21"/>
          <w:highlight w:val="none"/>
        </w:rPr>
        <w:t>件</w:t>
      </w:r>
    </w:p>
    <w:p>
      <w:pPr>
        <w:snapToGrid w:val="0"/>
        <w:spacing w:beforeLines="50" w:after="50"/>
        <w:ind w:firstLine="6054" w:firstLineChars="2883"/>
        <w:rPr>
          <w:rFonts w:ascii="宋体" w:hAnsi="宋体"/>
          <w:bCs/>
          <w:color w:val="auto"/>
          <w:szCs w:val="21"/>
          <w:highlight w:val="none"/>
        </w:rPr>
      </w:pPr>
    </w:p>
    <w:p>
      <w:pPr>
        <w:snapToGrid w:val="0"/>
        <w:spacing w:beforeLines="50" w:after="50"/>
        <w:ind w:firstLine="945" w:firstLineChars="450"/>
        <w:rPr>
          <w:rFonts w:ascii="宋体" w:hAnsi="宋体"/>
          <w:bCs/>
          <w:color w:val="auto"/>
          <w:szCs w:val="21"/>
          <w:highlight w:val="none"/>
        </w:rPr>
      </w:pPr>
      <w:r>
        <w:rPr>
          <w:rFonts w:hint="eastAsia" w:ascii="宋体" w:hAnsi="宋体"/>
          <w:bCs/>
          <w:color w:val="auto"/>
          <w:szCs w:val="21"/>
          <w:highlight w:val="none"/>
        </w:rPr>
        <w:t>项目名称：</w:t>
      </w:r>
    </w:p>
    <w:p>
      <w:pPr>
        <w:snapToGrid w:val="0"/>
        <w:spacing w:beforeLines="50" w:after="50"/>
        <w:ind w:firstLine="945" w:firstLineChars="450"/>
        <w:rPr>
          <w:rFonts w:ascii="宋体" w:hAnsi="宋体"/>
          <w:bCs/>
          <w:color w:val="auto"/>
          <w:szCs w:val="21"/>
          <w:highlight w:val="none"/>
        </w:rPr>
      </w:pPr>
      <w:r>
        <w:rPr>
          <w:rFonts w:hint="eastAsia" w:ascii="宋体" w:hAnsi="宋体"/>
          <w:bCs/>
          <w:color w:val="auto"/>
          <w:szCs w:val="21"/>
          <w:highlight w:val="none"/>
        </w:rPr>
        <w:t>项目编号：</w:t>
      </w:r>
    </w:p>
    <w:p>
      <w:pPr>
        <w:snapToGrid w:val="0"/>
        <w:spacing w:beforeLines="50" w:after="50"/>
        <w:ind w:firstLine="945" w:firstLineChars="450"/>
        <w:rPr>
          <w:rFonts w:ascii="宋体" w:hAnsi="宋体"/>
          <w:bCs/>
          <w:color w:val="auto"/>
          <w:szCs w:val="21"/>
          <w:highlight w:val="none"/>
        </w:rPr>
      </w:pPr>
      <w:r>
        <w:rPr>
          <w:rFonts w:hint="eastAsia" w:ascii="宋体" w:hAnsi="宋体"/>
          <w:bCs/>
          <w:color w:val="auto"/>
          <w:szCs w:val="21"/>
          <w:highlight w:val="none"/>
        </w:rPr>
        <w:t>投标文件名称：资信技术文件/报价文件</w:t>
      </w:r>
    </w:p>
    <w:p>
      <w:pPr>
        <w:snapToGrid w:val="0"/>
        <w:spacing w:beforeLines="50" w:after="50"/>
        <w:ind w:firstLine="945" w:firstLineChars="450"/>
        <w:rPr>
          <w:rFonts w:ascii="宋体" w:hAnsi="宋体"/>
          <w:bCs/>
          <w:color w:val="auto"/>
          <w:szCs w:val="21"/>
          <w:highlight w:val="none"/>
        </w:rPr>
      </w:pPr>
      <w:r>
        <w:rPr>
          <w:rFonts w:hint="eastAsia" w:ascii="宋体" w:hAnsi="宋体"/>
          <w:bCs/>
          <w:color w:val="auto"/>
          <w:szCs w:val="21"/>
          <w:highlight w:val="none"/>
          <w:lang w:eastAsia="zh-CN"/>
        </w:rPr>
        <w:t>投标人</w:t>
      </w:r>
      <w:r>
        <w:rPr>
          <w:rFonts w:hint="eastAsia" w:ascii="宋体" w:hAnsi="宋体"/>
          <w:bCs/>
          <w:color w:val="auto"/>
          <w:szCs w:val="21"/>
          <w:highlight w:val="none"/>
        </w:rPr>
        <w:t>名称（加盖公章）：</w:t>
      </w:r>
    </w:p>
    <w:p>
      <w:pPr>
        <w:snapToGrid w:val="0"/>
        <w:spacing w:beforeLines="50" w:after="50"/>
        <w:ind w:firstLine="945" w:firstLineChars="450"/>
        <w:rPr>
          <w:rFonts w:ascii="宋体" w:hAnsi="宋体"/>
          <w:bCs/>
          <w:color w:val="auto"/>
          <w:szCs w:val="21"/>
          <w:highlight w:val="none"/>
        </w:rPr>
      </w:pPr>
      <w:r>
        <w:rPr>
          <w:rFonts w:hint="eastAsia" w:ascii="宋体" w:hAnsi="宋体"/>
          <w:bCs/>
          <w:color w:val="auto"/>
          <w:szCs w:val="21"/>
          <w:highlight w:val="none"/>
          <w:lang w:eastAsia="zh-CN"/>
        </w:rPr>
        <w:t>投标人</w:t>
      </w:r>
      <w:r>
        <w:rPr>
          <w:rFonts w:hint="eastAsia" w:ascii="宋体" w:hAnsi="宋体"/>
          <w:bCs/>
          <w:color w:val="auto"/>
          <w:szCs w:val="21"/>
          <w:highlight w:val="none"/>
        </w:rPr>
        <w:t>地址：</w:t>
      </w:r>
    </w:p>
    <w:p>
      <w:pPr>
        <w:snapToGrid w:val="0"/>
        <w:spacing w:beforeLines="50" w:after="50"/>
        <w:ind w:firstLine="3570" w:firstLineChars="1700"/>
        <w:rPr>
          <w:rFonts w:ascii="宋体" w:hAnsi="宋体"/>
          <w:bCs/>
          <w:color w:val="auto"/>
          <w:szCs w:val="21"/>
          <w:highlight w:val="none"/>
        </w:rPr>
      </w:pPr>
    </w:p>
    <w:p>
      <w:pPr>
        <w:snapToGrid w:val="0"/>
        <w:spacing w:beforeLines="50" w:after="50"/>
        <w:ind w:firstLine="645"/>
        <w:jc w:val="center"/>
        <w:rPr>
          <w:rFonts w:hint="eastAsia" w:ascii="宋体" w:hAnsi="宋体"/>
          <w:bCs/>
          <w:color w:val="auto"/>
          <w:szCs w:val="21"/>
          <w:highlight w:val="none"/>
        </w:rPr>
      </w:pPr>
      <w:r>
        <w:rPr>
          <w:rFonts w:ascii="宋体" w:hAnsi="宋体"/>
          <w:bCs/>
          <w:color w:val="auto"/>
          <w:szCs w:val="21"/>
          <w:highlight w:val="none"/>
        </w:rPr>
        <w:t xml:space="preserve">                        </w:t>
      </w:r>
      <w:r>
        <w:rPr>
          <w:rFonts w:hint="eastAsia" w:ascii="宋体" w:hAnsi="宋体"/>
          <w:bCs/>
          <w:color w:val="auto"/>
          <w:szCs w:val="21"/>
          <w:highlight w:val="none"/>
        </w:rPr>
        <w:t>年</w:t>
      </w:r>
      <w:r>
        <w:rPr>
          <w:rFonts w:ascii="宋体" w:hAnsi="宋体"/>
          <w:bCs/>
          <w:color w:val="auto"/>
          <w:szCs w:val="21"/>
          <w:highlight w:val="none"/>
        </w:rPr>
        <w:t xml:space="preserve">  </w:t>
      </w:r>
      <w:r>
        <w:rPr>
          <w:rFonts w:hint="eastAsia" w:ascii="宋体" w:hAnsi="宋体"/>
          <w:bCs/>
          <w:color w:val="auto"/>
          <w:szCs w:val="21"/>
          <w:highlight w:val="none"/>
        </w:rPr>
        <w:t>月</w:t>
      </w:r>
      <w:r>
        <w:rPr>
          <w:rFonts w:ascii="宋体" w:hAnsi="宋体"/>
          <w:bCs/>
          <w:color w:val="auto"/>
          <w:szCs w:val="21"/>
          <w:highlight w:val="none"/>
        </w:rPr>
        <w:t xml:space="preserve">  </w:t>
      </w:r>
      <w:r>
        <w:rPr>
          <w:rFonts w:hint="eastAsia" w:ascii="宋体" w:hAnsi="宋体"/>
          <w:bCs/>
          <w:color w:val="auto"/>
          <w:szCs w:val="21"/>
          <w:highlight w:val="none"/>
        </w:rPr>
        <w:t>日</w:t>
      </w:r>
      <w:bookmarkStart w:id="13" w:name="_Toc7416"/>
      <w:bookmarkStart w:id="14" w:name="_Toc37230237"/>
    </w:p>
    <w:p>
      <w:pPr>
        <w:rPr>
          <w:rFonts w:hint="eastAsia" w:ascii="宋体" w:hAnsi="宋体"/>
          <w:bCs/>
          <w:color w:val="auto"/>
          <w:szCs w:val="21"/>
          <w:highlight w:val="none"/>
        </w:rPr>
      </w:pPr>
      <w:r>
        <w:rPr>
          <w:rFonts w:hint="eastAsia" w:ascii="宋体" w:hAnsi="宋体"/>
          <w:bCs/>
          <w:color w:val="auto"/>
          <w:szCs w:val="21"/>
          <w:highlight w:val="none"/>
        </w:rPr>
        <w:br w:type="page"/>
      </w:r>
    </w:p>
    <w:p>
      <w:pPr>
        <w:snapToGrid w:val="0"/>
        <w:spacing w:before="50" w:afterLines="5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2.资格条件自查表</w:t>
      </w:r>
      <w:bookmarkEnd w:id="13"/>
      <w:bookmarkEnd w:id="14"/>
    </w:p>
    <w:p>
      <w:pPr>
        <w:jc w:val="center"/>
        <w:rPr>
          <w:rFonts w:ascii="Arial" w:hAnsi="Arial"/>
          <w:b/>
          <w:color w:val="auto"/>
          <w:sz w:val="24"/>
          <w:highlight w:val="none"/>
        </w:rPr>
      </w:pPr>
      <w:r>
        <w:rPr>
          <w:rFonts w:ascii="Arial" w:hAnsi="Arial"/>
          <w:b/>
          <w:color w:val="auto"/>
          <w:sz w:val="24"/>
          <w:highlight w:val="none"/>
        </w:rPr>
        <w:t>资格条件自查表</w:t>
      </w:r>
    </w:p>
    <w:tbl>
      <w:tblPr>
        <w:tblStyle w:val="22"/>
        <w:tblW w:w="893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0" w:type="dxa"/>
          <w:left w:w="150" w:type="dxa"/>
          <w:bottom w:w="150" w:type="dxa"/>
          <w:right w:w="150" w:type="dxa"/>
        </w:tblCellMar>
      </w:tblPr>
      <w:tblGrid>
        <w:gridCol w:w="1079"/>
        <w:gridCol w:w="3973"/>
        <w:gridCol w:w="1270"/>
        <w:gridCol w:w="26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482" w:hRule="atLeast"/>
          <w:tblHeader/>
          <w:jc w:val="center"/>
        </w:trPr>
        <w:tc>
          <w:tcPr>
            <w:tcW w:w="1079" w:type="dxa"/>
            <w:tcBorders>
              <w:tl2br w:val="nil"/>
              <w:tr2bl w:val="nil"/>
            </w:tcBorders>
            <w:tcMar>
              <w:top w:w="57" w:type="dxa"/>
              <w:left w:w="57" w:type="dxa"/>
              <w:bottom w:w="57" w:type="dxa"/>
              <w:right w:w="57" w:type="dxa"/>
            </w:tcMar>
            <w:vAlign w:val="center"/>
          </w:tcPr>
          <w:p>
            <w:pPr>
              <w:rPr>
                <w:rFonts w:ascii="Arial" w:hAnsi="Arial"/>
                <w:b/>
                <w:color w:val="auto"/>
                <w:szCs w:val="21"/>
                <w:highlight w:val="none"/>
              </w:rPr>
            </w:pPr>
            <w:r>
              <w:rPr>
                <w:rFonts w:ascii="Arial" w:hAnsi="Arial"/>
                <w:b/>
                <w:color w:val="auto"/>
                <w:szCs w:val="21"/>
                <w:highlight w:val="none"/>
              </w:rPr>
              <w:t>评审内容</w:t>
            </w:r>
          </w:p>
        </w:tc>
        <w:tc>
          <w:tcPr>
            <w:tcW w:w="3973" w:type="dxa"/>
            <w:tcBorders>
              <w:tl2br w:val="nil"/>
              <w:tr2bl w:val="nil"/>
            </w:tcBorders>
            <w:tcMar>
              <w:top w:w="57" w:type="dxa"/>
              <w:left w:w="57" w:type="dxa"/>
              <w:bottom w:w="57" w:type="dxa"/>
              <w:right w:w="57" w:type="dxa"/>
            </w:tcMar>
            <w:vAlign w:val="center"/>
          </w:tcPr>
          <w:p>
            <w:pPr>
              <w:jc w:val="center"/>
              <w:rPr>
                <w:rFonts w:ascii="Arial" w:hAnsi="Arial"/>
                <w:b/>
                <w:color w:val="auto"/>
                <w:szCs w:val="21"/>
                <w:highlight w:val="none"/>
              </w:rPr>
            </w:pPr>
            <w:r>
              <w:rPr>
                <w:rFonts w:ascii="Arial" w:hAnsi="Arial"/>
                <w:b/>
                <w:color w:val="auto"/>
                <w:szCs w:val="21"/>
                <w:highlight w:val="none"/>
              </w:rPr>
              <w:t>采购文件要求</w:t>
            </w:r>
          </w:p>
        </w:tc>
        <w:tc>
          <w:tcPr>
            <w:tcW w:w="1270" w:type="dxa"/>
            <w:tcBorders>
              <w:tl2br w:val="nil"/>
              <w:tr2bl w:val="nil"/>
            </w:tcBorders>
            <w:tcMar>
              <w:top w:w="57" w:type="dxa"/>
              <w:left w:w="57" w:type="dxa"/>
              <w:bottom w:w="57" w:type="dxa"/>
              <w:right w:w="57" w:type="dxa"/>
            </w:tcMar>
            <w:vAlign w:val="center"/>
          </w:tcPr>
          <w:p>
            <w:pPr>
              <w:jc w:val="center"/>
              <w:rPr>
                <w:rFonts w:ascii="Arial" w:hAnsi="Arial"/>
                <w:b/>
                <w:color w:val="auto"/>
                <w:szCs w:val="21"/>
                <w:highlight w:val="none"/>
              </w:rPr>
            </w:pPr>
            <w:r>
              <w:rPr>
                <w:rFonts w:ascii="Arial" w:hAnsi="Arial"/>
                <w:b/>
                <w:color w:val="auto"/>
                <w:szCs w:val="21"/>
                <w:highlight w:val="none"/>
              </w:rPr>
              <w:t>自查结论</w:t>
            </w:r>
          </w:p>
        </w:tc>
        <w:tc>
          <w:tcPr>
            <w:tcW w:w="2611" w:type="dxa"/>
            <w:tcBorders>
              <w:tl2br w:val="nil"/>
              <w:tr2bl w:val="nil"/>
            </w:tcBorders>
            <w:tcMar>
              <w:top w:w="57" w:type="dxa"/>
              <w:left w:w="57" w:type="dxa"/>
              <w:bottom w:w="57" w:type="dxa"/>
              <w:right w:w="57" w:type="dxa"/>
            </w:tcMar>
            <w:vAlign w:val="center"/>
          </w:tcPr>
          <w:p>
            <w:pPr>
              <w:jc w:val="center"/>
              <w:rPr>
                <w:rFonts w:ascii="Arial" w:hAnsi="Arial"/>
                <w:b/>
                <w:color w:val="auto"/>
                <w:szCs w:val="21"/>
                <w:highlight w:val="none"/>
              </w:rPr>
            </w:pPr>
            <w:r>
              <w:rPr>
                <w:rFonts w:ascii="Arial" w:hAnsi="Arial"/>
                <w:b/>
                <w:color w:val="auto"/>
                <w:szCs w:val="21"/>
                <w:highlight w:val="none"/>
              </w:rPr>
              <w:t>证明资料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482" w:hRule="atLeast"/>
          <w:tblHeader/>
          <w:jc w:val="center"/>
        </w:trPr>
        <w:tc>
          <w:tcPr>
            <w:tcW w:w="1079" w:type="dxa"/>
            <w:vMerge w:val="restart"/>
            <w:tcBorders>
              <w:tl2br w:val="nil"/>
              <w:tr2bl w:val="nil"/>
            </w:tcBorders>
            <w:tcMar>
              <w:top w:w="57" w:type="dxa"/>
              <w:left w:w="57" w:type="dxa"/>
              <w:bottom w:w="57" w:type="dxa"/>
              <w:right w:w="57" w:type="dxa"/>
            </w:tcMar>
            <w:vAlign w:val="center"/>
          </w:tcPr>
          <w:p>
            <w:pPr>
              <w:pStyle w:val="36"/>
              <w:spacing w:before="0" w:beforeAutospacing="0" w:after="0" w:afterAutospacing="0"/>
              <w:jc w:val="center"/>
              <w:rPr>
                <w:rFonts w:ascii="Arial" w:hAnsi="Arial"/>
                <w:b/>
                <w:color w:val="auto"/>
                <w:kern w:val="2"/>
                <w:sz w:val="21"/>
                <w:szCs w:val="21"/>
                <w:highlight w:val="none"/>
              </w:rPr>
            </w:pPr>
            <w:r>
              <w:rPr>
                <w:rFonts w:ascii="Arial" w:hAnsi="Arial"/>
                <w:b/>
                <w:color w:val="auto"/>
                <w:kern w:val="2"/>
                <w:sz w:val="21"/>
                <w:szCs w:val="21"/>
                <w:highlight w:val="none"/>
              </w:rPr>
              <w:t>资</w:t>
            </w:r>
          </w:p>
          <w:p>
            <w:pPr>
              <w:pStyle w:val="36"/>
              <w:spacing w:before="0" w:beforeAutospacing="0" w:after="0" w:afterAutospacing="0"/>
              <w:jc w:val="center"/>
              <w:rPr>
                <w:rFonts w:ascii="Arial" w:hAnsi="Arial"/>
                <w:b/>
                <w:color w:val="auto"/>
                <w:kern w:val="2"/>
                <w:sz w:val="21"/>
                <w:szCs w:val="21"/>
                <w:highlight w:val="none"/>
              </w:rPr>
            </w:pPr>
            <w:r>
              <w:rPr>
                <w:rFonts w:ascii="Arial" w:hAnsi="Arial"/>
                <w:b/>
                <w:color w:val="auto"/>
                <w:kern w:val="2"/>
                <w:sz w:val="21"/>
                <w:szCs w:val="21"/>
                <w:highlight w:val="none"/>
              </w:rPr>
              <w:t>格</w:t>
            </w:r>
          </w:p>
          <w:p>
            <w:pPr>
              <w:pStyle w:val="36"/>
              <w:spacing w:before="0" w:beforeAutospacing="0" w:after="0" w:afterAutospacing="0"/>
              <w:jc w:val="center"/>
              <w:rPr>
                <w:rFonts w:ascii="Arial" w:hAnsi="Arial"/>
                <w:b/>
                <w:color w:val="auto"/>
                <w:kern w:val="2"/>
                <w:sz w:val="21"/>
                <w:szCs w:val="21"/>
                <w:highlight w:val="none"/>
              </w:rPr>
            </w:pPr>
            <w:r>
              <w:rPr>
                <w:rFonts w:ascii="Arial" w:hAnsi="Arial"/>
                <w:b/>
                <w:color w:val="auto"/>
                <w:kern w:val="2"/>
                <w:sz w:val="21"/>
                <w:szCs w:val="21"/>
                <w:highlight w:val="none"/>
              </w:rPr>
              <w:t>性</w:t>
            </w:r>
          </w:p>
          <w:p>
            <w:pPr>
              <w:pStyle w:val="36"/>
              <w:spacing w:before="0" w:beforeAutospacing="0" w:after="0" w:afterAutospacing="0"/>
              <w:jc w:val="center"/>
              <w:rPr>
                <w:rFonts w:ascii="Arial" w:hAnsi="Arial"/>
                <w:b/>
                <w:color w:val="auto"/>
                <w:kern w:val="2"/>
                <w:sz w:val="21"/>
                <w:szCs w:val="21"/>
                <w:highlight w:val="none"/>
              </w:rPr>
            </w:pPr>
            <w:r>
              <w:rPr>
                <w:rFonts w:ascii="Arial" w:hAnsi="Arial"/>
                <w:b/>
                <w:color w:val="auto"/>
                <w:kern w:val="2"/>
                <w:sz w:val="21"/>
                <w:szCs w:val="21"/>
                <w:highlight w:val="none"/>
              </w:rPr>
              <w:t>审</w:t>
            </w:r>
          </w:p>
          <w:p>
            <w:pPr>
              <w:pStyle w:val="36"/>
              <w:spacing w:before="0" w:beforeAutospacing="0" w:after="0" w:afterAutospacing="0"/>
              <w:jc w:val="center"/>
              <w:rPr>
                <w:rFonts w:ascii="Times New Roman" w:hAnsi="Times New Roman"/>
                <w:b/>
                <w:color w:val="auto"/>
                <w:w w:val="80"/>
                <w:highlight w:val="none"/>
              </w:rPr>
            </w:pPr>
            <w:r>
              <w:rPr>
                <w:rFonts w:ascii="Arial" w:hAnsi="Arial"/>
                <w:b/>
                <w:color w:val="auto"/>
                <w:kern w:val="2"/>
                <w:sz w:val="21"/>
                <w:szCs w:val="21"/>
                <w:highlight w:val="none"/>
              </w:rPr>
              <w:t>查</w:t>
            </w:r>
          </w:p>
        </w:tc>
        <w:tc>
          <w:tcPr>
            <w:tcW w:w="3973" w:type="dxa"/>
            <w:tcBorders>
              <w:tl2br w:val="nil"/>
              <w:tr2bl w:val="nil"/>
            </w:tcBorders>
            <w:tcMar>
              <w:top w:w="57" w:type="dxa"/>
              <w:left w:w="57" w:type="dxa"/>
              <w:bottom w:w="57" w:type="dxa"/>
              <w:right w:w="57" w:type="dxa"/>
            </w:tcMar>
            <w:vAlign w:val="center"/>
          </w:tcPr>
          <w:p>
            <w:pPr>
              <w:rPr>
                <w:color w:val="auto"/>
                <w:w w:val="80"/>
                <w:sz w:val="24"/>
                <w:highlight w:val="none"/>
              </w:rPr>
            </w:pPr>
            <w:r>
              <w:rPr>
                <w:b/>
                <w:bCs/>
                <w:color w:val="auto"/>
                <w:w w:val="80"/>
                <w:sz w:val="24"/>
                <w:highlight w:val="none"/>
              </w:rPr>
              <w:t>一</w:t>
            </w:r>
            <w:r>
              <w:rPr>
                <w:rFonts w:ascii="Arial" w:hAnsi="Arial"/>
                <w:b/>
                <w:color w:val="auto"/>
                <w:szCs w:val="21"/>
                <w:highlight w:val="none"/>
              </w:rPr>
              <w:t>、</w:t>
            </w:r>
            <w:r>
              <w:rPr>
                <w:rFonts w:hint="eastAsia" w:ascii="Arial" w:hAnsi="Arial"/>
                <w:b/>
                <w:color w:val="auto"/>
                <w:szCs w:val="21"/>
                <w:highlight w:val="none"/>
                <w:lang w:eastAsia="zh-CN"/>
              </w:rPr>
              <w:t>投标人</w:t>
            </w:r>
            <w:r>
              <w:rPr>
                <w:rFonts w:ascii="Arial" w:hAnsi="Arial"/>
                <w:b/>
                <w:color w:val="auto"/>
                <w:szCs w:val="21"/>
                <w:highlight w:val="none"/>
              </w:rPr>
              <w:t>具备《政府采购法》第二十二条所规定的条件：</w:t>
            </w:r>
          </w:p>
        </w:tc>
        <w:tc>
          <w:tcPr>
            <w:tcW w:w="1270" w:type="dxa"/>
            <w:vMerge w:val="restart"/>
            <w:tcBorders>
              <w:tl2br w:val="nil"/>
              <w:tr2bl w:val="nil"/>
            </w:tcBorders>
            <w:tcMar>
              <w:top w:w="57" w:type="dxa"/>
              <w:left w:w="57" w:type="dxa"/>
              <w:bottom w:w="57" w:type="dxa"/>
              <w:right w:w="57" w:type="dxa"/>
            </w:tcMar>
            <w:vAlign w:val="center"/>
          </w:tcPr>
          <w:p>
            <w:pPr>
              <w:jc w:val="left"/>
              <w:rPr>
                <w:rFonts w:ascii="Arial" w:hAnsi="Arial"/>
                <w:bCs/>
                <w:color w:val="auto"/>
                <w:szCs w:val="21"/>
                <w:highlight w:val="none"/>
              </w:rPr>
            </w:pPr>
            <w:r>
              <w:rPr>
                <w:rFonts w:ascii="Arial" w:hAnsi="Arial"/>
                <w:bCs/>
                <w:color w:val="auto"/>
                <w:szCs w:val="21"/>
                <w:highlight w:val="none"/>
              </w:rPr>
              <w:t>□通过</w:t>
            </w:r>
          </w:p>
          <w:p>
            <w:pPr>
              <w:jc w:val="left"/>
              <w:rPr>
                <w:rFonts w:ascii="Arial" w:hAnsi="Arial"/>
                <w:bCs/>
                <w:color w:val="auto"/>
                <w:szCs w:val="21"/>
                <w:highlight w:val="none"/>
              </w:rPr>
            </w:pPr>
            <w:r>
              <w:rPr>
                <w:rFonts w:ascii="Arial" w:hAnsi="Arial"/>
                <w:bCs/>
                <w:color w:val="auto"/>
                <w:szCs w:val="21"/>
                <w:highlight w:val="none"/>
              </w:rPr>
              <w:t>□不通过</w:t>
            </w:r>
          </w:p>
        </w:tc>
        <w:tc>
          <w:tcPr>
            <w:tcW w:w="2611"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482" w:hRule="atLeast"/>
          <w:tblHeader/>
          <w:jc w:val="center"/>
        </w:trPr>
        <w:tc>
          <w:tcPr>
            <w:tcW w:w="1079" w:type="dxa"/>
            <w:vMerge w:val="continue"/>
            <w:tcBorders>
              <w:tl2br w:val="nil"/>
              <w:tr2bl w:val="nil"/>
            </w:tcBorders>
            <w:tcMar>
              <w:top w:w="57" w:type="dxa"/>
              <w:left w:w="57" w:type="dxa"/>
              <w:bottom w:w="57" w:type="dxa"/>
              <w:right w:w="57" w:type="dxa"/>
            </w:tcMar>
            <w:vAlign w:val="center"/>
          </w:tcPr>
          <w:p>
            <w:pPr>
              <w:pStyle w:val="36"/>
              <w:spacing w:before="0" w:beforeAutospacing="0" w:after="0" w:afterAutospacing="0"/>
              <w:jc w:val="center"/>
              <w:rPr>
                <w:rFonts w:ascii="Times New Roman" w:hAnsi="Times New Roman"/>
                <w:b/>
                <w:color w:val="auto"/>
                <w:w w:val="80"/>
                <w:highlight w:val="none"/>
              </w:rPr>
            </w:pPr>
          </w:p>
        </w:tc>
        <w:tc>
          <w:tcPr>
            <w:tcW w:w="3973"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r>
              <w:rPr>
                <w:rFonts w:ascii="Arial" w:hAnsi="Arial"/>
                <w:bCs/>
                <w:color w:val="auto"/>
                <w:szCs w:val="21"/>
                <w:highlight w:val="none"/>
              </w:rPr>
              <w:t>1、有效的企业法人营业执照（或事业法人登记证）、其他组织的营业执照或者民办非企业单位登记证书复印件；</w:t>
            </w:r>
          </w:p>
        </w:tc>
        <w:tc>
          <w:tcPr>
            <w:tcW w:w="1270" w:type="dxa"/>
            <w:vMerge w:val="continue"/>
            <w:tcBorders>
              <w:tl2br w:val="nil"/>
              <w:tr2bl w:val="nil"/>
            </w:tcBorders>
            <w:tcMar>
              <w:top w:w="57" w:type="dxa"/>
              <w:left w:w="57" w:type="dxa"/>
              <w:bottom w:w="57" w:type="dxa"/>
              <w:right w:w="57" w:type="dxa"/>
            </w:tcMar>
            <w:vAlign w:val="center"/>
          </w:tcPr>
          <w:p>
            <w:pPr>
              <w:jc w:val="left"/>
              <w:rPr>
                <w:rFonts w:ascii="Arial" w:hAnsi="Arial"/>
                <w:bCs/>
                <w:color w:val="auto"/>
                <w:szCs w:val="21"/>
                <w:highlight w:val="none"/>
              </w:rPr>
            </w:pPr>
          </w:p>
        </w:tc>
        <w:tc>
          <w:tcPr>
            <w:tcW w:w="2611"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r>
              <w:rPr>
                <w:rFonts w:ascii="Arial" w:hAnsi="Arial"/>
                <w:bCs/>
                <w:color w:val="auto"/>
                <w:szCs w:val="21"/>
                <w:highlight w:val="none"/>
              </w:rPr>
              <w:t>第（ ）页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482" w:hRule="atLeast"/>
          <w:tblHeader/>
          <w:jc w:val="center"/>
        </w:trPr>
        <w:tc>
          <w:tcPr>
            <w:tcW w:w="1079" w:type="dxa"/>
            <w:vMerge w:val="continue"/>
            <w:tcBorders>
              <w:tl2br w:val="nil"/>
              <w:tr2bl w:val="nil"/>
            </w:tcBorders>
            <w:tcMar>
              <w:top w:w="57" w:type="dxa"/>
              <w:left w:w="57" w:type="dxa"/>
              <w:bottom w:w="57" w:type="dxa"/>
              <w:right w:w="57" w:type="dxa"/>
            </w:tcMar>
            <w:vAlign w:val="center"/>
          </w:tcPr>
          <w:p>
            <w:pPr>
              <w:pStyle w:val="36"/>
              <w:spacing w:before="0" w:beforeAutospacing="0" w:after="0" w:afterAutospacing="0"/>
              <w:jc w:val="center"/>
              <w:rPr>
                <w:rFonts w:ascii="Times New Roman" w:hAnsi="Times New Roman"/>
                <w:b/>
                <w:color w:val="auto"/>
                <w:w w:val="80"/>
                <w:highlight w:val="none"/>
              </w:rPr>
            </w:pPr>
          </w:p>
        </w:tc>
        <w:tc>
          <w:tcPr>
            <w:tcW w:w="3973"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r>
              <w:rPr>
                <w:rFonts w:ascii="Arial" w:hAnsi="Arial"/>
                <w:bCs/>
                <w:color w:val="auto"/>
                <w:szCs w:val="21"/>
                <w:highlight w:val="none"/>
              </w:rPr>
              <w:t>2、投标</w:t>
            </w:r>
            <w:r>
              <w:rPr>
                <w:rFonts w:hint="eastAsia" w:ascii="Arial" w:hAnsi="Arial"/>
                <w:bCs/>
                <w:color w:val="auto"/>
                <w:szCs w:val="21"/>
                <w:highlight w:val="none"/>
                <w:lang w:eastAsia="zh-CN"/>
              </w:rPr>
              <w:t>投标人</w:t>
            </w:r>
            <w:r>
              <w:rPr>
                <w:rFonts w:ascii="Arial" w:hAnsi="Arial"/>
                <w:bCs/>
                <w:color w:val="auto"/>
                <w:szCs w:val="21"/>
                <w:highlight w:val="none"/>
              </w:rPr>
              <w:t>如果有名称变更的，应提供由行政主管部门出具的变更证明文件。</w:t>
            </w:r>
          </w:p>
        </w:tc>
        <w:tc>
          <w:tcPr>
            <w:tcW w:w="1270" w:type="dxa"/>
            <w:vMerge w:val="continue"/>
            <w:tcBorders>
              <w:tl2br w:val="nil"/>
              <w:tr2bl w:val="nil"/>
            </w:tcBorders>
            <w:tcMar>
              <w:top w:w="57" w:type="dxa"/>
              <w:left w:w="57" w:type="dxa"/>
              <w:bottom w:w="57" w:type="dxa"/>
              <w:right w:w="57" w:type="dxa"/>
            </w:tcMar>
            <w:vAlign w:val="center"/>
          </w:tcPr>
          <w:p>
            <w:pPr>
              <w:jc w:val="left"/>
              <w:rPr>
                <w:rFonts w:ascii="Arial" w:hAnsi="Arial"/>
                <w:bCs/>
                <w:color w:val="auto"/>
                <w:szCs w:val="21"/>
                <w:highlight w:val="none"/>
              </w:rPr>
            </w:pPr>
          </w:p>
        </w:tc>
        <w:tc>
          <w:tcPr>
            <w:tcW w:w="2611"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r>
              <w:rPr>
                <w:rFonts w:ascii="Arial" w:hAnsi="Arial"/>
                <w:bCs/>
                <w:color w:val="auto"/>
                <w:szCs w:val="21"/>
                <w:highlight w:val="none"/>
              </w:rPr>
              <w:t>第（ ）页</w:t>
            </w:r>
          </w:p>
          <w:p>
            <w:pPr>
              <w:rPr>
                <w:rFonts w:ascii="Arial" w:hAnsi="Arial"/>
                <w:bCs/>
                <w:color w:val="auto"/>
                <w:szCs w:val="21"/>
                <w:highlight w:val="none"/>
              </w:rPr>
            </w:pPr>
            <w:r>
              <w:rPr>
                <w:rFonts w:ascii="Arial" w:hAnsi="Arial"/>
                <w:bCs/>
                <w:color w:val="auto"/>
                <w:szCs w:val="21"/>
                <w:highlight w:val="none"/>
              </w:rPr>
              <w:t>（不涉及投标响应及评标的可不提供）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482" w:hRule="atLeast"/>
          <w:tblHeader/>
          <w:jc w:val="center"/>
        </w:trPr>
        <w:tc>
          <w:tcPr>
            <w:tcW w:w="1079" w:type="dxa"/>
            <w:vMerge w:val="continue"/>
            <w:tcBorders>
              <w:tl2br w:val="nil"/>
              <w:tr2bl w:val="nil"/>
            </w:tcBorders>
            <w:tcMar>
              <w:top w:w="57" w:type="dxa"/>
              <w:left w:w="57" w:type="dxa"/>
              <w:bottom w:w="57" w:type="dxa"/>
              <w:right w:w="57" w:type="dxa"/>
            </w:tcMar>
            <w:vAlign w:val="center"/>
          </w:tcPr>
          <w:p>
            <w:pPr>
              <w:pStyle w:val="36"/>
              <w:spacing w:before="0" w:beforeAutospacing="0" w:after="0" w:afterAutospacing="0"/>
              <w:jc w:val="center"/>
              <w:rPr>
                <w:rFonts w:ascii="Times New Roman" w:hAnsi="Times New Roman"/>
                <w:color w:val="auto"/>
                <w:w w:val="80"/>
                <w:highlight w:val="none"/>
              </w:rPr>
            </w:pPr>
          </w:p>
        </w:tc>
        <w:tc>
          <w:tcPr>
            <w:tcW w:w="3973"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r>
              <w:rPr>
                <w:rFonts w:ascii="Arial" w:hAnsi="Arial"/>
                <w:bCs/>
                <w:color w:val="auto"/>
                <w:szCs w:val="21"/>
                <w:highlight w:val="none"/>
              </w:rPr>
              <w:t>3、</w:t>
            </w:r>
            <w:r>
              <w:rPr>
                <w:rFonts w:hint="eastAsia" w:ascii="Arial" w:hAnsi="Arial"/>
                <w:bCs/>
                <w:color w:val="auto"/>
                <w:szCs w:val="21"/>
                <w:highlight w:val="none"/>
              </w:rPr>
              <w:t>投标人距离开标日近六个月任意一个月的</w:t>
            </w:r>
            <w:r>
              <w:rPr>
                <w:rFonts w:ascii="Arial" w:hAnsi="Arial"/>
                <w:bCs/>
                <w:color w:val="auto"/>
                <w:szCs w:val="21"/>
                <w:highlight w:val="none"/>
              </w:rPr>
              <w:t>财务状况报告复印件，其他组织或</w:t>
            </w:r>
            <w:r>
              <w:rPr>
                <w:rFonts w:hint="eastAsia" w:ascii="Arial" w:hAnsi="Arial"/>
                <w:bCs/>
                <w:color w:val="auto"/>
                <w:szCs w:val="21"/>
                <w:highlight w:val="none"/>
                <w:lang w:eastAsia="zh-CN"/>
              </w:rPr>
              <w:t>投标人</w:t>
            </w:r>
            <w:r>
              <w:rPr>
                <w:rFonts w:ascii="Arial" w:hAnsi="Arial"/>
                <w:bCs/>
                <w:color w:val="auto"/>
                <w:szCs w:val="21"/>
                <w:highlight w:val="none"/>
              </w:rPr>
              <w:t>新成立不足一年提供银行出具的资信证明材料复印件；（财务状况报告尚未审计的，可提供财务报表）</w:t>
            </w:r>
          </w:p>
        </w:tc>
        <w:tc>
          <w:tcPr>
            <w:tcW w:w="1270" w:type="dxa"/>
            <w:vMerge w:val="continue"/>
            <w:tcBorders>
              <w:tl2br w:val="nil"/>
              <w:tr2bl w:val="nil"/>
            </w:tcBorders>
            <w:tcMar>
              <w:top w:w="57" w:type="dxa"/>
              <w:left w:w="57" w:type="dxa"/>
              <w:bottom w:w="57" w:type="dxa"/>
              <w:right w:w="57" w:type="dxa"/>
            </w:tcMar>
            <w:vAlign w:val="center"/>
          </w:tcPr>
          <w:p>
            <w:pPr>
              <w:jc w:val="left"/>
              <w:rPr>
                <w:rFonts w:ascii="Arial" w:hAnsi="Arial"/>
                <w:bCs/>
                <w:color w:val="auto"/>
                <w:szCs w:val="21"/>
                <w:highlight w:val="none"/>
              </w:rPr>
            </w:pPr>
          </w:p>
        </w:tc>
        <w:tc>
          <w:tcPr>
            <w:tcW w:w="2611"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r>
              <w:rPr>
                <w:rFonts w:ascii="Arial" w:hAnsi="Arial"/>
                <w:bCs/>
                <w:color w:val="auto"/>
                <w:szCs w:val="21"/>
                <w:highlight w:val="none"/>
              </w:rPr>
              <w:t>第（ ）页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482" w:hRule="atLeast"/>
          <w:tblHeader/>
          <w:jc w:val="center"/>
        </w:trPr>
        <w:tc>
          <w:tcPr>
            <w:tcW w:w="1079" w:type="dxa"/>
            <w:vMerge w:val="continue"/>
            <w:tcBorders>
              <w:tl2br w:val="nil"/>
              <w:tr2bl w:val="nil"/>
            </w:tcBorders>
            <w:tcMar>
              <w:top w:w="57" w:type="dxa"/>
              <w:left w:w="57" w:type="dxa"/>
              <w:bottom w:w="57" w:type="dxa"/>
              <w:right w:w="57" w:type="dxa"/>
            </w:tcMar>
            <w:vAlign w:val="center"/>
          </w:tcPr>
          <w:p>
            <w:pPr>
              <w:pStyle w:val="36"/>
              <w:spacing w:before="0" w:beforeAutospacing="0" w:after="0" w:afterAutospacing="0"/>
              <w:jc w:val="center"/>
              <w:rPr>
                <w:rFonts w:ascii="Times New Roman" w:hAnsi="Times New Roman"/>
                <w:color w:val="auto"/>
                <w:w w:val="80"/>
                <w:highlight w:val="none"/>
              </w:rPr>
            </w:pPr>
          </w:p>
        </w:tc>
        <w:tc>
          <w:tcPr>
            <w:tcW w:w="3973"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r>
              <w:rPr>
                <w:rFonts w:ascii="Arial" w:hAnsi="Arial"/>
                <w:bCs/>
                <w:color w:val="auto"/>
                <w:szCs w:val="21"/>
                <w:highlight w:val="none"/>
              </w:rPr>
              <w:t>4、</w:t>
            </w:r>
            <w:r>
              <w:rPr>
                <w:rFonts w:hint="eastAsia" w:ascii="Arial" w:hAnsi="Arial"/>
                <w:bCs/>
                <w:color w:val="auto"/>
                <w:szCs w:val="21"/>
                <w:highlight w:val="none"/>
              </w:rPr>
              <w:t>投标人距离开标日近六个月任意一个月的</w:t>
            </w:r>
            <w:r>
              <w:rPr>
                <w:rFonts w:ascii="Arial" w:hAnsi="Arial"/>
                <w:bCs/>
                <w:color w:val="auto"/>
                <w:szCs w:val="21"/>
                <w:highlight w:val="none"/>
              </w:rPr>
              <w:t>缴纳税收的凭据证明材料复印件；如依法免税的，应提供相应文件证明其依法免税；</w:t>
            </w:r>
          </w:p>
        </w:tc>
        <w:tc>
          <w:tcPr>
            <w:tcW w:w="1270" w:type="dxa"/>
            <w:vMerge w:val="continue"/>
            <w:tcBorders>
              <w:tl2br w:val="nil"/>
              <w:tr2bl w:val="nil"/>
            </w:tcBorders>
            <w:tcMar>
              <w:top w:w="57" w:type="dxa"/>
              <w:left w:w="57" w:type="dxa"/>
              <w:bottom w:w="57" w:type="dxa"/>
              <w:right w:w="57" w:type="dxa"/>
            </w:tcMar>
            <w:vAlign w:val="center"/>
          </w:tcPr>
          <w:p>
            <w:pPr>
              <w:jc w:val="left"/>
              <w:rPr>
                <w:rFonts w:ascii="Arial" w:hAnsi="Arial"/>
                <w:bCs/>
                <w:color w:val="auto"/>
                <w:szCs w:val="21"/>
                <w:highlight w:val="none"/>
              </w:rPr>
            </w:pPr>
          </w:p>
        </w:tc>
        <w:tc>
          <w:tcPr>
            <w:tcW w:w="2611"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r>
              <w:rPr>
                <w:rFonts w:ascii="Arial" w:hAnsi="Arial"/>
                <w:bCs/>
                <w:color w:val="auto"/>
                <w:szCs w:val="21"/>
                <w:highlight w:val="none"/>
              </w:rPr>
              <w:t>第（ ）页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482" w:hRule="atLeast"/>
          <w:tblHeader/>
          <w:jc w:val="center"/>
        </w:trPr>
        <w:tc>
          <w:tcPr>
            <w:tcW w:w="1079" w:type="dxa"/>
            <w:vMerge w:val="continue"/>
            <w:tcBorders>
              <w:tl2br w:val="nil"/>
              <w:tr2bl w:val="nil"/>
            </w:tcBorders>
            <w:tcMar>
              <w:top w:w="57" w:type="dxa"/>
              <w:left w:w="57" w:type="dxa"/>
              <w:bottom w:w="57" w:type="dxa"/>
              <w:right w:w="57" w:type="dxa"/>
            </w:tcMar>
            <w:vAlign w:val="center"/>
          </w:tcPr>
          <w:p>
            <w:pPr>
              <w:pStyle w:val="36"/>
              <w:spacing w:before="0" w:beforeAutospacing="0" w:after="0" w:afterAutospacing="0"/>
              <w:jc w:val="center"/>
              <w:rPr>
                <w:rFonts w:ascii="Times New Roman" w:hAnsi="Times New Roman"/>
                <w:color w:val="auto"/>
                <w:w w:val="80"/>
                <w:highlight w:val="none"/>
              </w:rPr>
            </w:pPr>
          </w:p>
        </w:tc>
        <w:tc>
          <w:tcPr>
            <w:tcW w:w="3973"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r>
              <w:rPr>
                <w:rFonts w:ascii="Arial" w:hAnsi="Arial"/>
                <w:bCs/>
                <w:color w:val="auto"/>
                <w:szCs w:val="21"/>
                <w:highlight w:val="none"/>
              </w:rPr>
              <w:t>5、</w:t>
            </w:r>
            <w:r>
              <w:rPr>
                <w:rFonts w:hint="eastAsia" w:ascii="Arial" w:hAnsi="Arial"/>
                <w:bCs/>
                <w:color w:val="auto"/>
                <w:szCs w:val="21"/>
                <w:highlight w:val="none"/>
              </w:rPr>
              <w:t>投标人距离开标日近六个月任意一个月的</w:t>
            </w:r>
            <w:r>
              <w:rPr>
                <w:rFonts w:ascii="Arial" w:hAnsi="Arial"/>
                <w:bCs/>
                <w:color w:val="auto"/>
                <w:szCs w:val="21"/>
                <w:highlight w:val="none"/>
              </w:rPr>
              <w:t>缴纳社会保险的凭据证明材料复印件；如依法不需要缴纳社会保障资金的，应提供相应文件证明其依法不需要缴纳社会保障资金；</w:t>
            </w:r>
          </w:p>
        </w:tc>
        <w:tc>
          <w:tcPr>
            <w:tcW w:w="1270" w:type="dxa"/>
            <w:vMerge w:val="continue"/>
            <w:tcBorders>
              <w:tl2br w:val="nil"/>
              <w:tr2bl w:val="nil"/>
            </w:tcBorders>
            <w:tcMar>
              <w:top w:w="57" w:type="dxa"/>
              <w:left w:w="57" w:type="dxa"/>
              <w:bottom w:w="57" w:type="dxa"/>
              <w:right w:w="57" w:type="dxa"/>
            </w:tcMar>
            <w:vAlign w:val="center"/>
          </w:tcPr>
          <w:p>
            <w:pPr>
              <w:jc w:val="left"/>
              <w:rPr>
                <w:rFonts w:ascii="Arial" w:hAnsi="Arial"/>
                <w:bCs/>
                <w:color w:val="auto"/>
                <w:szCs w:val="21"/>
                <w:highlight w:val="none"/>
              </w:rPr>
            </w:pPr>
          </w:p>
        </w:tc>
        <w:tc>
          <w:tcPr>
            <w:tcW w:w="2611"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r>
              <w:rPr>
                <w:rFonts w:ascii="Arial" w:hAnsi="Arial"/>
                <w:bCs/>
                <w:color w:val="auto"/>
                <w:szCs w:val="21"/>
                <w:highlight w:val="none"/>
              </w:rPr>
              <w:t>第（ ）页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482" w:hRule="atLeast"/>
          <w:tblHeader/>
          <w:jc w:val="center"/>
        </w:trPr>
        <w:tc>
          <w:tcPr>
            <w:tcW w:w="1079" w:type="dxa"/>
            <w:vMerge w:val="continue"/>
            <w:tcBorders>
              <w:tl2br w:val="nil"/>
              <w:tr2bl w:val="nil"/>
            </w:tcBorders>
            <w:tcMar>
              <w:top w:w="57" w:type="dxa"/>
              <w:left w:w="57" w:type="dxa"/>
              <w:bottom w:w="57" w:type="dxa"/>
              <w:right w:w="57" w:type="dxa"/>
            </w:tcMar>
            <w:vAlign w:val="center"/>
          </w:tcPr>
          <w:p>
            <w:pPr>
              <w:pStyle w:val="36"/>
              <w:spacing w:before="0" w:beforeAutospacing="0" w:after="0" w:afterAutospacing="0"/>
              <w:jc w:val="center"/>
              <w:rPr>
                <w:rFonts w:ascii="Times New Roman" w:hAnsi="Times New Roman"/>
                <w:color w:val="auto"/>
                <w:w w:val="80"/>
                <w:highlight w:val="none"/>
              </w:rPr>
            </w:pPr>
          </w:p>
        </w:tc>
        <w:tc>
          <w:tcPr>
            <w:tcW w:w="3973"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r>
              <w:rPr>
                <w:rFonts w:ascii="Arial" w:hAnsi="Arial"/>
                <w:bCs/>
                <w:color w:val="auto"/>
                <w:szCs w:val="21"/>
                <w:highlight w:val="none"/>
              </w:rPr>
              <w:t>6、若以不具有独立承担民事责任能力的分支机构投标，须取得具有法人资格的总公司的授权书，并提供总公司营业执照副本复印件。</w:t>
            </w:r>
          </w:p>
        </w:tc>
        <w:tc>
          <w:tcPr>
            <w:tcW w:w="1270" w:type="dxa"/>
            <w:tcBorders>
              <w:tl2br w:val="nil"/>
              <w:tr2bl w:val="nil"/>
            </w:tcBorders>
            <w:tcMar>
              <w:top w:w="57" w:type="dxa"/>
              <w:left w:w="57" w:type="dxa"/>
              <w:bottom w:w="57" w:type="dxa"/>
              <w:right w:w="57" w:type="dxa"/>
            </w:tcMar>
            <w:vAlign w:val="center"/>
          </w:tcPr>
          <w:p>
            <w:pPr>
              <w:jc w:val="left"/>
              <w:rPr>
                <w:rFonts w:ascii="Arial" w:hAnsi="Arial"/>
                <w:bCs/>
                <w:color w:val="auto"/>
                <w:szCs w:val="21"/>
                <w:highlight w:val="none"/>
              </w:rPr>
            </w:pPr>
            <w:r>
              <w:rPr>
                <w:rFonts w:ascii="Arial" w:hAnsi="Arial"/>
                <w:bCs/>
                <w:color w:val="auto"/>
                <w:szCs w:val="21"/>
                <w:highlight w:val="none"/>
              </w:rPr>
              <w:t>□通过</w:t>
            </w:r>
          </w:p>
          <w:p>
            <w:pPr>
              <w:jc w:val="left"/>
              <w:rPr>
                <w:rFonts w:ascii="Arial" w:hAnsi="Arial"/>
                <w:bCs/>
                <w:color w:val="auto"/>
                <w:szCs w:val="21"/>
                <w:highlight w:val="none"/>
              </w:rPr>
            </w:pPr>
            <w:r>
              <w:rPr>
                <w:rFonts w:ascii="Arial" w:hAnsi="Arial"/>
                <w:bCs/>
                <w:color w:val="auto"/>
                <w:szCs w:val="21"/>
                <w:highlight w:val="none"/>
              </w:rPr>
              <w:t>□不通过</w:t>
            </w:r>
          </w:p>
        </w:tc>
        <w:tc>
          <w:tcPr>
            <w:tcW w:w="2611"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r>
              <w:rPr>
                <w:rFonts w:ascii="Arial" w:hAnsi="Arial"/>
                <w:bCs/>
                <w:color w:val="auto"/>
                <w:szCs w:val="21"/>
                <w:highlight w:val="none"/>
              </w:rPr>
              <w:t>第（ ）页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90" w:hRule="atLeast"/>
          <w:tblHeader/>
          <w:jc w:val="center"/>
        </w:trPr>
        <w:tc>
          <w:tcPr>
            <w:tcW w:w="1079" w:type="dxa"/>
            <w:vMerge w:val="continue"/>
            <w:tcBorders>
              <w:tl2br w:val="nil"/>
              <w:tr2bl w:val="nil"/>
            </w:tcBorders>
            <w:tcMar>
              <w:top w:w="57" w:type="dxa"/>
              <w:left w:w="57" w:type="dxa"/>
              <w:bottom w:w="57" w:type="dxa"/>
              <w:right w:w="57" w:type="dxa"/>
            </w:tcMar>
            <w:vAlign w:val="center"/>
          </w:tcPr>
          <w:p>
            <w:pPr>
              <w:pStyle w:val="36"/>
              <w:spacing w:before="0" w:beforeAutospacing="0" w:after="0" w:afterAutospacing="0"/>
              <w:jc w:val="center"/>
              <w:rPr>
                <w:rFonts w:ascii="Times New Roman" w:hAnsi="Times New Roman"/>
                <w:color w:val="auto"/>
                <w:w w:val="80"/>
                <w:highlight w:val="none"/>
              </w:rPr>
            </w:pPr>
          </w:p>
        </w:tc>
        <w:tc>
          <w:tcPr>
            <w:tcW w:w="3973"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r>
              <w:rPr>
                <w:rFonts w:ascii="Arial" w:hAnsi="Arial"/>
                <w:bCs/>
                <w:color w:val="auto"/>
                <w:szCs w:val="21"/>
                <w:highlight w:val="none"/>
              </w:rPr>
              <w:t>7、提供具有履行合同所必需的设备和专业技术能力的书面声明。</w:t>
            </w:r>
          </w:p>
        </w:tc>
        <w:tc>
          <w:tcPr>
            <w:tcW w:w="1270" w:type="dxa"/>
            <w:tcBorders>
              <w:tl2br w:val="nil"/>
              <w:tr2bl w:val="nil"/>
            </w:tcBorders>
            <w:tcMar>
              <w:top w:w="57" w:type="dxa"/>
              <w:left w:w="57" w:type="dxa"/>
              <w:bottom w:w="57" w:type="dxa"/>
              <w:right w:w="57" w:type="dxa"/>
            </w:tcMar>
            <w:vAlign w:val="center"/>
          </w:tcPr>
          <w:p>
            <w:pPr>
              <w:jc w:val="left"/>
              <w:rPr>
                <w:rFonts w:ascii="Arial" w:hAnsi="Arial"/>
                <w:bCs/>
                <w:color w:val="auto"/>
                <w:szCs w:val="21"/>
                <w:highlight w:val="none"/>
              </w:rPr>
            </w:pPr>
            <w:r>
              <w:rPr>
                <w:rFonts w:ascii="Arial" w:hAnsi="Arial"/>
                <w:bCs/>
                <w:color w:val="auto"/>
                <w:szCs w:val="21"/>
                <w:highlight w:val="none"/>
              </w:rPr>
              <w:t>□通过</w:t>
            </w:r>
          </w:p>
          <w:p>
            <w:pPr>
              <w:jc w:val="left"/>
              <w:rPr>
                <w:rFonts w:ascii="Arial" w:hAnsi="Arial"/>
                <w:bCs/>
                <w:color w:val="auto"/>
                <w:szCs w:val="21"/>
                <w:highlight w:val="none"/>
              </w:rPr>
            </w:pPr>
            <w:r>
              <w:rPr>
                <w:rFonts w:ascii="Arial" w:hAnsi="Arial"/>
                <w:bCs/>
                <w:color w:val="auto"/>
                <w:szCs w:val="21"/>
                <w:highlight w:val="none"/>
              </w:rPr>
              <w:t>□不通过</w:t>
            </w:r>
          </w:p>
        </w:tc>
        <w:tc>
          <w:tcPr>
            <w:tcW w:w="2611"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r>
              <w:rPr>
                <w:rFonts w:ascii="Arial" w:hAnsi="Arial"/>
                <w:bCs/>
                <w:color w:val="auto"/>
                <w:szCs w:val="21"/>
                <w:highlight w:val="none"/>
              </w:rPr>
              <w:t>第（ ）页</w:t>
            </w:r>
          </w:p>
          <w:p>
            <w:pPr>
              <w:rPr>
                <w:rFonts w:ascii="Arial" w:hAnsi="Arial"/>
                <w:bCs/>
                <w:color w:val="auto"/>
                <w:szCs w:val="21"/>
                <w:highlight w:val="none"/>
              </w:rPr>
            </w:pPr>
            <w:r>
              <w:rPr>
                <w:rFonts w:ascii="Arial" w:hAnsi="Arial"/>
                <w:bCs/>
                <w:color w:val="auto"/>
                <w:szCs w:val="21"/>
                <w:highlight w:val="none"/>
              </w:rPr>
              <w:t>（</w:t>
            </w:r>
            <w:r>
              <w:rPr>
                <w:rFonts w:hint="eastAsia" w:ascii="Arial" w:hAnsi="Arial"/>
                <w:bCs/>
                <w:color w:val="auto"/>
                <w:szCs w:val="21"/>
                <w:highlight w:val="none"/>
              </w:rPr>
              <w:t>格式见附件</w:t>
            </w:r>
            <w:r>
              <w:rPr>
                <w:rFonts w:ascii="Arial" w:hAnsi="Arial"/>
                <w:bCs/>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482" w:hRule="atLeast"/>
          <w:tblHeader/>
          <w:jc w:val="center"/>
        </w:trPr>
        <w:tc>
          <w:tcPr>
            <w:tcW w:w="1079" w:type="dxa"/>
            <w:vMerge w:val="continue"/>
            <w:tcBorders>
              <w:tl2br w:val="nil"/>
              <w:tr2bl w:val="nil"/>
            </w:tcBorders>
            <w:tcMar>
              <w:top w:w="57" w:type="dxa"/>
              <w:left w:w="57" w:type="dxa"/>
              <w:bottom w:w="57" w:type="dxa"/>
              <w:right w:w="57" w:type="dxa"/>
            </w:tcMar>
            <w:vAlign w:val="center"/>
          </w:tcPr>
          <w:p>
            <w:pPr>
              <w:pStyle w:val="36"/>
              <w:spacing w:before="0" w:beforeAutospacing="0" w:after="0" w:afterAutospacing="0"/>
              <w:jc w:val="center"/>
              <w:rPr>
                <w:rFonts w:ascii="Times New Roman" w:hAnsi="Times New Roman"/>
                <w:color w:val="auto"/>
                <w:w w:val="80"/>
                <w:highlight w:val="none"/>
              </w:rPr>
            </w:pPr>
          </w:p>
        </w:tc>
        <w:tc>
          <w:tcPr>
            <w:tcW w:w="3973"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r>
              <w:rPr>
                <w:rFonts w:ascii="Arial" w:hAnsi="Arial"/>
                <w:bCs/>
                <w:color w:val="auto"/>
                <w:szCs w:val="21"/>
                <w:highlight w:val="none"/>
              </w:rPr>
              <w:t>8、提供参加政府采购活动前3年内在经营活动中没有重大违法记录的书面声明。</w:t>
            </w:r>
          </w:p>
        </w:tc>
        <w:tc>
          <w:tcPr>
            <w:tcW w:w="1270" w:type="dxa"/>
            <w:tcBorders>
              <w:tl2br w:val="nil"/>
              <w:tr2bl w:val="nil"/>
            </w:tcBorders>
            <w:tcMar>
              <w:top w:w="57" w:type="dxa"/>
              <w:left w:w="57" w:type="dxa"/>
              <w:bottom w:w="57" w:type="dxa"/>
              <w:right w:w="57" w:type="dxa"/>
            </w:tcMar>
            <w:vAlign w:val="center"/>
          </w:tcPr>
          <w:p>
            <w:pPr>
              <w:jc w:val="left"/>
              <w:rPr>
                <w:rFonts w:ascii="Arial" w:hAnsi="Arial"/>
                <w:bCs/>
                <w:color w:val="auto"/>
                <w:szCs w:val="21"/>
                <w:highlight w:val="none"/>
              </w:rPr>
            </w:pPr>
            <w:r>
              <w:rPr>
                <w:rFonts w:ascii="Arial" w:hAnsi="Arial"/>
                <w:bCs/>
                <w:color w:val="auto"/>
                <w:szCs w:val="21"/>
                <w:highlight w:val="none"/>
              </w:rPr>
              <w:t>□通过</w:t>
            </w:r>
          </w:p>
          <w:p>
            <w:pPr>
              <w:jc w:val="left"/>
              <w:rPr>
                <w:rFonts w:ascii="Arial" w:hAnsi="Arial"/>
                <w:bCs/>
                <w:color w:val="auto"/>
                <w:szCs w:val="21"/>
                <w:highlight w:val="none"/>
              </w:rPr>
            </w:pPr>
            <w:r>
              <w:rPr>
                <w:rFonts w:ascii="Arial" w:hAnsi="Arial"/>
                <w:bCs/>
                <w:color w:val="auto"/>
                <w:szCs w:val="21"/>
                <w:highlight w:val="none"/>
              </w:rPr>
              <w:t>□不通过</w:t>
            </w:r>
          </w:p>
        </w:tc>
        <w:tc>
          <w:tcPr>
            <w:tcW w:w="2611"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r>
              <w:rPr>
                <w:rFonts w:ascii="Arial" w:hAnsi="Arial"/>
                <w:bCs/>
                <w:color w:val="auto"/>
                <w:szCs w:val="21"/>
                <w:highlight w:val="none"/>
              </w:rPr>
              <w:t>第（ ）页</w:t>
            </w:r>
          </w:p>
          <w:p>
            <w:pPr>
              <w:rPr>
                <w:color w:val="auto"/>
                <w:w w:val="80"/>
                <w:sz w:val="24"/>
                <w:highlight w:val="none"/>
              </w:rPr>
            </w:pPr>
            <w:r>
              <w:rPr>
                <w:rFonts w:ascii="Arial" w:hAnsi="Arial"/>
                <w:bCs/>
                <w:color w:val="auto"/>
                <w:szCs w:val="21"/>
                <w:highlight w:val="none"/>
              </w:rPr>
              <w:t>（</w:t>
            </w:r>
            <w:r>
              <w:rPr>
                <w:rFonts w:hint="eastAsia" w:ascii="Arial" w:hAnsi="Arial"/>
                <w:bCs/>
                <w:color w:val="auto"/>
                <w:szCs w:val="21"/>
                <w:highlight w:val="none"/>
              </w:rPr>
              <w:t>格式见附件</w:t>
            </w:r>
            <w:r>
              <w:rPr>
                <w:rFonts w:ascii="Arial" w:hAnsi="Arial"/>
                <w:bCs/>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482" w:hRule="atLeast"/>
          <w:tblHeader/>
          <w:jc w:val="center"/>
        </w:trPr>
        <w:tc>
          <w:tcPr>
            <w:tcW w:w="1079" w:type="dxa"/>
            <w:vMerge w:val="continue"/>
            <w:tcBorders>
              <w:tl2br w:val="nil"/>
              <w:tr2bl w:val="nil"/>
            </w:tcBorders>
            <w:tcMar>
              <w:top w:w="57" w:type="dxa"/>
              <w:left w:w="57" w:type="dxa"/>
              <w:bottom w:w="57" w:type="dxa"/>
              <w:right w:w="57" w:type="dxa"/>
            </w:tcMar>
            <w:vAlign w:val="center"/>
          </w:tcPr>
          <w:p>
            <w:pPr>
              <w:pStyle w:val="36"/>
              <w:spacing w:before="0" w:beforeAutospacing="0" w:after="0" w:afterAutospacing="0"/>
              <w:jc w:val="center"/>
              <w:rPr>
                <w:rFonts w:ascii="Times New Roman" w:hAnsi="Times New Roman"/>
                <w:color w:val="auto"/>
                <w:w w:val="80"/>
                <w:highlight w:val="none"/>
              </w:rPr>
            </w:pPr>
          </w:p>
        </w:tc>
        <w:tc>
          <w:tcPr>
            <w:tcW w:w="3973" w:type="dxa"/>
            <w:tcBorders>
              <w:tl2br w:val="nil"/>
              <w:tr2bl w:val="nil"/>
            </w:tcBorders>
            <w:tcMar>
              <w:top w:w="57" w:type="dxa"/>
              <w:left w:w="57" w:type="dxa"/>
              <w:bottom w:w="57" w:type="dxa"/>
              <w:right w:w="57" w:type="dxa"/>
            </w:tcMar>
            <w:vAlign w:val="center"/>
          </w:tcPr>
          <w:p>
            <w:pPr>
              <w:rPr>
                <w:color w:val="auto"/>
                <w:w w:val="80"/>
                <w:sz w:val="24"/>
                <w:highlight w:val="none"/>
              </w:rPr>
            </w:pPr>
            <w:r>
              <w:rPr>
                <w:rFonts w:ascii="Arial" w:hAnsi="Arial"/>
                <w:b/>
                <w:color w:val="auto"/>
                <w:szCs w:val="21"/>
                <w:highlight w:val="none"/>
              </w:rPr>
              <w:t>二、</w:t>
            </w:r>
            <w:r>
              <w:rPr>
                <w:rFonts w:hint="eastAsia" w:ascii="Arial" w:hAnsi="Arial"/>
                <w:b/>
                <w:color w:val="auto"/>
                <w:szCs w:val="21"/>
                <w:highlight w:val="none"/>
                <w:lang w:val="en-US" w:eastAsia="zh-CN"/>
              </w:rPr>
              <w:t>落实政府采购政策需满足的资格要求</w:t>
            </w:r>
            <w:r>
              <w:rPr>
                <w:rFonts w:ascii="Arial" w:hAnsi="Arial"/>
                <w:b/>
                <w:color w:val="auto"/>
                <w:szCs w:val="21"/>
                <w:highlight w:val="none"/>
              </w:rPr>
              <w:t>：</w:t>
            </w:r>
          </w:p>
        </w:tc>
        <w:tc>
          <w:tcPr>
            <w:tcW w:w="1270" w:type="dxa"/>
            <w:tcBorders>
              <w:tl2br w:val="nil"/>
              <w:tr2bl w:val="nil"/>
            </w:tcBorders>
            <w:tcMar>
              <w:top w:w="57" w:type="dxa"/>
              <w:left w:w="57" w:type="dxa"/>
              <w:bottom w:w="57" w:type="dxa"/>
              <w:right w:w="57" w:type="dxa"/>
            </w:tcMar>
            <w:vAlign w:val="center"/>
          </w:tcPr>
          <w:p>
            <w:pPr>
              <w:jc w:val="left"/>
              <w:rPr>
                <w:color w:val="auto"/>
                <w:w w:val="80"/>
                <w:sz w:val="24"/>
                <w:highlight w:val="none"/>
              </w:rPr>
            </w:pPr>
          </w:p>
        </w:tc>
        <w:tc>
          <w:tcPr>
            <w:tcW w:w="2611" w:type="dxa"/>
            <w:tcBorders>
              <w:tl2br w:val="nil"/>
              <w:tr2bl w:val="nil"/>
            </w:tcBorders>
            <w:tcMar>
              <w:top w:w="57" w:type="dxa"/>
              <w:left w:w="57" w:type="dxa"/>
              <w:bottom w:w="57" w:type="dxa"/>
              <w:right w:w="57" w:type="dxa"/>
            </w:tcMar>
            <w:vAlign w:val="center"/>
          </w:tcPr>
          <w:p>
            <w:pPr>
              <w:jc w:val="center"/>
              <w:rPr>
                <w:color w:val="auto"/>
                <w:w w:val="80"/>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482" w:hRule="atLeast"/>
          <w:tblHeader/>
          <w:jc w:val="center"/>
        </w:trPr>
        <w:tc>
          <w:tcPr>
            <w:tcW w:w="1079" w:type="dxa"/>
            <w:vMerge w:val="continue"/>
            <w:tcBorders>
              <w:tl2br w:val="nil"/>
              <w:tr2bl w:val="nil"/>
            </w:tcBorders>
            <w:tcMar>
              <w:top w:w="57" w:type="dxa"/>
              <w:left w:w="57" w:type="dxa"/>
              <w:bottom w:w="57" w:type="dxa"/>
              <w:right w:w="57" w:type="dxa"/>
            </w:tcMar>
            <w:vAlign w:val="center"/>
          </w:tcPr>
          <w:p>
            <w:pPr>
              <w:rPr>
                <w:color w:val="auto"/>
                <w:w w:val="80"/>
                <w:sz w:val="24"/>
                <w:highlight w:val="none"/>
              </w:rPr>
            </w:pPr>
          </w:p>
        </w:tc>
        <w:tc>
          <w:tcPr>
            <w:tcW w:w="3973" w:type="dxa"/>
            <w:tcBorders>
              <w:tl2br w:val="nil"/>
              <w:tr2bl w:val="nil"/>
            </w:tcBorders>
            <w:tcMar>
              <w:top w:w="57" w:type="dxa"/>
              <w:left w:w="57" w:type="dxa"/>
              <w:bottom w:w="57" w:type="dxa"/>
              <w:right w:w="57" w:type="dxa"/>
            </w:tcMar>
            <w:vAlign w:val="center"/>
          </w:tcPr>
          <w:p>
            <w:pPr>
              <w:rPr>
                <w:rFonts w:ascii="Arial" w:hAnsi="Arial" w:eastAsia="宋体" w:cs="Times New Roman"/>
                <w:bCs/>
                <w:color w:val="auto"/>
                <w:kern w:val="2"/>
                <w:sz w:val="21"/>
                <w:szCs w:val="21"/>
                <w:highlight w:val="none"/>
                <w:lang w:val="en-US" w:eastAsia="zh-CN" w:bidi="ar-SA"/>
              </w:rPr>
            </w:pPr>
            <w:r>
              <w:rPr>
                <w:rFonts w:hint="eastAsia" w:ascii="Arial" w:hAnsi="Arial"/>
                <w:bCs/>
                <w:color w:val="auto"/>
                <w:szCs w:val="21"/>
                <w:highlight w:val="none"/>
                <w:lang w:val="en-US" w:eastAsia="zh-CN"/>
              </w:rPr>
              <w:t>1</w:t>
            </w:r>
            <w:r>
              <w:rPr>
                <w:rFonts w:hint="eastAsia" w:ascii="Arial" w:hAnsi="Arial"/>
                <w:bCs/>
                <w:color w:val="auto"/>
                <w:szCs w:val="21"/>
                <w:highlight w:val="none"/>
              </w:rPr>
              <w:t>、</w:t>
            </w:r>
            <w:r>
              <w:rPr>
                <w:rFonts w:hint="eastAsia" w:ascii="Arial" w:hAnsi="Arial"/>
                <w:bCs/>
                <w:color w:val="auto"/>
                <w:szCs w:val="21"/>
                <w:highlight w:val="none"/>
                <w:lang w:eastAsia="zh-CN"/>
              </w:rPr>
              <w:t>投标人</w:t>
            </w:r>
            <w:r>
              <w:rPr>
                <w:rFonts w:ascii="Arial" w:hAnsi="Arial"/>
                <w:bCs/>
                <w:color w:val="auto"/>
                <w:szCs w:val="21"/>
                <w:highlight w:val="none"/>
              </w:rPr>
              <w:t>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w:t>
            </w:r>
          </w:p>
        </w:tc>
        <w:tc>
          <w:tcPr>
            <w:tcW w:w="1270" w:type="dxa"/>
            <w:tcBorders>
              <w:tl2br w:val="nil"/>
              <w:tr2bl w:val="nil"/>
            </w:tcBorders>
            <w:tcMar>
              <w:top w:w="57" w:type="dxa"/>
              <w:left w:w="57" w:type="dxa"/>
              <w:bottom w:w="57" w:type="dxa"/>
              <w:right w:w="57" w:type="dxa"/>
            </w:tcMar>
            <w:vAlign w:val="center"/>
          </w:tcPr>
          <w:p>
            <w:pPr>
              <w:jc w:val="left"/>
              <w:rPr>
                <w:rFonts w:ascii="Arial" w:hAnsi="Arial"/>
                <w:bCs/>
                <w:color w:val="auto"/>
                <w:szCs w:val="21"/>
                <w:highlight w:val="none"/>
              </w:rPr>
            </w:pPr>
            <w:r>
              <w:rPr>
                <w:rFonts w:ascii="Arial" w:hAnsi="Arial"/>
                <w:bCs/>
                <w:color w:val="auto"/>
                <w:szCs w:val="21"/>
                <w:highlight w:val="none"/>
              </w:rPr>
              <w:t>□通过</w:t>
            </w:r>
          </w:p>
          <w:p>
            <w:pPr>
              <w:jc w:val="left"/>
              <w:rPr>
                <w:rFonts w:ascii="Arial" w:hAnsi="Arial" w:eastAsia="宋体" w:cs="Times New Roman"/>
                <w:bCs/>
                <w:color w:val="auto"/>
                <w:kern w:val="2"/>
                <w:sz w:val="21"/>
                <w:szCs w:val="21"/>
                <w:highlight w:val="none"/>
                <w:lang w:val="en-US" w:eastAsia="zh-CN" w:bidi="ar-SA"/>
              </w:rPr>
            </w:pPr>
            <w:r>
              <w:rPr>
                <w:rFonts w:ascii="Arial" w:hAnsi="Arial"/>
                <w:bCs/>
                <w:color w:val="auto"/>
                <w:szCs w:val="21"/>
                <w:highlight w:val="none"/>
              </w:rPr>
              <w:t>□不通过</w:t>
            </w:r>
          </w:p>
        </w:tc>
        <w:tc>
          <w:tcPr>
            <w:tcW w:w="2611" w:type="dxa"/>
            <w:tcBorders>
              <w:tl2br w:val="nil"/>
              <w:tr2bl w:val="nil"/>
            </w:tcBorders>
            <w:tcMar>
              <w:top w:w="57" w:type="dxa"/>
              <w:left w:w="57" w:type="dxa"/>
              <w:bottom w:w="57" w:type="dxa"/>
              <w:right w:w="57" w:type="dxa"/>
            </w:tcMar>
            <w:vAlign w:val="center"/>
          </w:tcPr>
          <w:p>
            <w:pPr>
              <w:rPr>
                <w:rFonts w:ascii="Arial" w:hAnsi="Arial" w:eastAsia="宋体" w:cs="Times New Roman"/>
                <w:bCs/>
                <w:color w:val="auto"/>
                <w:kern w:val="2"/>
                <w:sz w:val="21"/>
                <w:szCs w:val="21"/>
                <w:highlight w:val="none"/>
                <w:lang w:val="en-US" w:eastAsia="zh-CN" w:bidi="ar-SA"/>
              </w:rPr>
            </w:pPr>
            <w:r>
              <w:rPr>
                <w:rFonts w:ascii="Arial" w:hAnsi="Arial"/>
                <w:bCs/>
                <w:color w:val="auto"/>
                <w:szCs w:val="21"/>
                <w:highlight w:val="none"/>
              </w:rPr>
              <w:t>以投标截止日当天在“信用中国”网站（www.creditchina.gov.cn）及中国政府采购网查询结果为准，如相关失信记录已失效；则</w:t>
            </w:r>
            <w:r>
              <w:rPr>
                <w:rFonts w:hint="eastAsia" w:ascii="Arial" w:hAnsi="Arial"/>
                <w:bCs/>
                <w:color w:val="auto"/>
                <w:szCs w:val="21"/>
                <w:highlight w:val="none"/>
                <w:lang w:eastAsia="zh-CN"/>
              </w:rPr>
              <w:t>投标人</w:t>
            </w:r>
            <w:r>
              <w:rPr>
                <w:rFonts w:ascii="Arial" w:hAnsi="Arial"/>
                <w:bCs/>
                <w:color w:val="auto"/>
                <w:szCs w:val="21"/>
                <w:highlight w:val="none"/>
              </w:rPr>
              <w:t>需提供相关证明资料）。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482" w:hRule="atLeast"/>
          <w:tblHeader/>
          <w:jc w:val="center"/>
        </w:trPr>
        <w:tc>
          <w:tcPr>
            <w:tcW w:w="1079" w:type="dxa"/>
            <w:vMerge w:val="continue"/>
            <w:tcBorders>
              <w:tl2br w:val="nil"/>
              <w:tr2bl w:val="nil"/>
            </w:tcBorders>
            <w:tcMar>
              <w:top w:w="57" w:type="dxa"/>
              <w:left w:w="57" w:type="dxa"/>
              <w:bottom w:w="57" w:type="dxa"/>
              <w:right w:w="57" w:type="dxa"/>
            </w:tcMar>
            <w:vAlign w:val="center"/>
          </w:tcPr>
          <w:p>
            <w:pPr>
              <w:rPr>
                <w:color w:val="auto"/>
                <w:w w:val="80"/>
                <w:sz w:val="24"/>
                <w:highlight w:val="none"/>
              </w:rPr>
            </w:pPr>
          </w:p>
        </w:tc>
        <w:tc>
          <w:tcPr>
            <w:tcW w:w="3973" w:type="dxa"/>
            <w:tcBorders>
              <w:tl2br w:val="nil"/>
              <w:tr2bl w:val="nil"/>
            </w:tcBorders>
            <w:tcMar>
              <w:top w:w="57" w:type="dxa"/>
              <w:left w:w="57" w:type="dxa"/>
              <w:bottom w:w="57" w:type="dxa"/>
              <w:right w:w="57" w:type="dxa"/>
            </w:tcMar>
            <w:vAlign w:val="center"/>
          </w:tcPr>
          <w:p>
            <w:pPr>
              <w:rPr>
                <w:rFonts w:ascii="Arial" w:hAnsi="Arial" w:eastAsia="宋体" w:cs="Times New Roman"/>
                <w:bCs/>
                <w:color w:val="auto"/>
                <w:kern w:val="2"/>
                <w:sz w:val="21"/>
                <w:szCs w:val="21"/>
                <w:highlight w:val="none"/>
                <w:lang w:val="en-US" w:eastAsia="zh-CN" w:bidi="ar-SA"/>
              </w:rPr>
            </w:pPr>
            <w:r>
              <w:rPr>
                <w:rFonts w:hint="eastAsia" w:ascii="Arial" w:hAnsi="Arial"/>
                <w:bCs/>
                <w:color w:val="auto"/>
                <w:szCs w:val="21"/>
                <w:highlight w:val="none"/>
                <w:lang w:val="en-US" w:eastAsia="zh-CN"/>
              </w:rPr>
              <w:t>2</w:t>
            </w:r>
            <w:r>
              <w:rPr>
                <w:rFonts w:hint="eastAsia" w:ascii="Arial" w:hAnsi="Arial"/>
                <w:bCs/>
                <w:color w:val="auto"/>
                <w:szCs w:val="21"/>
                <w:highlight w:val="none"/>
              </w:rPr>
              <w:t>、</w:t>
            </w:r>
            <w:r>
              <w:rPr>
                <w:rFonts w:ascii="Arial" w:hAnsi="Arial"/>
                <w:bCs/>
                <w:color w:val="auto"/>
                <w:szCs w:val="21"/>
                <w:highlight w:val="none"/>
              </w:rPr>
              <w:t>单位负责人为同一人或者存在直接控股、管理关系的不同供应商，不得参加本项目的政府采购活动。为本采购项目提供整体设计、规范编制或者项目管理、监理、检测等服务的供应商，不得再参加该采购项目的投标。</w:t>
            </w:r>
          </w:p>
        </w:tc>
        <w:tc>
          <w:tcPr>
            <w:tcW w:w="1270" w:type="dxa"/>
            <w:tcBorders>
              <w:tl2br w:val="nil"/>
              <w:tr2bl w:val="nil"/>
            </w:tcBorders>
            <w:tcMar>
              <w:top w:w="57" w:type="dxa"/>
              <w:left w:w="57" w:type="dxa"/>
              <w:bottom w:w="57" w:type="dxa"/>
              <w:right w:w="57" w:type="dxa"/>
            </w:tcMar>
            <w:vAlign w:val="center"/>
          </w:tcPr>
          <w:p>
            <w:pPr>
              <w:jc w:val="left"/>
              <w:rPr>
                <w:rFonts w:ascii="Arial" w:hAnsi="Arial"/>
                <w:bCs/>
                <w:color w:val="auto"/>
                <w:szCs w:val="21"/>
                <w:highlight w:val="none"/>
              </w:rPr>
            </w:pPr>
            <w:r>
              <w:rPr>
                <w:rFonts w:ascii="Arial" w:hAnsi="Arial"/>
                <w:bCs/>
                <w:color w:val="auto"/>
                <w:szCs w:val="21"/>
                <w:highlight w:val="none"/>
              </w:rPr>
              <w:t>□通过</w:t>
            </w:r>
          </w:p>
          <w:p>
            <w:pPr>
              <w:jc w:val="left"/>
              <w:rPr>
                <w:rFonts w:ascii="Arial" w:hAnsi="Arial" w:eastAsia="宋体" w:cs="Times New Roman"/>
                <w:bCs/>
                <w:color w:val="auto"/>
                <w:kern w:val="2"/>
                <w:sz w:val="21"/>
                <w:szCs w:val="21"/>
                <w:highlight w:val="none"/>
                <w:lang w:val="en-US" w:eastAsia="zh-CN" w:bidi="ar-SA"/>
              </w:rPr>
            </w:pPr>
            <w:r>
              <w:rPr>
                <w:rFonts w:ascii="Arial" w:hAnsi="Arial"/>
                <w:bCs/>
                <w:color w:val="auto"/>
                <w:szCs w:val="21"/>
                <w:highlight w:val="none"/>
              </w:rPr>
              <w:t>□不通过</w:t>
            </w:r>
          </w:p>
        </w:tc>
        <w:tc>
          <w:tcPr>
            <w:tcW w:w="2611"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r>
              <w:rPr>
                <w:rFonts w:ascii="Arial" w:hAnsi="Arial"/>
                <w:bCs/>
                <w:color w:val="auto"/>
                <w:szCs w:val="21"/>
                <w:highlight w:val="none"/>
              </w:rPr>
              <w:t>第（ ）页</w:t>
            </w:r>
          </w:p>
          <w:p>
            <w:pPr>
              <w:rPr>
                <w:rFonts w:ascii="Arial" w:hAnsi="Arial" w:eastAsia="宋体" w:cs="Times New Roman"/>
                <w:bCs/>
                <w:color w:val="auto"/>
                <w:kern w:val="2"/>
                <w:sz w:val="21"/>
                <w:szCs w:val="21"/>
                <w:highlight w:val="none"/>
                <w:lang w:val="en-US" w:eastAsia="zh-CN" w:bidi="ar-SA"/>
              </w:rPr>
            </w:pPr>
            <w:r>
              <w:rPr>
                <w:rFonts w:ascii="Arial" w:hAnsi="Arial"/>
                <w:bCs/>
                <w:color w:val="auto"/>
                <w:szCs w:val="21"/>
                <w:highlight w:val="none"/>
              </w:rPr>
              <w:t>（</w:t>
            </w:r>
            <w:r>
              <w:rPr>
                <w:rFonts w:hint="eastAsia" w:ascii="Arial" w:hAnsi="Arial"/>
                <w:bCs/>
                <w:color w:val="auto"/>
                <w:szCs w:val="21"/>
                <w:highlight w:val="none"/>
              </w:rPr>
              <w:t>格式见附件</w:t>
            </w:r>
            <w:r>
              <w:rPr>
                <w:rFonts w:ascii="Arial" w:hAnsi="Arial"/>
                <w:bCs/>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482" w:hRule="atLeast"/>
          <w:tblHeader/>
          <w:jc w:val="center"/>
        </w:trPr>
        <w:tc>
          <w:tcPr>
            <w:tcW w:w="1079" w:type="dxa"/>
            <w:vMerge w:val="continue"/>
            <w:tcBorders>
              <w:tl2br w:val="nil"/>
              <w:tr2bl w:val="nil"/>
            </w:tcBorders>
            <w:tcMar>
              <w:top w:w="57" w:type="dxa"/>
              <w:left w:w="57" w:type="dxa"/>
              <w:bottom w:w="57" w:type="dxa"/>
              <w:right w:w="57" w:type="dxa"/>
            </w:tcMar>
            <w:vAlign w:val="center"/>
          </w:tcPr>
          <w:p>
            <w:pPr>
              <w:rPr>
                <w:color w:val="auto"/>
                <w:w w:val="80"/>
                <w:sz w:val="24"/>
                <w:highlight w:val="none"/>
              </w:rPr>
            </w:pPr>
          </w:p>
        </w:tc>
        <w:tc>
          <w:tcPr>
            <w:tcW w:w="3973" w:type="dxa"/>
            <w:tcBorders>
              <w:tl2br w:val="nil"/>
              <w:tr2bl w:val="nil"/>
            </w:tcBorders>
            <w:tcMar>
              <w:top w:w="57" w:type="dxa"/>
              <w:left w:w="57" w:type="dxa"/>
              <w:bottom w:w="57" w:type="dxa"/>
              <w:right w:w="57" w:type="dxa"/>
            </w:tcMar>
            <w:vAlign w:val="center"/>
          </w:tcPr>
          <w:p>
            <w:pPr>
              <w:rPr>
                <w:rFonts w:ascii="Arial" w:hAnsi="Arial" w:eastAsia="宋体" w:cs="Times New Roman"/>
                <w:bCs/>
                <w:color w:val="auto"/>
                <w:kern w:val="2"/>
                <w:sz w:val="21"/>
                <w:szCs w:val="21"/>
                <w:highlight w:val="none"/>
                <w:lang w:val="en-US" w:eastAsia="zh-CN" w:bidi="ar-SA"/>
              </w:rPr>
            </w:pPr>
            <w:r>
              <w:rPr>
                <w:rFonts w:hint="eastAsia" w:ascii="Arial" w:hAnsi="Arial"/>
                <w:bCs/>
                <w:color w:val="auto"/>
                <w:szCs w:val="21"/>
                <w:highlight w:val="none"/>
                <w:lang w:val="en-US" w:eastAsia="zh-CN"/>
              </w:rPr>
              <w:t>3</w:t>
            </w:r>
            <w:r>
              <w:rPr>
                <w:rFonts w:hint="eastAsia" w:ascii="Arial" w:hAnsi="Arial"/>
                <w:bCs/>
                <w:color w:val="auto"/>
                <w:szCs w:val="21"/>
                <w:highlight w:val="none"/>
              </w:rPr>
              <w:t>、</w:t>
            </w:r>
            <w:r>
              <w:rPr>
                <w:rFonts w:ascii="Arial" w:hAnsi="Arial"/>
                <w:bCs/>
                <w:color w:val="auto"/>
                <w:szCs w:val="21"/>
                <w:highlight w:val="none"/>
              </w:rPr>
              <w:t>本项目不接受联合体投标，实行资格后审。</w:t>
            </w:r>
          </w:p>
        </w:tc>
        <w:tc>
          <w:tcPr>
            <w:tcW w:w="1270" w:type="dxa"/>
            <w:tcBorders>
              <w:tl2br w:val="nil"/>
              <w:tr2bl w:val="nil"/>
            </w:tcBorders>
            <w:tcMar>
              <w:top w:w="57" w:type="dxa"/>
              <w:left w:w="57" w:type="dxa"/>
              <w:bottom w:w="57" w:type="dxa"/>
              <w:right w:w="57" w:type="dxa"/>
            </w:tcMar>
            <w:vAlign w:val="center"/>
          </w:tcPr>
          <w:p>
            <w:pPr>
              <w:jc w:val="left"/>
              <w:rPr>
                <w:rFonts w:ascii="Arial" w:hAnsi="Arial"/>
                <w:bCs/>
                <w:color w:val="auto"/>
                <w:szCs w:val="21"/>
                <w:highlight w:val="none"/>
              </w:rPr>
            </w:pPr>
            <w:r>
              <w:rPr>
                <w:rFonts w:ascii="Arial" w:hAnsi="Arial"/>
                <w:bCs/>
                <w:color w:val="auto"/>
                <w:szCs w:val="21"/>
                <w:highlight w:val="none"/>
              </w:rPr>
              <w:t>□通过</w:t>
            </w:r>
          </w:p>
          <w:p>
            <w:pPr>
              <w:jc w:val="left"/>
              <w:rPr>
                <w:rFonts w:ascii="Arial" w:hAnsi="Arial" w:eastAsia="宋体" w:cs="Times New Roman"/>
                <w:bCs/>
                <w:color w:val="auto"/>
                <w:kern w:val="2"/>
                <w:sz w:val="21"/>
                <w:szCs w:val="21"/>
                <w:highlight w:val="none"/>
                <w:lang w:val="en-US" w:eastAsia="zh-CN" w:bidi="ar-SA"/>
              </w:rPr>
            </w:pPr>
            <w:r>
              <w:rPr>
                <w:rFonts w:ascii="Arial" w:hAnsi="Arial"/>
                <w:bCs/>
                <w:color w:val="auto"/>
                <w:szCs w:val="21"/>
                <w:highlight w:val="none"/>
              </w:rPr>
              <w:t>□不通过</w:t>
            </w:r>
          </w:p>
        </w:tc>
        <w:tc>
          <w:tcPr>
            <w:tcW w:w="2611" w:type="dxa"/>
            <w:tcBorders>
              <w:tl2br w:val="nil"/>
              <w:tr2bl w:val="nil"/>
            </w:tcBorders>
            <w:tcMar>
              <w:top w:w="57" w:type="dxa"/>
              <w:left w:w="57" w:type="dxa"/>
              <w:bottom w:w="57" w:type="dxa"/>
              <w:right w:w="57" w:type="dxa"/>
            </w:tcMar>
            <w:vAlign w:val="center"/>
          </w:tcPr>
          <w:p>
            <w:pPr>
              <w:rPr>
                <w:rFonts w:ascii="Arial" w:hAnsi="Arial" w:eastAsia="宋体" w:cs="Times New Roman"/>
                <w:bCs/>
                <w:color w:val="auto"/>
                <w:kern w:val="2"/>
                <w:sz w:val="21"/>
                <w:szCs w:val="21"/>
                <w:highlight w:val="none"/>
                <w:lang w:val="en-US" w:eastAsia="zh-CN" w:bidi="ar-SA"/>
              </w:rPr>
            </w:pPr>
            <w:r>
              <w:rPr>
                <w:rFonts w:ascii="Arial" w:hAnsi="Arial"/>
                <w:bCs/>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482" w:hRule="atLeast"/>
          <w:tblHeader/>
          <w:jc w:val="center"/>
        </w:trPr>
        <w:tc>
          <w:tcPr>
            <w:tcW w:w="1079" w:type="dxa"/>
            <w:vMerge w:val="continue"/>
            <w:tcBorders>
              <w:tl2br w:val="nil"/>
              <w:tr2bl w:val="nil"/>
            </w:tcBorders>
            <w:tcMar>
              <w:top w:w="57" w:type="dxa"/>
              <w:left w:w="57" w:type="dxa"/>
              <w:bottom w:w="57" w:type="dxa"/>
              <w:right w:w="57" w:type="dxa"/>
            </w:tcMar>
            <w:vAlign w:val="center"/>
          </w:tcPr>
          <w:p>
            <w:pPr>
              <w:rPr>
                <w:color w:val="auto"/>
                <w:w w:val="80"/>
                <w:sz w:val="24"/>
                <w:highlight w:val="none"/>
              </w:rPr>
            </w:pPr>
          </w:p>
        </w:tc>
        <w:tc>
          <w:tcPr>
            <w:tcW w:w="3973"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r>
              <w:rPr>
                <w:rFonts w:hint="eastAsia" w:ascii="Arial" w:hAnsi="Arial"/>
                <w:b/>
                <w:color w:val="auto"/>
                <w:szCs w:val="21"/>
                <w:highlight w:val="none"/>
                <w:lang w:val="en-US" w:eastAsia="zh-CN"/>
              </w:rPr>
              <w:t>三</w:t>
            </w:r>
            <w:r>
              <w:rPr>
                <w:rFonts w:ascii="Arial" w:hAnsi="Arial"/>
                <w:b/>
                <w:color w:val="auto"/>
                <w:szCs w:val="21"/>
                <w:highlight w:val="none"/>
              </w:rPr>
              <w:t>、</w:t>
            </w:r>
            <w:r>
              <w:rPr>
                <w:rFonts w:hint="eastAsia" w:ascii="Arial" w:hAnsi="Arial"/>
                <w:b/>
                <w:color w:val="auto"/>
                <w:szCs w:val="21"/>
                <w:highlight w:val="none"/>
                <w:lang w:val="en-US" w:eastAsia="zh-CN"/>
              </w:rPr>
              <w:t>特定资格要求</w:t>
            </w:r>
            <w:r>
              <w:rPr>
                <w:rFonts w:ascii="Arial" w:hAnsi="Arial"/>
                <w:b/>
                <w:color w:val="auto"/>
                <w:szCs w:val="21"/>
                <w:highlight w:val="none"/>
              </w:rPr>
              <w:t>：</w:t>
            </w:r>
          </w:p>
        </w:tc>
        <w:tc>
          <w:tcPr>
            <w:tcW w:w="1270" w:type="dxa"/>
            <w:tcBorders>
              <w:tl2br w:val="nil"/>
              <w:tr2bl w:val="nil"/>
            </w:tcBorders>
            <w:tcMar>
              <w:top w:w="57" w:type="dxa"/>
              <w:left w:w="57" w:type="dxa"/>
              <w:bottom w:w="57" w:type="dxa"/>
              <w:right w:w="57" w:type="dxa"/>
            </w:tcMar>
            <w:vAlign w:val="center"/>
          </w:tcPr>
          <w:p>
            <w:pPr>
              <w:jc w:val="left"/>
              <w:rPr>
                <w:rFonts w:ascii="Arial" w:hAnsi="Arial"/>
                <w:bCs/>
                <w:color w:val="auto"/>
                <w:szCs w:val="21"/>
                <w:highlight w:val="none"/>
              </w:rPr>
            </w:pPr>
          </w:p>
        </w:tc>
        <w:tc>
          <w:tcPr>
            <w:tcW w:w="2611"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482" w:hRule="atLeast"/>
          <w:tblHeader/>
          <w:jc w:val="center"/>
        </w:trPr>
        <w:tc>
          <w:tcPr>
            <w:tcW w:w="1079" w:type="dxa"/>
            <w:vMerge w:val="continue"/>
            <w:tcBorders>
              <w:tl2br w:val="nil"/>
              <w:tr2bl w:val="nil"/>
            </w:tcBorders>
            <w:tcMar>
              <w:top w:w="57" w:type="dxa"/>
              <w:left w:w="57" w:type="dxa"/>
              <w:bottom w:w="57" w:type="dxa"/>
              <w:right w:w="57" w:type="dxa"/>
            </w:tcMar>
            <w:vAlign w:val="center"/>
          </w:tcPr>
          <w:p>
            <w:pPr>
              <w:rPr>
                <w:color w:val="auto"/>
                <w:w w:val="80"/>
                <w:sz w:val="24"/>
                <w:highlight w:val="none"/>
              </w:rPr>
            </w:pPr>
          </w:p>
        </w:tc>
        <w:tc>
          <w:tcPr>
            <w:tcW w:w="3973" w:type="dxa"/>
            <w:tcBorders>
              <w:tl2br w:val="nil"/>
              <w:tr2bl w:val="nil"/>
            </w:tcBorders>
            <w:tcMar>
              <w:top w:w="57" w:type="dxa"/>
              <w:left w:w="57" w:type="dxa"/>
              <w:bottom w:w="57" w:type="dxa"/>
              <w:right w:w="57" w:type="dxa"/>
            </w:tcMar>
            <w:vAlign w:val="center"/>
          </w:tcPr>
          <w:p>
            <w:pPr>
              <w:rPr>
                <w:rFonts w:hint="eastAsia" w:ascii="Arial" w:hAnsi="Arial" w:eastAsia="宋体"/>
                <w:bCs/>
                <w:color w:val="auto"/>
                <w:szCs w:val="21"/>
                <w:highlight w:val="none"/>
                <w:lang w:eastAsia="zh-CN"/>
              </w:rPr>
            </w:pPr>
            <w:r>
              <w:rPr>
                <w:rFonts w:hint="eastAsia" w:ascii="Arial" w:hAnsi="Arial"/>
                <w:bCs/>
                <w:color w:val="auto"/>
                <w:szCs w:val="21"/>
                <w:highlight w:val="none"/>
                <w:lang w:val="en-US" w:eastAsia="zh-CN"/>
              </w:rPr>
              <w:t>1</w:t>
            </w:r>
            <w:r>
              <w:rPr>
                <w:rFonts w:hint="eastAsia" w:ascii="Arial" w:hAnsi="Arial"/>
                <w:bCs/>
                <w:color w:val="auto"/>
                <w:szCs w:val="21"/>
                <w:highlight w:val="none"/>
              </w:rPr>
              <w:t>、</w:t>
            </w:r>
            <w:r>
              <w:rPr>
                <w:rFonts w:hint="eastAsia" w:ascii="Arial" w:hAnsi="Arial"/>
                <w:bCs/>
                <w:color w:val="auto"/>
                <w:szCs w:val="21"/>
                <w:highlight w:val="none"/>
                <w:lang w:eastAsia="zh-CN"/>
              </w:rPr>
              <w:t>投标人</w:t>
            </w:r>
            <w:r>
              <w:rPr>
                <w:rFonts w:hint="eastAsia" w:ascii="Arial" w:hAnsi="Arial"/>
                <w:bCs/>
                <w:color w:val="auto"/>
                <w:szCs w:val="21"/>
                <w:highlight w:val="none"/>
              </w:rPr>
              <w:t>营业执照经营范围中需包含水质养护或水质提升或水质净化或河道治理或水污染治理或生态环境治理等水污染防治内容</w:t>
            </w:r>
            <w:r>
              <w:rPr>
                <w:rFonts w:hint="eastAsia" w:ascii="Arial" w:hAnsi="Arial"/>
                <w:bCs/>
                <w:color w:val="auto"/>
                <w:szCs w:val="21"/>
                <w:highlight w:val="none"/>
                <w:lang w:eastAsia="zh-CN"/>
              </w:rPr>
              <w:t>。</w:t>
            </w:r>
            <w:r>
              <w:rPr>
                <w:rFonts w:hint="eastAsia" w:ascii="宋体" w:hAnsi="宋体" w:cs="宋体"/>
                <w:color w:val="auto"/>
                <w:sz w:val="21"/>
                <w:szCs w:val="21"/>
                <w:highlight w:val="none"/>
                <w:shd w:val="clear" w:color="auto" w:fill="FFFFFF"/>
              </w:rPr>
              <w:t>（投标文件中提供营业执照副本复印件加盖公章，</w:t>
            </w:r>
            <w:r>
              <w:rPr>
                <w:rFonts w:hint="eastAsia" w:ascii="宋体" w:hAnsi="宋体" w:cs="宋体"/>
                <w:color w:val="auto"/>
                <w:sz w:val="21"/>
                <w:szCs w:val="21"/>
                <w:highlight w:val="none"/>
                <w:shd w:val="clear" w:color="auto" w:fill="FFFFFF"/>
                <w:lang w:eastAsia="zh-CN"/>
              </w:rPr>
              <w:t>现场原件备查</w:t>
            </w:r>
            <w:r>
              <w:rPr>
                <w:rFonts w:hint="eastAsia" w:ascii="宋体" w:hAnsi="宋体" w:cs="宋体"/>
                <w:color w:val="auto"/>
                <w:sz w:val="21"/>
                <w:szCs w:val="21"/>
                <w:highlight w:val="none"/>
                <w:shd w:val="clear" w:color="auto" w:fill="FFFFFF"/>
              </w:rPr>
              <w:t>）；</w:t>
            </w:r>
          </w:p>
        </w:tc>
        <w:tc>
          <w:tcPr>
            <w:tcW w:w="1270" w:type="dxa"/>
            <w:tcBorders>
              <w:tl2br w:val="nil"/>
              <w:tr2bl w:val="nil"/>
            </w:tcBorders>
            <w:tcMar>
              <w:top w:w="57" w:type="dxa"/>
              <w:left w:w="57" w:type="dxa"/>
              <w:bottom w:w="57" w:type="dxa"/>
              <w:right w:w="57" w:type="dxa"/>
            </w:tcMar>
            <w:vAlign w:val="center"/>
          </w:tcPr>
          <w:p>
            <w:pPr>
              <w:jc w:val="left"/>
              <w:rPr>
                <w:rFonts w:ascii="Arial" w:hAnsi="Arial"/>
                <w:bCs/>
                <w:color w:val="auto"/>
                <w:szCs w:val="21"/>
                <w:highlight w:val="none"/>
              </w:rPr>
            </w:pPr>
            <w:r>
              <w:rPr>
                <w:rFonts w:ascii="Arial" w:hAnsi="Arial"/>
                <w:bCs/>
                <w:color w:val="auto"/>
                <w:szCs w:val="21"/>
                <w:highlight w:val="none"/>
              </w:rPr>
              <w:t>□通过</w:t>
            </w:r>
          </w:p>
          <w:p>
            <w:pPr>
              <w:jc w:val="left"/>
              <w:rPr>
                <w:rFonts w:ascii="Arial" w:hAnsi="Arial"/>
                <w:bCs/>
                <w:color w:val="auto"/>
                <w:szCs w:val="21"/>
                <w:highlight w:val="none"/>
              </w:rPr>
            </w:pPr>
            <w:r>
              <w:rPr>
                <w:rFonts w:ascii="Arial" w:hAnsi="Arial"/>
                <w:bCs/>
                <w:color w:val="auto"/>
                <w:szCs w:val="21"/>
                <w:highlight w:val="none"/>
              </w:rPr>
              <w:t>□不通过</w:t>
            </w:r>
          </w:p>
        </w:tc>
        <w:tc>
          <w:tcPr>
            <w:tcW w:w="2611"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r>
              <w:rPr>
                <w:rFonts w:ascii="Arial" w:hAnsi="Arial"/>
                <w:bCs/>
                <w:color w:val="auto"/>
                <w:szCs w:val="21"/>
                <w:highlight w:val="none"/>
              </w:rPr>
              <w:t>第（ ）页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482" w:hRule="atLeast"/>
          <w:tblHeader/>
          <w:jc w:val="center"/>
        </w:trPr>
        <w:tc>
          <w:tcPr>
            <w:tcW w:w="1079" w:type="dxa"/>
            <w:vMerge w:val="continue"/>
            <w:tcBorders>
              <w:tl2br w:val="nil"/>
              <w:tr2bl w:val="nil"/>
            </w:tcBorders>
            <w:tcMar>
              <w:top w:w="57" w:type="dxa"/>
              <w:left w:w="57" w:type="dxa"/>
              <w:bottom w:w="57" w:type="dxa"/>
              <w:right w:w="57" w:type="dxa"/>
            </w:tcMar>
            <w:vAlign w:val="center"/>
          </w:tcPr>
          <w:p>
            <w:pPr>
              <w:rPr>
                <w:color w:val="auto"/>
                <w:w w:val="80"/>
                <w:sz w:val="24"/>
                <w:highlight w:val="none"/>
              </w:rPr>
            </w:pPr>
          </w:p>
        </w:tc>
        <w:tc>
          <w:tcPr>
            <w:tcW w:w="3973" w:type="dxa"/>
            <w:tcBorders>
              <w:tl2br w:val="nil"/>
              <w:tr2bl w:val="nil"/>
            </w:tcBorders>
            <w:tcMar>
              <w:top w:w="57" w:type="dxa"/>
              <w:left w:w="57" w:type="dxa"/>
              <w:bottom w:w="57" w:type="dxa"/>
              <w:right w:w="57" w:type="dxa"/>
            </w:tcMar>
            <w:vAlign w:val="center"/>
          </w:tcPr>
          <w:p>
            <w:pPr>
              <w:rPr>
                <w:rFonts w:hint="default" w:ascii="Arial" w:hAnsi="Arial"/>
                <w:bCs/>
                <w:color w:val="auto"/>
                <w:szCs w:val="21"/>
                <w:highlight w:val="none"/>
                <w:lang w:val="en-US" w:eastAsia="zh-CN"/>
              </w:rPr>
            </w:pPr>
            <w:r>
              <w:rPr>
                <w:rFonts w:hint="eastAsia" w:ascii="Arial" w:hAnsi="Arial"/>
                <w:bCs/>
                <w:color w:val="auto"/>
                <w:szCs w:val="21"/>
                <w:highlight w:val="none"/>
                <w:lang w:val="en-US" w:eastAsia="zh-CN"/>
              </w:rPr>
              <w:t>2、投标人需具有由省级及以上环境保护产业协会颁发的环境污染治理工程总承包资质正式证书（类型或范围：水污染治理工程或环境生态工程或生态治理工程或生态修复工程）</w:t>
            </w:r>
            <w:r>
              <w:rPr>
                <w:rFonts w:hint="eastAsia" w:ascii="宋体" w:hAnsi="宋体" w:cs="宋体"/>
                <w:color w:val="auto"/>
                <w:sz w:val="21"/>
                <w:szCs w:val="21"/>
                <w:highlight w:val="none"/>
                <w:shd w:val="clear" w:color="auto" w:fill="FFFFFF"/>
              </w:rPr>
              <w:t>（投标文件中提供上述有效的正式资质证书复印件加盖公章，</w:t>
            </w:r>
            <w:r>
              <w:rPr>
                <w:rFonts w:hint="eastAsia" w:ascii="宋体" w:hAnsi="宋体" w:cs="宋体"/>
                <w:color w:val="auto"/>
                <w:sz w:val="21"/>
                <w:szCs w:val="21"/>
                <w:highlight w:val="none"/>
                <w:shd w:val="clear" w:color="auto" w:fill="FFFFFF"/>
                <w:lang w:eastAsia="zh-CN"/>
              </w:rPr>
              <w:t>现场原件备查</w:t>
            </w:r>
            <w:r>
              <w:rPr>
                <w:rFonts w:hint="eastAsia" w:ascii="宋体" w:hAnsi="宋体" w:cs="宋体"/>
                <w:color w:val="auto"/>
                <w:sz w:val="21"/>
                <w:szCs w:val="21"/>
                <w:highlight w:val="none"/>
                <w:shd w:val="clear" w:color="auto" w:fill="FFFFFF"/>
              </w:rPr>
              <w:t>）；</w:t>
            </w:r>
          </w:p>
        </w:tc>
        <w:tc>
          <w:tcPr>
            <w:tcW w:w="1270" w:type="dxa"/>
            <w:tcBorders>
              <w:tl2br w:val="nil"/>
              <w:tr2bl w:val="nil"/>
            </w:tcBorders>
            <w:tcMar>
              <w:top w:w="57" w:type="dxa"/>
              <w:left w:w="57" w:type="dxa"/>
              <w:bottom w:w="57" w:type="dxa"/>
              <w:right w:w="57" w:type="dxa"/>
            </w:tcMar>
            <w:vAlign w:val="center"/>
          </w:tcPr>
          <w:p>
            <w:pPr>
              <w:jc w:val="left"/>
              <w:rPr>
                <w:rFonts w:ascii="Arial" w:hAnsi="Arial"/>
                <w:bCs/>
                <w:color w:val="auto"/>
                <w:szCs w:val="21"/>
                <w:highlight w:val="none"/>
              </w:rPr>
            </w:pPr>
            <w:r>
              <w:rPr>
                <w:rFonts w:ascii="Arial" w:hAnsi="Arial"/>
                <w:bCs/>
                <w:color w:val="auto"/>
                <w:szCs w:val="21"/>
                <w:highlight w:val="none"/>
              </w:rPr>
              <w:t>□通过</w:t>
            </w:r>
          </w:p>
          <w:p>
            <w:pPr>
              <w:jc w:val="left"/>
              <w:rPr>
                <w:rFonts w:ascii="Arial" w:hAnsi="Arial"/>
                <w:bCs/>
                <w:color w:val="auto"/>
                <w:szCs w:val="21"/>
                <w:highlight w:val="none"/>
              </w:rPr>
            </w:pPr>
            <w:r>
              <w:rPr>
                <w:rFonts w:ascii="Arial" w:hAnsi="Arial"/>
                <w:bCs/>
                <w:color w:val="auto"/>
                <w:szCs w:val="21"/>
                <w:highlight w:val="none"/>
              </w:rPr>
              <w:t>□不通过</w:t>
            </w:r>
          </w:p>
        </w:tc>
        <w:tc>
          <w:tcPr>
            <w:tcW w:w="2611"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r>
              <w:rPr>
                <w:rFonts w:ascii="Arial" w:hAnsi="Arial"/>
                <w:bCs/>
                <w:color w:val="auto"/>
                <w:szCs w:val="21"/>
                <w:highlight w:val="none"/>
              </w:rPr>
              <w:t>第（ ）页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482" w:hRule="atLeast"/>
          <w:tblHeader/>
          <w:jc w:val="center"/>
        </w:trPr>
        <w:tc>
          <w:tcPr>
            <w:tcW w:w="1079" w:type="dxa"/>
            <w:vMerge w:val="continue"/>
            <w:tcBorders>
              <w:tl2br w:val="nil"/>
              <w:tr2bl w:val="nil"/>
            </w:tcBorders>
            <w:tcMar>
              <w:top w:w="57" w:type="dxa"/>
              <w:left w:w="57" w:type="dxa"/>
              <w:bottom w:w="57" w:type="dxa"/>
              <w:right w:w="57" w:type="dxa"/>
            </w:tcMar>
            <w:vAlign w:val="center"/>
          </w:tcPr>
          <w:p>
            <w:pPr>
              <w:rPr>
                <w:color w:val="auto"/>
                <w:w w:val="80"/>
                <w:sz w:val="24"/>
                <w:highlight w:val="none"/>
              </w:rPr>
            </w:pPr>
          </w:p>
        </w:tc>
        <w:tc>
          <w:tcPr>
            <w:tcW w:w="3973" w:type="dxa"/>
            <w:tcBorders>
              <w:tl2br w:val="nil"/>
              <w:tr2bl w:val="nil"/>
            </w:tcBorders>
            <w:tcMar>
              <w:top w:w="57" w:type="dxa"/>
              <w:left w:w="57" w:type="dxa"/>
              <w:bottom w:w="57" w:type="dxa"/>
              <w:right w:w="57" w:type="dxa"/>
            </w:tcMar>
            <w:vAlign w:val="center"/>
          </w:tcPr>
          <w:p>
            <w:pPr>
              <w:rPr>
                <w:rFonts w:hint="default" w:ascii="Arial" w:hAnsi="Arial"/>
                <w:bCs/>
                <w:color w:val="auto"/>
                <w:szCs w:val="21"/>
                <w:highlight w:val="none"/>
                <w:lang w:val="en-US" w:eastAsia="zh-CN"/>
              </w:rPr>
            </w:pPr>
            <w:r>
              <w:rPr>
                <w:rFonts w:hint="eastAsia" w:ascii="Arial" w:hAnsi="Arial"/>
                <w:bCs/>
                <w:color w:val="auto"/>
                <w:szCs w:val="21"/>
                <w:highlight w:val="none"/>
                <w:lang w:val="en-US" w:eastAsia="zh-CN"/>
              </w:rPr>
              <w:t>3、项目负责人（即项目经理，下同）要求为投标人正式职工、具有环境类相关专业中级及以上职称[投标文件提供投标人所参与标段的各项目负责人职称证书复印件加盖公章（现场原件备查）、社会保险参保证明（社会保险参保证明开具时间应在开标日前，能证明距开标日近三个月该人员的社会保险费均已正常缴纳，且该三个月社会保险费的缴费单位均为投标人）；</w:t>
            </w:r>
          </w:p>
        </w:tc>
        <w:tc>
          <w:tcPr>
            <w:tcW w:w="1270" w:type="dxa"/>
            <w:tcBorders>
              <w:tl2br w:val="nil"/>
              <w:tr2bl w:val="nil"/>
            </w:tcBorders>
            <w:tcMar>
              <w:top w:w="57" w:type="dxa"/>
              <w:left w:w="57" w:type="dxa"/>
              <w:bottom w:w="57" w:type="dxa"/>
              <w:right w:w="57" w:type="dxa"/>
            </w:tcMar>
            <w:vAlign w:val="center"/>
          </w:tcPr>
          <w:p>
            <w:pPr>
              <w:jc w:val="left"/>
              <w:rPr>
                <w:rFonts w:ascii="Arial" w:hAnsi="Arial"/>
                <w:bCs/>
                <w:color w:val="auto"/>
                <w:szCs w:val="21"/>
                <w:highlight w:val="none"/>
              </w:rPr>
            </w:pPr>
            <w:r>
              <w:rPr>
                <w:rFonts w:ascii="Arial" w:hAnsi="Arial"/>
                <w:bCs/>
                <w:color w:val="auto"/>
                <w:szCs w:val="21"/>
                <w:highlight w:val="none"/>
              </w:rPr>
              <w:t>□通过</w:t>
            </w:r>
          </w:p>
          <w:p>
            <w:pPr>
              <w:jc w:val="left"/>
              <w:rPr>
                <w:rFonts w:ascii="Arial" w:hAnsi="Arial"/>
                <w:bCs/>
                <w:color w:val="auto"/>
                <w:szCs w:val="21"/>
                <w:highlight w:val="none"/>
              </w:rPr>
            </w:pPr>
            <w:r>
              <w:rPr>
                <w:rFonts w:ascii="Arial" w:hAnsi="Arial"/>
                <w:bCs/>
                <w:color w:val="auto"/>
                <w:szCs w:val="21"/>
                <w:highlight w:val="none"/>
              </w:rPr>
              <w:t>□不通过</w:t>
            </w:r>
          </w:p>
        </w:tc>
        <w:tc>
          <w:tcPr>
            <w:tcW w:w="2611" w:type="dxa"/>
            <w:tcBorders>
              <w:tl2br w:val="nil"/>
              <w:tr2bl w:val="nil"/>
            </w:tcBorders>
            <w:tcMar>
              <w:top w:w="57" w:type="dxa"/>
              <w:left w:w="57" w:type="dxa"/>
              <w:bottom w:w="57" w:type="dxa"/>
              <w:right w:w="57" w:type="dxa"/>
            </w:tcMar>
            <w:vAlign w:val="center"/>
          </w:tcPr>
          <w:p>
            <w:pPr>
              <w:rPr>
                <w:rFonts w:ascii="Arial" w:hAnsi="Arial"/>
                <w:bCs/>
                <w:color w:val="auto"/>
                <w:szCs w:val="21"/>
                <w:highlight w:val="none"/>
              </w:rPr>
            </w:pPr>
            <w:r>
              <w:rPr>
                <w:rFonts w:ascii="Arial" w:hAnsi="Arial"/>
                <w:bCs/>
                <w:color w:val="auto"/>
                <w:szCs w:val="21"/>
                <w:highlight w:val="none"/>
              </w:rPr>
              <w:t>第（ ）页</w:t>
            </w:r>
          </w:p>
        </w:tc>
      </w:tr>
    </w:tbl>
    <w:p>
      <w:pPr>
        <w:rPr>
          <w:rFonts w:ascii="Arial" w:hAnsi="Arial"/>
          <w:bCs/>
          <w:color w:val="auto"/>
          <w:szCs w:val="21"/>
          <w:highlight w:val="none"/>
        </w:rPr>
      </w:pPr>
      <w:r>
        <w:rPr>
          <w:rFonts w:hint="eastAsia" w:ascii="Arial" w:hAnsi="Arial"/>
          <w:b/>
          <w:color w:val="auto"/>
          <w:szCs w:val="21"/>
          <w:highlight w:val="none"/>
        </w:rPr>
        <w:t>备注：</w:t>
      </w:r>
      <w:r>
        <w:rPr>
          <w:rFonts w:hint="eastAsia" w:ascii="Arial" w:hAnsi="Arial"/>
          <w:bCs/>
          <w:color w:val="auto"/>
          <w:szCs w:val="21"/>
          <w:highlight w:val="none"/>
          <w:lang w:eastAsia="zh-CN"/>
        </w:rPr>
        <w:t>投标人</w:t>
      </w:r>
      <w:r>
        <w:rPr>
          <w:rFonts w:hint="eastAsia" w:ascii="Arial" w:hAnsi="Arial"/>
          <w:bCs/>
          <w:color w:val="auto"/>
          <w:szCs w:val="21"/>
          <w:highlight w:val="none"/>
        </w:rPr>
        <w:t>自查表将作为投标</w:t>
      </w:r>
      <w:r>
        <w:rPr>
          <w:rFonts w:hint="eastAsia" w:ascii="Arial" w:hAnsi="Arial"/>
          <w:bCs/>
          <w:color w:val="auto"/>
          <w:szCs w:val="21"/>
          <w:highlight w:val="none"/>
          <w:lang w:eastAsia="zh-CN"/>
        </w:rPr>
        <w:t>投标人</w:t>
      </w:r>
      <w:r>
        <w:rPr>
          <w:rFonts w:hint="eastAsia" w:ascii="Arial" w:hAnsi="Arial"/>
          <w:bCs/>
          <w:color w:val="auto"/>
          <w:szCs w:val="21"/>
          <w:highlight w:val="none"/>
        </w:rPr>
        <w:t>有效性审查的重要内容之一，投标</w:t>
      </w:r>
      <w:r>
        <w:rPr>
          <w:rFonts w:hint="eastAsia" w:ascii="Arial" w:hAnsi="Arial"/>
          <w:bCs/>
          <w:color w:val="auto"/>
          <w:szCs w:val="21"/>
          <w:highlight w:val="none"/>
          <w:lang w:eastAsia="zh-CN"/>
        </w:rPr>
        <w:t>投标人</w:t>
      </w:r>
      <w:r>
        <w:rPr>
          <w:rFonts w:hint="eastAsia" w:ascii="Arial" w:hAnsi="Arial"/>
          <w:bCs/>
          <w:color w:val="auto"/>
          <w:szCs w:val="21"/>
          <w:highlight w:val="none"/>
        </w:rPr>
        <w:t>必须严格按照其内容及序列要求在投标文件中对应如实提供，对资格性证明文件的任何缺漏和不符合项将会直接导致投标无效！</w:t>
      </w:r>
    </w:p>
    <w:p>
      <w:pPr>
        <w:snapToGrid w:val="0"/>
        <w:spacing w:beforeLines="50" w:after="50"/>
        <w:ind w:firstLine="339" w:firstLineChars="161"/>
        <w:rPr>
          <w:rFonts w:ascii="宋体" w:hAnsi="宋体" w:cs="宋体"/>
          <w:b/>
          <w:color w:val="auto"/>
          <w:szCs w:val="21"/>
          <w:highlight w:val="none"/>
        </w:rPr>
      </w:pPr>
    </w:p>
    <w:p>
      <w:pPr>
        <w:snapToGrid w:val="0"/>
        <w:spacing w:beforeLines="50" w:after="50"/>
        <w:ind w:firstLine="339" w:firstLineChars="161"/>
        <w:rPr>
          <w:rFonts w:ascii="宋体" w:hAnsi="宋体" w:cs="宋体"/>
          <w:b/>
          <w:color w:val="auto"/>
          <w:szCs w:val="21"/>
          <w:highlight w:val="none"/>
        </w:rPr>
      </w:pPr>
    </w:p>
    <w:p>
      <w:pPr>
        <w:rPr>
          <w:rFonts w:ascii="Arial" w:hAnsi="Arial"/>
          <w:bCs/>
          <w:color w:val="auto"/>
          <w:szCs w:val="21"/>
          <w:highlight w:val="none"/>
        </w:rPr>
      </w:pPr>
      <w:r>
        <w:rPr>
          <w:rFonts w:hint="eastAsia" w:ascii="宋体" w:hAnsi="宋体" w:cs="宋体"/>
          <w:color w:val="auto"/>
          <w:w w:val="80"/>
          <w:sz w:val="28"/>
          <w:szCs w:val="28"/>
          <w:highlight w:val="none"/>
        </w:rPr>
        <w:t xml:space="preserve">                   </w:t>
      </w:r>
      <w:r>
        <w:rPr>
          <w:rFonts w:hint="eastAsia" w:ascii="Arial" w:hAnsi="Arial"/>
          <w:bCs/>
          <w:color w:val="auto"/>
          <w:szCs w:val="21"/>
          <w:highlight w:val="none"/>
        </w:rPr>
        <w:t xml:space="preserve">  </w:t>
      </w:r>
      <w:r>
        <w:rPr>
          <w:rFonts w:hint="eastAsia" w:ascii="Arial" w:hAnsi="Arial"/>
          <w:bCs/>
          <w:color w:val="auto"/>
          <w:szCs w:val="21"/>
          <w:highlight w:val="none"/>
          <w:lang w:eastAsia="zh-CN"/>
        </w:rPr>
        <w:t>投标人</w:t>
      </w:r>
      <w:r>
        <w:rPr>
          <w:rFonts w:hint="eastAsia" w:ascii="Arial" w:hAnsi="Arial"/>
          <w:bCs/>
          <w:color w:val="auto"/>
          <w:szCs w:val="21"/>
          <w:highlight w:val="none"/>
        </w:rPr>
        <w:t xml:space="preserve">名称（加盖公章）：   </w:t>
      </w:r>
    </w:p>
    <w:p>
      <w:pPr>
        <w:rPr>
          <w:rFonts w:ascii="Arial" w:hAnsi="Arial"/>
          <w:bCs/>
          <w:color w:val="auto"/>
          <w:szCs w:val="21"/>
          <w:highlight w:val="none"/>
        </w:rPr>
      </w:pPr>
      <w:r>
        <w:rPr>
          <w:rFonts w:hint="eastAsia" w:ascii="Arial" w:hAnsi="Arial"/>
          <w:bCs/>
          <w:color w:val="auto"/>
          <w:szCs w:val="21"/>
          <w:highlight w:val="none"/>
        </w:rPr>
        <w:t xml:space="preserve">                     </w:t>
      </w:r>
    </w:p>
    <w:p>
      <w:pPr>
        <w:rPr>
          <w:rFonts w:ascii="Arial" w:hAnsi="Arial"/>
          <w:bCs/>
          <w:color w:val="auto"/>
          <w:szCs w:val="21"/>
          <w:highlight w:val="none"/>
        </w:rPr>
      </w:pPr>
      <w:r>
        <w:rPr>
          <w:rFonts w:hint="eastAsia" w:ascii="Arial" w:hAnsi="Arial"/>
          <w:bCs/>
          <w:color w:val="auto"/>
          <w:szCs w:val="21"/>
          <w:highlight w:val="none"/>
        </w:rPr>
        <w:t xml:space="preserve">                      法定代表人或其委托代理人（签字或盖章）：             </w:t>
      </w:r>
    </w:p>
    <w:p>
      <w:pPr>
        <w:rPr>
          <w:rFonts w:ascii="Arial" w:hAnsi="Arial"/>
          <w:bCs/>
          <w:color w:val="auto"/>
          <w:szCs w:val="21"/>
          <w:highlight w:val="none"/>
        </w:rPr>
      </w:pPr>
      <w:r>
        <w:rPr>
          <w:rFonts w:hint="eastAsia" w:ascii="Arial" w:hAnsi="Arial"/>
          <w:bCs/>
          <w:color w:val="auto"/>
          <w:szCs w:val="21"/>
          <w:highlight w:val="none"/>
        </w:rPr>
        <w:t xml:space="preserve">                                            </w:t>
      </w:r>
    </w:p>
    <w:p>
      <w:pPr>
        <w:ind w:firstLine="3150" w:firstLineChars="1500"/>
        <w:rPr>
          <w:rFonts w:ascii="Arial" w:hAnsi="Arial"/>
          <w:bCs/>
          <w:color w:val="auto"/>
          <w:szCs w:val="21"/>
          <w:highlight w:val="none"/>
        </w:rPr>
      </w:pPr>
      <w:r>
        <w:rPr>
          <w:rFonts w:hint="eastAsia" w:ascii="Arial" w:hAnsi="Arial"/>
          <w:bCs/>
          <w:color w:val="auto"/>
          <w:szCs w:val="21"/>
          <w:highlight w:val="none"/>
        </w:rPr>
        <w:t xml:space="preserve">  年    月    日</w:t>
      </w:r>
    </w:p>
    <w:p>
      <w:pPr>
        <w:snapToGrid w:val="0"/>
        <w:spacing w:before="50" w:after="50"/>
        <w:rPr>
          <w:color w:val="auto"/>
          <w:w w:val="80"/>
          <w:sz w:val="28"/>
          <w:szCs w:val="28"/>
          <w:highlight w:val="none"/>
        </w:rPr>
      </w:pPr>
    </w:p>
    <w:p>
      <w:pPr>
        <w:snapToGrid w:val="0"/>
        <w:spacing w:before="50" w:after="50"/>
        <w:rPr>
          <w:color w:val="auto"/>
          <w:w w:val="80"/>
          <w:sz w:val="28"/>
          <w:szCs w:val="28"/>
          <w:highlight w:val="none"/>
        </w:rPr>
      </w:pPr>
    </w:p>
    <w:p>
      <w:pPr>
        <w:snapToGrid w:val="0"/>
        <w:spacing w:before="50" w:after="50"/>
        <w:rPr>
          <w:color w:val="auto"/>
          <w:w w:val="80"/>
          <w:sz w:val="28"/>
          <w:szCs w:val="28"/>
          <w:highlight w:val="none"/>
        </w:rPr>
      </w:pPr>
    </w:p>
    <w:p>
      <w:pPr>
        <w:snapToGrid w:val="0"/>
        <w:spacing w:before="50" w:after="50"/>
        <w:rPr>
          <w:color w:val="auto"/>
          <w:w w:val="80"/>
          <w:sz w:val="28"/>
          <w:szCs w:val="28"/>
          <w:highlight w:val="none"/>
        </w:rPr>
      </w:pPr>
    </w:p>
    <w:p>
      <w:pPr>
        <w:snapToGrid w:val="0"/>
        <w:spacing w:beforeLines="50" w:after="50"/>
        <w:rPr>
          <w:rFonts w:hint="eastAsia" w:ascii="宋体"/>
          <w:color w:val="auto"/>
          <w:sz w:val="24"/>
          <w:szCs w:val="24"/>
          <w:highlight w:val="none"/>
        </w:rPr>
      </w:pPr>
    </w:p>
    <w:p>
      <w:pPr>
        <w:snapToGrid w:val="0"/>
        <w:spacing w:beforeLines="50" w:after="50"/>
        <w:rPr>
          <w:rFonts w:ascii="宋体"/>
          <w:color w:val="auto"/>
          <w:sz w:val="24"/>
          <w:szCs w:val="24"/>
          <w:highlight w:val="none"/>
        </w:rPr>
      </w:pPr>
      <w:r>
        <w:rPr>
          <w:rFonts w:hint="eastAsia" w:ascii="宋体"/>
          <w:color w:val="auto"/>
          <w:sz w:val="24"/>
          <w:szCs w:val="24"/>
          <w:highlight w:val="none"/>
        </w:rPr>
        <w:t>3.具备履行合同所需的设备和专业技术能力的承诺书</w:t>
      </w:r>
    </w:p>
    <w:p>
      <w:pPr>
        <w:spacing w:line="300" w:lineRule="auto"/>
        <w:ind w:firstLine="482"/>
        <w:jc w:val="center"/>
        <w:rPr>
          <w:b/>
          <w:color w:val="auto"/>
          <w:sz w:val="24"/>
          <w:highlight w:val="none"/>
        </w:rPr>
      </w:pPr>
    </w:p>
    <w:p>
      <w:pPr>
        <w:spacing w:line="300" w:lineRule="auto"/>
        <w:ind w:firstLine="482"/>
        <w:jc w:val="center"/>
        <w:rPr>
          <w:rFonts w:hint="eastAsia"/>
          <w:b/>
          <w:color w:val="auto"/>
          <w:sz w:val="24"/>
          <w:highlight w:val="none"/>
        </w:rPr>
      </w:pPr>
    </w:p>
    <w:p>
      <w:pPr>
        <w:spacing w:line="300" w:lineRule="auto"/>
        <w:ind w:firstLine="482"/>
        <w:jc w:val="center"/>
        <w:rPr>
          <w:rFonts w:hint="eastAsia"/>
          <w:b/>
          <w:color w:val="auto"/>
          <w:sz w:val="24"/>
          <w:highlight w:val="none"/>
        </w:rPr>
      </w:pPr>
    </w:p>
    <w:p>
      <w:pPr>
        <w:spacing w:line="300" w:lineRule="auto"/>
        <w:ind w:firstLine="482"/>
        <w:jc w:val="center"/>
        <w:rPr>
          <w:rFonts w:hint="eastAsia"/>
          <w:b/>
          <w:color w:val="auto"/>
          <w:sz w:val="24"/>
          <w:highlight w:val="none"/>
        </w:rPr>
      </w:pPr>
    </w:p>
    <w:p>
      <w:pPr>
        <w:spacing w:line="300" w:lineRule="auto"/>
        <w:ind w:firstLine="482"/>
        <w:jc w:val="center"/>
        <w:rPr>
          <w:rFonts w:hint="eastAsia"/>
          <w:b/>
          <w:color w:val="auto"/>
          <w:sz w:val="24"/>
          <w:highlight w:val="none"/>
        </w:rPr>
      </w:pPr>
    </w:p>
    <w:p>
      <w:pPr>
        <w:spacing w:line="300" w:lineRule="auto"/>
        <w:ind w:firstLine="482"/>
        <w:jc w:val="center"/>
        <w:rPr>
          <w:b/>
          <w:color w:val="auto"/>
          <w:sz w:val="24"/>
          <w:highlight w:val="none"/>
        </w:rPr>
      </w:pPr>
      <w:r>
        <w:rPr>
          <w:rFonts w:hint="eastAsia"/>
          <w:b/>
          <w:color w:val="auto"/>
          <w:sz w:val="24"/>
          <w:highlight w:val="none"/>
        </w:rPr>
        <w:t>具备履行合同所需的设备和专业技术能力的承诺书</w:t>
      </w:r>
    </w:p>
    <w:p>
      <w:pPr>
        <w:widowControl/>
        <w:spacing w:line="640" w:lineRule="exact"/>
        <w:ind w:right="159" w:firstLine="420" w:firstLineChars="200"/>
        <w:rPr>
          <w:bCs/>
          <w:color w:val="auto"/>
          <w:kern w:val="0"/>
          <w:szCs w:val="21"/>
          <w:highlight w:val="none"/>
        </w:rPr>
      </w:pPr>
      <w:r>
        <w:rPr>
          <w:rFonts w:hint="eastAsia"/>
          <w:bCs/>
          <w:color w:val="auto"/>
          <w:kern w:val="0"/>
          <w:szCs w:val="21"/>
          <w:highlight w:val="none"/>
        </w:rPr>
        <w:t>我公司（单位）具备履行合同所需的设备和专业技术能力。</w:t>
      </w:r>
    </w:p>
    <w:p>
      <w:pPr>
        <w:widowControl/>
        <w:spacing w:line="640" w:lineRule="exact"/>
        <w:ind w:right="159" w:firstLine="420" w:firstLineChars="200"/>
        <w:rPr>
          <w:bCs/>
          <w:color w:val="auto"/>
          <w:kern w:val="0"/>
          <w:szCs w:val="21"/>
          <w:highlight w:val="none"/>
        </w:rPr>
      </w:pPr>
      <w:r>
        <w:rPr>
          <w:rFonts w:hint="eastAsia"/>
          <w:bCs/>
          <w:color w:val="auto"/>
          <w:kern w:val="0"/>
          <w:szCs w:val="21"/>
          <w:highlight w:val="none"/>
        </w:rPr>
        <w:t>特此承诺。</w:t>
      </w:r>
    </w:p>
    <w:p>
      <w:pPr>
        <w:widowControl/>
        <w:spacing w:line="640" w:lineRule="exact"/>
        <w:ind w:right="159" w:firstLine="660"/>
        <w:rPr>
          <w:bCs/>
          <w:color w:val="auto"/>
          <w:kern w:val="0"/>
          <w:szCs w:val="21"/>
          <w:highlight w:val="none"/>
        </w:rPr>
      </w:pPr>
    </w:p>
    <w:p>
      <w:pPr>
        <w:adjustRightInd w:val="0"/>
        <w:snapToGrid w:val="0"/>
        <w:spacing w:before="120" w:after="120" w:line="640" w:lineRule="exact"/>
        <w:ind w:firstLine="2415" w:firstLineChars="1150"/>
        <w:rPr>
          <w:rFonts w:ascii="宋体"/>
          <w:color w:val="auto"/>
          <w:szCs w:val="21"/>
          <w:highlight w:val="none"/>
        </w:rPr>
      </w:pPr>
      <w:r>
        <w:rPr>
          <w:rFonts w:hint="eastAsia" w:ascii="宋体"/>
          <w:color w:val="auto"/>
          <w:szCs w:val="21"/>
          <w:highlight w:val="none"/>
          <w:lang w:eastAsia="zh-CN"/>
        </w:rPr>
        <w:t>投标人</w:t>
      </w:r>
      <w:r>
        <w:rPr>
          <w:rFonts w:hint="eastAsia" w:ascii="宋体"/>
          <w:color w:val="auto"/>
          <w:szCs w:val="21"/>
          <w:highlight w:val="none"/>
        </w:rPr>
        <w:t>（盖章）：</w:t>
      </w:r>
    </w:p>
    <w:p>
      <w:pPr>
        <w:adjustRightInd w:val="0"/>
        <w:snapToGrid w:val="0"/>
        <w:spacing w:before="120" w:after="120" w:line="640" w:lineRule="exact"/>
        <w:ind w:firstLine="2415" w:firstLineChars="1150"/>
        <w:rPr>
          <w:rFonts w:ascii="宋体"/>
          <w:color w:val="auto"/>
          <w:szCs w:val="21"/>
          <w:highlight w:val="none"/>
        </w:rPr>
      </w:pPr>
      <w:r>
        <w:rPr>
          <w:rFonts w:hint="eastAsia" w:ascii="宋体"/>
          <w:color w:val="auto"/>
          <w:szCs w:val="21"/>
          <w:highlight w:val="none"/>
          <w:lang w:eastAsia="zh-CN"/>
        </w:rPr>
        <w:t>投标人</w:t>
      </w:r>
      <w:r>
        <w:rPr>
          <w:rFonts w:hint="eastAsia" w:ascii="宋体"/>
          <w:color w:val="auto"/>
          <w:szCs w:val="21"/>
          <w:highlight w:val="none"/>
        </w:rPr>
        <w:t>的法定代表人或其授权委托人（签字或盖章）：</w:t>
      </w:r>
    </w:p>
    <w:p>
      <w:pPr>
        <w:snapToGrid w:val="0"/>
        <w:spacing w:before="50" w:afterLines="50" w:line="360" w:lineRule="auto"/>
        <w:rPr>
          <w:color w:val="auto"/>
          <w:szCs w:val="21"/>
          <w:highlight w:val="none"/>
        </w:rPr>
      </w:pPr>
      <w:r>
        <w:rPr>
          <w:rFonts w:hint="eastAsia"/>
          <w:color w:val="auto"/>
          <w:szCs w:val="21"/>
          <w:highlight w:val="none"/>
        </w:rPr>
        <w:t xml:space="preserve">                      </w:t>
      </w:r>
    </w:p>
    <w:p>
      <w:pPr>
        <w:snapToGrid w:val="0"/>
        <w:spacing w:before="50" w:afterLines="50" w:line="360" w:lineRule="auto"/>
        <w:rPr>
          <w:rFonts w:ascii="宋体"/>
          <w:color w:val="auto"/>
          <w:szCs w:val="21"/>
          <w:highlight w:val="none"/>
        </w:rPr>
      </w:pPr>
      <w:r>
        <w:rPr>
          <w:rFonts w:hint="eastAsia"/>
          <w:color w:val="auto"/>
          <w:szCs w:val="21"/>
          <w:highlight w:val="none"/>
        </w:rPr>
        <w:t xml:space="preserve">                       日  期：</w:t>
      </w:r>
    </w:p>
    <w:p>
      <w:pPr>
        <w:snapToGrid w:val="0"/>
        <w:spacing w:beforeLines="50" w:after="50"/>
        <w:ind w:firstLine="420" w:firstLineChars="200"/>
        <w:jc w:val="center"/>
        <w:rPr>
          <w:rFonts w:ascii="宋体"/>
          <w:color w:val="auto"/>
          <w:szCs w:val="21"/>
          <w:highlight w:val="none"/>
        </w:rPr>
      </w:pPr>
    </w:p>
    <w:p>
      <w:pPr>
        <w:snapToGrid w:val="0"/>
        <w:spacing w:beforeLines="50" w:after="50"/>
        <w:ind w:firstLine="420" w:firstLineChars="200"/>
        <w:rPr>
          <w:rFonts w:ascii="宋体"/>
          <w:color w:val="auto"/>
          <w:szCs w:val="21"/>
          <w:highlight w:val="none"/>
        </w:rPr>
      </w:pPr>
    </w:p>
    <w:p>
      <w:pPr>
        <w:snapToGrid w:val="0"/>
        <w:spacing w:beforeLines="50" w:after="50"/>
        <w:ind w:firstLine="420" w:firstLineChars="200"/>
        <w:rPr>
          <w:rFonts w:ascii="宋体"/>
          <w:color w:val="auto"/>
          <w:szCs w:val="21"/>
          <w:highlight w:val="none"/>
        </w:rPr>
      </w:pPr>
    </w:p>
    <w:p>
      <w:pPr>
        <w:snapToGrid w:val="0"/>
        <w:spacing w:before="50" w:afterLines="50"/>
        <w:jc w:val="left"/>
        <w:rPr>
          <w:rFonts w:ascii="宋体" w:hAnsi="宋体"/>
          <w:color w:val="auto"/>
          <w:szCs w:val="21"/>
          <w:highlight w:val="none"/>
        </w:rPr>
      </w:pPr>
      <w:r>
        <w:rPr>
          <w:rFonts w:hint="eastAsia" w:ascii="宋体"/>
          <w:color w:val="auto"/>
          <w:szCs w:val="21"/>
          <w:highlight w:val="none"/>
        </w:rPr>
        <w:br w:type="page"/>
      </w:r>
    </w:p>
    <w:p>
      <w:pPr>
        <w:snapToGrid w:val="0"/>
        <w:spacing w:beforeLines="50" w:after="50"/>
        <w:rPr>
          <w:rFonts w:hint="eastAsia" w:ascii="宋体"/>
          <w:color w:val="auto"/>
          <w:sz w:val="24"/>
          <w:szCs w:val="24"/>
          <w:highlight w:val="none"/>
        </w:rPr>
      </w:pPr>
      <w:r>
        <w:rPr>
          <w:rFonts w:hint="eastAsia" w:ascii="宋体"/>
          <w:color w:val="auto"/>
          <w:sz w:val="24"/>
          <w:szCs w:val="24"/>
          <w:highlight w:val="none"/>
        </w:rPr>
        <w:t>4.投标函</w:t>
      </w:r>
    </w:p>
    <w:p>
      <w:pPr>
        <w:snapToGrid w:val="0"/>
        <w:spacing w:beforeLines="50" w:after="50"/>
        <w:jc w:val="center"/>
        <w:rPr>
          <w:rFonts w:ascii="宋体"/>
          <w:b/>
          <w:color w:val="auto"/>
          <w:sz w:val="24"/>
          <w:highlight w:val="none"/>
        </w:rPr>
      </w:pPr>
      <w:r>
        <w:rPr>
          <w:rFonts w:hint="eastAsia" w:ascii="宋体"/>
          <w:b/>
          <w:color w:val="auto"/>
          <w:sz w:val="24"/>
          <w:highlight w:val="none"/>
        </w:rPr>
        <w:t>投 标 函</w:t>
      </w:r>
    </w:p>
    <w:p>
      <w:pPr>
        <w:snapToGrid w:val="0"/>
        <w:spacing w:line="360" w:lineRule="auto"/>
        <w:rPr>
          <w:rFonts w:ascii="宋体"/>
          <w:color w:val="auto"/>
          <w:szCs w:val="21"/>
          <w:highlight w:val="none"/>
        </w:rPr>
      </w:pPr>
    </w:p>
    <w:p>
      <w:pPr>
        <w:snapToGrid w:val="0"/>
        <w:spacing w:line="360" w:lineRule="auto"/>
        <w:rPr>
          <w:rFonts w:ascii="宋体"/>
          <w:color w:val="auto"/>
          <w:szCs w:val="21"/>
          <w:highlight w:val="none"/>
        </w:rPr>
      </w:pPr>
      <w:r>
        <w:rPr>
          <w:rFonts w:hint="eastAsia" w:ascii="宋体"/>
          <w:color w:val="auto"/>
          <w:szCs w:val="21"/>
          <w:highlight w:val="none"/>
        </w:rPr>
        <w:t>致：</w:t>
      </w:r>
      <w:r>
        <w:rPr>
          <w:rFonts w:hint="eastAsia" w:ascii="宋体"/>
          <w:color w:val="auto"/>
          <w:szCs w:val="21"/>
          <w:highlight w:val="none"/>
          <w:u w:val="single"/>
        </w:rPr>
        <w:t xml:space="preserve">           </w:t>
      </w:r>
      <w:r>
        <w:rPr>
          <w:rFonts w:hint="eastAsia" w:ascii="宋体"/>
          <w:color w:val="auto"/>
          <w:szCs w:val="21"/>
          <w:highlight w:val="none"/>
        </w:rPr>
        <w:t>（招标采购单位名称）：</w:t>
      </w:r>
    </w:p>
    <w:p>
      <w:pPr>
        <w:snapToGrid w:val="0"/>
        <w:spacing w:line="360" w:lineRule="auto"/>
        <w:ind w:firstLine="480"/>
        <w:rPr>
          <w:rFonts w:ascii="宋体"/>
          <w:color w:val="auto"/>
          <w:szCs w:val="21"/>
          <w:highlight w:val="none"/>
        </w:rPr>
      </w:pPr>
      <w:r>
        <w:rPr>
          <w:rFonts w:hint="eastAsia" w:ascii="宋体"/>
          <w:color w:val="auto"/>
          <w:szCs w:val="21"/>
          <w:highlight w:val="none"/>
        </w:rPr>
        <w:t>根据贵方为</w:t>
      </w:r>
      <w:r>
        <w:rPr>
          <w:rFonts w:hint="eastAsia" w:ascii="宋体"/>
          <w:color w:val="auto"/>
          <w:szCs w:val="21"/>
          <w:highlight w:val="none"/>
          <w:u w:val="single"/>
        </w:rPr>
        <w:t xml:space="preserve">                             </w:t>
      </w:r>
      <w:r>
        <w:rPr>
          <w:rFonts w:hint="eastAsia" w:ascii="宋体"/>
          <w:color w:val="auto"/>
          <w:szCs w:val="21"/>
          <w:highlight w:val="none"/>
        </w:rPr>
        <w:t>项目的招标公告（项目编号：</w:t>
      </w:r>
      <w:r>
        <w:rPr>
          <w:rFonts w:hint="eastAsia" w:ascii="宋体"/>
          <w:color w:val="auto"/>
          <w:szCs w:val="21"/>
          <w:highlight w:val="none"/>
          <w:u w:val="single"/>
        </w:rPr>
        <w:t xml:space="preserve">          </w:t>
      </w:r>
      <w:r>
        <w:rPr>
          <w:rFonts w:hint="eastAsia" w:ascii="宋体"/>
          <w:color w:val="auto"/>
          <w:szCs w:val="21"/>
          <w:highlight w:val="none"/>
        </w:rPr>
        <w:t>），签字代表</w:t>
      </w:r>
      <w:r>
        <w:rPr>
          <w:rFonts w:hint="eastAsia" w:ascii="宋体"/>
          <w:color w:val="auto"/>
          <w:szCs w:val="21"/>
          <w:highlight w:val="none"/>
          <w:u w:val="single"/>
        </w:rPr>
        <w:t xml:space="preserve">             </w:t>
      </w:r>
      <w:r>
        <w:rPr>
          <w:rFonts w:hint="eastAsia" w:ascii="宋体"/>
          <w:color w:val="auto"/>
          <w:szCs w:val="21"/>
          <w:highlight w:val="none"/>
        </w:rPr>
        <w:t>（全名）经正式授权并代表</w:t>
      </w:r>
      <w:r>
        <w:rPr>
          <w:rFonts w:hint="eastAsia" w:ascii="宋体"/>
          <w:color w:val="auto"/>
          <w:szCs w:val="21"/>
          <w:highlight w:val="none"/>
          <w:lang w:eastAsia="zh-CN"/>
        </w:rPr>
        <w:t>投标人</w:t>
      </w:r>
      <w:r>
        <w:rPr>
          <w:rFonts w:hint="eastAsia" w:ascii="宋体"/>
          <w:color w:val="auto"/>
          <w:szCs w:val="21"/>
          <w:highlight w:val="none"/>
          <w:u w:val="single"/>
        </w:rPr>
        <w:t xml:space="preserve">           </w:t>
      </w:r>
      <w:r>
        <w:rPr>
          <w:rFonts w:hint="eastAsia" w:ascii="宋体"/>
          <w:color w:val="auto"/>
          <w:szCs w:val="21"/>
          <w:highlight w:val="none"/>
        </w:rPr>
        <w:t>（</w:t>
      </w:r>
      <w:r>
        <w:rPr>
          <w:rFonts w:hint="eastAsia" w:ascii="宋体"/>
          <w:color w:val="auto"/>
          <w:szCs w:val="21"/>
          <w:highlight w:val="none"/>
          <w:lang w:eastAsia="zh-CN"/>
        </w:rPr>
        <w:t>投标人</w:t>
      </w:r>
      <w:r>
        <w:rPr>
          <w:rFonts w:hint="eastAsia" w:ascii="宋体"/>
          <w:color w:val="auto"/>
          <w:szCs w:val="21"/>
          <w:highlight w:val="none"/>
        </w:rPr>
        <w:t>名称）提交投标文件正本</w:t>
      </w:r>
      <w:r>
        <w:rPr>
          <w:rFonts w:hint="eastAsia" w:ascii="宋体"/>
          <w:color w:val="auto"/>
          <w:szCs w:val="21"/>
          <w:highlight w:val="none"/>
          <w:u w:val="single"/>
        </w:rPr>
        <w:t xml:space="preserve">  1  </w:t>
      </w:r>
      <w:r>
        <w:rPr>
          <w:rFonts w:hint="eastAsia" w:ascii="宋体"/>
          <w:color w:val="auto"/>
          <w:szCs w:val="21"/>
          <w:highlight w:val="none"/>
        </w:rPr>
        <w:t>份、副本</w:t>
      </w:r>
      <w:r>
        <w:rPr>
          <w:rFonts w:hint="eastAsia" w:ascii="宋体"/>
          <w:color w:val="auto"/>
          <w:szCs w:val="21"/>
          <w:highlight w:val="none"/>
          <w:u w:val="single"/>
        </w:rPr>
        <w:t xml:space="preserve">  </w:t>
      </w:r>
      <w:r>
        <w:rPr>
          <w:rFonts w:hint="eastAsia" w:ascii="宋体"/>
          <w:color w:val="auto"/>
          <w:szCs w:val="21"/>
          <w:highlight w:val="none"/>
          <w:u w:val="single"/>
          <w:lang w:val="en-US" w:eastAsia="zh-CN"/>
        </w:rPr>
        <w:t>4</w:t>
      </w:r>
      <w:r>
        <w:rPr>
          <w:rFonts w:hint="eastAsia" w:ascii="宋体"/>
          <w:color w:val="auto"/>
          <w:szCs w:val="21"/>
          <w:highlight w:val="none"/>
          <w:u w:val="single"/>
        </w:rPr>
        <w:t xml:space="preserve">  </w:t>
      </w:r>
      <w:r>
        <w:rPr>
          <w:rFonts w:hint="eastAsia" w:ascii="宋体"/>
          <w:color w:val="auto"/>
          <w:szCs w:val="21"/>
          <w:highlight w:val="none"/>
        </w:rPr>
        <w:t>份、电子文本</w:t>
      </w:r>
      <w:r>
        <w:rPr>
          <w:rFonts w:hint="eastAsia" w:ascii="宋体"/>
          <w:color w:val="auto"/>
          <w:szCs w:val="21"/>
          <w:highlight w:val="none"/>
          <w:u w:val="single"/>
        </w:rPr>
        <w:t xml:space="preserve">  1  份</w:t>
      </w:r>
      <w:r>
        <w:rPr>
          <w:rFonts w:hint="eastAsia" w:ascii="宋体"/>
          <w:color w:val="auto"/>
          <w:szCs w:val="21"/>
          <w:highlight w:val="none"/>
        </w:rPr>
        <w:t>。</w:t>
      </w:r>
    </w:p>
    <w:p>
      <w:pPr>
        <w:snapToGrid w:val="0"/>
        <w:spacing w:line="360" w:lineRule="auto"/>
        <w:ind w:firstLine="420" w:firstLineChars="200"/>
        <w:rPr>
          <w:rFonts w:ascii="宋体"/>
          <w:color w:val="auto"/>
          <w:szCs w:val="21"/>
          <w:highlight w:val="none"/>
        </w:rPr>
      </w:pPr>
      <w:r>
        <w:rPr>
          <w:rFonts w:hint="eastAsia" w:ascii="宋体"/>
          <w:color w:val="auto"/>
          <w:szCs w:val="21"/>
          <w:highlight w:val="none"/>
        </w:rPr>
        <w:t>据此函，签字代表宣布同意如下：</w:t>
      </w:r>
    </w:p>
    <w:p>
      <w:pPr>
        <w:snapToGrid w:val="0"/>
        <w:spacing w:line="360" w:lineRule="auto"/>
        <w:ind w:firstLine="420" w:firstLineChars="200"/>
        <w:rPr>
          <w:rFonts w:ascii="宋体"/>
          <w:color w:val="auto"/>
          <w:szCs w:val="21"/>
          <w:highlight w:val="none"/>
        </w:rPr>
      </w:pPr>
      <w:r>
        <w:rPr>
          <w:rFonts w:hint="eastAsia" w:ascii="宋体"/>
          <w:color w:val="auto"/>
          <w:szCs w:val="21"/>
          <w:highlight w:val="none"/>
        </w:rPr>
        <w:t>1.</w:t>
      </w:r>
      <w:r>
        <w:rPr>
          <w:rFonts w:hint="eastAsia" w:ascii="宋体"/>
          <w:color w:val="auto"/>
          <w:szCs w:val="21"/>
          <w:highlight w:val="none"/>
          <w:lang w:eastAsia="zh-CN"/>
        </w:rPr>
        <w:t>投标人</w:t>
      </w:r>
      <w:r>
        <w:rPr>
          <w:rFonts w:hint="eastAsia" w:ascii="宋体"/>
          <w:color w:val="auto"/>
          <w:szCs w:val="21"/>
          <w:highlight w:val="none"/>
        </w:rPr>
        <w:t>已详细审查全部“招标文件”，包括修改文件（如有的话）以及全部参考资料和有关附件，已经了解我方对于招标文件、采购过程、采购结果有依法进行询问、质疑、投诉的权利及相关渠道和要求。</w:t>
      </w:r>
    </w:p>
    <w:p>
      <w:pPr>
        <w:snapToGrid w:val="0"/>
        <w:spacing w:line="360" w:lineRule="auto"/>
        <w:ind w:firstLine="420" w:firstLineChars="200"/>
        <w:rPr>
          <w:rFonts w:ascii="宋体"/>
          <w:color w:val="auto"/>
          <w:szCs w:val="21"/>
          <w:highlight w:val="none"/>
        </w:rPr>
      </w:pPr>
      <w:r>
        <w:rPr>
          <w:rFonts w:hint="eastAsia" w:ascii="宋体"/>
          <w:color w:val="auto"/>
          <w:szCs w:val="21"/>
          <w:highlight w:val="none"/>
        </w:rPr>
        <w:t>2.</w:t>
      </w:r>
      <w:r>
        <w:rPr>
          <w:rFonts w:hint="eastAsia" w:ascii="宋体"/>
          <w:color w:val="auto"/>
          <w:szCs w:val="21"/>
          <w:highlight w:val="none"/>
          <w:lang w:eastAsia="zh-CN"/>
        </w:rPr>
        <w:t>投标人</w:t>
      </w:r>
      <w:r>
        <w:rPr>
          <w:rFonts w:hint="eastAsia" w:ascii="宋体"/>
          <w:color w:val="auto"/>
          <w:szCs w:val="21"/>
          <w:highlight w:val="none"/>
        </w:rPr>
        <w:t>在投标之前已经与贵方进行了充分的沟通，完全理解并接受招标文件的各项规定和要求，对招标文件的合理性、合法性不再有异议。</w:t>
      </w:r>
    </w:p>
    <w:p>
      <w:pPr>
        <w:snapToGrid w:val="0"/>
        <w:spacing w:line="360" w:lineRule="auto"/>
        <w:ind w:firstLine="420" w:firstLineChars="200"/>
        <w:rPr>
          <w:rFonts w:ascii="宋体"/>
          <w:color w:val="auto"/>
          <w:szCs w:val="21"/>
          <w:highlight w:val="none"/>
        </w:rPr>
      </w:pPr>
      <w:r>
        <w:rPr>
          <w:rFonts w:hint="eastAsia" w:ascii="宋体"/>
          <w:color w:val="auto"/>
          <w:szCs w:val="21"/>
          <w:highlight w:val="none"/>
        </w:rPr>
        <w:t>3.本投标有效期自开标日起</w:t>
      </w:r>
      <w:r>
        <w:rPr>
          <w:rFonts w:hint="eastAsia" w:ascii="宋体"/>
          <w:color w:val="auto"/>
          <w:szCs w:val="21"/>
          <w:highlight w:val="none"/>
          <w:u w:val="single"/>
        </w:rPr>
        <w:t xml:space="preserve"> </w:t>
      </w:r>
      <w:r>
        <w:rPr>
          <w:rFonts w:hint="eastAsia" w:ascii="宋体"/>
          <w:color w:val="auto"/>
          <w:szCs w:val="21"/>
          <w:highlight w:val="none"/>
          <w:u w:val="single"/>
          <w:lang w:val="en-US" w:eastAsia="zh-CN"/>
        </w:rPr>
        <w:t>120</w:t>
      </w:r>
      <w:r>
        <w:rPr>
          <w:rFonts w:hint="eastAsia" w:ascii="宋体"/>
          <w:color w:val="auto"/>
          <w:szCs w:val="21"/>
          <w:highlight w:val="none"/>
          <w:u w:val="single"/>
        </w:rPr>
        <w:t>个</w:t>
      </w:r>
      <w:r>
        <w:rPr>
          <w:rFonts w:hint="eastAsia" w:ascii="宋体"/>
          <w:color w:val="auto"/>
          <w:szCs w:val="21"/>
          <w:highlight w:val="none"/>
        </w:rPr>
        <w:t>日历日。</w:t>
      </w:r>
    </w:p>
    <w:p>
      <w:pPr>
        <w:snapToGrid w:val="0"/>
        <w:spacing w:line="360" w:lineRule="auto"/>
        <w:ind w:firstLine="420" w:firstLineChars="200"/>
        <w:rPr>
          <w:rFonts w:ascii="宋体"/>
          <w:color w:val="auto"/>
          <w:szCs w:val="21"/>
          <w:highlight w:val="none"/>
        </w:rPr>
      </w:pPr>
      <w:r>
        <w:rPr>
          <w:rFonts w:hint="eastAsia" w:ascii="宋体"/>
          <w:color w:val="auto"/>
          <w:szCs w:val="21"/>
          <w:highlight w:val="none"/>
        </w:rPr>
        <w:t>4.如中标，本投标文件至本项目合同履行完毕止均保持有效，本</w:t>
      </w:r>
      <w:r>
        <w:rPr>
          <w:rFonts w:hint="eastAsia" w:ascii="宋体"/>
          <w:color w:val="auto"/>
          <w:szCs w:val="21"/>
          <w:highlight w:val="none"/>
          <w:lang w:eastAsia="zh-CN"/>
        </w:rPr>
        <w:t>投标人</w:t>
      </w:r>
      <w:r>
        <w:rPr>
          <w:rFonts w:hint="eastAsia" w:ascii="宋体"/>
          <w:color w:val="auto"/>
          <w:szCs w:val="21"/>
          <w:highlight w:val="none"/>
        </w:rPr>
        <w:t>将按“招标文件”及政府采购法律、法规的规定履行合同责任和义务。</w:t>
      </w:r>
    </w:p>
    <w:p>
      <w:pPr>
        <w:snapToGrid w:val="0"/>
        <w:spacing w:line="360" w:lineRule="auto"/>
        <w:ind w:firstLine="420" w:firstLineChars="200"/>
        <w:rPr>
          <w:rFonts w:ascii="宋体"/>
          <w:color w:val="auto"/>
          <w:szCs w:val="21"/>
          <w:highlight w:val="none"/>
        </w:rPr>
      </w:pPr>
      <w:r>
        <w:rPr>
          <w:rFonts w:hint="eastAsia" w:ascii="宋体"/>
          <w:color w:val="auto"/>
          <w:szCs w:val="21"/>
          <w:highlight w:val="none"/>
        </w:rPr>
        <w:t>5.</w:t>
      </w:r>
      <w:r>
        <w:rPr>
          <w:rFonts w:hint="eastAsia" w:ascii="宋体"/>
          <w:color w:val="auto"/>
          <w:szCs w:val="21"/>
          <w:highlight w:val="none"/>
          <w:lang w:eastAsia="zh-CN"/>
        </w:rPr>
        <w:t>投标人</w:t>
      </w:r>
      <w:r>
        <w:rPr>
          <w:rFonts w:hint="eastAsia" w:ascii="宋体"/>
          <w:color w:val="auto"/>
          <w:szCs w:val="21"/>
          <w:highlight w:val="none"/>
        </w:rPr>
        <w:t>同意按照贵方要求提供与投标有关的一切数据或资料。</w:t>
      </w:r>
    </w:p>
    <w:p>
      <w:pPr>
        <w:snapToGrid w:val="0"/>
        <w:spacing w:line="360" w:lineRule="auto"/>
        <w:ind w:firstLine="420" w:firstLineChars="200"/>
        <w:rPr>
          <w:rFonts w:ascii="宋体"/>
          <w:color w:val="auto"/>
          <w:szCs w:val="21"/>
          <w:highlight w:val="none"/>
        </w:rPr>
      </w:pPr>
      <w:r>
        <w:rPr>
          <w:rFonts w:hint="eastAsia" w:ascii="宋体"/>
          <w:color w:val="auto"/>
          <w:szCs w:val="21"/>
          <w:highlight w:val="none"/>
        </w:rPr>
        <w:t>6.与本投标有关的一切正式往来信函请寄：</w:t>
      </w:r>
    </w:p>
    <w:p>
      <w:pPr>
        <w:snapToGrid w:val="0"/>
        <w:spacing w:line="360" w:lineRule="auto"/>
        <w:rPr>
          <w:rFonts w:ascii="宋体"/>
          <w:color w:val="auto"/>
          <w:szCs w:val="21"/>
          <w:highlight w:val="none"/>
        </w:rPr>
      </w:pPr>
    </w:p>
    <w:p>
      <w:pPr>
        <w:snapToGrid w:val="0"/>
        <w:spacing w:line="360" w:lineRule="auto"/>
        <w:rPr>
          <w:rFonts w:ascii="宋体"/>
          <w:color w:val="auto"/>
          <w:szCs w:val="21"/>
          <w:highlight w:val="none"/>
        </w:rPr>
      </w:pPr>
      <w:r>
        <w:rPr>
          <w:rFonts w:hint="eastAsia" w:ascii="宋体"/>
          <w:color w:val="auto"/>
          <w:szCs w:val="21"/>
          <w:highlight w:val="none"/>
        </w:rPr>
        <w:t>地址：</w:t>
      </w:r>
      <w:r>
        <w:rPr>
          <w:rFonts w:hint="eastAsia" w:ascii="宋体"/>
          <w:color w:val="auto"/>
          <w:szCs w:val="21"/>
          <w:highlight w:val="none"/>
          <w:u w:val="single"/>
        </w:rPr>
        <w:t xml:space="preserve">                   </w:t>
      </w:r>
      <w:r>
        <w:rPr>
          <w:rFonts w:hint="eastAsia" w:ascii="宋体"/>
          <w:color w:val="auto"/>
          <w:szCs w:val="21"/>
          <w:highlight w:val="none"/>
        </w:rPr>
        <w:t xml:space="preserve"> 邮编：</w:t>
      </w:r>
      <w:r>
        <w:rPr>
          <w:rFonts w:hint="eastAsia" w:ascii="宋体"/>
          <w:color w:val="auto"/>
          <w:szCs w:val="21"/>
          <w:highlight w:val="none"/>
          <w:u w:val="single"/>
        </w:rPr>
        <w:t xml:space="preserve">              </w:t>
      </w:r>
      <w:r>
        <w:rPr>
          <w:rFonts w:hint="eastAsia" w:ascii="宋体"/>
          <w:color w:val="auto"/>
          <w:szCs w:val="21"/>
          <w:highlight w:val="none"/>
        </w:rPr>
        <w:t xml:space="preserve">   电话：</w:t>
      </w:r>
      <w:r>
        <w:rPr>
          <w:rFonts w:hint="eastAsia" w:ascii="宋体"/>
          <w:color w:val="auto"/>
          <w:szCs w:val="21"/>
          <w:highlight w:val="none"/>
          <w:u w:val="single"/>
        </w:rPr>
        <w:t xml:space="preserve">              </w:t>
      </w:r>
    </w:p>
    <w:p>
      <w:pPr>
        <w:snapToGrid w:val="0"/>
        <w:spacing w:line="360" w:lineRule="auto"/>
        <w:rPr>
          <w:rFonts w:ascii="宋体"/>
          <w:color w:val="auto"/>
          <w:szCs w:val="21"/>
          <w:highlight w:val="none"/>
        </w:rPr>
      </w:pPr>
      <w:r>
        <w:rPr>
          <w:rFonts w:hint="eastAsia" w:ascii="宋体"/>
          <w:color w:val="auto"/>
          <w:szCs w:val="21"/>
          <w:highlight w:val="none"/>
        </w:rPr>
        <w:t>传真：</w:t>
      </w:r>
      <w:r>
        <w:rPr>
          <w:rFonts w:hint="eastAsia" w:ascii="宋体"/>
          <w:color w:val="auto"/>
          <w:szCs w:val="21"/>
          <w:highlight w:val="none"/>
          <w:u w:val="single"/>
        </w:rPr>
        <w:t xml:space="preserve">              </w:t>
      </w:r>
      <w:r>
        <w:rPr>
          <w:rFonts w:hint="eastAsia" w:ascii="宋体"/>
          <w:color w:val="auto"/>
          <w:szCs w:val="21"/>
          <w:highlight w:val="none"/>
        </w:rPr>
        <w:t xml:space="preserve"> </w:t>
      </w:r>
      <w:r>
        <w:rPr>
          <w:rFonts w:hint="eastAsia" w:ascii="宋体"/>
          <w:color w:val="auto"/>
          <w:szCs w:val="21"/>
          <w:highlight w:val="none"/>
          <w:lang w:eastAsia="zh-CN"/>
        </w:rPr>
        <w:t>投标人</w:t>
      </w:r>
      <w:r>
        <w:rPr>
          <w:rFonts w:hint="eastAsia" w:ascii="宋体"/>
          <w:color w:val="auto"/>
          <w:szCs w:val="21"/>
          <w:highlight w:val="none"/>
        </w:rPr>
        <w:t xml:space="preserve">代表姓名： </w:t>
      </w:r>
      <w:r>
        <w:rPr>
          <w:rFonts w:hint="eastAsia" w:ascii="宋体"/>
          <w:color w:val="auto"/>
          <w:szCs w:val="21"/>
          <w:highlight w:val="none"/>
          <w:u w:val="single"/>
        </w:rPr>
        <w:t xml:space="preserve">              </w:t>
      </w:r>
      <w:r>
        <w:rPr>
          <w:rFonts w:hint="eastAsia" w:ascii="宋体"/>
          <w:color w:val="auto"/>
          <w:szCs w:val="21"/>
          <w:highlight w:val="none"/>
        </w:rPr>
        <w:t xml:space="preserve"> 职务：</w:t>
      </w:r>
      <w:r>
        <w:rPr>
          <w:rFonts w:hint="eastAsia" w:ascii="宋体"/>
          <w:color w:val="auto"/>
          <w:szCs w:val="21"/>
          <w:highlight w:val="none"/>
          <w:u w:val="single"/>
        </w:rPr>
        <w:t xml:space="preserve">              </w:t>
      </w:r>
    </w:p>
    <w:p>
      <w:pPr>
        <w:snapToGrid w:val="0"/>
        <w:spacing w:line="360" w:lineRule="auto"/>
        <w:rPr>
          <w:rFonts w:ascii="宋体"/>
          <w:color w:val="auto"/>
          <w:szCs w:val="21"/>
          <w:highlight w:val="none"/>
          <w:u w:val="single"/>
        </w:rPr>
      </w:pPr>
      <w:r>
        <w:rPr>
          <w:rFonts w:hint="eastAsia" w:ascii="宋体"/>
          <w:color w:val="auto"/>
          <w:szCs w:val="21"/>
          <w:highlight w:val="none"/>
          <w:lang w:eastAsia="zh-CN"/>
        </w:rPr>
        <w:t>投标人</w:t>
      </w:r>
      <w:r>
        <w:rPr>
          <w:rFonts w:hint="eastAsia" w:ascii="宋体"/>
          <w:color w:val="auto"/>
          <w:szCs w:val="21"/>
          <w:highlight w:val="none"/>
        </w:rPr>
        <w:t>名称(公章):</w:t>
      </w:r>
      <w:r>
        <w:rPr>
          <w:rFonts w:hint="eastAsia" w:ascii="宋体"/>
          <w:color w:val="auto"/>
          <w:szCs w:val="21"/>
          <w:highlight w:val="none"/>
          <w:u w:val="single"/>
        </w:rPr>
        <w:t xml:space="preserve">              </w:t>
      </w:r>
    </w:p>
    <w:p>
      <w:pPr>
        <w:snapToGrid w:val="0"/>
        <w:spacing w:line="360" w:lineRule="auto"/>
        <w:rPr>
          <w:rFonts w:ascii="宋体"/>
          <w:color w:val="auto"/>
          <w:szCs w:val="21"/>
          <w:highlight w:val="none"/>
        </w:rPr>
      </w:pPr>
      <w:r>
        <w:rPr>
          <w:rFonts w:hint="eastAsia" w:ascii="宋体"/>
          <w:color w:val="auto"/>
          <w:szCs w:val="21"/>
          <w:highlight w:val="none"/>
        </w:rPr>
        <w:t>开户银行：</w:t>
      </w:r>
      <w:r>
        <w:rPr>
          <w:rFonts w:hint="eastAsia" w:ascii="宋体"/>
          <w:color w:val="auto"/>
          <w:szCs w:val="21"/>
          <w:highlight w:val="none"/>
          <w:u w:val="single"/>
        </w:rPr>
        <w:t xml:space="preserve">                      </w:t>
      </w:r>
      <w:r>
        <w:rPr>
          <w:rFonts w:hint="eastAsia" w:ascii="宋体"/>
          <w:color w:val="auto"/>
          <w:szCs w:val="21"/>
          <w:highlight w:val="none"/>
        </w:rPr>
        <w:t xml:space="preserve">   银行帐号：</w:t>
      </w:r>
      <w:r>
        <w:rPr>
          <w:rFonts w:hint="eastAsia" w:ascii="宋体"/>
          <w:color w:val="auto"/>
          <w:szCs w:val="21"/>
          <w:highlight w:val="none"/>
          <w:u w:val="single"/>
        </w:rPr>
        <w:t xml:space="preserve">                    </w:t>
      </w:r>
      <w:r>
        <w:rPr>
          <w:rFonts w:hint="eastAsia" w:ascii="宋体"/>
          <w:color w:val="auto"/>
          <w:szCs w:val="21"/>
          <w:highlight w:val="none"/>
        </w:rPr>
        <w:t xml:space="preserve"> </w:t>
      </w:r>
    </w:p>
    <w:p>
      <w:pPr>
        <w:snapToGrid w:val="0"/>
        <w:spacing w:line="360" w:lineRule="auto"/>
        <w:jc w:val="center"/>
        <w:rPr>
          <w:rFonts w:ascii="宋体"/>
          <w:color w:val="auto"/>
          <w:szCs w:val="21"/>
          <w:highlight w:val="none"/>
        </w:rPr>
      </w:pPr>
    </w:p>
    <w:p>
      <w:pPr>
        <w:snapToGrid w:val="0"/>
        <w:spacing w:line="360" w:lineRule="auto"/>
        <w:rPr>
          <w:rFonts w:ascii="宋体"/>
          <w:color w:val="auto"/>
          <w:szCs w:val="21"/>
          <w:highlight w:val="none"/>
        </w:rPr>
      </w:pPr>
      <w:r>
        <w:rPr>
          <w:rFonts w:hint="eastAsia" w:ascii="宋体"/>
          <w:color w:val="auto"/>
          <w:szCs w:val="21"/>
          <w:highlight w:val="none"/>
        </w:rPr>
        <w:t>授权代表签字或盖章:</w:t>
      </w:r>
      <w:r>
        <w:rPr>
          <w:rFonts w:hint="eastAsia" w:ascii="宋体"/>
          <w:color w:val="auto"/>
          <w:szCs w:val="21"/>
          <w:highlight w:val="none"/>
          <w:u w:val="single"/>
        </w:rPr>
        <w:t xml:space="preserve">               </w:t>
      </w:r>
      <w:r>
        <w:rPr>
          <w:rFonts w:hint="eastAsia" w:ascii="宋体"/>
          <w:color w:val="auto"/>
          <w:szCs w:val="21"/>
          <w:highlight w:val="none"/>
        </w:rPr>
        <w:t xml:space="preserve">                  日期:</w:t>
      </w:r>
      <w:r>
        <w:rPr>
          <w:rFonts w:hint="eastAsia" w:ascii="宋体"/>
          <w:color w:val="auto"/>
          <w:szCs w:val="21"/>
          <w:highlight w:val="none"/>
          <w:u w:val="single"/>
        </w:rPr>
        <w:t xml:space="preserve">       </w:t>
      </w:r>
      <w:r>
        <w:rPr>
          <w:rFonts w:hint="eastAsia" w:ascii="宋体"/>
          <w:color w:val="auto"/>
          <w:szCs w:val="21"/>
          <w:highlight w:val="none"/>
        </w:rPr>
        <w:t>年</w:t>
      </w:r>
      <w:r>
        <w:rPr>
          <w:rFonts w:hint="eastAsia" w:ascii="宋体"/>
          <w:color w:val="auto"/>
          <w:szCs w:val="21"/>
          <w:highlight w:val="none"/>
          <w:u w:val="single"/>
        </w:rPr>
        <w:t xml:space="preserve">    </w:t>
      </w:r>
      <w:r>
        <w:rPr>
          <w:rFonts w:hint="eastAsia" w:ascii="宋体"/>
          <w:color w:val="auto"/>
          <w:szCs w:val="21"/>
          <w:highlight w:val="none"/>
        </w:rPr>
        <w:t>月</w:t>
      </w:r>
      <w:r>
        <w:rPr>
          <w:rFonts w:hint="eastAsia" w:ascii="宋体"/>
          <w:color w:val="auto"/>
          <w:szCs w:val="21"/>
          <w:highlight w:val="none"/>
          <w:u w:val="single"/>
        </w:rPr>
        <w:t xml:space="preserve">     </w:t>
      </w:r>
      <w:r>
        <w:rPr>
          <w:rFonts w:hint="eastAsia" w:ascii="宋体"/>
          <w:color w:val="auto"/>
          <w:szCs w:val="21"/>
          <w:highlight w:val="none"/>
        </w:rPr>
        <w:t>日</w:t>
      </w:r>
    </w:p>
    <w:p>
      <w:pPr>
        <w:snapToGrid w:val="0"/>
        <w:spacing w:before="50" w:afterLines="50"/>
        <w:jc w:val="left"/>
        <w:rPr>
          <w:rFonts w:ascii="宋体"/>
          <w:color w:val="auto"/>
          <w:szCs w:val="21"/>
          <w:highlight w:val="none"/>
        </w:rPr>
      </w:pPr>
    </w:p>
    <w:p>
      <w:pPr>
        <w:snapToGrid w:val="0"/>
        <w:spacing w:before="50" w:afterLines="50"/>
        <w:jc w:val="left"/>
        <w:rPr>
          <w:rFonts w:ascii="宋体"/>
          <w:color w:val="auto"/>
          <w:szCs w:val="21"/>
          <w:highlight w:val="none"/>
        </w:rPr>
      </w:pPr>
    </w:p>
    <w:p>
      <w:pPr>
        <w:snapToGrid w:val="0"/>
        <w:spacing w:before="50" w:afterLines="50"/>
        <w:jc w:val="left"/>
        <w:rPr>
          <w:rFonts w:ascii="宋体"/>
          <w:color w:val="auto"/>
          <w:szCs w:val="21"/>
          <w:highlight w:val="none"/>
        </w:rPr>
      </w:pPr>
    </w:p>
    <w:p>
      <w:pPr>
        <w:snapToGrid w:val="0"/>
        <w:spacing w:before="50" w:afterLines="50"/>
        <w:jc w:val="left"/>
        <w:rPr>
          <w:rFonts w:ascii="宋体"/>
          <w:color w:val="auto"/>
          <w:szCs w:val="21"/>
          <w:highlight w:val="none"/>
        </w:rPr>
      </w:pPr>
      <w:r>
        <w:rPr>
          <w:rFonts w:hint="eastAsia" w:ascii="宋体"/>
          <w:color w:val="auto"/>
          <w:szCs w:val="21"/>
          <w:highlight w:val="none"/>
        </w:rPr>
        <w:br w:type="page"/>
      </w:r>
    </w:p>
    <w:p>
      <w:pPr>
        <w:snapToGrid w:val="0"/>
        <w:spacing w:beforeLines="50" w:after="50"/>
        <w:rPr>
          <w:rFonts w:hint="eastAsia" w:ascii="宋体"/>
          <w:color w:val="auto"/>
          <w:sz w:val="24"/>
          <w:szCs w:val="24"/>
          <w:highlight w:val="none"/>
        </w:rPr>
      </w:pPr>
      <w:r>
        <w:rPr>
          <w:rFonts w:hint="eastAsia" w:ascii="宋体"/>
          <w:color w:val="auto"/>
          <w:sz w:val="24"/>
          <w:szCs w:val="24"/>
          <w:highlight w:val="none"/>
        </w:rPr>
        <w:t>5.投标声明书：</w:t>
      </w:r>
    </w:p>
    <w:p>
      <w:pPr>
        <w:snapToGrid w:val="0"/>
        <w:spacing w:beforeLines="50" w:after="50"/>
        <w:jc w:val="center"/>
        <w:rPr>
          <w:rFonts w:ascii="宋体"/>
          <w:b/>
          <w:color w:val="auto"/>
          <w:sz w:val="24"/>
          <w:highlight w:val="none"/>
        </w:rPr>
      </w:pPr>
      <w:r>
        <w:rPr>
          <w:rFonts w:hint="eastAsia" w:ascii="宋体"/>
          <w:b/>
          <w:color w:val="auto"/>
          <w:sz w:val="24"/>
          <w:highlight w:val="none"/>
        </w:rPr>
        <w:t>投标声明书</w:t>
      </w:r>
    </w:p>
    <w:p>
      <w:pPr>
        <w:snapToGrid w:val="0"/>
        <w:spacing w:beforeLines="50" w:after="50"/>
        <w:rPr>
          <w:rFonts w:ascii="宋体"/>
          <w:color w:val="auto"/>
          <w:szCs w:val="21"/>
          <w:highlight w:val="none"/>
        </w:rPr>
      </w:pPr>
    </w:p>
    <w:p>
      <w:pPr>
        <w:snapToGrid w:val="0"/>
        <w:spacing w:line="360" w:lineRule="auto"/>
        <w:rPr>
          <w:rFonts w:ascii="宋体"/>
          <w:color w:val="auto"/>
          <w:szCs w:val="21"/>
          <w:highlight w:val="none"/>
        </w:rPr>
      </w:pPr>
      <w:r>
        <w:rPr>
          <w:rFonts w:hint="eastAsia" w:ascii="宋体"/>
          <w:color w:val="auto"/>
          <w:szCs w:val="21"/>
          <w:highlight w:val="none"/>
        </w:rPr>
        <w:t>致：</w:t>
      </w:r>
      <w:r>
        <w:rPr>
          <w:rFonts w:hint="eastAsia" w:ascii="宋体"/>
          <w:color w:val="auto"/>
          <w:szCs w:val="21"/>
          <w:highlight w:val="none"/>
          <w:u w:val="single"/>
        </w:rPr>
        <w:t xml:space="preserve">               </w:t>
      </w:r>
      <w:r>
        <w:rPr>
          <w:rFonts w:hint="eastAsia" w:ascii="宋体"/>
          <w:color w:val="auto"/>
          <w:szCs w:val="21"/>
          <w:highlight w:val="none"/>
        </w:rPr>
        <w:t>（招标采购单位名称）：</w:t>
      </w:r>
    </w:p>
    <w:p>
      <w:pPr>
        <w:snapToGrid w:val="0"/>
        <w:spacing w:line="360" w:lineRule="auto"/>
        <w:ind w:firstLine="630" w:firstLineChars="300"/>
        <w:rPr>
          <w:rFonts w:ascii="宋体"/>
          <w:color w:val="auto"/>
          <w:szCs w:val="21"/>
          <w:highlight w:val="none"/>
        </w:rPr>
      </w:pPr>
      <w:r>
        <w:rPr>
          <w:rFonts w:hint="eastAsia" w:ascii="宋体"/>
          <w:color w:val="auto"/>
          <w:szCs w:val="21"/>
          <w:highlight w:val="none"/>
          <w:u w:val="single"/>
        </w:rPr>
        <w:t xml:space="preserve">                   </w:t>
      </w:r>
      <w:r>
        <w:rPr>
          <w:rFonts w:hint="eastAsia" w:ascii="宋体"/>
          <w:color w:val="auto"/>
          <w:szCs w:val="21"/>
          <w:highlight w:val="none"/>
        </w:rPr>
        <w:t>（</w:t>
      </w:r>
      <w:r>
        <w:rPr>
          <w:rFonts w:hint="eastAsia" w:ascii="宋体"/>
          <w:color w:val="auto"/>
          <w:szCs w:val="21"/>
          <w:highlight w:val="none"/>
          <w:lang w:eastAsia="zh-CN"/>
        </w:rPr>
        <w:t>投标人</w:t>
      </w:r>
      <w:r>
        <w:rPr>
          <w:rFonts w:hint="eastAsia" w:ascii="宋体"/>
          <w:color w:val="auto"/>
          <w:szCs w:val="21"/>
          <w:highlight w:val="none"/>
        </w:rPr>
        <w:t>名称）系中华人民共和国合法企业，经营地址</w:t>
      </w:r>
      <w:r>
        <w:rPr>
          <w:rFonts w:hint="eastAsia" w:ascii="宋体"/>
          <w:color w:val="auto"/>
          <w:szCs w:val="21"/>
          <w:highlight w:val="none"/>
          <w:u w:val="single"/>
        </w:rPr>
        <w:t xml:space="preserve">                               </w:t>
      </w:r>
      <w:r>
        <w:rPr>
          <w:rFonts w:hint="eastAsia" w:ascii="宋体"/>
          <w:color w:val="auto"/>
          <w:szCs w:val="21"/>
          <w:highlight w:val="none"/>
        </w:rPr>
        <w:t>。</w:t>
      </w:r>
    </w:p>
    <w:p>
      <w:pPr>
        <w:snapToGrid w:val="0"/>
        <w:spacing w:line="360" w:lineRule="auto"/>
        <w:ind w:firstLine="645"/>
        <w:rPr>
          <w:rFonts w:ascii="宋体"/>
          <w:color w:val="auto"/>
          <w:szCs w:val="21"/>
          <w:highlight w:val="none"/>
        </w:rPr>
      </w:pPr>
      <w:r>
        <w:rPr>
          <w:rFonts w:hint="eastAsia" w:ascii="宋体"/>
          <w:color w:val="auto"/>
          <w:szCs w:val="21"/>
          <w:highlight w:val="none"/>
        </w:rPr>
        <w:t>我</w:t>
      </w:r>
      <w:r>
        <w:rPr>
          <w:rFonts w:hint="eastAsia" w:ascii="宋体"/>
          <w:color w:val="auto"/>
          <w:szCs w:val="21"/>
          <w:highlight w:val="none"/>
          <w:u w:val="single"/>
        </w:rPr>
        <w:t xml:space="preserve">      </w:t>
      </w:r>
      <w:r>
        <w:rPr>
          <w:rFonts w:hint="eastAsia" w:ascii="宋体"/>
          <w:color w:val="auto"/>
          <w:szCs w:val="21"/>
          <w:highlight w:val="none"/>
        </w:rPr>
        <w:t>（姓名）系</w:t>
      </w:r>
      <w:r>
        <w:rPr>
          <w:rFonts w:hint="eastAsia" w:ascii="宋体"/>
          <w:color w:val="auto"/>
          <w:szCs w:val="21"/>
          <w:highlight w:val="none"/>
          <w:u w:val="single"/>
        </w:rPr>
        <w:t xml:space="preserve">        </w:t>
      </w:r>
      <w:r>
        <w:rPr>
          <w:rFonts w:hint="eastAsia" w:ascii="宋体"/>
          <w:color w:val="auto"/>
          <w:szCs w:val="21"/>
          <w:highlight w:val="none"/>
        </w:rPr>
        <w:t>（</w:t>
      </w:r>
      <w:r>
        <w:rPr>
          <w:rFonts w:hint="eastAsia" w:ascii="宋体"/>
          <w:color w:val="auto"/>
          <w:szCs w:val="21"/>
          <w:highlight w:val="none"/>
          <w:lang w:eastAsia="zh-CN"/>
        </w:rPr>
        <w:t>投标人</w:t>
      </w:r>
      <w:r>
        <w:rPr>
          <w:rFonts w:hint="eastAsia" w:ascii="宋体"/>
          <w:color w:val="auto"/>
          <w:szCs w:val="21"/>
          <w:highlight w:val="none"/>
        </w:rPr>
        <w:t>名称）的法定代表人，我方愿意参加贵方组织的</w:t>
      </w:r>
      <w:r>
        <w:rPr>
          <w:rFonts w:hint="eastAsia" w:ascii="宋体"/>
          <w:color w:val="auto"/>
          <w:szCs w:val="21"/>
          <w:highlight w:val="none"/>
          <w:u w:val="single"/>
        </w:rPr>
        <w:t xml:space="preserve">                   </w:t>
      </w:r>
      <w:r>
        <w:rPr>
          <w:rFonts w:hint="eastAsia" w:ascii="宋体"/>
          <w:color w:val="auto"/>
          <w:szCs w:val="21"/>
          <w:highlight w:val="none"/>
        </w:rPr>
        <w:t>本次投标有关事项郑重声明如下：</w:t>
      </w:r>
    </w:p>
    <w:p>
      <w:pPr>
        <w:snapToGrid w:val="0"/>
        <w:spacing w:line="360" w:lineRule="auto"/>
        <w:ind w:firstLine="420" w:firstLineChars="200"/>
        <w:rPr>
          <w:rFonts w:ascii="宋体"/>
          <w:color w:val="auto"/>
          <w:szCs w:val="21"/>
          <w:highlight w:val="none"/>
        </w:rPr>
      </w:pPr>
      <w:r>
        <w:rPr>
          <w:rFonts w:hint="eastAsia" w:ascii="宋体"/>
          <w:color w:val="auto"/>
          <w:szCs w:val="21"/>
          <w:highlight w:val="none"/>
        </w:rPr>
        <w:t>1.我方向贵方提交的所有投标文件、资料都是准确的和真实的。</w:t>
      </w:r>
    </w:p>
    <w:p>
      <w:pPr>
        <w:snapToGrid w:val="0"/>
        <w:spacing w:line="360" w:lineRule="auto"/>
        <w:ind w:firstLine="420" w:firstLineChars="200"/>
        <w:rPr>
          <w:rFonts w:ascii="宋体"/>
          <w:color w:val="auto"/>
          <w:szCs w:val="21"/>
          <w:highlight w:val="none"/>
        </w:rPr>
      </w:pPr>
      <w:r>
        <w:rPr>
          <w:rFonts w:hint="eastAsia" w:ascii="宋体"/>
          <w:color w:val="auto"/>
          <w:szCs w:val="21"/>
          <w:highlight w:val="none"/>
        </w:rPr>
        <w:t>2.我方不是</w:t>
      </w:r>
      <w:r>
        <w:rPr>
          <w:rFonts w:hint="eastAsia" w:ascii="宋体"/>
          <w:color w:val="auto"/>
          <w:szCs w:val="21"/>
          <w:highlight w:val="none"/>
          <w:lang w:eastAsia="zh-CN"/>
        </w:rPr>
        <w:t>采购单位</w:t>
      </w:r>
      <w:r>
        <w:rPr>
          <w:rFonts w:hint="eastAsia" w:ascii="宋体"/>
          <w:color w:val="auto"/>
          <w:szCs w:val="21"/>
          <w:highlight w:val="none"/>
        </w:rPr>
        <w:t>的附属机构；在获知本项目采购信息后，与</w:t>
      </w:r>
      <w:r>
        <w:rPr>
          <w:rFonts w:hint="eastAsia" w:ascii="宋体"/>
          <w:color w:val="auto"/>
          <w:szCs w:val="21"/>
          <w:highlight w:val="none"/>
          <w:lang w:eastAsia="zh-CN"/>
        </w:rPr>
        <w:t>采购单位</w:t>
      </w:r>
      <w:r>
        <w:rPr>
          <w:rFonts w:hint="eastAsia" w:ascii="宋体"/>
          <w:color w:val="auto"/>
          <w:szCs w:val="21"/>
          <w:highlight w:val="none"/>
        </w:rPr>
        <w:t>聘请的为此项目提供咨询服务的公司及其附属机构没有任何联系。</w:t>
      </w:r>
    </w:p>
    <w:p>
      <w:pPr>
        <w:snapToGrid w:val="0"/>
        <w:spacing w:line="360" w:lineRule="auto"/>
        <w:ind w:firstLine="420" w:firstLineChars="200"/>
        <w:rPr>
          <w:rFonts w:ascii="宋体"/>
          <w:color w:val="auto"/>
          <w:szCs w:val="21"/>
          <w:highlight w:val="none"/>
        </w:rPr>
      </w:pPr>
      <w:r>
        <w:rPr>
          <w:rFonts w:hint="eastAsia" w:ascii="宋体"/>
          <w:color w:val="auto"/>
          <w:szCs w:val="21"/>
          <w:highlight w:val="none"/>
        </w:rPr>
        <w:t>3.我方</w:t>
      </w:r>
      <w:r>
        <w:rPr>
          <w:rFonts w:hint="eastAsia" w:ascii="宋体" w:cs="宋体"/>
          <w:color w:val="auto"/>
          <w:highlight w:val="none"/>
        </w:rPr>
        <w:t>符合《中华人民共和国政府采购法》第二十二条规定的</w:t>
      </w:r>
      <w:r>
        <w:rPr>
          <w:rFonts w:hint="eastAsia" w:ascii="宋体" w:cs="宋体"/>
          <w:color w:val="auto"/>
          <w:highlight w:val="none"/>
          <w:lang w:eastAsia="zh-CN"/>
        </w:rPr>
        <w:t>投标人</w:t>
      </w:r>
      <w:r>
        <w:rPr>
          <w:rFonts w:hint="eastAsia" w:ascii="宋体" w:cs="宋体"/>
          <w:color w:val="auto"/>
          <w:highlight w:val="none"/>
        </w:rPr>
        <w:t>资格条件；</w:t>
      </w:r>
    </w:p>
    <w:p>
      <w:pPr>
        <w:snapToGrid w:val="0"/>
        <w:spacing w:line="360" w:lineRule="auto"/>
        <w:ind w:firstLine="404" w:firstLineChars="200"/>
        <w:rPr>
          <w:rFonts w:ascii="宋体"/>
          <w:color w:val="auto"/>
          <w:spacing w:val="-4"/>
          <w:szCs w:val="21"/>
          <w:highlight w:val="none"/>
        </w:rPr>
      </w:pPr>
      <w:r>
        <w:rPr>
          <w:rFonts w:hint="eastAsia" w:ascii="宋体"/>
          <w:color w:val="auto"/>
          <w:spacing w:val="-4"/>
          <w:szCs w:val="21"/>
          <w:highlight w:val="none"/>
        </w:rPr>
        <w:t>4.我方及由本人担任法定代表人的其他机构</w:t>
      </w:r>
      <w:r>
        <w:rPr>
          <w:rFonts w:ascii="宋体"/>
          <w:color w:val="auto"/>
          <w:spacing w:val="-4"/>
          <w:szCs w:val="21"/>
          <w:highlight w:val="none"/>
        </w:rPr>
        <w:t>最近三年内被</w:t>
      </w:r>
      <w:r>
        <w:rPr>
          <w:rFonts w:hint="eastAsia" w:ascii="宋体"/>
          <w:color w:val="auto"/>
          <w:spacing w:val="-4"/>
          <w:szCs w:val="21"/>
          <w:highlight w:val="none"/>
        </w:rPr>
        <w:t>通报或者被处罚的</w:t>
      </w:r>
      <w:r>
        <w:rPr>
          <w:rFonts w:ascii="宋体"/>
          <w:color w:val="auto"/>
          <w:spacing w:val="-4"/>
          <w:szCs w:val="21"/>
          <w:highlight w:val="none"/>
        </w:rPr>
        <w:t>违法行为有：</w:t>
      </w:r>
    </w:p>
    <w:p>
      <w:pPr>
        <w:snapToGrid w:val="0"/>
        <w:spacing w:line="360" w:lineRule="auto"/>
        <w:ind w:firstLine="420" w:firstLineChars="200"/>
        <w:rPr>
          <w:rFonts w:ascii="宋体"/>
          <w:color w:val="auto"/>
          <w:szCs w:val="21"/>
          <w:highlight w:val="none"/>
          <w:u w:val="single"/>
        </w:rPr>
      </w:pPr>
      <w:r>
        <w:rPr>
          <w:rFonts w:hint="eastAsia" w:ascii="宋体"/>
          <w:color w:val="auto"/>
          <w:szCs w:val="21"/>
          <w:highlight w:val="none"/>
          <w:u w:val="single"/>
        </w:rPr>
        <w:t>　　　　　　　　　　　　　　　　　　　　　　　　　　　</w:t>
      </w:r>
    </w:p>
    <w:p>
      <w:pPr>
        <w:snapToGrid w:val="0"/>
        <w:spacing w:line="360" w:lineRule="auto"/>
        <w:ind w:firstLine="420" w:firstLineChars="200"/>
        <w:rPr>
          <w:rFonts w:ascii="宋体"/>
          <w:color w:val="auto"/>
          <w:szCs w:val="21"/>
          <w:highlight w:val="none"/>
          <w:u w:val="single"/>
        </w:rPr>
      </w:pPr>
      <w:r>
        <w:rPr>
          <w:rFonts w:hint="eastAsia" w:ascii="宋体"/>
          <w:color w:val="auto"/>
          <w:szCs w:val="21"/>
          <w:highlight w:val="none"/>
          <w:u w:val="single"/>
        </w:rPr>
        <w:t>　　　　　　　　　　　　　　　　　　　　　　　　　　　</w:t>
      </w:r>
    </w:p>
    <w:p>
      <w:pPr>
        <w:snapToGrid w:val="0"/>
        <w:spacing w:line="360" w:lineRule="auto"/>
        <w:ind w:firstLine="420" w:firstLineChars="200"/>
        <w:rPr>
          <w:rFonts w:ascii="宋体"/>
          <w:color w:val="auto"/>
          <w:szCs w:val="21"/>
          <w:highlight w:val="none"/>
        </w:rPr>
      </w:pPr>
      <w:r>
        <w:rPr>
          <w:rFonts w:hint="eastAsia" w:ascii="宋体"/>
          <w:color w:val="auto"/>
          <w:szCs w:val="21"/>
          <w:highlight w:val="none"/>
        </w:rPr>
        <w:t>5.以上事项如有虚假或隐瞒，我方愿意承担一切后果，并不再寻求任何旨在减轻或免除法律责任的辩解。</w:t>
      </w:r>
    </w:p>
    <w:p>
      <w:pPr>
        <w:tabs>
          <w:tab w:val="left" w:pos="939"/>
        </w:tabs>
        <w:snapToGrid w:val="0"/>
        <w:spacing w:line="360" w:lineRule="auto"/>
        <w:ind w:left="716" w:leftChars="150" w:hanging="401" w:hangingChars="191"/>
        <w:rPr>
          <w:rFonts w:ascii="宋体"/>
          <w:color w:val="auto"/>
          <w:szCs w:val="21"/>
          <w:highlight w:val="none"/>
        </w:rPr>
      </w:pPr>
    </w:p>
    <w:p>
      <w:pPr>
        <w:snapToGrid w:val="0"/>
        <w:spacing w:line="360" w:lineRule="auto"/>
        <w:ind w:firstLine="200"/>
        <w:rPr>
          <w:rFonts w:ascii="宋体" w:hAnsi="Tahoma"/>
          <w:color w:val="auto"/>
          <w:szCs w:val="21"/>
          <w:highlight w:val="none"/>
        </w:rPr>
      </w:pPr>
    </w:p>
    <w:p>
      <w:pPr>
        <w:snapToGrid w:val="0"/>
        <w:spacing w:line="360" w:lineRule="auto"/>
        <w:ind w:firstLine="200"/>
        <w:rPr>
          <w:rFonts w:ascii="宋体"/>
          <w:color w:val="auto"/>
          <w:szCs w:val="21"/>
          <w:highlight w:val="none"/>
          <w:u w:val="single"/>
        </w:rPr>
      </w:pPr>
      <w:r>
        <w:rPr>
          <w:rFonts w:hint="eastAsia" w:ascii="宋体"/>
          <w:color w:val="auto"/>
          <w:szCs w:val="21"/>
          <w:highlight w:val="none"/>
        </w:rPr>
        <w:t>法定代表人或授权代表（签字或盖章）：</w:t>
      </w:r>
      <w:r>
        <w:rPr>
          <w:rFonts w:hint="eastAsia" w:ascii="宋体"/>
          <w:color w:val="auto"/>
          <w:szCs w:val="21"/>
          <w:highlight w:val="none"/>
          <w:u w:val="single"/>
        </w:rPr>
        <w:t xml:space="preserve">             </w:t>
      </w:r>
    </w:p>
    <w:p>
      <w:pPr>
        <w:snapToGrid w:val="0"/>
        <w:spacing w:line="360" w:lineRule="auto"/>
        <w:ind w:firstLine="210" w:firstLineChars="100"/>
        <w:rPr>
          <w:rFonts w:ascii="宋体"/>
          <w:color w:val="auto"/>
          <w:szCs w:val="21"/>
          <w:highlight w:val="none"/>
        </w:rPr>
      </w:pPr>
      <w:r>
        <w:rPr>
          <w:rFonts w:hint="eastAsia" w:ascii="宋体"/>
          <w:color w:val="auto"/>
          <w:szCs w:val="21"/>
          <w:highlight w:val="none"/>
          <w:lang w:eastAsia="zh-CN"/>
        </w:rPr>
        <w:t>投标人</w:t>
      </w:r>
      <w:r>
        <w:rPr>
          <w:rFonts w:hint="eastAsia" w:ascii="宋体"/>
          <w:color w:val="auto"/>
          <w:szCs w:val="21"/>
          <w:highlight w:val="none"/>
        </w:rPr>
        <w:t>公章：</w:t>
      </w:r>
      <w:r>
        <w:rPr>
          <w:rFonts w:hint="eastAsia" w:ascii="宋体"/>
          <w:color w:val="auto"/>
          <w:szCs w:val="21"/>
          <w:highlight w:val="none"/>
          <w:u w:val="single"/>
        </w:rPr>
        <w:t xml:space="preserve">               </w:t>
      </w:r>
      <w:r>
        <w:rPr>
          <w:rFonts w:hint="eastAsia" w:ascii="宋体"/>
          <w:color w:val="auto"/>
          <w:szCs w:val="21"/>
          <w:highlight w:val="none"/>
        </w:rPr>
        <w:t xml:space="preserve">                      </w:t>
      </w:r>
    </w:p>
    <w:p>
      <w:pPr>
        <w:snapToGrid w:val="0"/>
        <w:spacing w:beforeLines="50" w:after="50"/>
        <w:ind w:firstLine="210" w:firstLineChars="100"/>
        <w:jc w:val="right"/>
        <w:rPr>
          <w:rFonts w:ascii="宋体"/>
          <w:color w:val="auto"/>
          <w:szCs w:val="21"/>
          <w:highlight w:val="none"/>
        </w:rPr>
      </w:pPr>
      <w:r>
        <w:rPr>
          <w:rFonts w:hint="eastAsia" w:ascii="宋体"/>
          <w:color w:val="auto"/>
          <w:szCs w:val="21"/>
          <w:highlight w:val="none"/>
        </w:rPr>
        <w:t>年    月    日</w:t>
      </w:r>
    </w:p>
    <w:p>
      <w:pPr>
        <w:snapToGrid w:val="0"/>
        <w:spacing w:beforeLines="50" w:after="50"/>
        <w:rPr>
          <w:rFonts w:hint="eastAsia" w:ascii="宋体"/>
          <w:color w:val="auto"/>
          <w:sz w:val="24"/>
          <w:szCs w:val="24"/>
          <w:highlight w:val="none"/>
        </w:rPr>
      </w:pPr>
      <w:r>
        <w:rPr>
          <w:rFonts w:hint="eastAsia" w:ascii="宋体"/>
          <w:color w:val="auto"/>
          <w:szCs w:val="21"/>
          <w:highlight w:val="none"/>
        </w:rPr>
        <w:br w:type="page"/>
      </w:r>
      <w:r>
        <w:rPr>
          <w:rFonts w:hint="eastAsia" w:ascii="宋体"/>
          <w:color w:val="auto"/>
          <w:sz w:val="24"/>
          <w:szCs w:val="24"/>
          <w:highlight w:val="none"/>
        </w:rPr>
        <w:t>6.法定代表人授权委托书</w:t>
      </w:r>
    </w:p>
    <w:p>
      <w:pPr>
        <w:snapToGrid w:val="0"/>
        <w:spacing w:beforeLines="50" w:after="50"/>
        <w:jc w:val="center"/>
        <w:rPr>
          <w:rFonts w:ascii="宋体"/>
          <w:b/>
          <w:color w:val="auto"/>
          <w:sz w:val="24"/>
          <w:highlight w:val="none"/>
        </w:rPr>
      </w:pPr>
      <w:r>
        <w:rPr>
          <w:rFonts w:hint="eastAsia" w:ascii="宋体"/>
          <w:b/>
          <w:color w:val="auto"/>
          <w:sz w:val="24"/>
          <w:highlight w:val="none"/>
        </w:rPr>
        <w:t>法定代表人授权委托书</w:t>
      </w:r>
    </w:p>
    <w:p>
      <w:pPr>
        <w:snapToGrid w:val="0"/>
        <w:spacing w:beforeLines="50" w:after="50"/>
        <w:rPr>
          <w:rFonts w:ascii="宋体"/>
          <w:bCs/>
          <w:color w:val="auto"/>
          <w:szCs w:val="21"/>
          <w:highlight w:val="none"/>
        </w:rPr>
      </w:pPr>
    </w:p>
    <w:p>
      <w:pPr>
        <w:snapToGrid w:val="0"/>
        <w:spacing w:beforeLines="50" w:after="50"/>
        <w:rPr>
          <w:rFonts w:ascii="宋体"/>
          <w:b/>
          <w:bCs/>
          <w:color w:val="auto"/>
          <w:szCs w:val="21"/>
          <w:highlight w:val="none"/>
        </w:rPr>
      </w:pPr>
      <w:r>
        <w:rPr>
          <w:rFonts w:hint="eastAsia" w:ascii="宋体"/>
          <w:bCs/>
          <w:color w:val="auto"/>
          <w:szCs w:val="21"/>
          <w:highlight w:val="none"/>
        </w:rPr>
        <w:t>致：</w:t>
      </w:r>
      <w:r>
        <w:rPr>
          <w:rFonts w:hint="eastAsia" w:ascii="宋体"/>
          <w:color w:val="auto"/>
          <w:szCs w:val="21"/>
          <w:highlight w:val="none"/>
          <w:u w:val="single"/>
        </w:rPr>
        <w:t xml:space="preserve">           </w:t>
      </w:r>
      <w:r>
        <w:rPr>
          <w:rFonts w:hint="eastAsia" w:ascii="宋体"/>
          <w:color w:val="auto"/>
          <w:szCs w:val="21"/>
          <w:highlight w:val="none"/>
        </w:rPr>
        <w:t>（招标采购单位名称）</w:t>
      </w:r>
      <w:r>
        <w:rPr>
          <w:rFonts w:hint="eastAsia" w:ascii="宋体"/>
          <w:b/>
          <w:bCs/>
          <w:color w:val="auto"/>
          <w:szCs w:val="21"/>
          <w:highlight w:val="none"/>
        </w:rPr>
        <w:t xml:space="preserve"> </w:t>
      </w:r>
      <w:r>
        <w:rPr>
          <w:rFonts w:hint="eastAsia" w:ascii="宋体"/>
          <w:color w:val="auto"/>
          <w:szCs w:val="21"/>
          <w:highlight w:val="none"/>
        </w:rPr>
        <w:t>：</w:t>
      </w:r>
    </w:p>
    <w:p>
      <w:pPr>
        <w:snapToGrid w:val="0"/>
        <w:spacing w:beforeLines="50" w:after="50"/>
        <w:ind w:firstLine="630" w:firstLineChars="300"/>
        <w:rPr>
          <w:rFonts w:ascii="宋体"/>
          <w:color w:val="auto"/>
          <w:szCs w:val="21"/>
          <w:highlight w:val="none"/>
        </w:rPr>
      </w:pPr>
      <w:r>
        <w:rPr>
          <w:rFonts w:hint="eastAsia" w:ascii="宋体"/>
          <w:color w:val="auto"/>
          <w:szCs w:val="21"/>
          <w:highlight w:val="none"/>
        </w:rPr>
        <w:t>我</w:t>
      </w:r>
      <w:r>
        <w:rPr>
          <w:rFonts w:hint="eastAsia" w:ascii="宋体"/>
          <w:color w:val="auto"/>
          <w:szCs w:val="21"/>
          <w:highlight w:val="none"/>
          <w:u w:val="single"/>
        </w:rPr>
        <w:t xml:space="preserve">           </w:t>
      </w:r>
      <w:r>
        <w:rPr>
          <w:rFonts w:hint="eastAsia" w:ascii="宋体"/>
          <w:color w:val="auto"/>
          <w:szCs w:val="21"/>
          <w:highlight w:val="none"/>
        </w:rPr>
        <w:t>（姓名）系</w:t>
      </w:r>
      <w:r>
        <w:rPr>
          <w:rFonts w:hint="eastAsia" w:ascii="宋体"/>
          <w:color w:val="auto"/>
          <w:szCs w:val="21"/>
          <w:highlight w:val="none"/>
          <w:u w:val="single"/>
        </w:rPr>
        <w:t xml:space="preserve">           </w:t>
      </w:r>
      <w:r>
        <w:rPr>
          <w:rFonts w:hint="eastAsia" w:ascii="宋体"/>
          <w:color w:val="auto"/>
          <w:szCs w:val="21"/>
          <w:highlight w:val="none"/>
        </w:rPr>
        <w:t>（</w:t>
      </w:r>
      <w:r>
        <w:rPr>
          <w:rFonts w:hint="eastAsia" w:ascii="宋体"/>
          <w:color w:val="auto"/>
          <w:szCs w:val="21"/>
          <w:highlight w:val="none"/>
          <w:lang w:eastAsia="zh-CN"/>
        </w:rPr>
        <w:t>投标人</w:t>
      </w:r>
      <w:r>
        <w:rPr>
          <w:rFonts w:hint="eastAsia" w:ascii="宋体"/>
          <w:color w:val="auto"/>
          <w:szCs w:val="21"/>
          <w:highlight w:val="none"/>
        </w:rPr>
        <w:t xml:space="preserve">名称）的法定代表人，现授权委托本单位在职职工 </w:t>
      </w:r>
      <w:r>
        <w:rPr>
          <w:rFonts w:hint="eastAsia" w:ascii="宋体"/>
          <w:color w:val="auto"/>
          <w:szCs w:val="21"/>
          <w:highlight w:val="none"/>
          <w:u w:val="single"/>
        </w:rPr>
        <w:t xml:space="preserve">              </w:t>
      </w:r>
      <w:r>
        <w:rPr>
          <w:rFonts w:hint="eastAsia" w:ascii="宋体"/>
          <w:color w:val="auto"/>
          <w:szCs w:val="21"/>
          <w:highlight w:val="none"/>
        </w:rPr>
        <w:t>（姓名）以我方的名义参加</w:t>
      </w:r>
      <w:r>
        <w:rPr>
          <w:rFonts w:hint="eastAsia" w:ascii="宋体"/>
          <w:color w:val="auto"/>
          <w:szCs w:val="21"/>
          <w:highlight w:val="none"/>
          <w:u w:val="single"/>
        </w:rPr>
        <w:t xml:space="preserve">               </w:t>
      </w:r>
      <w:r>
        <w:rPr>
          <w:rFonts w:hint="eastAsia" w:ascii="宋体"/>
          <w:color w:val="auto"/>
          <w:szCs w:val="21"/>
          <w:highlight w:val="none"/>
        </w:rPr>
        <w:t>项目的投标活动，并代表我方全权办理针对上述项目的投标、开标、评标、签约等具体事务和签署相关文件。</w:t>
      </w:r>
    </w:p>
    <w:p>
      <w:pPr>
        <w:snapToGrid w:val="0"/>
        <w:spacing w:beforeLines="50" w:after="50"/>
        <w:rPr>
          <w:rFonts w:ascii="宋体"/>
          <w:color w:val="auto"/>
          <w:szCs w:val="21"/>
          <w:highlight w:val="none"/>
        </w:rPr>
      </w:pPr>
      <w:r>
        <w:rPr>
          <w:rFonts w:hint="eastAsia" w:ascii="宋体"/>
          <w:color w:val="auto"/>
          <w:szCs w:val="21"/>
          <w:highlight w:val="none"/>
        </w:rPr>
        <w:t xml:space="preserve">    我方对被授权人的签名事项负全部责任。</w:t>
      </w:r>
    </w:p>
    <w:p>
      <w:pPr>
        <w:snapToGrid w:val="0"/>
        <w:spacing w:beforeLines="50" w:after="50"/>
        <w:ind w:firstLine="420" w:firstLineChars="200"/>
        <w:rPr>
          <w:rFonts w:ascii="宋体"/>
          <w:color w:val="auto"/>
          <w:szCs w:val="21"/>
          <w:highlight w:val="none"/>
        </w:rPr>
      </w:pPr>
      <w:r>
        <w:rPr>
          <w:rFonts w:hint="eastAsia" w:ascii="宋体"/>
          <w:color w:val="auto"/>
          <w:szCs w:val="21"/>
          <w:highlight w:val="none"/>
          <w:u w:val="single"/>
        </w:rPr>
        <w:t>在撤销授权的书面通知以前，本授权书一直有效。</w:t>
      </w:r>
      <w:r>
        <w:rPr>
          <w:rFonts w:hint="eastAsia" w:ascii="宋体"/>
          <w:color w:val="auto"/>
          <w:szCs w:val="21"/>
          <w:highlight w:val="none"/>
        </w:rPr>
        <w:t>被授权人在授权书有效期内签署的所有文件不因授权的撤销而失效。</w:t>
      </w:r>
    </w:p>
    <w:p>
      <w:pPr>
        <w:snapToGrid w:val="0"/>
        <w:spacing w:beforeLines="50" w:after="50"/>
        <w:ind w:firstLine="480"/>
        <w:rPr>
          <w:rFonts w:ascii="宋体"/>
          <w:color w:val="auto"/>
          <w:szCs w:val="21"/>
          <w:highlight w:val="none"/>
        </w:rPr>
      </w:pPr>
      <w:r>
        <w:rPr>
          <w:rFonts w:hint="eastAsia" w:ascii="宋体"/>
          <w:color w:val="auto"/>
          <w:szCs w:val="21"/>
          <w:highlight w:val="none"/>
        </w:rPr>
        <w:t>被授权人无转委托权，特此委托。</w:t>
      </w:r>
    </w:p>
    <w:p>
      <w:pPr>
        <w:snapToGrid w:val="0"/>
        <w:spacing w:beforeLines="50" w:after="50"/>
        <w:rPr>
          <w:rFonts w:ascii="宋体"/>
          <w:color w:val="auto"/>
          <w:szCs w:val="21"/>
          <w:highlight w:val="none"/>
        </w:rPr>
      </w:pPr>
    </w:p>
    <w:p>
      <w:pPr>
        <w:snapToGrid w:val="0"/>
        <w:spacing w:beforeLines="50" w:after="50"/>
        <w:rPr>
          <w:rFonts w:ascii="宋体"/>
          <w:color w:val="auto"/>
          <w:szCs w:val="21"/>
          <w:highlight w:val="none"/>
          <w:u w:val="single"/>
        </w:rPr>
      </w:pPr>
      <w:r>
        <w:rPr>
          <w:rFonts w:hint="eastAsia" w:ascii="宋体"/>
          <w:color w:val="auto"/>
          <w:szCs w:val="21"/>
          <w:highlight w:val="none"/>
        </w:rPr>
        <w:t>被授权人签名：</w:t>
      </w:r>
      <w:r>
        <w:rPr>
          <w:rFonts w:hint="eastAsia" w:ascii="宋体"/>
          <w:color w:val="auto"/>
          <w:szCs w:val="21"/>
          <w:highlight w:val="none"/>
          <w:u w:val="single"/>
        </w:rPr>
        <w:t xml:space="preserve">           </w:t>
      </w:r>
      <w:r>
        <w:rPr>
          <w:rFonts w:hint="eastAsia" w:ascii="宋体"/>
          <w:color w:val="auto"/>
          <w:szCs w:val="21"/>
          <w:highlight w:val="none"/>
        </w:rPr>
        <w:t xml:space="preserve">                 法定代表人签字或盖章：</w:t>
      </w:r>
      <w:r>
        <w:rPr>
          <w:rFonts w:hint="eastAsia" w:ascii="宋体"/>
          <w:color w:val="auto"/>
          <w:szCs w:val="21"/>
          <w:highlight w:val="none"/>
          <w:u w:val="single"/>
        </w:rPr>
        <w:t xml:space="preserve">           </w:t>
      </w:r>
    </w:p>
    <w:p>
      <w:pPr>
        <w:snapToGrid w:val="0"/>
        <w:spacing w:beforeLines="50" w:after="50"/>
        <w:ind w:firstLine="840" w:firstLineChars="400"/>
        <w:rPr>
          <w:rFonts w:ascii="宋体"/>
          <w:color w:val="auto"/>
          <w:szCs w:val="21"/>
          <w:highlight w:val="none"/>
        </w:rPr>
      </w:pPr>
      <w:r>
        <w:rPr>
          <w:rFonts w:hint="eastAsia" w:ascii="宋体"/>
          <w:color w:val="auto"/>
          <w:szCs w:val="21"/>
          <w:highlight w:val="none"/>
        </w:rPr>
        <w:t>职务：</w:t>
      </w:r>
      <w:r>
        <w:rPr>
          <w:rFonts w:hint="eastAsia" w:ascii="宋体"/>
          <w:color w:val="auto"/>
          <w:szCs w:val="21"/>
          <w:highlight w:val="none"/>
          <w:u w:val="single"/>
        </w:rPr>
        <w:t xml:space="preserve">           </w:t>
      </w:r>
      <w:r>
        <w:rPr>
          <w:rFonts w:hint="eastAsia" w:ascii="宋体"/>
          <w:color w:val="auto"/>
          <w:szCs w:val="21"/>
          <w:highlight w:val="none"/>
        </w:rPr>
        <w:t xml:space="preserve">                                职务：</w:t>
      </w:r>
      <w:r>
        <w:rPr>
          <w:rFonts w:hint="eastAsia" w:ascii="宋体"/>
          <w:color w:val="auto"/>
          <w:szCs w:val="21"/>
          <w:highlight w:val="none"/>
          <w:u w:val="single"/>
        </w:rPr>
        <w:t xml:space="preserve">           </w:t>
      </w:r>
    </w:p>
    <w:p>
      <w:pPr>
        <w:snapToGrid w:val="0"/>
        <w:spacing w:beforeLines="50" w:after="50"/>
        <w:rPr>
          <w:rFonts w:ascii="宋体"/>
          <w:color w:val="auto"/>
          <w:szCs w:val="21"/>
          <w:highlight w:val="none"/>
        </w:rPr>
      </w:pPr>
      <w:r>
        <w:rPr>
          <w:rFonts w:hint="eastAsia" w:ascii="宋体"/>
          <w:color w:val="auto"/>
          <w:szCs w:val="21"/>
          <w:highlight w:val="none"/>
        </w:rPr>
        <w:t>被授权人身份证号码：</w:t>
      </w:r>
      <w:r>
        <w:rPr>
          <w:rFonts w:hint="eastAsia" w:ascii="宋体"/>
          <w:color w:val="auto"/>
          <w:szCs w:val="21"/>
          <w:highlight w:val="none"/>
          <w:u w:val="single"/>
        </w:rPr>
        <w:t xml:space="preserve">                             </w:t>
      </w:r>
      <w:r>
        <w:rPr>
          <w:rFonts w:hint="eastAsia" w:ascii="宋体"/>
          <w:color w:val="auto"/>
          <w:szCs w:val="21"/>
          <w:highlight w:val="none"/>
        </w:rPr>
        <w:t xml:space="preserve"> </w:t>
      </w:r>
    </w:p>
    <w:p>
      <w:pPr>
        <w:snapToGrid w:val="0"/>
        <w:spacing w:beforeLines="50" w:after="50"/>
        <w:rPr>
          <w:rFonts w:ascii="宋体"/>
          <w:color w:val="auto"/>
          <w:szCs w:val="21"/>
          <w:highlight w:val="none"/>
        </w:rPr>
      </w:pPr>
      <w:r>
        <w:rPr>
          <w:rFonts w:hint="eastAsia" w:ascii="宋体"/>
          <w:color w:val="auto"/>
          <w:szCs w:val="21"/>
          <w:highlight w:val="none"/>
        </w:rPr>
        <w:t xml:space="preserve">                                     </w:t>
      </w:r>
      <w:r>
        <w:rPr>
          <w:rFonts w:hint="eastAsia" w:ascii="宋体"/>
          <w:color w:val="auto"/>
          <w:szCs w:val="21"/>
          <w:highlight w:val="none"/>
          <w:lang w:eastAsia="zh-CN"/>
        </w:rPr>
        <w:t>投标人</w:t>
      </w:r>
      <w:r>
        <w:rPr>
          <w:rFonts w:hint="eastAsia" w:ascii="宋体"/>
          <w:color w:val="auto"/>
          <w:szCs w:val="21"/>
          <w:highlight w:val="none"/>
        </w:rPr>
        <w:t>公章：</w:t>
      </w:r>
    </w:p>
    <w:p>
      <w:pPr>
        <w:snapToGrid w:val="0"/>
        <w:spacing w:beforeLines="50" w:after="50"/>
        <w:jc w:val="center"/>
        <w:rPr>
          <w:rFonts w:ascii="宋体"/>
          <w:color w:val="auto"/>
          <w:szCs w:val="21"/>
          <w:highlight w:val="none"/>
        </w:rPr>
      </w:pPr>
      <w:r>
        <w:rPr>
          <w:rFonts w:hint="eastAsia" w:ascii="宋体"/>
          <w:color w:val="auto"/>
          <w:szCs w:val="21"/>
          <w:highlight w:val="none"/>
        </w:rPr>
        <w:t xml:space="preserve">                                        年    月    日</w:t>
      </w:r>
    </w:p>
    <w:p>
      <w:pPr>
        <w:snapToGrid w:val="0"/>
        <w:spacing w:beforeLines="50" w:after="50" w:line="360" w:lineRule="auto"/>
        <w:rPr>
          <w:rFonts w:ascii="宋体"/>
          <w:color w:val="auto"/>
          <w:szCs w:val="21"/>
          <w:highlight w:val="none"/>
        </w:rPr>
      </w:pPr>
      <w:r>
        <w:rPr>
          <w:rFonts w:hint="eastAsia" w:ascii="宋体"/>
          <w:color w:val="auto"/>
          <w:szCs w:val="21"/>
          <w:highlight w:val="none"/>
        </w:rPr>
        <w:t>附：法定代表人授权委托书原件及授权代表的正反面身份证复印件加盖公章</w:t>
      </w:r>
    </w:p>
    <w:p>
      <w:pPr>
        <w:pStyle w:val="8"/>
        <w:numPr>
          <w:ilvl w:val="0"/>
          <w:numId w:val="0"/>
        </w:numPr>
        <w:tabs>
          <w:tab w:val="left" w:pos="720"/>
          <w:tab w:val="clear" w:pos="360"/>
        </w:tabs>
        <w:snapToGrid w:val="0"/>
        <w:spacing w:line="360" w:lineRule="auto"/>
        <w:rPr>
          <w:color w:val="auto"/>
          <w:szCs w:val="21"/>
          <w:highlight w:val="none"/>
        </w:rPr>
      </w:pPr>
      <w:r>
        <w:rPr>
          <w:color w:val="auto"/>
          <w:szCs w:val="21"/>
          <w:highlight w:val="none"/>
        </w:rPr>
        <w:t xml:space="preserve">    </w:t>
      </w:r>
      <w:r>
        <w:rPr>
          <w:rFonts w:hint="eastAsia" w:ascii="宋体" w:hAnsi="宋体"/>
          <w:color w:val="auto"/>
          <w:szCs w:val="21"/>
          <w:highlight w:val="none"/>
        </w:rPr>
        <w:t>授权代表开标之日近三个月任意一个月内投标人所缴纳的社保证明</w:t>
      </w:r>
      <w:r>
        <w:rPr>
          <w:rFonts w:hint="eastAsia" w:ascii="宋体"/>
          <w:color w:val="auto"/>
          <w:szCs w:val="21"/>
          <w:highlight w:val="none"/>
        </w:rPr>
        <w:t>材料复印件加盖公章（如投标代表非法定代表人时提供）</w:t>
      </w:r>
    </w:p>
    <w:p>
      <w:pPr>
        <w:snapToGrid w:val="0"/>
        <w:spacing w:line="360" w:lineRule="auto"/>
        <w:jc w:val="left"/>
        <w:rPr>
          <w:rFonts w:hint="eastAsia" w:ascii="宋体"/>
          <w:color w:val="auto"/>
          <w:szCs w:val="21"/>
          <w:highlight w:val="none"/>
        </w:rPr>
      </w:pPr>
    </w:p>
    <w:p>
      <w:pPr>
        <w:rPr>
          <w:rFonts w:hint="eastAsia" w:ascii="宋体"/>
          <w:color w:val="auto"/>
          <w:szCs w:val="21"/>
          <w:highlight w:val="none"/>
        </w:rPr>
      </w:pPr>
      <w:r>
        <w:rPr>
          <w:rFonts w:hint="eastAsia" w:ascii="宋体"/>
          <w:color w:val="auto"/>
          <w:szCs w:val="21"/>
          <w:highlight w:val="none"/>
        </w:rPr>
        <w:br w:type="page"/>
      </w:r>
    </w:p>
    <w:p>
      <w:pPr>
        <w:snapToGrid w:val="0"/>
        <w:spacing w:beforeLines="50" w:after="50"/>
        <w:rPr>
          <w:rFonts w:hint="eastAsia" w:ascii="宋体"/>
          <w:color w:val="auto"/>
          <w:sz w:val="24"/>
          <w:szCs w:val="24"/>
          <w:highlight w:val="none"/>
        </w:rPr>
      </w:pPr>
      <w:r>
        <w:rPr>
          <w:rFonts w:hint="eastAsia" w:ascii="宋体"/>
          <w:color w:val="auto"/>
          <w:sz w:val="24"/>
          <w:szCs w:val="24"/>
          <w:highlight w:val="none"/>
        </w:rPr>
        <w:t>7.</w:t>
      </w:r>
      <w:r>
        <w:rPr>
          <w:rFonts w:hint="eastAsia" w:ascii="宋体"/>
          <w:color w:val="auto"/>
          <w:sz w:val="24"/>
          <w:szCs w:val="24"/>
          <w:highlight w:val="none"/>
          <w:lang w:eastAsia="zh-CN"/>
        </w:rPr>
        <w:t>投标人</w:t>
      </w:r>
      <w:r>
        <w:rPr>
          <w:rFonts w:hint="eastAsia" w:ascii="宋体"/>
          <w:color w:val="auto"/>
          <w:sz w:val="24"/>
          <w:szCs w:val="24"/>
          <w:highlight w:val="none"/>
        </w:rPr>
        <w:t>基本情况表</w:t>
      </w:r>
      <w:bookmarkStart w:id="15" w:name="_Toc31199"/>
      <w:bookmarkStart w:id="16" w:name="_Toc25082"/>
    </w:p>
    <w:p>
      <w:pPr>
        <w:snapToGrid w:val="0"/>
        <w:spacing w:beforeLines="50" w:after="50"/>
        <w:jc w:val="center"/>
        <w:rPr>
          <w:color w:val="auto"/>
          <w:sz w:val="24"/>
          <w:highlight w:val="none"/>
        </w:rPr>
      </w:pPr>
      <w:r>
        <w:rPr>
          <w:rFonts w:hint="eastAsia" w:ascii="宋体"/>
          <w:b/>
          <w:color w:val="auto"/>
          <w:sz w:val="24"/>
          <w:highlight w:val="none"/>
          <w:lang w:eastAsia="zh-CN"/>
        </w:rPr>
        <w:t>投标人</w:t>
      </w:r>
      <w:r>
        <w:rPr>
          <w:rFonts w:hint="eastAsia" w:ascii="宋体"/>
          <w:b/>
          <w:color w:val="auto"/>
          <w:sz w:val="24"/>
          <w:highlight w:val="none"/>
        </w:rPr>
        <w:t>基本情况表</w:t>
      </w:r>
      <w:bookmarkEnd w:id="15"/>
      <w:bookmarkEnd w:id="16"/>
    </w:p>
    <w:tbl>
      <w:tblPr>
        <w:tblStyle w:val="22"/>
        <w:tblW w:w="907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974"/>
        <w:gridCol w:w="309"/>
        <w:gridCol w:w="1352"/>
        <w:gridCol w:w="1012"/>
        <w:gridCol w:w="349"/>
        <w:gridCol w:w="1074"/>
        <w:gridCol w:w="179"/>
        <w:gridCol w:w="352"/>
        <w:gridCol w:w="285"/>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jc w:val="center"/>
              <w:rPr>
                <w:rFonts w:ascii="宋体" w:hAnsi="宋体"/>
                <w:color w:val="auto"/>
                <w:szCs w:val="21"/>
                <w:highlight w:val="none"/>
              </w:rPr>
            </w:pPr>
            <w:r>
              <w:rPr>
                <w:rFonts w:hint="eastAsia" w:ascii="宋体" w:hAnsi="宋体"/>
                <w:color w:val="auto"/>
                <w:szCs w:val="21"/>
                <w:highlight w:val="none"/>
              </w:rPr>
              <w:t>申请人名称</w:t>
            </w:r>
          </w:p>
        </w:tc>
        <w:tc>
          <w:tcPr>
            <w:tcW w:w="7302" w:type="dxa"/>
            <w:gridSpan w:val="1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jc w:val="center"/>
              <w:rPr>
                <w:rFonts w:ascii="宋体" w:hAnsi="宋体"/>
                <w:color w:val="auto"/>
                <w:szCs w:val="21"/>
                <w:highlight w:val="none"/>
              </w:rPr>
            </w:pPr>
            <w:r>
              <w:rPr>
                <w:rFonts w:hint="eastAsia" w:ascii="宋体" w:hAnsi="宋体"/>
                <w:color w:val="auto"/>
                <w:szCs w:val="21"/>
                <w:highlight w:val="none"/>
              </w:rPr>
              <w:t>注册地址</w:t>
            </w:r>
          </w:p>
        </w:tc>
        <w:tc>
          <w:tcPr>
            <w:tcW w:w="3647" w:type="dxa"/>
            <w:gridSpan w:val="4"/>
            <w:vAlign w:val="center"/>
          </w:tcPr>
          <w:p>
            <w:pPr>
              <w:jc w:val="center"/>
              <w:rPr>
                <w:rFonts w:ascii="宋体" w:hAnsi="宋体"/>
                <w:color w:val="auto"/>
                <w:szCs w:val="21"/>
                <w:highlight w:val="none"/>
              </w:rPr>
            </w:pPr>
          </w:p>
        </w:tc>
        <w:tc>
          <w:tcPr>
            <w:tcW w:w="1602" w:type="dxa"/>
            <w:gridSpan w:val="3"/>
            <w:vAlign w:val="center"/>
          </w:tcPr>
          <w:p>
            <w:pPr>
              <w:jc w:val="center"/>
              <w:rPr>
                <w:rFonts w:ascii="宋体" w:hAnsi="宋体"/>
                <w:color w:val="auto"/>
                <w:szCs w:val="21"/>
                <w:highlight w:val="none"/>
              </w:rPr>
            </w:pPr>
            <w:r>
              <w:rPr>
                <w:rFonts w:hint="eastAsia" w:ascii="宋体" w:hAnsi="宋体"/>
                <w:color w:val="auto"/>
                <w:szCs w:val="21"/>
                <w:highlight w:val="none"/>
              </w:rPr>
              <w:t>邮政编码</w:t>
            </w:r>
          </w:p>
        </w:tc>
        <w:tc>
          <w:tcPr>
            <w:tcW w:w="2053" w:type="dxa"/>
            <w:gridSpan w:val="3"/>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联系方式</w:t>
            </w:r>
          </w:p>
        </w:tc>
        <w:tc>
          <w:tcPr>
            <w:tcW w:w="1283"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联系人</w:t>
            </w:r>
          </w:p>
        </w:tc>
        <w:tc>
          <w:tcPr>
            <w:tcW w:w="2364" w:type="dxa"/>
            <w:gridSpan w:val="2"/>
            <w:vAlign w:val="center"/>
          </w:tcPr>
          <w:p>
            <w:pPr>
              <w:jc w:val="center"/>
              <w:rPr>
                <w:rFonts w:ascii="宋体" w:hAnsi="宋体"/>
                <w:color w:val="auto"/>
                <w:szCs w:val="21"/>
                <w:highlight w:val="none"/>
              </w:rPr>
            </w:pPr>
          </w:p>
        </w:tc>
        <w:tc>
          <w:tcPr>
            <w:tcW w:w="1602" w:type="dxa"/>
            <w:gridSpan w:val="3"/>
            <w:vAlign w:val="center"/>
          </w:tcPr>
          <w:p>
            <w:pPr>
              <w:jc w:val="center"/>
              <w:rPr>
                <w:rFonts w:ascii="宋体" w:hAnsi="宋体"/>
                <w:color w:val="auto"/>
                <w:szCs w:val="21"/>
                <w:highlight w:val="none"/>
              </w:rPr>
            </w:pPr>
            <w:r>
              <w:rPr>
                <w:rFonts w:hint="eastAsia" w:ascii="宋体" w:hAnsi="宋体"/>
                <w:color w:val="auto"/>
                <w:szCs w:val="21"/>
                <w:highlight w:val="none"/>
              </w:rPr>
              <w:t>电话</w:t>
            </w:r>
          </w:p>
        </w:tc>
        <w:tc>
          <w:tcPr>
            <w:tcW w:w="2053" w:type="dxa"/>
            <w:gridSpan w:val="3"/>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Merge w:val="continue"/>
            <w:vAlign w:val="center"/>
          </w:tcPr>
          <w:p>
            <w:pPr>
              <w:jc w:val="center"/>
              <w:rPr>
                <w:rFonts w:ascii="宋体" w:hAnsi="宋体"/>
                <w:color w:val="auto"/>
                <w:szCs w:val="21"/>
                <w:highlight w:val="none"/>
              </w:rPr>
            </w:pPr>
          </w:p>
        </w:tc>
        <w:tc>
          <w:tcPr>
            <w:tcW w:w="1283"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传真</w:t>
            </w:r>
          </w:p>
        </w:tc>
        <w:tc>
          <w:tcPr>
            <w:tcW w:w="2364" w:type="dxa"/>
            <w:gridSpan w:val="2"/>
            <w:vAlign w:val="center"/>
          </w:tcPr>
          <w:p>
            <w:pPr>
              <w:jc w:val="center"/>
              <w:rPr>
                <w:rFonts w:ascii="宋体" w:hAnsi="宋体"/>
                <w:color w:val="auto"/>
                <w:szCs w:val="21"/>
                <w:highlight w:val="none"/>
              </w:rPr>
            </w:pPr>
          </w:p>
        </w:tc>
        <w:tc>
          <w:tcPr>
            <w:tcW w:w="1602" w:type="dxa"/>
            <w:gridSpan w:val="3"/>
            <w:vAlign w:val="center"/>
          </w:tcPr>
          <w:p>
            <w:pPr>
              <w:jc w:val="center"/>
              <w:rPr>
                <w:rFonts w:ascii="宋体" w:hAnsi="宋体"/>
                <w:color w:val="auto"/>
                <w:szCs w:val="21"/>
                <w:highlight w:val="none"/>
              </w:rPr>
            </w:pPr>
            <w:r>
              <w:rPr>
                <w:rFonts w:hint="eastAsia" w:ascii="宋体" w:hAnsi="宋体"/>
                <w:color w:val="auto"/>
                <w:szCs w:val="21"/>
                <w:highlight w:val="none"/>
              </w:rPr>
              <w:t>网址</w:t>
            </w:r>
          </w:p>
        </w:tc>
        <w:tc>
          <w:tcPr>
            <w:tcW w:w="2053" w:type="dxa"/>
            <w:gridSpan w:val="3"/>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jc w:val="center"/>
              <w:rPr>
                <w:rFonts w:ascii="宋体" w:hAnsi="宋体"/>
                <w:color w:val="auto"/>
                <w:szCs w:val="21"/>
                <w:highlight w:val="none"/>
              </w:rPr>
            </w:pPr>
            <w:r>
              <w:rPr>
                <w:rFonts w:hint="eastAsia" w:ascii="宋体" w:hAnsi="宋体"/>
                <w:color w:val="auto"/>
                <w:szCs w:val="21"/>
                <w:highlight w:val="none"/>
              </w:rPr>
              <w:t>组织结构</w:t>
            </w:r>
          </w:p>
        </w:tc>
        <w:tc>
          <w:tcPr>
            <w:tcW w:w="7302" w:type="dxa"/>
            <w:gridSpan w:val="10"/>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jc w:val="center"/>
              <w:rPr>
                <w:rFonts w:ascii="宋体" w:hAnsi="宋体"/>
                <w:color w:val="auto"/>
                <w:szCs w:val="21"/>
                <w:highlight w:val="none"/>
              </w:rPr>
            </w:pPr>
            <w:r>
              <w:rPr>
                <w:rFonts w:hint="eastAsia" w:ascii="宋体" w:hAnsi="宋体"/>
                <w:color w:val="auto"/>
                <w:szCs w:val="21"/>
                <w:highlight w:val="none"/>
              </w:rPr>
              <w:t>法定代表人</w:t>
            </w:r>
          </w:p>
        </w:tc>
        <w:tc>
          <w:tcPr>
            <w:tcW w:w="974" w:type="dxa"/>
            <w:vAlign w:val="center"/>
          </w:tcPr>
          <w:p>
            <w:pPr>
              <w:jc w:val="center"/>
              <w:rPr>
                <w:rFonts w:ascii="宋体" w:hAnsi="宋体"/>
                <w:color w:val="auto"/>
                <w:szCs w:val="21"/>
                <w:highlight w:val="none"/>
              </w:rPr>
            </w:pPr>
            <w:r>
              <w:rPr>
                <w:rFonts w:hint="eastAsia" w:ascii="宋体" w:hAnsi="宋体"/>
                <w:color w:val="auto"/>
                <w:szCs w:val="21"/>
                <w:highlight w:val="none"/>
              </w:rPr>
              <w:t>姓名</w:t>
            </w:r>
          </w:p>
        </w:tc>
        <w:tc>
          <w:tcPr>
            <w:tcW w:w="1661" w:type="dxa"/>
            <w:gridSpan w:val="2"/>
            <w:vAlign w:val="center"/>
          </w:tcPr>
          <w:p>
            <w:pPr>
              <w:jc w:val="center"/>
              <w:rPr>
                <w:rFonts w:ascii="宋体" w:hAnsi="宋体"/>
                <w:color w:val="auto"/>
                <w:szCs w:val="21"/>
                <w:highlight w:val="none"/>
              </w:rPr>
            </w:pPr>
          </w:p>
        </w:tc>
        <w:tc>
          <w:tcPr>
            <w:tcW w:w="1361"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技术职称</w:t>
            </w:r>
          </w:p>
        </w:tc>
        <w:tc>
          <w:tcPr>
            <w:tcW w:w="1074" w:type="dxa"/>
            <w:vAlign w:val="center"/>
          </w:tcPr>
          <w:p>
            <w:pPr>
              <w:jc w:val="center"/>
              <w:rPr>
                <w:rFonts w:ascii="宋体" w:hAnsi="宋体"/>
                <w:color w:val="auto"/>
                <w:szCs w:val="21"/>
                <w:highlight w:val="none"/>
              </w:rPr>
            </w:pPr>
          </w:p>
        </w:tc>
        <w:tc>
          <w:tcPr>
            <w:tcW w:w="816" w:type="dxa"/>
            <w:gridSpan w:val="3"/>
            <w:vAlign w:val="center"/>
          </w:tcPr>
          <w:p>
            <w:pPr>
              <w:jc w:val="center"/>
              <w:rPr>
                <w:rFonts w:ascii="宋体" w:hAnsi="宋体"/>
                <w:color w:val="auto"/>
                <w:szCs w:val="21"/>
                <w:highlight w:val="none"/>
              </w:rPr>
            </w:pPr>
            <w:r>
              <w:rPr>
                <w:rFonts w:hint="eastAsia" w:ascii="宋体" w:hAnsi="宋体"/>
                <w:color w:val="auto"/>
                <w:szCs w:val="21"/>
                <w:highlight w:val="none"/>
              </w:rPr>
              <w:t>电话</w:t>
            </w:r>
          </w:p>
        </w:tc>
        <w:tc>
          <w:tcPr>
            <w:tcW w:w="1416"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jc w:val="center"/>
              <w:rPr>
                <w:rFonts w:ascii="宋体" w:hAnsi="宋体"/>
                <w:color w:val="auto"/>
                <w:szCs w:val="21"/>
                <w:highlight w:val="none"/>
              </w:rPr>
            </w:pPr>
            <w:r>
              <w:rPr>
                <w:rFonts w:hint="eastAsia" w:ascii="宋体" w:hAnsi="宋体"/>
                <w:color w:val="auto"/>
                <w:szCs w:val="21"/>
                <w:highlight w:val="none"/>
              </w:rPr>
              <w:t>技术负责人</w:t>
            </w:r>
          </w:p>
        </w:tc>
        <w:tc>
          <w:tcPr>
            <w:tcW w:w="974" w:type="dxa"/>
            <w:vAlign w:val="center"/>
          </w:tcPr>
          <w:p>
            <w:pPr>
              <w:jc w:val="center"/>
              <w:rPr>
                <w:rFonts w:ascii="宋体" w:hAnsi="宋体"/>
                <w:color w:val="auto"/>
                <w:szCs w:val="21"/>
                <w:highlight w:val="none"/>
              </w:rPr>
            </w:pPr>
            <w:r>
              <w:rPr>
                <w:rFonts w:hint="eastAsia" w:ascii="宋体" w:hAnsi="宋体"/>
                <w:color w:val="auto"/>
                <w:szCs w:val="21"/>
                <w:highlight w:val="none"/>
              </w:rPr>
              <w:t>姓名</w:t>
            </w:r>
          </w:p>
        </w:tc>
        <w:tc>
          <w:tcPr>
            <w:tcW w:w="1661" w:type="dxa"/>
            <w:gridSpan w:val="2"/>
            <w:vAlign w:val="center"/>
          </w:tcPr>
          <w:p>
            <w:pPr>
              <w:jc w:val="center"/>
              <w:rPr>
                <w:rFonts w:ascii="宋体" w:hAnsi="宋体"/>
                <w:color w:val="auto"/>
                <w:szCs w:val="21"/>
                <w:highlight w:val="none"/>
              </w:rPr>
            </w:pPr>
          </w:p>
        </w:tc>
        <w:tc>
          <w:tcPr>
            <w:tcW w:w="1361"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技术职称</w:t>
            </w:r>
          </w:p>
        </w:tc>
        <w:tc>
          <w:tcPr>
            <w:tcW w:w="1074" w:type="dxa"/>
            <w:vAlign w:val="center"/>
          </w:tcPr>
          <w:p>
            <w:pPr>
              <w:jc w:val="center"/>
              <w:rPr>
                <w:rFonts w:ascii="宋体" w:hAnsi="宋体"/>
                <w:color w:val="auto"/>
                <w:szCs w:val="21"/>
                <w:highlight w:val="none"/>
              </w:rPr>
            </w:pPr>
          </w:p>
        </w:tc>
        <w:tc>
          <w:tcPr>
            <w:tcW w:w="816" w:type="dxa"/>
            <w:gridSpan w:val="3"/>
            <w:vAlign w:val="center"/>
          </w:tcPr>
          <w:p>
            <w:pPr>
              <w:jc w:val="center"/>
              <w:rPr>
                <w:rFonts w:ascii="宋体" w:hAnsi="宋体"/>
                <w:color w:val="auto"/>
                <w:szCs w:val="21"/>
                <w:highlight w:val="none"/>
              </w:rPr>
            </w:pPr>
            <w:r>
              <w:rPr>
                <w:rFonts w:hint="eastAsia" w:ascii="宋体" w:hAnsi="宋体"/>
                <w:color w:val="auto"/>
                <w:szCs w:val="21"/>
                <w:highlight w:val="none"/>
              </w:rPr>
              <w:t>电话</w:t>
            </w:r>
          </w:p>
        </w:tc>
        <w:tc>
          <w:tcPr>
            <w:tcW w:w="1416"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jc w:val="center"/>
              <w:rPr>
                <w:rFonts w:ascii="宋体" w:hAnsi="宋体"/>
                <w:color w:val="auto"/>
                <w:szCs w:val="21"/>
                <w:highlight w:val="none"/>
              </w:rPr>
            </w:pPr>
            <w:r>
              <w:rPr>
                <w:rFonts w:hint="eastAsia" w:ascii="宋体" w:hAnsi="宋体"/>
                <w:color w:val="auto"/>
                <w:szCs w:val="21"/>
                <w:highlight w:val="none"/>
              </w:rPr>
              <w:t>成立时间</w:t>
            </w:r>
          </w:p>
        </w:tc>
        <w:tc>
          <w:tcPr>
            <w:tcW w:w="2635" w:type="dxa"/>
            <w:gridSpan w:val="3"/>
            <w:vAlign w:val="center"/>
          </w:tcPr>
          <w:p>
            <w:pPr>
              <w:jc w:val="center"/>
              <w:rPr>
                <w:rFonts w:ascii="宋体" w:hAnsi="宋体"/>
                <w:color w:val="auto"/>
                <w:szCs w:val="21"/>
                <w:highlight w:val="none"/>
              </w:rPr>
            </w:pPr>
          </w:p>
        </w:tc>
        <w:tc>
          <w:tcPr>
            <w:tcW w:w="4667" w:type="dxa"/>
            <w:gridSpan w:val="7"/>
            <w:vAlign w:val="center"/>
          </w:tcPr>
          <w:p>
            <w:pPr>
              <w:jc w:val="center"/>
              <w:rPr>
                <w:rFonts w:ascii="宋体" w:hAnsi="宋体"/>
                <w:color w:val="auto"/>
                <w:szCs w:val="21"/>
                <w:highlight w:val="none"/>
              </w:rPr>
            </w:pPr>
            <w:r>
              <w:rPr>
                <w:rFonts w:hint="eastAsia" w:ascii="宋体" w:hAnsi="宋体"/>
                <w:color w:val="auto"/>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jc w:val="center"/>
              <w:rPr>
                <w:rFonts w:ascii="宋体" w:hAnsi="宋体"/>
                <w:color w:val="auto"/>
                <w:szCs w:val="21"/>
                <w:highlight w:val="none"/>
              </w:rPr>
            </w:pPr>
            <w:r>
              <w:rPr>
                <w:rFonts w:hint="eastAsia" w:ascii="宋体" w:hAnsi="宋体"/>
                <w:color w:val="auto"/>
                <w:szCs w:val="21"/>
                <w:highlight w:val="none"/>
              </w:rPr>
              <w:t>企业资质等级</w:t>
            </w:r>
          </w:p>
        </w:tc>
        <w:tc>
          <w:tcPr>
            <w:tcW w:w="2635" w:type="dxa"/>
            <w:gridSpan w:val="3"/>
            <w:vAlign w:val="center"/>
          </w:tcPr>
          <w:p>
            <w:pPr>
              <w:jc w:val="center"/>
              <w:rPr>
                <w:rFonts w:ascii="宋体" w:hAnsi="宋体"/>
                <w:color w:val="auto"/>
                <w:szCs w:val="21"/>
                <w:highlight w:val="none"/>
              </w:rPr>
            </w:pPr>
          </w:p>
        </w:tc>
        <w:tc>
          <w:tcPr>
            <w:tcW w:w="1012"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其中</w:t>
            </w:r>
          </w:p>
        </w:tc>
        <w:tc>
          <w:tcPr>
            <w:tcW w:w="1954" w:type="dxa"/>
            <w:gridSpan w:val="4"/>
            <w:vAlign w:val="center"/>
          </w:tcPr>
          <w:p>
            <w:pPr>
              <w:jc w:val="center"/>
              <w:rPr>
                <w:rFonts w:ascii="宋体" w:hAnsi="宋体"/>
                <w:color w:val="auto"/>
                <w:szCs w:val="21"/>
                <w:highlight w:val="none"/>
              </w:rPr>
            </w:pPr>
            <w:r>
              <w:rPr>
                <w:rFonts w:hint="eastAsia" w:ascii="宋体" w:hAnsi="宋体"/>
                <w:color w:val="auto"/>
                <w:szCs w:val="21"/>
                <w:highlight w:val="none"/>
              </w:rPr>
              <w:t>高级职称人员</w:t>
            </w:r>
          </w:p>
        </w:tc>
        <w:tc>
          <w:tcPr>
            <w:tcW w:w="1701" w:type="dxa"/>
            <w:gridSpan w:val="2"/>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jc w:val="center"/>
              <w:rPr>
                <w:rFonts w:ascii="宋体" w:hAnsi="宋体"/>
                <w:color w:val="auto"/>
                <w:szCs w:val="21"/>
                <w:highlight w:val="none"/>
              </w:rPr>
            </w:pPr>
            <w:r>
              <w:rPr>
                <w:rFonts w:hint="eastAsia" w:ascii="宋体" w:hAnsi="宋体"/>
                <w:color w:val="auto"/>
                <w:szCs w:val="21"/>
                <w:highlight w:val="none"/>
              </w:rPr>
              <w:t>营业执照号</w:t>
            </w:r>
          </w:p>
        </w:tc>
        <w:tc>
          <w:tcPr>
            <w:tcW w:w="2635" w:type="dxa"/>
            <w:gridSpan w:val="3"/>
            <w:vAlign w:val="center"/>
          </w:tcPr>
          <w:p>
            <w:pPr>
              <w:jc w:val="center"/>
              <w:rPr>
                <w:rFonts w:ascii="宋体" w:hAnsi="宋体"/>
                <w:color w:val="auto"/>
                <w:szCs w:val="21"/>
                <w:highlight w:val="none"/>
              </w:rPr>
            </w:pPr>
          </w:p>
        </w:tc>
        <w:tc>
          <w:tcPr>
            <w:tcW w:w="1012" w:type="dxa"/>
            <w:vMerge w:val="continue"/>
            <w:vAlign w:val="center"/>
          </w:tcPr>
          <w:p>
            <w:pPr>
              <w:jc w:val="center"/>
              <w:rPr>
                <w:rFonts w:ascii="宋体" w:hAnsi="宋体"/>
                <w:color w:val="auto"/>
                <w:szCs w:val="21"/>
                <w:highlight w:val="none"/>
              </w:rPr>
            </w:pPr>
          </w:p>
        </w:tc>
        <w:tc>
          <w:tcPr>
            <w:tcW w:w="1954" w:type="dxa"/>
            <w:gridSpan w:val="4"/>
            <w:vAlign w:val="center"/>
          </w:tcPr>
          <w:p>
            <w:pPr>
              <w:jc w:val="center"/>
              <w:rPr>
                <w:rFonts w:ascii="宋体" w:hAnsi="宋体"/>
                <w:color w:val="auto"/>
                <w:szCs w:val="21"/>
                <w:highlight w:val="none"/>
              </w:rPr>
            </w:pPr>
            <w:r>
              <w:rPr>
                <w:rFonts w:hint="eastAsia" w:ascii="宋体" w:hAnsi="宋体"/>
                <w:color w:val="auto"/>
                <w:szCs w:val="21"/>
                <w:highlight w:val="none"/>
              </w:rPr>
              <w:t>中级职称人员</w:t>
            </w:r>
          </w:p>
        </w:tc>
        <w:tc>
          <w:tcPr>
            <w:tcW w:w="1701" w:type="dxa"/>
            <w:gridSpan w:val="2"/>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jc w:val="center"/>
              <w:rPr>
                <w:rFonts w:ascii="宋体" w:hAnsi="宋体"/>
                <w:color w:val="auto"/>
                <w:szCs w:val="21"/>
                <w:highlight w:val="none"/>
              </w:rPr>
            </w:pPr>
            <w:r>
              <w:rPr>
                <w:rFonts w:hint="eastAsia" w:ascii="宋体" w:hAnsi="宋体"/>
                <w:color w:val="auto"/>
                <w:szCs w:val="21"/>
                <w:highlight w:val="none"/>
              </w:rPr>
              <w:t>注册资金</w:t>
            </w:r>
          </w:p>
        </w:tc>
        <w:tc>
          <w:tcPr>
            <w:tcW w:w="2635" w:type="dxa"/>
            <w:gridSpan w:val="3"/>
            <w:vAlign w:val="center"/>
          </w:tcPr>
          <w:p>
            <w:pPr>
              <w:jc w:val="center"/>
              <w:rPr>
                <w:rFonts w:ascii="宋体" w:hAnsi="宋体"/>
                <w:color w:val="auto"/>
                <w:szCs w:val="21"/>
                <w:highlight w:val="none"/>
              </w:rPr>
            </w:pPr>
          </w:p>
        </w:tc>
        <w:tc>
          <w:tcPr>
            <w:tcW w:w="1012" w:type="dxa"/>
            <w:vMerge w:val="continue"/>
            <w:vAlign w:val="center"/>
          </w:tcPr>
          <w:p>
            <w:pPr>
              <w:jc w:val="center"/>
              <w:rPr>
                <w:rFonts w:ascii="宋体" w:hAnsi="宋体"/>
                <w:color w:val="auto"/>
                <w:szCs w:val="21"/>
                <w:highlight w:val="none"/>
              </w:rPr>
            </w:pPr>
          </w:p>
        </w:tc>
        <w:tc>
          <w:tcPr>
            <w:tcW w:w="1954" w:type="dxa"/>
            <w:gridSpan w:val="4"/>
            <w:vAlign w:val="center"/>
          </w:tcPr>
          <w:p>
            <w:pPr>
              <w:jc w:val="center"/>
              <w:rPr>
                <w:rFonts w:ascii="宋体" w:hAnsi="宋体"/>
                <w:color w:val="auto"/>
                <w:szCs w:val="21"/>
                <w:highlight w:val="none"/>
              </w:rPr>
            </w:pPr>
            <w:r>
              <w:rPr>
                <w:rFonts w:hint="eastAsia" w:ascii="宋体" w:hAnsi="宋体"/>
                <w:color w:val="auto"/>
                <w:szCs w:val="21"/>
                <w:highlight w:val="none"/>
              </w:rPr>
              <w:t>初级职称人员</w:t>
            </w:r>
          </w:p>
        </w:tc>
        <w:tc>
          <w:tcPr>
            <w:tcW w:w="1701" w:type="dxa"/>
            <w:gridSpan w:val="2"/>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jc w:val="center"/>
              <w:rPr>
                <w:rFonts w:ascii="宋体" w:hAnsi="宋体"/>
                <w:color w:val="auto"/>
                <w:szCs w:val="21"/>
                <w:highlight w:val="none"/>
              </w:rPr>
            </w:pPr>
            <w:r>
              <w:rPr>
                <w:rFonts w:hint="eastAsia" w:ascii="宋体" w:hAnsi="宋体"/>
                <w:color w:val="auto"/>
                <w:szCs w:val="21"/>
                <w:highlight w:val="none"/>
              </w:rPr>
              <w:t>开户银行</w:t>
            </w:r>
          </w:p>
        </w:tc>
        <w:tc>
          <w:tcPr>
            <w:tcW w:w="2635" w:type="dxa"/>
            <w:gridSpan w:val="3"/>
            <w:vAlign w:val="center"/>
          </w:tcPr>
          <w:p>
            <w:pPr>
              <w:jc w:val="center"/>
              <w:rPr>
                <w:rFonts w:ascii="宋体" w:hAnsi="宋体"/>
                <w:color w:val="auto"/>
                <w:szCs w:val="21"/>
                <w:highlight w:val="none"/>
              </w:rPr>
            </w:pPr>
          </w:p>
        </w:tc>
        <w:tc>
          <w:tcPr>
            <w:tcW w:w="1012" w:type="dxa"/>
            <w:vMerge w:val="continue"/>
            <w:vAlign w:val="center"/>
          </w:tcPr>
          <w:p>
            <w:pPr>
              <w:jc w:val="center"/>
              <w:rPr>
                <w:rFonts w:ascii="宋体" w:hAnsi="宋体"/>
                <w:color w:val="auto"/>
                <w:szCs w:val="21"/>
                <w:highlight w:val="none"/>
              </w:rPr>
            </w:pPr>
          </w:p>
        </w:tc>
        <w:tc>
          <w:tcPr>
            <w:tcW w:w="1954" w:type="dxa"/>
            <w:gridSpan w:val="4"/>
            <w:vAlign w:val="center"/>
          </w:tcPr>
          <w:p>
            <w:pPr>
              <w:jc w:val="center"/>
              <w:rPr>
                <w:rFonts w:ascii="宋体" w:hAnsi="宋体"/>
                <w:color w:val="auto"/>
                <w:szCs w:val="21"/>
                <w:highlight w:val="none"/>
              </w:rPr>
            </w:pPr>
          </w:p>
        </w:tc>
        <w:tc>
          <w:tcPr>
            <w:tcW w:w="1701" w:type="dxa"/>
            <w:gridSpan w:val="2"/>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jc w:val="center"/>
              <w:rPr>
                <w:rFonts w:ascii="宋体" w:hAnsi="宋体"/>
                <w:color w:val="auto"/>
                <w:szCs w:val="21"/>
                <w:highlight w:val="none"/>
              </w:rPr>
            </w:pPr>
            <w:r>
              <w:rPr>
                <w:rFonts w:hint="eastAsia" w:ascii="宋体" w:hAnsi="宋体"/>
                <w:color w:val="auto"/>
                <w:szCs w:val="21"/>
                <w:highlight w:val="none"/>
              </w:rPr>
              <w:t>账号</w:t>
            </w:r>
          </w:p>
        </w:tc>
        <w:tc>
          <w:tcPr>
            <w:tcW w:w="2635" w:type="dxa"/>
            <w:gridSpan w:val="3"/>
            <w:vAlign w:val="center"/>
          </w:tcPr>
          <w:p>
            <w:pPr>
              <w:jc w:val="center"/>
              <w:rPr>
                <w:rFonts w:ascii="宋体" w:hAnsi="宋体"/>
                <w:color w:val="auto"/>
                <w:szCs w:val="21"/>
                <w:highlight w:val="none"/>
              </w:rPr>
            </w:pPr>
          </w:p>
        </w:tc>
        <w:tc>
          <w:tcPr>
            <w:tcW w:w="1012" w:type="dxa"/>
            <w:vMerge w:val="continue"/>
            <w:vAlign w:val="center"/>
          </w:tcPr>
          <w:p>
            <w:pPr>
              <w:jc w:val="center"/>
              <w:rPr>
                <w:rFonts w:ascii="宋体" w:hAnsi="宋体"/>
                <w:color w:val="auto"/>
                <w:szCs w:val="21"/>
                <w:highlight w:val="none"/>
              </w:rPr>
            </w:pPr>
          </w:p>
        </w:tc>
        <w:tc>
          <w:tcPr>
            <w:tcW w:w="1954" w:type="dxa"/>
            <w:gridSpan w:val="4"/>
            <w:vAlign w:val="center"/>
          </w:tcPr>
          <w:p>
            <w:pPr>
              <w:jc w:val="center"/>
              <w:rPr>
                <w:rFonts w:ascii="宋体" w:hAnsi="宋体"/>
                <w:color w:val="auto"/>
                <w:szCs w:val="21"/>
                <w:highlight w:val="none"/>
              </w:rPr>
            </w:pPr>
          </w:p>
        </w:tc>
        <w:tc>
          <w:tcPr>
            <w:tcW w:w="1701" w:type="dxa"/>
            <w:gridSpan w:val="2"/>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9" w:hRule="atLeast"/>
        </w:trPr>
        <w:tc>
          <w:tcPr>
            <w:tcW w:w="1771" w:type="dxa"/>
            <w:vAlign w:val="center"/>
          </w:tcPr>
          <w:p>
            <w:pPr>
              <w:jc w:val="center"/>
              <w:rPr>
                <w:rFonts w:ascii="宋体" w:hAnsi="宋体"/>
                <w:color w:val="auto"/>
                <w:szCs w:val="21"/>
                <w:highlight w:val="none"/>
              </w:rPr>
            </w:pPr>
            <w:r>
              <w:rPr>
                <w:rFonts w:hint="eastAsia" w:ascii="宋体" w:hAnsi="宋体"/>
                <w:color w:val="auto"/>
                <w:szCs w:val="21"/>
                <w:highlight w:val="none"/>
              </w:rPr>
              <w:t>经营范围</w:t>
            </w:r>
          </w:p>
        </w:tc>
        <w:tc>
          <w:tcPr>
            <w:tcW w:w="7302" w:type="dxa"/>
            <w:gridSpan w:val="10"/>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71" w:type="dxa"/>
            <w:vAlign w:val="center"/>
          </w:tcPr>
          <w:p>
            <w:pPr>
              <w:jc w:val="center"/>
              <w:rPr>
                <w:rFonts w:ascii="宋体" w:hAnsi="宋体"/>
                <w:color w:val="auto"/>
                <w:szCs w:val="21"/>
                <w:highlight w:val="none"/>
              </w:rPr>
            </w:pPr>
            <w:r>
              <w:rPr>
                <w:rFonts w:hint="eastAsia" w:ascii="宋体" w:hAnsi="宋体"/>
                <w:color w:val="auto"/>
                <w:szCs w:val="21"/>
                <w:highlight w:val="none"/>
              </w:rPr>
              <w:t>备注</w:t>
            </w:r>
          </w:p>
        </w:tc>
        <w:tc>
          <w:tcPr>
            <w:tcW w:w="7302" w:type="dxa"/>
            <w:gridSpan w:val="10"/>
            <w:vAlign w:val="center"/>
          </w:tcPr>
          <w:p>
            <w:pPr>
              <w:jc w:val="center"/>
              <w:rPr>
                <w:rFonts w:ascii="宋体" w:hAnsi="宋体"/>
                <w:color w:val="auto"/>
                <w:szCs w:val="21"/>
                <w:highlight w:val="none"/>
              </w:rPr>
            </w:pPr>
          </w:p>
        </w:tc>
      </w:tr>
    </w:tbl>
    <w:p>
      <w:pPr>
        <w:snapToGrid w:val="0"/>
        <w:spacing w:before="50" w:afterLines="50"/>
        <w:jc w:val="left"/>
        <w:rPr>
          <w:rFonts w:ascii="宋体" w:hAnsi="宋体"/>
          <w:color w:val="auto"/>
          <w:szCs w:val="21"/>
          <w:highlight w:val="none"/>
        </w:rPr>
      </w:pPr>
    </w:p>
    <w:p>
      <w:pPr>
        <w:rPr>
          <w:rFonts w:hint="eastAsia" w:ascii="宋体" w:hAnsi="宋体"/>
          <w:color w:val="auto"/>
          <w:sz w:val="28"/>
          <w:szCs w:val="28"/>
          <w:highlight w:val="none"/>
        </w:rPr>
      </w:pPr>
      <w:r>
        <w:rPr>
          <w:rFonts w:hint="eastAsia" w:ascii="宋体" w:hAnsi="宋体"/>
          <w:color w:val="auto"/>
          <w:sz w:val="28"/>
          <w:szCs w:val="28"/>
          <w:highlight w:val="none"/>
        </w:rPr>
        <w:br w:type="page"/>
      </w:r>
    </w:p>
    <w:p>
      <w:pPr>
        <w:snapToGrid w:val="0"/>
        <w:spacing w:beforeLines="50" w:after="50"/>
        <w:rPr>
          <w:rFonts w:hint="eastAsia" w:ascii="宋体"/>
          <w:color w:val="auto"/>
          <w:sz w:val="24"/>
          <w:szCs w:val="24"/>
          <w:highlight w:val="none"/>
        </w:rPr>
      </w:pPr>
      <w:r>
        <w:rPr>
          <w:rFonts w:hint="eastAsia" w:ascii="宋体"/>
          <w:color w:val="auto"/>
          <w:sz w:val="24"/>
          <w:szCs w:val="24"/>
          <w:highlight w:val="none"/>
        </w:rPr>
        <w:t>8.</w:t>
      </w:r>
      <w:r>
        <w:rPr>
          <w:rFonts w:hint="eastAsia" w:ascii="宋体"/>
          <w:color w:val="auto"/>
          <w:sz w:val="24"/>
          <w:szCs w:val="24"/>
          <w:highlight w:val="none"/>
          <w:lang w:val="en-US" w:eastAsia="zh-CN"/>
        </w:rPr>
        <w:t>项目</w:t>
      </w:r>
      <w:r>
        <w:rPr>
          <w:rFonts w:hint="eastAsia" w:ascii="宋体"/>
          <w:color w:val="auto"/>
          <w:sz w:val="24"/>
          <w:szCs w:val="24"/>
          <w:highlight w:val="none"/>
        </w:rPr>
        <w:t>业绩表</w:t>
      </w:r>
    </w:p>
    <w:p>
      <w:pPr>
        <w:snapToGrid w:val="0"/>
        <w:spacing w:before="50" w:afterLines="50"/>
        <w:jc w:val="center"/>
        <w:rPr>
          <w:rFonts w:ascii="宋体" w:hAnsi="宋体"/>
          <w:b/>
          <w:bCs/>
          <w:color w:val="auto"/>
          <w:sz w:val="24"/>
          <w:highlight w:val="none"/>
        </w:rPr>
      </w:pPr>
      <w:r>
        <w:rPr>
          <w:rFonts w:hint="eastAsia" w:ascii="宋体" w:hAnsi="宋体"/>
          <w:b/>
          <w:bCs/>
          <w:color w:val="auto"/>
          <w:sz w:val="24"/>
          <w:highlight w:val="none"/>
          <w:lang w:val="en-US" w:eastAsia="zh-CN"/>
        </w:rPr>
        <w:t>项目</w:t>
      </w:r>
      <w:r>
        <w:rPr>
          <w:rFonts w:hint="eastAsia" w:ascii="宋体" w:hAnsi="宋体"/>
          <w:b/>
          <w:bCs/>
          <w:color w:val="auto"/>
          <w:sz w:val="24"/>
          <w:highlight w:val="none"/>
        </w:rPr>
        <w:t>业绩表</w:t>
      </w:r>
    </w:p>
    <w:tbl>
      <w:tblPr>
        <w:tblStyle w:val="22"/>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2405"/>
        <w:gridCol w:w="2184"/>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88" w:type="dxa"/>
            <w:vAlign w:val="center"/>
          </w:tcPr>
          <w:p>
            <w:pPr>
              <w:jc w:val="center"/>
              <w:rPr>
                <w:rFonts w:ascii="宋体" w:hAnsi="宋体"/>
                <w:b/>
                <w:bCs/>
                <w:color w:val="auto"/>
                <w:highlight w:val="none"/>
              </w:rPr>
            </w:pPr>
            <w:r>
              <w:rPr>
                <w:rFonts w:hint="eastAsia" w:ascii="宋体" w:hAnsi="宋体"/>
                <w:b/>
                <w:bCs/>
                <w:color w:val="auto"/>
                <w:highlight w:val="none"/>
              </w:rPr>
              <w:t>项目名称</w:t>
            </w:r>
          </w:p>
        </w:tc>
        <w:tc>
          <w:tcPr>
            <w:tcW w:w="2405" w:type="dxa"/>
            <w:vAlign w:val="center"/>
          </w:tcPr>
          <w:p>
            <w:pPr>
              <w:jc w:val="center"/>
              <w:rPr>
                <w:rFonts w:ascii="宋体" w:hAnsi="宋体"/>
                <w:b/>
                <w:bCs/>
                <w:color w:val="auto"/>
                <w:highlight w:val="none"/>
              </w:rPr>
            </w:pPr>
            <w:r>
              <w:rPr>
                <w:rFonts w:hint="eastAsia" w:ascii="宋体" w:hAnsi="宋体"/>
                <w:b/>
                <w:bCs/>
                <w:color w:val="auto"/>
                <w:highlight w:val="none"/>
              </w:rPr>
              <w:t>建设单位或委托方</w:t>
            </w:r>
          </w:p>
        </w:tc>
        <w:tc>
          <w:tcPr>
            <w:tcW w:w="2184" w:type="dxa"/>
            <w:vAlign w:val="center"/>
          </w:tcPr>
          <w:p>
            <w:pPr>
              <w:jc w:val="center"/>
              <w:rPr>
                <w:rFonts w:ascii="宋体" w:hAnsi="宋体"/>
                <w:b/>
                <w:bCs/>
                <w:color w:val="auto"/>
                <w:highlight w:val="none"/>
              </w:rPr>
            </w:pPr>
            <w:r>
              <w:rPr>
                <w:rFonts w:hint="eastAsia" w:ascii="宋体" w:hAnsi="宋体"/>
                <w:b/>
                <w:bCs/>
                <w:color w:val="auto"/>
                <w:highlight w:val="none"/>
              </w:rPr>
              <w:t>合同日期</w:t>
            </w:r>
          </w:p>
        </w:tc>
        <w:tc>
          <w:tcPr>
            <w:tcW w:w="1842" w:type="dxa"/>
            <w:vAlign w:val="center"/>
          </w:tcPr>
          <w:p>
            <w:pPr>
              <w:jc w:val="center"/>
              <w:rPr>
                <w:rFonts w:ascii="宋体" w:hAnsi="宋体"/>
                <w:b/>
                <w:bCs/>
                <w:color w:val="auto"/>
                <w:highlight w:val="none"/>
              </w:rPr>
            </w:pPr>
            <w:r>
              <w:rPr>
                <w:rFonts w:hint="eastAsia" w:ascii="宋体" w:hAnsi="宋体"/>
                <w:b/>
                <w:bCs/>
                <w:color w:val="auto"/>
                <w:highlight w:val="none"/>
              </w:rPr>
              <w:t>合同金额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88" w:type="dxa"/>
            <w:vAlign w:val="top"/>
          </w:tcPr>
          <w:p>
            <w:pPr>
              <w:rPr>
                <w:rFonts w:ascii="宋体" w:hAnsi="宋体"/>
                <w:b/>
                <w:bCs/>
                <w:color w:val="auto"/>
                <w:highlight w:val="none"/>
              </w:rPr>
            </w:pPr>
          </w:p>
        </w:tc>
        <w:tc>
          <w:tcPr>
            <w:tcW w:w="2405" w:type="dxa"/>
            <w:vAlign w:val="top"/>
          </w:tcPr>
          <w:p>
            <w:pPr>
              <w:rPr>
                <w:rFonts w:ascii="宋体" w:hAnsi="宋体"/>
                <w:b/>
                <w:bCs/>
                <w:color w:val="auto"/>
                <w:highlight w:val="none"/>
              </w:rPr>
            </w:pPr>
          </w:p>
        </w:tc>
        <w:tc>
          <w:tcPr>
            <w:tcW w:w="2184" w:type="dxa"/>
            <w:vAlign w:val="top"/>
          </w:tcPr>
          <w:p>
            <w:pPr>
              <w:rPr>
                <w:rFonts w:ascii="宋体" w:hAnsi="宋体"/>
                <w:b/>
                <w:bCs/>
                <w:color w:val="auto"/>
                <w:highlight w:val="none"/>
              </w:rPr>
            </w:pPr>
          </w:p>
        </w:tc>
        <w:tc>
          <w:tcPr>
            <w:tcW w:w="1842" w:type="dxa"/>
            <w:vAlign w:val="top"/>
          </w:tcPr>
          <w:p>
            <w:pPr>
              <w:rPr>
                <w:rFonts w:ascii="宋体" w:hAnsi="宋体"/>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88" w:type="dxa"/>
            <w:vAlign w:val="top"/>
          </w:tcPr>
          <w:p>
            <w:pPr>
              <w:rPr>
                <w:rFonts w:ascii="宋体" w:hAnsi="宋体"/>
                <w:b/>
                <w:bCs/>
                <w:color w:val="auto"/>
                <w:highlight w:val="none"/>
              </w:rPr>
            </w:pPr>
          </w:p>
        </w:tc>
        <w:tc>
          <w:tcPr>
            <w:tcW w:w="2405" w:type="dxa"/>
            <w:vAlign w:val="top"/>
          </w:tcPr>
          <w:p>
            <w:pPr>
              <w:rPr>
                <w:rFonts w:ascii="宋体" w:hAnsi="宋体"/>
                <w:b/>
                <w:bCs/>
                <w:color w:val="auto"/>
                <w:highlight w:val="none"/>
              </w:rPr>
            </w:pPr>
          </w:p>
        </w:tc>
        <w:tc>
          <w:tcPr>
            <w:tcW w:w="2184" w:type="dxa"/>
            <w:vAlign w:val="top"/>
          </w:tcPr>
          <w:p>
            <w:pPr>
              <w:rPr>
                <w:rFonts w:ascii="宋体" w:hAnsi="宋体"/>
                <w:b/>
                <w:bCs/>
                <w:color w:val="auto"/>
                <w:highlight w:val="none"/>
              </w:rPr>
            </w:pPr>
          </w:p>
        </w:tc>
        <w:tc>
          <w:tcPr>
            <w:tcW w:w="1842" w:type="dxa"/>
            <w:vAlign w:val="top"/>
          </w:tcPr>
          <w:p>
            <w:pPr>
              <w:rPr>
                <w:rFonts w:ascii="宋体" w:hAnsi="宋体"/>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88" w:type="dxa"/>
            <w:vAlign w:val="top"/>
          </w:tcPr>
          <w:p>
            <w:pPr>
              <w:rPr>
                <w:rFonts w:ascii="宋体" w:hAnsi="宋体"/>
                <w:b/>
                <w:bCs/>
                <w:color w:val="auto"/>
                <w:highlight w:val="none"/>
              </w:rPr>
            </w:pPr>
          </w:p>
        </w:tc>
        <w:tc>
          <w:tcPr>
            <w:tcW w:w="2405" w:type="dxa"/>
            <w:vAlign w:val="top"/>
          </w:tcPr>
          <w:p>
            <w:pPr>
              <w:rPr>
                <w:rFonts w:ascii="宋体" w:hAnsi="宋体"/>
                <w:b/>
                <w:bCs/>
                <w:color w:val="auto"/>
                <w:highlight w:val="none"/>
              </w:rPr>
            </w:pPr>
          </w:p>
        </w:tc>
        <w:tc>
          <w:tcPr>
            <w:tcW w:w="2184" w:type="dxa"/>
            <w:vAlign w:val="top"/>
          </w:tcPr>
          <w:p>
            <w:pPr>
              <w:rPr>
                <w:rFonts w:ascii="宋体" w:hAnsi="宋体"/>
                <w:b/>
                <w:bCs/>
                <w:color w:val="auto"/>
                <w:highlight w:val="none"/>
              </w:rPr>
            </w:pPr>
          </w:p>
        </w:tc>
        <w:tc>
          <w:tcPr>
            <w:tcW w:w="1842" w:type="dxa"/>
            <w:vAlign w:val="top"/>
          </w:tcPr>
          <w:p>
            <w:pPr>
              <w:rPr>
                <w:rFonts w:ascii="宋体" w:hAnsi="宋体"/>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88" w:type="dxa"/>
            <w:vAlign w:val="top"/>
          </w:tcPr>
          <w:p>
            <w:pPr>
              <w:rPr>
                <w:rFonts w:ascii="宋体" w:hAnsi="宋体"/>
                <w:b/>
                <w:bCs/>
                <w:color w:val="auto"/>
                <w:highlight w:val="none"/>
              </w:rPr>
            </w:pPr>
          </w:p>
        </w:tc>
        <w:tc>
          <w:tcPr>
            <w:tcW w:w="2405" w:type="dxa"/>
            <w:vAlign w:val="top"/>
          </w:tcPr>
          <w:p>
            <w:pPr>
              <w:rPr>
                <w:rFonts w:ascii="宋体" w:hAnsi="宋体"/>
                <w:b/>
                <w:bCs/>
                <w:color w:val="auto"/>
                <w:highlight w:val="none"/>
              </w:rPr>
            </w:pPr>
          </w:p>
        </w:tc>
        <w:tc>
          <w:tcPr>
            <w:tcW w:w="2184" w:type="dxa"/>
            <w:vAlign w:val="top"/>
          </w:tcPr>
          <w:p>
            <w:pPr>
              <w:rPr>
                <w:rFonts w:ascii="宋体" w:hAnsi="宋体"/>
                <w:b/>
                <w:bCs/>
                <w:color w:val="auto"/>
                <w:highlight w:val="none"/>
              </w:rPr>
            </w:pPr>
          </w:p>
        </w:tc>
        <w:tc>
          <w:tcPr>
            <w:tcW w:w="1842" w:type="dxa"/>
            <w:vAlign w:val="top"/>
          </w:tcPr>
          <w:p>
            <w:pPr>
              <w:rPr>
                <w:rFonts w:ascii="宋体" w:hAnsi="宋体"/>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88" w:type="dxa"/>
            <w:vAlign w:val="top"/>
          </w:tcPr>
          <w:p>
            <w:pPr>
              <w:rPr>
                <w:rFonts w:ascii="宋体" w:hAnsi="宋体"/>
                <w:b/>
                <w:bCs/>
                <w:color w:val="auto"/>
                <w:highlight w:val="none"/>
              </w:rPr>
            </w:pPr>
          </w:p>
        </w:tc>
        <w:tc>
          <w:tcPr>
            <w:tcW w:w="2405" w:type="dxa"/>
            <w:vAlign w:val="top"/>
          </w:tcPr>
          <w:p>
            <w:pPr>
              <w:rPr>
                <w:rFonts w:ascii="宋体" w:hAnsi="宋体"/>
                <w:b/>
                <w:bCs/>
                <w:color w:val="auto"/>
                <w:highlight w:val="none"/>
              </w:rPr>
            </w:pPr>
          </w:p>
        </w:tc>
        <w:tc>
          <w:tcPr>
            <w:tcW w:w="2184" w:type="dxa"/>
            <w:vAlign w:val="top"/>
          </w:tcPr>
          <w:p>
            <w:pPr>
              <w:rPr>
                <w:rFonts w:ascii="宋体" w:hAnsi="宋体"/>
                <w:b/>
                <w:bCs/>
                <w:color w:val="auto"/>
                <w:highlight w:val="none"/>
              </w:rPr>
            </w:pPr>
          </w:p>
        </w:tc>
        <w:tc>
          <w:tcPr>
            <w:tcW w:w="1842" w:type="dxa"/>
            <w:vAlign w:val="top"/>
          </w:tcPr>
          <w:p>
            <w:pPr>
              <w:rPr>
                <w:rFonts w:ascii="宋体" w:hAnsi="宋体"/>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88" w:type="dxa"/>
            <w:vAlign w:val="top"/>
          </w:tcPr>
          <w:p>
            <w:pPr>
              <w:rPr>
                <w:rFonts w:ascii="宋体" w:hAnsi="宋体"/>
                <w:b/>
                <w:bCs/>
                <w:color w:val="auto"/>
                <w:highlight w:val="none"/>
              </w:rPr>
            </w:pPr>
          </w:p>
        </w:tc>
        <w:tc>
          <w:tcPr>
            <w:tcW w:w="2405" w:type="dxa"/>
            <w:vAlign w:val="top"/>
          </w:tcPr>
          <w:p>
            <w:pPr>
              <w:rPr>
                <w:rFonts w:ascii="宋体" w:hAnsi="宋体"/>
                <w:b/>
                <w:bCs/>
                <w:color w:val="auto"/>
                <w:highlight w:val="none"/>
              </w:rPr>
            </w:pPr>
          </w:p>
        </w:tc>
        <w:tc>
          <w:tcPr>
            <w:tcW w:w="2184" w:type="dxa"/>
            <w:vAlign w:val="top"/>
          </w:tcPr>
          <w:p>
            <w:pPr>
              <w:rPr>
                <w:rFonts w:ascii="宋体" w:hAnsi="宋体"/>
                <w:b/>
                <w:bCs/>
                <w:color w:val="auto"/>
                <w:highlight w:val="none"/>
              </w:rPr>
            </w:pPr>
          </w:p>
        </w:tc>
        <w:tc>
          <w:tcPr>
            <w:tcW w:w="1842" w:type="dxa"/>
            <w:vAlign w:val="top"/>
          </w:tcPr>
          <w:p>
            <w:pPr>
              <w:rPr>
                <w:rFonts w:ascii="宋体" w:hAnsi="宋体"/>
                <w:b/>
                <w:bCs/>
                <w:color w:val="auto"/>
                <w:highlight w:val="none"/>
              </w:rPr>
            </w:pPr>
          </w:p>
        </w:tc>
      </w:tr>
    </w:tbl>
    <w:p>
      <w:pPr>
        <w:wordWrap w:val="0"/>
        <w:ind w:right="360"/>
        <w:rPr>
          <w:rFonts w:ascii="宋体" w:hAnsi="宋体"/>
          <w:color w:val="auto"/>
          <w:highlight w:val="none"/>
          <w:lang w:val="zh-CN"/>
        </w:rPr>
      </w:pPr>
      <w:r>
        <w:rPr>
          <w:rFonts w:hint="eastAsia" w:ascii="宋体" w:hAnsi="宋体"/>
          <w:color w:val="auto"/>
          <w:szCs w:val="28"/>
          <w:highlight w:val="none"/>
        </w:rPr>
        <w:t>注：201</w:t>
      </w:r>
      <w:r>
        <w:rPr>
          <w:rFonts w:hint="eastAsia" w:ascii="宋体" w:hAnsi="宋体"/>
          <w:color w:val="auto"/>
          <w:szCs w:val="28"/>
          <w:highlight w:val="none"/>
          <w:lang w:val="en-US" w:eastAsia="zh-CN"/>
        </w:rPr>
        <w:t>7</w:t>
      </w:r>
      <w:r>
        <w:rPr>
          <w:rFonts w:hint="eastAsia" w:ascii="宋体" w:hAnsi="宋体"/>
          <w:color w:val="auto"/>
          <w:szCs w:val="28"/>
          <w:highlight w:val="none"/>
        </w:rPr>
        <w:t>年1月1日以来，</w:t>
      </w:r>
      <w:r>
        <w:rPr>
          <w:rFonts w:hint="eastAsia" w:ascii="宋体" w:hAnsi="宋体"/>
          <w:color w:val="auto"/>
          <w:szCs w:val="28"/>
          <w:highlight w:val="none"/>
          <w:lang w:eastAsia="zh-CN"/>
        </w:rPr>
        <w:t>投标人</w:t>
      </w:r>
      <w:r>
        <w:rPr>
          <w:rFonts w:hint="eastAsia" w:ascii="宋体" w:hAnsi="宋体"/>
          <w:color w:val="auto"/>
          <w:szCs w:val="28"/>
          <w:highlight w:val="none"/>
        </w:rPr>
        <w:t>具有的城镇河道水质养护、提升业绩，投标文件中提供中标通知书、业绩合同复印件及该业主年度评价证明；评价证明文件中须有业主单位盖章和相关联系人签字及联系电话；合同签订时间要求在201</w:t>
      </w:r>
      <w:r>
        <w:rPr>
          <w:rFonts w:hint="eastAsia" w:ascii="宋体" w:hAnsi="宋体"/>
          <w:color w:val="auto"/>
          <w:szCs w:val="28"/>
          <w:highlight w:val="none"/>
          <w:lang w:val="en-US" w:eastAsia="zh-CN"/>
        </w:rPr>
        <w:t>7</w:t>
      </w:r>
      <w:r>
        <w:rPr>
          <w:rFonts w:hint="eastAsia" w:ascii="宋体" w:hAnsi="宋体"/>
          <w:color w:val="auto"/>
          <w:szCs w:val="28"/>
          <w:highlight w:val="none"/>
        </w:rPr>
        <w:t>年1月1日以后；合同中如不能反映该项目合同签订时间、水质养护或提升作业内容、合同价的，均需提供业主证明材料加盖该业主单位公章）以上所有文件须加盖公章</w:t>
      </w:r>
      <w:r>
        <w:rPr>
          <w:rFonts w:hint="eastAsia" w:ascii="宋体" w:hAnsi="宋体"/>
          <w:color w:val="auto"/>
          <w:szCs w:val="28"/>
          <w:highlight w:val="none"/>
          <w:lang w:eastAsia="zh-CN"/>
        </w:rPr>
        <w:t>。</w:t>
      </w:r>
    </w:p>
    <w:p>
      <w:pPr>
        <w:pStyle w:val="35"/>
        <w:rPr>
          <w:highlight w:val="none"/>
          <w:lang w:val="zh-CN"/>
        </w:rPr>
      </w:pPr>
    </w:p>
    <w:p>
      <w:pPr>
        <w:autoSpaceDE w:val="0"/>
        <w:autoSpaceDN w:val="0"/>
        <w:adjustRightInd w:val="0"/>
        <w:spacing w:line="360" w:lineRule="auto"/>
        <w:rPr>
          <w:rFonts w:ascii="宋体" w:hAnsi="宋体"/>
          <w:color w:val="auto"/>
          <w:highlight w:val="none"/>
          <w:lang w:val="zh-CN"/>
        </w:rPr>
      </w:pPr>
    </w:p>
    <w:p>
      <w:pPr>
        <w:pStyle w:val="2"/>
        <w:rPr>
          <w:highlight w:val="none"/>
          <w:lang w:val="zh-CN"/>
        </w:rPr>
      </w:pPr>
    </w:p>
    <w:p>
      <w:pPr>
        <w:autoSpaceDE w:val="0"/>
        <w:autoSpaceDN w:val="0"/>
        <w:adjustRightInd w:val="0"/>
        <w:spacing w:line="360" w:lineRule="auto"/>
        <w:rPr>
          <w:rFonts w:ascii="宋体" w:hAnsi="宋体"/>
          <w:color w:val="auto"/>
          <w:highlight w:val="none"/>
          <w:lang w:val="zh-CN"/>
        </w:rPr>
      </w:pPr>
      <w:r>
        <w:rPr>
          <w:rFonts w:hint="eastAsia" w:ascii="宋体" w:hAnsi="宋体"/>
          <w:color w:val="auto"/>
          <w:highlight w:val="none"/>
          <w:lang w:val="zh-CN"/>
        </w:rPr>
        <w:t>投标人（公章）：</w:t>
      </w:r>
    </w:p>
    <w:p>
      <w:pPr>
        <w:autoSpaceDE w:val="0"/>
        <w:autoSpaceDN w:val="0"/>
        <w:adjustRightInd w:val="0"/>
        <w:spacing w:line="360" w:lineRule="auto"/>
        <w:jc w:val="left"/>
        <w:rPr>
          <w:rFonts w:ascii="宋体" w:hAnsi="宋体"/>
          <w:color w:val="auto"/>
          <w:highlight w:val="none"/>
          <w:lang w:val="zh-CN"/>
        </w:rPr>
      </w:pPr>
      <w:r>
        <w:rPr>
          <w:rFonts w:hint="eastAsia" w:ascii="宋体" w:hAnsi="宋体"/>
          <w:color w:val="auto"/>
          <w:highlight w:val="none"/>
          <w:lang w:val="zh-CN"/>
        </w:rPr>
        <w:t>法定代表或授权代表（签字</w:t>
      </w:r>
      <w:r>
        <w:rPr>
          <w:rFonts w:hint="eastAsia" w:ascii="宋体" w:hAnsi="宋体"/>
          <w:color w:val="auto"/>
          <w:highlight w:val="none"/>
        </w:rPr>
        <w:t>或盖章</w:t>
      </w:r>
      <w:r>
        <w:rPr>
          <w:rFonts w:hint="eastAsia" w:ascii="宋体" w:hAnsi="宋体"/>
          <w:color w:val="auto"/>
          <w:highlight w:val="none"/>
          <w:lang w:val="zh-CN"/>
        </w:rPr>
        <w:t xml:space="preserve">）： </w:t>
      </w:r>
    </w:p>
    <w:p>
      <w:pPr>
        <w:autoSpaceDE w:val="0"/>
        <w:autoSpaceDN w:val="0"/>
        <w:adjustRightInd w:val="0"/>
        <w:spacing w:line="360" w:lineRule="auto"/>
        <w:ind w:firstLine="7035" w:firstLineChars="3350"/>
        <w:jc w:val="left"/>
        <w:rPr>
          <w:rFonts w:ascii="宋体" w:hAnsi="宋体"/>
          <w:color w:val="auto"/>
          <w:highlight w:val="none"/>
          <w:lang w:val="zh-CN"/>
        </w:rPr>
      </w:pPr>
    </w:p>
    <w:p>
      <w:pPr>
        <w:autoSpaceDE w:val="0"/>
        <w:autoSpaceDN w:val="0"/>
        <w:adjustRightInd w:val="0"/>
        <w:spacing w:line="360" w:lineRule="auto"/>
        <w:ind w:firstLine="7035" w:firstLineChars="3350"/>
        <w:jc w:val="left"/>
        <w:rPr>
          <w:rFonts w:hint="eastAsia" w:ascii="宋体" w:hAnsi="宋体"/>
          <w:color w:val="auto"/>
          <w:highlight w:val="none"/>
          <w:lang w:val="zh-CN"/>
        </w:rPr>
      </w:pPr>
      <w:r>
        <w:rPr>
          <w:rFonts w:hint="eastAsia" w:ascii="宋体" w:hAnsi="宋体"/>
          <w:color w:val="auto"/>
          <w:highlight w:val="none"/>
          <w:lang w:val="zh-CN"/>
        </w:rPr>
        <w:t>年  月   日</w:t>
      </w:r>
    </w:p>
    <w:p>
      <w:pPr>
        <w:rPr>
          <w:rFonts w:hint="eastAsia" w:ascii="宋体" w:hAnsi="宋体"/>
          <w:color w:val="auto"/>
          <w:highlight w:val="none"/>
          <w:lang w:val="zh-CN"/>
        </w:rPr>
      </w:pPr>
      <w:r>
        <w:rPr>
          <w:rFonts w:hint="eastAsia" w:ascii="宋体" w:hAnsi="宋体"/>
          <w:color w:val="auto"/>
          <w:highlight w:val="none"/>
          <w:lang w:val="zh-CN"/>
        </w:rPr>
        <w:br w:type="page"/>
      </w:r>
    </w:p>
    <w:p>
      <w:pPr>
        <w:snapToGrid w:val="0"/>
        <w:spacing w:beforeLines="50" w:after="50"/>
        <w:rPr>
          <w:rFonts w:hint="eastAsia" w:ascii="宋体"/>
          <w:color w:val="auto"/>
          <w:sz w:val="24"/>
          <w:szCs w:val="24"/>
          <w:highlight w:val="none"/>
        </w:rPr>
      </w:pPr>
      <w:r>
        <w:rPr>
          <w:rFonts w:hint="eastAsia" w:ascii="宋体"/>
          <w:color w:val="auto"/>
          <w:sz w:val="24"/>
          <w:szCs w:val="24"/>
          <w:highlight w:val="none"/>
          <w:lang w:val="en-US" w:eastAsia="zh-CN"/>
        </w:rPr>
        <w:t>9</w:t>
      </w:r>
      <w:r>
        <w:rPr>
          <w:rFonts w:hint="eastAsia" w:ascii="宋体"/>
          <w:color w:val="auto"/>
          <w:sz w:val="24"/>
          <w:szCs w:val="24"/>
          <w:highlight w:val="none"/>
        </w:rPr>
        <w:t>.商务条款响应表</w:t>
      </w:r>
    </w:p>
    <w:p>
      <w:pPr>
        <w:snapToGrid w:val="0"/>
        <w:spacing w:before="50" w:after="120" w:afterLines="50"/>
        <w:jc w:val="left"/>
        <w:rPr>
          <w:rFonts w:hint="eastAsia" w:ascii="宋体" w:hAnsi="宋体"/>
          <w:color w:val="auto"/>
          <w:szCs w:val="21"/>
          <w:highlight w:val="none"/>
        </w:rPr>
      </w:pPr>
      <w:r>
        <w:rPr>
          <w:rFonts w:hint="eastAsia" w:ascii="宋体" w:hAnsi="宋体"/>
          <w:color w:val="auto"/>
          <w:szCs w:val="21"/>
          <w:highlight w:val="none"/>
        </w:rPr>
        <w:t xml:space="preserve"> </w:t>
      </w:r>
    </w:p>
    <w:p>
      <w:pPr>
        <w:snapToGrid w:val="0"/>
        <w:spacing w:before="50"/>
        <w:jc w:val="left"/>
        <w:rPr>
          <w:rFonts w:hint="eastAsia" w:ascii="宋体" w:hAnsi="宋体"/>
          <w:color w:val="auto"/>
          <w:sz w:val="21"/>
          <w:szCs w:val="21"/>
          <w:highlight w:val="none"/>
        </w:rPr>
      </w:pPr>
      <w:r>
        <w:rPr>
          <w:rFonts w:hint="eastAsia" w:ascii="宋体" w:hAnsi="宋体"/>
          <w:color w:val="auto"/>
          <w:szCs w:val="21"/>
          <w:highlight w:val="none"/>
        </w:rPr>
        <w:t xml:space="preserve">                           </w:t>
      </w:r>
      <w:r>
        <w:rPr>
          <w:rFonts w:hint="eastAsia" w:ascii="宋体" w:hAnsi="宋体"/>
          <w:color w:val="auto"/>
          <w:sz w:val="21"/>
          <w:szCs w:val="21"/>
          <w:highlight w:val="none"/>
        </w:rPr>
        <w:t xml:space="preserve">  </w:t>
      </w:r>
      <w:r>
        <w:rPr>
          <w:rFonts w:hint="eastAsia" w:ascii="Times New Roman" w:hAnsi="Times New Roman" w:eastAsia="宋体" w:cs="Times New Roman"/>
          <w:b/>
          <w:color w:val="auto"/>
          <w:kern w:val="44"/>
          <w:sz w:val="24"/>
          <w:szCs w:val="24"/>
          <w:highlight w:val="none"/>
          <w:lang w:val="en-US" w:eastAsia="zh-CN" w:bidi="ar-SA"/>
        </w:rPr>
        <w:t>商务条款响应表</w:t>
      </w:r>
    </w:p>
    <w:p>
      <w:pPr>
        <w:snapToGrid w:val="0"/>
        <w:spacing w:before="50" w:after="50"/>
        <w:rPr>
          <w:rFonts w:hint="eastAsia" w:ascii="宋体" w:hAnsi="宋体"/>
          <w:color w:val="auto"/>
          <w:sz w:val="21"/>
          <w:szCs w:val="21"/>
          <w:highlight w:val="none"/>
        </w:rPr>
      </w:pPr>
    </w:p>
    <w:p>
      <w:pPr>
        <w:snapToGrid w:val="0"/>
        <w:spacing w:before="50" w:after="50"/>
        <w:rPr>
          <w:rFonts w:hint="eastAsia"/>
          <w:color w:val="auto"/>
          <w:sz w:val="21"/>
          <w:szCs w:val="21"/>
          <w:highlight w:val="none"/>
        </w:rPr>
      </w:pPr>
      <w:r>
        <w:rPr>
          <w:rFonts w:hint="eastAsia" w:ascii="宋体" w:hAnsi="宋体"/>
          <w:color w:val="auto"/>
          <w:sz w:val="21"/>
          <w:szCs w:val="21"/>
          <w:highlight w:val="none"/>
        </w:rPr>
        <w:t>项目编号：</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项目名称：</w:t>
      </w:r>
      <w:r>
        <w:rPr>
          <w:rFonts w:ascii="宋体" w:hAnsi="宋体"/>
          <w:color w:val="auto"/>
          <w:sz w:val="21"/>
          <w:szCs w:val="21"/>
          <w:highlight w:val="none"/>
          <w:u w:val="single"/>
        </w:rPr>
        <w:t xml:space="preserve">                    </w:t>
      </w:r>
      <w:r>
        <w:rPr>
          <w:rFonts w:hint="eastAsia" w:ascii="宋体" w:hAnsi="宋体"/>
          <w:color w:val="auto"/>
          <w:sz w:val="21"/>
          <w:szCs w:val="21"/>
          <w:highlight w:val="none"/>
        </w:rPr>
        <w:t>标段号：</w:t>
      </w:r>
      <w:r>
        <w:rPr>
          <w:rFonts w:hint="eastAsia" w:ascii="宋体" w:hAnsi="宋体"/>
          <w:color w:val="auto"/>
          <w:sz w:val="21"/>
          <w:szCs w:val="21"/>
          <w:highlight w:val="none"/>
          <w:u w:val="single"/>
        </w:rPr>
        <w:t xml:space="preserve">           </w:t>
      </w:r>
    </w:p>
    <w:tbl>
      <w:tblPr>
        <w:tblStyle w:val="22"/>
        <w:tblW w:w="878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34"/>
        <w:gridCol w:w="3685"/>
        <w:gridCol w:w="396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序号</w:t>
            </w:r>
          </w:p>
        </w:tc>
        <w:tc>
          <w:tcPr>
            <w:tcW w:w="368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宋体" w:hAnsi="宋体"/>
                <w:color w:val="auto"/>
                <w:sz w:val="21"/>
                <w:szCs w:val="21"/>
                <w:highlight w:val="none"/>
              </w:rPr>
            </w:pPr>
            <w:r>
              <w:rPr>
                <w:rFonts w:hint="eastAsia" w:ascii="宋体" w:hAnsi="宋体"/>
                <w:color w:val="auto"/>
                <w:sz w:val="21"/>
                <w:szCs w:val="21"/>
                <w:highlight w:val="none"/>
              </w:rPr>
              <w:t>招标文件要求</w:t>
            </w:r>
          </w:p>
        </w:tc>
        <w:tc>
          <w:tcPr>
            <w:tcW w:w="396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宋体" w:hAnsi="宋体"/>
                <w:color w:val="auto"/>
                <w:sz w:val="21"/>
                <w:szCs w:val="21"/>
                <w:highlight w:val="none"/>
              </w:rPr>
            </w:pPr>
            <w:r>
              <w:rPr>
                <w:rFonts w:ascii="宋体" w:hAnsi="宋体"/>
                <w:color w:val="auto"/>
                <w:sz w:val="21"/>
                <w:szCs w:val="21"/>
                <w:highlight w:val="none"/>
              </w:rPr>
              <w:t>投标文件的响应情况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2"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eastAsia"/>
                <w:b/>
                <w:bCs/>
                <w:color w:val="auto"/>
                <w:sz w:val="21"/>
                <w:szCs w:val="21"/>
                <w:highlight w:val="none"/>
              </w:rPr>
            </w:pPr>
          </w:p>
        </w:tc>
        <w:tc>
          <w:tcPr>
            <w:tcW w:w="3685" w:type="dxa"/>
            <w:tcBorders>
              <w:top w:val="single" w:color="auto" w:sz="4" w:space="0"/>
              <w:left w:val="single" w:color="auto" w:sz="4" w:space="0"/>
              <w:bottom w:val="single" w:color="auto" w:sz="4" w:space="0"/>
              <w:right w:val="single" w:color="auto" w:sz="4" w:space="0"/>
            </w:tcBorders>
            <w:vAlign w:val="top"/>
          </w:tcPr>
          <w:p>
            <w:pPr>
              <w:snapToGrid w:val="0"/>
              <w:spacing w:before="120" w:beforeLines="50"/>
              <w:rPr>
                <w:rFonts w:ascii="宋体" w:hAnsi="宋体"/>
                <w:color w:val="auto"/>
                <w:sz w:val="21"/>
                <w:szCs w:val="21"/>
                <w:highlight w:val="none"/>
              </w:rPr>
            </w:pPr>
          </w:p>
        </w:tc>
        <w:tc>
          <w:tcPr>
            <w:tcW w:w="396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宋体" w:hAnsi="宋体"/>
                <w:color w:val="auto"/>
                <w:sz w:val="21"/>
                <w:szCs w:val="21"/>
                <w:highlight w:val="none"/>
              </w:rPr>
            </w:pPr>
            <w:r>
              <w:rPr>
                <w:rFonts w:hint="eastAsia" w:ascii="宋体" w:hAnsi="宋体"/>
                <w:color w:val="auto"/>
                <w:sz w:val="21"/>
                <w:szCs w:val="21"/>
                <w:highlight w:val="none"/>
              </w:rPr>
              <w:t>（若响应招标文件要求，请填写“响应”）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1"/>
                <w:szCs w:val="21"/>
                <w:highlight w:val="none"/>
              </w:rPr>
            </w:pPr>
          </w:p>
        </w:tc>
        <w:tc>
          <w:tcPr>
            <w:tcW w:w="3685" w:type="dxa"/>
            <w:tcBorders>
              <w:top w:val="single" w:color="auto" w:sz="4" w:space="0"/>
              <w:left w:val="single" w:color="auto" w:sz="4" w:space="0"/>
              <w:bottom w:val="single" w:color="auto" w:sz="4" w:space="0"/>
              <w:right w:val="single" w:color="auto" w:sz="4" w:space="0"/>
            </w:tcBorders>
            <w:vAlign w:val="top"/>
          </w:tcPr>
          <w:p>
            <w:pPr>
              <w:snapToGrid w:val="0"/>
              <w:spacing w:before="120" w:beforeLines="50"/>
              <w:rPr>
                <w:rFonts w:ascii="宋体" w:hAnsi="宋体"/>
                <w:color w:val="auto"/>
                <w:sz w:val="21"/>
                <w:szCs w:val="21"/>
                <w:highlight w:val="none"/>
              </w:rPr>
            </w:pPr>
          </w:p>
        </w:tc>
        <w:tc>
          <w:tcPr>
            <w:tcW w:w="396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eastAsia"/>
                <w:b/>
                <w:color w:val="auto"/>
                <w:sz w:val="21"/>
                <w:szCs w:val="21"/>
                <w:highlight w:val="none"/>
              </w:rPr>
            </w:pPr>
          </w:p>
        </w:tc>
        <w:tc>
          <w:tcPr>
            <w:tcW w:w="3685" w:type="dxa"/>
            <w:tcBorders>
              <w:top w:val="single" w:color="auto" w:sz="4" w:space="0"/>
              <w:left w:val="single" w:color="auto" w:sz="4" w:space="0"/>
              <w:bottom w:val="single" w:color="auto" w:sz="4" w:space="0"/>
              <w:right w:val="single" w:color="auto" w:sz="4" w:space="0"/>
            </w:tcBorders>
            <w:vAlign w:val="top"/>
          </w:tcPr>
          <w:p>
            <w:pPr>
              <w:snapToGrid w:val="0"/>
              <w:spacing w:before="120" w:beforeLines="50"/>
              <w:rPr>
                <w:rFonts w:ascii="宋体" w:hAnsi="宋体"/>
                <w:color w:val="auto"/>
                <w:sz w:val="21"/>
                <w:szCs w:val="21"/>
                <w:highlight w:val="none"/>
              </w:rPr>
            </w:pPr>
          </w:p>
        </w:tc>
        <w:tc>
          <w:tcPr>
            <w:tcW w:w="3969" w:type="dxa"/>
            <w:tcBorders>
              <w:top w:val="single" w:color="auto" w:sz="4" w:space="0"/>
              <w:left w:val="single" w:color="auto" w:sz="4" w:space="0"/>
              <w:bottom w:val="single" w:color="auto" w:sz="4" w:space="0"/>
              <w:right w:val="single" w:color="auto" w:sz="4" w:space="0"/>
            </w:tcBorders>
            <w:vAlign w:val="top"/>
          </w:tcPr>
          <w:p>
            <w:pPr>
              <w:snapToGrid w:val="0"/>
              <w:spacing w:before="120" w:beforeLines="50"/>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before="120" w:beforeLines="50"/>
              <w:jc w:val="center"/>
              <w:rPr>
                <w:rFonts w:ascii="宋体" w:hAnsi="宋体"/>
                <w:color w:val="auto"/>
                <w:sz w:val="21"/>
                <w:szCs w:val="21"/>
                <w:highlight w:val="none"/>
              </w:rPr>
            </w:pPr>
          </w:p>
        </w:tc>
        <w:tc>
          <w:tcPr>
            <w:tcW w:w="3685" w:type="dxa"/>
            <w:tcBorders>
              <w:top w:val="single" w:color="auto" w:sz="4" w:space="0"/>
              <w:left w:val="single" w:color="auto" w:sz="4" w:space="0"/>
              <w:bottom w:val="single" w:color="auto" w:sz="4" w:space="0"/>
              <w:right w:val="single" w:color="auto" w:sz="4" w:space="0"/>
            </w:tcBorders>
            <w:vAlign w:val="center"/>
          </w:tcPr>
          <w:p>
            <w:pPr>
              <w:spacing w:before="120" w:beforeLines="50"/>
              <w:rPr>
                <w:rFonts w:ascii="宋体" w:hAnsi="宋体"/>
                <w:color w:val="auto"/>
                <w:sz w:val="21"/>
                <w:szCs w:val="21"/>
                <w:highlight w:val="none"/>
              </w:rPr>
            </w:pPr>
          </w:p>
        </w:tc>
        <w:tc>
          <w:tcPr>
            <w:tcW w:w="3969" w:type="dxa"/>
            <w:tcBorders>
              <w:top w:val="single" w:color="auto" w:sz="4" w:space="0"/>
              <w:left w:val="single" w:color="auto" w:sz="4" w:space="0"/>
              <w:bottom w:val="single" w:color="auto" w:sz="4" w:space="0"/>
              <w:right w:val="single" w:color="auto" w:sz="4" w:space="0"/>
            </w:tcBorders>
            <w:vAlign w:val="top"/>
          </w:tcPr>
          <w:p>
            <w:pPr>
              <w:snapToGrid w:val="0"/>
              <w:spacing w:before="120" w:beforeLines="50"/>
              <w:ind w:left="43"/>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before="120" w:beforeLines="50"/>
              <w:jc w:val="center"/>
              <w:rPr>
                <w:rFonts w:ascii="宋体" w:hAnsi="宋体"/>
                <w:color w:val="auto"/>
                <w:sz w:val="21"/>
                <w:szCs w:val="21"/>
                <w:highlight w:val="none"/>
              </w:rPr>
            </w:pPr>
          </w:p>
        </w:tc>
        <w:tc>
          <w:tcPr>
            <w:tcW w:w="3685" w:type="dxa"/>
            <w:tcBorders>
              <w:top w:val="single" w:color="auto" w:sz="4" w:space="0"/>
              <w:left w:val="single" w:color="auto" w:sz="4" w:space="0"/>
              <w:bottom w:val="single" w:color="auto" w:sz="4" w:space="0"/>
              <w:right w:val="single" w:color="auto" w:sz="4" w:space="0"/>
            </w:tcBorders>
            <w:vAlign w:val="center"/>
          </w:tcPr>
          <w:p>
            <w:pPr>
              <w:spacing w:before="120" w:beforeLines="50"/>
              <w:rPr>
                <w:rFonts w:ascii="宋体" w:hAnsi="宋体"/>
                <w:color w:val="auto"/>
                <w:sz w:val="21"/>
                <w:szCs w:val="21"/>
                <w:highlight w:val="none"/>
              </w:rPr>
            </w:pPr>
          </w:p>
        </w:tc>
        <w:tc>
          <w:tcPr>
            <w:tcW w:w="3969" w:type="dxa"/>
            <w:tcBorders>
              <w:top w:val="single" w:color="auto" w:sz="4" w:space="0"/>
              <w:left w:val="single" w:color="auto" w:sz="4" w:space="0"/>
              <w:bottom w:val="single" w:color="auto" w:sz="4" w:space="0"/>
              <w:right w:val="single" w:color="auto" w:sz="4" w:space="0"/>
            </w:tcBorders>
            <w:vAlign w:val="top"/>
          </w:tcPr>
          <w:p>
            <w:pPr>
              <w:snapToGrid w:val="0"/>
              <w:spacing w:before="120" w:beforeLines="50"/>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before="120" w:beforeLines="50"/>
              <w:jc w:val="center"/>
              <w:rPr>
                <w:rFonts w:ascii="宋体" w:hAnsi="宋体"/>
                <w:color w:val="auto"/>
                <w:sz w:val="21"/>
                <w:szCs w:val="21"/>
                <w:highlight w:val="none"/>
              </w:rPr>
            </w:pPr>
          </w:p>
        </w:tc>
        <w:tc>
          <w:tcPr>
            <w:tcW w:w="3685" w:type="dxa"/>
            <w:tcBorders>
              <w:top w:val="single" w:color="auto" w:sz="4" w:space="0"/>
              <w:left w:val="single" w:color="auto" w:sz="4" w:space="0"/>
              <w:bottom w:val="single" w:color="auto" w:sz="4" w:space="0"/>
              <w:right w:val="single" w:color="auto" w:sz="4" w:space="0"/>
            </w:tcBorders>
            <w:vAlign w:val="center"/>
          </w:tcPr>
          <w:p>
            <w:pPr>
              <w:spacing w:before="120" w:beforeLines="50"/>
              <w:rPr>
                <w:rFonts w:ascii="宋体" w:hAnsi="宋体"/>
                <w:color w:val="auto"/>
                <w:sz w:val="21"/>
                <w:szCs w:val="21"/>
                <w:highlight w:val="none"/>
              </w:rPr>
            </w:pPr>
          </w:p>
        </w:tc>
        <w:tc>
          <w:tcPr>
            <w:tcW w:w="3969" w:type="dxa"/>
            <w:tcBorders>
              <w:top w:val="single" w:color="auto" w:sz="4" w:space="0"/>
              <w:left w:val="single" w:color="auto" w:sz="4" w:space="0"/>
              <w:bottom w:val="single" w:color="auto" w:sz="4" w:space="0"/>
              <w:right w:val="single" w:color="auto" w:sz="4" w:space="0"/>
            </w:tcBorders>
            <w:vAlign w:val="top"/>
          </w:tcPr>
          <w:p>
            <w:pPr>
              <w:snapToGrid w:val="0"/>
              <w:spacing w:before="120" w:beforeLines="50"/>
              <w:rPr>
                <w:rFonts w:ascii="宋体" w:hAnsi="宋体"/>
                <w:color w:val="auto"/>
                <w:sz w:val="21"/>
                <w:szCs w:val="21"/>
                <w:highlight w:val="none"/>
              </w:rPr>
            </w:pPr>
          </w:p>
        </w:tc>
      </w:tr>
    </w:tbl>
    <w:p>
      <w:pPr>
        <w:snapToGrid w:val="0"/>
        <w:spacing w:before="50" w:after="120" w:afterLines="50"/>
        <w:jc w:val="left"/>
        <w:rPr>
          <w:rFonts w:hint="eastAsia" w:ascii="宋体" w:hAnsi="宋体"/>
          <w:color w:val="auto"/>
          <w:sz w:val="21"/>
          <w:szCs w:val="21"/>
          <w:highlight w:val="none"/>
        </w:rPr>
      </w:pPr>
      <w:r>
        <w:rPr>
          <w:rFonts w:hint="eastAsia" w:ascii="宋体" w:hAnsi="宋体"/>
          <w:color w:val="auto"/>
          <w:sz w:val="21"/>
          <w:szCs w:val="21"/>
          <w:highlight w:val="none"/>
        </w:rPr>
        <w:t>注：要求详见 第二章 采购需求 一、项目要求和第三章 投标人须知 前附表</w:t>
      </w:r>
      <w:r>
        <w:rPr>
          <w:rFonts w:hint="eastAsia" w:ascii="宋体" w:hAnsi="宋体"/>
          <w:color w:val="auto"/>
          <w:sz w:val="21"/>
          <w:szCs w:val="21"/>
          <w:highlight w:val="none"/>
          <w:lang w:eastAsia="zh-CN"/>
        </w:rPr>
        <w:t>，</w:t>
      </w:r>
      <w:r>
        <w:rPr>
          <w:rFonts w:hint="eastAsia" w:ascii="宋体" w:hAnsi="宋体"/>
          <w:color w:val="auto"/>
          <w:sz w:val="21"/>
          <w:szCs w:val="21"/>
          <w:highlight w:val="none"/>
        </w:rPr>
        <w:t>要求逐项响应和说明。</w:t>
      </w:r>
    </w:p>
    <w:p>
      <w:pPr>
        <w:snapToGrid w:val="0"/>
        <w:spacing w:before="50" w:after="120" w:afterLines="50"/>
        <w:jc w:val="left"/>
        <w:rPr>
          <w:rFonts w:hint="eastAsia" w:ascii="宋体" w:hAnsi="宋体"/>
          <w:color w:val="auto"/>
          <w:szCs w:val="21"/>
          <w:highlight w:val="none"/>
        </w:rPr>
      </w:pPr>
    </w:p>
    <w:p>
      <w:pPr>
        <w:autoSpaceDE w:val="0"/>
        <w:autoSpaceDN w:val="0"/>
        <w:adjustRightInd w:val="0"/>
        <w:spacing w:line="360" w:lineRule="auto"/>
        <w:jc w:val="left"/>
        <w:rPr>
          <w:rFonts w:hint="eastAsia"/>
          <w:color w:val="auto"/>
          <w:szCs w:val="21"/>
          <w:highlight w:val="none"/>
        </w:rPr>
      </w:pPr>
    </w:p>
    <w:p>
      <w:pPr>
        <w:pStyle w:val="2"/>
        <w:rPr>
          <w:rFonts w:hint="eastAsia"/>
          <w:color w:val="auto"/>
          <w:szCs w:val="21"/>
          <w:highlight w:val="none"/>
        </w:rPr>
      </w:pPr>
    </w:p>
    <w:p>
      <w:pPr>
        <w:rPr>
          <w:rFonts w:hint="eastAsia"/>
          <w:color w:val="auto"/>
          <w:szCs w:val="21"/>
          <w:highlight w:val="none"/>
        </w:rPr>
      </w:pPr>
    </w:p>
    <w:p>
      <w:pPr>
        <w:pStyle w:val="2"/>
        <w:rPr>
          <w:rFonts w:hint="eastAsia"/>
          <w:color w:val="auto"/>
          <w:szCs w:val="21"/>
          <w:highlight w:val="none"/>
        </w:rPr>
      </w:pPr>
    </w:p>
    <w:p>
      <w:pPr>
        <w:rPr>
          <w:rFonts w:hint="eastAsia"/>
        </w:rPr>
      </w:pPr>
    </w:p>
    <w:p>
      <w:pPr>
        <w:autoSpaceDE w:val="0"/>
        <w:autoSpaceDN w:val="0"/>
        <w:adjustRightInd w:val="0"/>
        <w:spacing w:line="360" w:lineRule="auto"/>
        <w:rPr>
          <w:rFonts w:ascii="宋体" w:hAnsi="宋体"/>
          <w:color w:val="auto"/>
          <w:highlight w:val="none"/>
          <w:lang w:val="zh-CN"/>
        </w:rPr>
      </w:pPr>
      <w:r>
        <w:rPr>
          <w:rFonts w:hint="eastAsia" w:ascii="宋体" w:hAnsi="宋体"/>
          <w:color w:val="auto"/>
          <w:highlight w:val="none"/>
          <w:lang w:val="zh-CN"/>
        </w:rPr>
        <w:t>投标人（公章）：</w:t>
      </w:r>
    </w:p>
    <w:p>
      <w:pPr>
        <w:autoSpaceDE w:val="0"/>
        <w:autoSpaceDN w:val="0"/>
        <w:adjustRightInd w:val="0"/>
        <w:spacing w:line="360" w:lineRule="auto"/>
        <w:jc w:val="left"/>
        <w:rPr>
          <w:rFonts w:ascii="宋体" w:hAnsi="宋体"/>
          <w:color w:val="auto"/>
          <w:highlight w:val="none"/>
          <w:lang w:val="zh-CN"/>
        </w:rPr>
      </w:pPr>
      <w:r>
        <w:rPr>
          <w:rFonts w:hint="eastAsia" w:ascii="宋体" w:hAnsi="宋体"/>
          <w:color w:val="auto"/>
          <w:highlight w:val="none"/>
          <w:lang w:val="zh-CN"/>
        </w:rPr>
        <w:t>法定代表或授权代表（签字</w:t>
      </w:r>
      <w:r>
        <w:rPr>
          <w:rFonts w:hint="eastAsia" w:ascii="宋体" w:hAnsi="宋体"/>
          <w:color w:val="auto"/>
          <w:highlight w:val="none"/>
        </w:rPr>
        <w:t>或盖章</w:t>
      </w:r>
      <w:r>
        <w:rPr>
          <w:rFonts w:hint="eastAsia" w:ascii="宋体" w:hAnsi="宋体"/>
          <w:color w:val="auto"/>
          <w:highlight w:val="none"/>
          <w:lang w:val="zh-CN"/>
        </w:rPr>
        <w:t xml:space="preserve">）： </w:t>
      </w:r>
    </w:p>
    <w:p>
      <w:pPr>
        <w:autoSpaceDE w:val="0"/>
        <w:autoSpaceDN w:val="0"/>
        <w:adjustRightInd w:val="0"/>
        <w:spacing w:line="360" w:lineRule="auto"/>
        <w:ind w:firstLine="7035" w:firstLineChars="3350"/>
        <w:jc w:val="left"/>
        <w:rPr>
          <w:rFonts w:ascii="宋体" w:hAnsi="宋体"/>
          <w:color w:val="auto"/>
          <w:highlight w:val="none"/>
          <w:lang w:val="zh-CN"/>
        </w:rPr>
      </w:pPr>
    </w:p>
    <w:p>
      <w:pPr>
        <w:autoSpaceDE w:val="0"/>
        <w:autoSpaceDN w:val="0"/>
        <w:adjustRightInd w:val="0"/>
        <w:spacing w:line="360" w:lineRule="auto"/>
        <w:ind w:firstLine="7035" w:firstLineChars="3350"/>
        <w:jc w:val="left"/>
        <w:rPr>
          <w:rFonts w:hint="eastAsia" w:ascii="宋体" w:hAnsi="宋体"/>
          <w:color w:val="auto"/>
          <w:highlight w:val="none"/>
          <w:lang w:val="zh-CN"/>
        </w:rPr>
      </w:pPr>
      <w:r>
        <w:rPr>
          <w:rFonts w:hint="eastAsia" w:ascii="宋体" w:hAnsi="宋体"/>
          <w:color w:val="auto"/>
          <w:highlight w:val="none"/>
          <w:lang w:val="zh-CN"/>
        </w:rPr>
        <w:t>年  月   日</w:t>
      </w:r>
    </w:p>
    <w:p>
      <w:pPr>
        <w:autoSpaceDE w:val="0"/>
        <w:autoSpaceDN w:val="0"/>
        <w:adjustRightInd w:val="0"/>
        <w:spacing w:line="360" w:lineRule="auto"/>
        <w:jc w:val="left"/>
        <w:rPr>
          <w:rFonts w:hint="eastAsia"/>
          <w:color w:val="auto"/>
          <w:szCs w:val="21"/>
          <w:highlight w:val="none"/>
        </w:rPr>
      </w:pPr>
    </w:p>
    <w:p>
      <w:pPr>
        <w:autoSpaceDE w:val="0"/>
        <w:autoSpaceDN w:val="0"/>
        <w:adjustRightInd w:val="0"/>
        <w:spacing w:line="360" w:lineRule="auto"/>
        <w:jc w:val="left"/>
        <w:rPr>
          <w:rFonts w:hint="eastAsia"/>
          <w:color w:val="auto"/>
          <w:szCs w:val="21"/>
          <w:highlight w:val="none"/>
        </w:rPr>
      </w:pPr>
    </w:p>
    <w:p>
      <w:pPr>
        <w:pStyle w:val="2"/>
        <w:rPr>
          <w:rFonts w:hint="eastAsia"/>
          <w:color w:val="auto"/>
          <w:szCs w:val="21"/>
          <w:highlight w:val="none"/>
        </w:rPr>
      </w:pPr>
    </w:p>
    <w:p>
      <w:pPr>
        <w:rPr>
          <w:rFonts w:hint="eastAsia"/>
          <w:color w:val="auto"/>
          <w:szCs w:val="21"/>
          <w:highlight w:val="none"/>
        </w:rPr>
      </w:pPr>
    </w:p>
    <w:p>
      <w:pPr>
        <w:pStyle w:val="2"/>
        <w:rPr>
          <w:rFonts w:hint="eastAsia"/>
          <w:color w:val="auto"/>
          <w:szCs w:val="21"/>
          <w:highlight w:val="none"/>
        </w:rPr>
      </w:pPr>
    </w:p>
    <w:p>
      <w:pPr>
        <w:rPr>
          <w:rFonts w:hint="eastAsia"/>
          <w:color w:val="auto"/>
          <w:szCs w:val="21"/>
          <w:highlight w:val="none"/>
        </w:rPr>
      </w:pPr>
    </w:p>
    <w:p>
      <w:pPr>
        <w:pStyle w:val="2"/>
        <w:rPr>
          <w:rFonts w:hint="eastAsia"/>
          <w:color w:val="auto"/>
          <w:szCs w:val="21"/>
          <w:highlight w:val="none"/>
        </w:rPr>
      </w:pPr>
    </w:p>
    <w:p>
      <w:pPr>
        <w:rPr>
          <w:rFonts w:hint="eastAsia"/>
          <w:color w:val="auto"/>
          <w:szCs w:val="21"/>
          <w:highlight w:val="none"/>
        </w:rPr>
      </w:pPr>
    </w:p>
    <w:p>
      <w:pPr>
        <w:pStyle w:val="2"/>
        <w:rPr>
          <w:rFonts w:hint="eastAsia"/>
          <w:color w:val="auto"/>
          <w:szCs w:val="21"/>
          <w:highlight w:val="none"/>
        </w:rPr>
      </w:pPr>
    </w:p>
    <w:p>
      <w:pPr>
        <w:rPr>
          <w:rFonts w:hint="eastAsia"/>
          <w:color w:val="auto"/>
          <w:szCs w:val="21"/>
          <w:highlight w:val="none"/>
        </w:rPr>
      </w:pPr>
    </w:p>
    <w:p>
      <w:pPr>
        <w:pStyle w:val="2"/>
        <w:rPr>
          <w:rFonts w:hint="eastAsia"/>
        </w:rPr>
      </w:pPr>
    </w:p>
    <w:p>
      <w:pPr>
        <w:autoSpaceDE w:val="0"/>
        <w:autoSpaceDN w:val="0"/>
        <w:adjustRightInd w:val="0"/>
        <w:spacing w:line="360" w:lineRule="auto"/>
        <w:jc w:val="left"/>
        <w:rPr>
          <w:rFonts w:hint="eastAsia"/>
          <w:color w:val="auto"/>
          <w:szCs w:val="21"/>
          <w:highlight w:val="none"/>
        </w:rPr>
      </w:pPr>
    </w:p>
    <w:p>
      <w:pPr>
        <w:snapToGrid w:val="0"/>
        <w:spacing w:beforeLines="50" w:after="50"/>
        <w:rPr>
          <w:rFonts w:hint="eastAsia" w:ascii="宋体"/>
          <w:color w:val="auto"/>
          <w:sz w:val="24"/>
          <w:szCs w:val="24"/>
          <w:highlight w:val="none"/>
          <w:lang w:val="en-US" w:eastAsia="zh-CN"/>
        </w:rPr>
      </w:pPr>
      <w:r>
        <w:rPr>
          <w:rFonts w:hint="eastAsia" w:ascii="宋体"/>
          <w:color w:val="auto"/>
          <w:sz w:val="24"/>
          <w:szCs w:val="24"/>
          <w:highlight w:val="none"/>
          <w:lang w:val="en-US" w:eastAsia="zh-CN"/>
        </w:rPr>
        <w:t>10.拟投入本标段设施设备、材料配置清单</w:t>
      </w:r>
    </w:p>
    <w:p>
      <w:pPr>
        <w:pStyle w:val="21"/>
        <w:rPr>
          <w:rFonts w:hint="eastAsia" w:ascii="宋体" w:hAnsi="宋体"/>
          <w:color w:val="auto"/>
          <w:sz w:val="24"/>
          <w:szCs w:val="24"/>
          <w:highlight w:val="none"/>
        </w:rPr>
      </w:pPr>
    </w:p>
    <w:p>
      <w:pPr>
        <w:pStyle w:val="21"/>
        <w:rPr>
          <w:rFonts w:hint="eastAsia"/>
          <w:color w:val="auto"/>
          <w:sz w:val="24"/>
          <w:szCs w:val="24"/>
          <w:highlight w:val="none"/>
        </w:rPr>
      </w:pPr>
      <w:r>
        <w:rPr>
          <w:rFonts w:hint="eastAsia" w:ascii="Times New Roman" w:hAnsi="Times New Roman" w:eastAsia="宋体" w:cs="Times New Roman"/>
          <w:b/>
          <w:color w:val="auto"/>
          <w:kern w:val="44"/>
          <w:sz w:val="24"/>
          <w:szCs w:val="24"/>
          <w:highlight w:val="none"/>
          <w:lang w:val="en-US" w:eastAsia="zh-CN" w:bidi="ar-SA"/>
        </w:rPr>
        <w:t>（1）拟投入本标段水质提升的设施设备、材料配置清单</w:t>
      </w:r>
    </w:p>
    <w:p>
      <w:pPr>
        <w:snapToGrid w:val="0"/>
        <w:spacing w:before="50" w:after="50"/>
        <w:rPr>
          <w:rFonts w:hint="eastAsia"/>
          <w:color w:val="auto"/>
          <w:sz w:val="21"/>
          <w:szCs w:val="21"/>
          <w:highlight w:val="none"/>
        </w:rPr>
      </w:pPr>
      <w:r>
        <w:rPr>
          <w:rFonts w:hint="eastAsia" w:ascii="宋体" w:hAnsi="宋体"/>
          <w:color w:val="auto"/>
          <w:sz w:val="21"/>
          <w:szCs w:val="21"/>
          <w:highlight w:val="none"/>
        </w:rPr>
        <w:t>项目编号：</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项目名称：</w:t>
      </w:r>
      <w:r>
        <w:rPr>
          <w:rFonts w:ascii="宋体" w:hAnsi="宋体"/>
          <w:color w:val="auto"/>
          <w:sz w:val="21"/>
          <w:szCs w:val="21"/>
          <w:highlight w:val="none"/>
          <w:u w:val="single"/>
        </w:rPr>
        <w:t xml:space="preserve">                    </w:t>
      </w:r>
      <w:r>
        <w:rPr>
          <w:rFonts w:hint="eastAsia" w:ascii="宋体" w:hAnsi="宋体"/>
          <w:color w:val="auto"/>
          <w:sz w:val="21"/>
          <w:szCs w:val="21"/>
          <w:highlight w:val="none"/>
        </w:rPr>
        <w:t>标段号：</w:t>
      </w:r>
      <w:r>
        <w:rPr>
          <w:rFonts w:hint="eastAsia" w:ascii="宋体" w:hAnsi="宋体"/>
          <w:color w:val="auto"/>
          <w:sz w:val="21"/>
          <w:szCs w:val="21"/>
          <w:highlight w:val="none"/>
          <w:u w:val="single"/>
        </w:rPr>
        <w:t xml:space="preserve">           </w:t>
      </w:r>
    </w:p>
    <w:tbl>
      <w:tblPr>
        <w:tblStyle w:val="22"/>
        <w:tblW w:w="85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4"/>
        <w:gridCol w:w="2189"/>
        <w:gridCol w:w="1641"/>
        <w:gridCol w:w="2369"/>
        <w:gridCol w:w="10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7" w:hRule="atLeast"/>
        </w:trPr>
        <w:tc>
          <w:tcPr>
            <w:tcW w:w="1234" w:type="dxa"/>
            <w:vAlign w:val="center"/>
          </w:tcPr>
          <w:p>
            <w:pPr>
              <w:snapToGrid w:val="0"/>
              <w:spacing w:before="50" w:after="120" w:afterLines="50"/>
              <w:jc w:val="center"/>
              <w:rPr>
                <w:rFonts w:ascii="宋体" w:hAnsi="宋体"/>
                <w:color w:val="auto"/>
                <w:sz w:val="21"/>
                <w:szCs w:val="21"/>
                <w:highlight w:val="none"/>
              </w:rPr>
            </w:pPr>
            <w:r>
              <w:rPr>
                <w:rFonts w:hint="eastAsia" w:ascii="宋体" w:hAnsi="宋体"/>
                <w:color w:val="auto"/>
                <w:sz w:val="21"/>
                <w:szCs w:val="21"/>
                <w:highlight w:val="none"/>
              </w:rPr>
              <w:t>序号</w:t>
            </w:r>
          </w:p>
        </w:tc>
        <w:tc>
          <w:tcPr>
            <w:tcW w:w="2189" w:type="dxa"/>
            <w:vAlign w:val="center"/>
          </w:tcPr>
          <w:p>
            <w:pPr>
              <w:snapToGrid w:val="0"/>
              <w:spacing w:before="50" w:after="120" w:afterLines="50"/>
              <w:jc w:val="center"/>
              <w:rPr>
                <w:rFonts w:ascii="宋体" w:hAnsi="宋体"/>
                <w:color w:val="auto"/>
                <w:sz w:val="21"/>
                <w:szCs w:val="21"/>
                <w:highlight w:val="none"/>
              </w:rPr>
            </w:pPr>
            <w:r>
              <w:rPr>
                <w:rFonts w:hint="eastAsia" w:ascii="宋体" w:hAnsi="宋体"/>
                <w:color w:val="auto"/>
                <w:sz w:val="21"/>
                <w:szCs w:val="21"/>
                <w:highlight w:val="none"/>
              </w:rPr>
              <w:t>设施设备、材料名称</w:t>
            </w:r>
          </w:p>
        </w:tc>
        <w:tc>
          <w:tcPr>
            <w:tcW w:w="1641" w:type="dxa"/>
            <w:tcBorders>
              <w:right w:val="single" w:color="auto" w:sz="4" w:space="0"/>
            </w:tcBorders>
            <w:vAlign w:val="center"/>
          </w:tcPr>
          <w:p>
            <w:pPr>
              <w:snapToGrid w:val="0"/>
              <w:spacing w:before="50" w:after="120" w:afterLines="50"/>
              <w:jc w:val="center"/>
              <w:rPr>
                <w:rFonts w:hint="eastAsia" w:ascii="宋体" w:hAnsi="宋体"/>
                <w:color w:val="auto"/>
                <w:sz w:val="21"/>
                <w:szCs w:val="21"/>
                <w:highlight w:val="none"/>
              </w:rPr>
            </w:pPr>
            <w:r>
              <w:rPr>
                <w:rFonts w:hint="eastAsia" w:ascii="宋体" w:hAnsi="宋体"/>
                <w:color w:val="auto"/>
                <w:sz w:val="21"/>
                <w:szCs w:val="21"/>
                <w:highlight w:val="none"/>
              </w:rPr>
              <w:t>数量</w:t>
            </w:r>
          </w:p>
        </w:tc>
        <w:tc>
          <w:tcPr>
            <w:tcW w:w="2369" w:type="dxa"/>
            <w:tcBorders>
              <w:left w:val="single" w:color="auto" w:sz="4" w:space="0"/>
            </w:tcBorders>
            <w:vAlign w:val="center"/>
          </w:tcPr>
          <w:p>
            <w:pPr>
              <w:snapToGrid w:val="0"/>
              <w:spacing w:before="50" w:after="120" w:afterLines="50"/>
              <w:jc w:val="center"/>
              <w:rPr>
                <w:rFonts w:hint="eastAsia" w:ascii="宋体" w:hAnsi="宋体"/>
                <w:color w:val="auto"/>
                <w:sz w:val="21"/>
                <w:szCs w:val="21"/>
                <w:highlight w:val="none"/>
              </w:rPr>
            </w:pPr>
            <w:r>
              <w:rPr>
                <w:rFonts w:hint="eastAsia" w:ascii="宋体" w:hAnsi="宋体"/>
                <w:color w:val="auto"/>
                <w:sz w:val="21"/>
                <w:szCs w:val="21"/>
                <w:highlight w:val="none"/>
              </w:rPr>
              <w:t>品牌、规格型号</w:t>
            </w:r>
          </w:p>
        </w:tc>
        <w:tc>
          <w:tcPr>
            <w:tcW w:w="1095" w:type="dxa"/>
            <w:vAlign w:val="center"/>
          </w:tcPr>
          <w:p>
            <w:pPr>
              <w:snapToGrid w:val="0"/>
              <w:spacing w:before="50" w:after="120" w:afterLines="50"/>
              <w:jc w:val="center"/>
              <w:rPr>
                <w:rFonts w:ascii="宋体" w:hAnsi="宋体"/>
                <w:color w:val="auto"/>
                <w:sz w:val="21"/>
                <w:szCs w:val="21"/>
                <w:highlight w:val="none"/>
              </w:rPr>
            </w:pPr>
            <w:r>
              <w:rPr>
                <w:rFonts w:hint="eastAsia" w:ascii="宋体" w:hAnsi="宋体"/>
                <w:color w:val="auto"/>
                <w:sz w:val="21"/>
                <w:szCs w:val="21"/>
                <w:highlight w:val="none"/>
              </w:rPr>
              <w:t>用途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4" w:type="dxa"/>
            <w:vAlign w:val="top"/>
          </w:tcPr>
          <w:p>
            <w:pPr>
              <w:snapToGrid w:val="0"/>
              <w:spacing w:before="50" w:after="120" w:afterLines="50"/>
              <w:jc w:val="left"/>
              <w:rPr>
                <w:rFonts w:ascii="宋体" w:hAnsi="宋体"/>
                <w:color w:val="auto"/>
                <w:sz w:val="21"/>
                <w:szCs w:val="21"/>
                <w:highlight w:val="none"/>
              </w:rPr>
            </w:pPr>
          </w:p>
        </w:tc>
        <w:tc>
          <w:tcPr>
            <w:tcW w:w="2189" w:type="dxa"/>
            <w:vAlign w:val="top"/>
          </w:tcPr>
          <w:p>
            <w:pPr>
              <w:snapToGrid w:val="0"/>
              <w:spacing w:before="50" w:after="120" w:afterLines="50"/>
              <w:jc w:val="left"/>
              <w:rPr>
                <w:rFonts w:ascii="宋体" w:hAnsi="宋体"/>
                <w:color w:val="auto"/>
                <w:sz w:val="21"/>
                <w:szCs w:val="21"/>
                <w:highlight w:val="none"/>
              </w:rPr>
            </w:pPr>
          </w:p>
        </w:tc>
        <w:tc>
          <w:tcPr>
            <w:tcW w:w="1641" w:type="dxa"/>
            <w:tcBorders>
              <w:right w:val="single" w:color="auto" w:sz="4" w:space="0"/>
            </w:tcBorders>
            <w:vAlign w:val="top"/>
          </w:tcPr>
          <w:p>
            <w:pPr>
              <w:snapToGrid w:val="0"/>
              <w:spacing w:before="50" w:after="120" w:afterLines="50"/>
              <w:jc w:val="left"/>
              <w:rPr>
                <w:rFonts w:ascii="宋体" w:hAnsi="宋体"/>
                <w:color w:val="auto"/>
                <w:sz w:val="21"/>
                <w:szCs w:val="21"/>
                <w:highlight w:val="none"/>
              </w:rPr>
            </w:pPr>
          </w:p>
        </w:tc>
        <w:tc>
          <w:tcPr>
            <w:tcW w:w="2369" w:type="dxa"/>
            <w:tcBorders>
              <w:left w:val="single" w:color="auto" w:sz="4" w:space="0"/>
            </w:tcBorders>
            <w:vAlign w:val="top"/>
          </w:tcPr>
          <w:p>
            <w:pPr>
              <w:snapToGrid w:val="0"/>
              <w:spacing w:before="50" w:after="120" w:afterLines="50"/>
              <w:jc w:val="left"/>
              <w:rPr>
                <w:rFonts w:ascii="宋体" w:hAnsi="宋体"/>
                <w:color w:val="auto"/>
                <w:sz w:val="21"/>
                <w:szCs w:val="21"/>
                <w:highlight w:val="none"/>
              </w:rPr>
            </w:pPr>
          </w:p>
        </w:tc>
        <w:tc>
          <w:tcPr>
            <w:tcW w:w="1095" w:type="dxa"/>
            <w:vAlign w:val="top"/>
          </w:tcPr>
          <w:p>
            <w:pPr>
              <w:snapToGrid w:val="0"/>
              <w:spacing w:before="50" w:after="120" w:afterLines="50"/>
              <w:jc w:val="left"/>
              <w:rPr>
                <w:rFonts w:ascii="宋体" w:hAnsi="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4" w:type="dxa"/>
            <w:vAlign w:val="top"/>
          </w:tcPr>
          <w:p>
            <w:pPr>
              <w:snapToGrid w:val="0"/>
              <w:spacing w:before="50" w:after="120" w:afterLines="50"/>
              <w:jc w:val="left"/>
              <w:rPr>
                <w:rFonts w:ascii="宋体" w:hAnsi="宋体"/>
                <w:color w:val="auto"/>
                <w:sz w:val="21"/>
                <w:szCs w:val="21"/>
                <w:highlight w:val="none"/>
              </w:rPr>
            </w:pPr>
          </w:p>
        </w:tc>
        <w:tc>
          <w:tcPr>
            <w:tcW w:w="2189" w:type="dxa"/>
            <w:vAlign w:val="top"/>
          </w:tcPr>
          <w:p>
            <w:pPr>
              <w:snapToGrid w:val="0"/>
              <w:spacing w:before="50" w:after="120" w:afterLines="50"/>
              <w:jc w:val="left"/>
              <w:rPr>
                <w:rFonts w:ascii="宋体" w:hAnsi="宋体"/>
                <w:color w:val="auto"/>
                <w:sz w:val="21"/>
                <w:szCs w:val="21"/>
                <w:highlight w:val="none"/>
              </w:rPr>
            </w:pPr>
          </w:p>
        </w:tc>
        <w:tc>
          <w:tcPr>
            <w:tcW w:w="1641" w:type="dxa"/>
            <w:tcBorders>
              <w:right w:val="single" w:color="auto" w:sz="4" w:space="0"/>
            </w:tcBorders>
            <w:vAlign w:val="top"/>
          </w:tcPr>
          <w:p>
            <w:pPr>
              <w:snapToGrid w:val="0"/>
              <w:spacing w:before="50" w:after="120" w:afterLines="50"/>
              <w:jc w:val="left"/>
              <w:rPr>
                <w:rFonts w:ascii="宋体" w:hAnsi="宋体"/>
                <w:color w:val="auto"/>
                <w:sz w:val="21"/>
                <w:szCs w:val="21"/>
                <w:highlight w:val="none"/>
              </w:rPr>
            </w:pPr>
          </w:p>
        </w:tc>
        <w:tc>
          <w:tcPr>
            <w:tcW w:w="2369" w:type="dxa"/>
            <w:tcBorders>
              <w:left w:val="single" w:color="auto" w:sz="4" w:space="0"/>
            </w:tcBorders>
            <w:vAlign w:val="top"/>
          </w:tcPr>
          <w:p>
            <w:pPr>
              <w:snapToGrid w:val="0"/>
              <w:spacing w:before="50" w:after="120" w:afterLines="50"/>
              <w:jc w:val="left"/>
              <w:rPr>
                <w:rFonts w:ascii="宋体" w:hAnsi="宋体"/>
                <w:color w:val="auto"/>
                <w:sz w:val="21"/>
                <w:szCs w:val="21"/>
                <w:highlight w:val="none"/>
              </w:rPr>
            </w:pPr>
          </w:p>
        </w:tc>
        <w:tc>
          <w:tcPr>
            <w:tcW w:w="1095" w:type="dxa"/>
            <w:vAlign w:val="top"/>
          </w:tcPr>
          <w:p>
            <w:pPr>
              <w:snapToGrid w:val="0"/>
              <w:spacing w:before="50" w:after="120" w:afterLines="50"/>
              <w:jc w:val="left"/>
              <w:rPr>
                <w:rFonts w:ascii="宋体" w:hAnsi="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4" w:type="dxa"/>
            <w:vAlign w:val="top"/>
          </w:tcPr>
          <w:p>
            <w:pPr>
              <w:snapToGrid w:val="0"/>
              <w:spacing w:before="50" w:after="120" w:afterLines="50"/>
              <w:jc w:val="left"/>
              <w:rPr>
                <w:rFonts w:ascii="宋体" w:hAnsi="宋体"/>
                <w:color w:val="auto"/>
                <w:sz w:val="21"/>
                <w:szCs w:val="21"/>
                <w:highlight w:val="none"/>
              </w:rPr>
            </w:pPr>
          </w:p>
        </w:tc>
        <w:tc>
          <w:tcPr>
            <w:tcW w:w="2189" w:type="dxa"/>
            <w:vAlign w:val="top"/>
          </w:tcPr>
          <w:p>
            <w:pPr>
              <w:snapToGrid w:val="0"/>
              <w:spacing w:before="50" w:after="120" w:afterLines="50"/>
              <w:jc w:val="left"/>
              <w:rPr>
                <w:rFonts w:ascii="宋体" w:hAnsi="宋体"/>
                <w:color w:val="auto"/>
                <w:sz w:val="21"/>
                <w:szCs w:val="21"/>
                <w:highlight w:val="none"/>
              </w:rPr>
            </w:pPr>
          </w:p>
        </w:tc>
        <w:tc>
          <w:tcPr>
            <w:tcW w:w="1641" w:type="dxa"/>
            <w:tcBorders>
              <w:right w:val="single" w:color="auto" w:sz="4" w:space="0"/>
            </w:tcBorders>
            <w:vAlign w:val="top"/>
          </w:tcPr>
          <w:p>
            <w:pPr>
              <w:snapToGrid w:val="0"/>
              <w:spacing w:before="50" w:after="120" w:afterLines="50"/>
              <w:jc w:val="left"/>
              <w:rPr>
                <w:rFonts w:ascii="宋体" w:hAnsi="宋体"/>
                <w:color w:val="auto"/>
                <w:sz w:val="21"/>
                <w:szCs w:val="21"/>
                <w:highlight w:val="none"/>
              </w:rPr>
            </w:pPr>
          </w:p>
        </w:tc>
        <w:tc>
          <w:tcPr>
            <w:tcW w:w="2369" w:type="dxa"/>
            <w:tcBorders>
              <w:left w:val="single" w:color="auto" w:sz="4" w:space="0"/>
            </w:tcBorders>
            <w:vAlign w:val="top"/>
          </w:tcPr>
          <w:p>
            <w:pPr>
              <w:snapToGrid w:val="0"/>
              <w:spacing w:before="50" w:after="120" w:afterLines="50"/>
              <w:jc w:val="left"/>
              <w:rPr>
                <w:rFonts w:ascii="宋体" w:hAnsi="宋体"/>
                <w:color w:val="auto"/>
                <w:sz w:val="21"/>
                <w:szCs w:val="21"/>
                <w:highlight w:val="none"/>
              </w:rPr>
            </w:pPr>
          </w:p>
        </w:tc>
        <w:tc>
          <w:tcPr>
            <w:tcW w:w="1095" w:type="dxa"/>
            <w:vAlign w:val="top"/>
          </w:tcPr>
          <w:p>
            <w:pPr>
              <w:snapToGrid w:val="0"/>
              <w:spacing w:before="50" w:after="120" w:afterLines="50"/>
              <w:jc w:val="left"/>
              <w:rPr>
                <w:rFonts w:ascii="宋体" w:hAnsi="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4" w:type="dxa"/>
            <w:vAlign w:val="top"/>
          </w:tcPr>
          <w:p>
            <w:pPr>
              <w:snapToGrid w:val="0"/>
              <w:spacing w:before="50" w:after="120" w:afterLines="50"/>
              <w:jc w:val="left"/>
              <w:rPr>
                <w:rFonts w:ascii="宋体" w:hAnsi="宋体"/>
                <w:color w:val="auto"/>
                <w:sz w:val="21"/>
                <w:szCs w:val="21"/>
                <w:highlight w:val="none"/>
              </w:rPr>
            </w:pPr>
          </w:p>
        </w:tc>
        <w:tc>
          <w:tcPr>
            <w:tcW w:w="2189" w:type="dxa"/>
            <w:vAlign w:val="top"/>
          </w:tcPr>
          <w:p>
            <w:pPr>
              <w:snapToGrid w:val="0"/>
              <w:spacing w:before="50" w:after="120" w:afterLines="50"/>
              <w:jc w:val="left"/>
              <w:rPr>
                <w:rFonts w:ascii="宋体" w:hAnsi="宋体"/>
                <w:color w:val="auto"/>
                <w:sz w:val="21"/>
                <w:szCs w:val="21"/>
                <w:highlight w:val="none"/>
              </w:rPr>
            </w:pPr>
          </w:p>
        </w:tc>
        <w:tc>
          <w:tcPr>
            <w:tcW w:w="1641" w:type="dxa"/>
            <w:tcBorders>
              <w:right w:val="single" w:color="auto" w:sz="4" w:space="0"/>
            </w:tcBorders>
            <w:vAlign w:val="top"/>
          </w:tcPr>
          <w:p>
            <w:pPr>
              <w:snapToGrid w:val="0"/>
              <w:spacing w:before="50" w:after="120" w:afterLines="50"/>
              <w:jc w:val="left"/>
              <w:rPr>
                <w:rFonts w:ascii="宋体" w:hAnsi="宋体"/>
                <w:color w:val="auto"/>
                <w:sz w:val="21"/>
                <w:szCs w:val="21"/>
                <w:highlight w:val="none"/>
              </w:rPr>
            </w:pPr>
          </w:p>
        </w:tc>
        <w:tc>
          <w:tcPr>
            <w:tcW w:w="2369" w:type="dxa"/>
            <w:tcBorders>
              <w:left w:val="single" w:color="auto" w:sz="4" w:space="0"/>
            </w:tcBorders>
            <w:vAlign w:val="top"/>
          </w:tcPr>
          <w:p>
            <w:pPr>
              <w:snapToGrid w:val="0"/>
              <w:spacing w:before="50" w:after="120" w:afterLines="50"/>
              <w:jc w:val="left"/>
              <w:rPr>
                <w:rFonts w:ascii="宋体" w:hAnsi="宋体"/>
                <w:color w:val="auto"/>
                <w:sz w:val="21"/>
                <w:szCs w:val="21"/>
                <w:highlight w:val="none"/>
              </w:rPr>
            </w:pPr>
          </w:p>
        </w:tc>
        <w:tc>
          <w:tcPr>
            <w:tcW w:w="1095" w:type="dxa"/>
            <w:vAlign w:val="top"/>
          </w:tcPr>
          <w:p>
            <w:pPr>
              <w:snapToGrid w:val="0"/>
              <w:spacing w:before="50" w:after="120" w:afterLines="50"/>
              <w:jc w:val="left"/>
              <w:rPr>
                <w:rFonts w:ascii="宋体" w:hAnsi="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4" w:type="dxa"/>
            <w:vAlign w:val="top"/>
          </w:tcPr>
          <w:p>
            <w:pPr>
              <w:snapToGrid w:val="0"/>
              <w:spacing w:before="50" w:after="120" w:afterLines="50"/>
              <w:jc w:val="left"/>
              <w:rPr>
                <w:rFonts w:ascii="宋体" w:hAnsi="宋体"/>
                <w:color w:val="auto"/>
                <w:sz w:val="21"/>
                <w:szCs w:val="21"/>
                <w:highlight w:val="none"/>
              </w:rPr>
            </w:pPr>
          </w:p>
        </w:tc>
        <w:tc>
          <w:tcPr>
            <w:tcW w:w="2189" w:type="dxa"/>
            <w:vAlign w:val="top"/>
          </w:tcPr>
          <w:p>
            <w:pPr>
              <w:snapToGrid w:val="0"/>
              <w:spacing w:before="50" w:after="120" w:afterLines="50"/>
              <w:jc w:val="left"/>
              <w:rPr>
                <w:rFonts w:ascii="宋体" w:hAnsi="宋体"/>
                <w:color w:val="auto"/>
                <w:sz w:val="21"/>
                <w:szCs w:val="21"/>
                <w:highlight w:val="none"/>
              </w:rPr>
            </w:pPr>
          </w:p>
        </w:tc>
        <w:tc>
          <w:tcPr>
            <w:tcW w:w="1641" w:type="dxa"/>
            <w:tcBorders>
              <w:right w:val="single" w:color="auto" w:sz="4" w:space="0"/>
            </w:tcBorders>
            <w:vAlign w:val="top"/>
          </w:tcPr>
          <w:p>
            <w:pPr>
              <w:snapToGrid w:val="0"/>
              <w:spacing w:before="50" w:after="120" w:afterLines="50"/>
              <w:jc w:val="left"/>
              <w:rPr>
                <w:rFonts w:ascii="宋体" w:hAnsi="宋体"/>
                <w:color w:val="auto"/>
                <w:sz w:val="21"/>
                <w:szCs w:val="21"/>
                <w:highlight w:val="none"/>
              </w:rPr>
            </w:pPr>
          </w:p>
        </w:tc>
        <w:tc>
          <w:tcPr>
            <w:tcW w:w="2369" w:type="dxa"/>
            <w:tcBorders>
              <w:left w:val="single" w:color="auto" w:sz="4" w:space="0"/>
            </w:tcBorders>
            <w:vAlign w:val="top"/>
          </w:tcPr>
          <w:p>
            <w:pPr>
              <w:snapToGrid w:val="0"/>
              <w:spacing w:before="50" w:after="120" w:afterLines="50"/>
              <w:jc w:val="left"/>
              <w:rPr>
                <w:rFonts w:ascii="宋体" w:hAnsi="宋体"/>
                <w:color w:val="auto"/>
                <w:sz w:val="21"/>
                <w:szCs w:val="21"/>
                <w:highlight w:val="none"/>
              </w:rPr>
            </w:pPr>
          </w:p>
        </w:tc>
        <w:tc>
          <w:tcPr>
            <w:tcW w:w="1095" w:type="dxa"/>
            <w:vAlign w:val="top"/>
          </w:tcPr>
          <w:p>
            <w:pPr>
              <w:snapToGrid w:val="0"/>
              <w:spacing w:before="50" w:after="120" w:afterLines="50"/>
              <w:jc w:val="left"/>
              <w:rPr>
                <w:rFonts w:ascii="宋体" w:hAnsi="宋体"/>
                <w:color w:val="auto"/>
                <w:sz w:val="21"/>
                <w:szCs w:val="21"/>
                <w:highlight w:val="none"/>
              </w:rPr>
            </w:pPr>
          </w:p>
        </w:tc>
      </w:tr>
    </w:tbl>
    <w:p>
      <w:pPr>
        <w:autoSpaceDE w:val="0"/>
        <w:autoSpaceDN w:val="0"/>
        <w:adjustRightInd w:val="0"/>
        <w:spacing w:line="240" w:lineRule="auto"/>
        <w:rPr>
          <w:rFonts w:hint="eastAsia"/>
          <w:b/>
          <w:bCs/>
          <w:color w:val="auto"/>
          <w:sz w:val="21"/>
          <w:szCs w:val="21"/>
          <w:highlight w:val="none"/>
        </w:rPr>
      </w:pPr>
      <w:r>
        <w:rPr>
          <w:rFonts w:hint="eastAsia" w:ascii="宋体" w:hAnsi="宋体"/>
          <w:b/>
          <w:bCs/>
          <w:color w:val="auto"/>
          <w:sz w:val="21"/>
          <w:szCs w:val="21"/>
          <w:highlight w:val="none"/>
        </w:rPr>
        <w:t>注：上述所列设施设备须与</w:t>
      </w:r>
      <w:r>
        <w:rPr>
          <w:rFonts w:hint="eastAsia" w:ascii="宋体" w:hAnsi="宋体"/>
          <w:b/>
          <w:bCs/>
          <w:color w:val="auto"/>
          <w:sz w:val="21"/>
          <w:szCs w:val="21"/>
          <w:highlight w:val="none"/>
          <w:lang w:eastAsia="zh-CN"/>
        </w:rPr>
        <w:t>投标人</w:t>
      </w:r>
      <w:r>
        <w:rPr>
          <w:rFonts w:hint="eastAsia" w:ascii="宋体" w:hAnsi="宋体"/>
          <w:b/>
          <w:bCs/>
          <w:color w:val="auto"/>
          <w:sz w:val="21"/>
          <w:szCs w:val="21"/>
          <w:highlight w:val="none"/>
        </w:rPr>
        <w:t>中标后实际投入相一致，且中标人须于合同签订前向采购单位提供上述所列设施设备的租赁协议或发票。</w:t>
      </w:r>
    </w:p>
    <w:p>
      <w:pPr>
        <w:autoSpaceDE w:val="0"/>
        <w:autoSpaceDN w:val="0"/>
        <w:adjustRightInd w:val="0"/>
        <w:spacing w:line="360" w:lineRule="auto"/>
        <w:rPr>
          <w:rFonts w:hint="eastAsia" w:ascii="宋体" w:hAnsi="宋体"/>
          <w:color w:val="auto"/>
          <w:sz w:val="21"/>
          <w:szCs w:val="21"/>
          <w:highlight w:val="none"/>
          <w:lang w:val="zh-CN"/>
        </w:rPr>
      </w:pPr>
    </w:p>
    <w:p>
      <w:pPr>
        <w:autoSpaceDE w:val="0"/>
        <w:autoSpaceDN w:val="0"/>
        <w:adjustRightInd w:val="0"/>
        <w:spacing w:line="360" w:lineRule="auto"/>
        <w:rPr>
          <w:rFonts w:hint="eastAsia" w:ascii="宋体" w:hAnsi="宋体"/>
          <w:color w:val="auto"/>
          <w:sz w:val="21"/>
          <w:szCs w:val="21"/>
          <w:highlight w:val="none"/>
          <w:lang w:val="zh-CN"/>
        </w:rPr>
      </w:pPr>
      <w:r>
        <w:rPr>
          <w:rFonts w:hint="eastAsia" w:ascii="宋体" w:hAnsi="宋体"/>
          <w:color w:val="auto"/>
          <w:sz w:val="21"/>
          <w:szCs w:val="21"/>
          <w:highlight w:val="none"/>
          <w:lang w:val="zh-CN"/>
        </w:rPr>
        <w:t>投标人（公章）：</w:t>
      </w:r>
    </w:p>
    <w:p>
      <w:pPr>
        <w:autoSpaceDE w:val="0"/>
        <w:autoSpaceDN w:val="0"/>
        <w:adjustRightInd w:val="0"/>
        <w:spacing w:line="360" w:lineRule="auto"/>
        <w:jc w:val="left"/>
        <w:rPr>
          <w:rFonts w:hint="eastAsia" w:ascii="宋体" w:hAnsi="宋体"/>
          <w:color w:val="auto"/>
          <w:sz w:val="21"/>
          <w:szCs w:val="21"/>
          <w:highlight w:val="none"/>
          <w:lang w:val="zh-CN"/>
        </w:rPr>
      </w:pPr>
      <w:r>
        <w:rPr>
          <w:rFonts w:hint="eastAsia" w:ascii="宋体" w:hAnsi="宋体"/>
          <w:color w:val="auto"/>
          <w:sz w:val="21"/>
          <w:szCs w:val="21"/>
          <w:highlight w:val="none"/>
          <w:lang w:val="zh-CN"/>
        </w:rPr>
        <w:t>法定代表或授权代表（签字）：</w:t>
      </w:r>
    </w:p>
    <w:p>
      <w:pPr>
        <w:autoSpaceDE w:val="0"/>
        <w:autoSpaceDN w:val="0"/>
        <w:adjustRightInd w:val="0"/>
        <w:spacing w:line="360" w:lineRule="auto"/>
        <w:jc w:val="right"/>
        <w:rPr>
          <w:rFonts w:hint="eastAsia" w:ascii="宋体" w:hAnsi="宋体"/>
          <w:color w:val="auto"/>
          <w:sz w:val="21"/>
          <w:szCs w:val="21"/>
          <w:highlight w:val="none"/>
          <w:lang w:val="zh-CN"/>
        </w:rPr>
      </w:pPr>
      <w:r>
        <w:rPr>
          <w:rFonts w:hint="eastAsia" w:ascii="宋体" w:hAnsi="宋体"/>
          <w:color w:val="auto"/>
          <w:sz w:val="21"/>
          <w:szCs w:val="21"/>
          <w:highlight w:val="none"/>
          <w:lang w:val="zh-CN"/>
        </w:rPr>
        <w:t>年  月   日</w:t>
      </w:r>
    </w:p>
    <w:p>
      <w:pPr>
        <w:snapToGrid w:val="0"/>
        <w:spacing w:beforeLines="50" w:after="50"/>
        <w:jc w:val="center"/>
        <w:rPr>
          <w:rFonts w:hint="eastAsia" w:ascii="宋体"/>
          <w:color w:val="auto"/>
          <w:sz w:val="24"/>
          <w:szCs w:val="24"/>
          <w:highlight w:val="none"/>
          <w:lang w:val="en-US" w:eastAsia="zh-CN"/>
        </w:rPr>
      </w:pPr>
      <w:r>
        <w:rPr>
          <w:rFonts w:hint="eastAsia" w:ascii="Times New Roman" w:hAnsi="Times New Roman" w:eastAsia="宋体" w:cs="Times New Roman"/>
          <w:b/>
          <w:color w:val="auto"/>
          <w:spacing w:val="-4"/>
          <w:kern w:val="44"/>
          <w:sz w:val="24"/>
          <w:szCs w:val="24"/>
          <w:highlight w:val="none"/>
          <w:lang w:val="en-US" w:eastAsia="zh-CN" w:bidi="ar-SA"/>
        </w:rPr>
        <w:t>（2）建设期主要施工机械设备表</w:t>
      </w:r>
    </w:p>
    <w:p>
      <w:pPr>
        <w:snapToGrid w:val="0"/>
        <w:spacing w:before="50" w:after="50"/>
        <w:rPr>
          <w:rFonts w:hint="eastAsia"/>
          <w:color w:val="auto"/>
          <w:sz w:val="21"/>
          <w:szCs w:val="21"/>
          <w:highlight w:val="none"/>
        </w:rPr>
      </w:pPr>
      <w:r>
        <w:rPr>
          <w:rFonts w:hint="eastAsia" w:ascii="宋体" w:hAnsi="宋体"/>
          <w:color w:val="auto"/>
          <w:sz w:val="21"/>
          <w:szCs w:val="21"/>
          <w:highlight w:val="none"/>
        </w:rPr>
        <w:t>项目编号：</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项目名称：</w:t>
      </w:r>
      <w:r>
        <w:rPr>
          <w:rFonts w:ascii="宋体" w:hAnsi="宋体"/>
          <w:color w:val="auto"/>
          <w:sz w:val="21"/>
          <w:szCs w:val="21"/>
          <w:highlight w:val="none"/>
          <w:u w:val="single"/>
        </w:rPr>
        <w:t xml:space="preserve">                    </w:t>
      </w:r>
      <w:r>
        <w:rPr>
          <w:rFonts w:hint="eastAsia" w:ascii="宋体" w:hAnsi="宋体"/>
          <w:color w:val="auto"/>
          <w:sz w:val="21"/>
          <w:szCs w:val="21"/>
          <w:highlight w:val="none"/>
        </w:rPr>
        <w:t>标段号：</w:t>
      </w:r>
      <w:r>
        <w:rPr>
          <w:rFonts w:hint="eastAsia" w:ascii="宋体" w:hAnsi="宋体"/>
          <w:color w:val="auto"/>
          <w:sz w:val="21"/>
          <w:szCs w:val="21"/>
          <w:highlight w:val="none"/>
          <w:u w:val="single"/>
        </w:rPr>
        <w:t xml:space="preserve">           </w:t>
      </w:r>
    </w:p>
    <w:tbl>
      <w:tblPr>
        <w:tblStyle w:val="22"/>
        <w:tblW w:w="85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4"/>
        <w:gridCol w:w="2650"/>
        <w:gridCol w:w="1180"/>
        <w:gridCol w:w="2369"/>
        <w:gridCol w:w="10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7" w:hRule="atLeast"/>
        </w:trPr>
        <w:tc>
          <w:tcPr>
            <w:tcW w:w="1234" w:type="dxa"/>
            <w:vAlign w:val="center"/>
          </w:tcPr>
          <w:p>
            <w:pPr>
              <w:snapToGrid w:val="0"/>
              <w:spacing w:before="50" w:after="120" w:afterLines="50"/>
              <w:jc w:val="center"/>
              <w:rPr>
                <w:rFonts w:ascii="宋体" w:hAnsi="宋体"/>
                <w:color w:val="auto"/>
                <w:sz w:val="21"/>
                <w:szCs w:val="21"/>
                <w:highlight w:val="none"/>
              </w:rPr>
            </w:pPr>
            <w:r>
              <w:rPr>
                <w:rFonts w:hint="eastAsia" w:ascii="宋体" w:hAnsi="宋体"/>
                <w:color w:val="auto"/>
                <w:sz w:val="21"/>
                <w:szCs w:val="21"/>
                <w:highlight w:val="none"/>
              </w:rPr>
              <w:t>序号</w:t>
            </w:r>
          </w:p>
        </w:tc>
        <w:tc>
          <w:tcPr>
            <w:tcW w:w="2650" w:type="dxa"/>
            <w:vAlign w:val="center"/>
          </w:tcPr>
          <w:p>
            <w:pPr>
              <w:snapToGrid w:val="0"/>
              <w:spacing w:before="50" w:after="120" w:afterLines="50"/>
              <w:jc w:val="center"/>
              <w:rPr>
                <w:rFonts w:ascii="宋体" w:hAnsi="宋体"/>
                <w:color w:val="auto"/>
                <w:sz w:val="21"/>
                <w:szCs w:val="21"/>
                <w:highlight w:val="none"/>
              </w:rPr>
            </w:pPr>
            <w:r>
              <w:rPr>
                <w:rFonts w:hint="eastAsia" w:ascii="宋体" w:hAnsi="宋体"/>
                <w:color w:val="auto"/>
                <w:sz w:val="21"/>
                <w:szCs w:val="21"/>
                <w:highlight w:val="none"/>
              </w:rPr>
              <w:t>施工机械设备名称</w:t>
            </w:r>
          </w:p>
        </w:tc>
        <w:tc>
          <w:tcPr>
            <w:tcW w:w="1180" w:type="dxa"/>
            <w:tcBorders>
              <w:right w:val="single" w:color="auto" w:sz="4" w:space="0"/>
            </w:tcBorders>
            <w:vAlign w:val="center"/>
          </w:tcPr>
          <w:p>
            <w:pPr>
              <w:snapToGrid w:val="0"/>
              <w:spacing w:before="50" w:after="120" w:afterLines="50"/>
              <w:jc w:val="center"/>
              <w:rPr>
                <w:rFonts w:hint="eastAsia" w:ascii="宋体" w:hAnsi="宋体"/>
                <w:color w:val="auto"/>
                <w:sz w:val="21"/>
                <w:szCs w:val="21"/>
                <w:highlight w:val="none"/>
              </w:rPr>
            </w:pPr>
            <w:r>
              <w:rPr>
                <w:rFonts w:hint="eastAsia" w:ascii="宋体" w:hAnsi="宋体"/>
                <w:color w:val="auto"/>
                <w:sz w:val="21"/>
                <w:szCs w:val="21"/>
                <w:highlight w:val="none"/>
              </w:rPr>
              <w:t>数量</w:t>
            </w:r>
          </w:p>
        </w:tc>
        <w:tc>
          <w:tcPr>
            <w:tcW w:w="2369" w:type="dxa"/>
            <w:tcBorders>
              <w:left w:val="single" w:color="auto" w:sz="4" w:space="0"/>
            </w:tcBorders>
            <w:vAlign w:val="center"/>
          </w:tcPr>
          <w:p>
            <w:pPr>
              <w:snapToGrid w:val="0"/>
              <w:spacing w:before="50" w:after="120" w:afterLines="50"/>
              <w:jc w:val="center"/>
              <w:rPr>
                <w:rFonts w:hint="eastAsia" w:ascii="宋体" w:hAnsi="宋体"/>
                <w:color w:val="auto"/>
                <w:sz w:val="21"/>
                <w:szCs w:val="21"/>
                <w:highlight w:val="none"/>
              </w:rPr>
            </w:pPr>
            <w:r>
              <w:rPr>
                <w:rFonts w:hint="eastAsia" w:ascii="宋体" w:hAnsi="宋体"/>
                <w:color w:val="auto"/>
                <w:sz w:val="21"/>
                <w:szCs w:val="21"/>
                <w:highlight w:val="none"/>
              </w:rPr>
              <w:t>品牌、规格型号</w:t>
            </w:r>
          </w:p>
        </w:tc>
        <w:tc>
          <w:tcPr>
            <w:tcW w:w="1095" w:type="dxa"/>
            <w:vAlign w:val="center"/>
          </w:tcPr>
          <w:p>
            <w:pPr>
              <w:snapToGrid w:val="0"/>
              <w:spacing w:before="50" w:after="120" w:afterLines="50"/>
              <w:jc w:val="center"/>
              <w:rPr>
                <w:rFonts w:ascii="宋体" w:hAnsi="宋体"/>
                <w:color w:val="auto"/>
                <w:sz w:val="21"/>
                <w:szCs w:val="21"/>
                <w:highlight w:val="none"/>
              </w:rPr>
            </w:pPr>
            <w:r>
              <w:rPr>
                <w:rFonts w:hint="eastAsia" w:ascii="宋体" w:hAnsi="宋体"/>
                <w:color w:val="auto"/>
                <w:sz w:val="21"/>
                <w:szCs w:val="21"/>
                <w:highlight w:val="none"/>
              </w:rPr>
              <w:t>用途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4" w:type="dxa"/>
            <w:vAlign w:val="top"/>
          </w:tcPr>
          <w:p>
            <w:pPr>
              <w:snapToGrid w:val="0"/>
              <w:spacing w:before="50" w:after="120" w:afterLines="50"/>
              <w:jc w:val="left"/>
              <w:rPr>
                <w:rFonts w:ascii="宋体" w:hAnsi="宋体"/>
                <w:color w:val="auto"/>
                <w:sz w:val="21"/>
                <w:szCs w:val="21"/>
                <w:highlight w:val="none"/>
              </w:rPr>
            </w:pPr>
          </w:p>
        </w:tc>
        <w:tc>
          <w:tcPr>
            <w:tcW w:w="2650" w:type="dxa"/>
            <w:vAlign w:val="top"/>
          </w:tcPr>
          <w:p>
            <w:pPr>
              <w:snapToGrid w:val="0"/>
              <w:spacing w:before="50" w:after="120" w:afterLines="50"/>
              <w:jc w:val="left"/>
              <w:rPr>
                <w:rFonts w:ascii="宋体" w:hAnsi="宋体"/>
                <w:color w:val="auto"/>
                <w:sz w:val="21"/>
                <w:szCs w:val="21"/>
                <w:highlight w:val="none"/>
              </w:rPr>
            </w:pPr>
          </w:p>
        </w:tc>
        <w:tc>
          <w:tcPr>
            <w:tcW w:w="1180" w:type="dxa"/>
            <w:tcBorders>
              <w:right w:val="single" w:color="auto" w:sz="4" w:space="0"/>
            </w:tcBorders>
            <w:vAlign w:val="top"/>
          </w:tcPr>
          <w:p>
            <w:pPr>
              <w:snapToGrid w:val="0"/>
              <w:spacing w:before="50" w:after="120" w:afterLines="50"/>
              <w:jc w:val="left"/>
              <w:rPr>
                <w:rFonts w:ascii="宋体" w:hAnsi="宋体"/>
                <w:color w:val="auto"/>
                <w:sz w:val="21"/>
                <w:szCs w:val="21"/>
                <w:highlight w:val="none"/>
              </w:rPr>
            </w:pPr>
          </w:p>
        </w:tc>
        <w:tc>
          <w:tcPr>
            <w:tcW w:w="2369" w:type="dxa"/>
            <w:tcBorders>
              <w:left w:val="single" w:color="auto" w:sz="4" w:space="0"/>
            </w:tcBorders>
            <w:vAlign w:val="top"/>
          </w:tcPr>
          <w:p>
            <w:pPr>
              <w:snapToGrid w:val="0"/>
              <w:spacing w:before="50" w:after="120" w:afterLines="50"/>
              <w:jc w:val="left"/>
              <w:rPr>
                <w:rFonts w:ascii="宋体" w:hAnsi="宋体"/>
                <w:color w:val="auto"/>
                <w:sz w:val="21"/>
                <w:szCs w:val="21"/>
                <w:highlight w:val="none"/>
              </w:rPr>
            </w:pPr>
          </w:p>
        </w:tc>
        <w:tc>
          <w:tcPr>
            <w:tcW w:w="1095" w:type="dxa"/>
            <w:vAlign w:val="top"/>
          </w:tcPr>
          <w:p>
            <w:pPr>
              <w:snapToGrid w:val="0"/>
              <w:spacing w:before="50" w:after="120" w:afterLines="50"/>
              <w:jc w:val="left"/>
              <w:rPr>
                <w:rFonts w:ascii="宋体" w:hAnsi="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34" w:type="dxa"/>
            <w:vAlign w:val="top"/>
          </w:tcPr>
          <w:p>
            <w:pPr>
              <w:snapToGrid w:val="0"/>
              <w:spacing w:before="50" w:after="120" w:afterLines="50"/>
              <w:jc w:val="left"/>
              <w:rPr>
                <w:rFonts w:ascii="宋体" w:hAnsi="宋体"/>
                <w:color w:val="auto"/>
                <w:sz w:val="21"/>
                <w:szCs w:val="21"/>
                <w:highlight w:val="none"/>
              </w:rPr>
            </w:pPr>
          </w:p>
        </w:tc>
        <w:tc>
          <w:tcPr>
            <w:tcW w:w="2650" w:type="dxa"/>
            <w:vAlign w:val="top"/>
          </w:tcPr>
          <w:p>
            <w:pPr>
              <w:snapToGrid w:val="0"/>
              <w:spacing w:before="50" w:after="120" w:afterLines="50"/>
              <w:jc w:val="left"/>
              <w:rPr>
                <w:rFonts w:ascii="宋体" w:hAnsi="宋体"/>
                <w:color w:val="auto"/>
                <w:sz w:val="21"/>
                <w:szCs w:val="21"/>
                <w:highlight w:val="none"/>
              </w:rPr>
            </w:pPr>
          </w:p>
        </w:tc>
        <w:tc>
          <w:tcPr>
            <w:tcW w:w="1180" w:type="dxa"/>
            <w:tcBorders>
              <w:right w:val="single" w:color="auto" w:sz="4" w:space="0"/>
            </w:tcBorders>
            <w:vAlign w:val="top"/>
          </w:tcPr>
          <w:p>
            <w:pPr>
              <w:snapToGrid w:val="0"/>
              <w:spacing w:before="50" w:after="120" w:afterLines="50"/>
              <w:jc w:val="left"/>
              <w:rPr>
                <w:rFonts w:ascii="宋体" w:hAnsi="宋体"/>
                <w:color w:val="auto"/>
                <w:sz w:val="21"/>
                <w:szCs w:val="21"/>
                <w:highlight w:val="none"/>
              </w:rPr>
            </w:pPr>
          </w:p>
        </w:tc>
        <w:tc>
          <w:tcPr>
            <w:tcW w:w="2369" w:type="dxa"/>
            <w:tcBorders>
              <w:left w:val="single" w:color="auto" w:sz="4" w:space="0"/>
            </w:tcBorders>
            <w:vAlign w:val="top"/>
          </w:tcPr>
          <w:p>
            <w:pPr>
              <w:snapToGrid w:val="0"/>
              <w:spacing w:before="50" w:after="120" w:afterLines="50"/>
              <w:jc w:val="left"/>
              <w:rPr>
                <w:rFonts w:ascii="宋体" w:hAnsi="宋体"/>
                <w:color w:val="auto"/>
                <w:sz w:val="21"/>
                <w:szCs w:val="21"/>
                <w:highlight w:val="none"/>
              </w:rPr>
            </w:pPr>
          </w:p>
        </w:tc>
        <w:tc>
          <w:tcPr>
            <w:tcW w:w="1095" w:type="dxa"/>
            <w:vAlign w:val="top"/>
          </w:tcPr>
          <w:p>
            <w:pPr>
              <w:snapToGrid w:val="0"/>
              <w:spacing w:before="50" w:after="120" w:afterLines="50"/>
              <w:jc w:val="left"/>
              <w:rPr>
                <w:rFonts w:ascii="宋体" w:hAnsi="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4" w:type="dxa"/>
            <w:vAlign w:val="top"/>
          </w:tcPr>
          <w:p>
            <w:pPr>
              <w:snapToGrid w:val="0"/>
              <w:spacing w:before="50" w:after="120" w:afterLines="50"/>
              <w:jc w:val="left"/>
              <w:rPr>
                <w:rFonts w:ascii="宋体" w:hAnsi="宋体"/>
                <w:color w:val="auto"/>
                <w:sz w:val="21"/>
                <w:szCs w:val="21"/>
                <w:highlight w:val="none"/>
              </w:rPr>
            </w:pPr>
          </w:p>
        </w:tc>
        <w:tc>
          <w:tcPr>
            <w:tcW w:w="2650" w:type="dxa"/>
            <w:vAlign w:val="top"/>
          </w:tcPr>
          <w:p>
            <w:pPr>
              <w:snapToGrid w:val="0"/>
              <w:spacing w:before="50" w:after="120" w:afterLines="50"/>
              <w:jc w:val="left"/>
              <w:rPr>
                <w:rFonts w:ascii="宋体" w:hAnsi="宋体"/>
                <w:color w:val="auto"/>
                <w:sz w:val="21"/>
                <w:szCs w:val="21"/>
                <w:highlight w:val="none"/>
              </w:rPr>
            </w:pPr>
          </w:p>
        </w:tc>
        <w:tc>
          <w:tcPr>
            <w:tcW w:w="1180" w:type="dxa"/>
            <w:tcBorders>
              <w:right w:val="single" w:color="auto" w:sz="4" w:space="0"/>
            </w:tcBorders>
            <w:vAlign w:val="top"/>
          </w:tcPr>
          <w:p>
            <w:pPr>
              <w:snapToGrid w:val="0"/>
              <w:spacing w:before="50" w:after="120" w:afterLines="50"/>
              <w:jc w:val="left"/>
              <w:rPr>
                <w:rFonts w:ascii="宋体" w:hAnsi="宋体"/>
                <w:color w:val="auto"/>
                <w:sz w:val="21"/>
                <w:szCs w:val="21"/>
                <w:highlight w:val="none"/>
              </w:rPr>
            </w:pPr>
          </w:p>
        </w:tc>
        <w:tc>
          <w:tcPr>
            <w:tcW w:w="2369" w:type="dxa"/>
            <w:tcBorders>
              <w:left w:val="single" w:color="auto" w:sz="4" w:space="0"/>
            </w:tcBorders>
            <w:vAlign w:val="top"/>
          </w:tcPr>
          <w:p>
            <w:pPr>
              <w:snapToGrid w:val="0"/>
              <w:spacing w:before="50" w:after="120" w:afterLines="50"/>
              <w:jc w:val="left"/>
              <w:rPr>
                <w:rFonts w:ascii="宋体" w:hAnsi="宋体"/>
                <w:color w:val="auto"/>
                <w:sz w:val="21"/>
                <w:szCs w:val="21"/>
                <w:highlight w:val="none"/>
              </w:rPr>
            </w:pPr>
          </w:p>
        </w:tc>
        <w:tc>
          <w:tcPr>
            <w:tcW w:w="1095" w:type="dxa"/>
            <w:vAlign w:val="top"/>
          </w:tcPr>
          <w:p>
            <w:pPr>
              <w:snapToGrid w:val="0"/>
              <w:spacing w:before="50" w:after="120" w:afterLines="50"/>
              <w:jc w:val="left"/>
              <w:rPr>
                <w:rFonts w:ascii="宋体" w:hAnsi="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4" w:type="dxa"/>
            <w:vAlign w:val="top"/>
          </w:tcPr>
          <w:p>
            <w:pPr>
              <w:snapToGrid w:val="0"/>
              <w:spacing w:before="50" w:after="120" w:afterLines="50"/>
              <w:jc w:val="left"/>
              <w:rPr>
                <w:rFonts w:ascii="宋体" w:hAnsi="宋体"/>
                <w:color w:val="auto"/>
                <w:sz w:val="21"/>
                <w:szCs w:val="21"/>
                <w:highlight w:val="none"/>
              </w:rPr>
            </w:pPr>
          </w:p>
        </w:tc>
        <w:tc>
          <w:tcPr>
            <w:tcW w:w="2650" w:type="dxa"/>
            <w:vAlign w:val="top"/>
          </w:tcPr>
          <w:p>
            <w:pPr>
              <w:snapToGrid w:val="0"/>
              <w:spacing w:before="50" w:after="120" w:afterLines="50"/>
              <w:jc w:val="left"/>
              <w:rPr>
                <w:rFonts w:ascii="宋体" w:hAnsi="宋体"/>
                <w:color w:val="auto"/>
                <w:sz w:val="21"/>
                <w:szCs w:val="21"/>
                <w:highlight w:val="none"/>
              </w:rPr>
            </w:pPr>
          </w:p>
        </w:tc>
        <w:tc>
          <w:tcPr>
            <w:tcW w:w="1180" w:type="dxa"/>
            <w:tcBorders>
              <w:right w:val="single" w:color="auto" w:sz="4" w:space="0"/>
            </w:tcBorders>
            <w:vAlign w:val="top"/>
          </w:tcPr>
          <w:p>
            <w:pPr>
              <w:snapToGrid w:val="0"/>
              <w:spacing w:before="50" w:after="120" w:afterLines="50"/>
              <w:jc w:val="left"/>
              <w:rPr>
                <w:rFonts w:ascii="宋体" w:hAnsi="宋体"/>
                <w:color w:val="auto"/>
                <w:sz w:val="21"/>
                <w:szCs w:val="21"/>
                <w:highlight w:val="none"/>
              </w:rPr>
            </w:pPr>
          </w:p>
        </w:tc>
        <w:tc>
          <w:tcPr>
            <w:tcW w:w="2369" w:type="dxa"/>
            <w:tcBorders>
              <w:left w:val="single" w:color="auto" w:sz="4" w:space="0"/>
            </w:tcBorders>
            <w:vAlign w:val="top"/>
          </w:tcPr>
          <w:p>
            <w:pPr>
              <w:snapToGrid w:val="0"/>
              <w:spacing w:before="50" w:after="120" w:afterLines="50"/>
              <w:jc w:val="left"/>
              <w:rPr>
                <w:rFonts w:ascii="宋体" w:hAnsi="宋体"/>
                <w:color w:val="auto"/>
                <w:sz w:val="21"/>
                <w:szCs w:val="21"/>
                <w:highlight w:val="none"/>
              </w:rPr>
            </w:pPr>
          </w:p>
        </w:tc>
        <w:tc>
          <w:tcPr>
            <w:tcW w:w="1095" w:type="dxa"/>
            <w:vAlign w:val="top"/>
          </w:tcPr>
          <w:p>
            <w:pPr>
              <w:snapToGrid w:val="0"/>
              <w:spacing w:before="50" w:after="120" w:afterLines="50"/>
              <w:jc w:val="left"/>
              <w:rPr>
                <w:rFonts w:ascii="宋体" w:hAnsi="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4" w:type="dxa"/>
            <w:vAlign w:val="top"/>
          </w:tcPr>
          <w:p>
            <w:pPr>
              <w:snapToGrid w:val="0"/>
              <w:spacing w:before="50" w:after="120" w:afterLines="50"/>
              <w:jc w:val="left"/>
              <w:rPr>
                <w:rFonts w:ascii="宋体" w:hAnsi="宋体"/>
                <w:color w:val="auto"/>
                <w:sz w:val="21"/>
                <w:szCs w:val="21"/>
                <w:highlight w:val="none"/>
              </w:rPr>
            </w:pPr>
          </w:p>
        </w:tc>
        <w:tc>
          <w:tcPr>
            <w:tcW w:w="2650" w:type="dxa"/>
            <w:vAlign w:val="top"/>
          </w:tcPr>
          <w:p>
            <w:pPr>
              <w:snapToGrid w:val="0"/>
              <w:spacing w:before="50" w:after="120" w:afterLines="50"/>
              <w:jc w:val="left"/>
              <w:rPr>
                <w:rFonts w:ascii="宋体" w:hAnsi="宋体"/>
                <w:color w:val="auto"/>
                <w:sz w:val="21"/>
                <w:szCs w:val="21"/>
                <w:highlight w:val="none"/>
              </w:rPr>
            </w:pPr>
          </w:p>
        </w:tc>
        <w:tc>
          <w:tcPr>
            <w:tcW w:w="1180" w:type="dxa"/>
            <w:tcBorders>
              <w:right w:val="single" w:color="auto" w:sz="4" w:space="0"/>
            </w:tcBorders>
            <w:vAlign w:val="top"/>
          </w:tcPr>
          <w:p>
            <w:pPr>
              <w:snapToGrid w:val="0"/>
              <w:spacing w:before="50" w:after="120" w:afterLines="50"/>
              <w:jc w:val="left"/>
              <w:rPr>
                <w:rFonts w:ascii="宋体" w:hAnsi="宋体"/>
                <w:color w:val="auto"/>
                <w:sz w:val="21"/>
                <w:szCs w:val="21"/>
                <w:highlight w:val="none"/>
              </w:rPr>
            </w:pPr>
          </w:p>
        </w:tc>
        <w:tc>
          <w:tcPr>
            <w:tcW w:w="2369" w:type="dxa"/>
            <w:tcBorders>
              <w:left w:val="single" w:color="auto" w:sz="4" w:space="0"/>
            </w:tcBorders>
            <w:vAlign w:val="top"/>
          </w:tcPr>
          <w:p>
            <w:pPr>
              <w:snapToGrid w:val="0"/>
              <w:spacing w:before="50" w:after="120" w:afterLines="50"/>
              <w:jc w:val="left"/>
              <w:rPr>
                <w:rFonts w:ascii="宋体" w:hAnsi="宋体"/>
                <w:color w:val="auto"/>
                <w:sz w:val="21"/>
                <w:szCs w:val="21"/>
                <w:highlight w:val="none"/>
              </w:rPr>
            </w:pPr>
          </w:p>
        </w:tc>
        <w:tc>
          <w:tcPr>
            <w:tcW w:w="1095" w:type="dxa"/>
            <w:vAlign w:val="top"/>
          </w:tcPr>
          <w:p>
            <w:pPr>
              <w:snapToGrid w:val="0"/>
              <w:spacing w:before="50" w:after="120" w:afterLines="50"/>
              <w:jc w:val="left"/>
              <w:rPr>
                <w:rFonts w:ascii="宋体" w:hAnsi="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34" w:type="dxa"/>
            <w:vAlign w:val="top"/>
          </w:tcPr>
          <w:p>
            <w:pPr>
              <w:snapToGrid w:val="0"/>
              <w:spacing w:before="50" w:after="120" w:afterLines="50"/>
              <w:jc w:val="left"/>
              <w:rPr>
                <w:rFonts w:ascii="宋体" w:hAnsi="宋体"/>
                <w:color w:val="auto"/>
                <w:sz w:val="21"/>
                <w:szCs w:val="21"/>
                <w:highlight w:val="none"/>
              </w:rPr>
            </w:pPr>
          </w:p>
        </w:tc>
        <w:tc>
          <w:tcPr>
            <w:tcW w:w="2650" w:type="dxa"/>
            <w:vAlign w:val="top"/>
          </w:tcPr>
          <w:p>
            <w:pPr>
              <w:snapToGrid w:val="0"/>
              <w:spacing w:before="50" w:after="120" w:afterLines="50"/>
              <w:jc w:val="left"/>
              <w:rPr>
                <w:rFonts w:ascii="宋体" w:hAnsi="宋体"/>
                <w:color w:val="auto"/>
                <w:sz w:val="21"/>
                <w:szCs w:val="21"/>
                <w:highlight w:val="none"/>
              </w:rPr>
            </w:pPr>
          </w:p>
        </w:tc>
        <w:tc>
          <w:tcPr>
            <w:tcW w:w="1180" w:type="dxa"/>
            <w:tcBorders>
              <w:right w:val="single" w:color="auto" w:sz="4" w:space="0"/>
            </w:tcBorders>
            <w:vAlign w:val="top"/>
          </w:tcPr>
          <w:p>
            <w:pPr>
              <w:snapToGrid w:val="0"/>
              <w:spacing w:before="50" w:after="120" w:afterLines="50"/>
              <w:jc w:val="left"/>
              <w:rPr>
                <w:rFonts w:ascii="宋体" w:hAnsi="宋体"/>
                <w:color w:val="auto"/>
                <w:sz w:val="21"/>
                <w:szCs w:val="21"/>
                <w:highlight w:val="none"/>
              </w:rPr>
            </w:pPr>
          </w:p>
        </w:tc>
        <w:tc>
          <w:tcPr>
            <w:tcW w:w="2369" w:type="dxa"/>
            <w:tcBorders>
              <w:left w:val="single" w:color="auto" w:sz="4" w:space="0"/>
            </w:tcBorders>
            <w:vAlign w:val="top"/>
          </w:tcPr>
          <w:p>
            <w:pPr>
              <w:snapToGrid w:val="0"/>
              <w:spacing w:before="50" w:after="120" w:afterLines="50"/>
              <w:jc w:val="left"/>
              <w:rPr>
                <w:rFonts w:ascii="宋体" w:hAnsi="宋体"/>
                <w:color w:val="auto"/>
                <w:sz w:val="21"/>
                <w:szCs w:val="21"/>
                <w:highlight w:val="none"/>
              </w:rPr>
            </w:pPr>
          </w:p>
        </w:tc>
        <w:tc>
          <w:tcPr>
            <w:tcW w:w="1095" w:type="dxa"/>
            <w:vAlign w:val="top"/>
          </w:tcPr>
          <w:p>
            <w:pPr>
              <w:snapToGrid w:val="0"/>
              <w:spacing w:before="50" w:after="120" w:afterLines="50"/>
              <w:jc w:val="left"/>
              <w:rPr>
                <w:rFonts w:ascii="宋体" w:hAnsi="宋体"/>
                <w:color w:val="auto"/>
                <w:sz w:val="21"/>
                <w:szCs w:val="21"/>
                <w:highlight w:val="none"/>
              </w:rPr>
            </w:pPr>
          </w:p>
        </w:tc>
      </w:tr>
    </w:tbl>
    <w:p>
      <w:pPr>
        <w:autoSpaceDE w:val="0"/>
        <w:autoSpaceDN w:val="0"/>
        <w:adjustRightInd w:val="0"/>
        <w:spacing w:line="360" w:lineRule="auto"/>
        <w:rPr>
          <w:rFonts w:hint="eastAsia" w:ascii="宋体" w:hAnsi="宋体"/>
          <w:color w:val="auto"/>
          <w:sz w:val="21"/>
          <w:szCs w:val="21"/>
          <w:highlight w:val="none"/>
          <w:lang w:val="zh-CN"/>
        </w:rPr>
      </w:pPr>
    </w:p>
    <w:p>
      <w:pPr>
        <w:autoSpaceDE w:val="0"/>
        <w:autoSpaceDN w:val="0"/>
        <w:adjustRightInd w:val="0"/>
        <w:spacing w:line="360" w:lineRule="auto"/>
        <w:rPr>
          <w:rFonts w:hint="eastAsia" w:ascii="宋体" w:hAnsi="宋体"/>
          <w:color w:val="auto"/>
          <w:sz w:val="21"/>
          <w:szCs w:val="21"/>
          <w:highlight w:val="none"/>
          <w:lang w:val="zh-CN"/>
        </w:rPr>
      </w:pPr>
      <w:r>
        <w:rPr>
          <w:rFonts w:hint="eastAsia" w:ascii="宋体" w:hAnsi="宋体"/>
          <w:color w:val="auto"/>
          <w:sz w:val="21"/>
          <w:szCs w:val="21"/>
          <w:highlight w:val="none"/>
          <w:lang w:val="zh-CN"/>
        </w:rPr>
        <w:t>投标人（公章）：</w:t>
      </w:r>
    </w:p>
    <w:p>
      <w:pPr>
        <w:autoSpaceDE w:val="0"/>
        <w:autoSpaceDN w:val="0"/>
        <w:adjustRightInd w:val="0"/>
        <w:spacing w:line="360" w:lineRule="auto"/>
        <w:jc w:val="left"/>
        <w:rPr>
          <w:rFonts w:hint="eastAsia" w:ascii="宋体" w:hAnsi="宋体"/>
          <w:color w:val="auto"/>
          <w:sz w:val="21"/>
          <w:szCs w:val="21"/>
          <w:highlight w:val="none"/>
          <w:lang w:val="zh-CN"/>
        </w:rPr>
      </w:pPr>
      <w:r>
        <w:rPr>
          <w:rFonts w:hint="eastAsia" w:ascii="宋体" w:hAnsi="宋体"/>
          <w:color w:val="auto"/>
          <w:sz w:val="21"/>
          <w:szCs w:val="21"/>
          <w:highlight w:val="none"/>
          <w:lang w:val="zh-CN"/>
        </w:rPr>
        <w:t xml:space="preserve">法定代表或授权代表（签字）： </w:t>
      </w:r>
    </w:p>
    <w:p>
      <w:pPr>
        <w:snapToGrid w:val="0"/>
        <w:spacing w:before="50" w:after="120" w:afterLines="50"/>
        <w:jc w:val="right"/>
        <w:rPr>
          <w:rFonts w:hint="eastAsia" w:ascii="宋体" w:hAnsi="宋体"/>
          <w:color w:val="auto"/>
          <w:sz w:val="24"/>
          <w:szCs w:val="24"/>
          <w:highlight w:val="none"/>
        </w:rPr>
      </w:pPr>
      <w:r>
        <w:rPr>
          <w:rFonts w:hint="eastAsia" w:ascii="宋体" w:hAnsi="宋体"/>
          <w:color w:val="auto"/>
          <w:sz w:val="21"/>
          <w:szCs w:val="21"/>
          <w:highlight w:val="none"/>
          <w:lang w:val="zh-CN"/>
        </w:rPr>
        <w:t>年  月   日</w:t>
      </w:r>
    </w:p>
    <w:p>
      <w:pPr>
        <w:autoSpaceDE w:val="0"/>
        <w:autoSpaceDN w:val="0"/>
        <w:adjustRightInd w:val="0"/>
        <w:spacing w:line="360" w:lineRule="auto"/>
        <w:jc w:val="left"/>
        <w:rPr>
          <w:rFonts w:hint="eastAsia" w:ascii="宋体" w:hAnsi="宋体"/>
          <w:color w:val="auto"/>
          <w:sz w:val="24"/>
          <w:szCs w:val="24"/>
          <w:highlight w:val="none"/>
          <w:lang w:val="en-US" w:eastAsia="zh-CN"/>
        </w:rPr>
      </w:pPr>
    </w:p>
    <w:p>
      <w:pPr>
        <w:autoSpaceDE w:val="0"/>
        <w:autoSpaceDN w:val="0"/>
        <w:adjustRightInd w:val="0"/>
        <w:spacing w:line="360" w:lineRule="auto"/>
        <w:jc w:val="left"/>
        <w:rPr>
          <w:rFonts w:hint="eastAsia" w:ascii="宋体" w:hAnsi="宋体"/>
          <w:color w:val="auto"/>
          <w:sz w:val="24"/>
          <w:szCs w:val="24"/>
          <w:highlight w:val="none"/>
          <w:lang w:val="en-US" w:eastAsia="zh-CN"/>
        </w:rPr>
      </w:pPr>
    </w:p>
    <w:p>
      <w:pPr>
        <w:autoSpaceDE w:val="0"/>
        <w:autoSpaceDN w:val="0"/>
        <w:adjustRightInd w:val="0"/>
        <w:spacing w:line="360" w:lineRule="auto"/>
        <w:jc w:val="left"/>
        <w:rPr>
          <w:rFonts w:hint="eastAsia" w:ascii="宋体" w:hAnsi="宋体"/>
          <w:color w:val="auto"/>
          <w:sz w:val="24"/>
          <w:szCs w:val="24"/>
          <w:highlight w:val="none"/>
          <w:lang w:val="en-US" w:eastAsia="zh-CN"/>
        </w:rPr>
      </w:pPr>
    </w:p>
    <w:p>
      <w:pPr>
        <w:autoSpaceDE w:val="0"/>
        <w:autoSpaceDN w:val="0"/>
        <w:adjustRightInd w:val="0"/>
        <w:spacing w:line="360" w:lineRule="auto"/>
        <w:jc w:val="left"/>
        <w:rPr>
          <w:rFonts w:hint="eastAsia" w:ascii="宋体" w:hAnsi="宋体"/>
          <w:color w:val="auto"/>
          <w:sz w:val="24"/>
          <w:szCs w:val="24"/>
          <w:highlight w:val="none"/>
        </w:rPr>
      </w:pPr>
      <w:r>
        <w:rPr>
          <w:rFonts w:hint="eastAsia" w:ascii="宋体" w:hAnsi="宋体"/>
          <w:color w:val="auto"/>
          <w:sz w:val="24"/>
          <w:szCs w:val="24"/>
          <w:highlight w:val="none"/>
          <w:lang w:val="en-US" w:eastAsia="zh-CN"/>
        </w:rPr>
        <w:t>11.</w:t>
      </w:r>
      <w:r>
        <w:rPr>
          <w:rFonts w:hint="eastAsia" w:ascii="宋体" w:hAnsi="宋体"/>
          <w:color w:val="auto"/>
          <w:sz w:val="24"/>
          <w:szCs w:val="24"/>
          <w:highlight w:val="none"/>
        </w:rPr>
        <w:t>建设期项目实施人员配备表/水质提升服务期间的项目负责人和其他实施人员配备表</w:t>
      </w:r>
    </w:p>
    <w:p>
      <w:pPr>
        <w:snapToGrid w:val="0"/>
        <w:spacing w:before="50" w:after="50"/>
        <w:rPr>
          <w:rFonts w:hint="eastAsia" w:ascii="宋体" w:hAnsi="宋体"/>
          <w:color w:val="auto"/>
          <w:sz w:val="21"/>
          <w:szCs w:val="21"/>
          <w:highlight w:val="none"/>
        </w:rPr>
      </w:pPr>
      <w:r>
        <w:rPr>
          <w:rFonts w:hint="eastAsia" w:ascii="宋体" w:hAnsi="宋体"/>
          <w:color w:val="auto"/>
          <w:sz w:val="21"/>
          <w:szCs w:val="21"/>
          <w:highlight w:val="none"/>
        </w:rPr>
        <w:t>项目编号：</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项目名称：</w:t>
      </w:r>
      <w:r>
        <w:rPr>
          <w:rFonts w:ascii="宋体" w:hAnsi="宋体"/>
          <w:color w:val="auto"/>
          <w:sz w:val="21"/>
          <w:szCs w:val="21"/>
          <w:highlight w:val="none"/>
          <w:u w:val="single"/>
        </w:rPr>
        <w:t xml:space="preserve">                    </w:t>
      </w:r>
      <w:r>
        <w:rPr>
          <w:rFonts w:hint="eastAsia" w:ascii="宋体" w:hAnsi="宋体"/>
          <w:color w:val="auto"/>
          <w:sz w:val="21"/>
          <w:szCs w:val="21"/>
          <w:highlight w:val="none"/>
        </w:rPr>
        <w:t>标段号：</w:t>
      </w:r>
      <w:r>
        <w:rPr>
          <w:rFonts w:hint="eastAsia" w:ascii="宋体" w:hAnsi="宋体"/>
          <w:color w:val="auto"/>
          <w:sz w:val="21"/>
          <w:szCs w:val="21"/>
          <w:highlight w:val="none"/>
          <w:u w:val="single"/>
        </w:rPr>
        <w:t xml:space="preserve">           </w:t>
      </w:r>
    </w:p>
    <w:tbl>
      <w:tblPr>
        <w:tblStyle w:val="2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802"/>
        <w:gridCol w:w="802"/>
        <w:gridCol w:w="803"/>
        <w:gridCol w:w="1483"/>
        <w:gridCol w:w="1494"/>
        <w:gridCol w:w="1391"/>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dxa"/>
            <w:vAlign w:val="center"/>
          </w:tcPr>
          <w:p>
            <w:pPr>
              <w:jc w:val="center"/>
              <w:rPr>
                <w:rFonts w:hint="eastAsia" w:ascii="宋体" w:hAnsi="宋体"/>
                <w:b/>
                <w:bCs/>
                <w:color w:val="auto"/>
                <w:sz w:val="21"/>
                <w:szCs w:val="21"/>
                <w:highlight w:val="none"/>
              </w:rPr>
            </w:pPr>
            <w:r>
              <w:rPr>
                <w:rFonts w:hint="eastAsia" w:ascii="宋体" w:hAnsi="宋体"/>
                <w:b/>
                <w:bCs/>
                <w:color w:val="auto"/>
                <w:sz w:val="21"/>
                <w:szCs w:val="21"/>
                <w:highlight w:val="none"/>
              </w:rPr>
              <w:t>部门</w:t>
            </w:r>
          </w:p>
        </w:tc>
        <w:tc>
          <w:tcPr>
            <w:tcW w:w="802" w:type="dxa"/>
            <w:vAlign w:val="center"/>
          </w:tcPr>
          <w:p>
            <w:pPr>
              <w:jc w:val="center"/>
              <w:rPr>
                <w:rFonts w:hint="eastAsia" w:ascii="宋体" w:hAnsi="宋体"/>
                <w:b/>
                <w:bCs/>
                <w:color w:val="auto"/>
                <w:sz w:val="21"/>
                <w:szCs w:val="21"/>
                <w:highlight w:val="none"/>
              </w:rPr>
            </w:pPr>
            <w:r>
              <w:rPr>
                <w:rFonts w:hint="eastAsia" w:ascii="宋体" w:hAnsi="宋体"/>
                <w:b/>
                <w:bCs/>
                <w:color w:val="auto"/>
                <w:sz w:val="21"/>
                <w:szCs w:val="21"/>
                <w:highlight w:val="none"/>
              </w:rPr>
              <w:t>姓</w:t>
            </w:r>
          </w:p>
          <w:p>
            <w:pPr>
              <w:jc w:val="center"/>
              <w:rPr>
                <w:rFonts w:hint="eastAsia" w:ascii="宋体" w:hAnsi="宋体"/>
                <w:b/>
                <w:bCs/>
                <w:color w:val="auto"/>
                <w:sz w:val="21"/>
                <w:szCs w:val="21"/>
                <w:highlight w:val="none"/>
              </w:rPr>
            </w:pPr>
            <w:r>
              <w:rPr>
                <w:rFonts w:hint="eastAsia" w:ascii="宋体" w:hAnsi="宋体"/>
                <w:b/>
                <w:bCs/>
                <w:color w:val="auto"/>
                <w:sz w:val="21"/>
                <w:szCs w:val="21"/>
                <w:highlight w:val="none"/>
              </w:rPr>
              <w:t>名</w:t>
            </w:r>
          </w:p>
        </w:tc>
        <w:tc>
          <w:tcPr>
            <w:tcW w:w="802" w:type="dxa"/>
            <w:vAlign w:val="center"/>
          </w:tcPr>
          <w:p>
            <w:pPr>
              <w:jc w:val="center"/>
              <w:rPr>
                <w:rFonts w:hint="eastAsia" w:ascii="宋体" w:hAnsi="宋体"/>
                <w:b/>
                <w:bCs/>
                <w:color w:val="auto"/>
                <w:sz w:val="21"/>
                <w:szCs w:val="21"/>
                <w:highlight w:val="none"/>
              </w:rPr>
            </w:pPr>
            <w:r>
              <w:rPr>
                <w:rFonts w:hint="eastAsia" w:ascii="宋体" w:hAnsi="宋体"/>
                <w:b/>
                <w:bCs/>
                <w:color w:val="auto"/>
                <w:sz w:val="21"/>
                <w:szCs w:val="21"/>
                <w:highlight w:val="none"/>
              </w:rPr>
              <w:t>年</w:t>
            </w:r>
          </w:p>
          <w:p>
            <w:pPr>
              <w:jc w:val="center"/>
              <w:rPr>
                <w:rFonts w:hint="eastAsia" w:ascii="宋体" w:hAnsi="宋体"/>
                <w:b/>
                <w:bCs/>
                <w:color w:val="auto"/>
                <w:sz w:val="21"/>
                <w:szCs w:val="21"/>
                <w:highlight w:val="none"/>
              </w:rPr>
            </w:pPr>
            <w:r>
              <w:rPr>
                <w:rFonts w:hint="eastAsia" w:ascii="宋体" w:hAnsi="宋体"/>
                <w:b/>
                <w:bCs/>
                <w:color w:val="auto"/>
                <w:sz w:val="21"/>
                <w:szCs w:val="21"/>
                <w:highlight w:val="none"/>
              </w:rPr>
              <w:t>龄</w:t>
            </w:r>
          </w:p>
        </w:tc>
        <w:tc>
          <w:tcPr>
            <w:tcW w:w="803" w:type="dxa"/>
            <w:vAlign w:val="center"/>
          </w:tcPr>
          <w:p>
            <w:pPr>
              <w:jc w:val="center"/>
              <w:rPr>
                <w:rFonts w:hint="eastAsia" w:ascii="宋体" w:hAnsi="宋体"/>
                <w:b/>
                <w:bCs/>
                <w:color w:val="auto"/>
                <w:sz w:val="21"/>
                <w:szCs w:val="21"/>
                <w:highlight w:val="none"/>
              </w:rPr>
            </w:pPr>
            <w:r>
              <w:rPr>
                <w:rFonts w:hint="eastAsia" w:ascii="宋体" w:hAnsi="宋体"/>
                <w:b/>
                <w:bCs/>
                <w:color w:val="auto"/>
                <w:sz w:val="21"/>
                <w:szCs w:val="21"/>
                <w:highlight w:val="none"/>
              </w:rPr>
              <w:t>学</w:t>
            </w:r>
          </w:p>
          <w:p>
            <w:pPr>
              <w:jc w:val="center"/>
              <w:rPr>
                <w:rFonts w:hint="eastAsia" w:ascii="宋体" w:hAnsi="宋体"/>
                <w:b/>
                <w:bCs/>
                <w:color w:val="auto"/>
                <w:sz w:val="21"/>
                <w:szCs w:val="21"/>
                <w:highlight w:val="none"/>
              </w:rPr>
            </w:pPr>
            <w:r>
              <w:rPr>
                <w:rFonts w:hint="eastAsia" w:ascii="宋体" w:hAnsi="宋体"/>
                <w:b/>
                <w:bCs/>
                <w:color w:val="auto"/>
                <w:sz w:val="21"/>
                <w:szCs w:val="21"/>
                <w:highlight w:val="none"/>
              </w:rPr>
              <w:t>历</w:t>
            </w:r>
          </w:p>
        </w:tc>
        <w:tc>
          <w:tcPr>
            <w:tcW w:w="1483" w:type="dxa"/>
            <w:vAlign w:val="center"/>
          </w:tcPr>
          <w:p>
            <w:pPr>
              <w:jc w:val="center"/>
              <w:rPr>
                <w:rFonts w:hint="eastAsia" w:ascii="宋体" w:hAnsi="宋体"/>
                <w:b/>
                <w:bCs/>
                <w:color w:val="auto"/>
                <w:sz w:val="21"/>
                <w:szCs w:val="21"/>
                <w:highlight w:val="none"/>
              </w:rPr>
            </w:pPr>
            <w:r>
              <w:rPr>
                <w:rFonts w:hint="eastAsia" w:ascii="宋体" w:hAnsi="宋体"/>
                <w:b/>
                <w:bCs/>
                <w:color w:val="auto"/>
                <w:sz w:val="21"/>
                <w:szCs w:val="21"/>
                <w:highlight w:val="none"/>
              </w:rPr>
              <w:t>身份证号码</w:t>
            </w:r>
          </w:p>
        </w:tc>
        <w:tc>
          <w:tcPr>
            <w:tcW w:w="1494" w:type="dxa"/>
            <w:vAlign w:val="center"/>
          </w:tcPr>
          <w:p>
            <w:pPr>
              <w:jc w:val="center"/>
              <w:rPr>
                <w:rFonts w:hint="eastAsia" w:ascii="宋体" w:hAnsi="宋体"/>
                <w:b/>
                <w:bCs/>
                <w:color w:val="auto"/>
                <w:sz w:val="21"/>
                <w:szCs w:val="21"/>
                <w:highlight w:val="none"/>
              </w:rPr>
            </w:pPr>
            <w:r>
              <w:rPr>
                <w:rFonts w:hint="eastAsia" w:ascii="宋体" w:hAnsi="宋体"/>
                <w:b/>
                <w:bCs/>
                <w:color w:val="auto"/>
                <w:sz w:val="21"/>
                <w:szCs w:val="21"/>
                <w:highlight w:val="none"/>
              </w:rPr>
              <w:t>岗位/职称</w:t>
            </w:r>
          </w:p>
        </w:tc>
        <w:tc>
          <w:tcPr>
            <w:tcW w:w="1391" w:type="dxa"/>
            <w:vAlign w:val="center"/>
          </w:tcPr>
          <w:p>
            <w:pPr>
              <w:jc w:val="center"/>
              <w:rPr>
                <w:rFonts w:hint="eastAsia" w:ascii="宋体" w:hAnsi="宋体"/>
                <w:b/>
                <w:bCs/>
                <w:color w:val="auto"/>
                <w:sz w:val="21"/>
                <w:szCs w:val="21"/>
                <w:highlight w:val="none"/>
              </w:rPr>
            </w:pPr>
            <w:r>
              <w:rPr>
                <w:rFonts w:hint="eastAsia" w:ascii="宋体" w:hAnsi="宋体"/>
                <w:b/>
                <w:bCs/>
                <w:color w:val="auto"/>
                <w:sz w:val="21"/>
                <w:szCs w:val="21"/>
                <w:highlight w:val="none"/>
              </w:rPr>
              <w:t>工作资历</w:t>
            </w:r>
          </w:p>
        </w:tc>
        <w:tc>
          <w:tcPr>
            <w:tcW w:w="828" w:type="dxa"/>
            <w:vAlign w:val="center"/>
          </w:tcPr>
          <w:p>
            <w:pPr>
              <w:jc w:val="center"/>
              <w:rPr>
                <w:rFonts w:hint="eastAsia" w:ascii="宋体" w:hAnsi="宋体"/>
                <w:b/>
                <w:bCs/>
                <w:color w:val="auto"/>
                <w:sz w:val="21"/>
                <w:szCs w:val="21"/>
                <w:highlight w:val="none"/>
              </w:rPr>
            </w:pPr>
            <w:r>
              <w:rPr>
                <w:rFonts w:hint="eastAsia" w:ascii="宋体" w:hAnsi="宋体"/>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925" w:type="dxa"/>
            <w:vMerge w:val="restart"/>
            <w:vAlign w:val="top"/>
          </w:tcPr>
          <w:p>
            <w:pPr>
              <w:rPr>
                <w:rFonts w:hint="eastAsia" w:ascii="宋体" w:hAnsi="宋体"/>
                <w:color w:val="auto"/>
                <w:sz w:val="21"/>
                <w:szCs w:val="21"/>
                <w:highlight w:val="none"/>
              </w:rPr>
            </w:pPr>
          </w:p>
        </w:tc>
        <w:tc>
          <w:tcPr>
            <w:tcW w:w="802" w:type="dxa"/>
            <w:vAlign w:val="top"/>
          </w:tcPr>
          <w:p>
            <w:pPr>
              <w:rPr>
                <w:rFonts w:hint="eastAsia" w:ascii="宋体" w:hAnsi="宋体"/>
                <w:color w:val="auto"/>
                <w:sz w:val="21"/>
                <w:szCs w:val="21"/>
                <w:highlight w:val="none"/>
              </w:rPr>
            </w:pPr>
          </w:p>
        </w:tc>
        <w:tc>
          <w:tcPr>
            <w:tcW w:w="802" w:type="dxa"/>
            <w:vAlign w:val="top"/>
          </w:tcPr>
          <w:p>
            <w:pPr>
              <w:rPr>
                <w:rFonts w:hint="eastAsia" w:ascii="宋体" w:hAnsi="宋体"/>
                <w:color w:val="auto"/>
                <w:sz w:val="21"/>
                <w:szCs w:val="21"/>
                <w:highlight w:val="none"/>
              </w:rPr>
            </w:pPr>
          </w:p>
        </w:tc>
        <w:tc>
          <w:tcPr>
            <w:tcW w:w="803" w:type="dxa"/>
            <w:vAlign w:val="top"/>
          </w:tcPr>
          <w:p>
            <w:pPr>
              <w:rPr>
                <w:rFonts w:hint="eastAsia" w:ascii="宋体" w:hAnsi="宋体"/>
                <w:color w:val="auto"/>
                <w:sz w:val="21"/>
                <w:szCs w:val="21"/>
                <w:highlight w:val="none"/>
              </w:rPr>
            </w:pPr>
          </w:p>
        </w:tc>
        <w:tc>
          <w:tcPr>
            <w:tcW w:w="1483" w:type="dxa"/>
            <w:vAlign w:val="top"/>
          </w:tcPr>
          <w:p>
            <w:pPr>
              <w:rPr>
                <w:rFonts w:hint="eastAsia" w:ascii="宋体" w:hAnsi="宋体"/>
                <w:color w:val="auto"/>
                <w:sz w:val="21"/>
                <w:szCs w:val="21"/>
                <w:highlight w:val="none"/>
              </w:rPr>
            </w:pPr>
          </w:p>
        </w:tc>
        <w:tc>
          <w:tcPr>
            <w:tcW w:w="1494" w:type="dxa"/>
            <w:vAlign w:val="top"/>
          </w:tcPr>
          <w:p>
            <w:pPr>
              <w:rPr>
                <w:rFonts w:hint="eastAsia" w:ascii="宋体" w:hAnsi="宋体"/>
                <w:color w:val="auto"/>
                <w:sz w:val="21"/>
                <w:szCs w:val="21"/>
                <w:highlight w:val="none"/>
              </w:rPr>
            </w:pPr>
          </w:p>
        </w:tc>
        <w:tc>
          <w:tcPr>
            <w:tcW w:w="1391" w:type="dxa"/>
            <w:vAlign w:val="top"/>
          </w:tcPr>
          <w:p>
            <w:pPr>
              <w:rPr>
                <w:rFonts w:hint="eastAsia" w:ascii="宋体" w:hAnsi="宋体"/>
                <w:color w:val="auto"/>
                <w:sz w:val="21"/>
                <w:szCs w:val="21"/>
                <w:highlight w:val="none"/>
              </w:rPr>
            </w:pPr>
          </w:p>
        </w:tc>
        <w:tc>
          <w:tcPr>
            <w:tcW w:w="828" w:type="dxa"/>
            <w:vAlign w:val="top"/>
          </w:tcPr>
          <w:p>
            <w:pPr>
              <w:rPr>
                <w:rFonts w:hint="eastAsia" w:ascii="宋体" w:hAnsi="宋体"/>
                <w:color w:val="auto"/>
                <w:sz w:val="21"/>
                <w:szCs w:val="21"/>
                <w:highlight w:val="none"/>
              </w:rPr>
            </w:pPr>
            <w:r>
              <w:rPr>
                <w:rFonts w:hint="eastAsia" w:ascii="宋体" w:hAnsi="宋体"/>
                <w:color w:val="auto"/>
                <w:sz w:val="21"/>
                <w:szCs w:val="21"/>
                <w:highlight w:val="none"/>
              </w:rPr>
              <w:t>项目负责人（即项目经理）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925" w:type="dxa"/>
            <w:vMerge w:val="continue"/>
            <w:vAlign w:val="top"/>
          </w:tcPr>
          <w:p>
            <w:pPr>
              <w:rPr>
                <w:rFonts w:hint="eastAsia" w:ascii="宋体" w:hAnsi="宋体"/>
                <w:color w:val="auto"/>
                <w:sz w:val="21"/>
                <w:szCs w:val="21"/>
                <w:highlight w:val="none"/>
              </w:rPr>
            </w:pPr>
          </w:p>
        </w:tc>
        <w:tc>
          <w:tcPr>
            <w:tcW w:w="802" w:type="dxa"/>
            <w:vAlign w:val="top"/>
          </w:tcPr>
          <w:p>
            <w:pPr>
              <w:rPr>
                <w:rFonts w:hint="eastAsia" w:ascii="宋体" w:hAnsi="宋体"/>
                <w:color w:val="auto"/>
                <w:sz w:val="21"/>
                <w:szCs w:val="21"/>
                <w:highlight w:val="none"/>
              </w:rPr>
            </w:pPr>
          </w:p>
        </w:tc>
        <w:tc>
          <w:tcPr>
            <w:tcW w:w="802" w:type="dxa"/>
            <w:vAlign w:val="top"/>
          </w:tcPr>
          <w:p>
            <w:pPr>
              <w:rPr>
                <w:rFonts w:hint="eastAsia" w:ascii="宋体" w:hAnsi="宋体"/>
                <w:color w:val="auto"/>
                <w:sz w:val="21"/>
                <w:szCs w:val="21"/>
                <w:highlight w:val="none"/>
              </w:rPr>
            </w:pPr>
          </w:p>
        </w:tc>
        <w:tc>
          <w:tcPr>
            <w:tcW w:w="803" w:type="dxa"/>
            <w:vAlign w:val="top"/>
          </w:tcPr>
          <w:p>
            <w:pPr>
              <w:rPr>
                <w:rFonts w:hint="eastAsia" w:ascii="宋体" w:hAnsi="宋体"/>
                <w:color w:val="auto"/>
                <w:sz w:val="21"/>
                <w:szCs w:val="21"/>
                <w:highlight w:val="none"/>
              </w:rPr>
            </w:pPr>
          </w:p>
        </w:tc>
        <w:tc>
          <w:tcPr>
            <w:tcW w:w="1483" w:type="dxa"/>
            <w:vAlign w:val="top"/>
          </w:tcPr>
          <w:p>
            <w:pPr>
              <w:rPr>
                <w:rFonts w:hint="eastAsia" w:ascii="宋体" w:hAnsi="宋体"/>
                <w:color w:val="auto"/>
                <w:sz w:val="21"/>
                <w:szCs w:val="21"/>
                <w:highlight w:val="none"/>
              </w:rPr>
            </w:pPr>
          </w:p>
        </w:tc>
        <w:tc>
          <w:tcPr>
            <w:tcW w:w="1494" w:type="dxa"/>
            <w:vAlign w:val="top"/>
          </w:tcPr>
          <w:p>
            <w:pPr>
              <w:rPr>
                <w:rFonts w:hint="eastAsia" w:ascii="宋体" w:hAnsi="宋体"/>
                <w:color w:val="auto"/>
                <w:sz w:val="21"/>
                <w:szCs w:val="21"/>
                <w:highlight w:val="none"/>
              </w:rPr>
            </w:pPr>
          </w:p>
        </w:tc>
        <w:tc>
          <w:tcPr>
            <w:tcW w:w="1391" w:type="dxa"/>
            <w:vAlign w:val="top"/>
          </w:tcPr>
          <w:p>
            <w:pPr>
              <w:rPr>
                <w:rFonts w:hint="eastAsia" w:ascii="宋体" w:hAnsi="宋体"/>
                <w:color w:val="auto"/>
                <w:sz w:val="21"/>
                <w:szCs w:val="21"/>
                <w:highlight w:val="none"/>
              </w:rPr>
            </w:pPr>
          </w:p>
        </w:tc>
        <w:tc>
          <w:tcPr>
            <w:tcW w:w="828" w:type="dxa"/>
            <w:vAlign w:val="top"/>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925" w:type="dxa"/>
            <w:vMerge w:val="continue"/>
            <w:vAlign w:val="top"/>
          </w:tcPr>
          <w:p>
            <w:pPr>
              <w:rPr>
                <w:rFonts w:hint="eastAsia" w:ascii="宋体" w:hAnsi="宋体"/>
                <w:color w:val="auto"/>
                <w:sz w:val="21"/>
                <w:szCs w:val="21"/>
                <w:highlight w:val="none"/>
              </w:rPr>
            </w:pPr>
          </w:p>
        </w:tc>
        <w:tc>
          <w:tcPr>
            <w:tcW w:w="802" w:type="dxa"/>
            <w:vAlign w:val="top"/>
          </w:tcPr>
          <w:p>
            <w:pPr>
              <w:rPr>
                <w:rFonts w:hint="eastAsia" w:ascii="宋体" w:hAnsi="宋体"/>
                <w:color w:val="auto"/>
                <w:sz w:val="21"/>
                <w:szCs w:val="21"/>
                <w:highlight w:val="none"/>
              </w:rPr>
            </w:pPr>
          </w:p>
        </w:tc>
        <w:tc>
          <w:tcPr>
            <w:tcW w:w="802" w:type="dxa"/>
            <w:vAlign w:val="top"/>
          </w:tcPr>
          <w:p>
            <w:pPr>
              <w:rPr>
                <w:rFonts w:hint="eastAsia" w:ascii="宋体" w:hAnsi="宋体"/>
                <w:color w:val="auto"/>
                <w:sz w:val="21"/>
                <w:szCs w:val="21"/>
                <w:highlight w:val="none"/>
              </w:rPr>
            </w:pPr>
          </w:p>
        </w:tc>
        <w:tc>
          <w:tcPr>
            <w:tcW w:w="803" w:type="dxa"/>
            <w:vAlign w:val="top"/>
          </w:tcPr>
          <w:p>
            <w:pPr>
              <w:rPr>
                <w:rFonts w:hint="eastAsia" w:ascii="宋体" w:hAnsi="宋体"/>
                <w:color w:val="auto"/>
                <w:sz w:val="21"/>
                <w:szCs w:val="21"/>
                <w:highlight w:val="none"/>
              </w:rPr>
            </w:pPr>
          </w:p>
        </w:tc>
        <w:tc>
          <w:tcPr>
            <w:tcW w:w="1483" w:type="dxa"/>
            <w:vAlign w:val="top"/>
          </w:tcPr>
          <w:p>
            <w:pPr>
              <w:rPr>
                <w:rFonts w:hint="eastAsia" w:ascii="宋体" w:hAnsi="宋体"/>
                <w:color w:val="auto"/>
                <w:sz w:val="21"/>
                <w:szCs w:val="21"/>
                <w:highlight w:val="none"/>
              </w:rPr>
            </w:pPr>
          </w:p>
        </w:tc>
        <w:tc>
          <w:tcPr>
            <w:tcW w:w="1494" w:type="dxa"/>
            <w:vAlign w:val="top"/>
          </w:tcPr>
          <w:p>
            <w:pPr>
              <w:rPr>
                <w:rFonts w:hint="eastAsia" w:ascii="宋体" w:hAnsi="宋体"/>
                <w:color w:val="auto"/>
                <w:sz w:val="21"/>
                <w:szCs w:val="21"/>
                <w:highlight w:val="none"/>
              </w:rPr>
            </w:pPr>
          </w:p>
        </w:tc>
        <w:tc>
          <w:tcPr>
            <w:tcW w:w="1391" w:type="dxa"/>
            <w:vAlign w:val="top"/>
          </w:tcPr>
          <w:p>
            <w:pPr>
              <w:rPr>
                <w:rFonts w:hint="eastAsia" w:ascii="宋体" w:hAnsi="宋体"/>
                <w:color w:val="auto"/>
                <w:sz w:val="21"/>
                <w:szCs w:val="21"/>
                <w:highlight w:val="none"/>
              </w:rPr>
            </w:pPr>
          </w:p>
        </w:tc>
        <w:tc>
          <w:tcPr>
            <w:tcW w:w="828" w:type="dxa"/>
            <w:vAlign w:val="top"/>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trPr>
        <w:tc>
          <w:tcPr>
            <w:tcW w:w="925" w:type="dxa"/>
            <w:vMerge w:val="restart"/>
            <w:vAlign w:val="top"/>
          </w:tcPr>
          <w:p>
            <w:pPr>
              <w:rPr>
                <w:rFonts w:hint="eastAsia" w:ascii="宋体" w:hAnsi="宋体"/>
                <w:color w:val="auto"/>
                <w:sz w:val="21"/>
                <w:szCs w:val="21"/>
                <w:highlight w:val="none"/>
              </w:rPr>
            </w:pPr>
          </w:p>
        </w:tc>
        <w:tc>
          <w:tcPr>
            <w:tcW w:w="802" w:type="dxa"/>
            <w:vAlign w:val="top"/>
          </w:tcPr>
          <w:p>
            <w:pPr>
              <w:rPr>
                <w:rFonts w:hint="eastAsia" w:ascii="宋体" w:hAnsi="宋体"/>
                <w:color w:val="auto"/>
                <w:sz w:val="21"/>
                <w:szCs w:val="21"/>
                <w:highlight w:val="none"/>
              </w:rPr>
            </w:pPr>
          </w:p>
        </w:tc>
        <w:tc>
          <w:tcPr>
            <w:tcW w:w="802" w:type="dxa"/>
            <w:vAlign w:val="top"/>
          </w:tcPr>
          <w:p>
            <w:pPr>
              <w:rPr>
                <w:rFonts w:hint="eastAsia" w:ascii="宋体" w:hAnsi="宋体"/>
                <w:color w:val="auto"/>
                <w:sz w:val="21"/>
                <w:szCs w:val="21"/>
                <w:highlight w:val="none"/>
              </w:rPr>
            </w:pPr>
          </w:p>
        </w:tc>
        <w:tc>
          <w:tcPr>
            <w:tcW w:w="803" w:type="dxa"/>
            <w:vAlign w:val="top"/>
          </w:tcPr>
          <w:p>
            <w:pPr>
              <w:rPr>
                <w:rFonts w:hint="eastAsia" w:ascii="宋体" w:hAnsi="宋体"/>
                <w:color w:val="auto"/>
                <w:sz w:val="21"/>
                <w:szCs w:val="21"/>
                <w:highlight w:val="none"/>
              </w:rPr>
            </w:pPr>
          </w:p>
        </w:tc>
        <w:tc>
          <w:tcPr>
            <w:tcW w:w="1483" w:type="dxa"/>
            <w:vAlign w:val="top"/>
          </w:tcPr>
          <w:p>
            <w:pPr>
              <w:rPr>
                <w:rFonts w:hint="eastAsia" w:ascii="宋体" w:hAnsi="宋体"/>
                <w:color w:val="auto"/>
                <w:sz w:val="21"/>
                <w:szCs w:val="21"/>
                <w:highlight w:val="none"/>
              </w:rPr>
            </w:pPr>
          </w:p>
        </w:tc>
        <w:tc>
          <w:tcPr>
            <w:tcW w:w="1494" w:type="dxa"/>
            <w:vAlign w:val="top"/>
          </w:tcPr>
          <w:p>
            <w:pPr>
              <w:rPr>
                <w:rFonts w:hint="eastAsia" w:ascii="宋体" w:hAnsi="宋体"/>
                <w:color w:val="auto"/>
                <w:sz w:val="21"/>
                <w:szCs w:val="21"/>
                <w:highlight w:val="none"/>
              </w:rPr>
            </w:pPr>
          </w:p>
        </w:tc>
        <w:tc>
          <w:tcPr>
            <w:tcW w:w="1391" w:type="dxa"/>
            <w:vAlign w:val="top"/>
          </w:tcPr>
          <w:p>
            <w:pPr>
              <w:rPr>
                <w:rFonts w:hint="eastAsia" w:ascii="宋体" w:hAnsi="宋体"/>
                <w:color w:val="auto"/>
                <w:sz w:val="21"/>
                <w:szCs w:val="21"/>
                <w:highlight w:val="none"/>
              </w:rPr>
            </w:pPr>
          </w:p>
        </w:tc>
        <w:tc>
          <w:tcPr>
            <w:tcW w:w="828" w:type="dxa"/>
            <w:vAlign w:val="top"/>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trPr>
        <w:tc>
          <w:tcPr>
            <w:tcW w:w="925" w:type="dxa"/>
            <w:vMerge w:val="continue"/>
            <w:vAlign w:val="top"/>
          </w:tcPr>
          <w:p>
            <w:pPr>
              <w:rPr>
                <w:rFonts w:hint="eastAsia" w:ascii="宋体" w:hAnsi="宋体"/>
                <w:color w:val="auto"/>
                <w:sz w:val="21"/>
                <w:szCs w:val="21"/>
                <w:highlight w:val="none"/>
              </w:rPr>
            </w:pPr>
          </w:p>
        </w:tc>
        <w:tc>
          <w:tcPr>
            <w:tcW w:w="802" w:type="dxa"/>
            <w:vAlign w:val="top"/>
          </w:tcPr>
          <w:p>
            <w:pPr>
              <w:rPr>
                <w:rFonts w:hint="eastAsia" w:ascii="宋体" w:hAnsi="宋体"/>
                <w:color w:val="auto"/>
                <w:sz w:val="21"/>
                <w:szCs w:val="21"/>
                <w:highlight w:val="none"/>
              </w:rPr>
            </w:pPr>
          </w:p>
        </w:tc>
        <w:tc>
          <w:tcPr>
            <w:tcW w:w="802" w:type="dxa"/>
            <w:vAlign w:val="top"/>
          </w:tcPr>
          <w:p>
            <w:pPr>
              <w:rPr>
                <w:rFonts w:hint="eastAsia" w:ascii="宋体" w:hAnsi="宋体"/>
                <w:color w:val="auto"/>
                <w:sz w:val="21"/>
                <w:szCs w:val="21"/>
                <w:highlight w:val="none"/>
              </w:rPr>
            </w:pPr>
          </w:p>
        </w:tc>
        <w:tc>
          <w:tcPr>
            <w:tcW w:w="803" w:type="dxa"/>
            <w:vAlign w:val="top"/>
          </w:tcPr>
          <w:p>
            <w:pPr>
              <w:rPr>
                <w:rFonts w:hint="eastAsia" w:ascii="宋体" w:hAnsi="宋体"/>
                <w:color w:val="auto"/>
                <w:sz w:val="21"/>
                <w:szCs w:val="21"/>
                <w:highlight w:val="none"/>
              </w:rPr>
            </w:pPr>
          </w:p>
        </w:tc>
        <w:tc>
          <w:tcPr>
            <w:tcW w:w="1483" w:type="dxa"/>
            <w:vAlign w:val="top"/>
          </w:tcPr>
          <w:p>
            <w:pPr>
              <w:rPr>
                <w:rFonts w:hint="eastAsia" w:ascii="宋体" w:hAnsi="宋体"/>
                <w:color w:val="auto"/>
                <w:sz w:val="21"/>
                <w:szCs w:val="21"/>
                <w:highlight w:val="none"/>
              </w:rPr>
            </w:pPr>
          </w:p>
        </w:tc>
        <w:tc>
          <w:tcPr>
            <w:tcW w:w="1494" w:type="dxa"/>
            <w:vAlign w:val="top"/>
          </w:tcPr>
          <w:p>
            <w:pPr>
              <w:rPr>
                <w:rFonts w:hint="eastAsia" w:ascii="宋体" w:hAnsi="宋体"/>
                <w:color w:val="auto"/>
                <w:sz w:val="21"/>
                <w:szCs w:val="21"/>
                <w:highlight w:val="none"/>
              </w:rPr>
            </w:pPr>
          </w:p>
        </w:tc>
        <w:tc>
          <w:tcPr>
            <w:tcW w:w="1391" w:type="dxa"/>
            <w:vAlign w:val="top"/>
          </w:tcPr>
          <w:p>
            <w:pPr>
              <w:rPr>
                <w:rFonts w:hint="eastAsia" w:ascii="宋体" w:hAnsi="宋体"/>
                <w:color w:val="auto"/>
                <w:sz w:val="21"/>
                <w:szCs w:val="21"/>
                <w:highlight w:val="none"/>
              </w:rPr>
            </w:pPr>
          </w:p>
        </w:tc>
        <w:tc>
          <w:tcPr>
            <w:tcW w:w="828" w:type="dxa"/>
            <w:vAlign w:val="top"/>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925" w:type="dxa"/>
            <w:vMerge w:val="continue"/>
            <w:vAlign w:val="top"/>
          </w:tcPr>
          <w:p>
            <w:pPr>
              <w:rPr>
                <w:rFonts w:hint="eastAsia" w:ascii="宋体" w:hAnsi="宋体"/>
                <w:color w:val="auto"/>
                <w:sz w:val="21"/>
                <w:szCs w:val="21"/>
                <w:highlight w:val="none"/>
              </w:rPr>
            </w:pPr>
          </w:p>
        </w:tc>
        <w:tc>
          <w:tcPr>
            <w:tcW w:w="802" w:type="dxa"/>
            <w:vAlign w:val="top"/>
          </w:tcPr>
          <w:p>
            <w:pPr>
              <w:rPr>
                <w:rFonts w:hint="eastAsia" w:ascii="宋体" w:hAnsi="宋体"/>
                <w:color w:val="auto"/>
                <w:sz w:val="21"/>
                <w:szCs w:val="21"/>
                <w:highlight w:val="none"/>
              </w:rPr>
            </w:pPr>
          </w:p>
        </w:tc>
        <w:tc>
          <w:tcPr>
            <w:tcW w:w="802" w:type="dxa"/>
            <w:vAlign w:val="top"/>
          </w:tcPr>
          <w:p>
            <w:pPr>
              <w:rPr>
                <w:rFonts w:hint="eastAsia" w:ascii="宋体" w:hAnsi="宋体"/>
                <w:color w:val="auto"/>
                <w:sz w:val="21"/>
                <w:szCs w:val="21"/>
                <w:highlight w:val="none"/>
              </w:rPr>
            </w:pPr>
          </w:p>
        </w:tc>
        <w:tc>
          <w:tcPr>
            <w:tcW w:w="803" w:type="dxa"/>
            <w:vAlign w:val="top"/>
          </w:tcPr>
          <w:p>
            <w:pPr>
              <w:rPr>
                <w:rFonts w:hint="eastAsia" w:ascii="宋体" w:hAnsi="宋体"/>
                <w:color w:val="auto"/>
                <w:sz w:val="21"/>
                <w:szCs w:val="21"/>
                <w:highlight w:val="none"/>
              </w:rPr>
            </w:pPr>
          </w:p>
        </w:tc>
        <w:tc>
          <w:tcPr>
            <w:tcW w:w="1483" w:type="dxa"/>
            <w:vAlign w:val="top"/>
          </w:tcPr>
          <w:p>
            <w:pPr>
              <w:rPr>
                <w:rFonts w:hint="eastAsia" w:ascii="宋体" w:hAnsi="宋体"/>
                <w:color w:val="auto"/>
                <w:sz w:val="21"/>
                <w:szCs w:val="21"/>
                <w:highlight w:val="none"/>
              </w:rPr>
            </w:pPr>
          </w:p>
        </w:tc>
        <w:tc>
          <w:tcPr>
            <w:tcW w:w="1494" w:type="dxa"/>
            <w:vAlign w:val="top"/>
          </w:tcPr>
          <w:p>
            <w:pPr>
              <w:rPr>
                <w:rFonts w:hint="eastAsia" w:ascii="宋体" w:hAnsi="宋体"/>
                <w:color w:val="auto"/>
                <w:sz w:val="21"/>
                <w:szCs w:val="21"/>
                <w:highlight w:val="none"/>
              </w:rPr>
            </w:pPr>
          </w:p>
        </w:tc>
        <w:tc>
          <w:tcPr>
            <w:tcW w:w="1391" w:type="dxa"/>
            <w:vAlign w:val="top"/>
          </w:tcPr>
          <w:p>
            <w:pPr>
              <w:rPr>
                <w:rFonts w:hint="eastAsia" w:ascii="宋体" w:hAnsi="宋体"/>
                <w:color w:val="auto"/>
                <w:sz w:val="21"/>
                <w:szCs w:val="21"/>
                <w:highlight w:val="none"/>
              </w:rPr>
            </w:pPr>
          </w:p>
        </w:tc>
        <w:tc>
          <w:tcPr>
            <w:tcW w:w="828" w:type="dxa"/>
            <w:vAlign w:val="top"/>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925" w:type="dxa"/>
            <w:vMerge w:val="continue"/>
            <w:vAlign w:val="top"/>
          </w:tcPr>
          <w:p>
            <w:pPr>
              <w:rPr>
                <w:rFonts w:hint="eastAsia" w:ascii="宋体" w:hAnsi="宋体"/>
                <w:color w:val="auto"/>
                <w:sz w:val="21"/>
                <w:szCs w:val="21"/>
                <w:highlight w:val="none"/>
              </w:rPr>
            </w:pPr>
          </w:p>
        </w:tc>
        <w:tc>
          <w:tcPr>
            <w:tcW w:w="802" w:type="dxa"/>
            <w:vAlign w:val="top"/>
          </w:tcPr>
          <w:p>
            <w:pPr>
              <w:rPr>
                <w:rFonts w:hint="eastAsia" w:ascii="宋体" w:hAnsi="宋体"/>
                <w:color w:val="auto"/>
                <w:sz w:val="21"/>
                <w:szCs w:val="21"/>
                <w:highlight w:val="none"/>
              </w:rPr>
            </w:pPr>
          </w:p>
        </w:tc>
        <w:tc>
          <w:tcPr>
            <w:tcW w:w="802" w:type="dxa"/>
            <w:vAlign w:val="top"/>
          </w:tcPr>
          <w:p>
            <w:pPr>
              <w:rPr>
                <w:rFonts w:hint="eastAsia" w:ascii="宋体" w:hAnsi="宋体"/>
                <w:color w:val="auto"/>
                <w:sz w:val="21"/>
                <w:szCs w:val="21"/>
                <w:highlight w:val="none"/>
              </w:rPr>
            </w:pPr>
          </w:p>
        </w:tc>
        <w:tc>
          <w:tcPr>
            <w:tcW w:w="803" w:type="dxa"/>
            <w:vAlign w:val="top"/>
          </w:tcPr>
          <w:p>
            <w:pPr>
              <w:rPr>
                <w:rFonts w:hint="eastAsia" w:ascii="宋体" w:hAnsi="宋体"/>
                <w:color w:val="auto"/>
                <w:sz w:val="21"/>
                <w:szCs w:val="21"/>
                <w:highlight w:val="none"/>
              </w:rPr>
            </w:pPr>
          </w:p>
        </w:tc>
        <w:tc>
          <w:tcPr>
            <w:tcW w:w="1483" w:type="dxa"/>
            <w:vAlign w:val="top"/>
          </w:tcPr>
          <w:p>
            <w:pPr>
              <w:rPr>
                <w:rFonts w:hint="eastAsia" w:ascii="宋体" w:hAnsi="宋体"/>
                <w:color w:val="auto"/>
                <w:sz w:val="21"/>
                <w:szCs w:val="21"/>
                <w:highlight w:val="none"/>
              </w:rPr>
            </w:pPr>
          </w:p>
        </w:tc>
        <w:tc>
          <w:tcPr>
            <w:tcW w:w="1494" w:type="dxa"/>
            <w:vAlign w:val="top"/>
          </w:tcPr>
          <w:p>
            <w:pPr>
              <w:rPr>
                <w:rFonts w:hint="eastAsia" w:ascii="宋体" w:hAnsi="宋体"/>
                <w:color w:val="auto"/>
                <w:sz w:val="21"/>
                <w:szCs w:val="21"/>
                <w:highlight w:val="none"/>
              </w:rPr>
            </w:pPr>
          </w:p>
        </w:tc>
        <w:tc>
          <w:tcPr>
            <w:tcW w:w="1391" w:type="dxa"/>
            <w:vAlign w:val="top"/>
          </w:tcPr>
          <w:p>
            <w:pPr>
              <w:rPr>
                <w:rFonts w:hint="eastAsia" w:ascii="宋体" w:hAnsi="宋体"/>
                <w:color w:val="auto"/>
                <w:sz w:val="21"/>
                <w:szCs w:val="21"/>
                <w:highlight w:val="none"/>
              </w:rPr>
            </w:pPr>
          </w:p>
        </w:tc>
        <w:tc>
          <w:tcPr>
            <w:tcW w:w="828" w:type="dxa"/>
            <w:vAlign w:val="top"/>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 w:hRule="atLeast"/>
        </w:trPr>
        <w:tc>
          <w:tcPr>
            <w:tcW w:w="925" w:type="dxa"/>
            <w:vMerge w:val="restart"/>
            <w:vAlign w:val="top"/>
          </w:tcPr>
          <w:p>
            <w:pPr>
              <w:rPr>
                <w:rFonts w:hint="eastAsia" w:ascii="宋体" w:hAnsi="宋体"/>
                <w:color w:val="auto"/>
                <w:sz w:val="21"/>
                <w:szCs w:val="21"/>
                <w:highlight w:val="none"/>
              </w:rPr>
            </w:pPr>
          </w:p>
        </w:tc>
        <w:tc>
          <w:tcPr>
            <w:tcW w:w="802" w:type="dxa"/>
            <w:vAlign w:val="top"/>
          </w:tcPr>
          <w:p>
            <w:pPr>
              <w:rPr>
                <w:rFonts w:hint="eastAsia" w:ascii="宋体" w:hAnsi="宋体"/>
                <w:color w:val="auto"/>
                <w:sz w:val="21"/>
                <w:szCs w:val="21"/>
                <w:highlight w:val="none"/>
              </w:rPr>
            </w:pPr>
          </w:p>
        </w:tc>
        <w:tc>
          <w:tcPr>
            <w:tcW w:w="802" w:type="dxa"/>
            <w:vAlign w:val="top"/>
          </w:tcPr>
          <w:p>
            <w:pPr>
              <w:rPr>
                <w:rFonts w:hint="eastAsia" w:ascii="宋体" w:hAnsi="宋体"/>
                <w:color w:val="auto"/>
                <w:sz w:val="21"/>
                <w:szCs w:val="21"/>
                <w:highlight w:val="none"/>
              </w:rPr>
            </w:pPr>
          </w:p>
        </w:tc>
        <w:tc>
          <w:tcPr>
            <w:tcW w:w="803" w:type="dxa"/>
            <w:vAlign w:val="top"/>
          </w:tcPr>
          <w:p>
            <w:pPr>
              <w:rPr>
                <w:rFonts w:hint="eastAsia" w:ascii="宋体" w:hAnsi="宋体"/>
                <w:color w:val="auto"/>
                <w:sz w:val="21"/>
                <w:szCs w:val="21"/>
                <w:highlight w:val="none"/>
              </w:rPr>
            </w:pPr>
          </w:p>
        </w:tc>
        <w:tc>
          <w:tcPr>
            <w:tcW w:w="1483" w:type="dxa"/>
            <w:vAlign w:val="top"/>
          </w:tcPr>
          <w:p>
            <w:pPr>
              <w:rPr>
                <w:rFonts w:hint="eastAsia" w:ascii="宋体" w:hAnsi="宋体"/>
                <w:color w:val="auto"/>
                <w:sz w:val="21"/>
                <w:szCs w:val="21"/>
                <w:highlight w:val="none"/>
              </w:rPr>
            </w:pPr>
          </w:p>
        </w:tc>
        <w:tc>
          <w:tcPr>
            <w:tcW w:w="1494" w:type="dxa"/>
            <w:vAlign w:val="top"/>
          </w:tcPr>
          <w:p>
            <w:pPr>
              <w:rPr>
                <w:rFonts w:hint="eastAsia" w:ascii="宋体" w:hAnsi="宋体"/>
                <w:color w:val="auto"/>
                <w:sz w:val="21"/>
                <w:szCs w:val="21"/>
                <w:highlight w:val="none"/>
              </w:rPr>
            </w:pPr>
          </w:p>
        </w:tc>
        <w:tc>
          <w:tcPr>
            <w:tcW w:w="1391" w:type="dxa"/>
            <w:vAlign w:val="top"/>
          </w:tcPr>
          <w:p>
            <w:pPr>
              <w:rPr>
                <w:rFonts w:hint="eastAsia" w:ascii="宋体" w:hAnsi="宋体"/>
                <w:color w:val="auto"/>
                <w:sz w:val="21"/>
                <w:szCs w:val="21"/>
                <w:highlight w:val="none"/>
              </w:rPr>
            </w:pPr>
          </w:p>
        </w:tc>
        <w:tc>
          <w:tcPr>
            <w:tcW w:w="828" w:type="dxa"/>
            <w:vAlign w:val="top"/>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925" w:type="dxa"/>
            <w:vMerge w:val="continue"/>
            <w:vAlign w:val="top"/>
          </w:tcPr>
          <w:p>
            <w:pPr>
              <w:rPr>
                <w:rFonts w:hint="eastAsia" w:ascii="宋体" w:hAnsi="宋体"/>
                <w:color w:val="auto"/>
                <w:sz w:val="21"/>
                <w:szCs w:val="21"/>
                <w:highlight w:val="none"/>
              </w:rPr>
            </w:pPr>
          </w:p>
        </w:tc>
        <w:tc>
          <w:tcPr>
            <w:tcW w:w="802" w:type="dxa"/>
            <w:vAlign w:val="top"/>
          </w:tcPr>
          <w:p>
            <w:pPr>
              <w:rPr>
                <w:rFonts w:hint="eastAsia" w:ascii="宋体" w:hAnsi="宋体"/>
                <w:color w:val="auto"/>
                <w:sz w:val="21"/>
                <w:szCs w:val="21"/>
                <w:highlight w:val="none"/>
              </w:rPr>
            </w:pPr>
          </w:p>
        </w:tc>
        <w:tc>
          <w:tcPr>
            <w:tcW w:w="802" w:type="dxa"/>
            <w:vAlign w:val="top"/>
          </w:tcPr>
          <w:p>
            <w:pPr>
              <w:rPr>
                <w:rFonts w:hint="eastAsia" w:ascii="宋体" w:hAnsi="宋体"/>
                <w:color w:val="auto"/>
                <w:sz w:val="21"/>
                <w:szCs w:val="21"/>
                <w:highlight w:val="none"/>
              </w:rPr>
            </w:pPr>
          </w:p>
        </w:tc>
        <w:tc>
          <w:tcPr>
            <w:tcW w:w="803" w:type="dxa"/>
            <w:vAlign w:val="top"/>
          </w:tcPr>
          <w:p>
            <w:pPr>
              <w:rPr>
                <w:rFonts w:hint="eastAsia" w:ascii="宋体" w:hAnsi="宋体"/>
                <w:color w:val="auto"/>
                <w:sz w:val="21"/>
                <w:szCs w:val="21"/>
                <w:highlight w:val="none"/>
              </w:rPr>
            </w:pPr>
          </w:p>
        </w:tc>
        <w:tc>
          <w:tcPr>
            <w:tcW w:w="1483" w:type="dxa"/>
            <w:vAlign w:val="top"/>
          </w:tcPr>
          <w:p>
            <w:pPr>
              <w:rPr>
                <w:rFonts w:hint="eastAsia" w:ascii="宋体" w:hAnsi="宋体"/>
                <w:color w:val="auto"/>
                <w:sz w:val="21"/>
                <w:szCs w:val="21"/>
                <w:highlight w:val="none"/>
              </w:rPr>
            </w:pPr>
          </w:p>
        </w:tc>
        <w:tc>
          <w:tcPr>
            <w:tcW w:w="1494" w:type="dxa"/>
            <w:vAlign w:val="top"/>
          </w:tcPr>
          <w:p>
            <w:pPr>
              <w:rPr>
                <w:rFonts w:hint="eastAsia" w:ascii="宋体" w:hAnsi="宋体"/>
                <w:color w:val="auto"/>
                <w:sz w:val="21"/>
                <w:szCs w:val="21"/>
                <w:highlight w:val="none"/>
              </w:rPr>
            </w:pPr>
          </w:p>
        </w:tc>
        <w:tc>
          <w:tcPr>
            <w:tcW w:w="1391" w:type="dxa"/>
            <w:vAlign w:val="top"/>
          </w:tcPr>
          <w:p>
            <w:pPr>
              <w:rPr>
                <w:rFonts w:hint="eastAsia" w:ascii="宋体" w:hAnsi="宋体"/>
                <w:color w:val="auto"/>
                <w:sz w:val="21"/>
                <w:szCs w:val="21"/>
                <w:highlight w:val="none"/>
              </w:rPr>
            </w:pPr>
          </w:p>
        </w:tc>
        <w:tc>
          <w:tcPr>
            <w:tcW w:w="828" w:type="dxa"/>
            <w:vAlign w:val="top"/>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925" w:type="dxa"/>
            <w:vMerge w:val="continue"/>
            <w:vAlign w:val="top"/>
          </w:tcPr>
          <w:p>
            <w:pPr>
              <w:rPr>
                <w:rFonts w:hint="eastAsia" w:ascii="宋体" w:hAnsi="宋体"/>
                <w:color w:val="auto"/>
                <w:sz w:val="21"/>
                <w:szCs w:val="21"/>
                <w:highlight w:val="none"/>
              </w:rPr>
            </w:pPr>
          </w:p>
        </w:tc>
        <w:tc>
          <w:tcPr>
            <w:tcW w:w="802" w:type="dxa"/>
            <w:vAlign w:val="top"/>
          </w:tcPr>
          <w:p>
            <w:pPr>
              <w:rPr>
                <w:rFonts w:hint="eastAsia" w:ascii="宋体" w:hAnsi="宋体"/>
                <w:color w:val="auto"/>
                <w:sz w:val="21"/>
                <w:szCs w:val="21"/>
                <w:highlight w:val="none"/>
              </w:rPr>
            </w:pPr>
          </w:p>
        </w:tc>
        <w:tc>
          <w:tcPr>
            <w:tcW w:w="802" w:type="dxa"/>
            <w:vAlign w:val="top"/>
          </w:tcPr>
          <w:p>
            <w:pPr>
              <w:rPr>
                <w:rFonts w:hint="eastAsia" w:ascii="宋体" w:hAnsi="宋体"/>
                <w:color w:val="auto"/>
                <w:sz w:val="21"/>
                <w:szCs w:val="21"/>
                <w:highlight w:val="none"/>
              </w:rPr>
            </w:pPr>
          </w:p>
        </w:tc>
        <w:tc>
          <w:tcPr>
            <w:tcW w:w="803" w:type="dxa"/>
            <w:vAlign w:val="top"/>
          </w:tcPr>
          <w:p>
            <w:pPr>
              <w:rPr>
                <w:rFonts w:hint="eastAsia" w:ascii="宋体" w:hAnsi="宋体"/>
                <w:color w:val="auto"/>
                <w:sz w:val="21"/>
                <w:szCs w:val="21"/>
                <w:highlight w:val="none"/>
              </w:rPr>
            </w:pPr>
          </w:p>
        </w:tc>
        <w:tc>
          <w:tcPr>
            <w:tcW w:w="1483" w:type="dxa"/>
            <w:vAlign w:val="top"/>
          </w:tcPr>
          <w:p>
            <w:pPr>
              <w:rPr>
                <w:rFonts w:hint="eastAsia" w:ascii="宋体" w:hAnsi="宋体"/>
                <w:color w:val="auto"/>
                <w:sz w:val="21"/>
                <w:szCs w:val="21"/>
                <w:highlight w:val="none"/>
              </w:rPr>
            </w:pPr>
          </w:p>
        </w:tc>
        <w:tc>
          <w:tcPr>
            <w:tcW w:w="1494" w:type="dxa"/>
            <w:vAlign w:val="top"/>
          </w:tcPr>
          <w:p>
            <w:pPr>
              <w:rPr>
                <w:rFonts w:hint="eastAsia" w:ascii="宋体" w:hAnsi="宋体"/>
                <w:color w:val="auto"/>
                <w:sz w:val="21"/>
                <w:szCs w:val="21"/>
                <w:highlight w:val="none"/>
              </w:rPr>
            </w:pPr>
          </w:p>
        </w:tc>
        <w:tc>
          <w:tcPr>
            <w:tcW w:w="1391" w:type="dxa"/>
            <w:vAlign w:val="top"/>
          </w:tcPr>
          <w:p>
            <w:pPr>
              <w:rPr>
                <w:rFonts w:hint="eastAsia" w:ascii="宋体" w:hAnsi="宋体"/>
                <w:color w:val="auto"/>
                <w:sz w:val="21"/>
                <w:szCs w:val="21"/>
                <w:highlight w:val="none"/>
              </w:rPr>
            </w:pPr>
          </w:p>
        </w:tc>
        <w:tc>
          <w:tcPr>
            <w:tcW w:w="828" w:type="dxa"/>
            <w:vAlign w:val="top"/>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925" w:type="dxa"/>
            <w:vMerge w:val="continue"/>
            <w:vAlign w:val="top"/>
          </w:tcPr>
          <w:p>
            <w:pPr>
              <w:rPr>
                <w:rFonts w:hint="eastAsia" w:ascii="宋体" w:hAnsi="宋体"/>
                <w:color w:val="auto"/>
                <w:sz w:val="21"/>
                <w:szCs w:val="21"/>
                <w:highlight w:val="none"/>
              </w:rPr>
            </w:pPr>
          </w:p>
        </w:tc>
        <w:tc>
          <w:tcPr>
            <w:tcW w:w="802" w:type="dxa"/>
            <w:vAlign w:val="top"/>
          </w:tcPr>
          <w:p>
            <w:pPr>
              <w:rPr>
                <w:rFonts w:hint="eastAsia" w:ascii="宋体" w:hAnsi="宋体"/>
                <w:color w:val="auto"/>
                <w:sz w:val="21"/>
                <w:szCs w:val="21"/>
                <w:highlight w:val="none"/>
              </w:rPr>
            </w:pPr>
          </w:p>
        </w:tc>
        <w:tc>
          <w:tcPr>
            <w:tcW w:w="802" w:type="dxa"/>
            <w:vAlign w:val="top"/>
          </w:tcPr>
          <w:p>
            <w:pPr>
              <w:rPr>
                <w:rFonts w:hint="eastAsia" w:ascii="宋体" w:hAnsi="宋体"/>
                <w:color w:val="auto"/>
                <w:sz w:val="21"/>
                <w:szCs w:val="21"/>
                <w:highlight w:val="none"/>
              </w:rPr>
            </w:pPr>
          </w:p>
        </w:tc>
        <w:tc>
          <w:tcPr>
            <w:tcW w:w="803" w:type="dxa"/>
            <w:vAlign w:val="top"/>
          </w:tcPr>
          <w:p>
            <w:pPr>
              <w:rPr>
                <w:rFonts w:hint="eastAsia" w:ascii="宋体" w:hAnsi="宋体"/>
                <w:color w:val="auto"/>
                <w:sz w:val="21"/>
                <w:szCs w:val="21"/>
                <w:highlight w:val="none"/>
              </w:rPr>
            </w:pPr>
          </w:p>
        </w:tc>
        <w:tc>
          <w:tcPr>
            <w:tcW w:w="1483" w:type="dxa"/>
            <w:vAlign w:val="top"/>
          </w:tcPr>
          <w:p>
            <w:pPr>
              <w:rPr>
                <w:rFonts w:hint="eastAsia" w:ascii="宋体" w:hAnsi="宋体"/>
                <w:color w:val="auto"/>
                <w:sz w:val="21"/>
                <w:szCs w:val="21"/>
                <w:highlight w:val="none"/>
              </w:rPr>
            </w:pPr>
          </w:p>
        </w:tc>
        <w:tc>
          <w:tcPr>
            <w:tcW w:w="1494" w:type="dxa"/>
            <w:vAlign w:val="top"/>
          </w:tcPr>
          <w:p>
            <w:pPr>
              <w:rPr>
                <w:rFonts w:hint="eastAsia" w:ascii="宋体" w:hAnsi="宋体"/>
                <w:color w:val="auto"/>
                <w:sz w:val="21"/>
                <w:szCs w:val="21"/>
                <w:highlight w:val="none"/>
              </w:rPr>
            </w:pPr>
          </w:p>
        </w:tc>
        <w:tc>
          <w:tcPr>
            <w:tcW w:w="1391" w:type="dxa"/>
            <w:vAlign w:val="top"/>
          </w:tcPr>
          <w:p>
            <w:pPr>
              <w:rPr>
                <w:rFonts w:hint="eastAsia" w:ascii="宋体" w:hAnsi="宋体"/>
                <w:color w:val="auto"/>
                <w:sz w:val="21"/>
                <w:szCs w:val="21"/>
                <w:highlight w:val="none"/>
              </w:rPr>
            </w:pPr>
          </w:p>
        </w:tc>
        <w:tc>
          <w:tcPr>
            <w:tcW w:w="828" w:type="dxa"/>
            <w:vAlign w:val="top"/>
          </w:tcPr>
          <w:p>
            <w:pPr>
              <w:rPr>
                <w:rFonts w:hint="eastAsia" w:ascii="宋体" w:hAnsi="宋体"/>
                <w:color w:val="auto"/>
                <w:sz w:val="21"/>
                <w:szCs w:val="21"/>
                <w:highlight w:val="none"/>
              </w:rPr>
            </w:pPr>
          </w:p>
        </w:tc>
      </w:tr>
    </w:tbl>
    <w:p>
      <w:pPr>
        <w:spacing w:line="240" w:lineRule="auto"/>
        <w:ind w:right="360"/>
        <w:rPr>
          <w:rFonts w:hint="eastAsia"/>
          <w:color w:val="auto"/>
          <w:sz w:val="21"/>
          <w:szCs w:val="21"/>
          <w:highlight w:val="none"/>
        </w:rPr>
      </w:pPr>
      <w:r>
        <w:rPr>
          <w:rFonts w:hint="eastAsia" w:ascii="宋体" w:hAnsi="宋体"/>
          <w:bCs/>
          <w:color w:val="auto"/>
          <w:sz w:val="21"/>
          <w:szCs w:val="21"/>
          <w:highlight w:val="none"/>
        </w:rPr>
        <w:t>注: 1、</w:t>
      </w:r>
      <w:r>
        <w:rPr>
          <w:rFonts w:hint="eastAsia"/>
          <w:color w:val="auto"/>
          <w:sz w:val="21"/>
          <w:szCs w:val="21"/>
          <w:highlight w:val="none"/>
        </w:rPr>
        <w:t>拟投入本标段的人员须包含项目负责人、巡查考核人员、电工（兼修理工）和养护人员，其中电工、巡查考核人员每个标段至少各配1名，养护人员每个标段按不少于25000m</w:t>
      </w:r>
      <w:r>
        <w:rPr>
          <w:rFonts w:hint="eastAsia"/>
          <w:color w:val="auto"/>
          <w:sz w:val="21"/>
          <w:szCs w:val="21"/>
          <w:highlight w:val="none"/>
          <w:vertAlign w:val="superscript"/>
        </w:rPr>
        <w:t>2</w:t>
      </w:r>
      <w:r>
        <w:rPr>
          <w:rFonts w:hint="eastAsia"/>
          <w:color w:val="auto"/>
          <w:sz w:val="21"/>
          <w:szCs w:val="21"/>
          <w:highlight w:val="none"/>
        </w:rPr>
        <w:t>/人配备（计算结果出现小数点的需向上递增取整）。</w:t>
      </w:r>
      <w:r>
        <w:rPr>
          <w:rFonts w:hint="eastAsia" w:ascii="宋体" w:hAnsi="宋体"/>
          <w:bCs/>
          <w:color w:val="auto"/>
          <w:sz w:val="21"/>
          <w:szCs w:val="21"/>
          <w:highlight w:val="none"/>
        </w:rPr>
        <w:t>以上人员中如已为</w:t>
      </w:r>
      <w:r>
        <w:rPr>
          <w:rFonts w:hint="eastAsia" w:ascii="宋体" w:hAnsi="宋体"/>
          <w:bCs/>
          <w:color w:val="auto"/>
          <w:sz w:val="21"/>
          <w:szCs w:val="21"/>
          <w:highlight w:val="none"/>
          <w:lang w:eastAsia="zh-CN"/>
        </w:rPr>
        <w:t>投标人</w:t>
      </w:r>
      <w:r>
        <w:rPr>
          <w:rFonts w:hint="eastAsia" w:ascii="宋体" w:hAnsi="宋体"/>
          <w:bCs/>
          <w:color w:val="auto"/>
          <w:sz w:val="21"/>
          <w:szCs w:val="21"/>
          <w:highlight w:val="none"/>
        </w:rPr>
        <w:t>正式职工的，</w:t>
      </w:r>
      <w:r>
        <w:rPr>
          <w:rFonts w:hint="eastAsia"/>
          <w:color w:val="auto"/>
          <w:sz w:val="21"/>
          <w:szCs w:val="21"/>
          <w:highlight w:val="none"/>
        </w:rPr>
        <w:t>投标文件中提供相关人员</w:t>
      </w:r>
      <w:r>
        <w:rPr>
          <w:rFonts w:hint="eastAsia" w:cs="宋体"/>
          <w:color w:val="auto"/>
          <w:sz w:val="21"/>
          <w:szCs w:val="21"/>
          <w:highlight w:val="none"/>
        </w:rPr>
        <w:t>社会保险参保证明（</w:t>
      </w:r>
      <w:r>
        <w:rPr>
          <w:rFonts w:hint="eastAsia" w:cs="宋体"/>
          <w:color w:val="auto"/>
          <w:sz w:val="21"/>
          <w:szCs w:val="21"/>
          <w:highlight w:val="none"/>
          <w:lang w:val="en-US" w:eastAsia="zh-CN"/>
        </w:rPr>
        <w:t>能证明距</w:t>
      </w:r>
      <w:r>
        <w:rPr>
          <w:rFonts w:hint="eastAsia" w:cs="宋体"/>
          <w:color w:val="auto"/>
          <w:sz w:val="21"/>
          <w:szCs w:val="21"/>
          <w:highlight w:val="none"/>
        </w:rPr>
        <w:t>开标日</w:t>
      </w:r>
      <w:r>
        <w:rPr>
          <w:rFonts w:hint="eastAsia" w:cs="宋体"/>
          <w:color w:val="auto"/>
          <w:sz w:val="21"/>
          <w:szCs w:val="21"/>
          <w:highlight w:val="none"/>
          <w:lang w:val="en-US" w:eastAsia="zh-CN"/>
        </w:rPr>
        <w:t>近三个</w:t>
      </w:r>
      <w:r>
        <w:rPr>
          <w:rFonts w:hint="eastAsia" w:cs="宋体"/>
          <w:color w:val="auto"/>
          <w:sz w:val="21"/>
          <w:szCs w:val="21"/>
          <w:highlight w:val="none"/>
        </w:rPr>
        <w:t>月该人员的社会保险</w:t>
      </w:r>
      <w:r>
        <w:rPr>
          <w:rFonts w:hint="eastAsia" w:cs="宋体"/>
          <w:color w:val="auto"/>
          <w:sz w:val="21"/>
          <w:szCs w:val="21"/>
          <w:highlight w:val="none"/>
          <w:lang w:val="en-US" w:eastAsia="zh-CN"/>
        </w:rPr>
        <w:t>均</w:t>
      </w:r>
      <w:r>
        <w:rPr>
          <w:rFonts w:hint="eastAsia" w:cs="宋体"/>
          <w:color w:val="auto"/>
          <w:sz w:val="21"/>
          <w:szCs w:val="21"/>
          <w:highlight w:val="none"/>
        </w:rPr>
        <w:t>正常缴纳，且该三个月社会保险费的缴费单位均为</w:t>
      </w:r>
      <w:r>
        <w:rPr>
          <w:rFonts w:hint="eastAsia" w:cs="宋体"/>
          <w:color w:val="auto"/>
          <w:sz w:val="21"/>
          <w:szCs w:val="21"/>
          <w:highlight w:val="none"/>
          <w:lang w:eastAsia="zh-CN"/>
        </w:rPr>
        <w:t>投标人</w:t>
      </w:r>
      <w:r>
        <w:rPr>
          <w:rFonts w:hint="eastAsia" w:ascii="宋体" w:hAnsi="宋体" w:cs="宋体"/>
          <w:color w:val="auto"/>
          <w:sz w:val="21"/>
          <w:szCs w:val="21"/>
          <w:highlight w:val="none"/>
        </w:rPr>
        <w:t>，</w:t>
      </w:r>
      <w:r>
        <w:rPr>
          <w:rFonts w:hint="eastAsia"/>
          <w:color w:val="auto"/>
          <w:sz w:val="21"/>
          <w:szCs w:val="21"/>
          <w:highlight w:val="none"/>
        </w:rPr>
        <w:t>与本水质提升项目相关的上岗</w:t>
      </w:r>
      <w:r>
        <w:rPr>
          <w:color w:val="auto"/>
          <w:sz w:val="21"/>
          <w:szCs w:val="21"/>
          <w:highlight w:val="none"/>
        </w:rPr>
        <w:t>/</w:t>
      </w:r>
      <w:r>
        <w:rPr>
          <w:rFonts w:hint="eastAsia"/>
          <w:color w:val="auto"/>
          <w:sz w:val="21"/>
          <w:szCs w:val="21"/>
          <w:highlight w:val="none"/>
        </w:rPr>
        <w:t>职称证书等复印件；复印件加盖公章，</w:t>
      </w:r>
      <w:r>
        <w:rPr>
          <w:rFonts w:hint="eastAsia"/>
          <w:color w:val="auto"/>
          <w:sz w:val="21"/>
          <w:szCs w:val="21"/>
          <w:highlight w:val="none"/>
          <w:lang w:val="en-US" w:eastAsia="zh-CN"/>
        </w:rPr>
        <w:t>现场</w:t>
      </w:r>
      <w:r>
        <w:rPr>
          <w:rFonts w:hint="eastAsia"/>
          <w:color w:val="auto"/>
          <w:sz w:val="21"/>
          <w:szCs w:val="21"/>
          <w:highlight w:val="none"/>
        </w:rPr>
        <w:t>原件备查。</w:t>
      </w:r>
    </w:p>
    <w:p>
      <w:pPr>
        <w:spacing w:line="240" w:lineRule="auto"/>
        <w:ind w:right="360"/>
        <w:rPr>
          <w:rFonts w:hint="eastAsia"/>
          <w:color w:val="auto"/>
          <w:sz w:val="21"/>
          <w:szCs w:val="21"/>
          <w:highlight w:val="none"/>
        </w:rPr>
      </w:pPr>
      <w:r>
        <w:rPr>
          <w:rFonts w:hint="eastAsia"/>
          <w:color w:val="auto"/>
          <w:sz w:val="21"/>
          <w:szCs w:val="21"/>
          <w:highlight w:val="none"/>
        </w:rPr>
        <w:t>2、需后期组建的，请注明各岗位配备的人数。</w:t>
      </w:r>
    </w:p>
    <w:p>
      <w:pPr>
        <w:spacing w:line="240" w:lineRule="auto"/>
        <w:ind w:right="360"/>
        <w:rPr>
          <w:rFonts w:hint="eastAsia"/>
          <w:b/>
          <w:bCs/>
          <w:color w:val="auto"/>
          <w:sz w:val="21"/>
          <w:szCs w:val="21"/>
          <w:highlight w:val="none"/>
        </w:rPr>
      </w:pPr>
      <w:r>
        <w:rPr>
          <w:rFonts w:hint="eastAsia" w:ascii="宋体" w:hAnsi="宋体" w:cs="宋体"/>
          <w:b w:val="0"/>
          <w:bCs w:val="0"/>
          <w:color w:val="auto"/>
          <w:sz w:val="21"/>
          <w:szCs w:val="21"/>
          <w:highlight w:val="none"/>
        </w:rPr>
        <w:t>3、</w:t>
      </w:r>
      <w:r>
        <w:rPr>
          <w:rFonts w:hint="eastAsia"/>
          <w:b w:val="0"/>
          <w:bCs w:val="0"/>
          <w:color w:val="auto"/>
          <w:sz w:val="21"/>
          <w:szCs w:val="21"/>
          <w:highlight w:val="none"/>
        </w:rPr>
        <w:t>上表中要求注明项目负责人（即项目经理）。</w:t>
      </w:r>
    </w:p>
    <w:p>
      <w:pPr>
        <w:autoSpaceDE w:val="0"/>
        <w:autoSpaceDN w:val="0"/>
        <w:adjustRightInd w:val="0"/>
        <w:spacing w:line="360" w:lineRule="auto"/>
        <w:rPr>
          <w:rFonts w:hint="eastAsia" w:ascii="宋体" w:hAnsi="宋体"/>
          <w:color w:val="auto"/>
          <w:sz w:val="21"/>
          <w:szCs w:val="21"/>
          <w:highlight w:val="none"/>
          <w:lang w:val="zh-CN"/>
        </w:rPr>
      </w:pPr>
    </w:p>
    <w:p>
      <w:pPr>
        <w:autoSpaceDE w:val="0"/>
        <w:autoSpaceDN w:val="0"/>
        <w:adjustRightInd w:val="0"/>
        <w:spacing w:line="360" w:lineRule="auto"/>
        <w:rPr>
          <w:rFonts w:hint="eastAsia" w:ascii="宋体" w:hAnsi="宋体"/>
          <w:color w:val="auto"/>
          <w:sz w:val="21"/>
          <w:szCs w:val="21"/>
          <w:highlight w:val="none"/>
          <w:lang w:val="zh-CN"/>
        </w:rPr>
      </w:pPr>
      <w:r>
        <w:rPr>
          <w:rFonts w:hint="eastAsia" w:ascii="宋体" w:hAnsi="宋体"/>
          <w:color w:val="auto"/>
          <w:sz w:val="21"/>
          <w:szCs w:val="21"/>
          <w:highlight w:val="none"/>
          <w:lang w:val="zh-CN"/>
        </w:rPr>
        <w:t>投标人（公章）：</w:t>
      </w:r>
    </w:p>
    <w:p>
      <w:pPr>
        <w:autoSpaceDE w:val="0"/>
        <w:autoSpaceDN w:val="0"/>
        <w:adjustRightInd w:val="0"/>
        <w:spacing w:line="360" w:lineRule="auto"/>
        <w:jc w:val="left"/>
        <w:rPr>
          <w:rFonts w:hint="eastAsia" w:ascii="宋体" w:hAnsi="宋体"/>
          <w:color w:val="auto"/>
          <w:sz w:val="21"/>
          <w:szCs w:val="21"/>
          <w:highlight w:val="none"/>
          <w:lang w:val="zh-CN"/>
        </w:rPr>
      </w:pPr>
      <w:r>
        <w:rPr>
          <w:rFonts w:hint="eastAsia" w:ascii="宋体" w:hAnsi="宋体"/>
          <w:color w:val="auto"/>
          <w:sz w:val="21"/>
          <w:szCs w:val="21"/>
          <w:highlight w:val="none"/>
          <w:lang w:val="zh-CN"/>
        </w:rPr>
        <w:t xml:space="preserve">法定代表或授权代表（签字）： </w:t>
      </w:r>
    </w:p>
    <w:p>
      <w:pPr>
        <w:autoSpaceDE w:val="0"/>
        <w:autoSpaceDN w:val="0"/>
        <w:adjustRightInd w:val="0"/>
        <w:spacing w:line="360" w:lineRule="auto"/>
        <w:ind w:firstLine="6510" w:firstLineChars="3100"/>
        <w:jc w:val="left"/>
        <w:rPr>
          <w:rFonts w:hint="eastAsia" w:ascii="宋体" w:hAnsi="宋体"/>
          <w:color w:val="auto"/>
          <w:sz w:val="21"/>
          <w:szCs w:val="21"/>
          <w:highlight w:val="none"/>
          <w:lang w:val="zh-CN"/>
        </w:rPr>
      </w:pPr>
      <w:r>
        <w:rPr>
          <w:rFonts w:hint="eastAsia" w:ascii="宋体" w:hAnsi="宋体"/>
          <w:color w:val="auto"/>
          <w:sz w:val="21"/>
          <w:szCs w:val="21"/>
          <w:highlight w:val="none"/>
          <w:lang w:val="zh-CN"/>
        </w:rPr>
        <w:t>年  月   日</w:t>
      </w:r>
    </w:p>
    <w:p>
      <w:pPr>
        <w:rPr>
          <w:rFonts w:hint="eastAsia" w:ascii="宋体" w:hAnsi="宋体"/>
          <w:color w:val="auto"/>
          <w:sz w:val="21"/>
          <w:szCs w:val="21"/>
          <w:highlight w:val="none"/>
          <w:lang w:val="zh-CN"/>
        </w:rPr>
      </w:pPr>
      <w:r>
        <w:rPr>
          <w:rFonts w:hint="eastAsia" w:ascii="宋体" w:hAnsi="宋体"/>
          <w:color w:val="auto"/>
          <w:sz w:val="21"/>
          <w:szCs w:val="21"/>
          <w:highlight w:val="none"/>
          <w:lang w:val="zh-CN"/>
        </w:rPr>
        <w:br w:type="page"/>
      </w:r>
    </w:p>
    <w:p>
      <w:pPr>
        <w:autoSpaceDE w:val="0"/>
        <w:autoSpaceDN w:val="0"/>
        <w:adjustRightInd w:val="0"/>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lang w:val="zh-CN"/>
        </w:rPr>
        <w:t>1</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val="zh-CN"/>
        </w:rPr>
        <w:t>.</w:t>
      </w:r>
      <w:r>
        <w:rPr>
          <w:rFonts w:hint="eastAsia" w:ascii="宋体" w:hAnsi="宋体"/>
          <w:color w:val="auto"/>
          <w:sz w:val="24"/>
          <w:szCs w:val="24"/>
          <w:highlight w:val="none"/>
        </w:rPr>
        <w:t xml:space="preserve"> 技术条款响应表</w:t>
      </w:r>
    </w:p>
    <w:p>
      <w:pPr>
        <w:autoSpaceDE w:val="0"/>
        <w:autoSpaceDN w:val="0"/>
        <w:adjustRightInd w:val="0"/>
        <w:spacing w:line="360" w:lineRule="auto"/>
        <w:jc w:val="center"/>
        <w:rPr>
          <w:rFonts w:hint="eastAsia" w:ascii="宋体" w:hAnsi="宋体"/>
          <w:b/>
          <w:bCs/>
          <w:color w:val="auto"/>
          <w:szCs w:val="21"/>
          <w:highlight w:val="none"/>
        </w:rPr>
      </w:pPr>
      <w:r>
        <w:rPr>
          <w:rFonts w:hint="eastAsia" w:ascii="宋体" w:hAnsi="宋体"/>
          <w:b/>
          <w:bCs/>
          <w:color w:val="auto"/>
          <w:sz w:val="24"/>
          <w:szCs w:val="24"/>
          <w:highlight w:val="none"/>
          <w:lang w:val="zh-CN"/>
        </w:rPr>
        <w:t>技术条款响应表</w:t>
      </w:r>
    </w:p>
    <w:p>
      <w:pPr>
        <w:snapToGrid w:val="0"/>
        <w:spacing w:before="50" w:after="50"/>
        <w:rPr>
          <w:rFonts w:hint="eastAsia"/>
          <w:color w:val="auto"/>
          <w:szCs w:val="21"/>
          <w:highlight w:val="none"/>
        </w:rPr>
      </w:pPr>
      <w:r>
        <w:rPr>
          <w:rFonts w:hint="eastAsia" w:ascii="宋体" w:hAnsi="宋体"/>
          <w:color w:val="auto"/>
          <w:szCs w:val="21"/>
          <w:highlight w:val="none"/>
        </w:rPr>
        <w:t>项目编号：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项目名称：</w:t>
      </w:r>
      <w:r>
        <w:rPr>
          <w:rFonts w:ascii="宋体" w:hAnsi="宋体"/>
          <w:color w:val="auto"/>
          <w:szCs w:val="21"/>
          <w:highlight w:val="none"/>
          <w:u w:val="single"/>
        </w:rPr>
        <w:t xml:space="preserve">                    </w:t>
      </w:r>
      <w:r>
        <w:rPr>
          <w:rFonts w:hint="eastAsia" w:ascii="宋体" w:hAnsi="宋体"/>
          <w:color w:val="auto"/>
          <w:szCs w:val="21"/>
          <w:highlight w:val="none"/>
        </w:rPr>
        <w:t>标段号：</w:t>
      </w:r>
      <w:r>
        <w:rPr>
          <w:rFonts w:hint="eastAsia" w:ascii="宋体" w:hAnsi="宋体"/>
          <w:color w:val="auto"/>
          <w:szCs w:val="21"/>
          <w:highlight w:val="none"/>
          <w:u w:val="single"/>
        </w:rPr>
        <w:t xml:space="preserve">           </w:t>
      </w:r>
    </w:p>
    <w:tbl>
      <w:tblPr>
        <w:tblStyle w:val="22"/>
        <w:tblW w:w="878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34"/>
        <w:gridCol w:w="3685"/>
        <w:gridCol w:w="396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序号</w:t>
            </w:r>
          </w:p>
        </w:tc>
        <w:tc>
          <w:tcPr>
            <w:tcW w:w="368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宋体" w:hAnsi="宋体"/>
                <w:color w:val="auto"/>
                <w:sz w:val="21"/>
                <w:szCs w:val="21"/>
                <w:highlight w:val="none"/>
              </w:rPr>
            </w:pPr>
            <w:r>
              <w:rPr>
                <w:rFonts w:hint="eastAsia" w:ascii="宋体" w:hAnsi="宋体"/>
                <w:color w:val="auto"/>
                <w:sz w:val="21"/>
                <w:szCs w:val="21"/>
                <w:highlight w:val="none"/>
              </w:rPr>
              <w:t>招标文件要求</w:t>
            </w:r>
          </w:p>
        </w:tc>
        <w:tc>
          <w:tcPr>
            <w:tcW w:w="396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宋体" w:hAnsi="宋体"/>
                <w:color w:val="auto"/>
                <w:sz w:val="21"/>
                <w:szCs w:val="21"/>
                <w:highlight w:val="none"/>
              </w:rPr>
            </w:pPr>
            <w:r>
              <w:rPr>
                <w:rFonts w:ascii="宋体" w:hAnsi="宋体"/>
                <w:color w:val="auto"/>
                <w:sz w:val="21"/>
                <w:szCs w:val="21"/>
                <w:highlight w:val="none"/>
              </w:rPr>
              <w:t>投标文件的响应情况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2"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eastAsia"/>
                <w:b/>
                <w:bCs/>
                <w:color w:val="auto"/>
                <w:sz w:val="21"/>
                <w:szCs w:val="21"/>
                <w:highlight w:val="none"/>
              </w:rPr>
            </w:pPr>
          </w:p>
        </w:tc>
        <w:tc>
          <w:tcPr>
            <w:tcW w:w="3685" w:type="dxa"/>
            <w:tcBorders>
              <w:top w:val="single" w:color="auto" w:sz="4" w:space="0"/>
              <w:left w:val="single" w:color="auto" w:sz="4" w:space="0"/>
              <w:bottom w:val="single" w:color="auto" w:sz="4" w:space="0"/>
              <w:right w:val="single" w:color="auto" w:sz="4" w:space="0"/>
            </w:tcBorders>
            <w:vAlign w:val="top"/>
          </w:tcPr>
          <w:p>
            <w:pPr>
              <w:snapToGrid w:val="0"/>
              <w:spacing w:before="120" w:beforeLines="50"/>
              <w:rPr>
                <w:rFonts w:ascii="宋体" w:hAnsi="宋体"/>
                <w:color w:val="auto"/>
                <w:sz w:val="21"/>
                <w:szCs w:val="21"/>
                <w:highlight w:val="none"/>
              </w:rPr>
            </w:pPr>
          </w:p>
        </w:tc>
        <w:tc>
          <w:tcPr>
            <w:tcW w:w="396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宋体" w:hAnsi="宋体"/>
                <w:color w:val="auto"/>
                <w:sz w:val="21"/>
                <w:szCs w:val="21"/>
                <w:highlight w:val="none"/>
              </w:rPr>
            </w:pPr>
            <w:r>
              <w:rPr>
                <w:rFonts w:hint="eastAsia" w:ascii="宋体" w:hAnsi="宋体"/>
                <w:color w:val="auto"/>
                <w:sz w:val="21"/>
                <w:szCs w:val="21"/>
                <w:highlight w:val="none"/>
              </w:rPr>
              <w:t>（若响应招标文件要求，请填写“响应”）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1"/>
                <w:szCs w:val="21"/>
                <w:highlight w:val="none"/>
              </w:rPr>
            </w:pPr>
          </w:p>
        </w:tc>
        <w:tc>
          <w:tcPr>
            <w:tcW w:w="3685" w:type="dxa"/>
            <w:tcBorders>
              <w:top w:val="single" w:color="auto" w:sz="4" w:space="0"/>
              <w:left w:val="single" w:color="auto" w:sz="4" w:space="0"/>
              <w:bottom w:val="single" w:color="auto" w:sz="4" w:space="0"/>
              <w:right w:val="single" w:color="auto" w:sz="4" w:space="0"/>
            </w:tcBorders>
            <w:vAlign w:val="top"/>
          </w:tcPr>
          <w:p>
            <w:pPr>
              <w:snapToGrid w:val="0"/>
              <w:spacing w:before="120" w:beforeLines="50"/>
              <w:rPr>
                <w:rFonts w:ascii="宋体" w:hAnsi="宋体"/>
                <w:color w:val="auto"/>
                <w:sz w:val="21"/>
                <w:szCs w:val="21"/>
                <w:highlight w:val="none"/>
              </w:rPr>
            </w:pPr>
          </w:p>
        </w:tc>
        <w:tc>
          <w:tcPr>
            <w:tcW w:w="396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eastAsia"/>
                <w:b/>
                <w:color w:val="auto"/>
                <w:sz w:val="21"/>
                <w:szCs w:val="21"/>
                <w:highlight w:val="none"/>
              </w:rPr>
            </w:pPr>
          </w:p>
        </w:tc>
        <w:tc>
          <w:tcPr>
            <w:tcW w:w="3685" w:type="dxa"/>
            <w:tcBorders>
              <w:top w:val="single" w:color="auto" w:sz="4" w:space="0"/>
              <w:left w:val="single" w:color="auto" w:sz="4" w:space="0"/>
              <w:bottom w:val="single" w:color="auto" w:sz="4" w:space="0"/>
              <w:right w:val="single" w:color="auto" w:sz="4" w:space="0"/>
            </w:tcBorders>
            <w:vAlign w:val="top"/>
          </w:tcPr>
          <w:p>
            <w:pPr>
              <w:snapToGrid w:val="0"/>
              <w:spacing w:before="120" w:beforeLines="50"/>
              <w:rPr>
                <w:rFonts w:ascii="宋体" w:hAnsi="宋体"/>
                <w:color w:val="auto"/>
                <w:sz w:val="21"/>
                <w:szCs w:val="21"/>
                <w:highlight w:val="none"/>
              </w:rPr>
            </w:pPr>
          </w:p>
        </w:tc>
        <w:tc>
          <w:tcPr>
            <w:tcW w:w="3969" w:type="dxa"/>
            <w:tcBorders>
              <w:top w:val="single" w:color="auto" w:sz="4" w:space="0"/>
              <w:left w:val="single" w:color="auto" w:sz="4" w:space="0"/>
              <w:bottom w:val="single" w:color="auto" w:sz="4" w:space="0"/>
              <w:right w:val="single" w:color="auto" w:sz="4" w:space="0"/>
            </w:tcBorders>
            <w:vAlign w:val="top"/>
          </w:tcPr>
          <w:p>
            <w:pPr>
              <w:snapToGrid w:val="0"/>
              <w:spacing w:before="120" w:beforeLines="50"/>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before="120" w:beforeLines="50"/>
              <w:jc w:val="center"/>
              <w:rPr>
                <w:rFonts w:ascii="宋体" w:hAnsi="宋体"/>
                <w:color w:val="auto"/>
                <w:sz w:val="21"/>
                <w:szCs w:val="21"/>
                <w:highlight w:val="none"/>
              </w:rPr>
            </w:pPr>
          </w:p>
        </w:tc>
        <w:tc>
          <w:tcPr>
            <w:tcW w:w="3685" w:type="dxa"/>
            <w:tcBorders>
              <w:top w:val="single" w:color="auto" w:sz="4" w:space="0"/>
              <w:left w:val="single" w:color="auto" w:sz="4" w:space="0"/>
              <w:bottom w:val="single" w:color="auto" w:sz="4" w:space="0"/>
              <w:right w:val="single" w:color="auto" w:sz="4" w:space="0"/>
            </w:tcBorders>
            <w:vAlign w:val="center"/>
          </w:tcPr>
          <w:p>
            <w:pPr>
              <w:spacing w:before="120" w:beforeLines="50"/>
              <w:rPr>
                <w:rFonts w:ascii="宋体" w:hAnsi="宋体"/>
                <w:color w:val="auto"/>
                <w:sz w:val="21"/>
                <w:szCs w:val="21"/>
                <w:highlight w:val="none"/>
              </w:rPr>
            </w:pPr>
          </w:p>
        </w:tc>
        <w:tc>
          <w:tcPr>
            <w:tcW w:w="3969" w:type="dxa"/>
            <w:tcBorders>
              <w:top w:val="single" w:color="auto" w:sz="4" w:space="0"/>
              <w:left w:val="single" w:color="auto" w:sz="4" w:space="0"/>
              <w:bottom w:val="single" w:color="auto" w:sz="4" w:space="0"/>
              <w:right w:val="single" w:color="auto" w:sz="4" w:space="0"/>
            </w:tcBorders>
            <w:vAlign w:val="top"/>
          </w:tcPr>
          <w:p>
            <w:pPr>
              <w:snapToGrid w:val="0"/>
              <w:spacing w:before="120" w:beforeLines="50"/>
              <w:ind w:left="43"/>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before="120" w:beforeLines="50"/>
              <w:jc w:val="center"/>
              <w:rPr>
                <w:rFonts w:ascii="宋体" w:hAnsi="宋体"/>
                <w:color w:val="auto"/>
                <w:sz w:val="21"/>
                <w:szCs w:val="21"/>
                <w:highlight w:val="none"/>
              </w:rPr>
            </w:pPr>
          </w:p>
        </w:tc>
        <w:tc>
          <w:tcPr>
            <w:tcW w:w="3685" w:type="dxa"/>
            <w:tcBorders>
              <w:top w:val="single" w:color="auto" w:sz="4" w:space="0"/>
              <w:left w:val="single" w:color="auto" w:sz="4" w:space="0"/>
              <w:bottom w:val="single" w:color="auto" w:sz="4" w:space="0"/>
              <w:right w:val="single" w:color="auto" w:sz="4" w:space="0"/>
            </w:tcBorders>
            <w:vAlign w:val="center"/>
          </w:tcPr>
          <w:p>
            <w:pPr>
              <w:spacing w:before="120" w:beforeLines="50"/>
              <w:rPr>
                <w:rFonts w:ascii="宋体" w:hAnsi="宋体"/>
                <w:color w:val="auto"/>
                <w:sz w:val="21"/>
                <w:szCs w:val="21"/>
                <w:highlight w:val="none"/>
              </w:rPr>
            </w:pPr>
          </w:p>
        </w:tc>
        <w:tc>
          <w:tcPr>
            <w:tcW w:w="3969" w:type="dxa"/>
            <w:tcBorders>
              <w:top w:val="single" w:color="auto" w:sz="4" w:space="0"/>
              <w:left w:val="single" w:color="auto" w:sz="4" w:space="0"/>
              <w:bottom w:val="single" w:color="auto" w:sz="4" w:space="0"/>
              <w:right w:val="single" w:color="auto" w:sz="4" w:space="0"/>
            </w:tcBorders>
            <w:vAlign w:val="top"/>
          </w:tcPr>
          <w:p>
            <w:pPr>
              <w:snapToGrid w:val="0"/>
              <w:spacing w:before="120" w:beforeLines="50"/>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before="120" w:beforeLines="50"/>
              <w:jc w:val="center"/>
              <w:rPr>
                <w:rFonts w:ascii="宋体" w:hAnsi="宋体"/>
                <w:color w:val="auto"/>
                <w:sz w:val="21"/>
                <w:szCs w:val="21"/>
                <w:highlight w:val="none"/>
              </w:rPr>
            </w:pPr>
          </w:p>
        </w:tc>
        <w:tc>
          <w:tcPr>
            <w:tcW w:w="3685" w:type="dxa"/>
            <w:tcBorders>
              <w:top w:val="single" w:color="auto" w:sz="4" w:space="0"/>
              <w:left w:val="single" w:color="auto" w:sz="4" w:space="0"/>
              <w:bottom w:val="single" w:color="auto" w:sz="4" w:space="0"/>
              <w:right w:val="single" w:color="auto" w:sz="4" w:space="0"/>
            </w:tcBorders>
            <w:vAlign w:val="center"/>
          </w:tcPr>
          <w:p>
            <w:pPr>
              <w:spacing w:before="120" w:beforeLines="50"/>
              <w:rPr>
                <w:rFonts w:ascii="宋体" w:hAnsi="宋体"/>
                <w:color w:val="auto"/>
                <w:sz w:val="21"/>
                <w:szCs w:val="21"/>
                <w:highlight w:val="none"/>
              </w:rPr>
            </w:pPr>
          </w:p>
        </w:tc>
        <w:tc>
          <w:tcPr>
            <w:tcW w:w="3969" w:type="dxa"/>
            <w:tcBorders>
              <w:top w:val="single" w:color="auto" w:sz="4" w:space="0"/>
              <w:left w:val="single" w:color="auto" w:sz="4" w:space="0"/>
              <w:bottom w:val="single" w:color="auto" w:sz="4" w:space="0"/>
              <w:right w:val="single" w:color="auto" w:sz="4" w:space="0"/>
            </w:tcBorders>
            <w:vAlign w:val="top"/>
          </w:tcPr>
          <w:p>
            <w:pPr>
              <w:snapToGrid w:val="0"/>
              <w:spacing w:before="120" w:beforeLines="50"/>
              <w:rPr>
                <w:rFonts w:ascii="宋体" w:hAnsi="宋体"/>
                <w:color w:val="auto"/>
                <w:sz w:val="21"/>
                <w:szCs w:val="21"/>
                <w:highlight w:val="none"/>
              </w:rPr>
            </w:pPr>
          </w:p>
        </w:tc>
      </w:tr>
    </w:tbl>
    <w:p>
      <w:pPr>
        <w:snapToGrid w:val="0"/>
        <w:spacing w:before="120" w:beforeLines="50" w:after="50"/>
        <w:rPr>
          <w:rFonts w:hint="eastAsia" w:ascii="宋体" w:hAnsi="宋体"/>
          <w:b/>
          <w:bCs/>
          <w:color w:val="auto"/>
          <w:szCs w:val="21"/>
          <w:highlight w:val="none"/>
        </w:rPr>
      </w:pPr>
      <w:r>
        <w:rPr>
          <w:rFonts w:hint="eastAsia" w:ascii="宋体" w:hAnsi="宋体"/>
          <w:color w:val="auto"/>
          <w:szCs w:val="21"/>
          <w:highlight w:val="none"/>
        </w:rPr>
        <w:t>注：要求详见第二章：</w:t>
      </w:r>
      <w:r>
        <w:rPr>
          <w:rFonts w:hint="eastAsia" w:ascii="宋体" w:hAnsi="宋体"/>
          <w:color w:val="auto"/>
          <w:szCs w:val="21"/>
          <w:highlight w:val="none"/>
          <w:lang w:val="en-US" w:eastAsia="zh-CN"/>
        </w:rPr>
        <w:t>采购</w:t>
      </w:r>
      <w:r>
        <w:rPr>
          <w:rFonts w:hint="eastAsia" w:ascii="宋体" w:hAnsi="宋体"/>
          <w:color w:val="auto"/>
          <w:szCs w:val="21"/>
          <w:highlight w:val="none"/>
        </w:rPr>
        <w:t>需求二、技术需求，</w:t>
      </w:r>
      <w:r>
        <w:rPr>
          <w:rFonts w:hint="eastAsia" w:ascii="宋体" w:hAnsi="宋体"/>
          <w:b/>
          <w:bCs/>
          <w:color w:val="auto"/>
          <w:szCs w:val="21"/>
          <w:highlight w:val="none"/>
        </w:rPr>
        <w:t>要求</w:t>
      </w:r>
      <w:r>
        <w:rPr>
          <w:rFonts w:hint="eastAsia"/>
          <w:b/>
          <w:bCs/>
          <w:color w:val="auto"/>
          <w:highlight w:val="none"/>
        </w:rPr>
        <w:t>逐项响应和说明</w:t>
      </w:r>
    </w:p>
    <w:p>
      <w:pPr>
        <w:tabs>
          <w:tab w:val="left" w:pos="3165"/>
        </w:tabs>
        <w:rPr>
          <w:rFonts w:ascii="宋体" w:hAnsi="宋体"/>
          <w:color w:val="auto"/>
          <w:sz w:val="24"/>
          <w:highlight w:val="none"/>
        </w:rPr>
      </w:pPr>
    </w:p>
    <w:p>
      <w:pPr>
        <w:snapToGrid w:val="0"/>
        <w:spacing w:before="50" w:after="50"/>
        <w:rPr>
          <w:rFonts w:hint="eastAsia" w:ascii="宋体" w:hAnsi="宋体"/>
          <w:color w:val="auto"/>
          <w:sz w:val="28"/>
          <w:szCs w:val="28"/>
          <w:highlight w:val="none"/>
        </w:rPr>
      </w:pPr>
    </w:p>
    <w:p>
      <w:pPr>
        <w:pStyle w:val="2"/>
        <w:rPr>
          <w:rFonts w:hint="eastAsia" w:ascii="宋体" w:hAnsi="宋体"/>
          <w:color w:val="auto"/>
          <w:sz w:val="28"/>
          <w:szCs w:val="28"/>
          <w:highlight w:val="none"/>
        </w:rPr>
      </w:pPr>
    </w:p>
    <w:p>
      <w:pPr>
        <w:rPr>
          <w:rFonts w:hint="eastAsia" w:ascii="宋体" w:hAnsi="宋体"/>
          <w:color w:val="auto"/>
          <w:sz w:val="28"/>
          <w:szCs w:val="28"/>
          <w:highlight w:val="none"/>
        </w:rPr>
      </w:pPr>
    </w:p>
    <w:p>
      <w:pPr>
        <w:pStyle w:val="2"/>
        <w:rPr>
          <w:rFonts w:hint="eastAsia" w:ascii="宋体" w:hAnsi="宋体"/>
          <w:color w:val="auto"/>
          <w:sz w:val="28"/>
          <w:szCs w:val="28"/>
          <w:highlight w:val="none"/>
        </w:rPr>
      </w:pPr>
    </w:p>
    <w:p>
      <w:pPr>
        <w:rPr>
          <w:rFonts w:hint="eastAsia" w:ascii="宋体" w:hAnsi="宋体"/>
          <w:color w:val="auto"/>
          <w:sz w:val="28"/>
          <w:szCs w:val="28"/>
          <w:highlight w:val="none"/>
        </w:rPr>
      </w:pPr>
    </w:p>
    <w:p>
      <w:pPr>
        <w:pStyle w:val="2"/>
        <w:rPr>
          <w:rFonts w:hint="eastAsia" w:ascii="宋体" w:hAnsi="宋体"/>
          <w:color w:val="auto"/>
          <w:sz w:val="28"/>
          <w:szCs w:val="28"/>
          <w:highlight w:val="none"/>
        </w:rPr>
      </w:pPr>
    </w:p>
    <w:p>
      <w:pPr>
        <w:rPr>
          <w:rFonts w:hint="eastAsia"/>
        </w:rPr>
      </w:pPr>
    </w:p>
    <w:p>
      <w:pPr>
        <w:autoSpaceDE w:val="0"/>
        <w:autoSpaceDN w:val="0"/>
        <w:adjustRightInd w:val="0"/>
        <w:spacing w:line="360" w:lineRule="auto"/>
        <w:rPr>
          <w:rFonts w:ascii="宋体" w:hAnsi="宋体"/>
          <w:color w:val="auto"/>
          <w:highlight w:val="none"/>
          <w:lang w:val="zh-CN"/>
        </w:rPr>
      </w:pPr>
      <w:r>
        <w:rPr>
          <w:rFonts w:hint="eastAsia" w:ascii="宋体" w:hAnsi="宋体"/>
          <w:color w:val="auto"/>
          <w:highlight w:val="none"/>
          <w:lang w:val="zh-CN"/>
        </w:rPr>
        <w:t>投标人（公章）：</w:t>
      </w:r>
    </w:p>
    <w:p>
      <w:pPr>
        <w:autoSpaceDE w:val="0"/>
        <w:autoSpaceDN w:val="0"/>
        <w:adjustRightInd w:val="0"/>
        <w:spacing w:line="360" w:lineRule="auto"/>
        <w:jc w:val="left"/>
        <w:rPr>
          <w:rFonts w:ascii="宋体" w:hAnsi="宋体"/>
          <w:color w:val="auto"/>
          <w:highlight w:val="none"/>
          <w:lang w:val="zh-CN"/>
        </w:rPr>
      </w:pPr>
      <w:r>
        <w:rPr>
          <w:rFonts w:hint="eastAsia" w:ascii="宋体" w:hAnsi="宋体"/>
          <w:color w:val="auto"/>
          <w:highlight w:val="none"/>
          <w:lang w:val="zh-CN"/>
        </w:rPr>
        <w:t>法定代表或授权代表（签字</w:t>
      </w:r>
      <w:r>
        <w:rPr>
          <w:rFonts w:hint="eastAsia" w:ascii="宋体" w:hAnsi="宋体"/>
          <w:color w:val="auto"/>
          <w:highlight w:val="none"/>
        </w:rPr>
        <w:t>或盖章</w:t>
      </w:r>
      <w:r>
        <w:rPr>
          <w:rFonts w:hint="eastAsia" w:ascii="宋体" w:hAnsi="宋体"/>
          <w:color w:val="auto"/>
          <w:highlight w:val="none"/>
          <w:lang w:val="zh-CN"/>
        </w:rPr>
        <w:t xml:space="preserve">）： </w:t>
      </w:r>
    </w:p>
    <w:p>
      <w:pPr>
        <w:autoSpaceDE w:val="0"/>
        <w:autoSpaceDN w:val="0"/>
        <w:adjustRightInd w:val="0"/>
        <w:spacing w:line="360" w:lineRule="auto"/>
        <w:ind w:firstLine="7035" w:firstLineChars="3350"/>
        <w:jc w:val="left"/>
        <w:rPr>
          <w:rFonts w:ascii="宋体" w:hAnsi="宋体"/>
          <w:color w:val="auto"/>
          <w:highlight w:val="none"/>
          <w:lang w:val="zh-CN"/>
        </w:rPr>
      </w:pPr>
    </w:p>
    <w:p>
      <w:pPr>
        <w:autoSpaceDE w:val="0"/>
        <w:autoSpaceDN w:val="0"/>
        <w:adjustRightInd w:val="0"/>
        <w:spacing w:line="360" w:lineRule="auto"/>
        <w:ind w:firstLine="7035" w:firstLineChars="3350"/>
        <w:jc w:val="left"/>
        <w:rPr>
          <w:rFonts w:hint="eastAsia" w:ascii="宋体" w:hAnsi="宋体"/>
          <w:color w:val="auto"/>
          <w:highlight w:val="none"/>
          <w:lang w:val="zh-CN"/>
        </w:rPr>
      </w:pPr>
      <w:r>
        <w:rPr>
          <w:rFonts w:hint="eastAsia" w:ascii="宋体" w:hAnsi="宋体"/>
          <w:color w:val="auto"/>
          <w:highlight w:val="none"/>
          <w:lang w:val="zh-CN"/>
        </w:rPr>
        <w:t>年  月   日</w:t>
      </w:r>
    </w:p>
    <w:p>
      <w:pPr>
        <w:snapToGrid w:val="0"/>
        <w:spacing w:before="50" w:after="50"/>
        <w:rPr>
          <w:rFonts w:hint="eastAsia" w:ascii="宋体" w:hAnsi="宋体"/>
          <w:color w:val="auto"/>
          <w:sz w:val="28"/>
          <w:szCs w:val="28"/>
          <w:highlight w:val="none"/>
        </w:rPr>
      </w:pPr>
    </w:p>
    <w:p>
      <w:pPr>
        <w:snapToGrid w:val="0"/>
        <w:spacing w:before="50" w:after="50"/>
        <w:rPr>
          <w:rFonts w:hint="eastAsia" w:ascii="宋体" w:hAnsi="宋体"/>
          <w:color w:val="auto"/>
          <w:sz w:val="28"/>
          <w:szCs w:val="28"/>
          <w:highlight w:val="none"/>
        </w:rPr>
      </w:pPr>
    </w:p>
    <w:p>
      <w:pPr>
        <w:pStyle w:val="2"/>
        <w:rPr>
          <w:rFonts w:hint="eastAsia"/>
        </w:rPr>
      </w:pPr>
    </w:p>
    <w:p>
      <w:pPr>
        <w:snapToGrid w:val="0"/>
        <w:spacing w:before="50" w:after="50"/>
        <w:rPr>
          <w:rFonts w:hint="eastAsia" w:ascii="宋体" w:hAnsi="宋体"/>
          <w:color w:val="auto"/>
          <w:sz w:val="28"/>
          <w:szCs w:val="28"/>
          <w:highlight w:val="none"/>
        </w:rPr>
      </w:pPr>
    </w:p>
    <w:p>
      <w:pPr>
        <w:snapToGrid w:val="0"/>
        <w:spacing w:before="50" w:after="50"/>
        <w:rPr>
          <w:rFonts w:hint="eastAsia" w:ascii="宋体" w:hAnsi="宋体"/>
          <w:color w:val="auto"/>
          <w:sz w:val="28"/>
          <w:szCs w:val="28"/>
          <w:highlight w:val="none"/>
        </w:rPr>
      </w:pPr>
    </w:p>
    <w:p>
      <w:pPr>
        <w:snapToGrid w:val="0"/>
        <w:spacing w:before="50" w:after="50"/>
        <w:rPr>
          <w:rFonts w:hint="eastAsia" w:ascii="宋体" w:hAnsi="宋体"/>
          <w:color w:val="auto"/>
          <w:sz w:val="28"/>
          <w:szCs w:val="28"/>
          <w:highlight w:val="none"/>
        </w:rPr>
      </w:pPr>
    </w:p>
    <w:p>
      <w:pPr>
        <w:snapToGrid w:val="0"/>
        <w:spacing w:before="50" w:after="50"/>
        <w:rPr>
          <w:rFonts w:hint="eastAsia" w:ascii="宋体" w:hAnsi="宋体"/>
          <w:color w:val="auto"/>
          <w:sz w:val="28"/>
          <w:szCs w:val="28"/>
          <w:highlight w:val="none"/>
        </w:rPr>
      </w:pPr>
    </w:p>
    <w:p>
      <w:pPr>
        <w:snapToGrid w:val="0"/>
        <w:spacing w:before="50" w:after="50"/>
        <w:rPr>
          <w:rFonts w:hint="eastAsia" w:ascii="宋体" w:hAnsi="宋体"/>
          <w:color w:val="auto"/>
          <w:sz w:val="28"/>
          <w:szCs w:val="28"/>
          <w:highlight w:val="none"/>
        </w:rPr>
      </w:pPr>
    </w:p>
    <w:p>
      <w:pPr>
        <w:autoSpaceDE w:val="0"/>
        <w:autoSpaceDN w:val="0"/>
        <w:adjustRightInd w:val="0"/>
        <w:spacing w:line="360" w:lineRule="auto"/>
        <w:jc w:val="left"/>
        <w:rPr>
          <w:rFonts w:hint="eastAsia"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.开标一览表</w:t>
      </w:r>
    </w:p>
    <w:p>
      <w:pPr>
        <w:snapToGrid w:val="0"/>
        <w:spacing w:before="50" w:after="50"/>
        <w:jc w:val="center"/>
        <w:rPr>
          <w:rFonts w:ascii="宋体" w:hAnsi="宋体"/>
          <w:b/>
          <w:color w:val="auto"/>
          <w:sz w:val="24"/>
          <w:highlight w:val="none"/>
        </w:rPr>
      </w:pPr>
      <w:r>
        <w:rPr>
          <w:rFonts w:hint="eastAsia" w:ascii="宋体" w:hAnsi="宋体"/>
          <w:b/>
          <w:color w:val="auto"/>
          <w:sz w:val="24"/>
          <w:highlight w:val="none"/>
        </w:rPr>
        <w:t>开标一览表</w:t>
      </w:r>
    </w:p>
    <w:p>
      <w:pPr>
        <w:snapToGrid w:val="0"/>
        <w:spacing w:before="50" w:after="50"/>
        <w:ind w:firstLine="210" w:firstLineChars="100"/>
        <w:rPr>
          <w:rFonts w:hint="eastAsia" w:ascii="宋体" w:hAnsi="宋体"/>
          <w:color w:val="auto"/>
          <w:szCs w:val="21"/>
          <w:highlight w:val="none"/>
          <w:u w:val="single"/>
        </w:rPr>
      </w:pPr>
      <w:r>
        <w:rPr>
          <w:rFonts w:hint="eastAsia" w:ascii="宋体" w:hAnsi="宋体"/>
          <w:color w:val="auto"/>
          <w:szCs w:val="21"/>
          <w:highlight w:val="none"/>
        </w:rPr>
        <w:t>招标编号：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项目名称：</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p>
    <w:tbl>
      <w:tblPr>
        <w:tblStyle w:val="22"/>
        <w:tblW w:w="929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98"/>
        <w:gridCol w:w="723"/>
        <w:gridCol w:w="2661"/>
        <w:gridCol w:w="1673"/>
        <w:gridCol w:w="1168"/>
        <w:gridCol w:w="1805"/>
        <w:gridCol w:w="76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498"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宋体" w:hAnsi="宋体"/>
                <w:b/>
                <w:color w:val="auto"/>
                <w:szCs w:val="21"/>
                <w:highlight w:val="none"/>
              </w:rPr>
            </w:pPr>
            <w:r>
              <w:rPr>
                <w:rFonts w:hint="eastAsia" w:ascii="宋体" w:hAnsi="宋体"/>
                <w:b/>
                <w:color w:val="auto"/>
                <w:szCs w:val="21"/>
                <w:highlight w:val="none"/>
              </w:rPr>
              <w:t>标段号</w:t>
            </w:r>
          </w:p>
        </w:tc>
        <w:tc>
          <w:tcPr>
            <w:tcW w:w="72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color w:val="auto"/>
                <w:szCs w:val="21"/>
                <w:highlight w:val="none"/>
              </w:rPr>
            </w:pPr>
            <w:r>
              <w:rPr>
                <w:rFonts w:hint="eastAsia" w:ascii="宋体" w:hAnsi="宋体"/>
                <w:b/>
                <w:color w:val="auto"/>
                <w:szCs w:val="21"/>
                <w:highlight w:val="none"/>
              </w:rPr>
              <w:t>服务范围</w:t>
            </w:r>
          </w:p>
        </w:tc>
        <w:tc>
          <w:tcPr>
            <w:tcW w:w="266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color w:val="auto"/>
                <w:szCs w:val="21"/>
                <w:highlight w:val="none"/>
              </w:rPr>
            </w:pPr>
            <w:r>
              <w:rPr>
                <w:rFonts w:hint="eastAsia" w:ascii="宋体" w:hAnsi="宋体"/>
                <w:b/>
                <w:color w:val="auto"/>
                <w:szCs w:val="21"/>
                <w:highlight w:val="none"/>
              </w:rPr>
              <w:t>服务期限</w:t>
            </w:r>
          </w:p>
        </w:tc>
        <w:tc>
          <w:tcPr>
            <w:tcW w:w="167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color w:val="auto"/>
                <w:szCs w:val="21"/>
                <w:highlight w:val="none"/>
              </w:rPr>
            </w:pPr>
            <w:r>
              <w:rPr>
                <w:rFonts w:hint="eastAsia" w:ascii="宋体" w:hAnsi="宋体"/>
                <w:b/>
                <w:color w:val="auto"/>
                <w:szCs w:val="21"/>
                <w:highlight w:val="none"/>
              </w:rPr>
              <w:t>年度综合单价（元/</w:t>
            </w:r>
            <w:r>
              <w:rPr>
                <w:rFonts w:hint="eastAsia"/>
                <w:color w:val="auto"/>
                <w:highlight w:val="none"/>
              </w:rPr>
              <w:t>m</w:t>
            </w:r>
            <w:r>
              <w:rPr>
                <w:rFonts w:hint="eastAsia"/>
                <w:color w:val="auto"/>
                <w:sz w:val="21"/>
                <w:szCs w:val="24"/>
                <w:highlight w:val="none"/>
                <w:vertAlign w:val="superscript"/>
              </w:rPr>
              <w:t>2</w:t>
            </w:r>
            <w:r>
              <w:rPr>
                <w:rFonts w:hint="eastAsia" w:ascii="宋体" w:hAnsi="宋体"/>
                <w:b/>
                <w:color w:val="auto"/>
                <w:szCs w:val="21"/>
                <w:highlight w:val="none"/>
              </w:rPr>
              <w:t>/年）</w:t>
            </w:r>
          </w:p>
        </w:tc>
        <w:tc>
          <w:tcPr>
            <w:tcW w:w="116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color w:val="auto"/>
                <w:szCs w:val="21"/>
                <w:highlight w:val="none"/>
              </w:rPr>
            </w:pPr>
            <w:r>
              <w:rPr>
                <w:rFonts w:hint="eastAsia" w:ascii="宋体" w:hAnsi="宋体"/>
                <w:b/>
                <w:color w:val="auto"/>
                <w:szCs w:val="21"/>
                <w:highlight w:val="none"/>
                <w:lang w:val="en-US" w:eastAsia="zh-CN"/>
              </w:rPr>
              <w:t>养护面积</w:t>
            </w:r>
            <w:r>
              <w:rPr>
                <w:rFonts w:hint="eastAsia" w:ascii="宋体" w:hAnsi="宋体"/>
                <w:b/>
                <w:color w:val="auto"/>
                <w:szCs w:val="21"/>
                <w:highlight w:val="none"/>
              </w:rPr>
              <w:t>（</w:t>
            </w:r>
            <w:r>
              <w:rPr>
                <w:rFonts w:hint="eastAsia"/>
                <w:color w:val="auto"/>
                <w:highlight w:val="none"/>
              </w:rPr>
              <w:t>m</w:t>
            </w:r>
            <w:r>
              <w:rPr>
                <w:rFonts w:hint="eastAsia"/>
                <w:color w:val="auto"/>
                <w:sz w:val="21"/>
                <w:szCs w:val="24"/>
                <w:highlight w:val="none"/>
                <w:vertAlign w:val="superscript"/>
              </w:rPr>
              <w:t>2</w:t>
            </w:r>
            <w:r>
              <w:rPr>
                <w:rFonts w:hint="eastAsia" w:ascii="宋体" w:hAnsi="宋体"/>
                <w:b/>
                <w:color w:val="auto"/>
                <w:szCs w:val="21"/>
                <w:highlight w:val="none"/>
              </w:rPr>
              <w:t>）</w:t>
            </w:r>
          </w:p>
        </w:tc>
        <w:tc>
          <w:tcPr>
            <w:tcW w:w="180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color w:val="auto"/>
                <w:szCs w:val="21"/>
                <w:highlight w:val="none"/>
              </w:rPr>
            </w:pPr>
            <w:r>
              <w:rPr>
                <w:rFonts w:hint="eastAsia" w:ascii="宋体" w:hAnsi="宋体"/>
                <w:b/>
                <w:color w:val="auto"/>
                <w:szCs w:val="21"/>
                <w:highlight w:val="none"/>
              </w:rPr>
              <w:t>年度投标价</w:t>
            </w:r>
          </w:p>
          <w:p>
            <w:pPr>
              <w:snapToGrid w:val="0"/>
              <w:spacing w:before="50" w:after="50"/>
              <w:jc w:val="center"/>
              <w:rPr>
                <w:rFonts w:hint="eastAsia" w:ascii="宋体" w:hAnsi="宋体"/>
                <w:b/>
                <w:color w:val="auto"/>
                <w:szCs w:val="21"/>
                <w:highlight w:val="none"/>
              </w:rPr>
            </w:pPr>
            <w:r>
              <w:rPr>
                <w:rFonts w:hint="eastAsia" w:ascii="宋体" w:hAnsi="宋体"/>
                <w:b/>
                <w:color w:val="auto"/>
                <w:szCs w:val="21"/>
                <w:highlight w:val="none"/>
              </w:rPr>
              <w:t>（人民币：元/年）</w:t>
            </w:r>
          </w:p>
        </w:tc>
        <w:tc>
          <w:tcPr>
            <w:tcW w:w="76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color w:val="auto"/>
                <w:szCs w:val="21"/>
                <w:highlight w:val="none"/>
              </w:rPr>
            </w:pPr>
            <w:r>
              <w:rPr>
                <w:rFonts w:hint="eastAsia" w:ascii="宋体" w:hAnsi="宋体"/>
                <w:b/>
                <w:color w:val="auto"/>
                <w:szCs w:val="21"/>
                <w:highlight w:val="none"/>
              </w:rPr>
              <w:t>建设工期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49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p>
        </w:tc>
        <w:tc>
          <w:tcPr>
            <w:tcW w:w="266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240" w:lineRule="auto"/>
              <w:jc w:val="center"/>
              <w:rPr>
                <w:rFonts w:hint="eastAsia" w:ascii="宋体" w:hAnsi="宋体"/>
                <w:color w:val="auto"/>
                <w:szCs w:val="21"/>
                <w:highlight w:val="none"/>
              </w:rPr>
            </w:pPr>
            <w:r>
              <w:rPr>
                <w:rFonts w:hint="eastAsia" w:ascii="宋体" w:hAnsi="宋体"/>
                <w:color w:val="auto"/>
                <w:szCs w:val="21"/>
                <w:highlight w:val="none"/>
              </w:rPr>
              <w:t>合计三年</w:t>
            </w:r>
            <w:r>
              <w:rPr>
                <w:rFonts w:hint="eastAsia" w:ascii="宋体" w:hAnsi="宋体"/>
                <w:color w:val="auto"/>
                <w:szCs w:val="21"/>
                <w:highlight w:val="none"/>
                <w:shd w:val="clear"/>
              </w:rPr>
              <w:t>，合同一年一签，</w:t>
            </w:r>
            <w:r>
              <w:rPr>
                <w:rFonts w:hAnsi="宋体"/>
                <w:color w:val="auto"/>
                <w:szCs w:val="21"/>
                <w:highlight w:val="none"/>
                <w:shd w:val="clear"/>
              </w:rPr>
              <w:t>招标人根据中标单位在</w:t>
            </w:r>
            <w:r>
              <w:rPr>
                <w:rFonts w:hint="eastAsia" w:hAnsi="宋体"/>
                <w:color w:val="auto"/>
                <w:szCs w:val="21"/>
                <w:highlight w:val="none"/>
                <w:shd w:val="clear"/>
                <w:lang w:eastAsia="zh-CN"/>
              </w:rPr>
              <w:t>上一年度</w:t>
            </w:r>
            <w:r>
              <w:rPr>
                <w:rFonts w:hAnsi="宋体"/>
                <w:color w:val="auto"/>
                <w:szCs w:val="21"/>
                <w:highlight w:val="none"/>
                <w:shd w:val="clear"/>
              </w:rPr>
              <w:t>合同履约情况及</w:t>
            </w:r>
            <w:r>
              <w:rPr>
                <w:rFonts w:hAnsi="宋体"/>
                <w:color w:val="auto"/>
                <w:szCs w:val="21"/>
                <w:highlight w:val="none"/>
              </w:rPr>
              <w:t>财政资金审批情况决定</w:t>
            </w:r>
            <w:r>
              <w:rPr>
                <w:rFonts w:hint="eastAsia" w:hAnsi="宋体"/>
                <w:color w:val="auto"/>
                <w:szCs w:val="21"/>
                <w:highlight w:val="none"/>
                <w:lang w:eastAsia="zh-CN"/>
              </w:rPr>
              <w:t>是否续签、增减养护河道（段）。</w:t>
            </w:r>
          </w:p>
        </w:tc>
        <w:tc>
          <w:tcPr>
            <w:tcW w:w="167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Cs w:val="21"/>
                <w:highlight w:val="none"/>
              </w:rPr>
            </w:pPr>
          </w:p>
        </w:tc>
        <w:tc>
          <w:tcPr>
            <w:tcW w:w="180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Cs w:val="21"/>
                <w:highlight w:val="none"/>
              </w:rPr>
            </w:pPr>
          </w:p>
        </w:tc>
        <w:tc>
          <w:tcPr>
            <w:tcW w:w="76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hint="eastAsia" w:ascii="宋体" w:hAnsi="宋体" w:eastAsia="宋体"/>
                <w:color w:val="auto"/>
                <w:szCs w:val="21"/>
                <w:highlight w:val="none"/>
                <w:lang w:val="en-US" w:eastAsia="zh-CN"/>
              </w:rPr>
            </w:pP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74" w:hRule="atLeast"/>
          <w:jc w:val="center"/>
        </w:trPr>
        <w:tc>
          <w:tcPr>
            <w:tcW w:w="6723" w:type="dxa"/>
            <w:gridSpan w:val="5"/>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Cs w:val="21"/>
                <w:highlight w:val="none"/>
              </w:rPr>
            </w:pPr>
            <w:r>
              <w:rPr>
                <w:rFonts w:hint="eastAsia" w:ascii="宋体" w:hAnsi="宋体"/>
                <w:color w:val="auto"/>
                <w:szCs w:val="21"/>
                <w:highlight w:val="none"/>
              </w:rPr>
              <w:t>三年投标总价（人民币）</w:t>
            </w:r>
          </w:p>
        </w:tc>
        <w:tc>
          <w:tcPr>
            <w:tcW w:w="2568"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color w:val="auto"/>
                <w:szCs w:val="21"/>
                <w:highlight w:val="none"/>
              </w:rPr>
            </w:pPr>
            <w:r>
              <w:rPr>
                <w:rFonts w:hint="eastAsia" w:ascii="宋体" w:hAnsi="宋体"/>
                <w:color w:val="auto"/>
                <w:szCs w:val="21"/>
                <w:highlight w:val="none"/>
              </w:rPr>
              <w:t>大写：</w:t>
            </w:r>
          </w:p>
          <w:p>
            <w:pPr>
              <w:snapToGrid w:val="0"/>
              <w:spacing w:before="50" w:after="50"/>
              <w:jc w:val="center"/>
              <w:rPr>
                <w:rFonts w:ascii="宋体" w:hAnsi="宋体"/>
                <w:color w:val="auto"/>
                <w:szCs w:val="21"/>
                <w:highlight w:val="none"/>
              </w:rPr>
            </w:pPr>
            <w:r>
              <w:rPr>
                <w:rFonts w:hint="eastAsia" w:ascii="宋体" w:hAnsi="宋体"/>
                <w:color w:val="auto"/>
                <w:szCs w:val="21"/>
                <w:highlight w:val="none"/>
              </w:rPr>
              <w:t>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64" w:hRule="atLeast"/>
          <w:jc w:val="center"/>
        </w:trPr>
        <w:tc>
          <w:tcPr>
            <w:tcW w:w="49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color w:val="auto"/>
                <w:szCs w:val="21"/>
                <w:highlight w:val="none"/>
              </w:rPr>
            </w:pPr>
            <w:r>
              <w:rPr>
                <w:rFonts w:hint="eastAsia" w:ascii="宋体" w:hAnsi="宋体"/>
                <w:color w:val="auto"/>
                <w:szCs w:val="21"/>
                <w:highlight w:val="none"/>
              </w:rPr>
              <w:t>投标</w:t>
            </w:r>
          </w:p>
          <w:p>
            <w:pPr>
              <w:snapToGrid w:val="0"/>
              <w:spacing w:before="50" w:after="50"/>
              <w:jc w:val="center"/>
              <w:rPr>
                <w:rFonts w:hint="eastAsia" w:ascii="宋体" w:hAnsi="宋体"/>
                <w:color w:val="auto"/>
                <w:szCs w:val="21"/>
                <w:highlight w:val="none"/>
              </w:rPr>
            </w:pPr>
            <w:r>
              <w:rPr>
                <w:rFonts w:hint="eastAsia" w:ascii="宋体" w:hAnsi="宋体"/>
                <w:color w:val="auto"/>
                <w:szCs w:val="21"/>
                <w:highlight w:val="none"/>
              </w:rPr>
              <w:t>声明</w:t>
            </w:r>
          </w:p>
        </w:tc>
        <w:tc>
          <w:tcPr>
            <w:tcW w:w="8793" w:type="dxa"/>
            <w:gridSpan w:val="6"/>
            <w:tcBorders>
              <w:top w:val="single" w:color="auto" w:sz="4" w:space="0"/>
              <w:left w:val="single" w:color="auto" w:sz="4" w:space="0"/>
              <w:bottom w:val="single" w:color="auto" w:sz="4" w:space="0"/>
              <w:right w:val="single" w:color="auto" w:sz="4" w:space="0"/>
            </w:tcBorders>
            <w:vAlign w:val="top"/>
          </w:tcPr>
          <w:p>
            <w:pPr>
              <w:snapToGrid w:val="0"/>
              <w:spacing w:before="50" w:after="50"/>
              <w:rPr>
                <w:rFonts w:hint="eastAsia" w:ascii="宋体" w:hAnsi="宋体"/>
                <w:color w:val="auto"/>
                <w:szCs w:val="21"/>
                <w:highlight w:val="none"/>
              </w:rPr>
            </w:pPr>
          </w:p>
        </w:tc>
      </w:tr>
    </w:tbl>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color w:val="auto"/>
          <w:szCs w:val="21"/>
          <w:highlight w:val="none"/>
        </w:rPr>
      </w:pPr>
      <w:r>
        <w:rPr>
          <w:rFonts w:hint="eastAsia" w:ascii="宋体" w:hAnsi="宋体"/>
          <w:color w:val="auto"/>
          <w:szCs w:val="21"/>
          <w:highlight w:val="none"/>
        </w:rPr>
        <w:t>注</w:t>
      </w:r>
      <w:r>
        <w:rPr>
          <w:rFonts w:ascii="宋体" w:hAnsi="宋体"/>
          <w:color w:val="auto"/>
          <w:szCs w:val="21"/>
          <w:highlight w:val="none"/>
        </w:rPr>
        <w:t xml:space="preserve">: </w:t>
      </w:r>
      <w:r>
        <w:rPr>
          <w:rFonts w:hint="eastAsia" w:ascii="宋体" w:hAnsi="宋体"/>
          <w:color w:val="auto"/>
          <w:szCs w:val="21"/>
          <w:highlight w:val="none"/>
        </w:rPr>
        <w:t>（1）报价一经涂改，应在涂改处加盖单位公章或者由法定代表人或授权委托人签字或盖章，否则其投标作无效标处理；</w:t>
      </w:r>
    </w:p>
    <w:p>
      <w:pPr>
        <w:keepNext w:val="0"/>
        <w:keepLines w:val="0"/>
        <w:pageBreakBefore w:val="0"/>
        <w:widowControl w:val="0"/>
        <w:kinsoku/>
        <w:wordWrap/>
        <w:overflowPunct/>
        <w:topLinePunct w:val="0"/>
        <w:autoSpaceDE/>
        <w:autoSpaceDN/>
        <w:bidi w:val="0"/>
        <w:adjustRightInd/>
        <w:snapToGrid w:val="0"/>
        <w:ind w:firstLine="411" w:firstLineChars="196"/>
        <w:jc w:val="left"/>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（2）各标段年度投标价=该标段对应</w:t>
      </w:r>
      <w:r>
        <w:rPr>
          <w:rFonts w:hint="eastAsia" w:ascii="宋体" w:hAnsi="宋体" w:cs="宋体"/>
          <w:b w:val="0"/>
          <w:bCs/>
          <w:color w:val="auto"/>
          <w:szCs w:val="21"/>
          <w:highlight w:val="none"/>
          <w:shd w:val="clear"/>
        </w:rPr>
        <w:t>的</w:t>
      </w:r>
      <w:r>
        <w:rPr>
          <w:rFonts w:hint="eastAsia" w:ascii="宋体" w:hAnsi="宋体" w:cs="宋体"/>
          <w:b w:val="0"/>
          <w:bCs/>
          <w:color w:val="auto"/>
          <w:szCs w:val="21"/>
          <w:highlight w:val="none"/>
          <w:shd w:val="clear"/>
          <w:lang w:val="en-US" w:eastAsia="zh-CN"/>
        </w:rPr>
        <w:t>日常养护</w:t>
      </w:r>
      <w:r>
        <w:rPr>
          <w:rFonts w:hint="eastAsia" w:ascii="宋体" w:hAnsi="宋体" w:cs="宋体"/>
          <w:b w:val="0"/>
          <w:bCs/>
          <w:color w:val="auto"/>
          <w:szCs w:val="21"/>
          <w:highlight w:val="none"/>
          <w:shd w:val="clear"/>
        </w:rPr>
        <w:t>水域面积</w:t>
      </w:r>
      <w:r>
        <w:rPr>
          <w:rFonts w:hint="eastAsia" w:ascii="宋体" w:hAnsi="宋体" w:cs="宋体"/>
          <w:b w:val="0"/>
          <w:bCs/>
          <w:color w:val="auto"/>
          <w:szCs w:val="21"/>
          <w:highlight w:val="none"/>
        </w:rPr>
        <w:t>（</w:t>
      </w:r>
      <w:r>
        <w:rPr>
          <w:rFonts w:hint="eastAsia"/>
          <w:color w:val="auto"/>
          <w:highlight w:val="none"/>
        </w:rPr>
        <w:t>m</w:t>
      </w:r>
      <w:r>
        <w:rPr>
          <w:rFonts w:hint="eastAsia"/>
          <w:color w:val="auto"/>
          <w:sz w:val="21"/>
          <w:szCs w:val="24"/>
          <w:highlight w:val="none"/>
          <w:vertAlign w:val="superscript"/>
        </w:rPr>
        <w:t>2</w:t>
      </w:r>
      <w:r>
        <w:rPr>
          <w:rFonts w:hint="eastAsia" w:ascii="宋体" w:hAnsi="宋体" w:cs="宋体"/>
          <w:b w:val="0"/>
          <w:bCs/>
          <w:color w:val="auto"/>
          <w:szCs w:val="21"/>
          <w:highlight w:val="none"/>
        </w:rPr>
        <w:t>）×综合单价（元/</w:t>
      </w:r>
      <w:r>
        <w:rPr>
          <w:rFonts w:hint="eastAsia"/>
          <w:color w:val="auto"/>
          <w:highlight w:val="none"/>
        </w:rPr>
        <w:t>m</w:t>
      </w:r>
      <w:r>
        <w:rPr>
          <w:rFonts w:hint="eastAsia"/>
          <w:color w:val="auto"/>
          <w:sz w:val="21"/>
          <w:szCs w:val="24"/>
          <w:highlight w:val="none"/>
          <w:vertAlign w:val="superscript"/>
        </w:rPr>
        <w:t>2</w:t>
      </w:r>
      <w:r>
        <w:rPr>
          <w:rFonts w:hint="eastAsia" w:ascii="宋体" w:hAnsi="宋体" w:cs="宋体"/>
          <w:b w:val="0"/>
          <w:bCs/>
          <w:color w:val="auto"/>
          <w:szCs w:val="21"/>
          <w:highlight w:val="none"/>
        </w:rPr>
        <w:t>/年）；各标段三年投标总价=各标段年度投标价</w:t>
      </w:r>
      <w:r>
        <w:rPr>
          <w:rFonts w:ascii="Arial" w:hAnsi="Arial" w:cs="Arial"/>
          <w:b w:val="0"/>
          <w:bCs/>
          <w:color w:val="auto"/>
          <w:szCs w:val="21"/>
          <w:highlight w:val="none"/>
        </w:rPr>
        <w:t>×</w:t>
      </w:r>
      <w:r>
        <w:rPr>
          <w:rFonts w:hint="eastAsia" w:ascii="宋体" w:hAnsi="宋体" w:cs="宋体"/>
          <w:b w:val="0"/>
          <w:bCs/>
          <w:color w:val="auto"/>
          <w:szCs w:val="21"/>
          <w:highlight w:val="none"/>
        </w:rPr>
        <w:t>3。</w:t>
      </w:r>
    </w:p>
    <w:p>
      <w:pPr>
        <w:pStyle w:val="21"/>
        <w:keepNext w:val="0"/>
        <w:keepLines w:val="0"/>
        <w:pageBreakBefore w:val="0"/>
        <w:widowControl w:val="0"/>
        <w:kinsoku/>
        <w:wordWrap/>
        <w:overflowPunct/>
        <w:topLinePunct w:val="0"/>
        <w:autoSpaceDE/>
        <w:autoSpaceDN/>
        <w:bidi w:val="0"/>
        <w:adjustRightInd/>
        <w:spacing w:after="0"/>
        <w:ind w:left="0" w:leftChars="0" w:firstLine="404" w:firstLineChars="200"/>
        <w:textAlignment w:val="auto"/>
        <w:rPr>
          <w:rFonts w:hint="default"/>
          <w:color w:val="auto"/>
          <w:highlight w:val="none"/>
          <w:lang w:val="en-US" w:eastAsia="zh-CN"/>
        </w:rPr>
      </w:pPr>
      <w:r>
        <w:rPr>
          <w:rFonts w:hint="eastAsia"/>
          <w:color w:val="auto"/>
          <w:highlight w:val="none"/>
          <w:lang w:val="en-US" w:eastAsia="zh-CN"/>
        </w:rPr>
        <w:t>（3）应急养护水域面积不计入报价中。</w:t>
      </w:r>
    </w:p>
    <w:p>
      <w:pPr>
        <w:pStyle w:val="21"/>
        <w:keepNext w:val="0"/>
        <w:keepLines w:val="0"/>
        <w:pageBreakBefore w:val="0"/>
        <w:widowControl w:val="0"/>
        <w:kinsoku/>
        <w:wordWrap/>
        <w:overflowPunct/>
        <w:topLinePunct w:val="0"/>
        <w:autoSpaceDE/>
        <w:autoSpaceDN/>
        <w:bidi w:val="0"/>
        <w:adjustRightInd/>
        <w:spacing w:after="0"/>
        <w:ind w:left="0" w:leftChars="0" w:firstLine="404" w:firstLineChars="200"/>
        <w:textAlignment w:val="auto"/>
        <w:rPr>
          <w:rFonts w:hint="eastAsia"/>
          <w:color w:val="auto"/>
          <w:highlight w:val="none"/>
          <w:lang w:val="en-US" w:eastAsia="zh-CN"/>
        </w:rPr>
      </w:pPr>
      <w:r>
        <w:rPr>
          <w:rFonts w:hint="eastAsia"/>
          <w:color w:val="auto"/>
          <w:highlight w:val="none"/>
          <w:lang w:val="en-US" w:eastAsia="zh-CN"/>
        </w:rPr>
        <w:t>（4）大小写金额不一致的以大写金额为准。</w:t>
      </w:r>
    </w:p>
    <w:p>
      <w:pPr>
        <w:rPr>
          <w:rFonts w:hint="eastAsia"/>
          <w:color w:val="auto"/>
          <w:highlight w:val="none"/>
          <w:lang w:val="en-US" w:eastAsia="zh-CN"/>
        </w:rPr>
      </w:pPr>
    </w:p>
    <w:p>
      <w:pPr>
        <w:pStyle w:val="35"/>
        <w:rPr>
          <w:rFonts w:hint="eastAsia"/>
          <w:color w:val="auto"/>
          <w:highlight w:val="none"/>
          <w:lang w:val="en-US" w:eastAsia="zh-CN"/>
        </w:rPr>
      </w:pPr>
    </w:p>
    <w:p>
      <w:pPr>
        <w:pStyle w:val="35"/>
        <w:rPr>
          <w:rFonts w:hint="eastAsia"/>
          <w:color w:val="auto"/>
          <w:highlight w:val="none"/>
          <w:lang w:val="en-US" w:eastAsia="zh-CN"/>
        </w:rPr>
      </w:pPr>
    </w:p>
    <w:p>
      <w:pPr>
        <w:pStyle w:val="35"/>
        <w:rPr>
          <w:rFonts w:hint="eastAsia"/>
          <w:color w:val="auto"/>
          <w:highlight w:val="none"/>
          <w:lang w:val="en-US" w:eastAsia="zh-CN"/>
        </w:rPr>
      </w:pPr>
    </w:p>
    <w:p>
      <w:pPr>
        <w:snapToGrid w:val="0"/>
        <w:spacing w:before="50" w:after="50"/>
        <w:ind w:left="-23" w:leftChars="-11" w:right="-817" w:rightChars="-389"/>
        <w:rPr>
          <w:rFonts w:hint="eastAsia" w:ascii="宋体" w:hAnsi="宋体"/>
          <w:color w:val="auto"/>
          <w:szCs w:val="21"/>
          <w:highlight w:val="none"/>
        </w:rPr>
      </w:pPr>
    </w:p>
    <w:p>
      <w:pPr>
        <w:snapToGrid w:val="0"/>
        <w:spacing w:before="50" w:after="50"/>
        <w:ind w:left="-23" w:leftChars="-11" w:right="-817" w:rightChars="-389"/>
        <w:rPr>
          <w:rFonts w:hint="eastAsia" w:ascii="宋体" w:hAnsi="宋体"/>
          <w:color w:val="auto"/>
          <w:szCs w:val="21"/>
          <w:highlight w:val="none"/>
        </w:rPr>
      </w:pPr>
      <w:r>
        <w:rPr>
          <w:rFonts w:hint="eastAsia" w:ascii="宋体" w:hAnsi="宋体"/>
          <w:color w:val="auto"/>
          <w:szCs w:val="21"/>
          <w:highlight w:val="none"/>
        </w:rPr>
        <w:t>法定代表人或授权代表（签字或盖章）：</w:t>
      </w:r>
      <w:r>
        <w:rPr>
          <w:rFonts w:ascii="宋体" w:hAnsi="宋体"/>
          <w:color w:val="auto"/>
          <w:szCs w:val="21"/>
          <w:highlight w:val="none"/>
        </w:rPr>
        <w:t xml:space="preserve">                    </w:t>
      </w:r>
    </w:p>
    <w:p>
      <w:pPr>
        <w:snapToGrid w:val="0"/>
        <w:spacing w:before="50" w:after="50"/>
        <w:rPr>
          <w:rFonts w:ascii="宋体" w:hAnsi="宋体"/>
          <w:color w:val="auto"/>
          <w:szCs w:val="21"/>
          <w:highlight w:val="none"/>
        </w:rPr>
      </w:pPr>
      <w:r>
        <w:rPr>
          <w:rFonts w:hint="eastAsia" w:ascii="宋体" w:hAnsi="宋体"/>
          <w:color w:val="auto"/>
          <w:szCs w:val="21"/>
          <w:highlight w:val="none"/>
          <w:lang w:eastAsia="zh-CN"/>
        </w:rPr>
        <w:t>投标人</w:t>
      </w:r>
      <w:r>
        <w:rPr>
          <w:rFonts w:hint="eastAsia" w:ascii="宋体" w:hAnsi="宋体"/>
          <w:color w:val="auto"/>
          <w:szCs w:val="21"/>
          <w:highlight w:val="none"/>
        </w:rPr>
        <w:t>名称（盖章）：</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rPr>
        <w:t xml:space="preserve">  </w:t>
      </w:r>
    </w:p>
    <w:p>
      <w:pPr>
        <w:snapToGrid w:val="0"/>
        <w:spacing w:before="50" w:after="50"/>
        <w:rPr>
          <w:rFonts w:hint="eastAsia" w:ascii="宋体" w:hAnsi="宋体"/>
          <w:b/>
          <w:color w:val="auto"/>
          <w:szCs w:val="21"/>
          <w:highlight w:val="none"/>
        </w:rPr>
      </w:pPr>
      <w:r>
        <w:rPr>
          <w:rFonts w:hint="eastAsia" w:ascii="宋体" w:hAnsi="宋体"/>
          <w:color w:val="auto"/>
          <w:szCs w:val="21"/>
          <w:highlight w:val="none"/>
        </w:rPr>
        <w:t>日期：</w:t>
      </w:r>
      <w:r>
        <w:rPr>
          <w:rFonts w:ascii="宋体" w:hAnsi="宋体"/>
          <w:color w:val="auto"/>
          <w:szCs w:val="21"/>
          <w:highlight w:val="none"/>
        </w:rPr>
        <w:t xml:space="preserve">    </w:t>
      </w:r>
      <w:r>
        <w:rPr>
          <w:rFonts w:hint="eastAsia" w:ascii="宋体" w:hAnsi="宋体"/>
          <w:color w:val="auto"/>
          <w:szCs w:val="21"/>
          <w:highlight w:val="none"/>
        </w:rPr>
        <w:t>年</w:t>
      </w:r>
      <w:r>
        <w:rPr>
          <w:rFonts w:ascii="宋体" w:hAnsi="宋体"/>
          <w:color w:val="auto"/>
          <w:szCs w:val="21"/>
          <w:highlight w:val="none"/>
        </w:rPr>
        <w:t xml:space="preserve">   </w:t>
      </w:r>
      <w:r>
        <w:rPr>
          <w:rFonts w:hint="eastAsia" w:ascii="宋体" w:hAnsi="宋体"/>
          <w:color w:val="auto"/>
          <w:szCs w:val="21"/>
          <w:highlight w:val="none"/>
        </w:rPr>
        <w:t>月</w:t>
      </w:r>
      <w:r>
        <w:rPr>
          <w:rFonts w:ascii="宋体" w:hAnsi="宋体"/>
          <w:color w:val="auto"/>
          <w:szCs w:val="21"/>
          <w:highlight w:val="none"/>
        </w:rPr>
        <w:t xml:space="preserve">   </w:t>
      </w:r>
      <w:r>
        <w:rPr>
          <w:rFonts w:hint="eastAsia" w:ascii="宋体" w:hAnsi="宋体"/>
          <w:color w:val="auto"/>
          <w:szCs w:val="21"/>
          <w:highlight w:val="none"/>
        </w:rPr>
        <w:t>日</w:t>
      </w:r>
    </w:p>
    <w:p>
      <w:pPr>
        <w:rPr>
          <w:rFonts w:hint="eastAsia" w:ascii="宋体" w:hAnsi="宋体"/>
          <w:color w:val="auto"/>
          <w:szCs w:val="21"/>
          <w:highlight w:val="none"/>
        </w:rPr>
      </w:pPr>
      <w:r>
        <w:rPr>
          <w:rFonts w:hint="eastAsia" w:ascii="宋体" w:hAnsi="宋体"/>
          <w:color w:val="auto"/>
          <w:szCs w:val="21"/>
          <w:highlight w:val="none"/>
        </w:rPr>
        <w:br w:type="page"/>
      </w:r>
    </w:p>
    <w:p>
      <w:pPr>
        <w:spacing w:line="360" w:lineRule="auto"/>
        <w:rPr>
          <w:rFonts w:hint="eastAsia" w:hAnsi="宋体"/>
          <w:b w:val="0"/>
          <w:bCs w:val="0"/>
          <w:color w:val="auto"/>
          <w:sz w:val="24"/>
          <w:szCs w:val="24"/>
          <w:highlight w:val="none"/>
        </w:rPr>
      </w:pPr>
      <w:r>
        <w:rPr>
          <w:rFonts w:hint="eastAsia" w:ascii="宋体" w:hAnsi="宋体"/>
          <w:b w:val="0"/>
          <w:bCs w:val="0"/>
          <w:color w:val="auto"/>
          <w:sz w:val="24"/>
          <w:szCs w:val="24"/>
          <w:highlight w:val="none"/>
        </w:rPr>
        <w:t>1</w:t>
      </w:r>
      <w:r>
        <w:rPr>
          <w:rFonts w:hint="eastAsia" w:ascii="宋体" w:hAnsi="宋体"/>
          <w:b w:val="0"/>
          <w:bCs w:val="0"/>
          <w:color w:val="auto"/>
          <w:sz w:val="24"/>
          <w:szCs w:val="24"/>
          <w:highlight w:val="none"/>
          <w:lang w:val="en-US" w:eastAsia="zh-CN"/>
        </w:rPr>
        <w:t>4</w:t>
      </w:r>
      <w:r>
        <w:rPr>
          <w:rFonts w:hint="eastAsia" w:ascii="宋体" w:hAnsi="宋体"/>
          <w:b w:val="0"/>
          <w:bCs w:val="0"/>
          <w:color w:val="auto"/>
          <w:sz w:val="24"/>
          <w:szCs w:val="24"/>
          <w:highlight w:val="none"/>
        </w:rPr>
        <w:t>.</w:t>
      </w:r>
      <w:r>
        <w:rPr>
          <w:rFonts w:hint="eastAsia" w:hAnsi="宋体"/>
          <w:b w:val="0"/>
          <w:bCs w:val="0"/>
          <w:color w:val="auto"/>
          <w:sz w:val="24"/>
          <w:szCs w:val="24"/>
          <w:highlight w:val="none"/>
        </w:rPr>
        <w:t xml:space="preserve"> 分项报价明细表</w:t>
      </w:r>
    </w:p>
    <w:p>
      <w:pPr>
        <w:spacing w:line="360" w:lineRule="auto"/>
        <w:rPr>
          <w:rFonts w:hint="eastAsia" w:ascii="宋体" w:hAnsi="宋体"/>
          <w:color w:val="auto"/>
          <w:szCs w:val="21"/>
          <w:highlight w:val="none"/>
        </w:rPr>
      </w:pPr>
    </w:p>
    <w:p>
      <w:pPr>
        <w:spacing w:line="360" w:lineRule="auto"/>
        <w:jc w:val="center"/>
        <w:rPr>
          <w:rFonts w:hint="eastAsia" w:ascii="宋体" w:hAnsi="宋体"/>
          <w:color w:val="auto"/>
          <w:szCs w:val="21"/>
          <w:highlight w:val="none"/>
        </w:rPr>
      </w:pPr>
      <w:r>
        <w:rPr>
          <w:rFonts w:hint="eastAsia" w:hAnsi="宋体"/>
          <w:b/>
          <w:bCs/>
          <w:color w:val="auto"/>
          <w:sz w:val="24"/>
          <w:szCs w:val="24"/>
          <w:highlight w:val="none"/>
        </w:rPr>
        <w:t>分项报价明细表</w:t>
      </w:r>
    </w:p>
    <w:p>
      <w:pPr>
        <w:spacing w:line="360" w:lineRule="auto"/>
        <w:rPr>
          <w:rFonts w:ascii="宋体" w:hAnsi="宋体"/>
          <w:color w:val="auto"/>
          <w:szCs w:val="21"/>
          <w:highlight w:val="none"/>
          <w:u w:val="single"/>
        </w:rPr>
      </w:pPr>
      <w:r>
        <w:rPr>
          <w:rFonts w:hint="eastAsia" w:ascii="宋体" w:hAnsi="宋体"/>
          <w:color w:val="auto"/>
          <w:szCs w:val="21"/>
          <w:highlight w:val="none"/>
        </w:rPr>
        <w:t>项目编号：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项目名称：</w:t>
      </w:r>
      <w:r>
        <w:rPr>
          <w:rFonts w:ascii="宋体" w:hAnsi="宋体"/>
          <w:color w:val="auto"/>
          <w:szCs w:val="21"/>
          <w:highlight w:val="none"/>
          <w:u w:val="single"/>
        </w:rPr>
        <w:t xml:space="preserve">                    </w:t>
      </w:r>
    </w:p>
    <w:p>
      <w:pPr>
        <w:spacing w:line="360" w:lineRule="auto"/>
        <w:rPr>
          <w:rFonts w:hint="eastAsia" w:ascii="宋体" w:hAnsi="宋体"/>
          <w:color w:val="auto"/>
          <w:szCs w:val="21"/>
          <w:highlight w:val="none"/>
          <w:u w:val="single"/>
        </w:rPr>
      </w:pPr>
      <w:r>
        <w:rPr>
          <w:rFonts w:hint="eastAsia" w:ascii="宋体" w:hAnsi="宋体"/>
          <w:color w:val="auto"/>
          <w:szCs w:val="21"/>
          <w:highlight w:val="none"/>
        </w:rPr>
        <w:t>标段号：</w:t>
      </w:r>
      <w:r>
        <w:rPr>
          <w:rFonts w:hint="eastAsia" w:ascii="宋体" w:hAnsi="宋体"/>
          <w:color w:val="auto"/>
          <w:szCs w:val="21"/>
          <w:highlight w:val="none"/>
          <w:u w:val="single"/>
        </w:rPr>
        <w:t xml:space="preserve">          </w:t>
      </w:r>
    </w:p>
    <w:p>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rPr>
        <w:t>第</w:t>
      </w:r>
      <w:r>
        <w:rPr>
          <w:rFonts w:hint="eastAsia" w:ascii="宋体" w:hAnsi="宋体"/>
          <w:color w:val="auto"/>
          <w:szCs w:val="21"/>
          <w:highlight w:val="none"/>
          <w:u w:val="single"/>
        </w:rPr>
        <w:t xml:space="preserve"> 1</w:t>
      </w:r>
      <w:r>
        <w:rPr>
          <w:rFonts w:hint="eastAsia" w:ascii="宋体" w:hAnsi="宋体"/>
          <w:color w:val="auto"/>
          <w:szCs w:val="21"/>
          <w:highlight w:val="none"/>
          <w:u w:val="single"/>
          <w:lang w:val="en-US" w:eastAsia="zh-CN"/>
        </w:rPr>
        <w:t>/2/3</w:t>
      </w:r>
      <w:r>
        <w:rPr>
          <w:rFonts w:hint="eastAsia" w:ascii="宋体" w:hAnsi="宋体"/>
          <w:color w:val="auto"/>
          <w:szCs w:val="21"/>
          <w:highlight w:val="none"/>
          <w:u w:val="single"/>
        </w:rPr>
        <w:t xml:space="preserve"> </w:t>
      </w:r>
      <w:r>
        <w:rPr>
          <w:rFonts w:hint="eastAsia" w:ascii="宋体" w:hAnsi="宋体"/>
          <w:color w:val="auto"/>
          <w:szCs w:val="21"/>
          <w:highlight w:val="none"/>
        </w:rPr>
        <w:t>年</w:t>
      </w:r>
    </w:p>
    <w:tbl>
      <w:tblPr>
        <w:tblStyle w:val="22"/>
        <w:tblW w:w="8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1063"/>
        <w:gridCol w:w="2023"/>
        <w:gridCol w:w="2546"/>
        <w:gridCol w:w="1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5" w:type="dxa"/>
            <w:vAlign w:val="center"/>
          </w:tcPr>
          <w:p>
            <w:pPr>
              <w:spacing w:line="400" w:lineRule="exact"/>
              <w:jc w:val="center"/>
              <w:rPr>
                <w:rFonts w:hint="eastAsia" w:ascii="宋体" w:hAnsi="宋体"/>
                <w:color w:val="auto"/>
                <w:szCs w:val="21"/>
                <w:highlight w:val="none"/>
              </w:rPr>
            </w:pPr>
            <w:r>
              <w:rPr>
                <w:rFonts w:hint="eastAsia" w:ascii="宋体" w:hAnsi="宋体"/>
                <w:color w:val="auto"/>
                <w:szCs w:val="21"/>
                <w:highlight w:val="none"/>
              </w:rPr>
              <w:t>河道名称</w:t>
            </w:r>
          </w:p>
        </w:tc>
        <w:tc>
          <w:tcPr>
            <w:tcW w:w="1063" w:type="dxa"/>
            <w:vAlign w:val="center"/>
          </w:tcPr>
          <w:p>
            <w:pPr>
              <w:spacing w:line="400" w:lineRule="exact"/>
              <w:jc w:val="center"/>
              <w:rPr>
                <w:rFonts w:hint="eastAsia" w:ascii="宋体" w:hAnsi="宋体"/>
                <w:color w:val="auto"/>
                <w:szCs w:val="21"/>
                <w:highlight w:val="none"/>
              </w:rPr>
            </w:pPr>
            <w:r>
              <w:rPr>
                <w:rFonts w:hint="eastAsia" w:ascii="宋体" w:hAnsi="宋体"/>
                <w:color w:val="auto"/>
                <w:szCs w:val="21"/>
                <w:highlight w:val="none"/>
              </w:rPr>
              <w:t>序号</w:t>
            </w:r>
          </w:p>
        </w:tc>
        <w:tc>
          <w:tcPr>
            <w:tcW w:w="2023" w:type="dxa"/>
            <w:vAlign w:val="center"/>
          </w:tcPr>
          <w:p>
            <w:pPr>
              <w:spacing w:line="400" w:lineRule="exact"/>
              <w:jc w:val="center"/>
              <w:rPr>
                <w:rFonts w:hint="eastAsia" w:ascii="宋体" w:hAnsi="宋体"/>
                <w:color w:val="auto"/>
                <w:szCs w:val="21"/>
                <w:highlight w:val="none"/>
              </w:rPr>
            </w:pPr>
            <w:r>
              <w:rPr>
                <w:rFonts w:hint="eastAsia" w:ascii="宋体" w:hAnsi="宋体"/>
                <w:color w:val="auto"/>
                <w:szCs w:val="21"/>
                <w:highlight w:val="none"/>
              </w:rPr>
              <w:t>费用名称</w:t>
            </w:r>
          </w:p>
        </w:tc>
        <w:tc>
          <w:tcPr>
            <w:tcW w:w="2546" w:type="dxa"/>
            <w:vAlign w:val="center"/>
          </w:tcPr>
          <w:p>
            <w:pPr>
              <w:spacing w:line="400" w:lineRule="exact"/>
              <w:jc w:val="center"/>
              <w:rPr>
                <w:rFonts w:hint="eastAsia" w:ascii="宋体" w:hAnsi="宋体"/>
                <w:color w:val="auto"/>
                <w:szCs w:val="21"/>
                <w:highlight w:val="none"/>
              </w:rPr>
            </w:pPr>
            <w:r>
              <w:rPr>
                <w:rFonts w:hint="eastAsia" w:ascii="宋体" w:hAnsi="宋体"/>
                <w:color w:val="auto"/>
                <w:szCs w:val="21"/>
                <w:highlight w:val="none"/>
              </w:rPr>
              <w:t>分项投标价（人民币：元）</w:t>
            </w:r>
          </w:p>
        </w:tc>
        <w:tc>
          <w:tcPr>
            <w:tcW w:w="1598" w:type="dxa"/>
            <w:vAlign w:val="center"/>
          </w:tcPr>
          <w:p>
            <w:pPr>
              <w:spacing w:line="400" w:lineRule="exact"/>
              <w:jc w:val="center"/>
              <w:rPr>
                <w:rFonts w:hint="eastAsia"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5" w:type="dxa"/>
            <w:vMerge w:val="restart"/>
            <w:vAlign w:val="center"/>
          </w:tcPr>
          <w:p>
            <w:pPr>
              <w:spacing w:line="400" w:lineRule="exact"/>
              <w:jc w:val="center"/>
              <w:rPr>
                <w:rFonts w:hint="eastAsia" w:ascii="宋体" w:hAnsi="宋体"/>
                <w:color w:val="auto"/>
                <w:szCs w:val="21"/>
                <w:highlight w:val="none"/>
              </w:rPr>
            </w:pPr>
          </w:p>
        </w:tc>
        <w:tc>
          <w:tcPr>
            <w:tcW w:w="1063" w:type="dxa"/>
            <w:vAlign w:val="center"/>
          </w:tcPr>
          <w:p>
            <w:pPr>
              <w:spacing w:line="400" w:lineRule="exact"/>
              <w:jc w:val="center"/>
              <w:rPr>
                <w:rFonts w:hint="eastAsia" w:ascii="宋体" w:hAnsi="宋体"/>
                <w:color w:val="auto"/>
                <w:szCs w:val="21"/>
                <w:highlight w:val="none"/>
              </w:rPr>
            </w:pPr>
            <w:r>
              <w:rPr>
                <w:rFonts w:hint="eastAsia" w:ascii="宋体" w:hAnsi="宋体"/>
                <w:color w:val="auto"/>
                <w:szCs w:val="21"/>
                <w:highlight w:val="none"/>
              </w:rPr>
              <w:t>1</w:t>
            </w:r>
          </w:p>
        </w:tc>
        <w:tc>
          <w:tcPr>
            <w:tcW w:w="2023" w:type="dxa"/>
            <w:vAlign w:val="center"/>
          </w:tcPr>
          <w:p>
            <w:pPr>
              <w:spacing w:line="400" w:lineRule="exact"/>
              <w:jc w:val="center"/>
              <w:rPr>
                <w:rFonts w:hint="eastAsia" w:ascii="宋体" w:hAnsi="宋体"/>
                <w:color w:val="auto"/>
                <w:szCs w:val="21"/>
                <w:highlight w:val="none"/>
              </w:rPr>
            </w:pPr>
            <w:r>
              <w:rPr>
                <w:rFonts w:hint="eastAsia" w:ascii="宋体" w:hAnsi="宋体"/>
                <w:color w:val="auto"/>
                <w:szCs w:val="21"/>
                <w:highlight w:val="none"/>
              </w:rPr>
              <w:t>建设项目投资费用</w:t>
            </w:r>
          </w:p>
        </w:tc>
        <w:tc>
          <w:tcPr>
            <w:tcW w:w="2546" w:type="dxa"/>
            <w:vAlign w:val="center"/>
          </w:tcPr>
          <w:p>
            <w:pPr>
              <w:spacing w:line="400" w:lineRule="exact"/>
              <w:jc w:val="center"/>
              <w:rPr>
                <w:rFonts w:hint="eastAsia" w:ascii="宋体" w:hAnsi="宋体"/>
                <w:color w:val="auto"/>
                <w:szCs w:val="21"/>
                <w:highlight w:val="none"/>
              </w:rPr>
            </w:pPr>
          </w:p>
        </w:tc>
        <w:tc>
          <w:tcPr>
            <w:tcW w:w="1598" w:type="dxa"/>
            <w:vMerge w:val="restart"/>
            <w:vAlign w:val="center"/>
          </w:tcPr>
          <w:p>
            <w:pPr>
              <w:spacing w:line="400" w:lineRule="exact"/>
              <w:jc w:val="center"/>
              <w:rPr>
                <w:rFonts w:hint="eastAsia" w:ascii="宋体" w:hAnsi="宋体"/>
                <w:color w:val="auto"/>
                <w:szCs w:val="21"/>
                <w:highlight w:val="none"/>
              </w:rPr>
            </w:pPr>
            <w:r>
              <w:rPr>
                <w:rFonts w:hint="eastAsia" w:ascii="宋体" w:hAnsi="宋体"/>
                <w:color w:val="auto"/>
                <w:szCs w:val="21"/>
                <w:highlight w:val="none"/>
              </w:rPr>
              <w:t>另附：各部分报价组成明细表（格式自拟）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5" w:type="dxa"/>
            <w:vMerge w:val="continue"/>
            <w:vAlign w:val="center"/>
          </w:tcPr>
          <w:p>
            <w:pPr>
              <w:spacing w:line="400" w:lineRule="exact"/>
              <w:jc w:val="center"/>
              <w:rPr>
                <w:rFonts w:hint="eastAsia" w:ascii="宋体" w:hAnsi="宋体"/>
                <w:color w:val="auto"/>
                <w:szCs w:val="21"/>
                <w:highlight w:val="none"/>
              </w:rPr>
            </w:pPr>
          </w:p>
        </w:tc>
        <w:tc>
          <w:tcPr>
            <w:tcW w:w="1063" w:type="dxa"/>
            <w:vAlign w:val="center"/>
          </w:tcPr>
          <w:p>
            <w:pPr>
              <w:spacing w:line="400" w:lineRule="exact"/>
              <w:jc w:val="center"/>
              <w:rPr>
                <w:rFonts w:hint="eastAsia" w:ascii="宋体" w:hAnsi="宋体"/>
                <w:color w:val="auto"/>
                <w:szCs w:val="21"/>
                <w:highlight w:val="none"/>
              </w:rPr>
            </w:pPr>
            <w:r>
              <w:rPr>
                <w:rFonts w:hint="eastAsia" w:ascii="宋体" w:hAnsi="宋体"/>
                <w:color w:val="auto"/>
                <w:szCs w:val="21"/>
                <w:highlight w:val="none"/>
              </w:rPr>
              <w:t>2</w:t>
            </w:r>
          </w:p>
        </w:tc>
        <w:tc>
          <w:tcPr>
            <w:tcW w:w="2023" w:type="dxa"/>
            <w:vAlign w:val="center"/>
          </w:tcPr>
          <w:p>
            <w:pPr>
              <w:spacing w:line="400" w:lineRule="exact"/>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日常养护费用</w:t>
            </w:r>
          </w:p>
        </w:tc>
        <w:tc>
          <w:tcPr>
            <w:tcW w:w="2546" w:type="dxa"/>
            <w:vAlign w:val="center"/>
          </w:tcPr>
          <w:p>
            <w:pPr>
              <w:spacing w:line="400" w:lineRule="exact"/>
              <w:jc w:val="center"/>
              <w:rPr>
                <w:rFonts w:hint="eastAsia" w:ascii="宋体" w:hAnsi="宋体"/>
                <w:color w:val="auto"/>
                <w:szCs w:val="21"/>
                <w:highlight w:val="none"/>
              </w:rPr>
            </w:pPr>
          </w:p>
        </w:tc>
        <w:tc>
          <w:tcPr>
            <w:tcW w:w="1598" w:type="dxa"/>
            <w:vMerge w:val="continue"/>
            <w:vAlign w:val="center"/>
          </w:tcPr>
          <w:p>
            <w:pPr>
              <w:spacing w:line="400" w:lineRule="exact"/>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5" w:type="dxa"/>
            <w:vMerge w:val="continue"/>
            <w:vAlign w:val="center"/>
          </w:tcPr>
          <w:p>
            <w:pPr>
              <w:spacing w:line="400" w:lineRule="exact"/>
              <w:jc w:val="center"/>
              <w:rPr>
                <w:rFonts w:hint="eastAsia" w:ascii="宋体" w:hAnsi="宋体"/>
                <w:color w:val="auto"/>
                <w:szCs w:val="21"/>
                <w:highlight w:val="none"/>
              </w:rPr>
            </w:pPr>
          </w:p>
        </w:tc>
        <w:tc>
          <w:tcPr>
            <w:tcW w:w="1063" w:type="dxa"/>
            <w:vAlign w:val="center"/>
          </w:tcPr>
          <w:p>
            <w:pPr>
              <w:spacing w:line="400" w:lineRule="exact"/>
              <w:jc w:val="center"/>
              <w:rPr>
                <w:rFonts w:hint="eastAsia" w:ascii="宋体" w:hAnsi="宋体"/>
                <w:color w:val="auto"/>
                <w:szCs w:val="21"/>
                <w:highlight w:val="none"/>
              </w:rPr>
            </w:pPr>
            <w:r>
              <w:rPr>
                <w:rFonts w:ascii="宋体" w:hAnsi="宋体"/>
                <w:color w:val="auto"/>
                <w:szCs w:val="21"/>
                <w:highlight w:val="none"/>
              </w:rPr>
              <w:t>3</w:t>
            </w:r>
          </w:p>
        </w:tc>
        <w:tc>
          <w:tcPr>
            <w:tcW w:w="2023" w:type="dxa"/>
            <w:vAlign w:val="center"/>
          </w:tcPr>
          <w:p>
            <w:pPr>
              <w:spacing w:line="40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水质检测应急保障费用</w:t>
            </w:r>
          </w:p>
        </w:tc>
        <w:tc>
          <w:tcPr>
            <w:tcW w:w="2546" w:type="dxa"/>
            <w:vAlign w:val="center"/>
          </w:tcPr>
          <w:p>
            <w:pPr>
              <w:spacing w:line="400" w:lineRule="exact"/>
              <w:jc w:val="center"/>
              <w:rPr>
                <w:rFonts w:hint="eastAsia" w:ascii="宋体" w:hAnsi="宋体"/>
                <w:color w:val="auto"/>
                <w:szCs w:val="21"/>
                <w:highlight w:val="none"/>
              </w:rPr>
            </w:pPr>
          </w:p>
        </w:tc>
        <w:tc>
          <w:tcPr>
            <w:tcW w:w="1598" w:type="dxa"/>
            <w:vMerge w:val="continue"/>
            <w:vAlign w:val="center"/>
          </w:tcPr>
          <w:p>
            <w:pPr>
              <w:spacing w:line="400" w:lineRule="exact"/>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5" w:type="dxa"/>
            <w:vMerge w:val="continue"/>
            <w:vAlign w:val="center"/>
          </w:tcPr>
          <w:p>
            <w:pPr>
              <w:spacing w:line="400" w:lineRule="exact"/>
              <w:jc w:val="center"/>
              <w:rPr>
                <w:rFonts w:hint="eastAsia" w:ascii="宋体" w:hAnsi="宋体"/>
                <w:color w:val="auto"/>
                <w:szCs w:val="21"/>
                <w:highlight w:val="none"/>
              </w:rPr>
            </w:pPr>
          </w:p>
        </w:tc>
        <w:tc>
          <w:tcPr>
            <w:tcW w:w="1063" w:type="dxa"/>
            <w:vAlign w:val="center"/>
          </w:tcPr>
          <w:p>
            <w:pPr>
              <w:spacing w:line="400" w:lineRule="exact"/>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4</w:t>
            </w:r>
          </w:p>
        </w:tc>
        <w:tc>
          <w:tcPr>
            <w:tcW w:w="2023" w:type="dxa"/>
            <w:vAlign w:val="center"/>
          </w:tcPr>
          <w:p>
            <w:pPr>
              <w:spacing w:line="40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企业管理费用</w:t>
            </w:r>
          </w:p>
        </w:tc>
        <w:tc>
          <w:tcPr>
            <w:tcW w:w="2546" w:type="dxa"/>
            <w:vAlign w:val="center"/>
          </w:tcPr>
          <w:p>
            <w:pPr>
              <w:spacing w:line="400" w:lineRule="exact"/>
              <w:jc w:val="center"/>
              <w:rPr>
                <w:rFonts w:hint="eastAsia" w:ascii="宋体" w:hAnsi="宋体"/>
                <w:color w:val="auto"/>
                <w:szCs w:val="21"/>
                <w:highlight w:val="none"/>
              </w:rPr>
            </w:pPr>
          </w:p>
        </w:tc>
        <w:tc>
          <w:tcPr>
            <w:tcW w:w="1598" w:type="dxa"/>
            <w:vMerge w:val="continue"/>
            <w:vAlign w:val="center"/>
          </w:tcPr>
          <w:p>
            <w:pPr>
              <w:spacing w:line="400" w:lineRule="exact"/>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5" w:type="dxa"/>
            <w:vMerge w:val="continue"/>
            <w:vAlign w:val="center"/>
          </w:tcPr>
          <w:p>
            <w:pPr>
              <w:spacing w:line="400" w:lineRule="exact"/>
              <w:jc w:val="center"/>
              <w:rPr>
                <w:rFonts w:hint="eastAsia" w:ascii="宋体" w:hAnsi="宋体"/>
                <w:color w:val="auto"/>
                <w:szCs w:val="21"/>
                <w:highlight w:val="none"/>
              </w:rPr>
            </w:pPr>
          </w:p>
        </w:tc>
        <w:tc>
          <w:tcPr>
            <w:tcW w:w="1063" w:type="dxa"/>
            <w:vAlign w:val="center"/>
          </w:tcPr>
          <w:p>
            <w:pPr>
              <w:spacing w:line="400" w:lineRule="exact"/>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5</w:t>
            </w:r>
          </w:p>
        </w:tc>
        <w:tc>
          <w:tcPr>
            <w:tcW w:w="2023" w:type="dxa"/>
            <w:vAlign w:val="center"/>
          </w:tcPr>
          <w:p>
            <w:pPr>
              <w:spacing w:line="400" w:lineRule="exact"/>
              <w:jc w:val="center"/>
              <w:rPr>
                <w:rFonts w:hint="eastAsia" w:ascii="宋体" w:hAnsi="宋体"/>
                <w:color w:val="auto"/>
                <w:szCs w:val="21"/>
                <w:highlight w:val="none"/>
              </w:rPr>
            </w:pPr>
            <w:r>
              <w:rPr>
                <w:rFonts w:hint="eastAsia" w:ascii="宋体" w:hAnsi="宋体"/>
                <w:color w:val="auto"/>
                <w:szCs w:val="21"/>
                <w:highlight w:val="none"/>
              </w:rPr>
              <w:t>设备残值回收费用（如有）</w:t>
            </w:r>
          </w:p>
        </w:tc>
        <w:tc>
          <w:tcPr>
            <w:tcW w:w="2546" w:type="dxa"/>
            <w:vAlign w:val="center"/>
          </w:tcPr>
          <w:p>
            <w:pPr>
              <w:spacing w:line="400" w:lineRule="exact"/>
              <w:jc w:val="center"/>
              <w:rPr>
                <w:rFonts w:hint="eastAsia" w:ascii="宋体" w:hAnsi="宋体"/>
                <w:color w:val="auto"/>
                <w:szCs w:val="21"/>
                <w:highlight w:val="none"/>
              </w:rPr>
            </w:pPr>
          </w:p>
        </w:tc>
        <w:tc>
          <w:tcPr>
            <w:tcW w:w="1598" w:type="dxa"/>
            <w:vMerge w:val="continue"/>
            <w:vAlign w:val="center"/>
          </w:tcPr>
          <w:p>
            <w:pPr>
              <w:spacing w:line="400" w:lineRule="exact"/>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5" w:type="dxa"/>
            <w:vAlign w:val="center"/>
          </w:tcPr>
          <w:p>
            <w:pPr>
              <w:spacing w:line="400" w:lineRule="exact"/>
              <w:jc w:val="center"/>
              <w:rPr>
                <w:rFonts w:hint="eastAsia" w:ascii="宋体" w:hAnsi="宋体"/>
                <w:color w:val="auto"/>
                <w:szCs w:val="21"/>
                <w:highlight w:val="none"/>
              </w:rPr>
            </w:pPr>
            <w:r>
              <w:rPr>
                <w:rFonts w:hint="eastAsia" w:ascii="宋体" w:hAnsi="宋体"/>
                <w:color w:val="auto"/>
                <w:szCs w:val="21"/>
                <w:highlight w:val="none"/>
              </w:rPr>
              <w:t>...</w:t>
            </w:r>
          </w:p>
        </w:tc>
        <w:tc>
          <w:tcPr>
            <w:tcW w:w="1063" w:type="dxa"/>
            <w:vAlign w:val="center"/>
          </w:tcPr>
          <w:p>
            <w:pPr>
              <w:spacing w:line="400" w:lineRule="exact"/>
              <w:jc w:val="center"/>
              <w:rPr>
                <w:rFonts w:ascii="宋体" w:hAnsi="宋体"/>
                <w:color w:val="auto"/>
                <w:szCs w:val="21"/>
                <w:highlight w:val="none"/>
              </w:rPr>
            </w:pPr>
          </w:p>
        </w:tc>
        <w:tc>
          <w:tcPr>
            <w:tcW w:w="2023" w:type="dxa"/>
            <w:vAlign w:val="center"/>
          </w:tcPr>
          <w:p>
            <w:pPr>
              <w:spacing w:line="400" w:lineRule="exact"/>
              <w:jc w:val="center"/>
              <w:rPr>
                <w:rFonts w:hint="eastAsia" w:ascii="宋体" w:hAnsi="宋体"/>
                <w:color w:val="auto"/>
                <w:szCs w:val="21"/>
                <w:highlight w:val="none"/>
              </w:rPr>
            </w:pPr>
          </w:p>
        </w:tc>
        <w:tc>
          <w:tcPr>
            <w:tcW w:w="2546" w:type="dxa"/>
            <w:vAlign w:val="center"/>
          </w:tcPr>
          <w:p>
            <w:pPr>
              <w:spacing w:line="400" w:lineRule="exact"/>
              <w:jc w:val="center"/>
              <w:rPr>
                <w:rFonts w:hint="eastAsia" w:ascii="宋体" w:hAnsi="宋体"/>
                <w:color w:val="auto"/>
                <w:szCs w:val="21"/>
                <w:highlight w:val="none"/>
              </w:rPr>
            </w:pPr>
          </w:p>
        </w:tc>
        <w:tc>
          <w:tcPr>
            <w:tcW w:w="1598" w:type="dxa"/>
            <w:vAlign w:val="center"/>
          </w:tcPr>
          <w:p>
            <w:pPr>
              <w:spacing w:line="400" w:lineRule="exact"/>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81" w:type="dxa"/>
            <w:gridSpan w:val="3"/>
            <w:vAlign w:val="center"/>
          </w:tcPr>
          <w:p>
            <w:pPr>
              <w:spacing w:line="400" w:lineRule="exact"/>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u w:val="single"/>
              </w:rPr>
              <w:t xml:space="preserve"> 1 </w:t>
            </w:r>
            <w:r>
              <w:rPr>
                <w:rFonts w:hint="eastAsia" w:ascii="宋体" w:hAnsi="宋体"/>
                <w:color w:val="auto"/>
                <w:szCs w:val="21"/>
                <w:highlight w:val="none"/>
              </w:rPr>
              <w:t>年投标总价（人民币：元）</w:t>
            </w:r>
          </w:p>
        </w:tc>
        <w:tc>
          <w:tcPr>
            <w:tcW w:w="2546" w:type="dxa"/>
            <w:vAlign w:val="center"/>
          </w:tcPr>
          <w:p>
            <w:pPr>
              <w:spacing w:line="400" w:lineRule="exact"/>
              <w:jc w:val="center"/>
              <w:rPr>
                <w:rFonts w:hint="eastAsia" w:ascii="宋体" w:hAnsi="宋体"/>
                <w:color w:val="auto"/>
                <w:szCs w:val="21"/>
                <w:highlight w:val="none"/>
              </w:rPr>
            </w:pPr>
          </w:p>
        </w:tc>
        <w:tc>
          <w:tcPr>
            <w:tcW w:w="1598" w:type="dxa"/>
            <w:vAlign w:val="center"/>
          </w:tcPr>
          <w:p>
            <w:pPr>
              <w:spacing w:line="400" w:lineRule="exact"/>
              <w:jc w:val="center"/>
              <w:rPr>
                <w:rFonts w:hint="eastAsia" w:ascii="宋体" w:hAnsi="宋体"/>
                <w:color w:val="auto"/>
                <w:szCs w:val="21"/>
                <w:highlight w:val="none"/>
              </w:rPr>
            </w:pPr>
          </w:p>
        </w:tc>
      </w:tr>
    </w:tbl>
    <w:p>
      <w:pPr>
        <w:snapToGrid w:val="0"/>
        <w:spacing w:before="50" w:after="50"/>
        <w:ind w:left="-23" w:leftChars="-11" w:right="-817" w:rightChars="-389"/>
        <w:rPr>
          <w:rFonts w:hint="default" w:ascii="宋体" w:hAnsi="宋体" w:eastAsia="宋体"/>
          <w:color w:val="auto"/>
          <w:szCs w:val="21"/>
          <w:highlight w:val="none"/>
          <w:lang w:val="en-US" w:eastAsia="zh-CN"/>
        </w:rPr>
      </w:pPr>
      <w:r>
        <w:rPr>
          <w:rFonts w:hint="eastAsia" w:ascii="宋体" w:hAnsi="宋体"/>
          <w:color w:val="auto"/>
          <w:szCs w:val="21"/>
          <w:highlight w:val="none"/>
        </w:rPr>
        <w:t>注：要求根据各河道</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各阶段养护期</w:t>
      </w:r>
      <w:r>
        <w:rPr>
          <w:rFonts w:hint="eastAsia" w:ascii="宋体" w:hAnsi="宋体"/>
          <w:color w:val="auto"/>
          <w:szCs w:val="21"/>
          <w:highlight w:val="none"/>
        </w:rPr>
        <w:t>分别填写</w:t>
      </w:r>
      <w:bookmarkStart w:id="18" w:name="_GoBack"/>
      <w:r>
        <w:rPr>
          <w:rFonts w:hint="eastAsia" w:ascii="宋体" w:hAnsi="宋体"/>
          <w:b/>
          <w:bCs/>
          <w:color w:val="auto"/>
          <w:szCs w:val="21"/>
          <w:highlight w:val="none"/>
          <w:lang w:val="en-US" w:eastAsia="zh-CN"/>
        </w:rPr>
        <w:t>每一年</w:t>
      </w:r>
      <w:bookmarkEnd w:id="18"/>
      <w:r>
        <w:rPr>
          <w:rFonts w:hint="eastAsia" w:ascii="宋体" w:hAnsi="宋体"/>
          <w:color w:val="auto"/>
          <w:szCs w:val="21"/>
          <w:highlight w:val="none"/>
          <w:lang w:val="en-US" w:eastAsia="zh-CN"/>
        </w:rPr>
        <w:t>的报价明细表。</w:t>
      </w:r>
    </w:p>
    <w:p>
      <w:pPr>
        <w:snapToGrid w:val="0"/>
        <w:spacing w:before="50" w:after="50"/>
        <w:ind w:left="-23" w:leftChars="-11" w:right="-817" w:rightChars="-389"/>
        <w:rPr>
          <w:rFonts w:ascii="宋体" w:hAnsi="宋体"/>
          <w:color w:val="auto"/>
          <w:szCs w:val="21"/>
          <w:highlight w:val="none"/>
        </w:rPr>
      </w:pPr>
    </w:p>
    <w:p>
      <w:pPr>
        <w:snapToGrid w:val="0"/>
        <w:spacing w:before="50" w:after="50"/>
        <w:ind w:left="-23" w:leftChars="-11" w:right="-817" w:rightChars="-389"/>
        <w:rPr>
          <w:rFonts w:hint="eastAsia" w:ascii="宋体" w:hAnsi="宋体"/>
          <w:color w:val="auto"/>
          <w:szCs w:val="21"/>
          <w:highlight w:val="none"/>
        </w:rPr>
      </w:pPr>
      <w:r>
        <w:rPr>
          <w:rFonts w:hint="eastAsia" w:ascii="宋体" w:hAnsi="宋体"/>
          <w:color w:val="auto"/>
          <w:szCs w:val="21"/>
          <w:highlight w:val="none"/>
        </w:rPr>
        <w:t>法定代表人或授权代表（签字或盖章）：</w:t>
      </w:r>
      <w:r>
        <w:rPr>
          <w:rFonts w:ascii="宋体" w:hAnsi="宋体"/>
          <w:color w:val="auto"/>
          <w:szCs w:val="21"/>
          <w:highlight w:val="none"/>
        </w:rPr>
        <w:t xml:space="preserve">                    </w:t>
      </w:r>
    </w:p>
    <w:p>
      <w:pPr>
        <w:spacing w:line="360" w:lineRule="auto"/>
        <w:rPr>
          <w:rFonts w:hint="eastAsia" w:ascii="宋体" w:hAnsi="宋体"/>
          <w:color w:val="auto"/>
          <w:szCs w:val="21"/>
          <w:highlight w:val="none"/>
        </w:rPr>
      </w:pPr>
      <w:r>
        <w:rPr>
          <w:rFonts w:hint="eastAsia" w:ascii="宋体" w:hAnsi="宋体"/>
          <w:color w:val="auto"/>
          <w:szCs w:val="21"/>
          <w:highlight w:val="none"/>
          <w:lang w:eastAsia="zh-CN"/>
        </w:rPr>
        <w:t>投标人</w:t>
      </w:r>
      <w:r>
        <w:rPr>
          <w:rFonts w:hint="eastAsia" w:ascii="宋体" w:hAnsi="宋体"/>
          <w:color w:val="auto"/>
          <w:szCs w:val="21"/>
          <w:highlight w:val="none"/>
        </w:rPr>
        <w:t>名称（盖章）：</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日期：</w:t>
      </w:r>
      <w:r>
        <w:rPr>
          <w:rFonts w:ascii="宋体" w:hAnsi="宋体"/>
          <w:color w:val="auto"/>
          <w:szCs w:val="21"/>
          <w:highlight w:val="none"/>
        </w:rPr>
        <w:t xml:space="preserve">    </w:t>
      </w:r>
      <w:r>
        <w:rPr>
          <w:rFonts w:hint="eastAsia" w:ascii="宋体" w:hAnsi="宋体"/>
          <w:color w:val="auto"/>
          <w:szCs w:val="21"/>
          <w:highlight w:val="none"/>
        </w:rPr>
        <w:t>年</w:t>
      </w:r>
      <w:r>
        <w:rPr>
          <w:rFonts w:ascii="宋体" w:hAnsi="宋体"/>
          <w:color w:val="auto"/>
          <w:szCs w:val="21"/>
          <w:highlight w:val="none"/>
        </w:rPr>
        <w:t xml:space="preserve">   </w:t>
      </w:r>
      <w:r>
        <w:rPr>
          <w:rFonts w:hint="eastAsia" w:ascii="宋体" w:hAnsi="宋体"/>
          <w:color w:val="auto"/>
          <w:szCs w:val="21"/>
          <w:highlight w:val="none"/>
        </w:rPr>
        <w:t>月</w:t>
      </w:r>
      <w:r>
        <w:rPr>
          <w:rFonts w:ascii="宋体" w:hAnsi="宋体"/>
          <w:color w:val="auto"/>
          <w:szCs w:val="21"/>
          <w:highlight w:val="none"/>
        </w:rPr>
        <w:t xml:space="preserve">   </w:t>
      </w:r>
      <w:r>
        <w:rPr>
          <w:rFonts w:hint="eastAsia" w:ascii="宋体" w:hAnsi="宋体"/>
          <w:color w:val="auto"/>
          <w:szCs w:val="21"/>
          <w:highlight w:val="none"/>
        </w:rPr>
        <w:t>日</w:t>
      </w:r>
    </w:p>
    <w:p>
      <w:pPr>
        <w:spacing w:line="360" w:lineRule="auto"/>
        <w:ind w:firstLine="6195" w:firstLineChars="2950"/>
        <w:rPr>
          <w:rFonts w:ascii="宋体" w:hAnsi="宋体"/>
          <w:color w:val="auto"/>
          <w:szCs w:val="21"/>
          <w:highlight w:val="none"/>
        </w:rPr>
      </w:pPr>
    </w:p>
    <w:p>
      <w:pPr>
        <w:rPr>
          <w:color w:val="auto"/>
          <w:szCs w:val="21"/>
          <w:highlight w:val="none"/>
        </w:rPr>
      </w:pPr>
      <w:r>
        <w:rPr>
          <w:color w:val="auto"/>
          <w:szCs w:val="21"/>
          <w:highlight w:val="none"/>
        </w:rPr>
        <w:br w:type="page"/>
      </w:r>
    </w:p>
    <w:p>
      <w:pPr>
        <w:spacing w:line="360" w:lineRule="auto"/>
        <w:rPr>
          <w:rFonts w:hint="eastAsia" w:hAnsi="宋体"/>
          <w:b w:val="0"/>
          <w:bCs w:val="0"/>
          <w:color w:val="auto"/>
          <w:sz w:val="24"/>
          <w:szCs w:val="24"/>
          <w:highlight w:val="none"/>
        </w:rPr>
      </w:pPr>
      <w:r>
        <w:rPr>
          <w:rFonts w:hint="eastAsia" w:hAnsi="宋体"/>
          <w:b w:val="0"/>
          <w:bCs w:val="0"/>
          <w:color w:val="auto"/>
          <w:sz w:val="24"/>
          <w:szCs w:val="24"/>
          <w:highlight w:val="none"/>
        </w:rPr>
        <w:t>1</w:t>
      </w:r>
      <w:r>
        <w:rPr>
          <w:rFonts w:hint="eastAsia" w:hAnsi="宋体"/>
          <w:b w:val="0"/>
          <w:bCs w:val="0"/>
          <w:color w:val="auto"/>
          <w:sz w:val="24"/>
          <w:szCs w:val="24"/>
          <w:highlight w:val="none"/>
          <w:lang w:val="en-US" w:eastAsia="zh-CN"/>
        </w:rPr>
        <w:t>5</w:t>
      </w:r>
      <w:r>
        <w:rPr>
          <w:rFonts w:hint="eastAsia" w:hAnsi="宋体"/>
          <w:b w:val="0"/>
          <w:bCs w:val="0"/>
          <w:color w:val="auto"/>
          <w:sz w:val="24"/>
          <w:szCs w:val="24"/>
          <w:highlight w:val="none"/>
        </w:rPr>
        <w:t>.中小企业声明函</w:t>
      </w:r>
    </w:p>
    <w:p>
      <w:pPr>
        <w:spacing w:line="360" w:lineRule="auto"/>
        <w:jc w:val="center"/>
        <w:rPr>
          <w:rFonts w:hint="eastAsia" w:ascii="宋体" w:hAnsi="宋体" w:eastAsia="宋体" w:cs="宋体"/>
          <w:b/>
          <w:color w:val="auto"/>
          <w:sz w:val="28"/>
          <w:szCs w:val="28"/>
          <w:highlight w:val="none"/>
        </w:rPr>
      </w:pPr>
      <w:bookmarkStart w:id="17" w:name="_Toc25084"/>
      <w:r>
        <w:rPr>
          <w:rFonts w:hint="eastAsia" w:ascii="宋体" w:hAnsi="宋体" w:eastAsia="宋体" w:cs="宋体"/>
          <w:b/>
          <w:color w:val="auto"/>
          <w:sz w:val="32"/>
          <w:szCs w:val="32"/>
          <w:highlight w:val="none"/>
        </w:rPr>
        <w:t>中小企业声明函</w:t>
      </w:r>
      <w:bookmarkEnd w:id="17"/>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本公司（联合体）郑重声明，根据《政府采购促进中小企业发展管理办法》（财库﹝2020﹞46 号）的规定，本公司（联合体）参加</w:t>
      </w:r>
      <w:r>
        <w:rPr>
          <w:rFonts w:hint="eastAsia" w:ascii="宋体" w:hAnsi="宋体" w:cs="宋体"/>
          <w:szCs w:val="21"/>
          <w:highlight w:val="none"/>
          <w:u w:val="single"/>
        </w:rPr>
        <w:t>（单位名称）</w:t>
      </w:r>
      <w:r>
        <w:rPr>
          <w:rFonts w:hint="eastAsia" w:ascii="宋体" w:hAnsi="宋体" w:cs="宋体"/>
          <w:szCs w:val="21"/>
          <w:highlight w:val="none"/>
        </w:rPr>
        <w:t>的</w:t>
      </w:r>
      <w:r>
        <w:rPr>
          <w:rFonts w:hint="eastAsia" w:ascii="宋体" w:hAnsi="宋体" w:cs="宋体"/>
          <w:szCs w:val="21"/>
          <w:highlight w:val="none"/>
          <w:u w:val="single"/>
        </w:rPr>
        <w:t>（项目名称）</w:t>
      </w:r>
      <w:r>
        <w:rPr>
          <w:rFonts w:hint="eastAsia" w:ascii="宋体" w:hAnsi="宋体" w:cs="宋体"/>
          <w:szCs w:val="21"/>
          <w:highlight w:val="none"/>
        </w:rPr>
        <w:t>采购活动，服务全部由符合政策要求的中小企业制造。相关企业（含联合体中的中小企业、签订分包意向协议的中小企业）的具体情况如下：</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1.</w:t>
      </w:r>
      <w:r>
        <w:rPr>
          <w:rFonts w:hint="eastAsia" w:ascii="宋体" w:hAnsi="宋体" w:cs="宋体"/>
          <w:i/>
          <w:szCs w:val="21"/>
          <w:highlight w:val="none"/>
          <w:u w:val="single"/>
        </w:rPr>
        <w:t xml:space="preserve"> （标的名称） </w:t>
      </w:r>
      <w:r>
        <w:rPr>
          <w:rFonts w:hint="eastAsia" w:ascii="宋体" w:hAnsi="宋体" w:cs="宋体"/>
          <w:szCs w:val="21"/>
          <w:highlight w:val="none"/>
        </w:rPr>
        <w:t>，属于</w:t>
      </w:r>
      <w:r>
        <w:rPr>
          <w:rFonts w:hint="eastAsia" w:ascii="宋体" w:hAnsi="宋体" w:cs="宋体"/>
          <w:i/>
          <w:szCs w:val="21"/>
          <w:highlight w:val="none"/>
          <w:u w:val="single"/>
          <w:lang w:val="en-US" w:eastAsia="zh-CN"/>
        </w:rPr>
        <w:t>未列明的其他行业</w:t>
      </w:r>
      <w:r>
        <w:rPr>
          <w:rFonts w:hint="eastAsia" w:ascii="宋体" w:hAnsi="宋体" w:cs="宋体"/>
          <w:szCs w:val="21"/>
          <w:highlight w:val="none"/>
        </w:rPr>
        <w:t>；承接企业为</w:t>
      </w:r>
      <w:r>
        <w:rPr>
          <w:rFonts w:hint="eastAsia" w:ascii="宋体" w:hAnsi="宋体" w:cs="宋体"/>
          <w:i/>
          <w:szCs w:val="21"/>
          <w:highlight w:val="none"/>
          <w:u w:val="single"/>
        </w:rPr>
        <w:t>（企业名称）</w:t>
      </w:r>
      <w:r>
        <w:rPr>
          <w:rFonts w:hint="eastAsia" w:ascii="宋体" w:hAnsi="宋体" w:cs="宋体"/>
          <w:szCs w:val="21"/>
          <w:highlight w:val="none"/>
        </w:rPr>
        <w:t>，</w:t>
      </w:r>
      <w:r>
        <w:rPr>
          <w:rFonts w:hint="eastAsia" w:ascii="宋体" w:hAnsi="宋体" w:eastAsia="宋体" w:cs="宋体"/>
          <w:color w:val="000000"/>
          <w:kern w:val="0"/>
          <w:sz w:val="21"/>
          <w:szCs w:val="21"/>
          <w:highlight w:val="none"/>
          <w:lang w:val="en-US" w:eastAsia="zh-CN" w:bidi="ar"/>
        </w:rPr>
        <w:t>从业人员</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人，营业收入为</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万元，资产总额为</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万元</w:t>
      </w:r>
      <w:r>
        <w:rPr>
          <w:rFonts w:hint="eastAsia" w:ascii="宋体" w:hAnsi="宋体" w:eastAsia="宋体" w:cs="宋体"/>
          <w:color w:val="000000"/>
          <w:kern w:val="0"/>
          <w:sz w:val="21"/>
          <w:szCs w:val="21"/>
          <w:highlight w:val="none"/>
          <w:vertAlign w:val="superscript"/>
          <w:lang w:val="en-US" w:eastAsia="zh-CN" w:bidi="ar"/>
        </w:rPr>
        <w:t>1</w:t>
      </w:r>
      <w:r>
        <w:rPr>
          <w:rFonts w:hint="eastAsia" w:ascii="宋体" w:hAnsi="宋体" w:eastAsia="宋体" w:cs="宋体"/>
          <w:color w:val="000000"/>
          <w:kern w:val="0"/>
          <w:sz w:val="21"/>
          <w:szCs w:val="21"/>
          <w:highlight w:val="none"/>
          <w:lang w:val="en-US" w:eastAsia="zh-CN" w:bidi="ar"/>
        </w:rPr>
        <w:t>，属于</w:t>
      </w:r>
      <w:r>
        <w:rPr>
          <w:rFonts w:hint="eastAsia" w:ascii="宋体" w:hAnsi="宋体" w:eastAsia="宋体" w:cs="宋体"/>
          <w:i/>
          <w:color w:val="000000"/>
          <w:kern w:val="0"/>
          <w:sz w:val="21"/>
          <w:szCs w:val="21"/>
          <w:highlight w:val="none"/>
          <w:u w:val="single"/>
          <w:lang w:val="en-US" w:eastAsia="zh-CN" w:bidi="ar"/>
        </w:rPr>
        <w:t>（中型企业、小型企业、微型企业）</w:t>
      </w:r>
      <w:r>
        <w:rPr>
          <w:rFonts w:hint="eastAsia" w:ascii="宋体" w:hAnsi="宋体" w:eastAsia="宋体" w:cs="宋体"/>
          <w:color w:val="000000"/>
          <w:kern w:val="0"/>
          <w:sz w:val="21"/>
          <w:szCs w:val="21"/>
          <w:highlight w:val="none"/>
          <w:lang w:val="en-US" w:eastAsia="zh-CN" w:bidi="ar"/>
        </w:rPr>
        <w:t>；</w:t>
      </w:r>
    </w:p>
    <w:p>
      <w:pPr>
        <w:spacing w:line="500" w:lineRule="exact"/>
        <w:ind w:firstLine="420" w:firstLineChars="200"/>
        <w:rPr>
          <w:rFonts w:hint="eastAsia" w:ascii="宋体" w:hAnsi="宋体" w:eastAsia="宋体" w:cs="宋体"/>
          <w:color w:val="000000"/>
          <w:kern w:val="0"/>
          <w:sz w:val="21"/>
          <w:szCs w:val="21"/>
          <w:highlight w:val="none"/>
          <w:lang w:val="en-US" w:eastAsia="zh-CN" w:bidi="ar"/>
        </w:rPr>
      </w:pPr>
      <w:r>
        <w:rPr>
          <w:rFonts w:hint="eastAsia" w:ascii="宋体" w:hAnsi="宋体" w:cs="宋体"/>
          <w:szCs w:val="21"/>
          <w:highlight w:val="none"/>
        </w:rPr>
        <w:t>2.</w:t>
      </w:r>
      <w:r>
        <w:rPr>
          <w:rFonts w:hint="eastAsia" w:ascii="宋体" w:hAnsi="宋体" w:cs="宋体"/>
          <w:i/>
          <w:szCs w:val="21"/>
          <w:highlight w:val="none"/>
          <w:u w:val="single"/>
        </w:rPr>
        <w:t xml:space="preserve"> （标的名称） </w:t>
      </w:r>
      <w:r>
        <w:rPr>
          <w:rFonts w:hint="eastAsia" w:ascii="宋体" w:hAnsi="宋体" w:cs="宋体"/>
          <w:szCs w:val="21"/>
          <w:highlight w:val="none"/>
        </w:rPr>
        <w:t>，属于</w:t>
      </w:r>
      <w:r>
        <w:rPr>
          <w:rFonts w:hint="eastAsia" w:ascii="宋体" w:hAnsi="宋体" w:cs="宋体"/>
          <w:i/>
          <w:szCs w:val="21"/>
          <w:highlight w:val="none"/>
          <w:u w:val="single"/>
          <w:lang w:val="en-US" w:eastAsia="zh-CN"/>
        </w:rPr>
        <w:t>未列明的其他行业</w:t>
      </w:r>
      <w:r>
        <w:rPr>
          <w:rFonts w:hint="eastAsia" w:ascii="宋体" w:hAnsi="宋体" w:cs="宋体"/>
          <w:szCs w:val="21"/>
          <w:highlight w:val="none"/>
        </w:rPr>
        <w:t>；承接企业为</w:t>
      </w:r>
      <w:r>
        <w:rPr>
          <w:rFonts w:hint="eastAsia" w:ascii="宋体" w:hAnsi="宋体" w:cs="宋体"/>
          <w:i/>
          <w:szCs w:val="21"/>
          <w:highlight w:val="none"/>
          <w:u w:val="single"/>
        </w:rPr>
        <w:t>（企业名称）</w:t>
      </w:r>
      <w:r>
        <w:rPr>
          <w:rFonts w:hint="eastAsia" w:ascii="宋体" w:hAnsi="宋体" w:cs="宋体"/>
          <w:szCs w:val="21"/>
          <w:highlight w:val="none"/>
        </w:rPr>
        <w:t>，</w:t>
      </w:r>
      <w:r>
        <w:rPr>
          <w:rFonts w:hint="eastAsia" w:ascii="宋体" w:hAnsi="宋体" w:eastAsia="宋体" w:cs="宋体"/>
          <w:color w:val="000000"/>
          <w:kern w:val="0"/>
          <w:sz w:val="21"/>
          <w:szCs w:val="21"/>
          <w:highlight w:val="none"/>
          <w:lang w:val="en-US" w:eastAsia="zh-CN" w:bidi="ar"/>
        </w:rPr>
        <w:t>从业人员</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人，营业收入为</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万元，资产总额为</w:t>
      </w:r>
      <w:r>
        <w:rPr>
          <w:rFonts w:hint="eastAsia" w:ascii="宋体" w:hAnsi="宋体" w:eastAsia="宋体" w:cs="宋体"/>
          <w:color w:val="000000"/>
          <w:kern w:val="0"/>
          <w:sz w:val="21"/>
          <w:szCs w:val="21"/>
          <w:highlight w:val="none"/>
          <w:u w:val="single"/>
          <w:lang w:val="en-US" w:eastAsia="zh-CN" w:bidi="ar"/>
        </w:rPr>
        <w:t xml:space="preserve">    </w:t>
      </w:r>
      <w:r>
        <w:rPr>
          <w:rFonts w:hint="eastAsia" w:ascii="宋体" w:hAnsi="宋体" w:eastAsia="宋体" w:cs="宋体"/>
          <w:color w:val="000000"/>
          <w:kern w:val="0"/>
          <w:sz w:val="21"/>
          <w:szCs w:val="21"/>
          <w:highlight w:val="none"/>
          <w:lang w:val="en-US" w:eastAsia="zh-CN" w:bidi="ar"/>
        </w:rPr>
        <w:t>万元</w:t>
      </w:r>
      <w:r>
        <w:rPr>
          <w:rFonts w:hint="eastAsia" w:ascii="宋体" w:hAnsi="宋体" w:eastAsia="宋体" w:cs="宋体"/>
          <w:color w:val="000000"/>
          <w:kern w:val="0"/>
          <w:sz w:val="21"/>
          <w:szCs w:val="21"/>
          <w:highlight w:val="none"/>
          <w:vertAlign w:val="superscript"/>
          <w:lang w:val="en-US" w:eastAsia="zh-CN" w:bidi="ar"/>
        </w:rPr>
        <w:t>1</w:t>
      </w:r>
      <w:r>
        <w:rPr>
          <w:rFonts w:hint="eastAsia" w:ascii="宋体" w:hAnsi="宋体" w:eastAsia="宋体" w:cs="宋体"/>
          <w:color w:val="000000"/>
          <w:kern w:val="0"/>
          <w:sz w:val="21"/>
          <w:szCs w:val="21"/>
          <w:highlight w:val="none"/>
          <w:lang w:val="en-US" w:eastAsia="zh-CN" w:bidi="ar"/>
        </w:rPr>
        <w:t>，属于</w:t>
      </w:r>
      <w:r>
        <w:rPr>
          <w:rFonts w:hint="eastAsia" w:ascii="宋体" w:hAnsi="宋体" w:eastAsia="宋体" w:cs="宋体"/>
          <w:i/>
          <w:color w:val="000000"/>
          <w:kern w:val="0"/>
          <w:sz w:val="21"/>
          <w:szCs w:val="21"/>
          <w:highlight w:val="none"/>
          <w:u w:val="single"/>
          <w:lang w:val="en-US" w:eastAsia="zh-CN" w:bidi="ar"/>
        </w:rPr>
        <w:t>（中型企业、小型企业、微型企业）</w:t>
      </w:r>
      <w:r>
        <w:rPr>
          <w:rFonts w:hint="eastAsia" w:ascii="宋体" w:hAnsi="宋体" w:eastAsia="宋体" w:cs="宋体"/>
          <w:color w:val="000000"/>
          <w:kern w:val="0"/>
          <w:sz w:val="21"/>
          <w:szCs w:val="21"/>
          <w:highlight w:val="none"/>
          <w:lang w:val="en-US" w:eastAsia="zh-CN" w:bidi="ar"/>
        </w:rPr>
        <w:t>；</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以上企业，不属于大企业的分支机构，不存在控股股东为大企业的情形，也不存在与大企业的负责人为同一人的情形。</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本企业对上述声明内容的真实性负责。如有虚假，将依法承担相应责任。</w:t>
      </w:r>
    </w:p>
    <w:p>
      <w:pPr>
        <w:spacing w:line="500" w:lineRule="exact"/>
        <w:rPr>
          <w:rFonts w:ascii="宋体" w:hAnsi="宋体" w:cs="宋体"/>
          <w:szCs w:val="21"/>
          <w:highlight w:val="none"/>
        </w:rPr>
      </w:pPr>
    </w:p>
    <w:p>
      <w:pPr>
        <w:spacing w:line="500" w:lineRule="exact"/>
        <w:rPr>
          <w:rFonts w:ascii="宋体" w:hAnsi="宋体" w:cs="宋体"/>
          <w:szCs w:val="21"/>
          <w:highlight w:val="none"/>
        </w:rPr>
      </w:pPr>
    </w:p>
    <w:p>
      <w:pPr>
        <w:spacing w:line="500" w:lineRule="exact"/>
        <w:jc w:val="left"/>
        <w:rPr>
          <w:rFonts w:ascii="宋体" w:hAnsi="宋体" w:cs="宋体"/>
          <w:szCs w:val="21"/>
          <w:highlight w:val="none"/>
        </w:rPr>
      </w:pPr>
      <w:r>
        <w:rPr>
          <w:rFonts w:hint="eastAsia" w:ascii="宋体" w:hAnsi="宋体" w:cs="宋体"/>
          <w:szCs w:val="21"/>
          <w:highlight w:val="none"/>
        </w:rPr>
        <w:t>企业名称（盖章）：</w:t>
      </w:r>
    </w:p>
    <w:p>
      <w:pPr>
        <w:spacing w:line="500" w:lineRule="exact"/>
        <w:jc w:val="left"/>
        <w:rPr>
          <w:rFonts w:hint="eastAsia" w:ascii="宋体" w:hAnsi="宋体" w:cs="宋体"/>
          <w:szCs w:val="21"/>
          <w:highlight w:val="none"/>
        </w:rPr>
      </w:pPr>
    </w:p>
    <w:p>
      <w:pPr>
        <w:spacing w:line="500" w:lineRule="exact"/>
        <w:jc w:val="left"/>
        <w:rPr>
          <w:rFonts w:ascii="宋体" w:hAnsi="宋体" w:cs="宋体"/>
          <w:szCs w:val="21"/>
          <w:highlight w:val="none"/>
        </w:rPr>
      </w:pPr>
      <w:r>
        <w:rPr>
          <w:rFonts w:hint="eastAsia" w:ascii="宋体" w:hAnsi="宋体" w:cs="宋体"/>
          <w:szCs w:val="21"/>
          <w:highlight w:val="none"/>
        </w:rPr>
        <w:t>日</w:t>
      </w:r>
      <w:r>
        <w:rPr>
          <w:rFonts w:hint="eastAsia" w:ascii="宋体" w:hAnsi="宋体" w:cs="宋体"/>
          <w:szCs w:val="21"/>
          <w:highlight w:val="none"/>
          <w:lang w:val="en-US" w:eastAsia="zh-CN"/>
        </w:rPr>
        <w:t xml:space="preserve"> </w:t>
      </w:r>
      <w:r>
        <w:rPr>
          <w:rFonts w:hint="eastAsia" w:ascii="宋体" w:hAnsi="宋体" w:cs="宋体"/>
          <w:szCs w:val="21"/>
          <w:highlight w:val="none"/>
        </w:rPr>
        <w:t>期：</w:t>
      </w:r>
    </w:p>
    <w:p>
      <w:pPr>
        <w:spacing w:line="500" w:lineRule="exact"/>
        <w:rPr>
          <w:rFonts w:ascii="宋体" w:hAnsi="宋体" w:cs="宋体"/>
          <w:szCs w:val="21"/>
          <w:highlight w:val="none"/>
          <w:u w:val="single"/>
        </w:rPr>
      </w:pPr>
    </w:p>
    <w:p>
      <w:pPr>
        <w:pStyle w:val="10"/>
        <w:rPr>
          <w:rFonts w:ascii="宋体" w:hAnsi="宋体" w:cs="宋体"/>
          <w:szCs w:val="21"/>
          <w:highlight w:val="none"/>
          <w:u w:val="single"/>
        </w:rPr>
      </w:pPr>
    </w:p>
    <w:p>
      <w:pPr>
        <w:pStyle w:val="10"/>
        <w:rPr>
          <w:rFonts w:ascii="宋体" w:hAnsi="宋体" w:cs="宋体"/>
          <w:szCs w:val="21"/>
          <w:highlight w:val="none"/>
          <w:u w:val="single"/>
        </w:rPr>
      </w:pP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highlight w:val="none"/>
        </w:rPr>
      </w:pPr>
      <w:r>
        <w:rPr>
          <w:rFonts w:hint="eastAsia" w:ascii="宋体" w:hAnsi="宋体" w:cs="宋体"/>
          <w:szCs w:val="21"/>
          <w:highlight w:val="none"/>
        </w:rPr>
        <w:t>注：</w:t>
      </w:r>
      <w:r>
        <w:rPr>
          <w:rFonts w:hint="eastAsia" w:ascii="宋体" w:hAnsi="宋体" w:cs="宋体"/>
          <w:szCs w:val="21"/>
          <w:highlight w:val="none"/>
          <w:lang w:val="en-US" w:eastAsia="zh-CN"/>
        </w:rPr>
        <w:t>1、</w:t>
      </w:r>
      <w:r>
        <w:rPr>
          <w:rFonts w:hint="eastAsia" w:ascii="宋体" w:hAnsi="宋体" w:cs="宋体"/>
          <w:szCs w:val="21"/>
          <w:highlight w:val="none"/>
        </w:rPr>
        <w:t>从业人员、营业收入、资产总额填报上一年度数据，无上一年度数据的新成立企业可不填报。</w:t>
      </w:r>
    </w:p>
    <w:p>
      <w:pPr>
        <w:pStyle w:val="2"/>
        <w:keepNext w:val="0"/>
        <w:keepLines w:val="0"/>
        <w:pageBreakBefore w:val="0"/>
        <w:widowControl/>
        <w:kinsoku/>
        <w:wordWrap/>
        <w:overflowPunct/>
        <w:topLinePunct w:val="0"/>
        <w:autoSpaceDE/>
        <w:autoSpaceDN/>
        <w:bidi w:val="0"/>
        <w:adjustRightInd/>
        <w:snapToGrid/>
        <w:spacing w:line="360" w:lineRule="auto"/>
        <w:ind w:left="420" w:leftChars="200" w:firstLine="0"/>
        <w:jc w:val="left"/>
        <w:textAlignment w:val="auto"/>
        <w:rPr>
          <w:rFonts w:hint="eastAsia" w:ascii="宋体" w:hAnsi="宋体" w:eastAsia="宋体" w:cs="宋体"/>
          <w:spacing w:val="0"/>
          <w:kern w:val="2"/>
          <w:sz w:val="21"/>
          <w:szCs w:val="21"/>
          <w:highlight w:val="none"/>
          <w:lang w:val="en-US" w:eastAsia="zh-CN" w:bidi="ar-SA"/>
        </w:rPr>
      </w:pPr>
      <w:r>
        <w:rPr>
          <w:rFonts w:hint="eastAsia" w:ascii="宋体" w:hAnsi="宋体" w:eastAsia="宋体" w:cs="宋体"/>
          <w:spacing w:val="0"/>
          <w:kern w:val="2"/>
          <w:sz w:val="21"/>
          <w:szCs w:val="21"/>
          <w:highlight w:val="none"/>
          <w:lang w:val="en-US" w:eastAsia="zh-CN" w:bidi="ar-SA"/>
        </w:rPr>
        <w:t>2、从业人员300人以下的为中小微型企业。其中，从业人员100人及以上的为中型企</w:t>
      </w:r>
    </w:p>
    <w:p>
      <w:pPr>
        <w:pStyle w:val="2"/>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left"/>
        <w:textAlignment w:val="auto"/>
        <w:rPr>
          <w:rFonts w:hint="eastAsia" w:hAnsi="宋体"/>
          <w:b w:val="0"/>
          <w:bCs w:val="0"/>
          <w:color w:val="auto"/>
          <w:sz w:val="24"/>
          <w:szCs w:val="24"/>
          <w:highlight w:val="none"/>
        </w:rPr>
      </w:pPr>
      <w:r>
        <w:rPr>
          <w:rFonts w:hint="eastAsia" w:ascii="宋体" w:hAnsi="宋体" w:eastAsia="宋体" w:cs="宋体"/>
          <w:spacing w:val="0"/>
          <w:kern w:val="2"/>
          <w:sz w:val="21"/>
          <w:szCs w:val="21"/>
          <w:highlight w:val="none"/>
          <w:lang w:val="en-US" w:eastAsia="zh-CN" w:bidi="ar-SA"/>
        </w:rPr>
        <w:t>业；从业人员10人及以上的为小型企业；从业人员10人以下的为微型企业。</w:t>
      </w:r>
      <w:r>
        <w:rPr>
          <w:rFonts w:hint="eastAsia" w:ascii="宋体" w:hAnsi="宋体" w:cs="宋体"/>
          <w:szCs w:val="21"/>
          <w:highlight w:val="none"/>
        </w:rPr>
        <w:br w:type="page"/>
      </w:r>
    </w:p>
    <w:p>
      <w:pPr>
        <w:spacing w:line="360" w:lineRule="auto"/>
        <w:rPr>
          <w:rFonts w:hint="eastAsia" w:hAnsi="宋体"/>
          <w:b w:val="0"/>
          <w:bCs w:val="0"/>
          <w:color w:val="auto"/>
          <w:sz w:val="24"/>
          <w:szCs w:val="24"/>
          <w:highlight w:val="none"/>
        </w:rPr>
      </w:pPr>
      <w:r>
        <w:rPr>
          <w:rFonts w:hint="eastAsia" w:hAnsi="宋体"/>
          <w:b w:val="0"/>
          <w:bCs w:val="0"/>
          <w:color w:val="auto"/>
          <w:sz w:val="24"/>
          <w:szCs w:val="24"/>
          <w:highlight w:val="none"/>
        </w:rPr>
        <w:t>1</w:t>
      </w:r>
      <w:r>
        <w:rPr>
          <w:rFonts w:hint="eastAsia" w:hAnsi="宋体"/>
          <w:b w:val="0"/>
          <w:bCs w:val="0"/>
          <w:color w:val="auto"/>
          <w:sz w:val="24"/>
          <w:szCs w:val="24"/>
          <w:highlight w:val="none"/>
          <w:lang w:val="en-US" w:eastAsia="zh-CN"/>
        </w:rPr>
        <w:t>6</w:t>
      </w:r>
      <w:r>
        <w:rPr>
          <w:rFonts w:hint="eastAsia" w:hAnsi="宋体"/>
          <w:b w:val="0"/>
          <w:bCs w:val="0"/>
          <w:color w:val="auto"/>
          <w:sz w:val="24"/>
          <w:szCs w:val="24"/>
          <w:highlight w:val="none"/>
        </w:rPr>
        <w:t>.残疾人福利性单位声明函格式（非残疾人福利性单位无需提供本函)</w:t>
      </w:r>
    </w:p>
    <w:p>
      <w:pPr>
        <w:spacing w:line="360" w:lineRule="auto"/>
        <w:jc w:val="center"/>
        <w:rPr>
          <w:rFonts w:hint="eastAsia" w:ascii="宋体" w:hAnsi="宋体" w:eastAsia="宋体" w:cs="宋体"/>
          <w:b/>
          <w:color w:val="auto"/>
          <w:spacing w:val="6"/>
          <w:szCs w:val="21"/>
          <w:highlight w:val="none"/>
        </w:rPr>
      </w:pPr>
    </w:p>
    <w:p>
      <w:pPr>
        <w:spacing w:line="360" w:lineRule="auto"/>
        <w:jc w:val="center"/>
        <w:rPr>
          <w:rFonts w:hint="eastAsia" w:ascii="宋体" w:hAnsi="宋体" w:eastAsia="宋体" w:cs="宋体"/>
          <w:b/>
          <w:color w:val="auto"/>
          <w:spacing w:val="6"/>
          <w:szCs w:val="21"/>
          <w:highlight w:val="none"/>
        </w:rPr>
      </w:pPr>
      <w:r>
        <w:rPr>
          <w:rFonts w:hint="eastAsia" w:ascii="宋体" w:hAnsi="宋体" w:eastAsia="宋体" w:cs="宋体"/>
          <w:b/>
          <w:color w:val="auto"/>
          <w:spacing w:val="6"/>
          <w:szCs w:val="21"/>
          <w:highlight w:val="none"/>
        </w:rPr>
        <w:t>残疾人福利性单位声明函</w:t>
      </w:r>
    </w:p>
    <w:p>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本单位郑重声明，根据《财政部 民政部 中国残疾人联合会关于促进残疾人就业政府采购政策的通知》（财库〔2017〕141号）的规定，本单位</w:t>
      </w:r>
      <w:r>
        <w:rPr>
          <w:rFonts w:hint="eastAsia" w:ascii="宋体" w:hAnsi="宋体" w:eastAsia="宋体" w:cs="宋体"/>
          <w:szCs w:val="21"/>
          <w:highlight w:val="none"/>
          <w:u w:val="single"/>
        </w:rPr>
        <w:t xml:space="preserve">    </w:t>
      </w:r>
      <w:r>
        <w:rPr>
          <w:rFonts w:hint="eastAsia" w:ascii="宋体" w:hAnsi="宋体" w:eastAsia="宋体" w:cs="宋体"/>
          <w:kern w:val="0"/>
          <w:szCs w:val="21"/>
          <w:highlight w:val="none"/>
          <w:lang w:bidi="ar"/>
        </w:rPr>
        <w:t>（请填写：为符合、不符合）</w:t>
      </w:r>
      <w:r>
        <w:rPr>
          <w:rFonts w:hint="eastAsia" w:ascii="宋体" w:hAnsi="宋体" w:eastAsia="宋体" w:cs="宋体"/>
          <w:szCs w:val="21"/>
          <w:highlight w:val="none"/>
        </w:rPr>
        <w:t>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hint="eastAsia" w:ascii="宋体" w:hAnsi="宋体" w:eastAsia="宋体" w:cs="宋体"/>
          <w:highlight w:val="none"/>
        </w:rPr>
      </w:pPr>
      <w:r>
        <w:rPr>
          <w:rFonts w:hint="eastAsia" w:ascii="宋体" w:hAnsi="宋体" w:eastAsia="宋体" w:cs="宋体"/>
          <w:szCs w:val="21"/>
          <w:highlight w:val="none"/>
        </w:rPr>
        <w:t>本单位对上述声明的真实性负责。如有虚假，将依法承担相应责任。</w:t>
      </w:r>
    </w:p>
    <w:p>
      <w:pPr>
        <w:spacing w:line="360" w:lineRule="auto"/>
        <w:ind w:firstLine="444" w:firstLineChars="200"/>
        <w:rPr>
          <w:rFonts w:hint="eastAsia" w:ascii="宋体" w:hAnsi="宋体" w:eastAsia="宋体" w:cs="宋体"/>
          <w:spacing w:val="6"/>
          <w:szCs w:val="21"/>
          <w:highlight w:val="none"/>
        </w:rPr>
      </w:pPr>
    </w:p>
    <w:p>
      <w:pPr>
        <w:spacing w:line="360" w:lineRule="auto"/>
        <w:ind w:firstLine="444" w:firstLineChars="200"/>
        <w:rPr>
          <w:rFonts w:hint="eastAsia" w:ascii="宋体" w:hAnsi="宋体" w:eastAsia="宋体" w:cs="宋体"/>
          <w:spacing w:val="6"/>
          <w:szCs w:val="21"/>
          <w:highlight w:val="none"/>
        </w:rPr>
      </w:pPr>
    </w:p>
    <w:p>
      <w:pPr>
        <w:tabs>
          <w:tab w:val="left" w:pos="4860"/>
        </w:tabs>
        <w:spacing w:line="360" w:lineRule="auto"/>
        <w:ind w:right="1560" w:firstLine="444" w:firstLineChars="200"/>
        <w:jc w:val="center"/>
        <w:rPr>
          <w:rFonts w:hint="eastAsia" w:ascii="宋体" w:hAnsi="宋体" w:eastAsia="宋体" w:cs="宋体"/>
          <w:spacing w:val="6"/>
          <w:szCs w:val="21"/>
          <w:highlight w:val="none"/>
        </w:rPr>
      </w:pPr>
      <w:r>
        <w:rPr>
          <w:rFonts w:hint="eastAsia" w:ascii="宋体" w:hAnsi="宋体" w:eastAsia="宋体" w:cs="宋体"/>
          <w:spacing w:val="6"/>
          <w:szCs w:val="21"/>
          <w:highlight w:val="none"/>
        </w:rPr>
        <w:t xml:space="preserve">                                   企业名称（盖章）： </w:t>
      </w:r>
    </w:p>
    <w:p>
      <w:pPr>
        <w:rPr>
          <w:rFonts w:hint="eastAsia" w:ascii="宋体" w:hAnsi="宋体" w:eastAsia="宋体" w:cs="宋体"/>
          <w:spacing w:val="6"/>
          <w:szCs w:val="21"/>
          <w:highlight w:val="none"/>
        </w:rPr>
      </w:pPr>
      <w:r>
        <w:rPr>
          <w:rFonts w:hint="eastAsia" w:ascii="宋体" w:hAnsi="宋体" w:eastAsia="宋体" w:cs="宋体"/>
          <w:spacing w:val="6"/>
          <w:szCs w:val="21"/>
          <w:highlight w:val="none"/>
        </w:rPr>
        <w:t xml:space="preserve">                                        日  期：</w:t>
      </w:r>
    </w:p>
    <w:p>
      <w:pPr>
        <w:pStyle w:val="2"/>
        <w:rPr>
          <w:rFonts w:hint="eastAsia" w:ascii="宋体" w:hAnsi="宋体" w:eastAsia="宋体" w:cs="宋体"/>
          <w:spacing w:val="6"/>
          <w:szCs w:val="21"/>
          <w:highlight w:val="none"/>
        </w:rPr>
      </w:pPr>
    </w:p>
    <w:p>
      <w:pPr>
        <w:rPr>
          <w:rFonts w:hint="eastAsia" w:ascii="宋体" w:hAnsi="宋体" w:eastAsia="宋体" w:cs="宋体"/>
          <w:spacing w:val="6"/>
          <w:szCs w:val="21"/>
          <w:highlight w:val="none"/>
        </w:rPr>
      </w:pPr>
    </w:p>
    <w:p>
      <w:pPr>
        <w:pStyle w:val="2"/>
        <w:rPr>
          <w:rFonts w:hint="eastAsia" w:ascii="宋体" w:hAnsi="宋体" w:eastAsia="宋体" w:cs="宋体"/>
          <w:spacing w:val="6"/>
          <w:szCs w:val="21"/>
          <w:highlight w:val="none"/>
        </w:rPr>
      </w:pPr>
    </w:p>
    <w:p>
      <w:pPr>
        <w:rPr>
          <w:rFonts w:hint="eastAsia" w:ascii="宋体" w:hAnsi="宋体" w:eastAsia="宋体" w:cs="宋体"/>
          <w:spacing w:val="6"/>
          <w:szCs w:val="21"/>
          <w:highlight w:val="none"/>
        </w:rPr>
      </w:pPr>
    </w:p>
    <w:p>
      <w:pPr>
        <w:pStyle w:val="2"/>
        <w:rPr>
          <w:rFonts w:hint="eastAsia" w:ascii="宋体" w:hAnsi="宋体" w:eastAsia="宋体" w:cs="宋体"/>
          <w:spacing w:val="6"/>
          <w:szCs w:val="21"/>
          <w:highlight w:val="none"/>
        </w:rPr>
      </w:pPr>
    </w:p>
    <w:p>
      <w:pPr>
        <w:rPr>
          <w:rFonts w:hint="eastAsia" w:ascii="宋体" w:hAnsi="宋体" w:eastAsia="宋体" w:cs="宋体"/>
          <w:spacing w:val="6"/>
          <w:szCs w:val="21"/>
          <w:highlight w:val="none"/>
        </w:rPr>
      </w:pPr>
    </w:p>
    <w:p>
      <w:pPr>
        <w:pStyle w:val="2"/>
        <w:rPr>
          <w:rFonts w:hint="eastAsia"/>
          <w:highlight w:val="none"/>
        </w:rPr>
      </w:pPr>
    </w:p>
    <w:p>
      <w:pPr>
        <w:rPr>
          <w:rFonts w:hint="eastAsia"/>
          <w:highlight w:val="none"/>
          <w:lang w:val="en-US" w:eastAsia="zh-CN"/>
        </w:rPr>
      </w:pPr>
      <w:r>
        <w:rPr>
          <w:rFonts w:hint="eastAsia"/>
          <w:highlight w:val="none"/>
          <w:lang w:val="en-US" w:eastAsia="zh-CN"/>
        </w:rPr>
        <w:br w:type="page"/>
      </w:r>
    </w:p>
    <w:p>
      <w:pPr>
        <w:snapToGrid w:val="0"/>
        <w:spacing w:line="480" w:lineRule="auto"/>
        <w:rPr>
          <w:rFonts w:ascii="宋体" w:hAnsi="宋体"/>
          <w:b/>
          <w:color w:val="auto"/>
          <w:szCs w:val="21"/>
          <w:highlight w:val="none"/>
        </w:rPr>
      </w:pPr>
      <w:r>
        <w:rPr>
          <w:rFonts w:hint="eastAsia" w:ascii="宋体" w:hAnsi="宋体"/>
          <w:b/>
          <w:color w:val="auto"/>
          <w:szCs w:val="21"/>
          <w:highlight w:val="none"/>
          <w:lang w:val="en-US" w:eastAsia="zh-CN"/>
        </w:rPr>
        <w:t>附件一</w:t>
      </w:r>
      <w:r>
        <w:rPr>
          <w:rFonts w:hint="eastAsia" w:ascii="宋体" w:hAnsi="宋体"/>
          <w:b/>
          <w:color w:val="auto"/>
          <w:szCs w:val="21"/>
          <w:highlight w:val="none"/>
        </w:rPr>
        <w:t>：《鄞州区城区内河水质日常养护项目考核办法》（以合同签订时为准）</w:t>
      </w:r>
    </w:p>
    <w:p>
      <w:pPr>
        <w:snapToGrid w:val="0"/>
        <w:jc w:val="center"/>
        <w:rPr>
          <w:rFonts w:ascii="Times New Roman" w:hAnsi="Times New Roman" w:eastAsia="微软雅黑" w:cs="Times New Roman"/>
          <w:b/>
          <w:color w:val="auto"/>
          <w:kern w:val="0"/>
          <w:sz w:val="32"/>
          <w:szCs w:val="32"/>
          <w:highlight w:val="none"/>
        </w:rPr>
      </w:pPr>
      <w:r>
        <w:rPr>
          <w:rFonts w:ascii="Times New Roman" w:hAnsi="Times New Roman" w:eastAsia="微软雅黑" w:cs="Times New Roman"/>
          <w:b/>
          <w:color w:val="auto"/>
          <w:kern w:val="0"/>
          <w:sz w:val="32"/>
          <w:szCs w:val="32"/>
          <w:highlight w:val="none"/>
        </w:rPr>
        <w:t>鄞州区城区内河水质日常养护项目考核办法</w:t>
      </w:r>
    </w:p>
    <w:p>
      <w:pPr>
        <w:spacing w:line="360" w:lineRule="auto"/>
        <w:ind w:firstLine="640" w:firstLineChars="200"/>
        <w:jc w:val="center"/>
        <w:textAlignment w:val="baseline"/>
        <w:rPr>
          <w:rFonts w:hint="eastAsia" w:ascii="Times New Roman" w:hAnsi="Times New Roman" w:eastAsia="微软雅黑" w:cs="Times New Roman"/>
          <w:color w:val="auto"/>
          <w:sz w:val="24"/>
          <w:highlight w:val="none"/>
          <w:lang w:val="en-US" w:eastAsia="zh-CN"/>
        </w:rPr>
      </w:pPr>
      <w:r>
        <w:rPr>
          <w:rFonts w:ascii="Times New Roman" w:hAnsi="Times New Roman" w:eastAsia="微软雅黑" w:cs="Times New Roman"/>
          <w:b/>
          <w:color w:val="auto"/>
          <w:kern w:val="0"/>
          <w:sz w:val="32"/>
          <w:szCs w:val="32"/>
          <w:highlight w:val="none"/>
        </w:rPr>
        <w:t>2020.1</w:t>
      </w:r>
      <w:r>
        <w:rPr>
          <w:rFonts w:hint="eastAsia" w:eastAsia="微软雅黑" w:cs="Times New Roman"/>
          <w:b/>
          <w:color w:val="auto"/>
          <w:kern w:val="0"/>
          <w:sz w:val="32"/>
          <w:szCs w:val="32"/>
          <w:highlight w:val="none"/>
          <w:lang w:val="en-US" w:eastAsia="zh-CN"/>
        </w:rPr>
        <w:t>2</w:t>
      </w:r>
    </w:p>
    <w:p>
      <w:pPr>
        <w:spacing w:line="324" w:lineRule="auto"/>
        <w:ind w:firstLine="548" w:firstLineChars="196"/>
        <w:rPr>
          <w:rFonts w:ascii="Times New Roman" w:hAnsi="Times New Roman" w:eastAsia="仿宋" w:cs="Times New Roman"/>
          <w:color w:val="auto"/>
          <w:sz w:val="28"/>
          <w:szCs w:val="28"/>
          <w:highlight w:val="none"/>
        </w:rPr>
      </w:pPr>
    </w:p>
    <w:p>
      <w:pPr>
        <w:spacing w:line="324" w:lineRule="auto"/>
        <w:ind w:firstLine="548" w:firstLineChars="196"/>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none"/>
        </w:rPr>
        <w:t>为持续</w:t>
      </w:r>
      <w:r>
        <w:rPr>
          <w:rFonts w:hint="eastAsia" w:ascii="Times New Roman" w:hAnsi="Times New Roman" w:eastAsia="仿宋" w:cs="Times New Roman"/>
          <w:color w:val="auto"/>
          <w:sz w:val="28"/>
          <w:szCs w:val="28"/>
          <w:highlight w:val="none"/>
        </w:rPr>
        <w:t>、有效地</w:t>
      </w:r>
      <w:r>
        <w:rPr>
          <w:rFonts w:ascii="Times New Roman" w:hAnsi="Times New Roman" w:eastAsia="仿宋" w:cs="Times New Roman"/>
          <w:color w:val="auto"/>
          <w:sz w:val="28"/>
          <w:szCs w:val="28"/>
          <w:highlight w:val="none"/>
        </w:rPr>
        <w:t>推进鄞州城区河道水质养护管理工作，逐步提高城区</w:t>
      </w:r>
      <w:r>
        <w:rPr>
          <w:rFonts w:hint="eastAsia" w:ascii="Times New Roman" w:hAnsi="Times New Roman" w:eastAsia="仿宋" w:cs="Times New Roman"/>
          <w:color w:val="auto"/>
          <w:sz w:val="28"/>
          <w:szCs w:val="28"/>
          <w:highlight w:val="none"/>
        </w:rPr>
        <w:t>内河</w:t>
      </w:r>
      <w:r>
        <w:rPr>
          <w:rFonts w:ascii="Times New Roman" w:hAnsi="Times New Roman" w:eastAsia="仿宋" w:cs="Times New Roman"/>
          <w:color w:val="auto"/>
          <w:sz w:val="28"/>
          <w:szCs w:val="28"/>
          <w:highlight w:val="none"/>
        </w:rPr>
        <w:t>水质，</w:t>
      </w:r>
      <w:r>
        <w:rPr>
          <w:rFonts w:hint="eastAsia" w:ascii="Times New Roman" w:hAnsi="Times New Roman" w:eastAsia="仿宋" w:cs="Times New Roman"/>
          <w:color w:val="auto"/>
          <w:sz w:val="28"/>
          <w:szCs w:val="28"/>
          <w:highlight w:val="none"/>
        </w:rPr>
        <w:t>继续</w:t>
      </w:r>
      <w:r>
        <w:rPr>
          <w:rFonts w:ascii="Times New Roman" w:hAnsi="Times New Roman" w:eastAsia="仿宋" w:cs="Times New Roman"/>
          <w:color w:val="auto"/>
          <w:sz w:val="28"/>
          <w:szCs w:val="28"/>
          <w:highlight w:val="none"/>
        </w:rPr>
        <w:t>打造</w:t>
      </w:r>
      <w:r>
        <w:rPr>
          <w:rFonts w:hint="eastAsia" w:ascii="Times New Roman" w:hAnsi="Times New Roman" w:eastAsia="仿宋" w:cs="Times New Roman"/>
          <w:color w:val="auto"/>
          <w:sz w:val="28"/>
          <w:szCs w:val="28"/>
          <w:highlight w:val="none"/>
        </w:rPr>
        <w:t>清水河道、树立</w:t>
      </w:r>
      <w:r>
        <w:rPr>
          <w:rFonts w:ascii="Times New Roman" w:hAnsi="Times New Roman" w:eastAsia="仿宋" w:cs="Times New Roman"/>
          <w:color w:val="auto"/>
          <w:sz w:val="28"/>
          <w:szCs w:val="28"/>
          <w:highlight w:val="none"/>
        </w:rPr>
        <w:t>精品</w:t>
      </w:r>
      <w:r>
        <w:rPr>
          <w:rFonts w:hint="eastAsia" w:ascii="Times New Roman" w:hAnsi="Times New Roman" w:eastAsia="仿宋" w:cs="Times New Roman"/>
          <w:color w:val="auto"/>
          <w:sz w:val="28"/>
          <w:szCs w:val="28"/>
          <w:highlight w:val="none"/>
        </w:rPr>
        <w:t>示范</w:t>
      </w:r>
      <w:r>
        <w:rPr>
          <w:rFonts w:ascii="Times New Roman" w:hAnsi="Times New Roman" w:eastAsia="仿宋" w:cs="Times New Roman"/>
          <w:color w:val="auto"/>
          <w:sz w:val="28"/>
          <w:szCs w:val="28"/>
          <w:highlight w:val="none"/>
        </w:rPr>
        <w:t>河道，实现“河畅、水清、岸绿、景美”的目标，结合国家环保部《地表水环境质量评价办法（试行）》和宁波市内河行业标准和评价方法，遵循“</w:t>
      </w:r>
      <w:r>
        <w:rPr>
          <w:rFonts w:hint="eastAsia" w:ascii="Times New Roman" w:hAnsi="Times New Roman" w:eastAsia="仿宋" w:cs="Times New Roman"/>
          <w:color w:val="auto"/>
          <w:sz w:val="28"/>
          <w:szCs w:val="28"/>
          <w:highlight w:val="none"/>
        </w:rPr>
        <w:t>精细管理、分类考核</w:t>
      </w:r>
      <w:r>
        <w:rPr>
          <w:rFonts w:ascii="Times New Roman" w:hAnsi="Times New Roman" w:eastAsia="仿宋" w:cs="Times New Roman"/>
          <w:color w:val="auto"/>
          <w:sz w:val="28"/>
          <w:szCs w:val="28"/>
          <w:highlight w:val="none"/>
        </w:rPr>
        <w:t>”的原则，特制定本考核办法。</w:t>
      </w:r>
    </w:p>
    <w:p>
      <w:pPr>
        <w:spacing w:line="324" w:lineRule="auto"/>
        <w:ind w:firstLine="548" w:firstLineChars="196"/>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none"/>
        </w:rPr>
        <w:t>考核范围为</w:t>
      </w:r>
      <w:r>
        <w:rPr>
          <w:rFonts w:hint="eastAsia" w:ascii="Times New Roman" w:hAnsi="Times New Roman" w:eastAsia="仿宋" w:cs="Times New Roman"/>
          <w:color w:val="auto"/>
          <w:sz w:val="28"/>
          <w:szCs w:val="28"/>
          <w:highlight w:val="none"/>
        </w:rPr>
        <w:t>水质养护河道</w:t>
      </w:r>
      <w:r>
        <w:rPr>
          <w:rFonts w:ascii="Times New Roman" w:hAnsi="Times New Roman" w:eastAsia="仿宋" w:cs="Times New Roman"/>
          <w:color w:val="auto"/>
          <w:sz w:val="28"/>
          <w:szCs w:val="28"/>
          <w:highlight w:val="none"/>
        </w:rPr>
        <w:t>1-12月份所有有效数据。考核所需数据以鄞州区</w:t>
      </w:r>
      <w:r>
        <w:rPr>
          <w:rFonts w:hint="eastAsia" w:ascii="Times New Roman" w:hAnsi="Times New Roman" w:eastAsia="仿宋" w:cs="Times New Roman"/>
          <w:color w:val="auto"/>
          <w:sz w:val="28"/>
          <w:szCs w:val="28"/>
          <w:highlight w:val="none"/>
          <w:lang w:val="en-US" w:eastAsia="zh-CN"/>
        </w:rPr>
        <w:t>城区内河管理中心</w:t>
      </w:r>
      <w:r>
        <w:rPr>
          <w:rFonts w:ascii="Times New Roman" w:hAnsi="Times New Roman" w:eastAsia="仿宋" w:cs="Times New Roman"/>
          <w:color w:val="auto"/>
          <w:sz w:val="28"/>
          <w:szCs w:val="28"/>
          <w:highlight w:val="none"/>
        </w:rPr>
        <w:t>委托的第三方监测为准，结合专项行动和业主检查情况，核定每月达标情况和年度达标情况，作为河道水质养护分级考核的依据。</w:t>
      </w:r>
    </w:p>
    <w:p>
      <w:pPr>
        <w:spacing w:before="62" w:beforeLines="20" w:after="62" w:afterLines="20" w:line="324" w:lineRule="auto"/>
        <w:jc w:val="left"/>
        <w:rPr>
          <w:rFonts w:ascii="Times New Roman" w:hAnsi="Times New Roman" w:eastAsia="仿宋" w:cs="Times New Roman"/>
          <w:b/>
          <w:color w:val="auto"/>
          <w:sz w:val="28"/>
          <w:szCs w:val="28"/>
          <w:highlight w:val="none"/>
        </w:rPr>
      </w:pPr>
      <w:r>
        <w:rPr>
          <w:rFonts w:hint="eastAsia" w:ascii="Times New Roman" w:hAnsi="Times New Roman" w:eastAsia="仿宋" w:cs="Times New Roman"/>
          <w:b/>
          <w:color w:val="auto"/>
          <w:sz w:val="28"/>
          <w:szCs w:val="28"/>
          <w:highlight w:val="none"/>
        </w:rPr>
        <w:t>一、</w:t>
      </w:r>
      <w:r>
        <w:rPr>
          <w:rFonts w:ascii="Times New Roman" w:hAnsi="Times New Roman" w:eastAsia="仿宋" w:cs="Times New Roman"/>
          <w:b/>
          <w:color w:val="auto"/>
          <w:sz w:val="28"/>
          <w:szCs w:val="28"/>
          <w:highlight w:val="none"/>
        </w:rPr>
        <w:t>河道水质考核办法</w:t>
      </w:r>
    </w:p>
    <w:p>
      <w:pPr>
        <w:spacing w:line="324" w:lineRule="auto"/>
        <w:ind w:firstLine="562" w:firstLineChars="200"/>
        <w:rPr>
          <w:rFonts w:ascii="Times New Roman" w:hAnsi="Times New Roman" w:eastAsia="仿宋" w:cs="Times New Roman"/>
          <w:color w:val="auto"/>
          <w:sz w:val="28"/>
          <w:szCs w:val="28"/>
          <w:highlight w:val="none"/>
        </w:rPr>
      </w:pPr>
      <w:r>
        <w:rPr>
          <w:rFonts w:ascii="Times New Roman" w:hAnsi="Times New Roman" w:eastAsia="仿宋" w:cs="Times New Roman"/>
          <w:b/>
          <w:bCs/>
          <w:color w:val="auto"/>
          <w:sz w:val="28"/>
          <w:szCs w:val="28"/>
          <w:highlight w:val="none"/>
        </w:rPr>
        <w:t>考核指标：</w:t>
      </w:r>
      <w:r>
        <w:rPr>
          <w:rFonts w:ascii="Times New Roman" w:hAnsi="Times New Roman" w:eastAsia="仿宋" w:cs="Times New Roman"/>
          <w:color w:val="auto"/>
          <w:sz w:val="28"/>
          <w:szCs w:val="28"/>
          <w:highlight w:val="none"/>
        </w:rPr>
        <w:t>选用</w:t>
      </w:r>
      <w:r>
        <w:rPr>
          <w:rFonts w:ascii="Times New Roman" w:hAnsi="Times New Roman" w:eastAsia="仿宋" w:cs="Times New Roman"/>
          <w:b/>
          <w:bCs/>
          <w:color w:val="auto"/>
          <w:sz w:val="28"/>
          <w:szCs w:val="28"/>
          <w:highlight w:val="none"/>
          <w:u w:val="single"/>
        </w:rPr>
        <w:t>溶解氧、氨氮、总磷、透明度、叶绿素a</w:t>
      </w:r>
      <w:r>
        <w:rPr>
          <w:rFonts w:ascii="Times New Roman" w:hAnsi="Times New Roman" w:eastAsia="仿宋" w:cs="Times New Roman"/>
          <w:color w:val="auto"/>
          <w:sz w:val="28"/>
          <w:szCs w:val="28"/>
          <w:highlight w:val="none"/>
        </w:rPr>
        <w:t>五个主评指标，其中氨氮和透明度作为一级主评指标进行重点考核。</w:t>
      </w:r>
    </w:p>
    <w:p>
      <w:pPr>
        <w:spacing w:line="324" w:lineRule="auto"/>
        <w:ind w:firstLine="551" w:firstLineChars="196"/>
        <w:rPr>
          <w:rFonts w:ascii="Times New Roman" w:hAnsi="Times New Roman" w:eastAsia="仿宋" w:cs="Times New Roman"/>
          <w:color w:val="auto"/>
          <w:sz w:val="28"/>
          <w:szCs w:val="28"/>
          <w:highlight w:val="none"/>
        </w:rPr>
      </w:pPr>
      <w:r>
        <w:rPr>
          <w:rFonts w:ascii="Times New Roman" w:hAnsi="Times New Roman" w:eastAsia="仿宋" w:cs="Times New Roman"/>
          <w:b/>
          <w:bCs/>
          <w:color w:val="auto"/>
          <w:sz w:val="28"/>
          <w:szCs w:val="28"/>
          <w:highlight w:val="none"/>
        </w:rPr>
        <w:t>考核方式：</w:t>
      </w:r>
      <w:r>
        <w:rPr>
          <w:rFonts w:ascii="Times New Roman" w:hAnsi="Times New Roman" w:eastAsia="仿宋" w:cs="Times New Roman"/>
          <w:color w:val="auto"/>
          <w:sz w:val="28"/>
          <w:szCs w:val="28"/>
          <w:highlight w:val="none"/>
        </w:rPr>
        <w:t>采取月度考核和年度考核相结合的方式，其中</w:t>
      </w:r>
      <w:r>
        <w:rPr>
          <w:rFonts w:hint="eastAsia" w:ascii="Times New Roman" w:hAnsi="Times New Roman" w:eastAsia="仿宋" w:cs="Times New Roman"/>
          <w:color w:val="auto"/>
          <w:sz w:val="28"/>
          <w:szCs w:val="28"/>
          <w:highlight w:val="none"/>
        </w:rPr>
        <w:t>主评</w:t>
      </w:r>
      <w:r>
        <w:rPr>
          <w:rFonts w:ascii="Times New Roman" w:hAnsi="Times New Roman" w:eastAsia="仿宋" w:cs="Times New Roman"/>
          <w:color w:val="auto"/>
          <w:sz w:val="28"/>
          <w:szCs w:val="28"/>
          <w:highlight w:val="none"/>
        </w:rPr>
        <w:t>指标进行每月两次监测考核，月度考核</w:t>
      </w:r>
      <w:r>
        <w:rPr>
          <w:rFonts w:hint="eastAsia" w:ascii="Times New Roman" w:hAnsi="Times New Roman" w:eastAsia="仿宋" w:cs="Times New Roman"/>
          <w:color w:val="auto"/>
          <w:sz w:val="28"/>
          <w:szCs w:val="28"/>
          <w:highlight w:val="none"/>
        </w:rPr>
        <w:t>以</w:t>
      </w:r>
      <w:r>
        <w:rPr>
          <w:rFonts w:ascii="Times New Roman" w:hAnsi="Times New Roman" w:eastAsia="仿宋" w:cs="Times New Roman"/>
          <w:color w:val="auto"/>
          <w:sz w:val="28"/>
          <w:szCs w:val="28"/>
          <w:highlight w:val="none"/>
        </w:rPr>
        <w:t>上半月</w:t>
      </w:r>
      <w:r>
        <w:rPr>
          <w:rFonts w:hint="eastAsia" w:ascii="Times New Roman" w:hAnsi="Times New Roman" w:eastAsia="仿宋" w:cs="Times New Roman"/>
          <w:color w:val="auto"/>
          <w:sz w:val="28"/>
          <w:szCs w:val="28"/>
          <w:highlight w:val="none"/>
        </w:rPr>
        <w:t>、下半月两次采样分析结果的</w:t>
      </w:r>
      <w:r>
        <w:rPr>
          <w:rFonts w:ascii="Times New Roman" w:hAnsi="Times New Roman" w:eastAsia="仿宋" w:cs="Times New Roman"/>
          <w:color w:val="auto"/>
          <w:sz w:val="28"/>
          <w:szCs w:val="28"/>
          <w:highlight w:val="none"/>
        </w:rPr>
        <w:t>均值</w:t>
      </w:r>
      <w:r>
        <w:rPr>
          <w:rFonts w:hint="eastAsia" w:ascii="Times New Roman" w:hAnsi="Times New Roman" w:eastAsia="仿宋" w:cs="Times New Roman"/>
          <w:color w:val="auto"/>
          <w:sz w:val="28"/>
          <w:szCs w:val="28"/>
          <w:highlight w:val="none"/>
        </w:rPr>
        <w:t>作为主要依据，当年月</w:t>
      </w:r>
      <w:r>
        <w:rPr>
          <w:rFonts w:ascii="Times New Roman" w:hAnsi="Times New Roman" w:eastAsia="仿宋" w:cs="Times New Roman"/>
          <w:color w:val="auto"/>
          <w:sz w:val="28"/>
          <w:szCs w:val="28"/>
          <w:highlight w:val="none"/>
        </w:rPr>
        <w:t>均值</w:t>
      </w:r>
      <w:r>
        <w:rPr>
          <w:rFonts w:hint="eastAsia" w:ascii="Times New Roman" w:hAnsi="Times New Roman" w:eastAsia="仿宋" w:cs="Times New Roman"/>
          <w:color w:val="auto"/>
          <w:sz w:val="28"/>
          <w:szCs w:val="28"/>
          <w:highlight w:val="none"/>
        </w:rPr>
        <w:t>纳入年度考核。</w:t>
      </w:r>
    </w:p>
    <w:p>
      <w:pPr>
        <w:spacing w:line="324" w:lineRule="auto"/>
        <w:ind w:firstLine="562" w:firstLineChars="200"/>
        <w:rPr>
          <w:rFonts w:ascii="Times New Roman" w:hAnsi="Times New Roman" w:eastAsia="仿宋" w:cs="Times New Roman"/>
          <w:color w:val="auto"/>
          <w:sz w:val="28"/>
          <w:szCs w:val="28"/>
          <w:highlight w:val="none"/>
        </w:rPr>
      </w:pPr>
      <w:r>
        <w:rPr>
          <w:rFonts w:ascii="Times New Roman" w:hAnsi="Times New Roman" w:eastAsia="仿宋" w:cs="Times New Roman"/>
          <w:b/>
          <w:bCs/>
          <w:color w:val="auto"/>
          <w:sz w:val="28"/>
          <w:szCs w:val="28"/>
          <w:highlight w:val="none"/>
        </w:rPr>
        <w:t>考核标准：</w:t>
      </w:r>
      <w:r>
        <w:rPr>
          <w:rFonts w:ascii="Times New Roman" w:hAnsi="Times New Roman" w:eastAsia="仿宋" w:cs="Times New Roman"/>
          <w:color w:val="auto"/>
          <w:sz w:val="28"/>
          <w:szCs w:val="28"/>
          <w:highlight w:val="none"/>
        </w:rPr>
        <w:t>全区各养护河道水质均</w:t>
      </w:r>
      <w:r>
        <w:rPr>
          <w:rFonts w:hint="eastAsia" w:ascii="Times New Roman" w:hAnsi="Times New Roman" w:eastAsia="仿宋" w:cs="Times New Roman"/>
          <w:color w:val="auto"/>
          <w:sz w:val="28"/>
          <w:szCs w:val="28"/>
          <w:highlight w:val="none"/>
        </w:rPr>
        <w:t>折算为</w:t>
      </w:r>
      <w:r>
        <w:rPr>
          <w:rFonts w:ascii="Times New Roman" w:hAnsi="Times New Roman" w:eastAsia="仿宋" w:cs="Times New Roman"/>
          <w:color w:val="auto"/>
          <w:sz w:val="28"/>
          <w:szCs w:val="28"/>
          <w:highlight w:val="none"/>
        </w:rPr>
        <w:t>百分制进行考核</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各</w:t>
      </w:r>
      <w:r>
        <w:rPr>
          <w:rFonts w:hint="eastAsia" w:ascii="Times New Roman" w:hAnsi="Times New Roman" w:eastAsia="仿宋" w:cs="Times New Roman"/>
          <w:color w:val="auto"/>
          <w:sz w:val="28"/>
          <w:szCs w:val="28"/>
          <w:highlight w:val="none"/>
        </w:rPr>
        <w:t>主评</w:t>
      </w:r>
      <w:r>
        <w:rPr>
          <w:rFonts w:ascii="Times New Roman" w:hAnsi="Times New Roman" w:eastAsia="仿宋" w:cs="Times New Roman"/>
          <w:color w:val="auto"/>
          <w:sz w:val="28"/>
          <w:szCs w:val="28"/>
          <w:highlight w:val="none"/>
        </w:rPr>
        <w:t>指标</w:t>
      </w:r>
      <w:r>
        <w:rPr>
          <w:rFonts w:hint="eastAsia" w:ascii="Times New Roman" w:hAnsi="Times New Roman" w:eastAsia="仿宋" w:cs="Times New Roman"/>
          <w:color w:val="auto"/>
          <w:sz w:val="28"/>
          <w:szCs w:val="28"/>
          <w:highlight w:val="none"/>
        </w:rPr>
        <w:t>也折算为</w:t>
      </w:r>
      <w:r>
        <w:rPr>
          <w:rFonts w:ascii="Times New Roman" w:hAnsi="Times New Roman" w:eastAsia="仿宋" w:cs="Times New Roman"/>
          <w:color w:val="auto"/>
          <w:sz w:val="28"/>
          <w:szCs w:val="28"/>
          <w:highlight w:val="none"/>
        </w:rPr>
        <w:t>百分制进行考核，河道的综合得分由各指标加权</w:t>
      </w:r>
      <w:r>
        <w:rPr>
          <w:rFonts w:hint="eastAsia" w:ascii="Times New Roman" w:hAnsi="Times New Roman" w:eastAsia="仿宋" w:cs="Times New Roman"/>
          <w:color w:val="auto"/>
          <w:sz w:val="28"/>
          <w:szCs w:val="28"/>
          <w:highlight w:val="none"/>
        </w:rPr>
        <w:t>计算</w:t>
      </w:r>
      <w:r>
        <w:rPr>
          <w:rFonts w:ascii="Times New Roman" w:hAnsi="Times New Roman" w:eastAsia="仿宋" w:cs="Times New Roman"/>
          <w:color w:val="auto"/>
          <w:sz w:val="28"/>
          <w:szCs w:val="28"/>
          <w:highlight w:val="none"/>
        </w:rPr>
        <w:t>。一条</w:t>
      </w:r>
      <w:r>
        <w:rPr>
          <w:rFonts w:hint="eastAsia" w:ascii="Times New Roman" w:hAnsi="Times New Roman" w:eastAsia="仿宋" w:cs="Times New Roman"/>
          <w:color w:val="auto"/>
          <w:sz w:val="28"/>
          <w:szCs w:val="28"/>
          <w:highlight w:val="none"/>
        </w:rPr>
        <w:t>河道设置有</w:t>
      </w:r>
      <w:r>
        <w:rPr>
          <w:rFonts w:ascii="Times New Roman" w:hAnsi="Times New Roman" w:eastAsia="仿宋" w:cs="Times New Roman"/>
          <w:color w:val="auto"/>
          <w:sz w:val="28"/>
          <w:szCs w:val="28"/>
          <w:highlight w:val="none"/>
        </w:rPr>
        <w:t>两个及以上取样断面的，</w:t>
      </w:r>
      <w:r>
        <w:rPr>
          <w:rFonts w:hint="eastAsia" w:ascii="Times New Roman" w:hAnsi="Times New Roman" w:eastAsia="仿宋" w:cs="Times New Roman"/>
          <w:color w:val="auto"/>
          <w:sz w:val="28"/>
          <w:szCs w:val="28"/>
          <w:highlight w:val="none"/>
        </w:rPr>
        <w:t>根据主评</w:t>
      </w:r>
      <w:r>
        <w:rPr>
          <w:rFonts w:ascii="Times New Roman" w:hAnsi="Times New Roman" w:eastAsia="仿宋" w:cs="Times New Roman"/>
          <w:color w:val="auto"/>
          <w:sz w:val="28"/>
          <w:szCs w:val="28"/>
          <w:highlight w:val="none"/>
        </w:rPr>
        <w:t>指标</w:t>
      </w:r>
      <w:r>
        <w:rPr>
          <w:rFonts w:hint="eastAsia" w:ascii="Times New Roman" w:hAnsi="Times New Roman" w:eastAsia="仿宋" w:cs="Times New Roman"/>
          <w:color w:val="auto"/>
          <w:sz w:val="28"/>
          <w:szCs w:val="28"/>
          <w:highlight w:val="none"/>
        </w:rPr>
        <w:t>断面</w:t>
      </w:r>
      <w:r>
        <w:rPr>
          <w:rFonts w:ascii="Times New Roman" w:hAnsi="Times New Roman" w:eastAsia="仿宋" w:cs="Times New Roman"/>
          <w:color w:val="auto"/>
          <w:sz w:val="28"/>
          <w:szCs w:val="28"/>
          <w:highlight w:val="none"/>
        </w:rPr>
        <w:t>平均值</w:t>
      </w:r>
      <w:r>
        <w:rPr>
          <w:rFonts w:hint="eastAsia" w:ascii="Times New Roman" w:hAnsi="Times New Roman" w:eastAsia="仿宋" w:cs="Times New Roman"/>
          <w:color w:val="auto"/>
          <w:sz w:val="28"/>
          <w:szCs w:val="28"/>
          <w:highlight w:val="none"/>
        </w:rPr>
        <w:t>计算</w:t>
      </w:r>
      <w:r>
        <w:rPr>
          <w:rFonts w:ascii="Times New Roman" w:hAnsi="Times New Roman" w:eastAsia="仿宋" w:cs="Times New Roman"/>
          <w:color w:val="auto"/>
          <w:sz w:val="28"/>
          <w:szCs w:val="28"/>
          <w:highlight w:val="none"/>
        </w:rPr>
        <w:t>该河道</w:t>
      </w:r>
      <w:r>
        <w:rPr>
          <w:rFonts w:hint="eastAsia" w:ascii="Times New Roman" w:hAnsi="Times New Roman" w:eastAsia="仿宋" w:cs="Times New Roman"/>
          <w:color w:val="auto"/>
          <w:sz w:val="28"/>
          <w:szCs w:val="28"/>
          <w:highlight w:val="none"/>
        </w:rPr>
        <w:t>当月</w:t>
      </w:r>
      <w:r>
        <w:rPr>
          <w:rFonts w:ascii="Times New Roman" w:hAnsi="Times New Roman" w:eastAsia="仿宋" w:cs="Times New Roman"/>
          <w:color w:val="auto"/>
          <w:sz w:val="28"/>
          <w:szCs w:val="28"/>
          <w:highlight w:val="none"/>
        </w:rPr>
        <w:t>最终得分。</w:t>
      </w:r>
    </w:p>
    <w:p>
      <w:pPr>
        <w:spacing w:line="360" w:lineRule="auto"/>
        <w:ind w:firstLine="562" w:firstLineChars="200"/>
        <w:jc w:val="cente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表1主评指标考核标准与分值（精品河道）</w:t>
      </w:r>
    </w:p>
    <w:tbl>
      <w:tblPr>
        <w:tblStyle w:val="22"/>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8"/>
        <w:gridCol w:w="1514"/>
        <w:gridCol w:w="1504"/>
        <w:gridCol w:w="1190"/>
        <w:gridCol w:w="1364"/>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18" w:type="dxa"/>
            <w:vMerge w:val="restart"/>
            <w:tcBorders>
              <w:top w:val="single" w:color="006600" w:sz="12" w:space="0"/>
              <w:left w:val="single" w:color="006600" w:sz="12" w:space="0"/>
              <w:bottom w:val="single" w:color="006600" w:sz="12" w:space="0"/>
              <w:right w:val="single" w:color="006600" w:sz="12" w:space="0"/>
              <w:tl2br w:val="single" w:color="006600" w:sz="4" w:space="0"/>
            </w:tcBorders>
            <w:vAlign w:val="center"/>
          </w:tcPr>
          <w:p>
            <w:pPr>
              <w:spacing w:line="300" w:lineRule="auto"/>
              <w:jc w:val="right"/>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指标含量</w:t>
            </w:r>
          </w:p>
          <w:p>
            <w:pPr>
              <w:spacing w:line="300" w:lineRule="auto"/>
              <w:jc w:val="left"/>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得分值</w:t>
            </w:r>
          </w:p>
        </w:tc>
        <w:tc>
          <w:tcPr>
            <w:tcW w:w="1514" w:type="dxa"/>
            <w:tcBorders>
              <w:top w:val="single" w:color="006600" w:sz="12" w:space="0"/>
              <w:left w:val="single" w:color="006600" w:sz="12" w:space="0"/>
              <w:bottom w:val="single" w:color="006600" w:sz="4" w:space="0"/>
              <w:right w:val="single" w:color="006600" w:sz="4" w:space="0"/>
            </w:tcBorders>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溶解氧（DO）</w:t>
            </w:r>
          </w:p>
        </w:tc>
        <w:tc>
          <w:tcPr>
            <w:tcW w:w="1504" w:type="dxa"/>
            <w:tcBorders>
              <w:top w:val="single" w:color="006600" w:sz="12"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氨氮（NH</w:t>
            </w:r>
            <w:r>
              <w:rPr>
                <w:rFonts w:ascii="Times New Roman" w:hAnsi="Times New Roman" w:eastAsia="仿宋" w:cs="Times New Roman"/>
                <w:color w:val="auto"/>
                <w:szCs w:val="21"/>
                <w:highlight w:val="none"/>
                <w:vertAlign w:val="subscript"/>
              </w:rPr>
              <w:t>3</w:t>
            </w:r>
            <w:r>
              <w:rPr>
                <w:rFonts w:ascii="Times New Roman" w:hAnsi="Times New Roman" w:eastAsia="仿宋" w:cs="Times New Roman"/>
                <w:color w:val="auto"/>
                <w:szCs w:val="21"/>
                <w:highlight w:val="none"/>
              </w:rPr>
              <w:t>-N）</w:t>
            </w:r>
          </w:p>
        </w:tc>
        <w:tc>
          <w:tcPr>
            <w:tcW w:w="1190" w:type="dxa"/>
            <w:tcBorders>
              <w:top w:val="single" w:color="006600" w:sz="12"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总磷（TP）</w:t>
            </w:r>
          </w:p>
        </w:tc>
        <w:tc>
          <w:tcPr>
            <w:tcW w:w="1364" w:type="dxa"/>
            <w:tcBorders>
              <w:top w:val="single" w:color="006600" w:sz="12"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透明度</w:t>
            </w:r>
          </w:p>
        </w:tc>
        <w:tc>
          <w:tcPr>
            <w:tcW w:w="1056" w:type="dxa"/>
            <w:tcBorders>
              <w:top w:val="single" w:color="006600" w:sz="12"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叶绿素a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18" w:type="dxa"/>
            <w:vMerge w:val="continue"/>
            <w:tcBorders>
              <w:top w:val="single" w:color="006600" w:sz="12" w:space="0"/>
              <w:left w:val="single" w:color="006600" w:sz="12" w:space="0"/>
              <w:bottom w:val="single" w:color="006600" w:sz="4" w:space="0"/>
              <w:right w:val="single" w:color="006600" w:sz="12" w:space="0"/>
              <w:tl2br w:val="single" w:color="006600" w:sz="4" w:space="0"/>
            </w:tcBorders>
            <w:vAlign w:val="center"/>
          </w:tcPr>
          <w:p>
            <w:pPr>
              <w:widowControl/>
              <w:spacing w:line="300" w:lineRule="auto"/>
              <w:jc w:val="left"/>
              <w:rPr>
                <w:rFonts w:ascii="Times New Roman" w:hAnsi="Times New Roman" w:eastAsia="仿宋" w:cs="Times New Roman"/>
                <w:color w:val="auto"/>
                <w:szCs w:val="21"/>
                <w:highlight w:val="none"/>
              </w:rPr>
            </w:pPr>
          </w:p>
        </w:tc>
        <w:tc>
          <w:tcPr>
            <w:tcW w:w="4208" w:type="dxa"/>
            <w:gridSpan w:val="3"/>
            <w:tcBorders>
              <w:top w:val="single" w:color="006600" w:sz="4" w:space="0"/>
              <w:left w:val="single" w:color="006600" w:sz="12" w:space="0"/>
              <w:bottom w:val="single" w:color="006600" w:sz="4" w:space="0"/>
              <w:right w:val="single" w:color="006600" w:sz="4" w:space="0"/>
            </w:tcBorders>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mg/L</w:t>
            </w:r>
          </w:p>
        </w:tc>
        <w:tc>
          <w:tcPr>
            <w:tcW w:w="136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cm</w:t>
            </w:r>
          </w:p>
        </w:tc>
        <w:tc>
          <w:tcPr>
            <w:tcW w:w="1056"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mg/m</w:t>
            </w:r>
            <w:r>
              <w:rPr>
                <w:rFonts w:ascii="Times New Roman" w:hAnsi="Times New Roman" w:eastAsia="仿宋" w:cs="Times New Roman"/>
                <w:color w:val="auto"/>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8" w:type="dxa"/>
            <w:tcBorders>
              <w:top w:val="single" w:color="006600" w:sz="4" w:space="0"/>
              <w:left w:val="single" w:color="006600" w:sz="12" w:space="0"/>
              <w:bottom w:val="single" w:color="006600" w:sz="12" w:space="0"/>
              <w:right w:val="single" w:color="006600" w:sz="12" w:space="0"/>
            </w:tcBorders>
            <w:vAlign w:val="center"/>
          </w:tcPr>
          <w:p>
            <w:pPr>
              <w:widowControl/>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指标权重比（%）</w:t>
            </w:r>
          </w:p>
        </w:tc>
        <w:tc>
          <w:tcPr>
            <w:tcW w:w="1514" w:type="dxa"/>
            <w:tcBorders>
              <w:top w:val="single" w:color="006600" w:sz="4" w:space="0"/>
              <w:left w:val="single" w:color="006600" w:sz="12" w:space="0"/>
              <w:bottom w:val="single" w:color="006600" w:sz="12"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10</w:t>
            </w:r>
          </w:p>
        </w:tc>
        <w:tc>
          <w:tcPr>
            <w:tcW w:w="1504" w:type="dxa"/>
            <w:tcBorders>
              <w:top w:val="single" w:color="006600" w:sz="4" w:space="0"/>
              <w:left w:val="single" w:color="006600" w:sz="4" w:space="0"/>
              <w:bottom w:val="single" w:color="006600" w:sz="12"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30</w:t>
            </w:r>
          </w:p>
        </w:tc>
        <w:tc>
          <w:tcPr>
            <w:tcW w:w="1190" w:type="dxa"/>
            <w:tcBorders>
              <w:top w:val="single" w:color="006600" w:sz="4" w:space="0"/>
              <w:left w:val="single" w:color="006600" w:sz="4" w:space="0"/>
              <w:bottom w:val="single" w:color="006600" w:sz="12"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10</w:t>
            </w:r>
          </w:p>
        </w:tc>
        <w:tc>
          <w:tcPr>
            <w:tcW w:w="1364" w:type="dxa"/>
            <w:tcBorders>
              <w:top w:val="single" w:color="006600" w:sz="4" w:space="0"/>
              <w:left w:val="single" w:color="006600" w:sz="4" w:space="0"/>
              <w:bottom w:val="single" w:color="006600" w:sz="12"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30</w:t>
            </w:r>
          </w:p>
        </w:tc>
        <w:tc>
          <w:tcPr>
            <w:tcW w:w="1056" w:type="dxa"/>
            <w:tcBorders>
              <w:top w:val="single" w:color="006600" w:sz="4" w:space="0"/>
              <w:left w:val="single" w:color="006600" w:sz="4" w:space="0"/>
              <w:bottom w:val="single" w:color="006600" w:sz="12"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8"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w:t>
            </w:r>
          </w:p>
        </w:tc>
        <w:tc>
          <w:tcPr>
            <w:tcW w:w="1514"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＜3.2</w:t>
            </w:r>
          </w:p>
        </w:tc>
        <w:tc>
          <w:tcPr>
            <w:tcW w:w="150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＞3.25</w:t>
            </w:r>
          </w:p>
        </w:tc>
        <w:tc>
          <w:tcPr>
            <w:tcW w:w="1190"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＞0.38</w:t>
            </w:r>
          </w:p>
        </w:tc>
        <w:tc>
          <w:tcPr>
            <w:tcW w:w="136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＜30</w:t>
            </w:r>
          </w:p>
        </w:tc>
        <w:tc>
          <w:tcPr>
            <w:tcW w:w="1056"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8"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10</w:t>
            </w:r>
          </w:p>
        </w:tc>
        <w:tc>
          <w:tcPr>
            <w:tcW w:w="1514"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≥3.2</w:t>
            </w:r>
          </w:p>
        </w:tc>
        <w:tc>
          <w:tcPr>
            <w:tcW w:w="150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≤3.25</w:t>
            </w:r>
          </w:p>
        </w:tc>
        <w:tc>
          <w:tcPr>
            <w:tcW w:w="1190"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≤0.38</w:t>
            </w:r>
          </w:p>
        </w:tc>
        <w:tc>
          <w:tcPr>
            <w:tcW w:w="136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≥30</w:t>
            </w:r>
          </w:p>
        </w:tc>
        <w:tc>
          <w:tcPr>
            <w:tcW w:w="1056"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8"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20</w:t>
            </w:r>
          </w:p>
        </w:tc>
        <w:tc>
          <w:tcPr>
            <w:tcW w:w="1514"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≥3.4</w:t>
            </w:r>
          </w:p>
        </w:tc>
        <w:tc>
          <w:tcPr>
            <w:tcW w:w="150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w:t>
            </w:r>
          </w:p>
        </w:tc>
        <w:tc>
          <w:tcPr>
            <w:tcW w:w="1190"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≤0.36</w:t>
            </w:r>
          </w:p>
        </w:tc>
        <w:tc>
          <w:tcPr>
            <w:tcW w:w="136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≥40</w:t>
            </w:r>
          </w:p>
        </w:tc>
        <w:tc>
          <w:tcPr>
            <w:tcW w:w="1056"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8"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30</w:t>
            </w:r>
          </w:p>
        </w:tc>
        <w:tc>
          <w:tcPr>
            <w:tcW w:w="1514"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≥3.6</w:t>
            </w:r>
          </w:p>
        </w:tc>
        <w:tc>
          <w:tcPr>
            <w:tcW w:w="150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≤2.75</w:t>
            </w:r>
          </w:p>
        </w:tc>
        <w:tc>
          <w:tcPr>
            <w:tcW w:w="1190"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≤0.34</w:t>
            </w:r>
          </w:p>
        </w:tc>
        <w:tc>
          <w:tcPr>
            <w:tcW w:w="136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≥50</w:t>
            </w:r>
          </w:p>
        </w:tc>
        <w:tc>
          <w:tcPr>
            <w:tcW w:w="1056"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8"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40</w:t>
            </w:r>
          </w:p>
        </w:tc>
        <w:tc>
          <w:tcPr>
            <w:tcW w:w="1514"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≥3.8</w:t>
            </w:r>
          </w:p>
        </w:tc>
        <w:tc>
          <w:tcPr>
            <w:tcW w:w="150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≤2.5</w:t>
            </w:r>
          </w:p>
        </w:tc>
        <w:tc>
          <w:tcPr>
            <w:tcW w:w="1190"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≤0.32</w:t>
            </w:r>
          </w:p>
        </w:tc>
        <w:tc>
          <w:tcPr>
            <w:tcW w:w="136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≥60</w:t>
            </w:r>
          </w:p>
        </w:tc>
        <w:tc>
          <w:tcPr>
            <w:tcW w:w="1056"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8"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50</w:t>
            </w:r>
          </w:p>
        </w:tc>
        <w:tc>
          <w:tcPr>
            <w:tcW w:w="1514"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w:t>
            </w:r>
          </w:p>
        </w:tc>
        <w:tc>
          <w:tcPr>
            <w:tcW w:w="150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≤2.25</w:t>
            </w:r>
          </w:p>
        </w:tc>
        <w:tc>
          <w:tcPr>
            <w:tcW w:w="1190"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≤0.3</w:t>
            </w:r>
          </w:p>
        </w:tc>
        <w:tc>
          <w:tcPr>
            <w:tcW w:w="136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≥70</w:t>
            </w:r>
          </w:p>
        </w:tc>
        <w:tc>
          <w:tcPr>
            <w:tcW w:w="1056"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8"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60</w:t>
            </w:r>
          </w:p>
        </w:tc>
        <w:tc>
          <w:tcPr>
            <w:tcW w:w="1514"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≥4.2</w:t>
            </w:r>
          </w:p>
        </w:tc>
        <w:tc>
          <w:tcPr>
            <w:tcW w:w="150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w:t>
            </w:r>
          </w:p>
        </w:tc>
        <w:tc>
          <w:tcPr>
            <w:tcW w:w="1190"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≤0.28</w:t>
            </w:r>
          </w:p>
        </w:tc>
        <w:tc>
          <w:tcPr>
            <w:tcW w:w="136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≥80</w:t>
            </w:r>
          </w:p>
        </w:tc>
        <w:tc>
          <w:tcPr>
            <w:tcW w:w="1056"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8"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70</w:t>
            </w:r>
          </w:p>
        </w:tc>
        <w:tc>
          <w:tcPr>
            <w:tcW w:w="1514"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≥4.4</w:t>
            </w:r>
          </w:p>
        </w:tc>
        <w:tc>
          <w:tcPr>
            <w:tcW w:w="150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≤1.75</w:t>
            </w:r>
          </w:p>
        </w:tc>
        <w:tc>
          <w:tcPr>
            <w:tcW w:w="1190"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≤0.26</w:t>
            </w:r>
          </w:p>
        </w:tc>
        <w:tc>
          <w:tcPr>
            <w:tcW w:w="136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≥90</w:t>
            </w:r>
          </w:p>
        </w:tc>
        <w:tc>
          <w:tcPr>
            <w:tcW w:w="1056"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8"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80</w:t>
            </w:r>
          </w:p>
        </w:tc>
        <w:tc>
          <w:tcPr>
            <w:tcW w:w="1514"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≥4.6</w:t>
            </w:r>
          </w:p>
        </w:tc>
        <w:tc>
          <w:tcPr>
            <w:tcW w:w="150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≤1.5</w:t>
            </w:r>
          </w:p>
        </w:tc>
        <w:tc>
          <w:tcPr>
            <w:tcW w:w="1190"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≤0.24</w:t>
            </w:r>
          </w:p>
        </w:tc>
        <w:tc>
          <w:tcPr>
            <w:tcW w:w="136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≥100</w:t>
            </w:r>
          </w:p>
        </w:tc>
        <w:tc>
          <w:tcPr>
            <w:tcW w:w="1056"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8"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90</w:t>
            </w:r>
          </w:p>
        </w:tc>
        <w:tc>
          <w:tcPr>
            <w:tcW w:w="1514"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≥4.8</w:t>
            </w:r>
          </w:p>
        </w:tc>
        <w:tc>
          <w:tcPr>
            <w:tcW w:w="150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≤1.25</w:t>
            </w:r>
          </w:p>
        </w:tc>
        <w:tc>
          <w:tcPr>
            <w:tcW w:w="1190"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≤0.22</w:t>
            </w:r>
          </w:p>
        </w:tc>
        <w:tc>
          <w:tcPr>
            <w:tcW w:w="136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≥110</w:t>
            </w:r>
          </w:p>
        </w:tc>
        <w:tc>
          <w:tcPr>
            <w:tcW w:w="1056"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8" w:type="dxa"/>
            <w:tcBorders>
              <w:top w:val="single" w:color="006600" w:sz="4" w:space="0"/>
              <w:left w:val="single" w:color="006600" w:sz="12" w:space="0"/>
              <w:bottom w:val="single" w:color="006600" w:sz="12" w:space="0"/>
              <w:right w:val="single" w:color="006600" w:sz="12"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100（Ⅲ类水标准）</w:t>
            </w:r>
          </w:p>
        </w:tc>
        <w:tc>
          <w:tcPr>
            <w:tcW w:w="1514" w:type="dxa"/>
            <w:tcBorders>
              <w:top w:val="single" w:color="006600" w:sz="4" w:space="0"/>
              <w:left w:val="single" w:color="006600" w:sz="12" w:space="0"/>
              <w:bottom w:val="single" w:color="006600" w:sz="12" w:space="0"/>
              <w:right w:val="single" w:color="006600" w:sz="4"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w:t>
            </w:r>
          </w:p>
        </w:tc>
        <w:tc>
          <w:tcPr>
            <w:tcW w:w="1504" w:type="dxa"/>
            <w:tcBorders>
              <w:top w:val="single" w:color="006600" w:sz="4" w:space="0"/>
              <w:left w:val="single" w:color="006600" w:sz="4" w:space="0"/>
              <w:bottom w:val="single" w:color="006600" w:sz="12" w:space="0"/>
              <w:right w:val="single" w:color="006600" w:sz="4"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w:t>
            </w:r>
          </w:p>
        </w:tc>
        <w:tc>
          <w:tcPr>
            <w:tcW w:w="1190" w:type="dxa"/>
            <w:tcBorders>
              <w:top w:val="single" w:color="006600" w:sz="4" w:space="0"/>
              <w:left w:val="single" w:color="006600" w:sz="4" w:space="0"/>
              <w:bottom w:val="single" w:color="006600" w:sz="12" w:space="0"/>
              <w:right w:val="single" w:color="006600" w:sz="4"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≤0.2</w:t>
            </w:r>
          </w:p>
        </w:tc>
        <w:tc>
          <w:tcPr>
            <w:tcW w:w="1364" w:type="dxa"/>
            <w:tcBorders>
              <w:top w:val="single" w:color="006600" w:sz="4" w:space="0"/>
              <w:left w:val="single" w:color="006600" w:sz="4" w:space="0"/>
              <w:bottom w:val="single" w:color="006600" w:sz="12" w:space="0"/>
              <w:right w:val="single" w:color="006600" w:sz="4" w:space="0"/>
            </w:tcBorders>
            <w:shd w:val="clear" w:color="auto" w:fill="D9D9D9"/>
            <w:vAlign w:val="center"/>
          </w:tcPr>
          <w:p>
            <w:pPr>
              <w:spacing w:line="300" w:lineRule="auto"/>
              <w:jc w:val="center"/>
              <w:rPr>
                <w:rFonts w:hint="eastAsia" w:ascii="Times New Roman" w:hAnsi="Times New Roman" w:eastAsia="仿宋" w:cs="Times New Roman"/>
                <w:color w:val="auto"/>
                <w:szCs w:val="21"/>
                <w:highlight w:val="none"/>
                <w:lang w:eastAsia="zh-CN"/>
              </w:rPr>
            </w:pPr>
            <w:r>
              <w:rPr>
                <w:rFonts w:ascii="Times New Roman" w:hAnsi="Times New Roman" w:eastAsia="仿宋" w:cs="Times New Roman"/>
                <w:color w:val="auto"/>
                <w:szCs w:val="21"/>
                <w:highlight w:val="none"/>
              </w:rPr>
              <w:t>≥120</w:t>
            </w:r>
            <w:r>
              <w:rPr>
                <w:rFonts w:hint="eastAsia" w:eastAsia="仿宋" w:cs="Times New Roman"/>
                <w:color w:val="auto"/>
                <w:szCs w:val="21"/>
                <w:highlight w:val="none"/>
                <w:lang w:eastAsia="zh-CN"/>
              </w:rPr>
              <w:t>（</w:t>
            </w:r>
            <w:r>
              <w:rPr>
                <w:rFonts w:hint="eastAsia" w:eastAsia="仿宋" w:cs="Times New Roman"/>
                <w:color w:val="auto"/>
                <w:szCs w:val="21"/>
                <w:highlight w:val="none"/>
                <w:lang w:val="en-US" w:eastAsia="zh-CN"/>
              </w:rPr>
              <w:t>见底</w:t>
            </w:r>
            <w:r>
              <w:rPr>
                <w:rFonts w:hint="eastAsia" w:eastAsia="仿宋" w:cs="Times New Roman"/>
                <w:color w:val="auto"/>
                <w:szCs w:val="21"/>
                <w:highlight w:val="none"/>
                <w:lang w:eastAsia="zh-CN"/>
              </w:rPr>
              <w:t>）</w:t>
            </w:r>
          </w:p>
        </w:tc>
        <w:tc>
          <w:tcPr>
            <w:tcW w:w="1056" w:type="dxa"/>
            <w:tcBorders>
              <w:top w:val="single" w:color="006600" w:sz="4" w:space="0"/>
              <w:left w:val="single" w:color="006600" w:sz="4" w:space="0"/>
              <w:bottom w:val="single" w:color="006600" w:sz="12" w:space="0"/>
              <w:right w:val="single" w:color="006600" w:sz="12"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≤12</w:t>
            </w:r>
          </w:p>
        </w:tc>
      </w:tr>
    </w:tbl>
    <w:p>
      <w:pPr>
        <w:spacing w:line="360" w:lineRule="auto"/>
        <w:ind w:firstLine="482" w:firstLineChars="200"/>
        <w:jc w:val="center"/>
        <w:rPr>
          <w:rFonts w:ascii="Times New Roman" w:hAnsi="Times New Roman" w:eastAsia="仿宋" w:cs="Times New Roman"/>
          <w:b/>
          <w:color w:val="auto"/>
          <w:sz w:val="24"/>
          <w:highlight w:val="none"/>
        </w:rPr>
      </w:pPr>
    </w:p>
    <w:p>
      <w:pPr>
        <w:spacing w:line="360" w:lineRule="auto"/>
        <w:ind w:firstLine="562" w:firstLineChars="200"/>
        <w:jc w:val="cente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表2 主评指标考核标准与分值（清水河道）—第一年</w:t>
      </w:r>
    </w:p>
    <w:tbl>
      <w:tblPr>
        <w:tblStyle w:val="22"/>
        <w:tblW w:w="86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7"/>
        <w:gridCol w:w="1515"/>
        <w:gridCol w:w="1504"/>
        <w:gridCol w:w="1216"/>
        <w:gridCol w:w="1360"/>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007" w:type="dxa"/>
            <w:vMerge w:val="restart"/>
            <w:tcBorders>
              <w:top w:val="single" w:color="006600" w:sz="12" w:space="0"/>
              <w:left w:val="single" w:color="006600" w:sz="12" w:space="0"/>
              <w:bottom w:val="single" w:color="006600" w:sz="12" w:space="0"/>
              <w:right w:val="single" w:color="006600" w:sz="12" w:space="0"/>
              <w:tl2br w:val="single" w:color="006600" w:sz="4" w:space="0"/>
            </w:tcBorders>
            <w:shd w:val="clear" w:color="auto" w:fill="FFFFFF"/>
            <w:vAlign w:val="center"/>
          </w:tcPr>
          <w:p>
            <w:pPr>
              <w:spacing w:line="300" w:lineRule="auto"/>
              <w:jc w:val="right"/>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指标含量</w:t>
            </w:r>
          </w:p>
          <w:p>
            <w:pPr>
              <w:spacing w:line="300" w:lineRule="auto"/>
              <w:jc w:val="left"/>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得分值</w:t>
            </w:r>
          </w:p>
        </w:tc>
        <w:tc>
          <w:tcPr>
            <w:tcW w:w="1515" w:type="dxa"/>
            <w:tcBorders>
              <w:top w:val="single" w:color="006600" w:sz="12" w:space="0"/>
              <w:left w:val="single" w:color="006600" w:sz="12" w:space="0"/>
              <w:bottom w:val="single" w:color="006600" w:sz="4" w:space="0"/>
              <w:right w:val="single" w:color="006600" w:sz="4" w:space="0"/>
            </w:tcBorders>
            <w:shd w:val="clear" w:color="auto" w:fill="FFFFFF"/>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溶解氧（DO）</w:t>
            </w:r>
          </w:p>
        </w:tc>
        <w:tc>
          <w:tcPr>
            <w:tcW w:w="1504" w:type="dxa"/>
            <w:tcBorders>
              <w:top w:val="single" w:color="006600" w:sz="12"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氨氮（NH</w:t>
            </w:r>
            <w:r>
              <w:rPr>
                <w:rFonts w:ascii="Times New Roman" w:hAnsi="Times New Roman" w:eastAsia="仿宋" w:cs="Times New Roman"/>
                <w:color w:val="auto"/>
                <w:szCs w:val="21"/>
                <w:highlight w:val="none"/>
                <w:vertAlign w:val="subscript"/>
              </w:rPr>
              <w:t>3</w:t>
            </w:r>
            <w:r>
              <w:rPr>
                <w:rFonts w:ascii="Times New Roman" w:hAnsi="Times New Roman" w:eastAsia="仿宋" w:cs="Times New Roman"/>
                <w:color w:val="auto"/>
                <w:szCs w:val="21"/>
                <w:highlight w:val="none"/>
              </w:rPr>
              <w:t>-N）</w:t>
            </w:r>
          </w:p>
        </w:tc>
        <w:tc>
          <w:tcPr>
            <w:tcW w:w="1216" w:type="dxa"/>
            <w:tcBorders>
              <w:top w:val="single" w:color="006600" w:sz="12"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总磷（TP）</w:t>
            </w:r>
          </w:p>
        </w:tc>
        <w:tc>
          <w:tcPr>
            <w:tcW w:w="1360" w:type="dxa"/>
            <w:tcBorders>
              <w:top w:val="single" w:color="006600" w:sz="12"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透明度</w:t>
            </w:r>
          </w:p>
        </w:tc>
        <w:tc>
          <w:tcPr>
            <w:tcW w:w="1068" w:type="dxa"/>
            <w:tcBorders>
              <w:top w:val="single" w:color="006600" w:sz="12" w:space="0"/>
              <w:left w:val="single" w:color="006600" w:sz="4" w:space="0"/>
              <w:bottom w:val="single" w:color="006600" w:sz="4"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叶绿素a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07" w:type="dxa"/>
            <w:vMerge w:val="continue"/>
            <w:tcBorders>
              <w:top w:val="single" w:color="006600" w:sz="12" w:space="0"/>
              <w:left w:val="single" w:color="006600" w:sz="12" w:space="0"/>
              <w:bottom w:val="single" w:color="006600" w:sz="4" w:space="0"/>
              <w:right w:val="single" w:color="006600" w:sz="12" w:space="0"/>
              <w:tl2br w:val="single" w:color="006600" w:sz="4" w:space="0"/>
            </w:tcBorders>
            <w:shd w:val="clear" w:color="auto" w:fill="FFFFFF"/>
            <w:vAlign w:val="center"/>
          </w:tcPr>
          <w:p>
            <w:pPr>
              <w:widowControl/>
              <w:spacing w:line="300" w:lineRule="auto"/>
              <w:jc w:val="left"/>
              <w:rPr>
                <w:rFonts w:ascii="Times New Roman" w:hAnsi="Times New Roman" w:eastAsia="仿宋" w:cs="Times New Roman"/>
                <w:color w:val="auto"/>
                <w:szCs w:val="21"/>
                <w:highlight w:val="none"/>
              </w:rPr>
            </w:pPr>
          </w:p>
        </w:tc>
        <w:tc>
          <w:tcPr>
            <w:tcW w:w="4235" w:type="dxa"/>
            <w:gridSpan w:val="3"/>
            <w:tcBorders>
              <w:top w:val="single" w:color="006600" w:sz="4" w:space="0"/>
              <w:left w:val="single" w:color="006600" w:sz="12" w:space="0"/>
              <w:bottom w:val="single" w:color="006600" w:sz="4" w:space="0"/>
              <w:right w:val="single" w:color="006600" w:sz="4" w:space="0"/>
            </w:tcBorders>
            <w:shd w:val="clear" w:color="auto" w:fill="FFFFFF"/>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mg/L</w:t>
            </w:r>
          </w:p>
        </w:tc>
        <w:tc>
          <w:tcPr>
            <w:tcW w:w="1360"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cm</w:t>
            </w:r>
          </w:p>
        </w:tc>
        <w:tc>
          <w:tcPr>
            <w:tcW w:w="1068" w:type="dxa"/>
            <w:tcBorders>
              <w:top w:val="single" w:color="006600" w:sz="4" w:space="0"/>
              <w:left w:val="single" w:color="006600" w:sz="4" w:space="0"/>
              <w:bottom w:val="single" w:color="006600" w:sz="4"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mg/m</w:t>
            </w:r>
            <w:r>
              <w:rPr>
                <w:rFonts w:ascii="Times New Roman" w:hAnsi="Times New Roman" w:eastAsia="仿宋" w:cs="Times New Roman"/>
                <w:color w:val="auto"/>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7" w:type="dxa"/>
            <w:tcBorders>
              <w:top w:val="single" w:color="006600" w:sz="4" w:space="0"/>
              <w:left w:val="single" w:color="006600" w:sz="12" w:space="0"/>
              <w:bottom w:val="single" w:color="006600" w:sz="12" w:space="0"/>
              <w:right w:val="single" w:color="006600" w:sz="12" w:space="0"/>
            </w:tcBorders>
            <w:shd w:val="clear" w:color="auto" w:fill="FFFFFF"/>
            <w:vAlign w:val="center"/>
          </w:tcPr>
          <w:p>
            <w:pPr>
              <w:widowControl/>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指标权重比（%）</w:t>
            </w:r>
          </w:p>
        </w:tc>
        <w:tc>
          <w:tcPr>
            <w:tcW w:w="1515" w:type="dxa"/>
            <w:tcBorders>
              <w:top w:val="single" w:color="006600" w:sz="4" w:space="0"/>
              <w:left w:val="single" w:color="006600" w:sz="12" w:space="0"/>
              <w:bottom w:val="single" w:color="006600" w:sz="12"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10</w:t>
            </w:r>
          </w:p>
        </w:tc>
        <w:tc>
          <w:tcPr>
            <w:tcW w:w="1504" w:type="dxa"/>
            <w:tcBorders>
              <w:top w:val="single" w:color="006600" w:sz="4" w:space="0"/>
              <w:left w:val="single" w:color="006600" w:sz="4" w:space="0"/>
              <w:bottom w:val="single" w:color="006600" w:sz="12"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30</w:t>
            </w:r>
          </w:p>
        </w:tc>
        <w:tc>
          <w:tcPr>
            <w:tcW w:w="1216" w:type="dxa"/>
            <w:tcBorders>
              <w:top w:val="single" w:color="006600" w:sz="4" w:space="0"/>
              <w:left w:val="single" w:color="006600" w:sz="4" w:space="0"/>
              <w:bottom w:val="single" w:color="006600" w:sz="12"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10</w:t>
            </w:r>
          </w:p>
        </w:tc>
        <w:tc>
          <w:tcPr>
            <w:tcW w:w="1360" w:type="dxa"/>
            <w:tcBorders>
              <w:top w:val="single" w:color="006600" w:sz="4" w:space="0"/>
              <w:left w:val="single" w:color="006600" w:sz="4" w:space="0"/>
              <w:bottom w:val="single" w:color="006600" w:sz="12"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30</w:t>
            </w:r>
          </w:p>
        </w:tc>
        <w:tc>
          <w:tcPr>
            <w:tcW w:w="1068" w:type="dxa"/>
            <w:tcBorders>
              <w:top w:val="single" w:color="006600" w:sz="4" w:space="0"/>
              <w:left w:val="single" w:color="006600" w:sz="4" w:space="0"/>
              <w:bottom w:val="single" w:color="006600" w:sz="12"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7" w:type="dxa"/>
            <w:tcBorders>
              <w:top w:val="single" w:color="006600" w:sz="4" w:space="0"/>
              <w:left w:val="single" w:color="006600" w:sz="12" w:space="0"/>
              <w:bottom w:val="single" w:color="006600" w:sz="4"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w:t>
            </w:r>
          </w:p>
        </w:tc>
        <w:tc>
          <w:tcPr>
            <w:tcW w:w="1515" w:type="dxa"/>
            <w:tcBorders>
              <w:top w:val="single" w:color="006600" w:sz="4" w:space="0"/>
              <w:left w:val="single" w:color="006600" w:sz="12"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＜2.2</w:t>
            </w:r>
          </w:p>
        </w:tc>
        <w:tc>
          <w:tcPr>
            <w:tcW w:w="1504"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w:t>
            </w:r>
          </w:p>
        </w:tc>
        <w:tc>
          <w:tcPr>
            <w:tcW w:w="1216"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＞0.75</w:t>
            </w:r>
          </w:p>
        </w:tc>
        <w:tc>
          <w:tcPr>
            <w:tcW w:w="1360"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＜25</w:t>
            </w:r>
          </w:p>
        </w:tc>
        <w:tc>
          <w:tcPr>
            <w:tcW w:w="1068" w:type="dxa"/>
            <w:tcBorders>
              <w:top w:val="single" w:color="006600" w:sz="4" w:space="0"/>
              <w:left w:val="single" w:color="006600" w:sz="4" w:space="0"/>
              <w:bottom w:val="single" w:color="006600" w:sz="4"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7" w:type="dxa"/>
            <w:tcBorders>
              <w:top w:val="single" w:color="006600" w:sz="4" w:space="0"/>
              <w:left w:val="single" w:color="006600" w:sz="12" w:space="0"/>
              <w:bottom w:val="single" w:color="006600" w:sz="4"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10</w:t>
            </w:r>
          </w:p>
        </w:tc>
        <w:tc>
          <w:tcPr>
            <w:tcW w:w="1515" w:type="dxa"/>
            <w:tcBorders>
              <w:top w:val="single" w:color="006600" w:sz="4" w:space="0"/>
              <w:left w:val="single" w:color="006600" w:sz="12"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≥2.2</w:t>
            </w:r>
          </w:p>
        </w:tc>
        <w:tc>
          <w:tcPr>
            <w:tcW w:w="1504"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w:t>
            </w:r>
          </w:p>
        </w:tc>
        <w:tc>
          <w:tcPr>
            <w:tcW w:w="1216"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≤0.75</w:t>
            </w:r>
          </w:p>
        </w:tc>
        <w:tc>
          <w:tcPr>
            <w:tcW w:w="1360"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≥25</w:t>
            </w:r>
          </w:p>
        </w:tc>
        <w:tc>
          <w:tcPr>
            <w:tcW w:w="1068" w:type="dxa"/>
            <w:tcBorders>
              <w:top w:val="single" w:color="006600" w:sz="4" w:space="0"/>
              <w:left w:val="single" w:color="006600" w:sz="4" w:space="0"/>
              <w:bottom w:val="single" w:color="006600" w:sz="4"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7" w:type="dxa"/>
            <w:tcBorders>
              <w:top w:val="single" w:color="006600" w:sz="4" w:space="0"/>
              <w:left w:val="single" w:color="006600" w:sz="12" w:space="0"/>
              <w:bottom w:val="single" w:color="006600" w:sz="4"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20</w:t>
            </w:r>
          </w:p>
        </w:tc>
        <w:tc>
          <w:tcPr>
            <w:tcW w:w="1515" w:type="dxa"/>
            <w:tcBorders>
              <w:top w:val="single" w:color="006600" w:sz="4" w:space="0"/>
              <w:left w:val="single" w:color="006600" w:sz="12"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≥2.4</w:t>
            </w:r>
          </w:p>
        </w:tc>
        <w:tc>
          <w:tcPr>
            <w:tcW w:w="1504"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≤5.5</w:t>
            </w:r>
          </w:p>
        </w:tc>
        <w:tc>
          <w:tcPr>
            <w:tcW w:w="1216"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≤0.7</w:t>
            </w:r>
          </w:p>
        </w:tc>
        <w:tc>
          <w:tcPr>
            <w:tcW w:w="1360"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≥30</w:t>
            </w:r>
          </w:p>
        </w:tc>
        <w:tc>
          <w:tcPr>
            <w:tcW w:w="1068" w:type="dxa"/>
            <w:tcBorders>
              <w:top w:val="single" w:color="006600" w:sz="4" w:space="0"/>
              <w:left w:val="single" w:color="006600" w:sz="4" w:space="0"/>
              <w:bottom w:val="single" w:color="006600" w:sz="4"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7" w:type="dxa"/>
            <w:tcBorders>
              <w:top w:val="single" w:color="006600" w:sz="4" w:space="0"/>
              <w:left w:val="single" w:color="006600" w:sz="12" w:space="0"/>
              <w:bottom w:val="single" w:color="006600" w:sz="4"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30</w:t>
            </w:r>
          </w:p>
        </w:tc>
        <w:tc>
          <w:tcPr>
            <w:tcW w:w="1515" w:type="dxa"/>
            <w:tcBorders>
              <w:top w:val="single" w:color="006600" w:sz="4" w:space="0"/>
              <w:left w:val="single" w:color="006600" w:sz="12"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≥2.6</w:t>
            </w:r>
          </w:p>
        </w:tc>
        <w:tc>
          <w:tcPr>
            <w:tcW w:w="1504"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w:t>
            </w:r>
          </w:p>
        </w:tc>
        <w:tc>
          <w:tcPr>
            <w:tcW w:w="1216"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≤0.65</w:t>
            </w:r>
          </w:p>
        </w:tc>
        <w:tc>
          <w:tcPr>
            <w:tcW w:w="1360"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≥35</w:t>
            </w:r>
          </w:p>
        </w:tc>
        <w:tc>
          <w:tcPr>
            <w:tcW w:w="1068" w:type="dxa"/>
            <w:tcBorders>
              <w:top w:val="single" w:color="006600" w:sz="4" w:space="0"/>
              <w:left w:val="single" w:color="006600" w:sz="4" w:space="0"/>
              <w:bottom w:val="single" w:color="006600" w:sz="4"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7" w:type="dxa"/>
            <w:tcBorders>
              <w:top w:val="single" w:color="006600" w:sz="4" w:space="0"/>
              <w:left w:val="single" w:color="006600" w:sz="12" w:space="0"/>
              <w:bottom w:val="single" w:color="006600" w:sz="4"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40</w:t>
            </w:r>
          </w:p>
        </w:tc>
        <w:tc>
          <w:tcPr>
            <w:tcW w:w="1515" w:type="dxa"/>
            <w:tcBorders>
              <w:top w:val="single" w:color="006600" w:sz="4" w:space="0"/>
              <w:left w:val="single" w:color="006600" w:sz="12"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≥2.8</w:t>
            </w:r>
          </w:p>
        </w:tc>
        <w:tc>
          <w:tcPr>
            <w:tcW w:w="1504"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≤4.5</w:t>
            </w:r>
          </w:p>
        </w:tc>
        <w:tc>
          <w:tcPr>
            <w:tcW w:w="1216"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≤0.6</w:t>
            </w:r>
          </w:p>
        </w:tc>
        <w:tc>
          <w:tcPr>
            <w:tcW w:w="1360"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≥40</w:t>
            </w:r>
          </w:p>
        </w:tc>
        <w:tc>
          <w:tcPr>
            <w:tcW w:w="1068" w:type="dxa"/>
            <w:tcBorders>
              <w:top w:val="single" w:color="006600" w:sz="4" w:space="0"/>
              <w:left w:val="single" w:color="006600" w:sz="4" w:space="0"/>
              <w:bottom w:val="single" w:color="006600" w:sz="4"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7" w:type="dxa"/>
            <w:tcBorders>
              <w:top w:val="single" w:color="006600" w:sz="4" w:space="0"/>
              <w:left w:val="single" w:color="006600" w:sz="12" w:space="0"/>
              <w:bottom w:val="single" w:color="006600" w:sz="4"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50</w:t>
            </w:r>
          </w:p>
        </w:tc>
        <w:tc>
          <w:tcPr>
            <w:tcW w:w="1515" w:type="dxa"/>
            <w:tcBorders>
              <w:top w:val="single" w:color="006600" w:sz="4" w:space="0"/>
              <w:left w:val="single" w:color="006600" w:sz="12"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w:t>
            </w:r>
          </w:p>
        </w:tc>
        <w:tc>
          <w:tcPr>
            <w:tcW w:w="1504"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w:t>
            </w:r>
          </w:p>
        </w:tc>
        <w:tc>
          <w:tcPr>
            <w:tcW w:w="1216"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≤0.55</w:t>
            </w:r>
          </w:p>
        </w:tc>
        <w:tc>
          <w:tcPr>
            <w:tcW w:w="1360"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≥45</w:t>
            </w:r>
          </w:p>
        </w:tc>
        <w:tc>
          <w:tcPr>
            <w:tcW w:w="1068" w:type="dxa"/>
            <w:tcBorders>
              <w:top w:val="single" w:color="006600" w:sz="4" w:space="0"/>
              <w:left w:val="single" w:color="006600" w:sz="4" w:space="0"/>
              <w:bottom w:val="single" w:color="006600" w:sz="4"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7" w:type="dxa"/>
            <w:tcBorders>
              <w:top w:val="single" w:color="006600" w:sz="4" w:space="0"/>
              <w:left w:val="single" w:color="006600" w:sz="12" w:space="0"/>
              <w:bottom w:val="single" w:color="006600" w:sz="4"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60</w:t>
            </w:r>
          </w:p>
        </w:tc>
        <w:tc>
          <w:tcPr>
            <w:tcW w:w="1515" w:type="dxa"/>
            <w:tcBorders>
              <w:top w:val="single" w:color="006600" w:sz="4" w:space="0"/>
              <w:left w:val="single" w:color="006600" w:sz="12"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≥3.2</w:t>
            </w:r>
          </w:p>
        </w:tc>
        <w:tc>
          <w:tcPr>
            <w:tcW w:w="1504"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≤3.5</w:t>
            </w:r>
          </w:p>
        </w:tc>
        <w:tc>
          <w:tcPr>
            <w:tcW w:w="1216"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≤0.5</w:t>
            </w:r>
          </w:p>
        </w:tc>
        <w:tc>
          <w:tcPr>
            <w:tcW w:w="1360"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≥50</w:t>
            </w:r>
          </w:p>
        </w:tc>
        <w:tc>
          <w:tcPr>
            <w:tcW w:w="1068" w:type="dxa"/>
            <w:tcBorders>
              <w:top w:val="single" w:color="006600" w:sz="4" w:space="0"/>
              <w:left w:val="single" w:color="006600" w:sz="4" w:space="0"/>
              <w:bottom w:val="single" w:color="006600" w:sz="4"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7" w:type="dxa"/>
            <w:tcBorders>
              <w:top w:val="single" w:color="006600" w:sz="4" w:space="0"/>
              <w:left w:val="single" w:color="006600" w:sz="12" w:space="0"/>
              <w:bottom w:val="single" w:color="006600" w:sz="4"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70</w:t>
            </w:r>
          </w:p>
        </w:tc>
        <w:tc>
          <w:tcPr>
            <w:tcW w:w="1515" w:type="dxa"/>
            <w:tcBorders>
              <w:top w:val="single" w:color="006600" w:sz="4" w:space="0"/>
              <w:left w:val="single" w:color="006600" w:sz="12"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≥3.4</w:t>
            </w:r>
          </w:p>
        </w:tc>
        <w:tc>
          <w:tcPr>
            <w:tcW w:w="1504"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w:t>
            </w:r>
          </w:p>
        </w:tc>
        <w:tc>
          <w:tcPr>
            <w:tcW w:w="1216"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≤0.45</w:t>
            </w:r>
          </w:p>
        </w:tc>
        <w:tc>
          <w:tcPr>
            <w:tcW w:w="1360"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≥55</w:t>
            </w:r>
          </w:p>
        </w:tc>
        <w:tc>
          <w:tcPr>
            <w:tcW w:w="1068" w:type="dxa"/>
            <w:tcBorders>
              <w:top w:val="single" w:color="006600" w:sz="4" w:space="0"/>
              <w:left w:val="single" w:color="006600" w:sz="4" w:space="0"/>
              <w:bottom w:val="single" w:color="006600" w:sz="4"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7" w:type="dxa"/>
            <w:tcBorders>
              <w:top w:val="single" w:color="006600" w:sz="4" w:space="0"/>
              <w:left w:val="single" w:color="006600" w:sz="12" w:space="0"/>
              <w:bottom w:val="single" w:color="006600" w:sz="4"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80</w:t>
            </w:r>
          </w:p>
        </w:tc>
        <w:tc>
          <w:tcPr>
            <w:tcW w:w="1515" w:type="dxa"/>
            <w:tcBorders>
              <w:top w:val="single" w:color="006600" w:sz="4" w:space="0"/>
              <w:left w:val="single" w:color="006600" w:sz="12"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≥3.6</w:t>
            </w:r>
          </w:p>
        </w:tc>
        <w:tc>
          <w:tcPr>
            <w:tcW w:w="1504"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≤2.5</w:t>
            </w:r>
          </w:p>
        </w:tc>
        <w:tc>
          <w:tcPr>
            <w:tcW w:w="1216"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≤0.4</w:t>
            </w:r>
          </w:p>
        </w:tc>
        <w:tc>
          <w:tcPr>
            <w:tcW w:w="1360"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≥60</w:t>
            </w:r>
          </w:p>
        </w:tc>
        <w:tc>
          <w:tcPr>
            <w:tcW w:w="1068" w:type="dxa"/>
            <w:tcBorders>
              <w:top w:val="single" w:color="006600" w:sz="4" w:space="0"/>
              <w:left w:val="single" w:color="006600" w:sz="4" w:space="0"/>
              <w:bottom w:val="single" w:color="006600" w:sz="4"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7" w:type="dxa"/>
            <w:tcBorders>
              <w:top w:val="single" w:color="006600" w:sz="4" w:space="0"/>
              <w:left w:val="single" w:color="006600" w:sz="12" w:space="0"/>
              <w:bottom w:val="single" w:color="006600" w:sz="4"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90</w:t>
            </w:r>
          </w:p>
        </w:tc>
        <w:tc>
          <w:tcPr>
            <w:tcW w:w="1515" w:type="dxa"/>
            <w:tcBorders>
              <w:top w:val="single" w:color="006600" w:sz="4" w:space="0"/>
              <w:left w:val="single" w:color="006600" w:sz="12"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≥3.8</w:t>
            </w:r>
          </w:p>
        </w:tc>
        <w:tc>
          <w:tcPr>
            <w:tcW w:w="1504"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w:t>
            </w:r>
          </w:p>
        </w:tc>
        <w:tc>
          <w:tcPr>
            <w:tcW w:w="1216"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≤0.35</w:t>
            </w:r>
          </w:p>
        </w:tc>
        <w:tc>
          <w:tcPr>
            <w:tcW w:w="1360" w:type="dxa"/>
            <w:tcBorders>
              <w:top w:val="single" w:color="006600" w:sz="4" w:space="0"/>
              <w:left w:val="single" w:color="006600" w:sz="4" w:space="0"/>
              <w:bottom w:val="single" w:color="006600" w:sz="4" w:space="0"/>
              <w:right w:val="single" w:color="006600" w:sz="4"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≥65</w:t>
            </w:r>
          </w:p>
        </w:tc>
        <w:tc>
          <w:tcPr>
            <w:tcW w:w="1068" w:type="dxa"/>
            <w:tcBorders>
              <w:top w:val="single" w:color="006600" w:sz="4" w:space="0"/>
              <w:left w:val="single" w:color="006600" w:sz="4" w:space="0"/>
              <w:bottom w:val="single" w:color="006600" w:sz="4" w:space="0"/>
              <w:right w:val="single" w:color="006600" w:sz="12" w:space="0"/>
            </w:tcBorders>
            <w:shd w:val="clear" w:color="auto" w:fill="FFFFFF"/>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7" w:type="dxa"/>
            <w:tcBorders>
              <w:top w:val="single" w:color="006600" w:sz="4" w:space="0"/>
              <w:left w:val="single" w:color="006600" w:sz="12" w:space="0"/>
              <w:bottom w:val="single" w:color="006600" w:sz="12" w:space="0"/>
              <w:right w:val="single" w:color="006600" w:sz="12"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100（Ⅳ类水标准）</w:t>
            </w:r>
          </w:p>
        </w:tc>
        <w:tc>
          <w:tcPr>
            <w:tcW w:w="1515" w:type="dxa"/>
            <w:tcBorders>
              <w:top w:val="single" w:color="006600" w:sz="4" w:space="0"/>
              <w:left w:val="single" w:color="006600" w:sz="12" w:space="0"/>
              <w:bottom w:val="single" w:color="006600" w:sz="12" w:space="0"/>
              <w:right w:val="single" w:color="006600" w:sz="4"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w:t>
            </w:r>
          </w:p>
        </w:tc>
        <w:tc>
          <w:tcPr>
            <w:tcW w:w="1504" w:type="dxa"/>
            <w:tcBorders>
              <w:top w:val="single" w:color="006600" w:sz="4" w:space="0"/>
              <w:left w:val="single" w:color="006600" w:sz="4" w:space="0"/>
              <w:bottom w:val="single" w:color="006600" w:sz="12" w:space="0"/>
              <w:right w:val="single" w:color="006600" w:sz="4"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≤1.5</w:t>
            </w:r>
          </w:p>
        </w:tc>
        <w:tc>
          <w:tcPr>
            <w:tcW w:w="1216" w:type="dxa"/>
            <w:tcBorders>
              <w:top w:val="single" w:color="006600" w:sz="4" w:space="0"/>
              <w:left w:val="single" w:color="006600" w:sz="4" w:space="0"/>
              <w:bottom w:val="single" w:color="006600" w:sz="12" w:space="0"/>
              <w:right w:val="single" w:color="006600" w:sz="4"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≤0.3</w:t>
            </w:r>
          </w:p>
        </w:tc>
        <w:tc>
          <w:tcPr>
            <w:tcW w:w="1360" w:type="dxa"/>
            <w:tcBorders>
              <w:top w:val="single" w:color="006600" w:sz="4" w:space="0"/>
              <w:left w:val="single" w:color="006600" w:sz="4" w:space="0"/>
              <w:bottom w:val="single" w:color="006600" w:sz="12" w:space="0"/>
              <w:right w:val="single" w:color="006600" w:sz="4"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≥70</w:t>
            </w:r>
            <w:r>
              <w:rPr>
                <w:rFonts w:hint="eastAsia" w:eastAsia="仿宋" w:cs="Times New Roman"/>
                <w:color w:val="auto"/>
                <w:szCs w:val="21"/>
                <w:highlight w:val="none"/>
                <w:lang w:eastAsia="zh-CN"/>
              </w:rPr>
              <w:t>（</w:t>
            </w:r>
            <w:r>
              <w:rPr>
                <w:rFonts w:hint="eastAsia" w:eastAsia="仿宋" w:cs="Times New Roman"/>
                <w:color w:val="auto"/>
                <w:szCs w:val="21"/>
                <w:highlight w:val="none"/>
                <w:lang w:val="en-US" w:eastAsia="zh-CN"/>
              </w:rPr>
              <w:t>见底</w:t>
            </w:r>
            <w:r>
              <w:rPr>
                <w:rFonts w:hint="eastAsia" w:eastAsia="仿宋" w:cs="Times New Roman"/>
                <w:color w:val="auto"/>
                <w:szCs w:val="21"/>
                <w:highlight w:val="none"/>
                <w:lang w:eastAsia="zh-CN"/>
              </w:rPr>
              <w:t>）</w:t>
            </w:r>
          </w:p>
        </w:tc>
        <w:tc>
          <w:tcPr>
            <w:tcW w:w="1068" w:type="dxa"/>
            <w:tcBorders>
              <w:top w:val="single" w:color="006600" w:sz="4" w:space="0"/>
              <w:left w:val="single" w:color="006600" w:sz="4" w:space="0"/>
              <w:bottom w:val="single" w:color="006600" w:sz="12" w:space="0"/>
              <w:right w:val="single" w:color="006600" w:sz="12"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≤20</w:t>
            </w:r>
          </w:p>
        </w:tc>
      </w:tr>
    </w:tbl>
    <w:p>
      <w:pPr>
        <w:spacing w:before="78" w:beforeLines="25" w:line="324" w:lineRule="auto"/>
        <w:ind w:firstLine="482" w:firstLineChars="200"/>
        <w:rPr>
          <w:rFonts w:ascii="Times New Roman" w:hAnsi="Times New Roman" w:eastAsia="仿宋" w:cs="Times New Roman"/>
          <w:b/>
          <w:bCs/>
          <w:color w:val="auto"/>
          <w:sz w:val="24"/>
          <w:highlight w:val="none"/>
        </w:rPr>
      </w:pPr>
      <w:r>
        <w:rPr>
          <w:rFonts w:ascii="Times New Roman" w:hAnsi="Times New Roman" w:eastAsia="仿宋" w:cs="Times New Roman"/>
          <w:b/>
          <w:bCs/>
          <w:color w:val="auto"/>
          <w:sz w:val="24"/>
          <w:highlight w:val="none"/>
        </w:rPr>
        <w:t>备注：清水河道第一年透明度以70cm作为考核标准。</w:t>
      </w:r>
    </w:p>
    <w:p>
      <w:pPr>
        <w:spacing w:line="360" w:lineRule="auto"/>
        <w:ind w:firstLine="562" w:firstLineChars="200"/>
        <w:jc w:val="cente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表3 主评指标考核标准与分值（清水河道）—第二、三年</w:t>
      </w:r>
    </w:p>
    <w:tbl>
      <w:tblPr>
        <w:tblStyle w:val="22"/>
        <w:tblW w:w="8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0"/>
        <w:gridCol w:w="1512"/>
        <w:gridCol w:w="1502"/>
        <w:gridCol w:w="1211"/>
        <w:gridCol w:w="1364"/>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20" w:type="dxa"/>
            <w:vMerge w:val="restart"/>
            <w:tcBorders>
              <w:top w:val="single" w:color="006600" w:sz="12" w:space="0"/>
              <w:left w:val="single" w:color="006600" w:sz="12" w:space="0"/>
              <w:bottom w:val="single" w:color="006600" w:sz="12" w:space="0"/>
              <w:right w:val="single" w:color="006600" w:sz="12" w:space="0"/>
              <w:tl2br w:val="single" w:color="006600" w:sz="4" w:space="0"/>
            </w:tcBorders>
            <w:vAlign w:val="center"/>
          </w:tcPr>
          <w:p>
            <w:pPr>
              <w:spacing w:line="300" w:lineRule="auto"/>
              <w:jc w:val="right"/>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指标含量</w:t>
            </w:r>
          </w:p>
          <w:p>
            <w:pPr>
              <w:spacing w:line="300" w:lineRule="auto"/>
              <w:jc w:val="left"/>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得分值</w:t>
            </w:r>
          </w:p>
        </w:tc>
        <w:tc>
          <w:tcPr>
            <w:tcW w:w="1512" w:type="dxa"/>
            <w:tcBorders>
              <w:top w:val="single" w:color="006600" w:sz="12" w:space="0"/>
              <w:left w:val="single" w:color="006600" w:sz="12" w:space="0"/>
              <w:bottom w:val="single" w:color="006600" w:sz="4" w:space="0"/>
              <w:right w:val="single" w:color="006600" w:sz="4" w:space="0"/>
            </w:tcBorders>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溶解氧（DO）</w:t>
            </w:r>
          </w:p>
        </w:tc>
        <w:tc>
          <w:tcPr>
            <w:tcW w:w="1502" w:type="dxa"/>
            <w:tcBorders>
              <w:top w:val="single" w:color="006600" w:sz="12"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氨氮（NH</w:t>
            </w:r>
            <w:r>
              <w:rPr>
                <w:rFonts w:ascii="Times New Roman" w:hAnsi="Times New Roman" w:eastAsia="仿宋" w:cs="Times New Roman"/>
                <w:color w:val="auto"/>
                <w:szCs w:val="21"/>
                <w:highlight w:val="none"/>
                <w:vertAlign w:val="subscript"/>
              </w:rPr>
              <w:t>3</w:t>
            </w:r>
            <w:r>
              <w:rPr>
                <w:rFonts w:ascii="Times New Roman" w:hAnsi="Times New Roman" w:eastAsia="仿宋" w:cs="Times New Roman"/>
                <w:color w:val="auto"/>
                <w:szCs w:val="21"/>
                <w:highlight w:val="none"/>
              </w:rPr>
              <w:t>-N）</w:t>
            </w:r>
          </w:p>
        </w:tc>
        <w:tc>
          <w:tcPr>
            <w:tcW w:w="1211" w:type="dxa"/>
            <w:tcBorders>
              <w:top w:val="single" w:color="006600" w:sz="12"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总磷（TP）</w:t>
            </w:r>
          </w:p>
        </w:tc>
        <w:tc>
          <w:tcPr>
            <w:tcW w:w="1364" w:type="dxa"/>
            <w:tcBorders>
              <w:top w:val="single" w:color="006600" w:sz="12"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透明度</w:t>
            </w:r>
          </w:p>
        </w:tc>
        <w:tc>
          <w:tcPr>
            <w:tcW w:w="1071" w:type="dxa"/>
            <w:tcBorders>
              <w:top w:val="single" w:color="006600" w:sz="12"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叶绿素a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20" w:type="dxa"/>
            <w:vMerge w:val="continue"/>
            <w:tcBorders>
              <w:top w:val="single" w:color="006600" w:sz="12" w:space="0"/>
              <w:left w:val="single" w:color="006600" w:sz="12" w:space="0"/>
              <w:bottom w:val="single" w:color="006600" w:sz="4" w:space="0"/>
              <w:right w:val="single" w:color="006600" w:sz="12" w:space="0"/>
              <w:tl2br w:val="single" w:color="006600" w:sz="4" w:space="0"/>
            </w:tcBorders>
            <w:vAlign w:val="center"/>
          </w:tcPr>
          <w:p>
            <w:pPr>
              <w:widowControl/>
              <w:spacing w:line="300" w:lineRule="auto"/>
              <w:jc w:val="left"/>
              <w:rPr>
                <w:rFonts w:ascii="Times New Roman" w:hAnsi="Times New Roman" w:eastAsia="仿宋" w:cs="Times New Roman"/>
                <w:color w:val="auto"/>
                <w:szCs w:val="21"/>
                <w:highlight w:val="none"/>
              </w:rPr>
            </w:pPr>
          </w:p>
        </w:tc>
        <w:tc>
          <w:tcPr>
            <w:tcW w:w="4225" w:type="dxa"/>
            <w:gridSpan w:val="3"/>
            <w:tcBorders>
              <w:top w:val="single" w:color="006600" w:sz="4" w:space="0"/>
              <w:left w:val="single" w:color="006600" w:sz="12" w:space="0"/>
              <w:bottom w:val="single" w:color="006600" w:sz="4" w:space="0"/>
              <w:right w:val="single" w:color="006600" w:sz="4" w:space="0"/>
            </w:tcBorders>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mg/L</w:t>
            </w:r>
          </w:p>
        </w:tc>
        <w:tc>
          <w:tcPr>
            <w:tcW w:w="136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cm</w:t>
            </w:r>
          </w:p>
        </w:tc>
        <w:tc>
          <w:tcPr>
            <w:tcW w:w="1071"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mg/m</w:t>
            </w:r>
            <w:r>
              <w:rPr>
                <w:rFonts w:ascii="Times New Roman" w:hAnsi="Times New Roman" w:eastAsia="仿宋" w:cs="Times New Roman"/>
                <w:color w:val="auto"/>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20" w:type="dxa"/>
            <w:tcBorders>
              <w:top w:val="single" w:color="006600" w:sz="4" w:space="0"/>
              <w:left w:val="single" w:color="006600" w:sz="12" w:space="0"/>
              <w:bottom w:val="single" w:color="006600" w:sz="12" w:space="0"/>
              <w:right w:val="single" w:color="006600" w:sz="12" w:space="0"/>
            </w:tcBorders>
            <w:vAlign w:val="center"/>
          </w:tcPr>
          <w:p>
            <w:pPr>
              <w:widowControl/>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指标权重比（%）</w:t>
            </w:r>
          </w:p>
        </w:tc>
        <w:tc>
          <w:tcPr>
            <w:tcW w:w="1512" w:type="dxa"/>
            <w:tcBorders>
              <w:top w:val="single" w:color="006600" w:sz="4" w:space="0"/>
              <w:left w:val="single" w:color="006600" w:sz="12" w:space="0"/>
              <w:bottom w:val="single" w:color="006600" w:sz="12"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10</w:t>
            </w:r>
          </w:p>
        </w:tc>
        <w:tc>
          <w:tcPr>
            <w:tcW w:w="1502" w:type="dxa"/>
            <w:tcBorders>
              <w:top w:val="single" w:color="006600" w:sz="4" w:space="0"/>
              <w:left w:val="single" w:color="006600" w:sz="4" w:space="0"/>
              <w:bottom w:val="single" w:color="006600" w:sz="12"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30</w:t>
            </w:r>
          </w:p>
        </w:tc>
        <w:tc>
          <w:tcPr>
            <w:tcW w:w="1211" w:type="dxa"/>
            <w:tcBorders>
              <w:top w:val="single" w:color="006600" w:sz="4" w:space="0"/>
              <w:left w:val="single" w:color="006600" w:sz="4" w:space="0"/>
              <w:bottom w:val="single" w:color="006600" w:sz="12"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10</w:t>
            </w:r>
          </w:p>
        </w:tc>
        <w:tc>
          <w:tcPr>
            <w:tcW w:w="1364" w:type="dxa"/>
            <w:tcBorders>
              <w:top w:val="single" w:color="006600" w:sz="4" w:space="0"/>
              <w:left w:val="single" w:color="006600" w:sz="4" w:space="0"/>
              <w:bottom w:val="single" w:color="006600" w:sz="12"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30</w:t>
            </w:r>
          </w:p>
        </w:tc>
        <w:tc>
          <w:tcPr>
            <w:tcW w:w="1071" w:type="dxa"/>
            <w:tcBorders>
              <w:top w:val="single" w:color="006600" w:sz="4" w:space="0"/>
              <w:left w:val="single" w:color="006600" w:sz="4" w:space="0"/>
              <w:bottom w:val="single" w:color="006600" w:sz="12"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20"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w:t>
            </w:r>
          </w:p>
        </w:tc>
        <w:tc>
          <w:tcPr>
            <w:tcW w:w="1512"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＜2.2</w:t>
            </w:r>
          </w:p>
        </w:tc>
        <w:tc>
          <w:tcPr>
            <w:tcW w:w="1502"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w:t>
            </w:r>
          </w:p>
        </w:tc>
        <w:tc>
          <w:tcPr>
            <w:tcW w:w="1211"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＞0.75</w:t>
            </w:r>
          </w:p>
        </w:tc>
        <w:tc>
          <w:tcPr>
            <w:tcW w:w="136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＜35</w:t>
            </w:r>
          </w:p>
        </w:tc>
        <w:tc>
          <w:tcPr>
            <w:tcW w:w="1071"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20"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10</w:t>
            </w:r>
          </w:p>
        </w:tc>
        <w:tc>
          <w:tcPr>
            <w:tcW w:w="1512"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≥2.2</w:t>
            </w:r>
          </w:p>
        </w:tc>
        <w:tc>
          <w:tcPr>
            <w:tcW w:w="1502"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w:t>
            </w:r>
          </w:p>
        </w:tc>
        <w:tc>
          <w:tcPr>
            <w:tcW w:w="1211"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≤0.75</w:t>
            </w:r>
          </w:p>
        </w:tc>
        <w:tc>
          <w:tcPr>
            <w:tcW w:w="136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≥35</w:t>
            </w:r>
          </w:p>
        </w:tc>
        <w:tc>
          <w:tcPr>
            <w:tcW w:w="1071"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20"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20</w:t>
            </w:r>
          </w:p>
        </w:tc>
        <w:tc>
          <w:tcPr>
            <w:tcW w:w="1512"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≥2.4</w:t>
            </w:r>
          </w:p>
        </w:tc>
        <w:tc>
          <w:tcPr>
            <w:tcW w:w="1502"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≤5.5</w:t>
            </w:r>
          </w:p>
        </w:tc>
        <w:tc>
          <w:tcPr>
            <w:tcW w:w="1211"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≤0.7</w:t>
            </w:r>
          </w:p>
        </w:tc>
        <w:tc>
          <w:tcPr>
            <w:tcW w:w="136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≥40</w:t>
            </w:r>
          </w:p>
        </w:tc>
        <w:tc>
          <w:tcPr>
            <w:tcW w:w="1071"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20"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30</w:t>
            </w:r>
          </w:p>
        </w:tc>
        <w:tc>
          <w:tcPr>
            <w:tcW w:w="1512"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≥2.6</w:t>
            </w:r>
          </w:p>
        </w:tc>
        <w:tc>
          <w:tcPr>
            <w:tcW w:w="1502"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w:t>
            </w:r>
          </w:p>
        </w:tc>
        <w:tc>
          <w:tcPr>
            <w:tcW w:w="1211"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≤0.65</w:t>
            </w:r>
          </w:p>
        </w:tc>
        <w:tc>
          <w:tcPr>
            <w:tcW w:w="136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≥45</w:t>
            </w:r>
          </w:p>
        </w:tc>
        <w:tc>
          <w:tcPr>
            <w:tcW w:w="1071"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20"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40</w:t>
            </w:r>
          </w:p>
        </w:tc>
        <w:tc>
          <w:tcPr>
            <w:tcW w:w="1512"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≥2.8</w:t>
            </w:r>
          </w:p>
        </w:tc>
        <w:tc>
          <w:tcPr>
            <w:tcW w:w="1502"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≤4.5</w:t>
            </w:r>
          </w:p>
        </w:tc>
        <w:tc>
          <w:tcPr>
            <w:tcW w:w="1211"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≤0.6</w:t>
            </w:r>
          </w:p>
        </w:tc>
        <w:tc>
          <w:tcPr>
            <w:tcW w:w="136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≥50</w:t>
            </w:r>
          </w:p>
        </w:tc>
        <w:tc>
          <w:tcPr>
            <w:tcW w:w="1071"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20"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50</w:t>
            </w:r>
          </w:p>
        </w:tc>
        <w:tc>
          <w:tcPr>
            <w:tcW w:w="1512"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w:t>
            </w:r>
          </w:p>
        </w:tc>
        <w:tc>
          <w:tcPr>
            <w:tcW w:w="1502"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w:t>
            </w:r>
          </w:p>
        </w:tc>
        <w:tc>
          <w:tcPr>
            <w:tcW w:w="1211"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≤0.55</w:t>
            </w:r>
          </w:p>
        </w:tc>
        <w:tc>
          <w:tcPr>
            <w:tcW w:w="136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≥55</w:t>
            </w:r>
          </w:p>
        </w:tc>
        <w:tc>
          <w:tcPr>
            <w:tcW w:w="1071"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20"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60</w:t>
            </w:r>
          </w:p>
        </w:tc>
        <w:tc>
          <w:tcPr>
            <w:tcW w:w="1512"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≥3.2</w:t>
            </w:r>
          </w:p>
        </w:tc>
        <w:tc>
          <w:tcPr>
            <w:tcW w:w="1502"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≤3.5</w:t>
            </w:r>
          </w:p>
        </w:tc>
        <w:tc>
          <w:tcPr>
            <w:tcW w:w="1211"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≤0.5</w:t>
            </w:r>
          </w:p>
        </w:tc>
        <w:tc>
          <w:tcPr>
            <w:tcW w:w="136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≥60</w:t>
            </w:r>
          </w:p>
        </w:tc>
        <w:tc>
          <w:tcPr>
            <w:tcW w:w="1071"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20"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70</w:t>
            </w:r>
          </w:p>
        </w:tc>
        <w:tc>
          <w:tcPr>
            <w:tcW w:w="1512"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≥3.4</w:t>
            </w:r>
          </w:p>
        </w:tc>
        <w:tc>
          <w:tcPr>
            <w:tcW w:w="1502"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w:t>
            </w:r>
          </w:p>
        </w:tc>
        <w:tc>
          <w:tcPr>
            <w:tcW w:w="1211"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≤0.45</w:t>
            </w:r>
          </w:p>
        </w:tc>
        <w:tc>
          <w:tcPr>
            <w:tcW w:w="136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≥65</w:t>
            </w:r>
          </w:p>
        </w:tc>
        <w:tc>
          <w:tcPr>
            <w:tcW w:w="1071"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20"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80</w:t>
            </w:r>
          </w:p>
        </w:tc>
        <w:tc>
          <w:tcPr>
            <w:tcW w:w="1512"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≥3.6</w:t>
            </w:r>
          </w:p>
        </w:tc>
        <w:tc>
          <w:tcPr>
            <w:tcW w:w="1502"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≤2.5</w:t>
            </w:r>
          </w:p>
        </w:tc>
        <w:tc>
          <w:tcPr>
            <w:tcW w:w="1211"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≤0.4</w:t>
            </w:r>
          </w:p>
        </w:tc>
        <w:tc>
          <w:tcPr>
            <w:tcW w:w="136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≥70</w:t>
            </w:r>
          </w:p>
        </w:tc>
        <w:tc>
          <w:tcPr>
            <w:tcW w:w="1071"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20"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90</w:t>
            </w:r>
          </w:p>
        </w:tc>
        <w:tc>
          <w:tcPr>
            <w:tcW w:w="1512"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≥3.8</w:t>
            </w:r>
          </w:p>
        </w:tc>
        <w:tc>
          <w:tcPr>
            <w:tcW w:w="1502"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w:t>
            </w:r>
          </w:p>
        </w:tc>
        <w:tc>
          <w:tcPr>
            <w:tcW w:w="1211"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≤0.35</w:t>
            </w:r>
          </w:p>
        </w:tc>
        <w:tc>
          <w:tcPr>
            <w:tcW w:w="1364"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≥75</w:t>
            </w:r>
          </w:p>
        </w:tc>
        <w:tc>
          <w:tcPr>
            <w:tcW w:w="1071"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20" w:type="dxa"/>
            <w:tcBorders>
              <w:top w:val="single" w:color="006600" w:sz="4" w:space="0"/>
              <w:left w:val="single" w:color="006600" w:sz="12" w:space="0"/>
              <w:bottom w:val="single" w:color="006600" w:sz="12" w:space="0"/>
              <w:right w:val="single" w:color="006600" w:sz="12"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100（Ⅳ类水标准）</w:t>
            </w:r>
          </w:p>
        </w:tc>
        <w:tc>
          <w:tcPr>
            <w:tcW w:w="1512" w:type="dxa"/>
            <w:tcBorders>
              <w:top w:val="single" w:color="006600" w:sz="4" w:space="0"/>
              <w:left w:val="single" w:color="006600" w:sz="12" w:space="0"/>
              <w:bottom w:val="single" w:color="006600" w:sz="12" w:space="0"/>
              <w:right w:val="single" w:color="006600" w:sz="4"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w:t>
            </w:r>
          </w:p>
        </w:tc>
        <w:tc>
          <w:tcPr>
            <w:tcW w:w="1502" w:type="dxa"/>
            <w:tcBorders>
              <w:top w:val="single" w:color="006600" w:sz="4" w:space="0"/>
              <w:left w:val="single" w:color="006600" w:sz="4" w:space="0"/>
              <w:bottom w:val="single" w:color="006600" w:sz="12" w:space="0"/>
              <w:right w:val="single" w:color="006600" w:sz="4"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≤1.5</w:t>
            </w:r>
          </w:p>
        </w:tc>
        <w:tc>
          <w:tcPr>
            <w:tcW w:w="1211" w:type="dxa"/>
            <w:tcBorders>
              <w:top w:val="single" w:color="006600" w:sz="4" w:space="0"/>
              <w:left w:val="single" w:color="006600" w:sz="4" w:space="0"/>
              <w:bottom w:val="single" w:color="006600" w:sz="12" w:space="0"/>
              <w:right w:val="single" w:color="006600" w:sz="4"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≤0.3</w:t>
            </w:r>
          </w:p>
        </w:tc>
        <w:tc>
          <w:tcPr>
            <w:tcW w:w="1364" w:type="dxa"/>
            <w:tcBorders>
              <w:top w:val="single" w:color="006600" w:sz="4" w:space="0"/>
              <w:left w:val="single" w:color="006600" w:sz="4" w:space="0"/>
              <w:bottom w:val="single" w:color="006600" w:sz="12" w:space="0"/>
              <w:right w:val="single" w:color="006600" w:sz="4"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≥80</w:t>
            </w:r>
            <w:r>
              <w:rPr>
                <w:rFonts w:hint="eastAsia" w:eastAsia="仿宋" w:cs="Times New Roman"/>
                <w:color w:val="auto"/>
                <w:szCs w:val="21"/>
                <w:highlight w:val="none"/>
                <w:lang w:eastAsia="zh-CN"/>
              </w:rPr>
              <w:t>（</w:t>
            </w:r>
            <w:r>
              <w:rPr>
                <w:rFonts w:hint="eastAsia" w:eastAsia="仿宋" w:cs="Times New Roman"/>
                <w:color w:val="auto"/>
                <w:szCs w:val="21"/>
                <w:highlight w:val="none"/>
                <w:lang w:val="en-US" w:eastAsia="zh-CN"/>
              </w:rPr>
              <w:t>见底</w:t>
            </w:r>
            <w:r>
              <w:rPr>
                <w:rFonts w:hint="eastAsia" w:eastAsia="仿宋" w:cs="Times New Roman"/>
                <w:color w:val="auto"/>
                <w:szCs w:val="21"/>
                <w:highlight w:val="none"/>
                <w:lang w:eastAsia="zh-CN"/>
              </w:rPr>
              <w:t>）</w:t>
            </w:r>
          </w:p>
        </w:tc>
        <w:tc>
          <w:tcPr>
            <w:tcW w:w="1071" w:type="dxa"/>
            <w:tcBorders>
              <w:top w:val="single" w:color="006600" w:sz="4" w:space="0"/>
              <w:left w:val="single" w:color="006600" w:sz="4" w:space="0"/>
              <w:bottom w:val="single" w:color="006600" w:sz="12" w:space="0"/>
              <w:right w:val="single" w:color="006600" w:sz="12"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≤20</w:t>
            </w:r>
          </w:p>
        </w:tc>
      </w:tr>
    </w:tbl>
    <w:p>
      <w:pPr>
        <w:spacing w:before="78" w:beforeLines="25" w:line="324" w:lineRule="auto"/>
        <w:jc w:val="left"/>
        <w:rPr>
          <w:rFonts w:ascii="Times New Roman" w:hAnsi="Times New Roman" w:eastAsia="仿宋" w:cs="Times New Roman"/>
          <w:b/>
          <w:bCs/>
          <w:color w:val="auto"/>
          <w:sz w:val="24"/>
          <w:highlight w:val="none"/>
        </w:rPr>
      </w:pPr>
      <w:r>
        <w:rPr>
          <w:rFonts w:ascii="Times New Roman" w:hAnsi="Times New Roman" w:eastAsia="仿宋" w:cs="Times New Roman"/>
          <w:b/>
          <w:bCs/>
          <w:color w:val="auto"/>
          <w:sz w:val="24"/>
          <w:highlight w:val="none"/>
        </w:rPr>
        <w:t>备注：清水河道第二年起透明度以80cm作为考核标准。</w:t>
      </w:r>
    </w:p>
    <w:p>
      <w:pPr>
        <w:spacing w:before="78" w:beforeLines="25" w:line="360" w:lineRule="auto"/>
        <w:jc w:val="left"/>
        <w:rPr>
          <w:rFonts w:ascii="Times New Roman" w:hAnsi="Times New Roman" w:eastAsia="仿宋" w:cs="Times New Roman"/>
          <w:b/>
          <w:bCs/>
          <w:color w:val="auto"/>
          <w:sz w:val="24"/>
          <w:highlight w:val="none"/>
        </w:rPr>
      </w:pPr>
    </w:p>
    <w:p>
      <w:pPr>
        <w:spacing w:line="360" w:lineRule="auto"/>
        <w:ind w:firstLine="562" w:firstLineChars="200"/>
        <w:jc w:val="cente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表4 主评指标考核标准与分值（一般养护河道）</w:t>
      </w:r>
    </w:p>
    <w:tbl>
      <w:tblPr>
        <w:tblStyle w:val="22"/>
        <w:tblW w:w="8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6"/>
        <w:gridCol w:w="1495"/>
        <w:gridCol w:w="1516"/>
        <w:gridCol w:w="1222"/>
        <w:gridCol w:w="1373"/>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26" w:type="dxa"/>
            <w:vMerge w:val="restart"/>
            <w:tcBorders>
              <w:top w:val="single" w:color="006600" w:sz="12" w:space="0"/>
              <w:left w:val="single" w:color="006600" w:sz="12" w:space="0"/>
              <w:bottom w:val="single" w:color="006600" w:sz="12" w:space="0"/>
              <w:right w:val="single" w:color="006600" w:sz="12" w:space="0"/>
              <w:tl2br w:val="single" w:color="006600" w:sz="4" w:space="0"/>
            </w:tcBorders>
            <w:vAlign w:val="center"/>
          </w:tcPr>
          <w:p>
            <w:pPr>
              <w:spacing w:line="300" w:lineRule="auto"/>
              <w:jc w:val="right"/>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指标含量</w:t>
            </w:r>
          </w:p>
          <w:p>
            <w:pPr>
              <w:spacing w:line="300" w:lineRule="auto"/>
              <w:jc w:val="left"/>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得分值</w:t>
            </w:r>
          </w:p>
        </w:tc>
        <w:tc>
          <w:tcPr>
            <w:tcW w:w="1495" w:type="dxa"/>
            <w:tcBorders>
              <w:top w:val="single" w:color="006600" w:sz="12" w:space="0"/>
              <w:left w:val="single" w:color="006600" w:sz="12" w:space="0"/>
              <w:bottom w:val="single" w:color="006600" w:sz="4" w:space="0"/>
              <w:right w:val="single" w:color="006600" w:sz="4" w:space="0"/>
            </w:tcBorders>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溶解氧（DO）</w:t>
            </w:r>
          </w:p>
        </w:tc>
        <w:tc>
          <w:tcPr>
            <w:tcW w:w="1516" w:type="dxa"/>
            <w:tcBorders>
              <w:top w:val="single" w:color="006600" w:sz="12"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氨氮（NH</w:t>
            </w:r>
            <w:r>
              <w:rPr>
                <w:rFonts w:ascii="Times New Roman" w:hAnsi="Times New Roman" w:eastAsia="仿宋" w:cs="Times New Roman"/>
                <w:color w:val="auto"/>
                <w:szCs w:val="21"/>
                <w:highlight w:val="none"/>
                <w:vertAlign w:val="subscript"/>
              </w:rPr>
              <w:t>3</w:t>
            </w:r>
            <w:r>
              <w:rPr>
                <w:rFonts w:ascii="Times New Roman" w:hAnsi="Times New Roman" w:eastAsia="仿宋" w:cs="Times New Roman"/>
                <w:color w:val="auto"/>
                <w:szCs w:val="21"/>
                <w:highlight w:val="none"/>
              </w:rPr>
              <w:t>-N）</w:t>
            </w:r>
          </w:p>
        </w:tc>
        <w:tc>
          <w:tcPr>
            <w:tcW w:w="1222" w:type="dxa"/>
            <w:tcBorders>
              <w:top w:val="single" w:color="006600" w:sz="12"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总磷（TP）</w:t>
            </w:r>
          </w:p>
        </w:tc>
        <w:tc>
          <w:tcPr>
            <w:tcW w:w="1373" w:type="dxa"/>
            <w:tcBorders>
              <w:top w:val="single" w:color="006600" w:sz="12"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透明度</w:t>
            </w:r>
          </w:p>
        </w:tc>
        <w:tc>
          <w:tcPr>
            <w:tcW w:w="1055" w:type="dxa"/>
            <w:tcBorders>
              <w:top w:val="single" w:color="006600" w:sz="12"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叶绿素a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26" w:type="dxa"/>
            <w:vMerge w:val="continue"/>
            <w:tcBorders>
              <w:top w:val="single" w:color="006600" w:sz="12" w:space="0"/>
              <w:left w:val="single" w:color="006600" w:sz="12" w:space="0"/>
              <w:bottom w:val="single" w:color="006600" w:sz="4" w:space="0"/>
              <w:right w:val="single" w:color="006600" w:sz="12" w:space="0"/>
              <w:tl2br w:val="single" w:color="006600" w:sz="4" w:space="0"/>
            </w:tcBorders>
            <w:vAlign w:val="center"/>
          </w:tcPr>
          <w:p>
            <w:pPr>
              <w:widowControl/>
              <w:spacing w:line="300" w:lineRule="auto"/>
              <w:jc w:val="left"/>
              <w:rPr>
                <w:rFonts w:ascii="Times New Roman" w:hAnsi="Times New Roman" w:eastAsia="仿宋" w:cs="Times New Roman"/>
                <w:color w:val="auto"/>
                <w:szCs w:val="21"/>
                <w:highlight w:val="none"/>
              </w:rPr>
            </w:pPr>
          </w:p>
        </w:tc>
        <w:tc>
          <w:tcPr>
            <w:tcW w:w="4233" w:type="dxa"/>
            <w:gridSpan w:val="3"/>
            <w:tcBorders>
              <w:top w:val="single" w:color="006600" w:sz="4" w:space="0"/>
              <w:left w:val="single" w:color="006600" w:sz="12" w:space="0"/>
              <w:bottom w:val="single" w:color="006600" w:sz="4" w:space="0"/>
              <w:right w:val="single" w:color="006600" w:sz="4" w:space="0"/>
            </w:tcBorders>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mg/L</w:t>
            </w:r>
          </w:p>
        </w:tc>
        <w:tc>
          <w:tcPr>
            <w:tcW w:w="1373"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cm</w:t>
            </w:r>
          </w:p>
        </w:tc>
        <w:tc>
          <w:tcPr>
            <w:tcW w:w="1055"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mg/m</w:t>
            </w:r>
            <w:r>
              <w:rPr>
                <w:rFonts w:ascii="Times New Roman" w:hAnsi="Times New Roman" w:eastAsia="仿宋" w:cs="Times New Roman"/>
                <w:color w:val="auto"/>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026" w:type="dxa"/>
            <w:tcBorders>
              <w:top w:val="single" w:color="006600" w:sz="4" w:space="0"/>
              <w:left w:val="single" w:color="006600" w:sz="12" w:space="0"/>
              <w:bottom w:val="single" w:color="006600" w:sz="12" w:space="0"/>
              <w:right w:val="single" w:color="006600" w:sz="12" w:space="0"/>
            </w:tcBorders>
            <w:vAlign w:val="center"/>
          </w:tcPr>
          <w:p>
            <w:pPr>
              <w:widowControl/>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指标权重比（%）</w:t>
            </w:r>
          </w:p>
        </w:tc>
        <w:tc>
          <w:tcPr>
            <w:tcW w:w="1495" w:type="dxa"/>
            <w:tcBorders>
              <w:top w:val="single" w:color="006600" w:sz="4" w:space="0"/>
              <w:left w:val="single" w:color="006600" w:sz="12" w:space="0"/>
              <w:bottom w:val="single" w:color="006600" w:sz="12"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10</w:t>
            </w:r>
          </w:p>
        </w:tc>
        <w:tc>
          <w:tcPr>
            <w:tcW w:w="1516" w:type="dxa"/>
            <w:tcBorders>
              <w:top w:val="single" w:color="006600" w:sz="4" w:space="0"/>
              <w:left w:val="single" w:color="006600" w:sz="4" w:space="0"/>
              <w:bottom w:val="single" w:color="006600" w:sz="12"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30</w:t>
            </w:r>
          </w:p>
        </w:tc>
        <w:tc>
          <w:tcPr>
            <w:tcW w:w="1222" w:type="dxa"/>
            <w:tcBorders>
              <w:top w:val="single" w:color="006600" w:sz="4" w:space="0"/>
              <w:left w:val="single" w:color="006600" w:sz="4" w:space="0"/>
              <w:bottom w:val="single" w:color="006600" w:sz="12"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10</w:t>
            </w:r>
          </w:p>
        </w:tc>
        <w:tc>
          <w:tcPr>
            <w:tcW w:w="1373" w:type="dxa"/>
            <w:tcBorders>
              <w:top w:val="single" w:color="006600" w:sz="4" w:space="0"/>
              <w:left w:val="single" w:color="006600" w:sz="4" w:space="0"/>
              <w:bottom w:val="single" w:color="006600" w:sz="12"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30</w:t>
            </w:r>
          </w:p>
        </w:tc>
        <w:tc>
          <w:tcPr>
            <w:tcW w:w="1055" w:type="dxa"/>
            <w:tcBorders>
              <w:top w:val="single" w:color="006600" w:sz="4" w:space="0"/>
              <w:left w:val="single" w:color="006600" w:sz="4" w:space="0"/>
              <w:bottom w:val="single" w:color="006600" w:sz="12"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6"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w:t>
            </w:r>
          </w:p>
        </w:tc>
        <w:tc>
          <w:tcPr>
            <w:tcW w:w="1495"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＜2.2</w:t>
            </w:r>
          </w:p>
        </w:tc>
        <w:tc>
          <w:tcPr>
            <w:tcW w:w="1516"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＞11</w:t>
            </w:r>
          </w:p>
        </w:tc>
        <w:tc>
          <w:tcPr>
            <w:tcW w:w="1222"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＞0.85</w:t>
            </w:r>
          </w:p>
        </w:tc>
        <w:tc>
          <w:tcPr>
            <w:tcW w:w="1373"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＜10</w:t>
            </w:r>
          </w:p>
        </w:tc>
        <w:tc>
          <w:tcPr>
            <w:tcW w:w="1055"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6"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10</w:t>
            </w:r>
          </w:p>
        </w:tc>
        <w:tc>
          <w:tcPr>
            <w:tcW w:w="1495"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≥2.2</w:t>
            </w:r>
          </w:p>
        </w:tc>
        <w:tc>
          <w:tcPr>
            <w:tcW w:w="1516"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≤11</w:t>
            </w:r>
          </w:p>
        </w:tc>
        <w:tc>
          <w:tcPr>
            <w:tcW w:w="1222"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≤0.85</w:t>
            </w:r>
          </w:p>
        </w:tc>
        <w:tc>
          <w:tcPr>
            <w:tcW w:w="1373"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≥15</w:t>
            </w:r>
          </w:p>
        </w:tc>
        <w:tc>
          <w:tcPr>
            <w:tcW w:w="1055"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6"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20</w:t>
            </w:r>
          </w:p>
        </w:tc>
        <w:tc>
          <w:tcPr>
            <w:tcW w:w="1495"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≥2.4</w:t>
            </w:r>
          </w:p>
        </w:tc>
        <w:tc>
          <w:tcPr>
            <w:tcW w:w="1516"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≤10</w:t>
            </w:r>
          </w:p>
        </w:tc>
        <w:tc>
          <w:tcPr>
            <w:tcW w:w="1222"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≤0.8</w:t>
            </w:r>
          </w:p>
        </w:tc>
        <w:tc>
          <w:tcPr>
            <w:tcW w:w="1373"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≥20</w:t>
            </w:r>
          </w:p>
        </w:tc>
        <w:tc>
          <w:tcPr>
            <w:tcW w:w="1055"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6"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30</w:t>
            </w:r>
          </w:p>
        </w:tc>
        <w:tc>
          <w:tcPr>
            <w:tcW w:w="1495"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≥2.6</w:t>
            </w:r>
          </w:p>
        </w:tc>
        <w:tc>
          <w:tcPr>
            <w:tcW w:w="1516"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≤9</w:t>
            </w:r>
          </w:p>
        </w:tc>
        <w:tc>
          <w:tcPr>
            <w:tcW w:w="1222"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≤0.75</w:t>
            </w:r>
          </w:p>
        </w:tc>
        <w:tc>
          <w:tcPr>
            <w:tcW w:w="1373"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≥25</w:t>
            </w:r>
          </w:p>
        </w:tc>
        <w:tc>
          <w:tcPr>
            <w:tcW w:w="1055"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6"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40</w:t>
            </w:r>
          </w:p>
        </w:tc>
        <w:tc>
          <w:tcPr>
            <w:tcW w:w="1495"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≥2.8</w:t>
            </w:r>
          </w:p>
        </w:tc>
        <w:tc>
          <w:tcPr>
            <w:tcW w:w="1516"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≤8</w:t>
            </w:r>
          </w:p>
        </w:tc>
        <w:tc>
          <w:tcPr>
            <w:tcW w:w="1222"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≤0.7</w:t>
            </w:r>
          </w:p>
        </w:tc>
        <w:tc>
          <w:tcPr>
            <w:tcW w:w="1373"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≥30</w:t>
            </w:r>
          </w:p>
        </w:tc>
        <w:tc>
          <w:tcPr>
            <w:tcW w:w="1055"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6"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50</w:t>
            </w:r>
          </w:p>
        </w:tc>
        <w:tc>
          <w:tcPr>
            <w:tcW w:w="1495"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w:t>
            </w:r>
          </w:p>
        </w:tc>
        <w:tc>
          <w:tcPr>
            <w:tcW w:w="1516"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≤7</w:t>
            </w:r>
          </w:p>
        </w:tc>
        <w:tc>
          <w:tcPr>
            <w:tcW w:w="1222"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≤0.65</w:t>
            </w:r>
          </w:p>
        </w:tc>
        <w:tc>
          <w:tcPr>
            <w:tcW w:w="1373"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≥35</w:t>
            </w:r>
          </w:p>
        </w:tc>
        <w:tc>
          <w:tcPr>
            <w:tcW w:w="1055"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6"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60</w:t>
            </w:r>
          </w:p>
        </w:tc>
        <w:tc>
          <w:tcPr>
            <w:tcW w:w="1495"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≥3.2</w:t>
            </w:r>
          </w:p>
        </w:tc>
        <w:tc>
          <w:tcPr>
            <w:tcW w:w="1516"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w:t>
            </w:r>
          </w:p>
        </w:tc>
        <w:tc>
          <w:tcPr>
            <w:tcW w:w="1222"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≤0.6</w:t>
            </w:r>
          </w:p>
        </w:tc>
        <w:tc>
          <w:tcPr>
            <w:tcW w:w="1373"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≥40</w:t>
            </w:r>
          </w:p>
        </w:tc>
        <w:tc>
          <w:tcPr>
            <w:tcW w:w="1055"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6"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70</w:t>
            </w:r>
          </w:p>
        </w:tc>
        <w:tc>
          <w:tcPr>
            <w:tcW w:w="1495"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≥3.4</w:t>
            </w:r>
          </w:p>
        </w:tc>
        <w:tc>
          <w:tcPr>
            <w:tcW w:w="1516"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w:t>
            </w:r>
          </w:p>
        </w:tc>
        <w:tc>
          <w:tcPr>
            <w:tcW w:w="1222"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≤0.55</w:t>
            </w:r>
          </w:p>
        </w:tc>
        <w:tc>
          <w:tcPr>
            <w:tcW w:w="1373"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≥45</w:t>
            </w:r>
          </w:p>
        </w:tc>
        <w:tc>
          <w:tcPr>
            <w:tcW w:w="1055"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6"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80</w:t>
            </w:r>
          </w:p>
        </w:tc>
        <w:tc>
          <w:tcPr>
            <w:tcW w:w="1495"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≥3.6</w:t>
            </w:r>
          </w:p>
        </w:tc>
        <w:tc>
          <w:tcPr>
            <w:tcW w:w="1516"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w:t>
            </w:r>
          </w:p>
        </w:tc>
        <w:tc>
          <w:tcPr>
            <w:tcW w:w="1222"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≤0.5</w:t>
            </w:r>
          </w:p>
        </w:tc>
        <w:tc>
          <w:tcPr>
            <w:tcW w:w="1373"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≥50</w:t>
            </w:r>
          </w:p>
        </w:tc>
        <w:tc>
          <w:tcPr>
            <w:tcW w:w="1055"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6" w:type="dxa"/>
            <w:tcBorders>
              <w:top w:val="single" w:color="006600" w:sz="4" w:space="0"/>
              <w:left w:val="single" w:color="006600" w:sz="12"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90</w:t>
            </w:r>
          </w:p>
        </w:tc>
        <w:tc>
          <w:tcPr>
            <w:tcW w:w="1495" w:type="dxa"/>
            <w:tcBorders>
              <w:top w:val="single" w:color="006600" w:sz="4" w:space="0"/>
              <w:left w:val="single" w:color="006600" w:sz="12"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≥3.8</w:t>
            </w:r>
          </w:p>
        </w:tc>
        <w:tc>
          <w:tcPr>
            <w:tcW w:w="1516"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w:t>
            </w:r>
          </w:p>
        </w:tc>
        <w:tc>
          <w:tcPr>
            <w:tcW w:w="1222"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≤0.45</w:t>
            </w:r>
          </w:p>
        </w:tc>
        <w:tc>
          <w:tcPr>
            <w:tcW w:w="1373" w:type="dxa"/>
            <w:tcBorders>
              <w:top w:val="single" w:color="006600" w:sz="4" w:space="0"/>
              <w:left w:val="single" w:color="006600" w:sz="4" w:space="0"/>
              <w:bottom w:val="single" w:color="006600" w:sz="4" w:space="0"/>
              <w:right w:val="single" w:color="006600" w:sz="4"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≥55</w:t>
            </w:r>
          </w:p>
        </w:tc>
        <w:tc>
          <w:tcPr>
            <w:tcW w:w="1055" w:type="dxa"/>
            <w:tcBorders>
              <w:top w:val="single" w:color="006600" w:sz="4" w:space="0"/>
              <w:left w:val="single" w:color="006600" w:sz="4" w:space="0"/>
              <w:bottom w:val="single" w:color="006600" w:sz="4" w:space="0"/>
              <w:right w:val="single" w:color="006600" w:sz="12" w:space="0"/>
            </w:tcBorders>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6" w:type="dxa"/>
            <w:tcBorders>
              <w:top w:val="single" w:color="006600" w:sz="4" w:space="0"/>
              <w:left w:val="single" w:color="006600" w:sz="12" w:space="0"/>
              <w:bottom w:val="single" w:color="006600" w:sz="12" w:space="0"/>
              <w:right w:val="single" w:color="006600" w:sz="12"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100（Ⅴ类水标准）</w:t>
            </w:r>
          </w:p>
        </w:tc>
        <w:tc>
          <w:tcPr>
            <w:tcW w:w="1495" w:type="dxa"/>
            <w:tcBorders>
              <w:top w:val="single" w:color="006600" w:sz="4" w:space="0"/>
              <w:left w:val="single" w:color="006600" w:sz="12" w:space="0"/>
              <w:bottom w:val="single" w:color="006600" w:sz="12" w:space="0"/>
              <w:right w:val="single" w:color="006600" w:sz="4"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≥4</w:t>
            </w:r>
          </w:p>
        </w:tc>
        <w:tc>
          <w:tcPr>
            <w:tcW w:w="1516" w:type="dxa"/>
            <w:tcBorders>
              <w:top w:val="single" w:color="006600" w:sz="4" w:space="0"/>
              <w:left w:val="single" w:color="006600" w:sz="4" w:space="0"/>
              <w:bottom w:val="single" w:color="006600" w:sz="12" w:space="0"/>
              <w:right w:val="single" w:color="006600" w:sz="4"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≤2</w:t>
            </w:r>
          </w:p>
        </w:tc>
        <w:tc>
          <w:tcPr>
            <w:tcW w:w="1222" w:type="dxa"/>
            <w:tcBorders>
              <w:top w:val="single" w:color="006600" w:sz="4" w:space="0"/>
              <w:left w:val="single" w:color="006600" w:sz="4" w:space="0"/>
              <w:bottom w:val="single" w:color="006600" w:sz="12" w:space="0"/>
              <w:right w:val="single" w:color="006600" w:sz="4"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≤0.4</w:t>
            </w:r>
          </w:p>
        </w:tc>
        <w:tc>
          <w:tcPr>
            <w:tcW w:w="1373" w:type="dxa"/>
            <w:tcBorders>
              <w:top w:val="single" w:color="006600" w:sz="4" w:space="0"/>
              <w:left w:val="single" w:color="006600" w:sz="4" w:space="0"/>
              <w:bottom w:val="single" w:color="006600" w:sz="12" w:space="0"/>
              <w:right w:val="single" w:color="006600" w:sz="4"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≥60</w:t>
            </w:r>
            <w:r>
              <w:rPr>
                <w:rFonts w:hint="eastAsia" w:eastAsia="仿宋" w:cs="Times New Roman"/>
                <w:color w:val="auto"/>
                <w:szCs w:val="21"/>
                <w:highlight w:val="none"/>
                <w:lang w:eastAsia="zh-CN"/>
              </w:rPr>
              <w:t>（</w:t>
            </w:r>
            <w:r>
              <w:rPr>
                <w:rFonts w:hint="eastAsia" w:eastAsia="仿宋" w:cs="Times New Roman"/>
                <w:color w:val="auto"/>
                <w:szCs w:val="21"/>
                <w:highlight w:val="none"/>
                <w:lang w:val="en-US" w:eastAsia="zh-CN"/>
              </w:rPr>
              <w:t>见底</w:t>
            </w:r>
            <w:r>
              <w:rPr>
                <w:rFonts w:hint="eastAsia" w:eastAsia="仿宋" w:cs="Times New Roman"/>
                <w:color w:val="auto"/>
                <w:szCs w:val="21"/>
                <w:highlight w:val="none"/>
                <w:lang w:eastAsia="zh-CN"/>
              </w:rPr>
              <w:t>）</w:t>
            </w:r>
          </w:p>
        </w:tc>
        <w:tc>
          <w:tcPr>
            <w:tcW w:w="1055" w:type="dxa"/>
            <w:tcBorders>
              <w:top w:val="single" w:color="006600" w:sz="4" w:space="0"/>
              <w:left w:val="single" w:color="006600" w:sz="4" w:space="0"/>
              <w:bottom w:val="single" w:color="006600" w:sz="12" w:space="0"/>
              <w:right w:val="single" w:color="006600" w:sz="12" w:space="0"/>
            </w:tcBorders>
            <w:shd w:val="clear" w:color="auto" w:fill="D9D9D9"/>
            <w:vAlign w:val="center"/>
          </w:tcPr>
          <w:p>
            <w:pPr>
              <w:spacing w:line="300" w:lineRule="auto"/>
              <w:jc w:val="center"/>
              <w:rPr>
                <w:rFonts w:ascii="Times New Roman" w:hAnsi="Times New Roman" w:eastAsia="仿宋" w:cs="Times New Roman"/>
                <w:color w:val="auto"/>
                <w:szCs w:val="21"/>
                <w:highlight w:val="none"/>
              </w:rPr>
            </w:pPr>
            <w:r>
              <w:rPr>
                <w:rFonts w:ascii="Times New Roman" w:hAnsi="Times New Roman" w:eastAsia="仿宋" w:cs="Times New Roman"/>
                <w:color w:val="auto"/>
                <w:szCs w:val="21"/>
                <w:highlight w:val="none"/>
              </w:rPr>
              <w:t>≤30</w:t>
            </w:r>
          </w:p>
        </w:tc>
      </w:tr>
    </w:tbl>
    <w:p>
      <w:pPr>
        <w:spacing w:line="360" w:lineRule="auto"/>
        <w:ind w:firstLine="560" w:firstLineChars="200"/>
        <w:rPr>
          <w:rFonts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rPr>
        <w:t>每条河道单次考核</w:t>
      </w:r>
      <w:r>
        <w:rPr>
          <w:rFonts w:ascii="Times New Roman" w:hAnsi="Times New Roman" w:eastAsia="仿宋" w:cs="Times New Roman"/>
          <w:color w:val="auto"/>
          <w:sz w:val="28"/>
          <w:szCs w:val="28"/>
          <w:highlight w:val="none"/>
        </w:rPr>
        <w:t>得分值</w:t>
      </w:r>
      <w:r>
        <w:rPr>
          <w:rFonts w:hint="eastAsia" w:ascii="Times New Roman" w:hAnsi="Times New Roman" w:eastAsia="仿宋" w:cs="Times New Roman"/>
          <w:color w:val="auto"/>
          <w:sz w:val="28"/>
          <w:szCs w:val="28"/>
          <w:highlight w:val="none"/>
        </w:rPr>
        <w:t>为</w:t>
      </w:r>
      <w:r>
        <w:rPr>
          <w:rFonts w:ascii="Times New Roman" w:hAnsi="Times New Roman" w:eastAsia="仿宋" w:cs="Times New Roman"/>
          <w:color w:val="auto"/>
          <w:sz w:val="28"/>
          <w:szCs w:val="28"/>
          <w:highlight w:val="none"/>
        </w:rPr>
        <w:t>S</w:t>
      </w:r>
      <w:r>
        <w:rPr>
          <w:rFonts w:ascii="Times New Roman" w:hAnsi="Times New Roman" w:eastAsia="仿宋" w:cs="Times New Roman"/>
          <w:color w:val="auto"/>
          <w:sz w:val="28"/>
          <w:szCs w:val="28"/>
          <w:highlight w:val="none"/>
          <w:vertAlign w:val="subscript"/>
        </w:rPr>
        <w:t>m</w:t>
      </w:r>
      <w:r>
        <w:rPr>
          <w:rFonts w:hint="eastAsia" w:ascii="Times New Roman" w:hAnsi="Times New Roman" w:eastAsia="仿宋" w:cs="Times New Roman"/>
          <w:color w:val="auto"/>
          <w:sz w:val="28"/>
          <w:szCs w:val="28"/>
          <w:highlight w:val="none"/>
        </w:rPr>
        <w:t>，主评指标权重不同，</w:t>
      </w:r>
      <w:r>
        <w:rPr>
          <w:rFonts w:ascii="Times New Roman" w:hAnsi="Times New Roman" w:eastAsia="仿宋" w:cs="Times New Roman"/>
          <w:color w:val="auto"/>
          <w:sz w:val="28"/>
          <w:szCs w:val="28"/>
          <w:highlight w:val="none"/>
        </w:rPr>
        <w:t>计算公式如下：</w:t>
      </w:r>
    </w:p>
    <w:p>
      <w:pPr>
        <w:spacing w:before="62" w:beforeLines="20" w:line="360" w:lineRule="auto"/>
        <w:ind w:firstLine="562" w:firstLineChars="200"/>
        <w:rPr>
          <w:rFonts w:ascii="Times New Roman" w:hAnsi="Times New Roman" w:eastAsia="仿宋" w:cs="Times New Roman"/>
          <w:b/>
          <w:bCs/>
          <w:color w:val="auto"/>
          <w:sz w:val="28"/>
          <w:szCs w:val="28"/>
          <w:highlight w:val="none"/>
          <w:vertAlign w:val="subscript"/>
        </w:rPr>
      </w:pPr>
      <w:r>
        <w:rPr>
          <w:rFonts w:ascii="Times New Roman" w:hAnsi="Times New Roman" w:eastAsia="仿宋" w:cs="Times New Roman"/>
          <w:b/>
          <w:bCs/>
          <w:color w:val="auto"/>
          <w:sz w:val="28"/>
          <w:szCs w:val="28"/>
          <w:highlight w:val="none"/>
        </w:rPr>
        <w:t>S</w:t>
      </w:r>
      <w:r>
        <w:rPr>
          <w:rFonts w:ascii="Times New Roman" w:hAnsi="Times New Roman" w:eastAsia="仿宋" w:cs="Times New Roman"/>
          <w:b/>
          <w:bCs/>
          <w:color w:val="auto"/>
          <w:sz w:val="28"/>
          <w:szCs w:val="28"/>
          <w:highlight w:val="none"/>
          <w:vertAlign w:val="subscript"/>
        </w:rPr>
        <w:t>m</w:t>
      </w:r>
      <w:r>
        <w:rPr>
          <w:rFonts w:ascii="Times New Roman" w:hAnsi="Times New Roman" w:eastAsia="仿宋" w:cs="Times New Roman"/>
          <w:b/>
          <w:bCs/>
          <w:color w:val="auto"/>
          <w:sz w:val="28"/>
          <w:szCs w:val="28"/>
          <w:highlight w:val="none"/>
        </w:rPr>
        <w:t>=10% S</w:t>
      </w:r>
      <w:r>
        <w:rPr>
          <w:rFonts w:ascii="Times New Roman" w:hAnsi="Times New Roman" w:eastAsia="仿宋" w:cs="Times New Roman"/>
          <w:b/>
          <w:bCs/>
          <w:color w:val="auto"/>
          <w:sz w:val="28"/>
          <w:szCs w:val="28"/>
          <w:highlight w:val="none"/>
          <w:vertAlign w:val="subscript"/>
        </w:rPr>
        <w:t>DO</w:t>
      </w:r>
      <w:r>
        <w:rPr>
          <w:rFonts w:ascii="Times New Roman" w:hAnsi="Times New Roman" w:eastAsia="仿宋" w:cs="Times New Roman"/>
          <w:b/>
          <w:bCs/>
          <w:color w:val="auto"/>
          <w:sz w:val="28"/>
          <w:szCs w:val="28"/>
          <w:highlight w:val="none"/>
        </w:rPr>
        <w:t>+30% S</w:t>
      </w:r>
      <w:r>
        <w:rPr>
          <w:rFonts w:ascii="Times New Roman" w:hAnsi="Times New Roman" w:eastAsia="仿宋" w:cs="Times New Roman"/>
          <w:b/>
          <w:bCs/>
          <w:color w:val="auto"/>
          <w:sz w:val="28"/>
          <w:szCs w:val="28"/>
          <w:highlight w:val="none"/>
          <w:vertAlign w:val="subscript"/>
        </w:rPr>
        <w:t>NH3-N</w:t>
      </w:r>
      <w:r>
        <w:rPr>
          <w:rFonts w:ascii="Times New Roman" w:hAnsi="Times New Roman" w:eastAsia="仿宋" w:cs="Times New Roman"/>
          <w:b/>
          <w:bCs/>
          <w:color w:val="auto"/>
          <w:sz w:val="28"/>
          <w:szCs w:val="28"/>
          <w:highlight w:val="none"/>
        </w:rPr>
        <w:t>+10% S</w:t>
      </w:r>
      <w:r>
        <w:rPr>
          <w:rFonts w:ascii="Times New Roman" w:hAnsi="Times New Roman" w:eastAsia="仿宋" w:cs="Times New Roman"/>
          <w:b/>
          <w:bCs/>
          <w:color w:val="auto"/>
          <w:sz w:val="28"/>
          <w:szCs w:val="28"/>
          <w:highlight w:val="none"/>
          <w:vertAlign w:val="subscript"/>
        </w:rPr>
        <w:t>TP</w:t>
      </w:r>
      <w:r>
        <w:rPr>
          <w:rFonts w:ascii="Times New Roman" w:hAnsi="Times New Roman" w:eastAsia="仿宋" w:cs="Times New Roman"/>
          <w:b/>
          <w:bCs/>
          <w:color w:val="auto"/>
          <w:sz w:val="28"/>
          <w:szCs w:val="28"/>
          <w:highlight w:val="none"/>
        </w:rPr>
        <w:t>+30 % S</w:t>
      </w:r>
      <w:r>
        <w:rPr>
          <w:rFonts w:ascii="Times New Roman" w:hAnsi="Times New Roman" w:eastAsia="仿宋" w:cs="Times New Roman"/>
          <w:b/>
          <w:bCs/>
          <w:color w:val="auto"/>
          <w:sz w:val="28"/>
          <w:szCs w:val="28"/>
          <w:highlight w:val="none"/>
          <w:vertAlign w:val="subscript"/>
        </w:rPr>
        <w:t>透明度</w:t>
      </w:r>
      <w:r>
        <w:rPr>
          <w:rFonts w:ascii="Times New Roman" w:hAnsi="Times New Roman" w:eastAsia="仿宋" w:cs="Times New Roman"/>
          <w:b/>
          <w:bCs/>
          <w:color w:val="auto"/>
          <w:sz w:val="28"/>
          <w:szCs w:val="28"/>
          <w:highlight w:val="none"/>
        </w:rPr>
        <w:t>+20% S</w:t>
      </w:r>
      <w:r>
        <w:rPr>
          <w:rFonts w:ascii="Times New Roman" w:hAnsi="Times New Roman" w:eastAsia="仿宋" w:cs="Times New Roman"/>
          <w:b/>
          <w:bCs/>
          <w:color w:val="auto"/>
          <w:sz w:val="28"/>
          <w:szCs w:val="28"/>
          <w:highlight w:val="none"/>
          <w:vertAlign w:val="subscript"/>
        </w:rPr>
        <w:t>叶绿素a</w:t>
      </w:r>
    </w:p>
    <w:p>
      <w:pPr>
        <w:spacing w:before="62" w:beforeLines="20" w:after="62" w:afterLines="20" w:line="324" w:lineRule="auto"/>
        <w:jc w:val="left"/>
        <w:rPr>
          <w:rFonts w:ascii="Times New Roman" w:hAnsi="Times New Roman" w:eastAsia="仿宋" w:cs="Times New Roman"/>
          <w:b/>
          <w:color w:val="auto"/>
          <w:sz w:val="28"/>
          <w:szCs w:val="28"/>
          <w:highlight w:val="none"/>
        </w:rPr>
      </w:pPr>
      <w:r>
        <w:rPr>
          <w:rFonts w:hint="eastAsia" w:ascii="Times New Roman" w:hAnsi="Times New Roman" w:eastAsia="仿宋" w:cs="Times New Roman"/>
          <w:b/>
          <w:color w:val="auto"/>
          <w:sz w:val="28"/>
          <w:szCs w:val="28"/>
          <w:highlight w:val="none"/>
        </w:rPr>
        <w:t>二、日常管理考核办法</w:t>
      </w:r>
    </w:p>
    <w:p>
      <w:pPr>
        <w:spacing w:before="62" w:beforeLines="20" w:after="62" w:afterLines="20" w:line="360" w:lineRule="auto"/>
        <w:jc w:val="left"/>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 xml:space="preserve">    </w:t>
      </w:r>
      <w:r>
        <w:rPr>
          <w:rFonts w:ascii="Times New Roman" w:hAnsi="Times New Roman" w:eastAsia="仿宋" w:cs="Times New Roman"/>
          <w:color w:val="auto"/>
          <w:sz w:val="28"/>
          <w:szCs w:val="28"/>
          <w:highlight w:val="none"/>
        </w:rPr>
        <w:t>日常管理考核办法具体细则见表5和表6。</w:t>
      </w:r>
    </w:p>
    <w:p>
      <w:pPr>
        <w:spacing w:line="360" w:lineRule="auto"/>
        <w:ind w:firstLine="562" w:firstLineChars="200"/>
        <w:rPr>
          <w:rFonts w:ascii="Times New Roman" w:hAnsi="Times New Roman" w:eastAsia="仿宋" w:cs="Times New Roman"/>
          <w:b/>
          <w:color w:val="auto"/>
          <w:sz w:val="28"/>
          <w:szCs w:val="28"/>
          <w:highlight w:val="none"/>
        </w:rPr>
      </w:pPr>
      <w:r>
        <w:rPr>
          <w:rFonts w:hint="eastAsia" w:ascii="Times New Roman" w:hAnsi="Times New Roman" w:eastAsia="仿宋" w:cs="Times New Roman"/>
          <w:b/>
          <w:color w:val="auto"/>
          <w:sz w:val="28"/>
          <w:szCs w:val="28"/>
          <w:highlight w:val="none"/>
        </w:rPr>
        <w:t xml:space="preserve">2.1 </w:t>
      </w:r>
      <w:r>
        <w:rPr>
          <w:rFonts w:ascii="Times New Roman" w:hAnsi="Times New Roman" w:eastAsia="仿宋" w:cs="Times New Roman"/>
          <w:b/>
          <w:color w:val="auto"/>
          <w:sz w:val="28"/>
          <w:szCs w:val="28"/>
          <w:highlight w:val="none"/>
        </w:rPr>
        <w:t>分值评价管理</w:t>
      </w:r>
    </w:p>
    <w:p>
      <w:pPr>
        <w:spacing w:line="360" w:lineRule="auto"/>
        <w:ind w:firstLine="562" w:firstLineChars="200"/>
        <w:jc w:val="cente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表5 日常管理</w:t>
      </w:r>
      <w:r>
        <w:rPr>
          <w:rFonts w:hint="eastAsia" w:ascii="Times New Roman" w:hAnsi="Times New Roman" w:eastAsia="仿宋" w:cs="Times New Roman"/>
          <w:b/>
          <w:color w:val="auto"/>
          <w:sz w:val="28"/>
          <w:szCs w:val="28"/>
          <w:highlight w:val="none"/>
        </w:rPr>
        <w:t>规范</w:t>
      </w:r>
      <w:r>
        <w:rPr>
          <w:rFonts w:ascii="Times New Roman" w:hAnsi="Times New Roman" w:eastAsia="仿宋" w:cs="Times New Roman"/>
          <w:b/>
          <w:color w:val="auto"/>
          <w:sz w:val="28"/>
          <w:szCs w:val="28"/>
          <w:highlight w:val="none"/>
        </w:rPr>
        <w:t>和扣分</w:t>
      </w:r>
      <w:r>
        <w:rPr>
          <w:rFonts w:hint="eastAsia" w:ascii="Times New Roman" w:hAnsi="Times New Roman" w:eastAsia="仿宋" w:cs="Times New Roman"/>
          <w:b/>
          <w:color w:val="auto"/>
          <w:sz w:val="28"/>
          <w:szCs w:val="28"/>
          <w:highlight w:val="none"/>
        </w:rPr>
        <w:t>细则</w:t>
      </w:r>
    </w:p>
    <w:tbl>
      <w:tblPr>
        <w:tblStyle w:val="23"/>
        <w:tblW w:w="95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5113"/>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98" w:type="dxa"/>
            <w:vAlign w:val="center"/>
          </w:tcPr>
          <w:p>
            <w:pPr>
              <w:spacing w:line="360" w:lineRule="auto"/>
              <w:jc w:val="center"/>
              <w:rPr>
                <w:rFonts w:ascii="Times New Roman" w:hAnsi="Times New Roman" w:eastAsia="仿宋" w:cs="Times New Roman"/>
                <w:b/>
                <w:color w:val="auto"/>
                <w:sz w:val="24"/>
                <w:highlight w:val="none"/>
              </w:rPr>
            </w:pPr>
            <w:r>
              <w:rPr>
                <w:rFonts w:ascii="Times New Roman" w:hAnsi="Times New Roman" w:eastAsia="仿宋" w:cs="Times New Roman"/>
                <w:b/>
                <w:color w:val="auto"/>
                <w:sz w:val="24"/>
                <w:highlight w:val="none"/>
              </w:rPr>
              <w:t>管理内容</w:t>
            </w:r>
          </w:p>
        </w:tc>
        <w:tc>
          <w:tcPr>
            <w:tcW w:w="5113" w:type="dxa"/>
          </w:tcPr>
          <w:p>
            <w:pPr>
              <w:spacing w:line="360" w:lineRule="auto"/>
              <w:jc w:val="center"/>
              <w:rPr>
                <w:rFonts w:ascii="Times New Roman" w:hAnsi="Times New Roman" w:eastAsia="仿宋" w:cs="Times New Roman"/>
                <w:b/>
                <w:color w:val="auto"/>
                <w:sz w:val="24"/>
                <w:highlight w:val="none"/>
              </w:rPr>
            </w:pPr>
            <w:r>
              <w:rPr>
                <w:rFonts w:hint="eastAsia" w:ascii="Times New Roman" w:hAnsi="Times New Roman" w:eastAsia="仿宋" w:cs="Times New Roman"/>
                <w:b/>
                <w:color w:val="auto"/>
                <w:sz w:val="24"/>
                <w:highlight w:val="none"/>
              </w:rPr>
              <w:t>日常</w:t>
            </w:r>
            <w:r>
              <w:rPr>
                <w:rFonts w:ascii="Times New Roman" w:hAnsi="Times New Roman" w:eastAsia="仿宋" w:cs="Times New Roman"/>
                <w:b/>
                <w:color w:val="auto"/>
                <w:sz w:val="24"/>
                <w:highlight w:val="none"/>
              </w:rPr>
              <w:t>管理</w:t>
            </w:r>
            <w:r>
              <w:rPr>
                <w:rFonts w:hint="eastAsia" w:ascii="Times New Roman" w:hAnsi="Times New Roman" w:eastAsia="仿宋" w:cs="Times New Roman"/>
                <w:b/>
                <w:color w:val="auto"/>
                <w:sz w:val="24"/>
                <w:highlight w:val="none"/>
              </w:rPr>
              <w:t>规范</w:t>
            </w:r>
          </w:p>
        </w:tc>
        <w:tc>
          <w:tcPr>
            <w:tcW w:w="3263" w:type="dxa"/>
          </w:tcPr>
          <w:p>
            <w:pPr>
              <w:spacing w:line="360" w:lineRule="auto"/>
              <w:jc w:val="center"/>
              <w:rPr>
                <w:rFonts w:ascii="Times New Roman" w:hAnsi="Times New Roman" w:eastAsia="仿宋" w:cs="Times New Roman"/>
                <w:b/>
                <w:color w:val="auto"/>
                <w:sz w:val="24"/>
                <w:highlight w:val="none"/>
              </w:rPr>
            </w:pPr>
            <w:r>
              <w:rPr>
                <w:rFonts w:ascii="Times New Roman" w:hAnsi="Times New Roman" w:eastAsia="仿宋" w:cs="Times New Roman"/>
                <w:b/>
                <w:color w:val="auto"/>
                <w:sz w:val="24"/>
                <w:highlight w:val="none"/>
              </w:rPr>
              <w:t>扣分</w:t>
            </w:r>
            <w:r>
              <w:rPr>
                <w:rFonts w:hint="eastAsia" w:ascii="Times New Roman" w:hAnsi="Times New Roman" w:eastAsia="仿宋" w:cs="Times New Roman"/>
                <w:b/>
                <w:color w:val="auto"/>
                <w:sz w:val="24"/>
                <w:highlight w:val="none"/>
              </w:rPr>
              <w:t>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98" w:type="dxa"/>
            <w:vMerge w:val="restart"/>
            <w:vAlign w:val="center"/>
          </w:tcPr>
          <w:p>
            <w:pPr>
              <w:spacing w:line="300" w:lineRule="auto"/>
              <w:jc w:val="center"/>
              <w:rPr>
                <w:rFonts w:ascii="Times New Roman" w:hAnsi="Times New Roman" w:eastAsia="仿宋" w:cs="Times New Roman"/>
                <w:b/>
                <w:color w:val="auto"/>
                <w:sz w:val="24"/>
                <w:highlight w:val="none"/>
              </w:rPr>
            </w:pPr>
            <w:r>
              <w:rPr>
                <w:rFonts w:ascii="Times New Roman" w:hAnsi="Times New Roman" w:eastAsia="仿宋" w:cs="Times New Roman"/>
                <w:b/>
                <w:color w:val="auto"/>
                <w:sz w:val="24"/>
                <w:highlight w:val="none"/>
              </w:rPr>
              <w:t>养护设施</w:t>
            </w:r>
          </w:p>
        </w:tc>
        <w:tc>
          <w:tcPr>
            <w:tcW w:w="5113" w:type="dxa"/>
          </w:tcPr>
          <w:p>
            <w:pPr>
              <w:numPr>
                <w:ilvl w:val="0"/>
                <w:numId w:val="2"/>
              </w:num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增氧与推流设备、一体化净化设备</w:t>
            </w:r>
            <w:r>
              <w:rPr>
                <w:rFonts w:hint="eastAsia" w:ascii="Times New Roman" w:hAnsi="Times New Roman" w:eastAsia="仿宋" w:cs="Times New Roman"/>
                <w:color w:val="auto"/>
                <w:sz w:val="24"/>
                <w:highlight w:val="none"/>
              </w:rPr>
              <w:t>及</w:t>
            </w:r>
            <w:r>
              <w:rPr>
                <w:rFonts w:ascii="Times New Roman" w:hAnsi="Times New Roman" w:eastAsia="仿宋" w:cs="Times New Roman"/>
                <w:color w:val="auto"/>
                <w:sz w:val="24"/>
                <w:highlight w:val="none"/>
              </w:rPr>
              <w:t>生物净化系统等水质养护设施</w:t>
            </w:r>
            <w:r>
              <w:rPr>
                <w:rFonts w:hint="eastAsia" w:eastAsia="仿宋" w:cs="Times New Roman"/>
                <w:color w:val="auto"/>
                <w:sz w:val="24"/>
                <w:highlight w:val="none"/>
                <w:lang w:val="en-US" w:eastAsia="zh-CN"/>
              </w:rPr>
              <w:t>日均</w:t>
            </w:r>
            <w:r>
              <w:rPr>
                <w:rFonts w:ascii="Times New Roman" w:hAnsi="Times New Roman" w:eastAsia="仿宋" w:cs="Times New Roman"/>
                <w:color w:val="auto"/>
                <w:sz w:val="24"/>
                <w:highlight w:val="none"/>
              </w:rPr>
              <w:t>开启时间不少于10小时，具体开启时段以养护单位投标文件为准</w:t>
            </w:r>
            <w:r>
              <w:rPr>
                <w:rFonts w:hint="eastAsia" w:ascii="Times New Roman" w:hAnsi="Times New Roman" w:eastAsia="仿宋" w:cs="Times New Roman"/>
                <w:color w:val="auto"/>
                <w:sz w:val="24"/>
                <w:highlight w:val="none"/>
              </w:rPr>
              <w:t>。</w:t>
            </w:r>
          </w:p>
        </w:tc>
        <w:tc>
          <w:tcPr>
            <w:tcW w:w="3263"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未按规定时间开启、</w:t>
            </w:r>
            <w:r>
              <w:rPr>
                <w:rFonts w:hint="eastAsia" w:ascii="Times New Roman" w:hAnsi="Times New Roman" w:eastAsia="仿宋" w:cs="Times New Roman"/>
                <w:color w:val="auto"/>
                <w:sz w:val="24"/>
                <w:highlight w:val="none"/>
              </w:rPr>
              <w:t>发生</w:t>
            </w:r>
            <w:r>
              <w:rPr>
                <w:rFonts w:ascii="Times New Roman" w:hAnsi="Times New Roman" w:eastAsia="仿宋" w:cs="Times New Roman"/>
                <w:color w:val="auto"/>
                <w:sz w:val="24"/>
                <w:highlight w:val="none"/>
              </w:rPr>
              <w:t>故障未及时上报或未在3小时内修复的情况，扣1分/次</w:t>
            </w:r>
            <w:r>
              <w:rPr>
                <w:rFonts w:hint="eastAsia" w:ascii="Times New Roman" w:hAnsi="Times New Roman" w:eastAsia="仿宋" w:cs="Times New Roman"/>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1198"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5113" w:type="dxa"/>
          </w:tcPr>
          <w:p>
            <w:pPr>
              <w:numPr>
                <w:ilvl w:val="0"/>
                <w:numId w:val="3"/>
              </w:num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一体化净化设备出水口必须在设备房外留有检查口，并在检查口所在管道上安装电表及流量计</w:t>
            </w:r>
            <w:r>
              <w:rPr>
                <w:rFonts w:hint="eastAsia" w:ascii="Times New Roman" w:hAnsi="Times New Roman" w:eastAsia="仿宋" w:cs="Times New Roman"/>
                <w:color w:val="auto"/>
                <w:sz w:val="24"/>
                <w:highlight w:val="none"/>
              </w:rPr>
              <w:t>等计量设备</w:t>
            </w:r>
            <w:r>
              <w:rPr>
                <w:rFonts w:ascii="Times New Roman" w:hAnsi="Times New Roman" w:eastAsia="仿宋" w:cs="Times New Roman"/>
                <w:color w:val="auto"/>
                <w:sz w:val="24"/>
                <w:highlight w:val="none"/>
              </w:rPr>
              <w:t>。</w:t>
            </w:r>
          </w:p>
        </w:tc>
        <w:tc>
          <w:tcPr>
            <w:tcW w:w="3263"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未按要求安装</w:t>
            </w:r>
            <w:r>
              <w:rPr>
                <w:rFonts w:hint="eastAsia" w:ascii="Times New Roman" w:hAnsi="Times New Roman" w:eastAsia="仿宋" w:cs="Times New Roman"/>
                <w:color w:val="auto"/>
                <w:sz w:val="24"/>
                <w:highlight w:val="none"/>
              </w:rPr>
              <w:t>计量设备</w:t>
            </w:r>
            <w:r>
              <w:rPr>
                <w:rFonts w:ascii="Times New Roman" w:hAnsi="Times New Roman" w:eastAsia="仿宋" w:cs="Times New Roman"/>
                <w:color w:val="auto"/>
                <w:sz w:val="24"/>
                <w:highlight w:val="none"/>
              </w:rPr>
              <w:t>的，扣2分/次</w:t>
            </w:r>
            <w:r>
              <w:rPr>
                <w:rFonts w:hint="eastAsia" w:ascii="Times New Roman" w:hAnsi="Times New Roman" w:eastAsia="仿宋" w:cs="Times New Roman"/>
                <w:color w:val="auto"/>
                <w:sz w:val="24"/>
                <w:highlight w:val="none"/>
              </w:rPr>
              <w:t>；</w:t>
            </w:r>
            <w:r>
              <w:rPr>
                <w:rFonts w:ascii="Times New Roman" w:hAnsi="Times New Roman" w:eastAsia="仿宋" w:cs="Times New Roman"/>
                <w:color w:val="auto"/>
                <w:sz w:val="24"/>
                <w:highlight w:val="none"/>
              </w:rPr>
              <w:t>未正常使用</w:t>
            </w:r>
            <w:r>
              <w:rPr>
                <w:rFonts w:hint="eastAsia" w:ascii="Times New Roman" w:hAnsi="Times New Roman" w:eastAsia="仿宋" w:cs="Times New Roman"/>
                <w:color w:val="auto"/>
                <w:sz w:val="24"/>
                <w:highlight w:val="none"/>
              </w:rPr>
              <w:t>计量设备</w:t>
            </w:r>
            <w:r>
              <w:rPr>
                <w:rFonts w:ascii="Times New Roman" w:hAnsi="Times New Roman" w:eastAsia="仿宋" w:cs="Times New Roman"/>
                <w:color w:val="auto"/>
                <w:sz w:val="24"/>
                <w:highlight w:val="none"/>
              </w:rPr>
              <w:t>的</w:t>
            </w:r>
            <w:r>
              <w:rPr>
                <w:rFonts w:hint="eastAsia" w:ascii="Times New Roman" w:hAnsi="Times New Roman" w:eastAsia="仿宋" w:cs="Times New Roman"/>
                <w:color w:val="auto"/>
                <w:sz w:val="24"/>
                <w:highlight w:val="none"/>
              </w:rPr>
              <w:t>，</w:t>
            </w:r>
            <w:r>
              <w:rPr>
                <w:rFonts w:ascii="Times New Roman" w:hAnsi="Times New Roman" w:eastAsia="仿宋" w:cs="Times New Roman"/>
                <w:color w:val="auto"/>
                <w:sz w:val="24"/>
                <w:highlight w:val="none"/>
              </w:rPr>
              <w:t>扣</w:t>
            </w:r>
            <w:r>
              <w:rPr>
                <w:rFonts w:hint="eastAsia" w:ascii="Times New Roman" w:hAnsi="Times New Roman" w:eastAsia="仿宋" w:cs="Times New Roman"/>
                <w:color w:val="auto"/>
                <w:sz w:val="24"/>
                <w:highlight w:val="none"/>
              </w:rPr>
              <w:t>1-5分/次。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198"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5113" w:type="dxa"/>
          </w:tcPr>
          <w:p>
            <w:pPr>
              <w:numPr>
                <w:ilvl w:val="0"/>
                <w:numId w:val="3"/>
              </w:num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生物净化系统需要在进水口安装流量计，并在系统处理末端留有可以</w:t>
            </w:r>
            <w:r>
              <w:rPr>
                <w:rFonts w:hint="eastAsia" w:ascii="Times New Roman" w:hAnsi="Times New Roman" w:eastAsia="仿宋" w:cs="Times New Roman"/>
                <w:color w:val="auto"/>
                <w:sz w:val="24"/>
                <w:highlight w:val="none"/>
              </w:rPr>
              <w:t>采集水样</w:t>
            </w:r>
            <w:r>
              <w:rPr>
                <w:rFonts w:ascii="Times New Roman" w:hAnsi="Times New Roman" w:eastAsia="仿宋" w:cs="Times New Roman"/>
                <w:color w:val="auto"/>
                <w:sz w:val="24"/>
                <w:highlight w:val="none"/>
              </w:rPr>
              <w:t>的出口。</w:t>
            </w:r>
          </w:p>
        </w:tc>
        <w:tc>
          <w:tcPr>
            <w:tcW w:w="3263"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未按要求安装流量计</w:t>
            </w:r>
            <w:r>
              <w:rPr>
                <w:rFonts w:hint="eastAsia" w:ascii="Times New Roman" w:hAnsi="Times New Roman" w:eastAsia="仿宋" w:cs="Times New Roman"/>
                <w:color w:val="auto"/>
                <w:sz w:val="24"/>
                <w:highlight w:val="none"/>
              </w:rPr>
              <w:t>和采集口的</w:t>
            </w:r>
            <w:r>
              <w:rPr>
                <w:rFonts w:ascii="Times New Roman" w:hAnsi="Times New Roman" w:eastAsia="仿宋" w:cs="Times New Roman"/>
                <w:color w:val="auto"/>
                <w:sz w:val="24"/>
                <w:highlight w:val="none"/>
              </w:rPr>
              <w:t>，扣2分/次</w:t>
            </w:r>
            <w:r>
              <w:rPr>
                <w:rFonts w:hint="eastAsia" w:ascii="Times New Roman" w:hAnsi="Times New Roman" w:eastAsia="仿宋" w:cs="Times New Roman"/>
                <w:color w:val="auto"/>
                <w:sz w:val="24"/>
                <w:highlight w:val="none"/>
              </w:rPr>
              <w:t>；</w:t>
            </w:r>
            <w:r>
              <w:rPr>
                <w:rFonts w:ascii="Times New Roman" w:hAnsi="Times New Roman" w:eastAsia="仿宋" w:cs="Times New Roman"/>
                <w:color w:val="auto"/>
                <w:sz w:val="24"/>
                <w:highlight w:val="none"/>
              </w:rPr>
              <w:t>未正常使用流量计的</w:t>
            </w:r>
            <w:r>
              <w:rPr>
                <w:rFonts w:hint="eastAsia" w:ascii="Times New Roman" w:hAnsi="Times New Roman" w:eastAsia="仿宋" w:cs="Times New Roman"/>
                <w:color w:val="auto"/>
                <w:sz w:val="24"/>
                <w:highlight w:val="none"/>
              </w:rPr>
              <w:t>，</w:t>
            </w:r>
            <w:r>
              <w:rPr>
                <w:rFonts w:ascii="Times New Roman" w:hAnsi="Times New Roman" w:eastAsia="仿宋" w:cs="Times New Roman"/>
                <w:color w:val="auto"/>
                <w:sz w:val="24"/>
                <w:highlight w:val="none"/>
              </w:rPr>
              <w:t>扣</w:t>
            </w:r>
            <w:r>
              <w:rPr>
                <w:rFonts w:hint="eastAsia" w:ascii="Times New Roman" w:hAnsi="Times New Roman" w:eastAsia="仿宋" w:cs="Times New Roman"/>
                <w:color w:val="auto"/>
                <w:sz w:val="24"/>
                <w:highlight w:val="none"/>
              </w:rPr>
              <w:t>1-5分/次。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198"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5113" w:type="dxa"/>
          </w:tcPr>
          <w:p>
            <w:pPr>
              <w:numPr>
                <w:ilvl w:val="0"/>
                <w:numId w:val="3"/>
              </w:numPr>
              <w:spacing w:line="300" w:lineRule="auto"/>
              <w:rPr>
                <w:rFonts w:ascii="Times New Roman" w:hAnsi="Times New Roman" w:eastAsia="仿宋" w:cs="Times New Roman"/>
                <w:color w:val="auto"/>
                <w:sz w:val="24"/>
                <w:highlight w:val="none"/>
              </w:rPr>
            </w:pPr>
            <w:r>
              <w:rPr>
                <w:rFonts w:hint="eastAsia" w:ascii="Times New Roman" w:hAnsi="Times New Roman" w:eastAsia="仿宋" w:cs="Times New Roman"/>
                <w:b/>
                <w:bCs/>
                <w:color w:val="auto"/>
                <w:sz w:val="24"/>
                <w:highlight w:val="none"/>
              </w:rPr>
              <w:t>养护单位安装的</w:t>
            </w:r>
            <w:r>
              <w:rPr>
                <w:rFonts w:ascii="Times New Roman" w:hAnsi="Times New Roman" w:eastAsia="仿宋" w:cs="Times New Roman"/>
                <w:b/>
                <w:bCs/>
                <w:color w:val="auto"/>
                <w:sz w:val="24"/>
                <w:highlight w:val="none"/>
              </w:rPr>
              <w:t>其他</w:t>
            </w:r>
            <w:r>
              <w:rPr>
                <w:rFonts w:hint="eastAsia" w:ascii="Times New Roman" w:hAnsi="Times New Roman" w:eastAsia="仿宋" w:cs="Times New Roman"/>
                <w:b/>
                <w:bCs/>
                <w:color w:val="auto"/>
                <w:sz w:val="24"/>
                <w:highlight w:val="none"/>
              </w:rPr>
              <w:t>水质养护</w:t>
            </w:r>
            <w:r>
              <w:rPr>
                <w:rFonts w:ascii="Times New Roman" w:hAnsi="Times New Roman" w:eastAsia="仿宋" w:cs="Times New Roman"/>
                <w:b/>
                <w:bCs/>
                <w:color w:val="auto"/>
                <w:sz w:val="24"/>
                <w:highlight w:val="none"/>
              </w:rPr>
              <w:t>设施</w:t>
            </w:r>
            <w:r>
              <w:rPr>
                <w:rFonts w:hint="eastAsia" w:ascii="Times New Roman" w:hAnsi="Times New Roman" w:eastAsia="仿宋" w:cs="Times New Roman"/>
                <w:b/>
                <w:bCs/>
                <w:color w:val="auto"/>
                <w:sz w:val="24"/>
                <w:highlight w:val="none"/>
              </w:rPr>
              <w:t xml:space="preserve">。 </w:t>
            </w:r>
          </w:p>
        </w:tc>
        <w:tc>
          <w:tcPr>
            <w:tcW w:w="3263"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未正常开启使用</w:t>
            </w:r>
            <w:r>
              <w:rPr>
                <w:rFonts w:hint="eastAsia" w:ascii="Times New Roman" w:hAnsi="Times New Roman" w:eastAsia="仿宋" w:cs="Times New Roman"/>
                <w:color w:val="auto"/>
                <w:sz w:val="24"/>
                <w:highlight w:val="none"/>
              </w:rPr>
              <w:t>及养护</w:t>
            </w:r>
            <w:r>
              <w:rPr>
                <w:rFonts w:ascii="Times New Roman" w:hAnsi="Times New Roman" w:eastAsia="仿宋" w:cs="Times New Roman"/>
                <w:color w:val="auto"/>
                <w:sz w:val="24"/>
                <w:highlight w:val="none"/>
              </w:rPr>
              <w:t>的</w:t>
            </w:r>
            <w:r>
              <w:rPr>
                <w:rFonts w:hint="eastAsia" w:ascii="Times New Roman" w:hAnsi="Times New Roman" w:eastAsia="仿宋" w:cs="Times New Roman"/>
                <w:color w:val="auto"/>
                <w:sz w:val="24"/>
                <w:highlight w:val="none"/>
              </w:rPr>
              <w:t>，</w:t>
            </w:r>
            <w:r>
              <w:rPr>
                <w:rFonts w:ascii="Times New Roman" w:hAnsi="Times New Roman" w:eastAsia="仿宋" w:cs="Times New Roman"/>
                <w:color w:val="auto"/>
                <w:sz w:val="24"/>
                <w:highlight w:val="none"/>
              </w:rPr>
              <w:t>扣</w:t>
            </w:r>
            <w:r>
              <w:rPr>
                <w:rFonts w:hint="eastAsia" w:ascii="Times New Roman" w:hAnsi="Times New Roman" w:eastAsia="仿宋" w:cs="Times New Roman"/>
                <w:color w:val="auto"/>
                <w:sz w:val="24"/>
                <w:highlight w:val="none"/>
              </w:rPr>
              <w:t>1-5分/次。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198"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5113" w:type="dxa"/>
          </w:tcPr>
          <w:p>
            <w:pPr>
              <w:numPr>
                <w:ilvl w:val="0"/>
                <w:numId w:val="3"/>
              </w:numPr>
              <w:spacing w:line="300" w:lineRule="auto"/>
              <w:rPr>
                <w:rFonts w:ascii="Times New Roman" w:hAnsi="Times New Roman" w:eastAsia="仿宋" w:cs="Times New Roman"/>
                <w:b/>
                <w:bCs/>
                <w:color w:val="auto"/>
                <w:sz w:val="24"/>
                <w:highlight w:val="none"/>
              </w:rPr>
            </w:pPr>
            <w:r>
              <w:rPr>
                <w:rFonts w:ascii="Times New Roman" w:hAnsi="Times New Roman" w:eastAsia="仿宋" w:cs="Times New Roman"/>
                <w:color w:val="auto"/>
                <w:sz w:val="24"/>
                <w:highlight w:val="none"/>
              </w:rPr>
              <w:t>水质养护</w:t>
            </w:r>
            <w:r>
              <w:rPr>
                <w:rFonts w:hint="eastAsia" w:ascii="Times New Roman" w:hAnsi="Times New Roman" w:eastAsia="仿宋" w:cs="Times New Roman"/>
                <w:color w:val="auto"/>
                <w:sz w:val="24"/>
                <w:highlight w:val="none"/>
              </w:rPr>
              <w:t>设备不得噪音扰民，原则上</w:t>
            </w:r>
            <w:r>
              <w:rPr>
                <w:rFonts w:ascii="Times New Roman" w:hAnsi="Times New Roman" w:eastAsia="仿宋" w:cs="Times New Roman"/>
                <w:color w:val="auto"/>
                <w:sz w:val="24"/>
                <w:highlight w:val="none"/>
              </w:rPr>
              <w:t>在</w:t>
            </w:r>
            <w:r>
              <w:rPr>
                <w:rFonts w:hint="eastAsia" w:ascii="Times New Roman" w:hAnsi="Times New Roman" w:eastAsia="仿宋" w:cs="Times New Roman"/>
                <w:color w:val="auto"/>
                <w:sz w:val="24"/>
                <w:highlight w:val="none"/>
              </w:rPr>
              <w:t>距离设备5m处噪声值应不超过55分贝。</w:t>
            </w:r>
          </w:p>
        </w:tc>
        <w:tc>
          <w:tcPr>
            <w:tcW w:w="3263" w:type="dxa"/>
          </w:tcPr>
          <w:p>
            <w:pPr>
              <w:spacing w:line="300" w:lineRule="auto"/>
              <w:rPr>
                <w:rFonts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出现噪音扰民扣1分/次，未及时整改的扣2分/次。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98" w:type="dxa"/>
            <w:vMerge w:val="restart"/>
            <w:vAlign w:val="center"/>
          </w:tcPr>
          <w:p>
            <w:pPr>
              <w:spacing w:line="300" w:lineRule="auto"/>
              <w:jc w:val="center"/>
              <w:rPr>
                <w:rFonts w:ascii="Times New Roman" w:hAnsi="Times New Roman" w:eastAsia="仿宋" w:cs="Times New Roman"/>
                <w:b/>
                <w:color w:val="auto"/>
                <w:sz w:val="24"/>
                <w:highlight w:val="none"/>
              </w:rPr>
            </w:pPr>
            <w:r>
              <w:rPr>
                <w:rFonts w:ascii="Times New Roman" w:hAnsi="Times New Roman" w:eastAsia="仿宋" w:cs="Times New Roman"/>
                <w:b/>
                <w:color w:val="auto"/>
                <w:sz w:val="24"/>
                <w:highlight w:val="none"/>
              </w:rPr>
              <w:t>水生植物</w:t>
            </w:r>
          </w:p>
        </w:tc>
        <w:tc>
          <w:tcPr>
            <w:tcW w:w="5113"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1、</w:t>
            </w:r>
            <w:r>
              <w:rPr>
                <w:rFonts w:hint="eastAsia" w:ascii="Times New Roman" w:hAnsi="Times New Roman" w:eastAsia="仿宋" w:cs="Times New Roman"/>
                <w:color w:val="auto"/>
                <w:sz w:val="24"/>
                <w:highlight w:val="none"/>
              </w:rPr>
              <w:t>养护河段内的</w:t>
            </w:r>
            <w:r>
              <w:rPr>
                <w:rFonts w:ascii="Times New Roman" w:hAnsi="Times New Roman" w:eastAsia="仿宋" w:cs="Times New Roman"/>
                <w:color w:val="auto"/>
                <w:sz w:val="24"/>
                <w:highlight w:val="none"/>
              </w:rPr>
              <w:t>水生植物需要及时维护，做到及时修剪和收割。</w:t>
            </w:r>
          </w:p>
        </w:tc>
        <w:tc>
          <w:tcPr>
            <w:tcW w:w="3263" w:type="dxa"/>
          </w:tcPr>
          <w:p>
            <w:pPr>
              <w:spacing w:line="300" w:lineRule="auto"/>
              <w:rPr>
                <w:rFonts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发生</w:t>
            </w:r>
            <w:r>
              <w:rPr>
                <w:rFonts w:ascii="Times New Roman" w:hAnsi="Times New Roman" w:eastAsia="仿宋" w:cs="Times New Roman"/>
                <w:color w:val="auto"/>
                <w:sz w:val="24"/>
                <w:highlight w:val="none"/>
              </w:rPr>
              <w:t>未及时维护的情况，扣1分/次。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98"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5113"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2、水生植物修剪后需及时清理，禁止乱扔乱倒。</w:t>
            </w:r>
          </w:p>
        </w:tc>
        <w:tc>
          <w:tcPr>
            <w:tcW w:w="3263"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发生未及时清理的情况，扣1分/次。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98"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5113" w:type="dxa"/>
          </w:tcPr>
          <w:p>
            <w:pPr>
              <w:spacing w:line="300" w:lineRule="auto"/>
              <w:rPr>
                <w:rFonts w:ascii="Times New Roman" w:hAnsi="Times New Roman" w:eastAsia="仿宋" w:cs="Times New Roman"/>
                <w:color w:val="auto"/>
                <w:sz w:val="24"/>
                <w:highlight w:val="none"/>
              </w:rPr>
            </w:pPr>
            <w:r>
              <w:rPr>
                <w:rFonts w:hint="eastAsia" w:ascii="Times New Roman" w:hAnsi="Times New Roman" w:eastAsia="仿宋" w:cs="Times New Roman"/>
                <w:bCs/>
                <w:color w:val="auto"/>
                <w:sz w:val="24"/>
                <w:highlight w:val="none"/>
              </w:rPr>
              <w:t>3、</w:t>
            </w:r>
            <w:r>
              <w:rPr>
                <w:rFonts w:hint="eastAsia" w:ascii="Times New Roman" w:hAnsi="Times New Roman" w:eastAsia="仿宋" w:cs="Times New Roman"/>
                <w:b/>
                <w:bCs/>
                <w:color w:val="auto"/>
                <w:sz w:val="24"/>
                <w:highlight w:val="none"/>
              </w:rPr>
              <w:t>其它：高效完成</w:t>
            </w:r>
            <w:r>
              <w:rPr>
                <w:rFonts w:hint="eastAsia" w:eastAsia="仿宋" w:cs="Times New Roman"/>
                <w:b/>
                <w:bCs/>
                <w:color w:val="auto"/>
                <w:sz w:val="24"/>
                <w:highlight w:val="none"/>
                <w:lang w:eastAsia="zh-CN"/>
              </w:rPr>
              <w:t>采购单位</w:t>
            </w:r>
            <w:r>
              <w:rPr>
                <w:rFonts w:hint="eastAsia" w:ascii="Times New Roman" w:hAnsi="Times New Roman" w:eastAsia="仿宋" w:cs="Times New Roman"/>
                <w:b/>
                <w:bCs/>
                <w:color w:val="auto"/>
                <w:sz w:val="24"/>
                <w:highlight w:val="none"/>
              </w:rPr>
              <w:t>指定的水生植物</w:t>
            </w:r>
            <w:r>
              <w:rPr>
                <w:rFonts w:ascii="Times New Roman" w:hAnsi="Times New Roman" w:eastAsia="仿宋" w:cs="Times New Roman"/>
                <w:b/>
                <w:bCs/>
                <w:color w:val="auto"/>
                <w:sz w:val="24"/>
                <w:highlight w:val="none"/>
              </w:rPr>
              <w:t>养护</w:t>
            </w:r>
            <w:r>
              <w:rPr>
                <w:rFonts w:hint="eastAsia" w:ascii="Times New Roman" w:hAnsi="Times New Roman" w:eastAsia="仿宋" w:cs="Times New Roman"/>
                <w:b/>
                <w:bCs/>
                <w:color w:val="auto"/>
                <w:sz w:val="24"/>
                <w:highlight w:val="none"/>
              </w:rPr>
              <w:t>任务。</w:t>
            </w:r>
          </w:p>
        </w:tc>
        <w:tc>
          <w:tcPr>
            <w:tcW w:w="3263"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b/>
                <w:bCs/>
                <w:color w:val="auto"/>
                <w:sz w:val="24"/>
                <w:highlight w:val="none"/>
              </w:rPr>
              <w:t>未</w:t>
            </w:r>
            <w:r>
              <w:rPr>
                <w:rFonts w:hint="eastAsia" w:ascii="Times New Roman" w:hAnsi="Times New Roman" w:eastAsia="仿宋" w:cs="Times New Roman"/>
                <w:b/>
                <w:bCs/>
                <w:color w:val="auto"/>
                <w:sz w:val="24"/>
                <w:highlight w:val="none"/>
              </w:rPr>
              <w:t>根据</w:t>
            </w:r>
            <w:r>
              <w:rPr>
                <w:rFonts w:hint="eastAsia" w:eastAsia="仿宋" w:cs="Times New Roman"/>
                <w:b/>
                <w:bCs/>
                <w:color w:val="auto"/>
                <w:sz w:val="24"/>
                <w:highlight w:val="none"/>
                <w:lang w:eastAsia="zh-CN"/>
              </w:rPr>
              <w:t>采购单位</w:t>
            </w:r>
            <w:r>
              <w:rPr>
                <w:rFonts w:hint="eastAsia" w:ascii="Times New Roman" w:hAnsi="Times New Roman" w:eastAsia="仿宋" w:cs="Times New Roman"/>
                <w:b/>
                <w:bCs/>
                <w:color w:val="auto"/>
                <w:sz w:val="24"/>
                <w:highlight w:val="none"/>
              </w:rPr>
              <w:t>要求进行</w:t>
            </w:r>
            <w:r>
              <w:rPr>
                <w:rFonts w:ascii="Times New Roman" w:hAnsi="Times New Roman" w:eastAsia="仿宋" w:cs="Times New Roman"/>
                <w:b/>
                <w:bCs/>
                <w:color w:val="auto"/>
                <w:sz w:val="24"/>
                <w:highlight w:val="none"/>
              </w:rPr>
              <w:t>养护的</w:t>
            </w:r>
            <w:r>
              <w:rPr>
                <w:rFonts w:hint="eastAsia" w:ascii="Times New Roman" w:hAnsi="Times New Roman" w:eastAsia="仿宋" w:cs="Times New Roman"/>
                <w:b/>
                <w:bCs/>
                <w:color w:val="auto"/>
                <w:sz w:val="24"/>
                <w:highlight w:val="none"/>
              </w:rPr>
              <w:t>，</w:t>
            </w:r>
            <w:r>
              <w:rPr>
                <w:rFonts w:ascii="Times New Roman" w:hAnsi="Times New Roman" w:eastAsia="仿宋" w:cs="Times New Roman"/>
                <w:b/>
                <w:bCs/>
                <w:color w:val="auto"/>
                <w:sz w:val="24"/>
                <w:highlight w:val="none"/>
              </w:rPr>
              <w:t>扣</w:t>
            </w:r>
            <w:r>
              <w:rPr>
                <w:rFonts w:hint="eastAsia" w:ascii="Times New Roman" w:hAnsi="Times New Roman" w:eastAsia="仿宋" w:cs="Times New Roman"/>
                <w:b/>
                <w:bCs/>
                <w:color w:val="auto"/>
                <w:sz w:val="24"/>
                <w:highlight w:val="none"/>
              </w:rPr>
              <w:t>1-5分/次。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98" w:type="dxa"/>
            <w:vMerge w:val="restart"/>
            <w:vAlign w:val="center"/>
          </w:tcPr>
          <w:p>
            <w:pPr>
              <w:spacing w:line="300" w:lineRule="auto"/>
              <w:jc w:val="center"/>
              <w:rPr>
                <w:rFonts w:ascii="Times New Roman" w:hAnsi="Times New Roman" w:eastAsia="仿宋" w:cs="Times New Roman"/>
                <w:b/>
                <w:color w:val="auto"/>
                <w:sz w:val="24"/>
                <w:highlight w:val="none"/>
              </w:rPr>
            </w:pPr>
            <w:r>
              <w:rPr>
                <w:rFonts w:ascii="Times New Roman" w:hAnsi="Times New Roman" w:eastAsia="仿宋" w:cs="Times New Roman"/>
                <w:b/>
                <w:color w:val="auto"/>
                <w:sz w:val="24"/>
                <w:highlight w:val="none"/>
              </w:rPr>
              <w:t>水质情况</w:t>
            </w:r>
          </w:p>
        </w:tc>
        <w:tc>
          <w:tcPr>
            <w:tcW w:w="5113"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1、保证养护河道水质正常，避免出现黑臭、异色、异味等情况，如有</w:t>
            </w:r>
            <w:r>
              <w:rPr>
                <w:rFonts w:hint="eastAsia" w:ascii="Times New Roman" w:hAnsi="Times New Roman" w:eastAsia="仿宋" w:cs="Times New Roman"/>
                <w:color w:val="auto"/>
                <w:sz w:val="24"/>
                <w:highlight w:val="none"/>
              </w:rPr>
              <w:t>上述</w:t>
            </w:r>
            <w:r>
              <w:rPr>
                <w:rFonts w:ascii="Times New Roman" w:hAnsi="Times New Roman" w:eastAsia="仿宋" w:cs="Times New Roman"/>
                <w:color w:val="auto"/>
                <w:sz w:val="24"/>
                <w:highlight w:val="none"/>
              </w:rPr>
              <w:t>情况应及时发现并第一时间上报</w:t>
            </w:r>
            <w:r>
              <w:rPr>
                <w:rFonts w:hint="eastAsia" w:ascii="Times New Roman" w:hAnsi="Times New Roman" w:eastAsia="仿宋" w:cs="Times New Roman"/>
                <w:color w:val="auto"/>
                <w:sz w:val="24"/>
                <w:highlight w:val="none"/>
              </w:rPr>
              <w:t>，</w:t>
            </w:r>
            <w:r>
              <w:rPr>
                <w:rFonts w:ascii="Times New Roman" w:hAnsi="Times New Roman" w:eastAsia="仿宋" w:cs="Times New Roman"/>
                <w:color w:val="auto"/>
                <w:sz w:val="24"/>
                <w:highlight w:val="none"/>
              </w:rPr>
              <w:t>并采取有效措施。</w:t>
            </w:r>
          </w:p>
        </w:tc>
        <w:tc>
          <w:tcPr>
            <w:tcW w:w="3263"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未及时发现</w:t>
            </w:r>
            <w:r>
              <w:rPr>
                <w:rFonts w:hint="eastAsia" w:ascii="Times New Roman" w:hAnsi="Times New Roman" w:eastAsia="仿宋" w:cs="Times New Roman"/>
                <w:color w:val="auto"/>
                <w:sz w:val="24"/>
                <w:highlight w:val="none"/>
              </w:rPr>
              <w:t>、</w:t>
            </w:r>
            <w:r>
              <w:rPr>
                <w:rFonts w:ascii="Times New Roman" w:hAnsi="Times New Roman" w:eastAsia="仿宋" w:cs="Times New Roman"/>
                <w:color w:val="auto"/>
                <w:sz w:val="24"/>
                <w:highlight w:val="none"/>
              </w:rPr>
              <w:t>上报或未采取有效措施的，</w:t>
            </w:r>
            <w:r>
              <w:rPr>
                <w:rFonts w:hint="eastAsia" w:ascii="Times New Roman" w:hAnsi="Times New Roman" w:eastAsia="仿宋" w:cs="Times New Roman"/>
                <w:color w:val="auto"/>
                <w:sz w:val="24"/>
                <w:highlight w:val="none"/>
              </w:rPr>
              <w:t>视情节轻重</w:t>
            </w:r>
            <w:r>
              <w:rPr>
                <w:rFonts w:ascii="Times New Roman" w:hAnsi="Times New Roman" w:eastAsia="仿宋" w:cs="Times New Roman"/>
                <w:color w:val="auto"/>
                <w:sz w:val="24"/>
                <w:highlight w:val="none"/>
              </w:rPr>
              <w:t>扣1-5分/次。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98"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5113"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2、对排污、排泥浆、倾倒残渣污水等有影响水质的现象，须及时发现、上报采取有效措施。</w:t>
            </w:r>
          </w:p>
        </w:tc>
        <w:tc>
          <w:tcPr>
            <w:tcW w:w="3263"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未及时发现</w:t>
            </w:r>
            <w:r>
              <w:rPr>
                <w:rFonts w:hint="eastAsia" w:ascii="Times New Roman" w:hAnsi="Times New Roman" w:eastAsia="仿宋" w:cs="Times New Roman"/>
                <w:color w:val="auto"/>
                <w:sz w:val="24"/>
                <w:highlight w:val="none"/>
              </w:rPr>
              <w:t>、</w:t>
            </w:r>
            <w:r>
              <w:rPr>
                <w:rFonts w:ascii="Times New Roman" w:hAnsi="Times New Roman" w:eastAsia="仿宋" w:cs="Times New Roman"/>
                <w:color w:val="auto"/>
                <w:sz w:val="24"/>
                <w:highlight w:val="none"/>
              </w:rPr>
              <w:t>上报或未采取有效措施的，</w:t>
            </w:r>
            <w:r>
              <w:rPr>
                <w:rFonts w:hint="eastAsia" w:ascii="Times New Roman" w:hAnsi="Times New Roman" w:eastAsia="仿宋" w:cs="Times New Roman"/>
                <w:color w:val="auto"/>
                <w:sz w:val="24"/>
                <w:highlight w:val="none"/>
              </w:rPr>
              <w:t>视情节轻重</w:t>
            </w:r>
            <w:r>
              <w:rPr>
                <w:rFonts w:ascii="Times New Roman" w:hAnsi="Times New Roman" w:eastAsia="仿宋" w:cs="Times New Roman"/>
                <w:color w:val="auto"/>
                <w:sz w:val="24"/>
                <w:highlight w:val="none"/>
              </w:rPr>
              <w:t>扣1-5分/次</w:t>
            </w:r>
            <w:r>
              <w:rPr>
                <w:rFonts w:hint="eastAsia" w:ascii="Times New Roman" w:hAnsi="Times New Roman" w:eastAsia="仿宋" w:cs="Times New Roman"/>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98"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5113"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3、养护过程中应避免因水质原因被局智慧城管、信访办等相关部门查到</w:t>
            </w:r>
            <w:r>
              <w:rPr>
                <w:rFonts w:hint="eastAsia" w:ascii="Times New Roman" w:hAnsi="Times New Roman" w:eastAsia="仿宋" w:cs="Times New Roman"/>
                <w:color w:val="auto"/>
                <w:sz w:val="24"/>
                <w:highlight w:val="none"/>
              </w:rPr>
              <w:t>，</w:t>
            </w:r>
            <w:r>
              <w:rPr>
                <w:rFonts w:ascii="Times New Roman" w:hAnsi="Times New Roman" w:eastAsia="仿宋" w:cs="Times New Roman"/>
                <w:color w:val="auto"/>
                <w:sz w:val="24"/>
                <w:highlight w:val="none"/>
              </w:rPr>
              <w:t>或被上级领导查到，或被居民投诉、新闻媒体曝光。</w:t>
            </w:r>
          </w:p>
        </w:tc>
        <w:tc>
          <w:tcPr>
            <w:tcW w:w="3263" w:type="dxa"/>
          </w:tcPr>
          <w:p>
            <w:pPr>
              <w:spacing w:line="300" w:lineRule="auto"/>
              <w:rPr>
                <w:rFonts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如有出现视情节轻重扣1</w:t>
            </w:r>
            <w:r>
              <w:rPr>
                <w:rFonts w:ascii="Times New Roman" w:hAnsi="Times New Roman" w:eastAsia="仿宋" w:cs="Times New Roman"/>
                <w:color w:val="auto"/>
                <w:sz w:val="24"/>
                <w:highlight w:val="none"/>
              </w:rPr>
              <w:t>-</w:t>
            </w:r>
            <w:r>
              <w:rPr>
                <w:rFonts w:hint="eastAsia" w:ascii="Times New Roman" w:hAnsi="Times New Roman" w:eastAsia="仿宋" w:cs="Times New Roman"/>
                <w:color w:val="auto"/>
                <w:sz w:val="24"/>
                <w:highlight w:val="none"/>
              </w:rPr>
              <w:t>5</w:t>
            </w:r>
            <w:r>
              <w:rPr>
                <w:rFonts w:ascii="Times New Roman" w:hAnsi="Times New Roman" w:eastAsia="仿宋" w:cs="Times New Roman"/>
                <w:color w:val="auto"/>
                <w:sz w:val="24"/>
                <w:highlight w:val="none"/>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98"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5113"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4、水质养护单位负责养护</w:t>
            </w:r>
            <w:r>
              <w:rPr>
                <w:rFonts w:hint="eastAsia" w:ascii="Times New Roman" w:hAnsi="Times New Roman" w:eastAsia="仿宋" w:cs="Times New Roman"/>
                <w:color w:val="auto"/>
                <w:sz w:val="24"/>
                <w:highlight w:val="none"/>
              </w:rPr>
              <w:t>标</w:t>
            </w:r>
            <w:r>
              <w:rPr>
                <w:rFonts w:ascii="Times New Roman" w:hAnsi="Times New Roman" w:eastAsia="仿宋" w:cs="Times New Roman"/>
                <w:color w:val="auto"/>
                <w:sz w:val="24"/>
                <w:highlight w:val="none"/>
              </w:rPr>
              <w:t>段内油污清理工作。</w:t>
            </w:r>
          </w:p>
        </w:tc>
        <w:tc>
          <w:tcPr>
            <w:tcW w:w="3263"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出现油污未</w:t>
            </w:r>
            <w:r>
              <w:rPr>
                <w:rFonts w:hint="eastAsia" w:ascii="Times New Roman" w:hAnsi="Times New Roman" w:eastAsia="仿宋" w:cs="Times New Roman"/>
                <w:color w:val="auto"/>
                <w:sz w:val="24"/>
                <w:highlight w:val="none"/>
              </w:rPr>
              <w:t>及时</w:t>
            </w:r>
            <w:r>
              <w:rPr>
                <w:rFonts w:ascii="Times New Roman" w:hAnsi="Times New Roman" w:eastAsia="仿宋" w:cs="Times New Roman"/>
                <w:color w:val="auto"/>
                <w:sz w:val="24"/>
                <w:highlight w:val="none"/>
              </w:rPr>
              <w:t>清理情况，扣1分/次。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98"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5113" w:type="dxa"/>
          </w:tcPr>
          <w:p>
            <w:pPr>
              <w:spacing w:line="300" w:lineRule="auto"/>
              <w:rPr>
                <w:rFonts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5、做好蓝绿藻等预防控制工作，如出现蓝绿藻等现象，应立即采取有效措施，杜绝爆发。</w:t>
            </w:r>
          </w:p>
        </w:tc>
        <w:tc>
          <w:tcPr>
            <w:tcW w:w="3263"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出现蓝绿藻</w:t>
            </w:r>
            <w:r>
              <w:rPr>
                <w:rFonts w:hint="eastAsia" w:eastAsia="仿宋" w:cs="Times New Roman"/>
                <w:color w:val="auto"/>
                <w:sz w:val="24"/>
                <w:highlight w:val="none"/>
                <w:lang w:val="en-US" w:eastAsia="zh-CN"/>
              </w:rPr>
              <w:t>等</w:t>
            </w:r>
            <w:r>
              <w:rPr>
                <w:rFonts w:hint="eastAsia" w:ascii="Times New Roman" w:hAnsi="Times New Roman" w:eastAsia="仿宋" w:cs="Times New Roman"/>
                <w:color w:val="auto"/>
                <w:sz w:val="24"/>
                <w:highlight w:val="none"/>
              </w:rPr>
              <w:t>现象</w:t>
            </w:r>
            <w:r>
              <w:rPr>
                <w:rFonts w:ascii="Times New Roman" w:hAnsi="Times New Roman" w:eastAsia="仿宋" w:cs="Times New Roman"/>
                <w:color w:val="auto"/>
                <w:sz w:val="24"/>
                <w:highlight w:val="none"/>
              </w:rPr>
              <w:t>的</w:t>
            </w:r>
            <w:r>
              <w:rPr>
                <w:rFonts w:hint="eastAsia" w:ascii="Times New Roman" w:hAnsi="Times New Roman" w:eastAsia="仿宋" w:cs="Times New Roman"/>
                <w:color w:val="auto"/>
                <w:sz w:val="24"/>
                <w:highlight w:val="none"/>
              </w:rPr>
              <w:t>，</w:t>
            </w:r>
            <w:r>
              <w:rPr>
                <w:rFonts w:ascii="Times New Roman" w:hAnsi="Times New Roman" w:eastAsia="仿宋" w:cs="Times New Roman"/>
                <w:color w:val="auto"/>
                <w:sz w:val="24"/>
                <w:highlight w:val="none"/>
              </w:rPr>
              <w:t>扣</w:t>
            </w:r>
            <w:r>
              <w:rPr>
                <w:rFonts w:hint="eastAsia" w:ascii="Times New Roman" w:hAnsi="Times New Roman" w:eastAsia="仿宋" w:cs="Times New Roman"/>
                <w:color w:val="auto"/>
                <w:sz w:val="24"/>
                <w:highlight w:val="none"/>
              </w:rPr>
              <w:t>1-2分/次；未及时采取有效措施的，扣2-5分/次。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98" w:type="dxa"/>
            <w:vMerge w:val="restart"/>
            <w:vAlign w:val="center"/>
          </w:tcPr>
          <w:p>
            <w:pPr>
              <w:spacing w:line="300" w:lineRule="auto"/>
              <w:jc w:val="center"/>
              <w:rPr>
                <w:rFonts w:ascii="Times New Roman" w:hAnsi="Times New Roman" w:eastAsia="仿宋" w:cs="Times New Roman"/>
                <w:b/>
                <w:color w:val="auto"/>
                <w:sz w:val="24"/>
                <w:highlight w:val="none"/>
              </w:rPr>
            </w:pPr>
            <w:r>
              <w:rPr>
                <w:rFonts w:ascii="Times New Roman" w:hAnsi="Times New Roman" w:eastAsia="仿宋" w:cs="Times New Roman"/>
                <w:b/>
                <w:color w:val="auto"/>
                <w:sz w:val="24"/>
                <w:highlight w:val="none"/>
              </w:rPr>
              <w:t>管理</w:t>
            </w:r>
            <w:r>
              <w:rPr>
                <w:rFonts w:hint="eastAsia" w:ascii="Times New Roman" w:hAnsi="Times New Roman" w:eastAsia="仿宋" w:cs="Times New Roman"/>
                <w:b/>
                <w:color w:val="auto"/>
                <w:sz w:val="24"/>
                <w:highlight w:val="none"/>
              </w:rPr>
              <w:t>、</w:t>
            </w:r>
            <w:r>
              <w:rPr>
                <w:rFonts w:ascii="Times New Roman" w:hAnsi="Times New Roman" w:eastAsia="仿宋" w:cs="Times New Roman"/>
                <w:b/>
                <w:color w:val="auto"/>
                <w:sz w:val="24"/>
                <w:highlight w:val="none"/>
              </w:rPr>
              <w:t>巡查</w:t>
            </w:r>
          </w:p>
        </w:tc>
        <w:tc>
          <w:tcPr>
            <w:tcW w:w="5113"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b/>
                <w:bCs/>
                <w:color w:val="auto"/>
                <w:sz w:val="24"/>
                <w:highlight w:val="none"/>
              </w:rPr>
              <w:t>1、统一</w:t>
            </w:r>
            <w:r>
              <w:rPr>
                <w:rFonts w:hint="eastAsia" w:eastAsia="仿宋" w:cs="Times New Roman"/>
                <w:b/>
                <w:bCs/>
                <w:color w:val="auto"/>
                <w:sz w:val="24"/>
                <w:highlight w:val="none"/>
                <w:lang w:val="en-US" w:eastAsia="zh-CN"/>
              </w:rPr>
              <w:t>着装</w:t>
            </w:r>
            <w:r>
              <w:rPr>
                <w:rFonts w:ascii="Times New Roman" w:hAnsi="Times New Roman" w:eastAsia="仿宋" w:cs="Times New Roman"/>
                <w:b/>
                <w:bCs/>
                <w:color w:val="auto"/>
                <w:sz w:val="24"/>
                <w:highlight w:val="none"/>
              </w:rPr>
              <w:t>：</w:t>
            </w:r>
            <w:r>
              <w:rPr>
                <w:rFonts w:hint="eastAsia" w:ascii="Times New Roman" w:hAnsi="Times New Roman" w:eastAsia="仿宋" w:cs="Times New Roman"/>
                <w:color w:val="auto"/>
                <w:sz w:val="24"/>
                <w:highlight w:val="none"/>
              </w:rPr>
              <w:t>养护单位工作人员必须按照规定统一着装，工作期间不得从事与工作无关事情。</w:t>
            </w:r>
          </w:p>
        </w:tc>
        <w:tc>
          <w:tcPr>
            <w:tcW w:w="3263" w:type="dxa"/>
          </w:tcPr>
          <w:p>
            <w:pPr>
              <w:spacing w:line="300" w:lineRule="auto"/>
              <w:rPr>
                <w:rFonts w:ascii="Times New Roman" w:hAnsi="Times New Roman" w:eastAsia="仿宋" w:cs="Times New Roman"/>
                <w:b/>
                <w:color w:val="auto"/>
                <w:sz w:val="24"/>
                <w:highlight w:val="none"/>
              </w:rPr>
            </w:pPr>
            <w:r>
              <w:rPr>
                <w:rFonts w:hint="eastAsia" w:ascii="Times New Roman" w:hAnsi="Times New Roman" w:eastAsia="仿宋" w:cs="Times New Roman"/>
                <w:color w:val="auto"/>
                <w:sz w:val="24"/>
                <w:highlight w:val="none"/>
              </w:rPr>
              <w:t>未统一着装扣1分/次；工作期间从事与工作无关事情扣2分/次。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98"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5113" w:type="dxa"/>
          </w:tcPr>
          <w:p>
            <w:pPr>
              <w:spacing w:line="300" w:lineRule="auto"/>
              <w:rPr>
                <w:rFonts w:ascii="Times New Roman" w:hAnsi="Times New Roman" w:eastAsia="仿宋" w:cs="Times New Roman"/>
                <w:color w:val="auto"/>
                <w:sz w:val="24"/>
                <w:highlight w:val="none"/>
              </w:rPr>
            </w:pPr>
            <w:r>
              <w:rPr>
                <w:rFonts w:hint="eastAsia" w:ascii="Times New Roman" w:hAnsi="Times New Roman" w:eastAsia="仿宋" w:cs="Times New Roman"/>
                <w:b/>
                <w:bCs/>
                <w:color w:val="auto"/>
                <w:sz w:val="24"/>
                <w:highlight w:val="none"/>
              </w:rPr>
              <w:t>2、</w:t>
            </w:r>
            <w:r>
              <w:rPr>
                <w:rFonts w:ascii="Times New Roman" w:hAnsi="Times New Roman" w:eastAsia="仿宋" w:cs="Times New Roman"/>
                <w:b/>
                <w:bCs/>
                <w:color w:val="auto"/>
                <w:sz w:val="24"/>
                <w:highlight w:val="none"/>
              </w:rPr>
              <w:t>日常巡查：</w:t>
            </w:r>
            <w:r>
              <w:rPr>
                <w:rFonts w:ascii="Times New Roman" w:hAnsi="Times New Roman" w:eastAsia="仿宋" w:cs="Times New Roman"/>
                <w:color w:val="auto"/>
                <w:sz w:val="24"/>
                <w:highlight w:val="none"/>
              </w:rPr>
              <w:t>养护人员按规定到岗，</w:t>
            </w:r>
            <w:r>
              <w:rPr>
                <w:rFonts w:hint="eastAsia" w:ascii="Times New Roman" w:hAnsi="Times New Roman" w:eastAsia="仿宋" w:cs="Times New Roman"/>
                <w:color w:val="auto"/>
                <w:sz w:val="24"/>
                <w:highlight w:val="none"/>
              </w:rPr>
              <w:t>养护单位</w:t>
            </w:r>
            <w:r>
              <w:rPr>
                <w:rFonts w:ascii="Times New Roman" w:hAnsi="Times New Roman" w:eastAsia="仿宋" w:cs="Times New Roman"/>
                <w:color w:val="auto"/>
                <w:sz w:val="24"/>
                <w:highlight w:val="none"/>
              </w:rPr>
              <w:t>做好一日两巡，按巡查和水质维护内容记录每日巡查日志</w:t>
            </w:r>
            <w:r>
              <w:rPr>
                <w:rFonts w:hint="eastAsia" w:ascii="Times New Roman" w:hAnsi="Times New Roman" w:eastAsia="仿宋" w:cs="Times New Roman"/>
                <w:color w:val="auto"/>
                <w:sz w:val="24"/>
                <w:highlight w:val="none"/>
              </w:rPr>
              <w:t>和养护工作台账资料</w:t>
            </w:r>
            <w:r>
              <w:rPr>
                <w:rFonts w:ascii="Times New Roman" w:hAnsi="Times New Roman" w:eastAsia="仿宋" w:cs="Times New Roman"/>
                <w:color w:val="auto"/>
                <w:sz w:val="24"/>
                <w:highlight w:val="none"/>
              </w:rPr>
              <w:t>。</w:t>
            </w:r>
            <w:r>
              <w:rPr>
                <w:rFonts w:hint="eastAsia" w:ascii="Times New Roman" w:hAnsi="Times New Roman" w:eastAsia="仿宋" w:cs="Times New Roman"/>
                <w:color w:val="auto"/>
                <w:sz w:val="24"/>
                <w:highlight w:val="none"/>
              </w:rPr>
              <w:t>必要时须按</w:t>
            </w:r>
            <w:r>
              <w:rPr>
                <w:rFonts w:hint="eastAsia" w:eastAsia="仿宋" w:cs="Times New Roman"/>
                <w:color w:val="auto"/>
                <w:sz w:val="24"/>
                <w:highlight w:val="none"/>
                <w:lang w:eastAsia="zh-CN"/>
              </w:rPr>
              <w:t>采购单位</w:t>
            </w:r>
            <w:r>
              <w:rPr>
                <w:rFonts w:hint="eastAsia" w:ascii="Times New Roman" w:hAnsi="Times New Roman" w:eastAsia="仿宋" w:cs="Times New Roman"/>
                <w:color w:val="auto"/>
                <w:sz w:val="24"/>
                <w:highlight w:val="none"/>
              </w:rPr>
              <w:t>要求做好微信签到等。</w:t>
            </w:r>
          </w:p>
        </w:tc>
        <w:tc>
          <w:tcPr>
            <w:tcW w:w="3263" w:type="dxa"/>
          </w:tcPr>
          <w:p>
            <w:pPr>
              <w:spacing w:line="300" w:lineRule="auto"/>
              <w:rPr>
                <w:rFonts w:ascii="Times New Roman" w:hAnsi="Times New Roman" w:eastAsia="仿宋" w:cs="Times New Roman"/>
                <w:b/>
                <w:color w:val="auto"/>
                <w:sz w:val="24"/>
                <w:highlight w:val="none"/>
              </w:rPr>
            </w:pPr>
            <w:r>
              <w:rPr>
                <w:rFonts w:ascii="Times New Roman" w:hAnsi="Times New Roman" w:eastAsia="仿宋" w:cs="Times New Roman"/>
                <w:color w:val="auto"/>
                <w:sz w:val="24"/>
                <w:highlight w:val="none"/>
              </w:rPr>
              <w:t>未按</w:t>
            </w:r>
            <w:r>
              <w:rPr>
                <w:rFonts w:hint="eastAsia" w:ascii="Times New Roman" w:hAnsi="Times New Roman" w:eastAsia="仿宋" w:cs="Times New Roman"/>
                <w:color w:val="auto"/>
                <w:sz w:val="24"/>
                <w:highlight w:val="none"/>
              </w:rPr>
              <w:t>要求的，</w:t>
            </w:r>
            <w:r>
              <w:rPr>
                <w:rFonts w:ascii="Times New Roman" w:hAnsi="Times New Roman" w:eastAsia="仿宋" w:cs="Times New Roman"/>
                <w:color w:val="auto"/>
                <w:sz w:val="24"/>
                <w:highlight w:val="none"/>
              </w:rPr>
              <w:t>扣1</w:t>
            </w:r>
            <w:r>
              <w:rPr>
                <w:rFonts w:hint="eastAsia" w:ascii="Times New Roman" w:hAnsi="Times New Roman" w:eastAsia="仿宋" w:cs="Times New Roman"/>
                <w:color w:val="auto"/>
                <w:sz w:val="24"/>
                <w:highlight w:val="none"/>
              </w:rPr>
              <w:t>-5</w:t>
            </w:r>
            <w:r>
              <w:rPr>
                <w:rFonts w:ascii="Times New Roman" w:hAnsi="Times New Roman" w:eastAsia="仿宋" w:cs="Times New Roman"/>
                <w:color w:val="auto"/>
                <w:sz w:val="24"/>
                <w:highlight w:val="none"/>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98"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5113" w:type="dxa"/>
          </w:tcPr>
          <w:p>
            <w:pPr>
              <w:spacing w:line="300" w:lineRule="auto"/>
              <w:rPr>
                <w:rFonts w:ascii="Times New Roman" w:hAnsi="Times New Roman" w:eastAsia="仿宋" w:cs="Times New Roman"/>
                <w:color w:val="auto"/>
                <w:sz w:val="24"/>
                <w:highlight w:val="none"/>
              </w:rPr>
            </w:pPr>
            <w:r>
              <w:rPr>
                <w:rFonts w:hint="eastAsia" w:ascii="Times New Roman" w:hAnsi="Times New Roman" w:eastAsia="仿宋" w:cs="Times New Roman"/>
                <w:b/>
                <w:bCs/>
                <w:color w:val="auto"/>
                <w:sz w:val="24"/>
                <w:highlight w:val="none"/>
              </w:rPr>
              <w:t>3、</w:t>
            </w:r>
            <w:r>
              <w:rPr>
                <w:rFonts w:ascii="Times New Roman" w:hAnsi="Times New Roman" w:eastAsia="仿宋" w:cs="Times New Roman"/>
                <w:b/>
                <w:bCs/>
                <w:color w:val="auto"/>
                <w:sz w:val="24"/>
                <w:highlight w:val="none"/>
              </w:rPr>
              <w:t>报表或台帐记录</w:t>
            </w:r>
            <w:r>
              <w:rPr>
                <w:rFonts w:hint="eastAsia" w:ascii="Times New Roman" w:hAnsi="Times New Roman" w:eastAsia="仿宋" w:cs="Times New Roman"/>
                <w:b/>
                <w:bCs/>
                <w:color w:val="auto"/>
                <w:sz w:val="24"/>
                <w:highlight w:val="none"/>
              </w:rPr>
              <w:t>及上报</w:t>
            </w:r>
            <w:r>
              <w:rPr>
                <w:rFonts w:ascii="Times New Roman" w:hAnsi="Times New Roman" w:eastAsia="仿宋" w:cs="Times New Roman"/>
                <w:b/>
                <w:bCs/>
                <w:color w:val="auto"/>
                <w:sz w:val="24"/>
                <w:highlight w:val="none"/>
              </w:rPr>
              <w:t>：</w:t>
            </w:r>
            <w:r>
              <w:rPr>
                <w:rFonts w:ascii="Times New Roman" w:hAnsi="Times New Roman" w:eastAsia="仿宋" w:cs="Times New Roman"/>
                <w:color w:val="auto"/>
                <w:sz w:val="24"/>
                <w:highlight w:val="none"/>
              </w:rPr>
              <w:t>按规定上报各类报表、台帐（含人员到岗情况和社保缴纳情况），报表或台帐记录与实际情况相符。</w:t>
            </w:r>
          </w:p>
        </w:tc>
        <w:tc>
          <w:tcPr>
            <w:tcW w:w="3263"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出现未上报</w:t>
            </w:r>
            <w:r>
              <w:rPr>
                <w:rFonts w:hint="eastAsia" w:ascii="Times New Roman" w:hAnsi="Times New Roman" w:eastAsia="仿宋" w:cs="Times New Roman"/>
                <w:color w:val="auto"/>
                <w:sz w:val="24"/>
                <w:highlight w:val="none"/>
              </w:rPr>
              <w:t>报表、</w:t>
            </w:r>
            <w:r>
              <w:rPr>
                <w:rFonts w:ascii="Times New Roman" w:hAnsi="Times New Roman" w:eastAsia="仿宋" w:cs="Times New Roman"/>
                <w:color w:val="auto"/>
                <w:sz w:val="24"/>
                <w:highlight w:val="none"/>
              </w:rPr>
              <w:t>台账的情况</w:t>
            </w:r>
            <w:r>
              <w:rPr>
                <w:rFonts w:hint="eastAsia" w:ascii="Times New Roman" w:hAnsi="Times New Roman" w:eastAsia="仿宋" w:cs="Times New Roman"/>
                <w:color w:val="auto"/>
                <w:sz w:val="24"/>
                <w:highlight w:val="none"/>
              </w:rPr>
              <w:t>，</w:t>
            </w:r>
            <w:r>
              <w:rPr>
                <w:rFonts w:ascii="Times New Roman" w:hAnsi="Times New Roman" w:eastAsia="仿宋" w:cs="Times New Roman"/>
                <w:color w:val="auto"/>
                <w:sz w:val="24"/>
                <w:highlight w:val="none"/>
              </w:rPr>
              <w:t>台帐记录与实际情况不符合的情况</w:t>
            </w:r>
            <w:r>
              <w:rPr>
                <w:rFonts w:hint="eastAsia" w:ascii="Times New Roman" w:hAnsi="Times New Roman" w:eastAsia="仿宋" w:cs="Times New Roman"/>
                <w:color w:val="auto"/>
                <w:sz w:val="24"/>
                <w:highlight w:val="none"/>
              </w:rPr>
              <w:t>，</w:t>
            </w:r>
            <w:r>
              <w:rPr>
                <w:rFonts w:ascii="Times New Roman" w:hAnsi="Times New Roman" w:eastAsia="仿宋" w:cs="Times New Roman"/>
                <w:color w:val="auto"/>
                <w:sz w:val="24"/>
                <w:highlight w:val="none"/>
              </w:rPr>
              <w:t>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98"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5113" w:type="dxa"/>
          </w:tcPr>
          <w:p>
            <w:pPr>
              <w:spacing w:line="300" w:lineRule="auto"/>
              <w:rPr>
                <w:rFonts w:ascii="Times New Roman" w:hAnsi="Times New Roman" w:eastAsia="仿宋" w:cs="Times New Roman"/>
                <w:color w:val="auto"/>
                <w:sz w:val="24"/>
                <w:highlight w:val="none"/>
              </w:rPr>
            </w:pPr>
            <w:r>
              <w:rPr>
                <w:rFonts w:hint="eastAsia" w:ascii="Times New Roman" w:hAnsi="Times New Roman" w:eastAsia="仿宋" w:cs="Times New Roman"/>
                <w:b/>
                <w:bCs/>
                <w:color w:val="auto"/>
                <w:sz w:val="24"/>
                <w:highlight w:val="none"/>
              </w:rPr>
              <w:t>4</w:t>
            </w:r>
            <w:r>
              <w:rPr>
                <w:rFonts w:ascii="Times New Roman" w:hAnsi="Times New Roman" w:eastAsia="仿宋" w:cs="Times New Roman"/>
                <w:b/>
                <w:bCs/>
                <w:color w:val="auto"/>
                <w:sz w:val="24"/>
                <w:highlight w:val="none"/>
              </w:rPr>
              <w:t>、</w:t>
            </w:r>
            <w:r>
              <w:rPr>
                <w:rFonts w:hint="eastAsia" w:ascii="Times New Roman" w:hAnsi="Times New Roman" w:eastAsia="仿宋" w:cs="Times New Roman"/>
                <w:b/>
                <w:bCs/>
                <w:color w:val="auto"/>
                <w:sz w:val="24"/>
                <w:highlight w:val="none"/>
              </w:rPr>
              <w:t>有效</w:t>
            </w:r>
            <w:r>
              <w:rPr>
                <w:rFonts w:ascii="Times New Roman" w:hAnsi="Times New Roman" w:eastAsia="仿宋" w:cs="Times New Roman"/>
                <w:b/>
                <w:bCs/>
                <w:color w:val="auto"/>
                <w:sz w:val="24"/>
                <w:highlight w:val="none"/>
              </w:rPr>
              <w:t>应急响应：</w:t>
            </w:r>
            <w:r>
              <w:rPr>
                <w:rFonts w:hint="eastAsia" w:ascii="Times New Roman" w:hAnsi="Times New Roman" w:eastAsia="仿宋" w:cs="Times New Roman"/>
                <w:color w:val="auto"/>
                <w:sz w:val="24"/>
                <w:highlight w:val="none"/>
              </w:rPr>
              <w:t>应急物资储备充足，有应急队伍，</w:t>
            </w:r>
            <w:r>
              <w:rPr>
                <w:rFonts w:ascii="Times New Roman" w:hAnsi="Times New Roman" w:eastAsia="仿宋" w:cs="Times New Roman"/>
                <w:color w:val="auto"/>
                <w:sz w:val="24"/>
                <w:highlight w:val="none"/>
              </w:rPr>
              <w:t>信息传达畅通</w:t>
            </w:r>
            <w:r>
              <w:rPr>
                <w:rFonts w:hint="eastAsia" w:ascii="Times New Roman" w:hAnsi="Times New Roman" w:eastAsia="仿宋" w:cs="Times New Roman"/>
                <w:color w:val="auto"/>
                <w:sz w:val="24"/>
                <w:highlight w:val="none"/>
              </w:rPr>
              <w:t>并</w:t>
            </w:r>
            <w:r>
              <w:rPr>
                <w:rFonts w:ascii="Times New Roman" w:hAnsi="Times New Roman" w:eastAsia="仿宋" w:cs="Times New Roman"/>
                <w:color w:val="auto"/>
                <w:sz w:val="24"/>
                <w:highlight w:val="none"/>
              </w:rPr>
              <w:t>及时</w:t>
            </w:r>
            <w:r>
              <w:rPr>
                <w:rFonts w:hint="eastAsia" w:ascii="Times New Roman" w:hAnsi="Times New Roman" w:eastAsia="仿宋" w:cs="Times New Roman"/>
                <w:color w:val="auto"/>
                <w:sz w:val="24"/>
                <w:highlight w:val="none"/>
              </w:rPr>
              <w:t>有效</w:t>
            </w:r>
            <w:r>
              <w:rPr>
                <w:rFonts w:ascii="Times New Roman" w:hAnsi="Times New Roman" w:eastAsia="仿宋" w:cs="Times New Roman"/>
                <w:color w:val="auto"/>
                <w:sz w:val="24"/>
                <w:highlight w:val="none"/>
              </w:rPr>
              <w:t>响应</w:t>
            </w:r>
            <w:r>
              <w:rPr>
                <w:rFonts w:hint="eastAsia" w:ascii="Times New Roman" w:hAnsi="Times New Roman" w:eastAsia="仿宋" w:cs="Times New Roman"/>
                <w:color w:val="auto"/>
                <w:sz w:val="24"/>
                <w:highlight w:val="none"/>
              </w:rPr>
              <w:t>，</w:t>
            </w:r>
            <w:r>
              <w:rPr>
                <w:rFonts w:ascii="Times New Roman" w:hAnsi="Times New Roman" w:eastAsia="仿宋" w:cs="Times New Roman"/>
                <w:color w:val="auto"/>
                <w:sz w:val="24"/>
                <w:highlight w:val="none"/>
              </w:rPr>
              <w:t>服从统一指挥</w:t>
            </w:r>
            <w:r>
              <w:rPr>
                <w:rFonts w:hint="eastAsia" w:ascii="Times New Roman" w:hAnsi="Times New Roman" w:eastAsia="仿宋" w:cs="Times New Roman"/>
                <w:color w:val="auto"/>
                <w:sz w:val="24"/>
                <w:highlight w:val="none"/>
              </w:rPr>
              <w:t>。</w:t>
            </w:r>
          </w:p>
        </w:tc>
        <w:tc>
          <w:tcPr>
            <w:tcW w:w="3263" w:type="dxa"/>
          </w:tcPr>
          <w:p>
            <w:pPr>
              <w:spacing w:line="300" w:lineRule="auto"/>
              <w:rPr>
                <w:rFonts w:hint="eastAsia" w:ascii="Times New Roman" w:hAnsi="Times New Roman" w:eastAsia="仿宋" w:cs="Times New Roman"/>
                <w:b/>
                <w:color w:val="auto"/>
                <w:sz w:val="24"/>
                <w:highlight w:val="none"/>
                <w:lang w:eastAsia="zh-CN"/>
              </w:rPr>
            </w:pPr>
            <w:r>
              <w:rPr>
                <w:rFonts w:ascii="Times New Roman" w:hAnsi="Times New Roman" w:eastAsia="仿宋" w:cs="Times New Roman"/>
                <w:color w:val="auto"/>
                <w:sz w:val="24"/>
                <w:highlight w:val="none"/>
              </w:rPr>
              <w:t>未按</w:t>
            </w:r>
            <w:r>
              <w:rPr>
                <w:rFonts w:hint="eastAsia" w:ascii="Times New Roman" w:hAnsi="Times New Roman" w:eastAsia="仿宋" w:cs="Times New Roman"/>
                <w:color w:val="auto"/>
                <w:sz w:val="24"/>
                <w:highlight w:val="none"/>
              </w:rPr>
              <w:t>要求的，</w:t>
            </w:r>
            <w:r>
              <w:rPr>
                <w:rFonts w:ascii="Times New Roman" w:hAnsi="Times New Roman" w:eastAsia="仿宋" w:cs="Times New Roman"/>
                <w:color w:val="auto"/>
                <w:sz w:val="24"/>
                <w:highlight w:val="none"/>
              </w:rPr>
              <w:t>扣</w:t>
            </w:r>
            <w:r>
              <w:rPr>
                <w:rFonts w:hint="eastAsia" w:ascii="Times New Roman" w:hAnsi="Times New Roman" w:eastAsia="仿宋" w:cs="Times New Roman"/>
                <w:color w:val="auto"/>
                <w:sz w:val="24"/>
                <w:highlight w:val="none"/>
              </w:rPr>
              <w:t>2-</w:t>
            </w:r>
            <w:r>
              <w:rPr>
                <w:rFonts w:ascii="Times New Roman" w:hAnsi="Times New Roman" w:eastAsia="仿宋" w:cs="Times New Roman"/>
                <w:color w:val="auto"/>
                <w:sz w:val="24"/>
                <w:highlight w:val="none"/>
              </w:rPr>
              <w:t>10分/次</w:t>
            </w:r>
            <w:r>
              <w:rPr>
                <w:rFonts w:hint="eastAsia" w:eastAsia="仿宋" w:cs="Times New Roman"/>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98"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5113" w:type="dxa"/>
          </w:tcPr>
          <w:p>
            <w:pPr>
              <w:spacing w:line="300" w:lineRule="auto"/>
              <w:rPr>
                <w:rFonts w:ascii="Times New Roman" w:hAnsi="Times New Roman" w:eastAsia="仿宋" w:cs="Times New Roman"/>
                <w:color w:val="auto"/>
                <w:sz w:val="24"/>
                <w:highlight w:val="none"/>
              </w:rPr>
            </w:pPr>
            <w:r>
              <w:rPr>
                <w:rFonts w:hint="eastAsia" w:ascii="Times New Roman" w:hAnsi="Times New Roman" w:eastAsia="仿宋" w:cs="Times New Roman"/>
                <w:b/>
                <w:bCs/>
                <w:color w:val="auto"/>
                <w:sz w:val="24"/>
                <w:highlight w:val="none"/>
              </w:rPr>
              <w:t>5、</w:t>
            </w:r>
            <w:r>
              <w:rPr>
                <w:rFonts w:ascii="Times New Roman" w:hAnsi="Times New Roman" w:eastAsia="仿宋" w:cs="Times New Roman"/>
                <w:b/>
                <w:bCs/>
                <w:color w:val="auto"/>
                <w:sz w:val="24"/>
                <w:highlight w:val="none"/>
              </w:rPr>
              <w:t>活动保障：</w:t>
            </w:r>
            <w:r>
              <w:rPr>
                <w:rFonts w:ascii="Times New Roman" w:hAnsi="Times New Roman" w:eastAsia="仿宋" w:cs="Times New Roman"/>
                <w:color w:val="auto"/>
                <w:sz w:val="24"/>
                <w:highlight w:val="none"/>
              </w:rPr>
              <w:t>主动</w:t>
            </w:r>
            <w:r>
              <w:rPr>
                <w:rFonts w:hint="eastAsia" w:ascii="Times New Roman" w:hAnsi="Times New Roman" w:eastAsia="仿宋" w:cs="Times New Roman"/>
                <w:color w:val="auto"/>
                <w:sz w:val="24"/>
                <w:highlight w:val="none"/>
              </w:rPr>
              <w:t>积极做好</w:t>
            </w:r>
            <w:r>
              <w:rPr>
                <w:rFonts w:ascii="Times New Roman" w:hAnsi="Times New Roman" w:eastAsia="仿宋" w:cs="Times New Roman"/>
                <w:color w:val="auto"/>
                <w:sz w:val="24"/>
                <w:highlight w:val="none"/>
              </w:rPr>
              <w:t>各类创建活动</w:t>
            </w:r>
            <w:r>
              <w:rPr>
                <w:rFonts w:hint="eastAsia" w:ascii="Times New Roman" w:hAnsi="Times New Roman" w:eastAsia="仿宋" w:cs="Times New Roman"/>
                <w:color w:val="auto"/>
                <w:sz w:val="24"/>
                <w:highlight w:val="none"/>
              </w:rPr>
              <w:t>和</w:t>
            </w:r>
            <w:r>
              <w:rPr>
                <w:rFonts w:ascii="Times New Roman" w:hAnsi="Times New Roman" w:eastAsia="仿宋" w:cs="Times New Roman"/>
                <w:color w:val="auto"/>
                <w:sz w:val="24"/>
                <w:highlight w:val="none"/>
              </w:rPr>
              <w:t>重大</w:t>
            </w:r>
            <w:r>
              <w:rPr>
                <w:rFonts w:hint="eastAsia" w:ascii="Times New Roman" w:hAnsi="Times New Roman" w:eastAsia="仿宋" w:cs="Times New Roman"/>
                <w:color w:val="auto"/>
                <w:sz w:val="24"/>
                <w:highlight w:val="none"/>
              </w:rPr>
              <w:t>检查活动保障工作</w:t>
            </w:r>
            <w:r>
              <w:rPr>
                <w:rFonts w:ascii="Times New Roman" w:hAnsi="Times New Roman" w:eastAsia="仿宋" w:cs="Times New Roman"/>
                <w:color w:val="auto"/>
                <w:sz w:val="24"/>
                <w:highlight w:val="none"/>
              </w:rPr>
              <w:t>，</w:t>
            </w:r>
            <w:r>
              <w:rPr>
                <w:rFonts w:hint="eastAsia" w:ascii="Times New Roman" w:hAnsi="Times New Roman" w:eastAsia="仿宋" w:cs="Times New Roman"/>
                <w:color w:val="auto"/>
                <w:sz w:val="24"/>
                <w:highlight w:val="none"/>
              </w:rPr>
              <w:t>并</w:t>
            </w:r>
            <w:r>
              <w:rPr>
                <w:rFonts w:ascii="Times New Roman" w:hAnsi="Times New Roman" w:eastAsia="仿宋" w:cs="Times New Roman"/>
                <w:color w:val="auto"/>
                <w:sz w:val="24"/>
                <w:highlight w:val="none"/>
              </w:rPr>
              <w:t>采取有效措施保障水质达标。</w:t>
            </w:r>
          </w:p>
        </w:tc>
        <w:tc>
          <w:tcPr>
            <w:tcW w:w="3263" w:type="dxa"/>
          </w:tcPr>
          <w:p>
            <w:pPr>
              <w:spacing w:line="300" w:lineRule="auto"/>
              <w:rPr>
                <w:rFonts w:ascii="Times New Roman" w:hAnsi="Times New Roman" w:eastAsia="仿宋" w:cs="Times New Roman"/>
                <w:b/>
                <w:color w:val="auto"/>
                <w:sz w:val="24"/>
                <w:highlight w:val="none"/>
              </w:rPr>
            </w:pPr>
            <w:r>
              <w:rPr>
                <w:rFonts w:ascii="Times New Roman" w:hAnsi="Times New Roman" w:eastAsia="仿宋" w:cs="Times New Roman"/>
                <w:color w:val="auto"/>
                <w:sz w:val="24"/>
                <w:highlight w:val="none"/>
              </w:rPr>
              <w:t>未按</w:t>
            </w:r>
            <w:r>
              <w:rPr>
                <w:rFonts w:hint="eastAsia" w:ascii="Times New Roman" w:hAnsi="Times New Roman" w:eastAsia="仿宋" w:cs="Times New Roman"/>
                <w:color w:val="auto"/>
                <w:sz w:val="24"/>
                <w:highlight w:val="none"/>
              </w:rPr>
              <w:t>要求的，视情节轻重</w:t>
            </w:r>
            <w:r>
              <w:rPr>
                <w:rFonts w:ascii="Times New Roman" w:hAnsi="Times New Roman" w:eastAsia="仿宋" w:cs="Times New Roman"/>
                <w:color w:val="auto"/>
                <w:sz w:val="24"/>
                <w:highlight w:val="none"/>
              </w:rPr>
              <w:t>扣</w:t>
            </w:r>
            <w:r>
              <w:rPr>
                <w:rFonts w:hint="eastAsia" w:ascii="Times New Roman" w:hAnsi="Times New Roman" w:eastAsia="仿宋" w:cs="Times New Roman"/>
                <w:color w:val="auto"/>
                <w:sz w:val="24"/>
                <w:highlight w:val="none"/>
              </w:rPr>
              <w:t>1-</w:t>
            </w:r>
            <w:r>
              <w:rPr>
                <w:rFonts w:ascii="Times New Roman" w:hAnsi="Times New Roman" w:eastAsia="仿宋" w:cs="Times New Roman"/>
                <w:color w:val="auto"/>
                <w:sz w:val="24"/>
                <w:highlight w:val="none"/>
              </w:rPr>
              <w:t>10分/次</w:t>
            </w:r>
            <w:r>
              <w:rPr>
                <w:rFonts w:hint="eastAsia" w:ascii="Times New Roman" w:hAnsi="Times New Roman" w:eastAsia="仿宋" w:cs="Times New Roman"/>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98"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5113" w:type="dxa"/>
          </w:tcPr>
          <w:p>
            <w:pPr>
              <w:spacing w:line="300" w:lineRule="auto"/>
              <w:rPr>
                <w:rFonts w:ascii="Times New Roman" w:hAnsi="Times New Roman" w:eastAsia="仿宋" w:cs="Times New Roman"/>
                <w:color w:val="auto"/>
                <w:sz w:val="24"/>
                <w:highlight w:val="none"/>
              </w:rPr>
            </w:pPr>
            <w:r>
              <w:rPr>
                <w:rFonts w:hint="eastAsia" w:ascii="Times New Roman" w:hAnsi="Times New Roman" w:eastAsia="仿宋" w:cs="Times New Roman"/>
                <w:b/>
                <w:bCs/>
                <w:color w:val="auto"/>
                <w:sz w:val="24"/>
                <w:highlight w:val="none"/>
              </w:rPr>
              <w:t>6、其它：做好各类涉水的信访、投诉等相关工作，</w:t>
            </w:r>
            <w:r>
              <w:rPr>
                <w:rFonts w:ascii="Times New Roman" w:hAnsi="Times New Roman" w:eastAsia="仿宋" w:cs="Times New Roman"/>
                <w:color w:val="auto"/>
                <w:sz w:val="24"/>
                <w:highlight w:val="none"/>
              </w:rPr>
              <w:t>主动宣传</w:t>
            </w:r>
            <w:r>
              <w:rPr>
                <w:rFonts w:hint="eastAsia" w:ascii="Times New Roman" w:hAnsi="Times New Roman" w:eastAsia="仿宋" w:cs="Times New Roman"/>
                <w:color w:val="auto"/>
                <w:sz w:val="24"/>
                <w:highlight w:val="none"/>
              </w:rPr>
              <w:t>和</w:t>
            </w:r>
            <w:r>
              <w:rPr>
                <w:rFonts w:ascii="Times New Roman" w:hAnsi="Times New Roman" w:eastAsia="仿宋" w:cs="Times New Roman"/>
                <w:color w:val="auto"/>
                <w:sz w:val="24"/>
                <w:highlight w:val="none"/>
              </w:rPr>
              <w:t>参与</w:t>
            </w:r>
            <w:r>
              <w:rPr>
                <w:rFonts w:hint="eastAsia" w:ascii="Times New Roman" w:hAnsi="Times New Roman" w:eastAsia="仿宋" w:cs="Times New Roman"/>
                <w:color w:val="auto"/>
                <w:sz w:val="24"/>
                <w:highlight w:val="none"/>
              </w:rPr>
              <w:t>水质养护相关的各类</w:t>
            </w:r>
            <w:r>
              <w:rPr>
                <w:rFonts w:ascii="Times New Roman" w:hAnsi="Times New Roman" w:eastAsia="仿宋" w:cs="Times New Roman"/>
                <w:color w:val="auto"/>
                <w:sz w:val="24"/>
                <w:highlight w:val="none"/>
              </w:rPr>
              <w:t>活动。</w:t>
            </w:r>
          </w:p>
        </w:tc>
        <w:tc>
          <w:tcPr>
            <w:tcW w:w="3263" w:type="dxa"/>
          </w:tcPr>
          <w:p>
            <w:pPr>
              <w:spacing w:line="300" w:lineRule="auto"/>
              <w:rPr>
                <w:rFonts w:ascii="Times New Roman" w:hAnsi="Times New Roman" w:eastAsia="仿宋" w:cs="Times New Roman"/>
                <w:b/>
                <w:color w:val="auto"/>
                <w:sz w:val="24"/>
                <w:highlight w:val="none"/>
              </w:rPr>
            </w:pPr>
            <w:r>
              <w:rPr>
                <w:rFonts w:hint="eastAsia" w:ascii="Times New Roman" w:hAnsi="Times New Roman" w:eastAsia="仿宋" w:cs="Times New Roman"/>
                <w:color w:val="auto"/>
                <w:sz w:val="24"/>
                <w:highlight w:val="none"/>
              </w:rPr>
              <w:t>有负面影响的，视情节轻重</w:t>
            </w:r>
            <w:r>
              <w:rPr>
                <w:rFonts w:ascii="Times New Roman" w:hAnsi="Times New Roman" w:eastAsia="仿宋" w:cs="Times New Roman"/>
                <w:color w:val="auto"/>
                <w:sz w:val="24"/>
                <w:highlight w:val="none"/>
              </w:rPr>
              <w:t>扣</w:t>
            </w:r>
            <w:r>
              <w:rPr>
                <w:rFonts w:hint="eastAsia" w:ascii="Times New Roman" w:hAnsi="Times New Roman" w:eastAsia="仿宋" w:cs="Times New Roman"/>
                <w:color w:val="auto"/>
                <w:sz w:val="24"/>
                <w:highlight w:val="none"/>
              </w:rPr>
              <w:t>1-</w:t>
            </w:r>
            <w:r>
              <w:rPr>
                <w:rFonts w:ascii="Times New Roman" w:hAnsi="Times New Roman" w:eastAsia="仿宋" w:cs="Times New Roman"/>
                <w:color w:val="auto"/>
                <w:sz w:val="24"/>
                <w:highlight w:val="none"/>
              </w:rPr>
              <w:t>10分/次</w:t>
            </w:r>
            <w:r>
              <w:rPr>
                <w:rFonts w:hint="eastAsia" w:ascii="Times New Roman" w:hAnsi="Times New Roman" w:eastAsia="仿宋" w:cs="Times New Roman"/>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74" w:type="dxa"/>
            <w:gridSpan w:val="3"/>
            <w:vAlign w:val="center"/>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注</w:t>
            </w:r>
            <w:r>
              <w:rPr>
                <w:rFonts w:hint="eastAsia" w:ascii="Times New Roman" w:hAnsi="Times New Roman" w:eastAsia="仿宋" w:cs="Times New Roman"/>
                <w:color w:val="auto"/>
                <w:sz w:val="24"/>
                <w:highlight w:val="none"/>
              </w:rPr>
              <w:t>：</w:t>
            </w:r>
            <w:r>
              <w:rPr>
                <w:rFonts w:ascii="Times New Roman" w:hAnsi="Times New Roman" w:eastAsia="仿宋" w:cs="Times New Roman"/>
                <w:color w:val="auto"/>
                <w:sz w:val="24"/>
                <w:highlight w:val="none"/>
              </w:rPr>
              <w:t>本细则扣分纳入月度考核</w:t>
            </w:r>
            <w:r>
              <w:rPr>
                <w:rFonts w:hint="eastAsia" w:ascii="Times New Roman" w:hAnsi="Times New Roman" w:eastAsia="仿宋" w:cs="Times New Roman"/>
                <w:color w:val="auto"/>
                <w:sz w:val="24"/>
                <w:highlight w:val="none"/>
              </w:rPr>
              <w:t>。</w:t>
            </w:r>
          </w:p>
        </w:tc>
      </w:tr>
    </w:tbl>
    <w:p>
      <w:pPr>
        <w:spacing w:line="360" w:lineRule="auto"/>
        <w:ind w:firstLine="551" w:firstLineChars="196"/>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 xml:space="preserve">                  </w:t>
      </w:r>
      <w:r>
        <w:rPr>
          <w:rFonts w:ascii="Times New Roman" w:hAnsi="Times New Roman" w:eastAsia="仿宋" w:cs="Times New Roman"/>
          <w:b/>
          <w:color w:val="auto"/>
          <w:sz w:val="24"/>
          <w:highlight w:val="none"/>
        </w:rPr>
        <w:t xml:space="preserve">   </w:t>
      </w:r>
      <w:r>
        <w:rPr>
          <w:rFonts w:ascii="Times New Roman" w:hAnsi="Times New Roman" w:eastAsia="仿宋" w:cs="Times New Roman"/>
          <w:b/>
          <w:color w:val="auto"/>
          <w:sz w:val="28"/>
          <w:szCs w:val="28"/>
          <w:highlight w:val="none"/>
        </w:rPr>
        <w:t xml:space="preserve"> </w:t>
      </w:r>
    </w:p>
    <w:p>
      <w:pPr>
        <w:spacing w:line="360" w:lineRule="auto"/>
        <w:ind w:firstLine="551" w:firstLineChars="196"/>
        <w:jc w:val="cente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 xml:space="preserve">表6 </w:t>
      </w:r>
      <w:r>
        <w:rPr>
          <w:rFonts w:hint="eastAsia" w:ascii="Times New Roman" w:hAnsi="Times New Roman" w:eastAsia="仿宋" w:cs="Times New Roman"/>
          <w:b/>
          <w:color w:val="auto"/>
          <w:sz w:val="28"/>
          <w:szCs w:val="28"/>
          <w:highlight w:val="none"/>
        </w:rPr>
        <w:t>日常</w:t>
      </w:r>
      <w:r>
        <w:rPr>
          <w:rFonts w:ascii="Times New Roman" w:hAnsi="Times New Roman" w:eastAsia="仿宋" w:cs="Times New Roman"/>
          <w:b/>
          <w:color w:val="auto"/>
          <w:sz w:val="28"/>
          <w:szCs w:val="28"/>
          <w:highlight w:val="none"/>
        </w:rPr>
        <w:t>管理规范</w:t>
      </w:r>
      <w:r>
        <w:rPr>
          <w:rFonts w:hint="eastAsia" w:eastAsia="仿宋" w:cs="Times New Roman"/>
          <w:b/>
          <w:color w:val="auto"/>
          <w:sz w:val="28"/>
          <w:szCs w:val="28"/>
          <w:highlight w:val="none"/>
          <w:lang w:val="en-US" w:eastAsia="zh-CN"/>
        </w:rPr>
        <w:t>和</w:t>
      </w:r>
      <w:r>
        <w:rPr>
          <w:rFonts w:hint="eastAsia" w:ascii="Times New Roman" w:hAnsi="Times New Roman" w:eastAsia="仿宋" w:cs="Times New Roman"/>
          <w:b/>
          <w:color w:val="auto"/>
          <w:sz w:val="28"/>
          <w:szCs w:val="28"/>
          <w:highlight w:val="none"/>
        </w:rPr>
        <w:t>扣款</w:t>
      </w:r>
      <w:r>
        <w:rPr>
          <w:rFonts w:ascii="Times New Roman" w:hAnsi="Times New Roman" w:eastAsia="仿宋" w:cs="Times New Roman"/>
          <w:b/>
          <w:color w:val="auto"/>
          <w:sz w:val="28"/>
          <w:szCs w:val="28"/>
          <w:highlight w:val="none"/>
        </w:rPr>
        <w:t>细则</w:t>
      </w:r>
    </w:p>
    <w:tbl>
      <w:tblPr>
        <w:tblStyle w:val="23"/>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075"/>
        <w:gridCol w:w="4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330" w:type="dxa"/>
            <w:vAlign w:val="center"/>
          </w:tcPr>
          <w:p>
            <w:pPr>
              <w:spacing w:line="300" w:lineRule="auto"/>
              <w:jc w:val="center"/>
              <w:rPr>
                <w:rFonts w:ascii="Times New Roman" w:hAnsi="Times New Roman" w:eastAsia="仿宋" w:cs="Times New Roman"/>
                <w:b/>
                <w:color w:val="auto"/>
                <w:sz w:val="24"/>
                <w:highlight w:val="none"/>
              </w:rPr>
            </w:pPr>
            <w:r>
              <w:rPr>
                <w:rFonts w:ascii="Times New Roman" w:hAnsi="Times New Roman" w:eastAsia="仿宋" w:cs="Times New Roman"/>
                <w:b/>
                <w:color w:val="auto"/>
                <w:sz w:val="24"/>
                <w:highlight w:val="none"/>
              </w:rPr>
              <w:t>管理内容</w:t>
            </w:r>
          </w:p>
        </w:tc>
        <w:tc>
          <w:tcPr>
            <w:tcW w:w="4075" w:type="dxa"/>
          </w:tcPr>
          <w:p>
            <w:pPr>
              <w:spacing w:line="300" w:lineRule="auto"/>
              <w:rPr>
                <w:rFonts w:ascii="Times New Roman" w:hAnsi="Times New Roman" w:eastAsia="仿宋" w:cs="Times New Roman"/>
                <w:b/>
                <w:color w:val="auto"/>
                <w:sz w:val="24"/>
                <w:highlight w:val="none"/>
              </w:rPr>
            </w:pPr>
            <w:r>
              <w:rPr>
                <w:rFonts w:ascii="Times New Roman" w:hAnsi="Times New Roman" w:eastAsia="仿宋" w:cs="Times New Roman"/>
                <w:b/>
                <w:color w:val="auto"/>
                <w:sz w:val="24"/>
                <w:highlight w:val="none"/>
              </w:rPr>
              <w:t xml:space="preserve">             </w:t>
            </w:r>
            <w:r>
              <w:rPr>
                <w:rFonts w:hint="eastAsia" w:ascii="Times New Roman" w:hAnsi="Times New Roman" w:eastAsia="仿宋" w:cs="Times New Roman"/>
                <w:b/>
                <w:color w:val="auto"/>
                <w:sz w:val="24"/>
                <w:highlight w:val="none"/>
              </w:rPr>
              <w:t>日常</w:t>
            </w:r>
            <w:r>
              <w:rPr>
                <w:rFonts w:ascii="Times New Roman" w:hAnsi="Times New Roman" w:eastAsia="仿宋" w:cs="Times New Roman"/>
                <w:b/>
                <w:color w:val="auto"/>
                <w:sz w:val="24"/>
                <w:highlight w:val="none"/>
              </w:rPr>
              <w:t>管理</w:t>
            </w:r>
            <w:r>
              <w:rPr>
                <w:rFonts w:hint="eastAsia" w:ascii="Times New Roman" w:hAnsi="Times New Roman" w:eastAsia="仿宋" w:cs="Times New Roman"/>
                <w:b/>
                <w:color w:val="auto"/>
                <w:sz w:val="24"/>
                <w:highlight w:val="none"/>
              </w:rPr>
              <w:t>规范</w:t>
            </w:r>
            <w:r>
              <w:rPr>
                <w:rFonts w:ascii="Times New Roman" w:hAnsi="Times New Roman" w:eastAsia="仿宋" w:cs="Times New Roman"/>
                <w:b/>
                <w:color w:val="auto"/>
                <w:sz w:val="24"/>
                <w:highlight w:val="none"/>
              </w:rPr>
              <w:t xml:space="preserve">  </w:t>
            </w:r>
          </w:p>
        </w:tc>
        <w:tc>
          <w:tcPr>
            <w:tcW w:w="4162" w:type="dxa"/>
          </w:tcPr>
          <w:p>
            <w:pPr>
              <w:spacing w:line="300" w:lineRule="auto"/>
              <w:rPr>
                <w:rFonts w:ascii="Times New Roman" w:hAnsi="Times New Roman" w:eastAsia="仿宋" w:cs="Times New Roman"/>
                <w:b/>
                <w:color w:val="auto"/>
                <w:sz w:val="24"/>
                <w:highlight w:val="none"/>
              </w:rPr>
            </w:pPr>
            <w:r>
              <w:rPr>
                <w:rFonts w:ascii="Times New Roman" w:hAnsi="Times New Roman" w:eastAsia="仿宋" w:cs="Times New Roman"/>
                <w:b/>
                <w:color w:val="auto"/>
                <w:sz w:val="24"/>
                <w:highlight w:val="none"/>
              </w:rPr>
              <w:t xml:space="preserve">              </w:t>
            </w:r>
            <w:r>
              <w:rPr>
                <w:rFonts w:hint="eastAsia" w:ascii="Times New Roman" w:hAnsi="Times New Roman" w:eastAsia="仿宋" w:cs="Times New Roman"/>
                <w:b/>
                <w:color w:val="auto"/>
                <w:sz w:val="24"/>
                <w:highlight w:val="none"/>
              </w:rPr>
              <w:t>扣款细则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0" w:type="dxa"/>
            <w:vMerge w:val="restart"/>
            <w:vAlign w:val="center"/>
          </w:tcPr>
          <w:p>
            <w:pPr>
              <w:spacing w:line="300" w:lineRule="auto"/>
              <w:jc w:val="center"/>
              <w:rPr>
                <w:rFonts w:ascii="Times New Roman" w:hAnsi="Times New Roman" w:eastAsia="仿宋" w:cs="Times New Roman"/>
                <w:b/>
                <w:color w:val="auto"/>
                <w:sz w:val="24"/>
                <w:highlight w:val="none"/>
              </w:rPr>
            </w:pPr>
            <w:r>
              <w:rPr>
                <w:rFonts w:hint="eastAsia" w:ascii="Times New Roman" w:hAnsi="Times New Roman" w:eastAsia="仿宋" w:cs="Times New Roman"/>
                <w:b/>
                <w:color w:val="auto"/>
                <w:sz w:val="24"/>
                <w:highlight w:val="none"/>
              </w:rPr>
              <w:t>人员</w:t>
            </w:r>
            <w:r>
              <w:rPr>
                <w:rFonts w:ascii="Times New Roman" w:hAnsi="Times New Roman" w:eastAsia="仿宋" w:cs="Times New Roman"/>
                <w:b/>
                <w:color w:val="auto"/>
                <w:sz w:val="24"/>
                <w:highlight w:val="none"/>
              </w:rPr>
              <w:t>设施</w:t>
            </w:r>
          </w:p>
        </w:tc>
        <w:tc>
          <w:tcPr>
            <w:tcW w:w="4075"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1、养护单位的项目经理、法人代表应配合参加会议</w:t>
            </w:r>
            <w:r>
              <w:rPr>
                <w:rFonts w:hint="eastAsia" w:ascii="Times New Roman" w:hAnsi="Times New Roman" w:eastAsia="仿宋" w:cs="Times New Roman"/>
                <w:color w:val="auto"/>
                <w:sz w:val="24"/>
                <w:highlight w:val="none"/>
              </w:rPr>
              <w:t>及相关</w:t>
            </w:r>
            <w:r>
              <w:rPr>
                <w:rFonts w:ascii="Times New Roman" w:hAnsi="Times New Roman" w:eastAsia="仿宋" w:cs="Times New Roman"/>
                <w:color w:val="auto"/>
                <w:sz w:val="24"/>
                <w:highlight w:val="none"/>
              </w:rPr>
              <w:t>活动，并积极做好应急保障工作。</w:t>
            </w:r>
          </w:p>
        </w:tc>
        <w:tc>
          <w:tcPr>
            <w:tcW w:w="4162"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项目经理、法人代表未按要求参加会议</w:t>
            </w:r>
            <w:r>
              <w:rPr>
                <w:rFonts w:hint="eastAsia" w:ascii="Times New Roman" w:hAnsi="Times New Roman" w:eastAsia="仿宋" w:cs="Times New Roman"/>
                <w:color w:val="auto"/>
                <w:sz w:val="24"/>
                <w:highlight w:val="none"/>
              </w:rPr>
              <w:t>及相关</w:t>
            </w:r>
            <w:r>
              <w:rPr>
                <w:rFonts w:ascii="Times New Roman" w:hAnsi="Times New Roman" w:eastAsia="仿宋" w:cs="Times New Roman"/>
                <w:color w:val="auto"/>
                <w:sz w:val="24"/>
                <w:highlight w:val="none"/>
              </w:rPr>
              <w:t>活动</w:t>
            </w:r>
            <w:r>
              <w:rPr>
                <w:rFonts w:hint="eastAsia" w:ascii="Times New Roman" w:hAnsi="Times New Roman" w:eastAsia="仿宋" w:cs="Times New Roman"/>
                <w:color w:val="auto"/>
                <w:sz w:val="24"/>
                <w:highlight w:val="none"/>
              </w:rPr>
              <w:t>的，</w:t>
            </w:r>
            <w:r>
              <w:rPr>
                <w:rFonts w:ascii="Times New Roman" w:hAnsi="Times New Roman" w:eastAsia="仿宋" w:cs="Times New Roman"/>
                <w:color w:val="auto"/>
                <w:sz w:val="24"/>
                <w:highlight w:val="none"/>
              </w:rPr>
              <w:t>扣款2000元/次；未能做好应急保障工作造成不良影响的，扣款2000-5000元/次。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0"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4075"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2、在合同期内</w:t>
            </w:r>
            <w:r>
              <w:rPr>
                <w:rFonts w:hint="eastAsia" w:ascii="Times New Roman" w:hAnsi="Times New Roman" w:eastAsia="仿宋" w:cs="Times New Roman"/>
                <w:color w:val="auto"/>
                <w:sz w:val="24"/>
                <w:highlight w:val="none"/>
              </w:rPr>
              <w:t>原则上不允许</w:t>
            </w:r>
            <w:r>
              <w:rPr>
                <w:rFonts w:ascii="Times New Roman" w:hAnsi="Times New Roman" w:eastAsia="仿宋" w:cs="Times New Roman"/>
                <w:color w:val="auto"/>
                <w:sz w:val="24"/>
                <w:highlight w:val="none"/>
              </w:rPr>
              <w:t>更换项目经理，施工期间项目经理不得擅离施工现场。</w:t>
            </w:r>
          </w:p>
        </w:tc>
        <w:tc>
          <w:tcPr>
            <w:tcW w:w="4162"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养护单位擅自更换项目经理扣款20000元/次；项目经理未经批准擅自离开施工现场的，扣款2000元/次。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0"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4075" w:type="dxa"/>
          </w:tcPr>
          <w:p>
            <w:pPr>
              <w:autoSpaceDE w:val="0"/>
              <w:autoSpaceDN w:val="0"/>
              <w:adjustRightInd w:val="0"/>
              <w:spacing w:line="300" w:lineRule="auto"/>
              <w:jc w:val="left"/>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3、项目经理应及时履行管理职责，养护单位收到《整改通知书》应及时采取督促和改进措施。</w:t>
            </w:r>
          </w:p>
        </w:tc>
        <w:tc>
          <w:tcPr>
            <w:tcW w:w="4162" w:type="dxa"/>
          </w:tcPr>
          <w:p>
            <w:pPr>
              <w:autoSpaceDE w:val="0"/>
              <w:autoSpaceDN w:val="0"/>
              <w:adjustRightInd w:val="0"/>
              <w:spacing w:line="300" w:lineRule="auto"/>
              <w:jc w:val="left"/>
              <w:rPr>
                <w:rFonts w:ascii="Times New Roman" w:hAnsi="Times New Roman" w:eastAsia="仿宋" w:cs="Times New Roman"/>
                <w:color w:val="auto"/>
                <w:sz w:val="24"/>
                <w:highlight w:val="none"/>
              </w:rPr>
            </w:pPr>
            <w:r>
              <w:rPr>
                <w:rFonts w:hint="eastAsia" w:eastAsia="仿宋" w:cs="Times New Roman"/>
                <w:color w:val="auto"/>
                <w:sz w:val="24"/>
                <w:highlight w:val="none"/>
                <w:lang w:eastAsia="zh-CN"/>
              </w:rPr>
              <w:t>采购单位</w:t>
            </w:r>
            <w:r>
              <w:rPr>
                <w:rFonts w:ascii="Times New Roman" w:hAnsi="Times New Roman" w:eastAsia="仿宋" w:cs="Times New Roman"/>
                <w:color w:val="auto"/>
                <w:sz w:val="24"/>
                <w:highlight w:val="none"/>
              </w:rPr>
              <w:t>有权根据项目经理不作为的行为要求更换项目经理，养护单位无正当理由拒绝更换的，扣款20000元/次。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0"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4075" w:type="dxa"/>
          </w:tcPr>
          <w:p>
            <w:pPr>
              <w:autoSpaceDE w:val="0"/>
              <w:autoSpaceDN w:val="0"/>
              <w:adjustRightInd w:val="0"/>
              <w:spacing w:line="300" w:lineRule="auto"/>
              <w:jc w:val="left"/>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4、列入养护的河道，应按养护面积每50000平方米配备一艘电动船、2名养护工人</w:t>
            </w:r>
            <w:r>
              <w:rPr>
                <w:rFonts w:hint="eastAsia" w:ascii="Times New Roman" w:hAnsi="Times New Roman" w:eastAsia="仿宋" w:cs="Times New Roman"/>
                <w:color w:val="auto"/>
                <w:sz w:val="24"/>
                <w:highlight w:val="none"/>
              </w:rPr>
              <w:t>（应急养护河道</w:t>
            </w:r>
            <w:r>
              <w:rPr>
                <w:rFonts w:hint="eastAsia" w:eastAsia="仿宋" w:cs="Times New Roman"/>
                <w:color w:val="auto"/>
                <w:sz w:val="24"/>
                <w:highlight w:val="none"/>
                <w:lang w:val="en-US" w:eastAsia="zh-CN"/>
              </w:rPr>
              <w:t>允许减半配备</w:t>
            </w:r>
            <w:r>
              <w:rPr>
                <w:rFonts w:hint="eastAsia" w:ascii="Times New Roman" w:hAnsi="Times New Roman" w:eastAsia="仿宋" w:cs="Times New Roman"/>
                <w:color w:val="auto"/>
                <w:sz w:val="24"/>
                <w:highlight w:val="none"/>
              </w:rPr>
              <w:t>）</w:t>
            </w:r>
            <w:r>
              <w:rPr>
                <w:rFonts w:ascii="Times New Roman" w:hAnsi="Times New Roman" w:eastAsia="仿宋" w:cs="Times New Roman"/>
                <w:color w:val="auto"/>
                <w:sz w:val="24"/>
                <w:highlight w:val="none"/>
              </w:rPr>
              <w:t>，并安装GPS进行轨迹追踪，一天巡查一次。</w:t>
            </w:r>
          </w:p>
        </w:tc>
        <w:tc>
          <w:tcPr>
            <w:tcW w:w="4162" w:type="dxa"/>
          </w:tcPr>
          <w:p>
            <w:pPr>
              <w:autoSpaceDE w:val="0"/>
              <w:autoSpaceDN w:val="0"/>
              <w:adjustRightInd w:val="0"/>
              <w:spacing w:line="300" w:lineRule="auto"/>
              <w:jc w:val="left"/>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出现未按规定配备船只、人员和实施巡查情况的，扣款5000-20000元/次。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0"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4075"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5、每个养护单位每月上报通讯稿两篇。</w:t>
            </w:r>
          </w:p>
        </w:tc>
        <w:tc>
          <w:tcPr>
            <w:tcW w:w="4162"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未达到要求的扣500元/篇。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1" w:hRule="atLeast"/>
          <w:jc w:val="center"/>
        </w:trPr>
        <w:tc>
          <w:tcPr>
            <w:tcW w:w="1330" w:type="dxa"/>
            <w:vMerge w:val="restart"/>
            <w:vAlign w:val="center"/>
          </w:tcPr>
          <w:p>
            <w:pPr>
              <w:spacing w:line="300" w:lineRule="auto"/>
              <w:jc w:val="center"/>
              <w:rPr>
                <w:rFonts w:ascii="Times New Roman" w:hAnsi="Times New Roman" w:eastAsia="仿宋" w:cs="Times New Roman"/>
                <w:b/>
                <w:color w:val="auto"/>
                <w:sz w:val="24"/>
                <w:highlight w:val="none"/>
              </w:rPr>
            </w:pPr>
            <w:r>
              <w:rPr>
                <w:rFonts w:ascii="Times New Roman" w:hAnsi="Times New Roman" w:eastAsia="仿宋" w:cs="Times New Roman"/>
                <w:b/>
                <w:color w:val="auto"/>
                <w:sz w:val="24"/>
                <w:highlight w:val="none"/>
              </w:rPr>
              <w:t>养护</w:t>
            </w:r>
            <w:r>
              <w:rPr>
                <w:rFonts w:hint="eastAsia" w:ascii="Times New Roman" w:hAnsi="Times New Roman" w:eastAsia="仿宋" w:cs="Times New Roman"/>
                <w:b/>
                <w:color w:val="auto"/>
                <w:sz w:val="24"/>
                <w:highlight w:val="none"/>
              </w:rPr>
              <w:t>设备</w:t>
            </w:r>
          </w:p>
        </w:tc>
        <w:tc>
          <w:tcPr>
            <w:tcW w:w="4075" w:type="dxa"/>
          </w:tcPr>
          <w:p>
            <w:pPr>
              <w:autoSpaceDE w:val="0"/>
              <w:autoSpaceDN w:val="0"/>
              <w:adjustRightInd w:val="0"/>
              <w:spacing w:line="300" w:lineRule="auto"/>
              <w:jc w:val="left"/>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1、要求安装一体化设备或生态净化系统等强化净化设施</w:t>
            </w:r>
            <w:r>
              <w:rPr>
                <w:rFonts w:hint="eastAsia" w:ascii="Times New Roman" w:hAnsi="Times New Roman" w:eastAsia="仿宋" w:cs="Times New Roman"/>
                <w:color w:val="auto"/>
                <w:sz w:val="24"/>
                <w:highlight w:val="none"/>
              </w:rPr>
              <w:t>的</w:t>
            </w:r>
            <w:r>
              <w:rPr>
                <w:rFonts w:ascii="Times New Roman" w:hAnsi="Times New Roman" w:eastAsia="仿宋" w:cs="Times New Roman"/>
                <w:color w:val="auto"/>
                <w:sz w:val="24"/>
                <w:highlight w:val="none"/>
              </w:rPr>
              <w:t>河道，生态净化系统原则上采用原位安装，河岸有安装条件的，可采用旁路安装。</w:t>
            </w:r>
          </w:p>
        </w:tc>
        <w:tc>
          <w:tcPr>
            <w:tcW w:w="4162" w:type="dxa"/>
          </w:tcPr>
          <w:p>
            <w:pPr>
              <w:autoSpaceDE w:val="0"/>
              <w:autoSpaceDN w:val="0"/>
              <w:adjustRightInd w:val="0"/>
              <w:spacing w:line="300" w:lineRule="auto"/>
              <w:jc w:val="left"/>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设施投入单独计入河道年度养护预算，该部分价格按照养护单位中标价格进一步核定，强化净化设施费用按照养护单位中标价格下浮比例等比例下浮；如果因各种原因没有实施安装</w:t>
            </w:r>
            <w:r>
              <w:rPr>
                <w:rFonts w:hint="eastAsia" w:ascii="Times New Roman" w:hAnsi="Times New Roman" w:eastAsia="仿宋" w:cs="Times New Roman"/>
                <w:color w:val="auto"/>
                <w:sz w:val="24"/>
                <w:highlight w:val="none"/>
              </w:rPr>
              <w:t>的</w:t>
            </w:r>
            <w:r>
              <w:rPr>
                <w:rFonts w:ascii="Times New Roman" w:hAnsi="Times New Roman" w:eastAsia="仿宋" w:cs="Times New Roman"/>
                <w:color w:val="auto"/>
                <w:sz w:val="24"/>
                <w:highlight w:val="none"/>
              </w:rPr>
              <w:t>，一次性扣除所在河道设施增支费用。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0"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4075" w:type="dxa"/>
          </w:tcPr>
          <w:p>
            <w:pPr>
              <w:autoSpaceDE w:val="0"/>
              <w:autoSpaceDN w:val="0"/>
              <w:adjustRightInd w:val="0"/>
              <w:spacing w:line="300" w:lineRule="auto"/>
              <w:jc w:val="left"/>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2、安装一体化设备的河道，对一体化设备进出水去除率进行考核，氨氮、总磷平均去除率应达到40%；设置原位（旁路）生态净化系统的河道，</w:t>
            </w:r>
            <w:r>
              <w:rPr>
                <w:rFonts w:hint="eastAsia" w:ascii="Times New Roman" w:hAnsi="Times New Roman" w:eastAsia="仿宋" w:cs="Times New Roman"/>
                <w:color w:val="auto"/>
                <w:sz w:val="24"/>
                <w:highlight w:val="none"/>
              </w:rPr>
              <w:t>对</w:t>
            </w:r>
            <w:r>
              <w:rPr>
                <w:rFonts w:ascii="Times New Roman" w:hAnsi="Times New Roman" w:eastAsia="仿宋" w:cs="Times New Roman"/>
                <w:color w:val="auto"/>
                <w:sz w:val="24"/>
                <w:highlight w:val="none"/>
              </w:rPr>
              <w:t>系统出水进行考核，出水应满足浊度＜10NTU，叶绿素（a）＜12mg/m</w:t>
            </w:r>
            <w:r>
              <w:rPr>
                <w:rFonts w:ascii="Times New Roman" w:hAnsi="Times New Roman" w:eastAsia="仿宋" w:cs="Times New Roman"/>
                <w:color w:val="auto"/>
                <w:sz w:val="24"/>
                <w:highlight w:val="none"/>
                <w:vertAlign w:val="superscript"/>
              </w:rPr>
              <w:t>3</w:t>
            </w:r>
            <w:r>
              <w:rPr>
                <w:rFonts w:ascii="Times New Roman" w:hAnsi="Times New Roman" w:eastAsia="仿宋" w:cs="Times New Roman"/>
                <w:bCs/>
                <w:color w:val="auto"/>
                <w:sz w:val="24"/>
                <w:highlight w:val="none"/>
              </w:rPr>
              <w:t>。</w:t>
            </w:r>
          </w:p>
        </w:tc>
        <w:tc>
          <w:tcPr>
            <w:tcW w:w="4162" w:type="dxa"/>
          </w:tcPr>
          <w:p>
            <w:pPr>
              <w:autoSpaceDE w:val="0"/>
              <w:autoSpaceDN w:val="0"/>
              <w:adjustRightInd w:val="0"/>
              <w:spacing w:line="300" w:lineRule="auto"/>
              <w:jc w:val="left"/>
              <w:rPr>
                <w:rFonts w:ascii="Times New Roman" w:hAnsi="Times New Roman" w:eastAsia="仿宋" w:cs="Times New Roman"/>
                <w:color w:val="auto"/>
                <w:sz w:val="24"/>
                <w:highlight w:val="none"/>
              </w:rPr>
            </w:pPr>
            <w:r>
              <w:rPr>
                <w:rFonts w:ascii="Times New Roman" w:hAnsi="Times New Roman" w:eastAsia="仿宋" w:cs="Times New Roman"/>
                <w:bCs/>
                <w:color w:val="auto"/>
                <w:sz w:val="24"/>
                <w:highlight w:val="none"/>
              </w:rPr>
              <w:t>一体化设备进出水的氨氮、总磷平均去除率未达到40%，扣除该养护河道5%的月度养管费用；生态净化系统的出水未满足浊度＜10NTU，</w:t>
            </w:r>
            <w:r>
              <w:rPr>
                <w:rFonts w:ascii="Times New Roman" w:hAnsi="Times New Roman" w:eastAsia="仿宋" w:cs="Times New Roman"/>
                <w:color w:val="auto"/>
                <w:sz w:val="24"/>
                <w:highlight w:val="none"/>
              </w:rPr>
              <w:t>叶绿素（a）＜12mg/m</w:t>
            </w:r>
            <w:r>
              <w:rPr>
                <w:rFonts w:ascii="Times New Roman" w:hAnsi="Times New Roman" w:eastAsia="仿宋" w:cs="Times New Roman"/>
                <w:color w:val="auto"/>
                <w:sz w:val="24"/>
                <w:highlight w:val="none"/>
                <w:vertAlign w:val="superscript"/>
              </w:rPr>
              <w:t>3</w:t>
            </w:r>
            <w:r>
              <w:rPr>
                <w:rFonts w:ascii="Times New Roman" w:hAnsi="Times New Roman" w:eastAsia="仿宋" w:cs="Times New Roman"/>
                <w:color w:val="auto"/>
                <w:sz w:val="24"/>
                <w:highlight w:val="none"/>
              </w:rPr>
              <w:t>，扣除该养护河道5%的月度养管费用。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0" w:type="dxa"/>
            <w:vMerge w:val="restart"/>
            <w:vAlign w:val="center"/>
          </w:tcPr>
          <w:p>
            <w:pPr>
              <w:spacing w:line="300" w:lineRule="auto"/>
              <w:jc w:val="center"/>
              <w:rPr>
                <w:rFonts w:ascii="Times New Roman" w:hAnsi="Times New Roman" w:eastAsia="仿宋" w:cs="Times New Roman"/>
                <w:b/>
                <w:color w:val="auto"/>
                <w:sz w:val="24"/>
                <w:highlight w:val="none"/>
              </w:rPr>
            </w:pPr>
            <w:r>
              <w:rPr>
                <w:rFonts w:ascii="Times New Roman" w:hAnsi="Times New Roman" w:eastAsia="仿宋" w:cs="Times New Roman"/>
                <w:b/>
                <w:color w:val="auto"/>
                <w:sz w:val="24"/>
                <w:highlight w:val="none"/>
              </w:rPr>
              <w:t>水质</w:t>
            </w:r>
            <w:r>
              <w:rPr>
                <w:rFonts w:hint="eastAsia" w:ascii="Times New Roman" w:hAnsi="Times New Roman" w:eastAsia="仿宋" w:cs="Times New Roman"/>
                <w:b/>
                <w:color w:val="auto"/>
                <w:sz w:val="24"/>
                <w:highlight w:val="none"/>
              </w:rPr>
              <w:t>、生态</w:t>
            </w:r>
          </w:p>
        </w:tc>
        <w:tc>
          <w:tcPr>
            <w:tcW w:w="4075" w:type="dxa"/>
          </w:tcPr>
          <w:p>
            <w:pPr>
              <w:spacing w:line="300" w:lineRule="auto"/>
              <w:rPr>
                <w:rFonts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1</w:t>
            </w:r>
            <w:r>
              <w:rPr>
                <w:rFonts w:ascii="Times New Roman" w:hAnsi="Times New Roman" w:eastAsia="仿宋" w:cs="Times New Roman"/>
                <w:color w:val="auto"/>
                <w:sz w:val="24"/>
                <w:highlight w:val="none"/>
              </w:rPr>
              <w:t>、精品河道和清水河道定期抽查进行生物毒性检测，生物毒性检测结果应</w:t>
            </w:r>
            <w:r>
              <w:rPr>
                <w:rFonts w:hint="eastAsia" w:ascii="Times New Roman" w:hAnsi="Times New Roman" w:eastAsia="仿宋" w:cs="Times New Roman"/>
                <w:color w:val="auto"/>
                <w:sz w:val="24"/>
                <w:highlight w:val="none"/>
              </w:rPr>
              <w:t>不超过</w:t>
            </w:r>
            <w:r>
              <w:rPr>
                <w:rFonts w:ascii="Times New Roman" w:hAnsi="Times New Roman" w:eastAsia="仿宋" w:cs="Times New Roman"/>
                <w:color w:val="auto"/>
                <w:sz w:val="24"/>
                <w:highlight w:val="none"/>
              </w:rPr>
              <w:t>10%。</w:t>
            </w:r>
          </w:p>
        </w:tc>
        <w:tc>
          <w:tcPr>
            <w:tcW w:w="4162"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生物毒性测试结果大于10%，视情节轻重，扣款5000-20000元/次。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0"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4075" w:type="dxa"/>
          </w:tcPr>
          <w:p>
            <w:pPr>
              <w:spacing w:line="300" w:lineRule="auto"/>
              <w:rPr>
                <w:rFonts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2</w:t>
            </w:r>
            <w:r>
              <w:rPr>
                <w:rFonts w:ascii="Times New Roman" w:hAnsi="Times New Roman" w:eastAsia="仿宋" w:cs="Times New Roman"/>
                <w:color w:val="auto"/>
                <w:sz w:val="24"/>
                <w:highlight w:val="none"/>
              </w:rPr>
              <w:t>、精品河道要求感官可见</w:t>
            </w:r>
            <w:r>
              <w:rPr>
                <w:rFonts w:hint="eastAsia" w:ascii="Times New Roman" w:hAnsi="Times New Roman" w:eastAsia="仿宋" w:cs="Times New Roman"/>
                <w:color w:val="auto"/>
                <w:sz w:val="24"/>
                <w:highlight w:val="none"/>
              </w:rPr>
              <w:t>丰富的鱼类等</w:t>
            </w:r>
            <w:r>
              <w:rPr>
                <w:rFonts w:ascii="Times New Roman" w:hAnsi="Times New Roman" w:eastAsia="仿宋" w:cs="Times New Roman"/>
                <w:color w:val="auto"/>
                <w:sz w:val="24"/>
                <w:highlight w:val="none"/>
              </w:rPr>
              <w:t>水生动物。</w:t>
            </w:r>
          </w:p>
        </w:tc>
        <w:tc>
          <w:tcPr>
            <w:tcW w:w="4162"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不满足要求</w:t>
            </w:r>
            <w:r>
              <w:rPr>
                <w:rFonts w:hint="eastAsia" w:ascii="Times New Roman" w:hAnsi="Times New Roman" w:eastAsia="仿宋" w:cs="Times New Roman"/>
                <w:color w:val="auto"/>
                <w:sz w:val="24"/>
                <w:highlight w:val="none"/>
              </w:rPr>
              <w:t>的</w:t>
            </w:r>
            <w:r>
              <w:rPr>
                <w:rFonts w:ascii="Times New Roman" w:hAnsi="Times New Roman" w:eastAsia="仿宋" w:cs="Times New Roman"/>
                <w:color w:val="auto"/>
                <w:sz w:val="24"/>
                <w:highlight w:val="none"/>
              </w:rPr>
              <w:t>，扣除该养护河道5%的月度养管费用。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330"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4075" w:type="dxa"/>
          </w:tcPr>
          <w:p>
            <w:pPr>
              <w:spacing w:line="300" w:lineRule="auto"/>
              <w:rPr>
                <w:rFonts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3</w:t>
            </w:r>
            <w:r>
              <w:rPr>
                <w:rFonts w:ascii="Times New Roman" w:hAnsi="Times New Roman" w:eastAsia="仿宋" w:cs="Times New Roman"/>
                <w:color w:val="auto"/>
                <w:sz w:val="24"/>
                <w:highlight w:val="none"/>
              </w:rPr>
              <w:t>、养护河道内不</w:t>
            </w:r>
            <w:r>
              <w:rPr>
                <w:rFonts w:hint="eastAsia" w:ascii="Times New Roman" w:hAnsi="Times New Roman" w:eastAsia="仿宋" w:cs="Times New Roman"/>
                <w:color w:val="auto"/>
                <w:sz w:val="24"/>
                <w:highlight w:val="none"/>
              </w:rPr>
              <w:t>能</w:t>
            </w:r>
            <w:r>
              <w:rPr>
                <w:rFonts w:ascii="Times New Roman" w:hAnsi="Times New Roman" w:eastAsia="仿宋" w:cs="Times New Roman"/>
                <w:color w:val="auto"/>
                <w:sz w:val="24"/>
                <w:highlight w:val="none"/>
              </w:rPr>
              <w:t>出现大面积死鱼现象。</w:t>
            </w:r>
            <w:r>
              <w:rPr>
                <w:rFonts w:hint="eastAsia" w:ascii="Times New Roman" w:hAnsi="Times New Roman" w:eastAsia="仿宋" w:cs="Times New Roman"/>
                <w:color w:val="auto"/>
                <w:sz w:val="24"/>
                <w:highlight w:val="none"/>
              </w:rPr>
              <w:t>如有发生要求</w:t>
            </w:r>
            <w:r>
              <w:rPr>
                <w:rFonts w:ascii="Times New Roman" w:hAnsi="Times New Roman" w:eastAsia="仿宋" w:cs="Times New Roman"/>
                <w:color w:val="auto"/>
                <w:sz w:val="24"/>
                <w:highlight w:val="none"/>
              </w:rPr>
              <w:t>进行成因分析，并出具书面解决方案</w:t>
            </w:r>
            <w:r>
              <w:rPr>
                <w:rFonts w:hint="eastAsia" w:ascii="Times New Roman" w:hAnsi="Times New Roman" w:eastAsia="仿宋" w:cs="Times New Roman"/>
                <w:color w:val="auto"/>
                <w:sz w:val="24"/>
                <w:highlight w:val="none"/>
              </w:rPr>
              <w:t>。</w:t>
            </w:r>
          </w:p>
        </w:tc>
        <w:tc>
          <w:tcPr>
            <w:tcW w:w="4162" w:type="dxa"/>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由于养护单位投加药剂</w:t>
            </w:r>
            <w:r>
              <w:rPr>
                <w:rFonts w:hint="eastAsia" w:ascii="Times New Roman" w:hAnsi="Times New Roman" w:eastAsia="仿宋" w:cs="Times New Roman"/>
                <w:color w:val="auto"/>
                <w:sz w:val="24"/>
                <w:highlight w:val="none"/>
                <w:lang w:val="en-US" w:eastAsia="zh-CN"/>
              </w:rPr>
              <w:t>或养护不力</w:t>
            </w:r>
            <w:r>
              <w:rPr>
                <w:rFonts w:ascii="Times New Roman" w:hAnsi="Times New Roman" w:eastAsia="仿宋" w:cs="Times New Roman"/>
                <w:color w:val="auto"/>
                <w:sz w:val="24"/>
                <w:highlight w:val="none"/>
              </w:rPr>
              <w:t>导致的大面积死鱼现象，扣款5000-20000元/次。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0"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4075" w:type="dxa"/>
          </w:tcPr>
          <w:p>
            <w:pPr>
              <w:spacing w:line="300" w:lineRule="auto"/>
              <w:rPr>
                <w:rFonts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4</w:t>
            </w:r>
            <w:r>
              <w:rPr>
                <w:rFonts w:ascii="Times New Roman" w:hAnsi="Times New Roman" w:eastAsia="仿宋" w:cs="Times New Roman"/>
                <w:color w:val="auto"/>
                <w:sz w:val="24"/>
                <w:highlight w:val="none"/>
              </w:rPr>
              <w:t>、养护河道不</w:t>
            </w:r>
            <w:r>
              <w:rPr>
                <w:rFonts w:hint="eastAsia" w:ascii="Times New Roman" w:hAnsi="Times New Roman" w:eastAsia="仿宋" w:cs="Times New Roman"/>
                <w:color w:val="auto"/>
                <w:sz w:val="24"/>
                <w:highlight w:val="none"/>
                <w:lang w:val="en-US" w:eastAsia="zh-CN"/>
              </w:rPr>
              <w:t>能</w:t>
            </w:r>
            <w:r>
              <w:rPr>
                <w:rFonts w:ascii="Times New Roman" w:hAnsi="Times New Roman" w:eastAsia="仿宋" w:cs="Times New Roman"/>
                <w:color w:val="auto"/>
                <w:sz w:val="24"/>
                <w:highlight w:val="none"/>
              </w:rPr>
              <w:t>因为</w:t>
            </w:r>
            <w:r>
              <w:rPr>
                <w:rFonts w:hint="eastAsia" w:ascii="Times New Roman" w:hAnsi="Times New Roman" w:eastAsia="仿宋" w:cs="Times New Roman"/>
                <w:color w:val="auto"/>
                <w:sz w:val="24"/>
                <w:highlight w:val="none"/>
              </w:rPr>
              <w:t>水质</w:t>
            </w:r>
            <w:r>
              <w:rPr>
                <w:rFonts w:ascii="Times New Roman" w:hAnsi="Times New Roman" w:eastAsia="仿宋" w:cs="Times New Roman"/>
                <w:color w:val="auto"/>
                <w:sz w:val="24"/>
                <w:highlight w:val="none"/>
              </w:rPr>
              <w:t>问题被上级部门</w:t>
            </w:r>
            <w:r>
              <w:rPr>
                <w:rFonts w:hint="eastAsia" w:ascii="Times New Roman" w:hAnsi="Times New Roman" w:eastAsia="仿宋" w:cs="Times New Roman"/>
                <w:color w:val="auto"/>
                <w:sz w:val="24"/>
                <w:highlight w:val="none"/>
                <w:lang w:val="en-US" w:eastAsia="zh-CN"/>
              </w:rPr>
              <w:t>通报、督查</w:t>
            </w:r>
            <w:r>
              <w:rPr>
                <w:rFonts w:ascii="Times New Roman" w:hAnsi="Times New Roman" w:eastAsia="仿宋" w:cs="Times New Roman"/>
                <w:color w:val="auto"/>
                <w:sz w:val="24"/>
                <w:highlight w:val="none"/>
              </w:rPr>
              <w:t>或被媒体曝光。</w:t>
            </w:r>
          </w:p>
        </w:tc>
        <w:tc>
          <w:tcPr>
            <w:tcW w:w="4162" w:type="dxa"/>
          </w:tcPr>
          <w:p>
            <w:pPr>
              <w:spacing w:line="300" w:lineRule="auto"/>
              <w:rPr>
                <w:rFonts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lang w:val="en-US" w:eastAsia="zh-CN"/>
              </w:rPr>
              <w:t>出现问题</w:t>
            </w:r>
            <w:r>
              <w:rPr>
                <w:rFonts w:hint="eastAsia" w:ascii="Times New Roman" w:hAnsi="Times New Roman" w:eastAsia="仿宋" w:cs="Times New Roman"/>
                <w:color w:val="auto"/>
                <w:sz w:val="24"/>
                <w:highlight w:val="none"/>
              </w:rPr>
              <w:t>扣款5000-20000元/次；情况特别严重的，扣款10000-50000元/次，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0" w:type="dxa"/>
            <w:vMerge w:val="continue"/>
            <w:vAlign w:val="center"/>
          </w:tcPr>
          <w:p>
            <w:pPr>
              <w:spacing w:line="300" w:lineRule="auto"/>
              <w:jc w:val="center"/>
              <w:rPr>
                <w:rFonts w:ascii="Times New Roman" w:hAnsi="Times New Roman" w:eastAsia="仿宋" w:cs="Times New Roman"/>
                <w:b/>
                <w:color w:val="auto"/>
                <w:sz w:val="24"/>
                <w:highlight w:val="none"/>
              </w:rPr>
            </w:pPr>
          </w:p>
        </w:tc>
        <w:tc>
          <w:tcPr>
            <w:tcW w:w="4075" w:type="dxa"/>
          </w:tcPr>
          <w:p>
            <w:pPr>
              <w:autoSpaceDE w:val="0"/>
              <w:autoSpaceDN w:val="0"/>
              <w:adjustRightInd w:val="0"/>
              <w:spacing w:line="300" w:lineRule="auto"/>
              <w:jc w:val="left"/>
              <w:rPr>
                <w:rFonts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5</w:t>
            </w:r>
            <w:r>
              <w:rPr>
                <w:rFonts w:ascii="Times New Roman" w:hAnsi="Times New Roman" w:eastAsia="仿宋" w:cs="Times New Roman"/>
                <w:color w:val="auto"/>
                <w:sz w:val="24"/>
                <w:highlight w:val="none"/>
              </w:rPr>
              <w:t>、</w:t>
            </w:r>
            <w:r>
              <w:rPr>
                <w:rFonts w:hint="eastAsia" w:ascii="Times New Roman" w:hAnsi="Times New Roman" w:eastAsia="仿宋" w:cs="Times New Roman"/>
                <w:color w:val="auto"/>
                <w:sz w:val="24"/>
                <w:highlight w:val="none"/>
                <w:lang w:val="en-US" w:eastAsia="zh-CN"/>
              </w:rPr>
              <w:t>做好水质异常预防工作，</w:t>
            </w:r>
            <w:r>
              <w:rPr>
                <w:rFonts w:ascii="Times New Roman" w:hAnsi="Times New Roman" w:eastAsia="仿宋" w:cs="Times New Roman"/>
                <w:color w:val="auto"/>
                <w:sz w:val="24"/>
                <w:highlight w:val="none"/>
              </w:rPr>
              <w:t>如出现黑臭、蓝绿藻</w:t>
            </w:r>
            <w:r>
              <w:rPr>
                <w:rFonts w:hint="eastAsia" w:ascii="Times New Roman" w:hAnsi="Times New Roman" w:eastAsia="仿宋" w:cs="Times New Roman"/>
                <w:color w:val="auto"/>
                <w:sz w:val="24"/>
                <w:highlight w:val="none"/>
                <w:lang w:val="en-US" w:eastAsia="zh-CN"/>
              </w:rPr>
              <w:t>等水质异常</w:t>
            </w:r>
            <w:r>
              <w:rPr>
                <w:rFonts w:hint="eastAsia" w:ascii="Times New Roman" w:hAnsi="Times New Roman" w:eastAsia="仿宋" w:cs="Times New Roman"/>
                <w:color w:val="auto"/>
                <w:sz w:val="24"/>
                <w:highlight w:val="none"/>
              </w:rPr>
              <w:t>问题</w:t>
            </w:r>
            <w:r>
              <w:rPr>
                <w:rFonts w:ascii="Times New Roman" w:hAnsi="Times New Roman" w:eastAsia="仿宋" w:cs="Times New Roman"/>
                <w:color w:val="auto"/>
                <w:sz w:val="24"/>
                <w:highlight w:val="none"/>
              </w:rPr>
              <w:t>的，</w:t>
            </w:r>
            <w:r>
              <w:rPr>
                <w:rFonts w:hint="eastAsia" w:ascii="Times New Roman" w:hAnsi="Times New Roman" w:eastAsia="仿宋" w:cs="Times New Roman"/>
                <w:color w:val="auto"/>
                <w:sz w:val="24"/>
                <w:highlight w:val="none"/>
                <w:lang w:val="en-US" w:eastAsia="zh-CN"/>
              </w:rPr>
              <w:t>应第一时间发现、</w:t>
            </w:r>
            <w:r>
              <w:rPr>
                <w:rFonts w:ascii="Times New Roman" w:hAnsi="Times New Roman" w:eastAsia="仿宋" w:cs="Times New Roman"/>
                <w:color w:val="auto"/>
                <w:sz w:val="24"/>
                <w:highlight w:val="none"/>
              </w:rPr>
              <w:t>响应，并立即采取</w:t>
            </w:r>
            <w:r>
              <w:rPr>
                <w:rFonts w:hint="eastAsia" w:ascii="Times New Roman" w:hAnsi="Times New Roman" w:eastAsia="仿宋" w:cs="Times New Roman"/>
                <w:color w:val="auto"/>
                <w:sz w:val="24"/>
                <w:highlight w:val="none"/>
                <w:lang w:val="en-US" w:eastAsia="zh-CN"/>
              </w:rPr>
              <w:t>有效</w:t>
            </w:r>
            <w:r>
              <w:rPr>
                <w:rFonts w:ascii="Times New Roman" w:hAnsi="Times New Roman" w:eastAsia="仿宋" w:cs="Times New Roman"/>
                <w:color w:val="auto"/>
                <w:sz w:val="24"/>
                <w:highlight w:val="none"/>
              </w:rPr>
              <w:t>措施</w:t>
            </w:r>
            <w:r>
              <w:rPr>
                <w:rFonts w:hint="eastAsia" w:ascii="Times New Roman" w:hAnsi="Times New Roman" w:eastAsia="仿宋" w:cs="Times New Roman"/>
                <w:color w:val="auto"/>
                <w:sz w:val="24"/>
                <w:highlight w:val="none"/>
                <w:lang w:val="en-US" w:eastAsia="zh-CN"/>
              </w:rPr>
              <w:t>予以恢复水质常态</w:t>
            </w:r>
            <w:r>
              <w:rPr>
                <w:rFonts w:ascii="Times New Roman" w:hAnsi="Times New Roman" w:eastAsia="仿宋" w:cs="Times New Roman"/>
                <w:color w:val="auto"/>
                <w:sz w:val="24"/>
                <w:highlight w:val="none"/>
              </w:rPr>
              <w:t>。</w:t>
            </w:r>
          </w:p>
        </w:tc>
        <w:tc>
          <w:tcPr>
            <w:tcW w:w="4162" w:type="dxa"/>
          </w:tcPr>
          <w:p>
            <w:pPr>
              <w:spacing w:line="300" w:lineRule="auto"/>
              <w:rPr>
                <w:rFonts w:ascii="Times New Roman" w:hAnsi="Times New Roman" w:eastAsia="仿宋" w:cs="Times New Roman"/>
                <w:b/>
                <w:color w:val="auto"/>
                <w:sz w:val="24"/>
                <w:highlight w:val="none"/>
              </w:rPr>
            </w:pPr>
            <w:r>
              <w:rPr>
                <w:rFonts w:ascii="Times New Roman" w:hAnsi="Times New Roman" w:eastAsia="仿宋" w:cs="Times New Roman"/>
                <w:color w:val="auto"/>
                <w:sz w:val="24"/>
                <w:highlight w:val="none"/>
              </w:rPr>
              <w:t>未及时</w:t>
            </w:r>
            <w:r>
              <w:rPr>
                <w:rFonts w:hint="eastAsia" w:ascii="Times New Roman" w:hAnsi="Times New Roman" w:eastAsia="仿宋" w:cs="Times New Roman"/>
                <w:color w:val="auto"/>
                <w:sz w:val="24"/>
                <w:highlight w:val="none"/>
                <w:lang w:val="en-US" w:eastAsia="zh-CN"/>
              </w:rPr>
              <w:t>发现、</w:t>
            </w:r>
            <w:r>
              <w:rPr>
                <w:rFonts w:ascii="Times New Roman" w:hAnsi="Times New Roman" w:eastAsia="仿宋" w:cs="Times New Roman"/>
                <w:color w:val="auto"/>
                <w:sz w:val="24"/>
                <w:highlight w:val="none"/>
              </w:rPr>
              <w:t>响应或未采取</w:t>
            </w:r>
            <w:r>
              <w:rPr>
                <w:rFonts w:hint="eastAsia" w:ascii="Times New Roman" w:hAnsi="Times New Roman" w:eastAsia="仿宋" w:cs="Times New Roman"/>
                <w:color w:val="auto"/>
                <w:sz w:val="24"/>
                <w:highlight w:val="none"/>
                <w:lang w:val="en-US" w:eastAsia="zh-CN"/>
              </w:rPr>
              <w:t>有效</w:t>
            </w:r>
            <w:r>
              <w:rPr>
                <w:rFonts w:ascii="Times New Roman" w:hAnsi="Times New Roman" w:eastAsia="仿宋" w:cs="Times New Roman"/>
                <w:color w:val="auto"/>
                <w:sz w:val="24"/>
                <w:highlight w:val="none"/>
              </w:rPr>
              <w:t>措施的，扣款5000-20000元/次，如情节特别严重或造成不良影响的，加倍扣款，扣完为止。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0" w:type="dxa"/>
            <w:vAlign w:val="center"/>
          </w:tcPr>
          <w:p>
            <w:pPr>
              <w:spacing w:line="300" w:lineRule="auto"/>
              <w:jc w:val="center"/>
              <w:rPr>
                <w:rFonts w:ascii="Times New Roman" w:hAnsi="Times New Roman" w:eastAsia="仿宋" w:cs="Times New Roman"/>
                <w:b/>
                <w:color w:val="auto"/>
                <w:sz w:val="24"/>
                <w:highlight w:val="none"/>
              </w:rPr>
            </w:pPr>
            <w:r>
              <w:rPr>
                <w:rFonts w:ascii="Times New Roman" w:hAnsi="Times New Roman" w:eastAsia="仿宋" w:cs="Times New Roman"/>
                <w:b/>
                <w:color w:val="auto"/>
                <w:sz w:val="24"/>
                <w:highlight w:val="none"/>
              </w:rPr>
              <w:t>达标</w:t>
            </w:r>
            <w:r>
              <w:rPr>
                <w:rFonts w:hint="eastAsia" w:ascii="Times New Roman" w:hAnsi="Times New Roman" w:eastAsia="仿宋" w:cs="Times New Roman"/>
                <w:b/>
                <w:color w:val="auto"/>
                <w:sz w:val="24"/>
                <w:highlight w:val="none"/>
              </w:rPr>
              <w:t>养护</w:t>
            </w:r>
          </w:p>
        </w:tc>
        <w:tc>
          <w:tcPr>
            <w:tcW w:w="4075" w:type="dxa"/>
          </w:tcPr>
          <w:p>
            <w:pPr>
              <w:autoSpaceDE w:val="0"/>
              <w:autoSpaceDN w:val="0"/>
              <w:adjustRightInd w:val="0"/>
              <w:spacing w:line="300" w:lineRule="auto"/>
              <w:jc w:val="left"/>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1、庙西河、南余河参照两套考核体系进行双项考核，第一套体系按照清水河道考核；第二套考核体系按照地表水Ⅴ类水进行达标考核。</w:t>
            </w:r>
          </w:p>
        </w:tc>
        <w:tc>
          <w:tcPr>
            <w:tcW w:w="4162" w:type="dxa"/>
          </w:tcPr>
          <w:p>
            <w:pPr>
              <w:spacing w:line="300" w:lineRule="auto"/>
              <w:rPr>
                <w:rFonts w:ascii="Times New Roman" w:hAnsi="Times New Roman" w:eastAsia="仿宋" w:cs="Times New Roman"/>
                <w:b/>
                <w:color w:val="auto"/>
                <w:sz w:val="24"/>
                <w:highlight w:val="none"/>
              </w:rPr>
            </w:pPr>
            <w:r>
              <w:rPr>
                <w:rFonts w:ascii="Times New Roman" w:hAnsi="Times New Roman" w:eastAsia="仿宋" w:cs="Times New Roman"/>
                <w:color w:val="auto"/>
                <w:sz w:val="24"/>
                <w:highlight w:val="none"/>
              </w:rPr>
              <w:t>第一套考核</w:t>
            </w:r>
            <w:r>
              <w:rPr>
                <w:rFonts w:hint="eastAsia" w:ascii="Times New Roman" w:hAnsi="Times New Roman" w:eastAsia="仿宋" w:cs="Times New Roman"/>
                <w:color w:val="auto"/>
                <w:sz w:val="24"/>
                <w:highlight w:val="none"/>
              </w:rPr>
              <w:t>体系</w:t>
            </w:r>
            <w:r>
              <w:rPr>
                <w:rFonts w:ascii="Times New Roman" w:hAnsi="Times New Roman" w:eastAsia="仿宋" w:cs="Times New Roman"/>
                <w:color w:val="auto"/>
                <w:sz w:val="24"/>
                <w:highlight w:val="none"/>
              </w:rPr>
              <w:t>与其它清水河道考核方式一致；第二套考核体系，月度考核结果未满足Ⅴ类水质标准的，扣除该河道当月Ⅴ类水质达标费用，并需提出整改措施。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67" w:type="dxa"/>
            <w:gridSpan w:val="3"/>
            <w:vAlign w:val="center"/>
          </w:tcPr>
          <w:p>
            <w:pPr>
              <w:spacing w:line="300" w:lineRule="auto"/>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注</w:t>
            </w:r>
            <w:r>
              <w:rPr>
                <w:rFonts w:hint="eastAsia" w:ascii="Times New Roman" w:hAnsi="Times New Roman" w:eastAsia="仿宋" w:cs="Times New Roman"/>
                <w:color w:val="auto"/>
                <w:sz w:val="24"/>
                <w:highlight w:val="none"/>
              </w:rPr>
              <w:t>：</w:t>
            </w:r>
            <w:r>
              <w:rPr>
                <w:rFonts w:ascii="Times New Roman" w:hAnsi="Times New Roman" w:eastAsia="仿宋" w:cs="Times New Roman"/>
                <w:color w:val="auto"/>
                <w:sz w:val="24"/>
                <w:highlight w:val="none"/>
              </w:rPr>
              <w:t>本扣款细则为月度考核</w:t>
            </w:r>
            <w:r>
              <w:rPr>
                <w:rFonts w:hint="eastAsia" w:ascii="Times New Roman" w:hAnsi="Times New Roman" w:eastAsia="仿宋" w:cs="Times New Roman"/>
                <w:color w:val="auto"/>
                <w:sz w:val="24"/>
                <w:highlight w:val="none"/>
              </w:rPr>
              <w:t>的补充</w:t>
            </w:r>
            <w:r>
              <w:rPr>
                <w:rFonts w:ascii="Times New Roman" w:hAnsi="Times New Roman" w:eastAsia="仿宋" w:cs="Times New Roman"/>
                <w:color w:val="auto"/>
                <w:sz w:val="24"/>
                <w:highlight w:val="none"/>
              </w:rPr>
              <w:t>扣款</w:t>
            </w:r>
            <w:r>
              <w:rPr>
                <w:rFonts w:hint="eastAsia" w:ascii="Times New Roman" w:hAnsi="Times New Roman" w:eastAsia="仿宋" w:cs="Times New Roman"/>
                <w:color w:val="auto"/>
                <w:sz w:val="24"/>
                <w:highlight w:val="none"/>
              </w:rPr>
              <w:t>内容</w:t>
            </w:r>
            <w:r>
              <w:rPr>
                <w:rFonts w:hint="eastAsia" w:ascii="Times New Roman" w:hAnsi="Times New Roman" w:eastAsia="仿宋" w:cs="Times New Roman"/>
                <w:color w:val="auto"/>
                <w:sz w:val="24"/>
                <w:highlight w:val="none"/>
                <w:lang w:eastAsia="zh-CN"/>
              </w:rPr>
              <w:t>，</w:t>
            </w:r>
            <w:r>
              <w:rPr>
                <w:rFonts w:hint="eastAsia" w:ascii="Times New Roman" w:hAnsi="Times New Roman" w:eastAsia="仿宋" w:cs="Times New Roman"/>
                <w:color w:val="auto"/>
                <w:sz w:val="24"/>
                <w:highlight w:val="none"/>
              </w:rPr>
              <w:t>上述扣款从河道月度养护经费中扣除。</w:t>
            </w:r>
          </w:p>
        </w:tc>
      </w:tr>
    </w:tbl>
    <w:p>
      <w:pP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br w:type="page"/>
      </w:r>
    </w:p>
    <w:p>
      <w:pPr>
        <w:spacing w:before="62" w:beforeLines="20" w:after="62" w:afterLines="20" w:line="360" w:lineRule="auto"/>
        <w:jc w:val="left"/>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2.</w:t>
      </w:r>
      <w:r>
        <w:rPr>
          <w:rFonts w:hint="eastAsia" w:ascii="Times New Roman" w:hAnsi="Times New Roman" w:eastAsia="仿宋" w:cs="Times New Roman"/>
          <w:b/>
          <w:color w:val="auto"/>
          <w:sz w:val="28"/>
          <w:szCs w:val="28"/>
          <w:highlight w:val="none"/>
        </w:rPr>
        <w:t>2</w:t>
      </w:r>
      <w:r>
        <w:rPr>
          <w:rFonts w:ascii="Times New Roman" w:hAnsi="Times New Roman" w:eastAsia="仿宋" w:cs="Times New Roman"/>
          <w:b/>
          <w:color w:val="auto"/>
          <w:sz w:val="28"/>
          <w:szCs w:val="28"/>
          <w:highlight w:val="none"/>
        </w:rPr>
        <w:t>考核审定</w:t>
      </w:r>
    </w:p>
    <w:p>
      <w:pPr>
        <w:spacing w:line="360" w:lineRule="auto"/>
        <w:ind w:firstLine="548" w:firstLineChars="196"/>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none"/>
        </w:rPr>
        <w:t>河道水质考核分为月度考核和年度考核。月度</w:t>
      </w:r>
      <w:r>
        <w:rPr>
          <w:rFonts w:hint="eastAsia" w:ascii="Times New Roman" w:hAnsi="Times New Roman" w:eastAsia="仿宋" w:cs="Times New Roman"/>
          <w:color w:val="auto"/>
          <w:sz w:val="28"/>
          <w:szCs w:val="28"/>
          <w:highlight w:val="none"/>
        </w:rPr>
        <w:t>考核累计支付不高于</w:t>
      </w:r>
      <w:r>
        <w:rPr>
          <w:rFonts w:hint="eastAsia" w:ascii="Times New Roman" w:hAnsi="Times New Roman" w:eastAsia="仿宋" w:cs="Times New Roman"/>
          <w:color w:val="auto"/>
          <w:sz w:val="28"/>
          <w:szCs w:val="28"/>
          <w:highlight w:val="none"/>
          <w:lang w:eastAsia="zh-CN"/>
        </w:rPr>
        <w:t>（</w:t>
      </w:r>
      <w:r>
        <w:rPr>
          <w:rFonts w:hint="eastAsia" w:ascii="Times New Roman" w:hAnsi="Times New Roman" w:eastAsia="仿宋" w:cs="Times New Roman"/>
          <w:color w:val="auto"/>
          <w:sz w:val="28"/>
          <w:szCs w:val="28"/>
          <w:highlight w:val="none"/>
          <w:lang w:val="en-US" w:eastAsia="zh-CN"/>
        </w:rPr>
        <w:t>第一年60%，第二、三年</w:t>
      </w:r>
      <w:r>
        <w:rPr>
          <w:rFonts w:hint="eastAsia" w:ascii="Times New Roman" w:hAnsi="Times New Roman" w:eastAsia="仿宋" w:cs="Times New Roman"/>
          <w:color w:val="auto"/>
          <w:sz w:val="28"/>
          <w:szCs w:val="28"/>
          <w:highlight w:val="none"/>
        </w:rPr>
        <w:t>8</w:t>
      </w:r>
      <w:r>
        <w:rPr>
          <w:rFonts w:ascii="Times New Roman" w:hAnsi="Times New Roman" w:eastAsia="仿宋" w:cs="Times New Roman"/>
          <w:color w:val="auto"/>
          <w:sz w:val="28"/>
          <w:szCs w:val="28"/>
          <w:highlight w:val="none"/>
        </w:rPr>
        <w:t>0%</w:t>
      </w:r>
      <w:r>
        <w:rPr>
          <w:rFonts w:hint="eastAsia" w:ascii="Times New Roman" w:hAnsi="Times New Roman" w:eastAsia="仿宋" w:cs="Times New Roman"/>
          <w:color w:val="auto"/>
          <w:sz w:val="28"/>
          <w:szCs w:val="28"/>
          <w:highlight w:val="none"/>
          <w:lang w:eastAsia="zh-CN"/>
        </w:rPr>
        <w:t>）</w:t>
      </w:r>
      <w:r>
        <w:rPr>
          <w:rFonts w:hint="eastAsia" w:ascii="Times New Roman" w:hAnsi="Times New Roman" w:eastAsia="仿宋" w:cs="Times New Roman"/>
          <w:color w:val="auto"/>
          <w:sz w:val="28"/>
          <w:szCs w:val="28"/>
          <w:highlight w:val="none"/>
        </w:rPr>
        <w:t>的</w:t>
      </w:r>
      <w:r>
        <w:rPr>
          <w:rFonts w:hint="eastAsia" w:ascii="Times New Roman" w:hAnsi="Times New Roman" w:eastAsia="仿宋" w:cs="Times New Roman"/>
          <w:color w:val="auto"/>
          <w:sz w:val="28"/>
          <w:szCs w:val="28"/>
          <w:highlight w:val="none"/>
          <w:lang w:eastAsia="zh-CN"/>
        </w:rPr>
        <w:t>年度合同款</w:t>
      </w:r>
      <w:r>
        <w:rPr>
          <w:rFonts w:ascii="Times New Roman" w:hAnsi="Times New Roman" w:eastAsia="仿宋" w:cs="Times New Roman"/>
          <w:color w:val="auto"/>
          <w:sz w:val="28"/>
          <w:szCs w:val="28"/>
          <w:highlight w:val="none"/>
        </w:rPr>
        <w:t>，根据月度考核</w:t>
      </w:r>
      <w:r>
        <w:rPr>
          <w:rFonts w:hint="eastAsia" w:ascii="Times New Roman" w:hAnsi="Times New Roman" w:eastAsia="仿宋" w:cs="Times New Roman"/>
          <w:color w:val="auto"/>
          <w:sz w:val="28"/>
          <w:szCs w:val="28"/>
          <w:highlight w:val="none"/>
        </w:rPr>
        <w:t>情况</w:t>
      </w:r>
      <w:r>
        <w:rPr>
          <w:rFonts w:ascii="Times New Roman" w:hAnsi="Times New Roman" w:eastAsia="仿宋" w:cs="Times New Roman"/>
          <w:color w:val="auto"/>
          <w:sz w:val="28"/>
          <w:szCs w:val="28"/>
          <w:highlight w:val="none"/>
        </w:rPr>
        <w:t>按月度</w:t>
      </w:r>
      <w:r>
        <w:rPr>
          <w:rFonts w:hint="eastAsia" w:ascii="Times New Roman" w:hAnsi="Times New Roman" w:eastAsia="仿宋" w:cs="Times New Roman"/>
          <w:color w:val="auto"/>
          <w:sz w:val="28"/>
          <w:szCs w:val="28"/>
          <w:highlight w:val="none"/>
        </w:rPr>
        <w:t>进行</w:t>
      </w:r>
      <w:r>
        <w:rPr>
          <w:rFonts w:ascii="Times New Roman" w:hAnsi="Times New Roman" w:eastAsia="仿宋" w:cs="Times New Roman"/>
          <w:color w:val="auto"/>
          <w:sz w:val="28"/>
          <w:szCs w:val="28"/>
          <w:highlight w:val="none"/>
        </w:rPr>
        <w:t>拨付；</w:t>
      </w:r>
      <w:r>
        <w:rPr>
          <w:rFonts w:hint="eastAsia" w:ascii="Times New Roman" w:hAnsi="Times New Roman" w:eastAsia="仿宋" w:cs="Times New Roman"/>
          <w:color w:val="auto"/>
          <w:sz w:val="28"/>
          <w:szCs w:val="28"/>
          <w:highlight w:val="none"/>
        </w:rPr>
        <w:t>年度考核支付费用占</w:t>
      </w:r>
      <w:r>
        <w:rPr>
          <w:rFonts w:ascii="Times New Roman" w:hAnsi="Times New Roman" w:eastAsia="仿宋" w:cs="Times New Roman"/>
          <w:color w:val="auto"/>
          <w:sz w:val="28"/>
          <w:szCs w:val="28"/>
          <w:highlight w:val="none"/>
        </w:rPr>
        <w:t>20%</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根据年度考核情况</w:t>
      </w:r>
      <w:r>
        <w:rPr>
          <w:rFonts w:hint="eastAsia" w:ascii="Times New Roman" w:hAnsi="Times New Roman" w:eastAsia="仿宋" w:cs="Times New Roman"/>
          <w:color w:val="auto"/>
          <w:sz w:val="28"/>
          <w:szCs w:val="28"/>
          <w:highlight w:val="none"/>
        </w:rPr>
        <w:t>在年末进行</w:t>
      </w:r>
      <w:r>
        <w:rPr>
          <w:rFonts w:ascii="Times New Roman" w:hAnsi="Times New Roman" w:eastAsia="仿宋" w:cs="Times New Roman"/>
          <w:color w:val="auto"/>
          <w:sz w:val="28"/>
          <w:szCs w:val="28"/>
          <w:highlight w:val="none"/>
        </w:rPr>
        <w:t>拨付。</w:t>
      </w:r>
    </w:p>
    <w:p>
      <w:pPr>
        <w:spacing w:line="360" w:lineRule="auto"/>
        <w:ind w:firstLine="551" w:firstLineChars="196"/>
        <w:rPr>
          <w:rFonts w:ascii="Times New Roman" w:hAnsi="Times New Roman" w:eastAsia="仿宋" w:cs="Times New Roman"/>
          <w:b/>
          <w:bCs/>
          <w:color w:val="auto"/>
          <w:sz w:val="28"/>
          <w:szCs w:val="28"/>
          <w:highlight w:val="none"/>
        </w:rPr>
      </w:pPr>
      <w:r>
        <w:rPr>
          <w:rFonts w:ascii="Times New Roman" w:hAnsi="Times New Roman" w:eastAsia="仿宋" w:cs="Times New Roman"/>
          <w:b/>
          <w:bCs/>
          <w:color w:val="auto"/>
          <w:sz w:val="28"/>
          <w:szCs w:val="28"/>
          <w:highlight w:val="none"/>
        </w:rPr>
        <w:t>（一）月度考核办法</w:t>
      </w:r>
    </w:p>
    <w:p>
      <w:pPr>
        <w:spacing w:line="360" w:lineRule="auto"/>
        <w:ind w:firstLine="560" w:firstLineChars="200"/>
        <w:rPr>
          <w:rFonts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lang w:val="en-US" w:eastAsia="zh-CN"/>
        </w:rPr>
        <w:t>1</w:t>
      </w:r>
      <w:r>
        <w:rPr>
          <w:rFonts w:hint="eastAsia" w:ascii="Times New Roman" w:hAnsi="Times New Roman" w:eastAsia="仿宋" w:cs="Times New Roman"/>
          <w:color w:val="auto"/>
          <w:sz w:val="28"/>
          <w:szCs w:val="28"/>
          <w:highlight w:val="none"/>
        </w:rPr>
        <w:t>、第一年，</w:t>
      </w:r>
      <w:r>
        <w:rPr>
          <w:rFonts w:hint="eastAsia" w:ascii="Times New Roman" w:hAnsi="Times New Roman" w:eastAsia="仿宋" w:cs="Times New Roman"/>
          <w:b w:val="0"/>
          <w:bCs/>
          <w:color w:val="auto"/>
          <w:sz w:val="28"/>
          <w:szCs w:val="28"/>
          <w:highlight w:val="none"/>
          <w:lang w:val="en-US" w:eastAsia="zh-CN"/>
        </w:rPr>
        <w:t>自工程验收合格之月的次月起为养护期，月度养护款按实际养护月数(N)结算。</w:t>
      </w:r>
      <w:r>
        <w:rPr>
          <w:rFonts w:hint="eastAsia" w:ascii="Times New Roman" w:hAnsi="Times New Roman" w:eastAsia="仿宋" w:cs="Times New Roman"/>
          <w:color w:val="auto"/>
          <w:sz w:val="28"/>
          <w:szCs w:val="28"/>
          <w:highlight w:val="none"/>
        </w:rPr>
        <w:t>单条河道</w:t>
      </w:r>
      <w:r>
        <w:rPr>
          <w:rFonts w:hint="eastAsia" w:ascii="Times New Roman" w:hAnsi="Times New Roman" w:eastAsia="仿宋" w:cs="Times New Roman"/>
          <w:color w:val="auto"/>
          <w:sz w:val="28"/>
          <w:szCs w:val="28"/>
          <w:highlight w:val="none"/>
          <w:lang w:val="en-US" w:eastAsia="zh-CN"/>
        </w:rPr>
        <w:t>月度</w:t>
      </w:r>
      <w:r>
        <w:rPr>
          <w:rFonts w:hint="eastAsia" w:ascii="Times New Roman" w:hAnsi="Times New Roman" w:eastAsia="仿宋" w:cs="Times New Roman"/>
          <w:color w:val="auto"/>
          <w:sz w:val="28"/>
          <w:szCs w:val="28"/>
          <w:highlight w:val="none"/>
        </w:rPr>
        <w:t>养护款=标段</w:t>
      </w:r>
      <w:r>
        <w:rPr>
          <w:rFonts w:hint="eastAsia" w:ascii="Times New Roman" w:hAnsi="Times New Roman" w:eastAsia="仿宋" w:cs="Times New Roman"/>
          <w:color w:val="auto"/>
          <w:sz w:val="28"/>
          <w:szCs w:val="28"/>
          <w:highlight w:val="none"/>
          <w:lang w:val="en-US" w:eastAsia="zh-CN"/>
        </w:rPr>
        <w:t>年</w:t>
      </w:r>
      <w:r>
        <w:rPr>
          <w:rFonts w:hint="eastAsia" w:ascii="Times New Roman" w:hAnsi="Times New Roman" w:eastAsia="仿宋" w:cs="Times New Roman"/>
          <w:color w:val="auto"/>
          <w:sz w:val="28"/>
          <w:szCs w:val="28"/>
          <w:highlight w:val="none"/>
          <w:lang w:eastAsia="zh-CN"/>
        </w:rPr>
        <w:t>合同</w:t>
      </w:r>
      <w:r>
        <w:rPr>
          <w:rFonts w:hint="eastAsia" w:ascii="Times New Roman" w:hAnsi="Times New Roman" w:eastAsia="仿宋" w:cs="Times New Roman"/>
          <w:color w:val="auto"/>
          <w:sz w:val="28"/>
          <w:szCs w:val="28"/>
          <w:highlight w:val="none"/>
          <w:lang w:val="en-US" w:eastAsia="zh-CN"/>
        </w:rPr>
        <w:t>单价×</w:t>
      </w:r>
      <w:r>
        <w:rPr>
          <w:rFonts w:hint="eastAsia" w:ascii="Times New Roman" w:hAnsi="Times New Roman" w:eastAsia="仿宋" w:cs="Times New Roman"/>
          <w:color w:val="auto"/>
          <w:sz w:val="28"/>
          <w:szCs w:val="28"/>
          <w:highlight w:val="none"/>
        </w:rPr>
        <w:t>单条河道面积</w:t>
      </w:r>
      <w:r>
        <w:rPr>
          <w:rFonts w:hint="eastAsia" w:ascii="Times New Roman" w:hAnsi="Times New Roman" w:eastAsia="仿宋" w:cs="Times New Roman"/>
          <w:color w:val="auto"/>
          <w:sz w:val="28"/>
          <w:szCs w:val="28"/>
          <w:highlight w:val="none"/>
          <w:lang w:val="en-US" w:eastAsia="zh-CN"/>
        </w:rPr>
        <w:t>×</w:t>
      </w:r>
      <w:r>
        <w:rPr>
          <w:rFonts w:hint="eastAsia" w:ascii="Times New Roman" w:hAnsi="Times New Roman" w:eastAsia="仿宋" w:cs="Times New Roman"/>
          <w:color w:val="auto"/>
          <w:sz w:val="28"/>
          <w:szCs w:val="28"/>
          <w:highlight w:val="none"/>
        </w:rPr>
        <w:t>60%/12</w:t>
      </w:r>
      <w:r>
        <w:rPr>
          <w:rFonts w:hint="eastAsia" w:ascii="Times New Roman" w:hAnsi="Times New Roman" w:eastAsia="仿宋" w:cs="Times New Roman"/>
          <w:color w:val="auto"/>
          <w:sz w:val="28"/>
          <w:szCs w:val="28"/>
          <w:highlight w:val="none"/>
          <w:lang w:val="en-US" w:eastAsia="zh-CN"/>
        </w:rPr>
        <w:t>×</w:t>
      </w:r>
      <w:r>
        <w:rPr>
          <w:rFonts w:hint="eastAsia" w:ascii="Times New Roman" w:hAnsi="Times New Roman" w:eastAsia="仿宋" w:cs="Times New Roman"/>
          <w:b w:val="0"/>
          <w:bCs/>
          <w:color w:val="auto"/>
          <w:sz w:val="28"/>
          <w:szCs w:val="28"/>
          <w:highlight w:val="none"/>
          <w:lang w:val="en-US" w:eastAsia="zh-CN"/>
        </w:rPr>
        <w:t>N</w:t>
      </w:r>
      <w:r>
        <w:rPr>
          <w:rFonts w:hint="eastAsia" w:ascii="Times New Roman" w:hAnsi="Times New Roman" w:eastAsia="仿宋" w:cs="Times New Roman"/>
          <w:color w:val="auto"/>
          <w:sz w:val="28"/>
          <w:szCs w:val="28"/>
          <w:highlight w:val="none"/>
        </w:rPr>
        <w:t>；第二</w:t>
      </w:r>
      <w:r>
        <w:rPr>
          <w:rFonts w:hint="eastAsia" w:ascii="Times New Roman" w:hAnsi="Times New Roman" w:eastAsia="仿宋" w:cs="Times New Roman"/>
          <w:color w:val="auto"/>
          <w:sz w:val="28"/>
          <w:szCs w:val="28"/>
          <w:highlight w:val="none"/>
          <w:lang w:val="en-US" w:eastAsia="zh-CN"/>
        </w:rPr>
        <w:t>/</w:t>
      </w:r>
      <w:r>
        <w:rPr>
          <w:rFonts w:hint="eastAsia" w:ascii="Times New Roman" w:hAnsi="Times New Roman" w:eastAsia="仿宋" w:cs="Times New Roman"/>
          <w:color w:val="auto"/>
          <w:sz w:val="28"/>
          <w:szCs w:val="28"/>
          <w:highlight w:val="none"/>
        </w:rPr>
        <w:t>三年，单条河道</w:t>
      </w:r>
      <w:r>
        <w:rPr>
          <w:rFonts w:hint="eastAsia" w:ascii="Times New Roman" w:hAnsi="Times New Roman" w:eastAsia="仿宋" w:cs="Times New Roman"/>
          <w:color w:val="auto"/>
          <w:sz w:val="28"/>
          <w:szCs w:val="28"/>
          <w:highlight w:val="none"/>
          <w:lang w:val="en-US" w:eastAsia="zh-CN"/>
        </w:rPr>
        <w:t>月度</w:t>
      </w:r>
      <w:r>
        <w:rPr>
          <w:rFonts w:hint="eastAsia" w:ascii="Times New Roman" w:hAnsi="Times New Roman" w:eastAsia="仿宋" w:cs="Times New Roman"/>
          <w:color w:val="auto"/>
          <w:sz w:val="28"/>
          <w:szCs w:val="28"/>
          <w:highlight w:val="none"/>
        </w:rPr>
        <w:t>养护款=标段</w:t>
      </w:r>
      <w:r>
        <w:rPr>
          <w:rFonts w:hint="eastAsia" w:ascii="Times New Roman" w:hAnsi="Times New Roman" w:eastAsia="仿宋" w:cs="Times New Roman"/>
          <w:color w:val="auto"/>
          <w:sz w:val="28"/>
          <w:szCs w:val="28"/>
          <w:highlight w:val="none"/>
          <w:lang w:val="en-US" w:eastAsia="zh-CN"/>
        </w:rPr>
        <w:t>年</w:t>
      </w:r>
      <w:r>
        <w:rPr>
          <w:rFonts w:hint="eastAsia" w:ascii="Times New Roman" w:hAnsi="Times New Roman" w:eastAsia="仿宋" w:cs="Times New Roman"/>
          <w:color w:val="auto"/>
          <w:sz w:val="28"/>
          <w:szCs w:val="28"/>
          <w:highlight w:val="none"/>
          <w:lang w:eastAsia="zh-CN"/>
        </w:rPr>
        <w:t>合同</w:t>
      </w:r>
      <w:r>
        <w:rPr>
          <w:rFonts w:hint="eastAsia" w:ascii="Times New Roman" w:hAnsi="Times New Roman" w:eastAsia="仿宋" w:cs="Times New Roman"/>
          <w:color w:val="auto"/>
          <w:sz w:val="28"/>
          <w:szCs w:val="28"/>
          <w:highlight w:val="none"/>
          <w:lang w:val="en-US" w:eastAsia="zh-CN"/>
        </w:rPr>
        <w:t>单价×</w:t>
      </w:r>
      <w:r>
        <w:rPr>
          <w:rFonts w:hint="eastAsia" w:ascii="Times New Roman" w:hAnsi="Times New Roman" w:eastAsia="仿宋" w:cs="Times New Roman"/>
          <w:color w:val="auto"/>
          <w:sz w:val="28"/>
          <w:szCs w:val="28"/>
          <w:highlight w:val="none"/>
        </w:rPr>
        <w:t>单条河道面积</w:t>
      </w:r>
      <w:r>
        <w:rPr>
          <w:rFonts w:hint="eastAsia" w:ascii="Times New Roman" w:hAnsi="Times New Roman" w:eastAsia="仿宋" w:cs="Times New Roman"/>
          <w:color w:val="auto"/>
          <w:sz w:val="28"/>
          <w:szCs w:val="28"/>
          <w:highlight w:val="none"/>
          <w:lang w:val="en-US" w:eastAsia="zh-CN"/>
        </w:rPr>
        <w:t>×8</w:t>
      </w:r>
      <w:r>
        <w:rPr>
          <w:rFonts w:hint="eastAsia" w:ascii="Times New Roman" w:hAnsi="Times New Roman" w:eastAsia="仿宋" w:cs="Times New Roman"/>
          <w:color w:val="auto"/>
          <w:sz w:val="28"/>
          <w:szCs w:val="28"/>
          <w:highlight w:val="none"/>
        </w:rPr>
        <w:t>0%/12</w:t>
      </w:r>
      <w:r>
        <w:rPr>
          <w:rFonts w:hint="eastAsia" w:ascii="Times New Roman" w:hAnsi="Times New Roman" w:eastAsia="仿宋" w:cs="Times New Roman"/>
          <w:color w:val="auto"/>
          <w:sz w:val="28"/>
          <w:szCs w:val="28"/>
          <w:highlight w:val="none"/>
          <w:lang w:val="en-US" w:eastAsia="zh-CN"/>
        </w:rPr>
        <w:t>×</w:t>
      </w:r>
      <w:r>
        <w:rPr>
          <w:rFonts w:hint="eastAsia" w:ascii="Times New Roman" w:hAnsi="Times New Roman" w:eastAsia="仿宋" w:cs="Times New Roman"/>
          <w:b w:val="0"/>
          <w:bCs/>
          <w:color w:val="auto"/>
          <w:sz w:val="28"/>
          <w:szCs w:val="28"/>
          <w:highlight w:val="none"/>
          <w:lang w:val="en-US" w:eastAsia="zh-CN"/>
        </w:rPr>
        <w:t>N</w:t>
      </w:r>
      <w:r>
        <w:rPr>
          <w:rFonts w:hint="eastAsia" w:ascii="Times New Roman" w:hAnsi="Times New Roman" w:eastAsia="仿宋" w:cs="Times New Roman"/>
          <w:color w:val="auto"/>
          <w:sz w:val="28"/>
          <w:szCs w:val="28"/>
          <w:highlight w:val="none"/>
        </w:rPr>
        <w:t>。</w:t>
      </w:r>
    </w:p>
    <w:p>
      <w:pPr>
        <w:spacing w:line="360" w:lineRule="auto"/>
        <w:ind w:firstLine="548" w:firstLineChars="196"/>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2</w:t>
      </w:r>
      <w:r>
        <w:rPr>
          <w:rFonts w:ascii="Times New Roman" w:hAnsi="Times New Roman" w:eastAsia="仿宋" w:cs="Times New Roman"/>
          <w:color w:val="auto"/>
          <w:sz w:val="28"/>
          <w:szCs w:val="28"/>
          <w:highlight w:val="none"/>
        </w:rPr>
        <w:t>、</w:t>
      </w:r>
      <w:r>
        <w:rPr>
          <w:rFonts w:hint="eastAsia" w:ascii="Times New Roman" w:hAnsi="Times New Roman" w:eastAsia="仿宋" w:cs="Times New Roman"/>
          <w:bCs/>
          <w:color w:val="auto"/>
          <w:sz w:val="28"/>
          <w:szCs w:val="28"/>
          <w:highlight w:val="none"/>
        </w:rPr>
        <w:t>单条</w:t>
      </w:r>
      <w:r>
        <w:rPr>
          <w:rFonts w:ascii="Times New Roman" w:hAnsi="Times New Roman" w:eastAsia="仿宋" w:cs="Times New Roman"/>
          <w:bCs/>
          <w:color w:val="auto"/>
          <w:sz w:val="28"/>
          <w:szCs w:val="28"/>
          <w:highlight w:val="none"/>
        </w:rPr>
        <w:t>河道</w:t>
      </w:r>
      <w:r>
        <w:rPr>
          <w:rFonts w:hint="eastAsia" w:ascii="Times New Roman" w:hAnsi="Times New Roman" w:eastAsia="仿宋" w:cs="Times New Roman"/>
          <w:bCs/>
          <w:color w:val="auto"/>
          <w:sz w:val="28"/>
          <w:szCs w:val="28"/>
          <w:highlight w:val="none"/>
          <w:lang w:val="en-US" w:eastAsia="zh-CN"/>
        </w:rPr>
        <w:t>每月养护款根据该条河道当</w:t>
      </w:r>
      <w:r>
        <w:rPr>
          <w:rFonts w:ascii="Times New Roman" w:hAnsi="Times New Roman" w:eastAsia="仿宋" w:cs="Times New Roman"/>
          <w:bCs/>
          <w:color w:val="auto"/>
          <w:sz w:val="28"/>
          <w:szCs w:val="28"/>
          <w:highlight w:val="none"/>
        </w:rPr>
        <w:t>月考核</w:t>
      </w:r>
      <w:r>
        <w:rPr>
          <w:rFonts w:hint="eastAsia" w:ascii="Times New Roman" w:hAnsi="Times New Roman" w:eastAsia="仿宋" w:cs="Times New Roman"/>
          <w:bCs/>
          <w:color w:val="auto"/>
          <w:sz w:val="28"/>
          <w:szCs w:val="28"/>
          <w:highlight w:val="none"/>
          <w:lang w:val="en-US" w:eastAsia="zh-CN"/>
        </w:rPr>
        <w:t>情况支付：</w:t>
      </w:r>
    </w:p>
    <w:p>
      <w:pPr>
        <w:spacing w:line="360" w:lineRule="auto"/>
        <w:ind w:firstLine="560" w:firstLineChars="200"/>
        <w:rPr>
          <w:rFonts w:ascii="Times New Roman" w:hAnsi="Times New Roman" w:eastAsia="仿宋" w:cs="Times New Roman"/>
          <w:bCs/>
          <w:color w:val="auto"/>
          <w:sz w:val="28"/>
          <w:szCs w:val="28"/>
          <w:highlight w:val="none"/>
        </w:rPr>
      </w:pPr>
      <w:r>
        <w:rPr>
          <w:rFonts w:hint="eastAsia" w:ascii="Times New Roman" w:hAnsi="Times New Roman" w:eastAsia="仿宋" w:cs="Times New Roman"/>
          <w:color w:val="auto"/>
          <w:sz w:val="28"/>
          <w:szCs w:val="28"/>
          <w:highlight w:val="none"/>
        </w:rPr>
        <w:t>第一年，单条河道</w:t>
      </w:r>
      <w:r>
        <w:rPr>
          <w:rFonts w:hint="eastAsia" w:ascii="Times New Roman" w:hAnsi="Times New Roman" w:eastAsia="仿宋" w:cs="Times New Roman"/>
          <w:color w:val="auto"/>
          <w:sz w:val="28"/>
          <w:szCs w:val="28"/>
          <w:highlight w:val="none"/>
          <w:lang w:val="en-US" w:eastAsia="zh-CN"/>
        </w:rPr>
        <w:t>应支付每月</w:t>
      </w:r>
      <w:r>
        <w:rPr>
          <w:rFonts w:hint="eastAsia" w:ascii="Times New Roman" w:hAnsi="Times New Roman" w:eastAsia="仿宋" w:cs="Times New Roman"/>
          <w:color w:val="auto"/>
          <w:sz w:val="28"/>
          <w:szCs w:val="28"/>
          <w:highlight w:val="none"/>
        </w:rPr>
        <w:t>养护款=标段</w:t>
      </w:r>
      <w:r>
        <w:rPr>
          <w:rFonts w:hint="eastAsia" w:ascii="Times New Roman" w:hAnsi="Times New Roman" w:eastAsia="仿宋" w:cs="Times New Roman"/>
          <w:color w:val="auto"/>
          <w:sz w:val="28"/>
          <w:szCs w:val="28"/>
          <w:highlight w:val="none"/>
          <w:lang w:val="en-US" w:eastAsia="zh-CN"/>
        </w:rPr>
        <w:t>年</w:t>
      </w:r>
      <w:r>
        <w:rPr>
          <w:rFonts w:hint="eastAsia" w:ascii="Times New Roman" w:hAnsi="Times New Roman" w:eastAsia="仿宋" w:cs="Times New Roman"/>
          <w:color w:val="auto"/>
          <w:sz w:val="28"/>
          <w:szCs w:val="28"/>
          <w:highlight w:val="none"/>
          <w:lang w:eastAsia="zh-CN"/>
        </w:rPr>
        <w:t>合同</w:t>
      </w:r>
      <w:r>
        <w:rPr>
          <w:rFonts w:hint="eastAsia" w:ascii="Times New Roman" w:hAnsi="Times New Roman" w:eastAsia="仿宋" w:cs="Times New Roman"/>
          <w:color w:val="auto"/>
          <w:sz w:val="28"/>
          <w:szCs w:val="28"/>
          <w:highlight w:val="none"/>
          <w:lang w:val="en-US" w:eastAsia="zh-CN"/>
        </w:rPr>
        <w:t>单价×</w:t>
      </w:r>
      <w:r>
        <w:rPr>
          <w:rFonts w:hint="eastAsia" w:ascii="Times New Roman" w:hAnsi="Times New Roman" w:eastAsia="仿宋" w:cs="Times New Roman"/>
          <w:color w:val="auto"/>
          <w:sz w:val="28"/>
          <w:szCs w:val="28"/>
          <w:highlight w:val="none"/>
        </w:rPr>
        <w:t>单条河道</w:t>
      </w:r>
      <w:r>
        <w:rPr>
          <w:rFonts w:hint="eastAsia" w:ascii="Times New Roman" w:hAnsi="Times New Roman" w:eastAsia="仿宋" w:cs="Times New Roman"/>
          <w:color w:val="auto"/>
          <w:sz w:val="28"/>
          <w:szCs w:val="28"/>
          <w:highlight w:val="none"/>
          <w:lang w:val="en-US" w:eastAsia="zh-CN"/>
        </w:rPr>
        <w:t>实际养护</w:t>
      </w:r>
      <w:r>
        <w:rPr>
          <w:rFonts w:hint="eastAsia" w:ascii="Times New Roman" w:hAnsi="Times New Roman" w:eastAsia="仿宋" w:cs="Times New Roman"/>
          <w:color w:val="auto"/>
          <w:sz w:val="28"/>
          <w:szCs w:val="28"/>
          <w:highlight w:val="none"/>
        </w:rPr>
        <w:t>面积</w:t>
      </w:r>
      <w:r>
        <w:rPr>
          <w:rFonts w:hint="eastAsia" w:ascii="Times New Roman" w:hAnsi="Times New Roman" w:eastAsia="仿宋" w:cs="Times New Roman"/>
          <w:color w:val="auto"/>
          <w:sz w:val="28"/>
          <w:szCs w:val="28"/>
          <w:highlight w:val="none"/>
          <w:lang w:val="en-US" w:eastAsia="zh-CN"/>
        </w:rPr>
        <w:t>×</w:t>
      </w:r>
      <w:r>
        <w:rPr>
          <w:rFonts w:hint="eastAsia" w:ascii="Times New Roman" w:hAnsi="Times New Roman" w:eastAsia="仿宋" w:cs="Times New Roman"/>
          <w:color w:val="auto"/>
          <w:sz w:val="28"/>
          <w:szCs w:val="28"/>
          <w:highlight w:val="none"/>
        </w:rPr>
        <w:t>60%/12</w:t>
      </w:r>
      <w:r>
        <w:rPr>
          <w:rFonts w:hint="eastAsia" w:ascii="Times New Roman" w:hAnsi="Times New Roman" w:eastAsia="仿宋" w:cs="Times New Roman"/>
          <w:color w:val="auto"/>
          <w:sz w:val="28"/>
          <w:szCs w:val="28"/>
          <w:highlight w:val="none"/>
          <w:lang w:eastAsia="zh-CN"/>
        </w:rPr>
        <w:t>，</w:t>
      </w:r>
      <w:r>
        <w:rPr>
          <w:rFonts w:hint="eastAsia" w:ascii="Times New Roman" w:hAnsi="Times New Roman" w:eastAsia="仿宋" w:cs="Times New Roman"/>
          <w:color w:val="auto"/>
          <w:sz w:val="28"/>
          <w:szCs w:val="28"/>
          <w:highlight w:val="none"/>
        </w:rPr>
        <w:t>第二</w:t>
      </w:r>
      <w:r>
        <w:rPr>
          <w:rFonts w:hint="eastAsia" w:ascii="Times New Roman" w:hAnsi="Times New Roman" w:eastAsia="仿宋" w:cs="Times New Roman"/>
          <w:color w:val="auto"/>
          <w:sz w:val="28"/>
          <w:szCs w:val="28"/>
          <w:highlight w:val="none"/>
          <w:lang w:val="en-US" w:eastAsia="zh-CN"/>
        </w:rPr>
        <w:t>/</w:t>
      </w:r>
      <w:r>
        <w:rPr>
          <w:rFonts w:hint="eastAsia" w:ascii="Times New Roman" w:hAnsi="Times New Roman" w:eastAsia="仿宋" w:cs="Times New Roman"/>
          <w:color w:val="auto"/>
          <w:sz w:val="28"/>
          <w:szCs w:val="28"/>
          <w:highlight w:val="none"/>
        </w:rPr>
        <w:t>三年，单条河道</w:t>
      </w:r>
      <w:r>
        <w:rPr>
          <w:rFonts w:hint="eastAsia" w:ascii="Times New Roman" w:hAnsi="Times New Roman" w:eastAsia="仿宋" w:cs="Times New Roman"/>
          <w:color w:val="auto"/>
          <w:sz w:val="28"/>
          <w:szCs w:val="28"/>
          <w:highlight w:val="none"/>
          <w:lang w:val="en-US" w:eastAsia="zh-CN"/>
        </w:rPr>
        <w:t>应支付每月</w:t>
      </w:r>
      <w:r>
        <w:rPr>
          <w:rFonts w:hint="eastAsia" w:ascii="Times New Roman" w:hAnsi="Times New Roman" w:eastAsia="仿宋" w:cs="Times New Roman"/>
          <w:color w:val="auto"/>
          <w:sz w:val="28"/>
          <w:szCs w:val="28"/>
          <w:highlight w:val="none"/>
        </w:rPr>
        <w:t>养护款=标段</w:t>
      </w:r>
      <w:r>
        <w:rPr>
          <w:rFonts w:hint="eastAsia" w:ascii="Times New Roman" w:hAnsi="Times New Roman" w:eastAsia="仿宋" w:cs="Times New Roman"/>
          <w:color w:val="auto"/>
          <w:sz w:val="28"/>
          <w:szCs w:val="28"/>
          <w:highlight w:val="none"/>
          <w:lang w:val="en-US" w:eastAsia="zh-CN"/>
        </w:rPr>
        <w:t>年</w:t>
      </w:r>
      <w:r>
        <w:rPr>
          <w:rFonts w:hint="eastAsia" w:ascii="Times New Roman" w:hAnsi="Times New Roman" w:eastAsia="仿宋" w:cs="Times New Roman"/>
          <w:color w:val="auto"/>
          <w:sz w:val="28"/>
          <w:szCs w:val="28"/>
          <w:highlight w:val="none"/>
          <w:lang w:eastAsia="zh-CN"/>
        </w:rPr>
        <w:t>合同</w:t>
      </w:r>
      <w:r>
        <w:rPr>
          <w:rFonts w:hint="eastAsia" w:ascii="Times New Roman" w:hAnsi="Times New Roman" w:eastAsia="仿宋" w:cs="Times New Roman"/>
          <w:color w:val="auto"/>
          <w:sz w:val="28"/>
          <w:szCs w:val="28"/>
          <w:highlight w:val="none"/>
          <w:lang w:val="en-US" w:eastAsia="zh-CN"/>
        </w:rPr>
        <w:t>单价×</w:t>
      </w:r>
      <w:r>
        <w:rPr>
          <w:rFonts w:hint="eastAsia" w:ascii="Times New Roman" w:hAnsi="Times New Roman" w:eastAsia="仿宋" w:cs="Times New Roman"/>
          <w:color w:val="auto"/>
          <w:sz w:val="28"/>
          <w:szCs w:val="28"/>
          <w:highlight w:val="none"/>
        </w:rPr>
        <w:t>单条河道面积</w:t>
      </w:r>
      <w:r>
        <w:rPr>
          <w:rFonts w:hint="eastAsia" w:ascii="Times New Roman" w:hAnsi="Times New Roman" w:eastAsia="仿宋" w:cs="Times New Roman"/>
          <w:color w:val="auto"/>
          <w:sz w:val="28"/>
          <w:szCs w:val="28"/>
          <w:highlight w:val="none"/>
          <w:lang w:val="en-US" w:eastAsia="zh-CN"/>
        </w:rPr>
        <w:t>×8</w:t>
      </w:r>
      <w:r>
        <w:rPr>
          <w:rFonts w:hint="eastAsia" w:ascii="Times New Roman" w:hAnsi="Times New Roman" w:eastAsia="仿宋" w:cs="Times New Roman"/>
          <w:color w:val="auto"/>
          <w:sz w:val="28"/>
          <w:szCs w:val="28"/>
          <w:highlight w:val="none"/>
        </w:rPr>
        <w:t>0%/12。</w:t>
      </w:r>
      <w:r>
        <w:rPr>
          <w:rFonts w:hint="eastAsia" w:ascii="Times New Roman" w:hAnsi="Times New Roman" w:eastAsia="仿宋" w:cs="Times New Roman"/>
          <w:bCs/>
          <w:color w:val="auto"/>
          <w:sz w:val="28"/>
          <w:szCs w:val="28"/>
          <w:highlight w:val="none"/>
        </w:rPr>
        <w:t>单条</w:t>
      </w:r>
      <w:r>
        <w:rPr>
          <w:rFonts w:ascii="Times New Roman" w:hAnsi="Times New Roman" w:eastAsia="仿宋" w:cs="Times New Roman"/>
          <w:bCs/>
          <w:color w:val="auto"/>
          <w:sz w:val="28"/>
          <w:szCs w:val="28"/>
          <w:highlight w:val="none"/>
        </w:rPr>
        <w:t>河道</w:t>
      </w:r>
      <w:r>
        <w:rPr>
          <w:rFonts w:hint="eastAsia" w:ascii="Times New Roman" w:hAnsi="Times New Roman" w:eastAsia="仿宋" w:cs="Times New Roman"/>
          <w:color w:val="auto"/>
          <w:sz w:val="28"/>
          <w:szCs w:val="28"/>
          <w:highlight w:val="none"/>
          <w:lang w:val="en-US" w:eastAsia="zh-CN"/>
        </w:rPr>
        <w:t>实际支付每月</w:t>
      </w:r>
      <w:r>
        <w:rPr>
          <w:rFonts w:hint="eastAsia" w:ascii="Times New Roman" w:hAnsi="Times New Roman" w:eastAsia="仿宋" w:cs="Times New Roman"/>
          <w:color w:val="auto"/>
          <w:sz w:val="28"/>
          <w:szCs w:val="28"/>
          <w:highlight w:val="none"/>
        </w:rPr>
        <w:t>养护款=</w:t>
      </w:r>
      <w:r>
        <w:rPr>
          <w:rFonts w:hint="eastAsia" w:ascii="Times New Roman" w:hAnsi="Times New Roman" w:eastAsia="仿宋" w:cs="Times New Roman"/>
          <w:color w:val="auto"/>
          <w:sz w:val="28"/>
          <w:szCs w:val="28"/>
          <w:highlight w:val="none"/>
          <w:lang w:val="en-US" w:eastAsia="zh-CN"/>
        </w:rPr>
        <w:t>应支付每月</w:t>
      </w:r>
      <w:r>
        <w:rPr>
          <w:rFonts w:hint="eastAsia" w:ascii="Times New Roman" w:hAnsi="Times New Roman" w:eastAsia="仿宋" w:cs="Times New Roman"/>
          <w:color w:val="auto"/>
          <w:sz w:val="28"/>
          <w:szCs w:val="28"/>
          <w:highlight w:val="none"/>
        </w:rPr>
        <w:t>养护款</w:t>
      </w:r>
      <w:r>
        <w:rPr>
          <w:rFonts w:hint="eastAsia" w:ascii="Times New Roman" w:hAnsi="Times New Roman" w:eastAsia="仿宋" w:cs="Times New Roman"/>
          <w:color w:val="auto"/>
          <w:sz w:val="28"/>
          <w:szCs w:val="28"/>
          <w:highlight w:val="none"/>
          <w:lang w:val="en-US" w:eastAsia="zh-CN"/>
        </w:rPr>
        <w:t>-</w:t>
      </w:r>
      <w:r>
        <w:rPr>
          <w:rFonts w:hint="eastAsia" w:ascii="Times New Roman" w:hAnsi="Times New Roman" w:eastAsia="仿宋" w:cs="Times New Roman"/>
          <w:color w:val="auto"/>
          <w:sz w:val="28"/>
          <w:szCs w:val="28"/>
          <w:highlight w:val="none"/>
        </w:rPr>
        <w:t>该河道</w:t>
      </w:r>
      <w:r>
        <w:rPr>
          <w:rFonts w:hint="eastAsia" w:ascii="Times New Roman" w:hAnsi="Times New Roman" w:eastAsia="仿宋" w:cs="Times New Roman"/>
          <w:color w:val="auto"/>
          <w:sz w:val="28"/>
          <w:szCs w:val="28"/>
          <w:highlight w:val="none"/>
          <w:lang w:val="en-US" w:eastAsia="zh-CN"/>
        </w:rPr>
        <w:t>当月扣款。</w:t>
      </w:r>
    </w:p>
    <w:p>
      <w:pPr>
        <w:spacing w:line="360" w:lineRule="auto"/>
        <w:ind w:firstLine="548" w:firstLineChars="196"/>
        <w:rPr>
          <w:rFonts w:ascii="Times New Roman" w:hAnsi="Times New Roman" w:eastAsia="仿宋" w:cs="Times New Roman"/>
          <w:color w:val="auto"/>
          <w:sz w:val="28"/>
          <w:szCs w:val="28"/>
          <w:highlight w:val="none"/>
        </w:rPr>
      </w:pPr>
      <w:r>
        <w:rPr>
          <w:rFonts w:ascii="Times New Roman" w:hAnsi="Times New Roman" w:eastAsia="仿宋" w:cs="Times New Roman"/>
          <w:bCs/>
          <w:color w:val="auto"/>
          <w:sz w:val="28"/>
          <w:szCs w:val="28"/>
          <w:highlight w:val="none"/>
        </w:rPr>
        <w:t>河道月度考核分（</w:t>
      </w:r>
      <w:r>
        <w:rPr>
          <w:rFonts w:hint="eastAsia" w:ascii="Times New Roman" w:hAnsi="Times New Roman" w:eastAsia="仿宋" w:cs="Times New Roman"/>
          <w:bCs/>
          <w:color w:val="auto"/>
          <w:sz w:val="28"/>
          <w:szCs w:val="28"/>
          <w:highlight w:val="none"/>
        </w:rPr>
        <w:t>T</w:t>
      </w:r>
      <w:r>
        <w:rPr>
          <w:rFonts w:ascii="Times New Roman" w:hAnsi="Times New Roman" w:eastAsia="仿宋" w:cs="Times New Roman"/>
          <w:bCs/>
          <w:color w:val="auto"/>
          <w:sz w:val="28"/>
          <w:szCs w:val="28"/>
          <w:highlight w:val="none"/>
          <w:vertAlign w:val="subscript"/>
        </w:rPr>
        <w:t>m</w:t>
      </w:r>
      <w:r>
        <w:rPr>
          <w:rFonts w:ascii="Times New Roman" w:hAnsi="Times New Roman" w:eastAsia="仿宋" w:cs="Times New Roman"/>
          <w:bCs/>
          <w:color w:val="auto"/>
          <w:sz w:val="28"/>
          <w:szCs w:val="28"/>
          <w:highlight w:val="none"/>
        </w:rPr>
        <w:t>）</w:t>
      </w:r>
      <w:r>
        <w:rPr>
          <w:rFonts w:ascii="Times New Roman" w:hAnsi="Times New Roman" w:eastAsia="仿宋" w:cs="Times New Roman"/>
          <w:color w:val="auto"/>
          <w:sz w:val="28"/>
          <w:szCs w:val="28"/>
          <w:highlight w:val="none"/>
        </w:rPr>
        <w:t>，由两部分组成，为水质考核（</w:t>
      </w:r>
      <w:r>
        <w:rPr>
          <w:rFonts w:hint="eastAsia" w:ascii="Times New Roman" w:hAnsi="Times New Roman" w:eastAsia="仿宋" w:cs="Times New Roman"/>
          <w:color w:val="auto"/>
          <w:sz w:val="28"/>
          <w:szCs w:val="28"/>
          <w:highlight w:val="none"/>
        </w:rPr>
        <w:t>T</w:t>
      </w:r>
      <w:r>
        <w:rPr>
          <w:rFonts w:ascii="Times New Roman" w:hAnsi="Times New Roman" w:eastAsia="仿宋" w:cs="Times New Roman"/>
          <w:bCs/>
          <w:color w:val="auto"/>
          <w:sz w:val="28"/>
          <w:szCs w:val="28"/>
          <w:highlight w:val="none"/>
          <w:vertAlign w:val="subscript"/>
        </w:rPr>
        <w:t>m1</w:t>
      </w:r>
      <w:r>
        <w:rPr>
          <w:rFonts w:ascii="Times New Roman" w:hAnsi="Times New Roman" w:eastAsia="仿宋" w:cs="Times New Roman"/>
          <w:color w:val="auto"/>
          <w:sz w:val="28"/>
          <w:szCs w:val="28"/>
          <w:highlight w:val="none"/>
        </w:rPr>
        <w:t>）及日常管理考核（</w:t>
      </w:r>
      <w:r>
        <w:rPr>
          <w:rFonts w:hint="eastAsia" w:ascii="Times New Roman" w:hAnsi="Times New Roman" w:eastAsia="仿宋" w:cs="Times New Roman"/>
          <w:bCs/>
          <w:color w:val="auto"/>
          <w:sz w:val="28"/>
          <w:szCs w:val="28"/>
          <w:highlight w:val="none"/>
        </w:rPr>
        <w:t>T</w:t>
      </w:r>
      <w:r>
        <w:rPr>
          <w:rFonts w:ascii="Times New Roman" w:hAnsi="Times New Roman" w:eastAsia="仿宋" w:cs="Times New Roman"/>
          <w:bCs/>
          <w:color w:val="auto"/>
          <w:sz w:val="28"/>
          <w:szCs w:val="28"/>
          <w:highlight w:val="none"/>
          <w:vertAlign w:val="subscript"/>
        </w:rPr>
        <w:t>m2</w:t>
      </w:r>
      <w:r>
        <w:rPr>
          <w:rFonts w:ascii="Times New Roman" w:hAnsi="Times New Roman" w:eastAsia="仿宋" w:cs="Times New Roman"/>
          <w:color w:val="auto"/>
          <w:sz w:val="28"/>
          <w:szCs w:val="28"/>
          <w:highlight w:val="none"/>
        </w:rPr>
        <w:t>）</w:t>
      </w:r>
      <w:r>
        <w:rPr>
          <w:rFonts w:hint="eastAsia" w:ascii="Times New Roman" w:hAnsi="Times New Roman" w:eastAsia="仿宋" w:cs="Times New Roman"/>
          <w:color w:val="auto"/>
          <w:sz w:val="28"/>
          <w:szCs w:val="28"/>
          <w:highlight w:val="none"/>
          <w:lang w:val="en-US" w:eastAsia="zh-CN"/>
        </w:rPr>
        <w:t>二者之和</w:t>
      </w:r>
      <w:r>
        <w:rPr>
          <w:rFonts w:ascii="Times New Roman" w:hAnsi="Times New Roman" w:eastAsia="仿宋" w:cs="Times New Roman"/>
          <w:color w:val="auto"/>
          <w:sz w:val="28"/>
          <w:szCs w:val="28"/>
          <w:highlight w:val="none"/>
        </w:rPr>
        <w:t>，其中水质考核评价指标占总分的</w:t>
      </w:r>
      <w:r>
        <w:rPr>
          <w:rFonts w:hint="eastAsia" w:ascii="Times New Roman" w:hAnsi="Times New Roman" w:eastAsia="仿宋" w:cs="Times New Roman"/>
          <w:color w:val="auto"/>
          <w:sz w:val="28"/>
          <w:szCs w:val="28"/>
          <w:highlight w:val="none"/>
        </w:rPr>
        <w:t>7</w:t>
      </w:r>
      <w:r>
        <w:rPr>
          <w:rFonts w:ascii="Times New Roman" w:hAnsi="Times New Roman" w:eastAsia="仿宋" w:cs="Times New Roman"/>
          <w:color w:val="auto"/>
          <w:sz w:val="28"/>
          <w:szCs w:val="28"/>
          <w:highlight w:val="none"/>
        </w:rPr>
        <w:t>0%，满分为</w:t>
      </w:r>
      <w:r>
        <w:rPr>
          <w:rFonts w:hint="eastAsia" w:ascii="Times New Roman" w:hAnsi="Times New Roman" w:eastAsia="仿宋" w:cs="Times New Roman"/>
          <w:color w:val="auto"/>
          <w:sz w:val="28"/>
          <w:szCs w:val="28"/>
          <w:highlight w:val="none"/>
        </w:rPr>
        <w:t>7</w:t>
      </w:r>
      <w:r>
        <w:rPr>
          <w:rFonts w:ascii="Times New Roman" w:hAnsi="Times New Roman" w:eastAsia="仿宋" w:cs="Times New Roman"/>
          <w:color w:val="auto"/>
          <w:sz w:val="28"/>
          <w:szCs w:val="28"/>
          <w:highlight w:val="none"/>
        </w:rPr>
        <w:t>0分；日常管理考核占</w:t>
      </w:r>
      <w:r>
        <w:rPr>
          <w:rFonts w:hint="eastAsia" w:ascii="Times New Roman" w:hAnsi="Times New Roman" w:eastAsia="仿宋" w:cs="Times New Roman"/>
          <w:color w:val="auto"/>
          <w:sz w:val="28"/>
          <w:szCs w:val="28"/>
          <w:highlight w:val="none"/>
        </w:rPr>
        <w:t>3</w:t>
      </w:r>
      <w:r>
        <w:rPr>
          <w:rFonts w:ascii="Times New Roman" w:hAnsi="Times New Roman" w:eastAsia="仿宋" w:cs="Times New Roman"/>
          <w:color w:val="auto"/>
          <w:sz w:val="28"/>
          <w:szCs w:val="28"/>
          <w:highlight w:val="none"/>
        </w:rPr>
        <w:t>0%，满分为</w:t>
      </w:r>
      <w:r>
        <w:rPr>
          <w:rFonts w:hint="eastAsia" w:ascii="Times New Roman" w:hAnsi="Times New Roman" w:eastAsia="仿宋" w:cs="Times New Roman"/>
          <w:color w:val="auto"/>
          <w:sz w:val="28"/>
          <w:szCs w:val="28"/>
          <w:highlight w:val="none"/>
        </w:rPr>
        <w:t>3</w:t>
      </w:r>
      <w:r>
        <w:rPr>
          <w:rFonts w:ascii="Times New Roman" w:hAnsi="Times New Roman" w:eastAsia="仿宋" w:cs="Times New Roman"/>
          <w:color w:val="auto"/>
          <w:sz w:val="28"/>
          <w:szCs w:val="28"/>
          <w:highlight w:val="none"/>
        </w:rPr>
        <w:t>0分。</w:t>
      </w:r>
    </w:p>
    <w:p>
      <w:pPr>
        <w:spacing w:line="360" w:lineRule="auto"/>
        <w:ind w:firstLine="548" w:firstLineChars="196"/>
        <w:rPr>
          <w:rFonts w:ascii="Times New Roman" w:hAnsi="Times New Roman" w:eastAsia="仿宋" w:cs="Times New Roman"/>
          <w:color w:val="auto"/>
          <w:sz w:val="28"/>
          <w:szCs w:val="28"/>
          <w:highlight w:val="none"/>
        </w:rPr>
      </w:pPr>
      <w:r>
        <w:rPr>
          <w:rFonts w:hint="eastAsia" w:ascii="Times New Roman" w:hAnsi="Times New Roman" w:eastAsia="仿宋" w:cs="Times New Roman"/>
          <w:bCs/>
          <w:color w:val="auto"/>
          <w:sz w:val="28"/>
          <w:szCs w:val="28"/>
          <w:highlight w:val="none"/>
        </w:rPr>
        <w:t>T</w:t>
      </w:r>
      <w:r>
        <w:rPr>
          <w:rFonts w:ascii="Times New Roman" w:hAnsi="Times New Roman" w:eastAsia="仿宋" w:cs="Times New Roman"/>
          <w:bCs/>
          <w:color w:val="auto"/>
          <w:sz w:val="28"/>
          <w:szCs w:val="28"/>
          <w:highlight w:val="none"/>
          <w:vertAlign w:val="subscript"/>
        </w:rPr>
        <w:t>m</w:t>
      </w:r>
      <w:r>
        <w:rPr>
          <w:rFonts w:hint="eastAsia" w:ascii="Times New Roman" w:hAnsi="Times New Roman" w:eastAsia="仿宋" w:cs="Times New Roman"/>
          <w:bCs/>
          <w:color w:val="auto"/>
          <w:sz w:val="28"/>
          <w:szCs w:val="28"/>
          <w:highlight w:val="none"/>
        </w:rPr>
        <w:t>≥</w:t>
      </w:r>
      <w:r>
        <w:rPr>
          <w:rFonts w:ascii="Times New Roman" w:hAnsi="Times New Roman" w:eastAsia="仿宋" w:cs="Times New Roman"/>
          <w:bCs/>
          <w:color w:val="auto"/>
          <w:sz w:val="28"/>
          <w:szCs w:val="28"/>
          <w:highlight w:val="none"/>
        </w:rPr>
        <w:t>95分</w:t>
      </w:r>
      <w:r>
        <w:rPr>
          <w:rFonts w:ascii="Times New Roman" w:hAnsi="Times New Roman" w:eastAsia="仿宋" w:cs="Times New Roman"/>
          <w:color w:val="auto"/>
          <w:sz w:val="28"/>
          <w:szCs w:val="28"/>
          <w:highlight w:val="none"/>
        </w:rPr>
        <w:t>，考核</w:t>
      </w:r>
      <w:r>
        <w:rPr>
          <w:rFonts w:hint="eastAsia" w:ascii="Times New Roman" w:hAnsi="Times New Roman" w:eastAsia="仿宋" w:cs="Times New Roman"/>
          <w:color w:val="auto"/>
          <w:sz w:val="28"/>
          <w:szCs w:val="28"/>
          <w:highlight w:val="none"/>
        </w:rPr>
        <w:t>等级</w:t>
      </w:r>
      <w:r>
        <w:rPr>
          <w:rFonts w:ascii="Times New Roman" w:hAnsi="Times New Roman" w:eastAsia="仿宋" w:cs="Times New Roman"/>
          <w:color w:val="auto"/>
          <w:sz w:val="28"/>
          <w:szCs w:val="28"/>
          <w:highlight w:val="none"/>
        </w:rPr>
        <w:t>为优秀</w:t>
      </w:r>
      <w:r>
        <w:rPr>
          <w:rFonts w:hint="eastAsia" w:ascii="Times New Roman" w:hAnsi="Times New Roman" w:eastAsia="仿宋" w:cs="Times New Roman"/>
          <w:color w:val="auto"/>
          <w:sz w:val="28"/>
          <w:szCs w:val="28"/>
          <w:highlight w:val="none"/>
        </w:rPr>
        <w:t>，不扣款</w:t>
      </w:r>
      <w:r>
        <w:rPr>
          <w:rFonts w:ascii="Times New Roman" w:hAnsi="Times New Roman" w:eastAsia="仿宋" w:cs="Times New Roman"/>
          <w:color w:val="auto"/>
          <w:sz w:val="28"/>
          <w:szCs w:val="28"/>
          <w:highlight w:val="none"/>
        </w:rPr>
        <w:t>；</w:t>
      </w:r>
    </w:p>
    <w:p>
      <w:pPr>
        <w:spacing w:line="360" w:lineRule="auto"/>
        <w:ind w:firstLine="548" w:firstLineChars="196"/>
        <w:rPr>
          <w:rFonts w:hint="eastAsia"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rPr>
        <w:t>90分≤Tm＜95分，</w:t>
      </w:r>
      <w:r>
        <w:rPr>
          <w:rFonts w:ascii="Times New Roman" w:hAnsi="Times New Roman" w:eastAsia="仿宋" w:cs="Times New Roman"/>
          <w:color w:val="auto"/>
          <w:sz w:val="28"/>
          <w:szCs w:val="28"/>
          <w:highlight w:val="none"/>
        </w:rPr>
        <w:t>考核</w:t>
      </w:r>
      <w:r>
        <w:rPr>
          <w:rFonts w:hint="eastAsia" w:ascii="Times New Roman" w:hAnsi="Times New Roman" w:eastAsia="仿宋" w:cs="Times New Roman"/>
          <w:color w:val="auto"/>
          <w:sz w:val="28"/>
          <w:szCs w:val="28"/>
          <w:highlight w:val="none"/>
        </w:rPr>
        <w:t>等级</w:t>
      </w:r>
      <w:r>
        <w:rPr>
          <w:rFonts w:ascii="Times New Roman" w:hAnsi="Times New Roman" w:eastAsia="仿宋" w:cs="Times New Roman"/>
          <w:color w:val="auto"/>
          <w:sz w:val="28"/>
          <w:szCs w:val="28"/>
          <w:highlight w:val="none"/>
        </w:rPr>
        <w:t>为</w:t>
      </w:r>
      <w:r>
        <w:rPr>
          <w:rFonts w:hint="eastAsia" w:ascii="Times New Roman" w:hAnsi="Times New Roman" w:eastAsia="仿宋" w:cs="Times New Roman"/>
          <w:color w:val="auto"/>
          <w:sz w:val="28"/>
          <w:szCs w:val="28"/>
          <w:highlight w:val="none"/>
        </w:rPr>
        <w:t>良好。计算考核得分与95分之间的差值，每分值按该河道</w:t>
      </w:r>
      <w:r>
        <w:rPr>
          <w:rFonts w:hint="eastAsia" w:ascii="Times New Roman" w:hAnsi="Times New Roman" w:eastAsia="仿宋" w:cs="Times New Roman"/>
          <w:color w:val="auto"/>
          <w:sz w:val="28"/>
          <w:szCs w:val="28"/>
          <w:highlight w:val="none"/>
          <w:lang w:val="en-US" w:eastAsia="zh-CN"/>
        </w:rPr>
        <w:t>当月</w:t>
      </w:r>
      <w:r>
        <w:rPr>
          <w:rFonts w:hint="eastAsia" w:ascii="Times New Roman" w:hAnsi="Times New Roman" w:eastAsia="仿宋" w:cs="Times New Roman"/>
          <w:color w:val="auto"/>
          <w:sz w:val="28"/>
          <w:szCs w:val="28"/>
          <w:highlight w:val="none"/>
        </w:rPr>
        <w:t>养护款的1%予以扣除；</w:t>
      </w:r>
    </w:p>
    <w:p>
      <w:pPr>
        <w:spacing w:line="360" w:lineRule="auto"/>
        <w:ind w:firstLine="548" w:firstLineChars="196"/>
        <w:rPr>
          <w:rFonts w:hint="eastAsia"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rPr>
        <w:t>85分≤Tm＜90分，</w:t>
      </w:r>
      <w:r>
        <w:rPr>
          <w:rFonts w:ascii="Times New Roman" w:hAnsi="Times New Roman" w:eastAsia="仿宋" w:cs="Times New Roman"/>
          <w:color w:val="auto"/>
          <w:sz w:val="28"/>
          <w:szCs w:val="28"/>
          <w:highlight w:val="none"/>
        </w:rPr>
        <w:t>考核</w:t>
      </w:r>
      <w:r>
        <w:rPr>
          <w:rFonts w:hint="eastAsia" w:ascii="Times New Roman" w:hAnsi="Times New Roman" w:eastAsia="仿宋" w:cs="Times New Roman"/>
          <w:color w:val="auto"/>
          <w:sz w:val="28"/>
          <w:szCs w:val="28"/>
          <w:highlight w:val="none"/>
        </w:rPr>
        <w:t>等级</w:t>
      </w:r>
      <w:r>
        <w:rPr>
          <w:rFonts w:ascii="Times New Roman" w:hAnsi="Times New Roman" w:eastAsia="仿宋" w:cs="Times New Roman"/>
          <w:color w:val="auto"/>
          <w:sz w:val="28"/>
          <w:szCs w:val="28"/>
          <w:highlight w:val="none"/>
        </w:rPr>
        <w:t>为合格。</w:t>
      </w:r>
      <w:r>
        <w:rPr>
          <w:rFonts w:hint="eastAsia" w:ascii="Times New Roman" w:hAnsi="Times New Roman" w:eastAsia="仿宋" w:cs="Times New Roman"/>
          <w:color w:val="auto"/>
          <w:sz w:val="28"/>
          <w:szCs w:val="28"/>
          <w:highlight w:val="none"/>
        </w:rPr>
        <w:t>计算考核得分与95分之间的差值，每分值按该河道</w:t>
      </w:r>
      <w:r>
        <w:rPr>
          <w:rFonts w:hint="eastAsia" w:ascii="Times New Roman" w:hAnsi="Times New Roman" w:eastAsia="仿宋" w:cs="Times New Roman"/>
          <w:color w:val="auto"/>
          <w:sz w:val="28"/>
          <w:szCs w:val="28"/>
          <w:highlight w:val="none"/>
          <w:lang w:val="en-US" w:eastAsia="zh-CN"/>
        </w:rPr>
        <w:t>当月</w:t>
      </w:r>
      <w:r>
        <w:rPr>
          <w:rFonts w:hint="eastAsia" w:ascii="Times New Roman" w:hAnsi="Times New Roman" w:eastAsia="仿宋" w:cs="Times New Roman"/>
          <w:color w:val="auto"/>
          <w:sz w:val="28"/>
          <w:szCs w:val="28"/>
          <w:highlight w:val="none"/>
        </w:rPr>
        <w:t>养护款的2%予以扣除；</w:t>
      </w:r>
    </w:p>
    <w:p>
      <w:pPr>
        <w:spacing w:line="360" w:lineRule="auto"/>
        <w:ind w:firstLine="548" w:firstLineChars="196"/>
        <w:rPr>
          <w:rFonts w:hint="eastAsia"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rPr>
        <w:t>85分以下</w:t>
      </w:r>
      <w:r>
        <w:rPr>
          <w:rFonts w:ascii="Times New Roman" w:hAnsi="Times New Roman" w:eastAsia="仿宋" w:cs="Times New Roman"/>
          <w:color w:val="auto"/>
          <w:sz w:val="28"/>
          <w:szCs w:val="28"/>
          <w:highlight w:val="none"/>
        </w:rPr>
        <w:t>考核</w:t>
      </w:r>
      <w:r>
        <w:rPr>
          <w:rFonts w:hint="eastAsia" w:ascii="Times New Roman" w:hAnsi="Times New Roman" w:eastAsia="仿宋" w:cs="Times New Roman"/>
          <w:color w:val="auto"/>
          <w:sz w:val="28"/>
          <w:szCs w:val="28"/>
          <w:highlight w:val="none"/>
        </w:rPr>
        <w:t>等级为不合格。80分≤Tm＜85分，计算考核得分与95分之间的差值，每分值按该河道</w:t>
      </w:r>
      <w:r>
        <w:rPr>
          <w:rFonts w:hint="eastAsia" w:ascii="Times New Roman" w:hAnsi="Times New Roman" w:eastAsia="仿宋" w:cs="Times New Roman"/>
          <w:color w:val="auto"/>
          <w:sz w:val="28"/>
          <w:szCs w:val="28"/>
          <w:highlight w:val="none"/>
          <w:lang w:val="en-US" w:eastAsia="zh-CN"/>
        </w:rPr>
        <w:t>当月</w:t>
      </w:r>
      <w:r>
        <w:rPr>
          <w:rFonts w:hint="eastAsia" w:ascii="Times New Roman" w:hAnsi="Times New Roman" w:eastAsia="仿宋" w:cs="Times New Roman"/>
          <w:color w:val="auto"/>
          <w:sz w:val="28"/>
          <w:szCs w:val="28"/>
          <w:highlight w:val="none"/>
        </w:rPr>
        <w:t>养护款的3%予以扣除；Tm＜80分，计算考核得分与95分之间的差值，每分值按该河道</w:t>
      </w:r>
      <w:r>
        <w:rPr>
          <w:rFonts w:hint="eastAsia" w:ascii="Times New Roman" w:hAnsi="Times New Roman" w:eastAsia="仿宋" w:cs="Times New Roman"/>
          <w:color w:val="auto"/>
          <w:sz w:val="28"/>
          <w:szCs w:val="28"/>
          <w:highlight w:val="none"/>
          <w:lang w:val="en-US" w:eastAsia="zh-CN"/>
        </w:rPr>
        <w:t>当月</w:t>
      </w:r>
      <w:r>
        <w:rPr>
          <w:rFonts w:hint="eastAsia" w:ascii="Times New Roman" w:hAnsi="Times New Roman" w:eastAsia="仿宋" w:cs="Times New Roman"/>
          <w:color w:val="auto"/>
          <w:sz w:val="28"/>
          <w:szCs w:val="28"/>
          <w:highlight w:val="none"/>
        </w:rPr>
        <w:t>养护款的4%予以扣除，扣完为止。</w:t>
      </w:r>
    </w:p>
    <w:p>
      <w:pPr>
        <w:spacing w:line="360" w:lineRule="auto"/>
        <w:ind w:firstLine="548" w:firstLineChars="196"/>
        <w:rPr>
          <w:rFonts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rPr>
        <w:t>3</w:t>
      </w:r>
      <w:r>
        <w:rPr>
          <w:rFonts w:ascii="Times New Roman" w:hAnsi="Times New Roman" w:eastAsia="仿宋" w:cs="Times New Roman"/>
          <w:color w:val="auto"/>
          <w:sz w:val="28"/>
          <w:szCs w:val="28"/>
          <w:highlight w:val="none"/>
        </w:rPr>
        <w:t>、若合同期内发生养护河道黑臭、蓝绿藻</w:t>
      </w:r>
      <w:r>
        <w:rPr>
          <w:rFonts w:hint="eastAsia" w:eastAsia="仿宋" w:cs="Times New Roman"/>
          <w:color w:val="auto"/>
          <w:sz w:val="28"/>
          <w:szCs w:val="28"/>
          <w:highlight w:val="none"/>
          <w:lang w:val="en-US" w:eastAsia="zh-CN"/>
        </w:rPr>
        <w:t>等</w:t>
      </w:r>
      <w:r>
        <w:rPr>
          <w:rFonts w:hint="eastAsia" w:ascii="Times New Roman" w:hAnsi="Times New Roman" w:eastAsia="仿宋" w:cs="Times New Roman"/>
          <w:color w:val="auto"/>
          <w:sz w:val="28"/>
          <w:szCs w:val="28"/>
          <w:highlight w:val="none"/>
        </w:rPr>
        <w:t>问题</w:t>
      </w:r>
      <w:r>
        <w:rPr>
          <w:rFonts w:ascii="Times New Roman" w:hAnsi="Times New Roman" w:eastAsia="仿宋" w:cs="Times New Roman"/>
          <w:color w:val="auto"/>
          <w:sz w:val="28"/>
          <w:szCs w:val="28"/>
          <w:highlight w:val="none"/>
        </w:rPr>
        <w:t>没有在48小时内处理完毕的，当月考核总分在80分以上的直接审定为80分，低于80分的以实际分值计；每条河道一个月内出现连续5天黑臭、蓝绿藻</w:t>
      </w:r>
      <w:r>
        <w:rPr>
          <w:rFonts w:hint="eastAsia" w:eastAsia="仿宋" w:cs="Times New Roman"/>
          <w:color w:val="auto"/>
          <w:sz w:val="28"/>
          <w:szCs w:val="28"/>
          <w:highlight w:val="none"/>
          <w:lang w:val="en-US" w:eastAsia="zh-CN"/>
        </w:rPr>
        <w:t>等</w:t>
      </w:r>
      <w:r>
        <w:rPr>
          <w:rFonts w:ascii="Times New Roman" w:hAnsi="Times New Roman" w:eastAsia="仿宋" w:cs="Times New Roman"/>
          <w:color w:val="auto"/>
          <w:sz w:val="28"/>
          <w:szCs w:val="28"/>
          <w:highlight w:val="none"/>
        </w:rPr>
        <w:t>爆发或当月黑臭、蓝绿藻</w:t>
      </w:r>
      <w:r>
        <w:rPr>
          <w:rFonts w:hint="eastAsia" w:eastAsia="仿宋" w:cs="Times New Roman"/>
          <w:color w:val="auto"/>
          <w:sz w:val="28"/>
          <w:szCs w:val="28"/>
          <w:highlight w:val="none"/>
          <w:lang w:val="en-US" w:eastAsia="zh-CN"/>
        </w:rPr>
        <w:t>等</w:t>
      </w:r>
      <w:r>
        <w:rPr>
          <w:rFonts w:ascii="Times New Roman" w:hAnsi="Times New Roman" w:eastAsia="仿宋" w:cs="Times New Roman"/>
          <w:color w:val="auto"/>
          <w:sz w:val="28"/>
          <w:szCs w:val="28"/>
          <w:highlight w:val="none"/>
        </w:rPr>
        <w:t>爆发时间累计超过10天的，当月考核总分在60分以上的直接审定为60分，低于60分的以实际分值计</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并且不拨付当月考核费用。</w:t>
      </w:r>
    </w:p>
    <w:p>
      <w:pPr>
        <w:spacing w:line="360" w:lineRule="auto"/>
        <w:ind w:firstLine="548" w:firstLineChars="196"/>
        <w:rPr>
          <w:rFonts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rPr>
        <w:t>4</w:t>
      </w:r>
      <w:r>
        <w:rPr>
          <w:rFonts w:ascii="Times New Roman" w:hAnsi="Times New Roman" w:eastAsia="仿宋" w:cs="Times New Roman"/>
          <w:color w:val="auto"/>
          <w:sz w:val="28"/>
          <w:szCs w:val="28"/>
          <w:highlight w:val="none"/>
        </w:rPr>
        <w:t>、因突发性事件影响正常水质考核，经</w:t>
      </w:r>
      <w:r>
        <w:rPr>
          <w:rFonts w:hint="eastAsia" w:eastAsia="仿宋" w:cs="Times New Roman"/>
          <w:color w:val="auto"/>
          <w:sz w:val="28"/>
          <w:szCs w:val="28"/>
          <w:highlight w:val="none"/>
          <w:lang w:eastAsia="zh-CN"/>
        </w:rPr>
        <w:t>采购单位</w:t>
      </w:r>
      <w:r>
        <w:rPr>
          <w:rFonts w:ascii="Times New Roman" w:hAnsi="Times New Roman" w:eastAsia="仿宋" w:cs="Times New Roman"/>
          <w:color w:val="auto"/>
          <w:sz w:val="28"/>
          <w:szCs w:val="28"/>
          <w:highlight w:val="none"/>
        </w:rPr>
        <w:t>书面同意，停止本月份所影响河道的水质考核，不核拨</w:t>
      </w:r>
      <w:r>
        <w:rPr>
          <w:rFonts w:hint="eastAsia" w:ascii="Times New Roman" w:hAnsi="Times New Roman" w:eastAsia="仿宋" w:cs="Times New Roman"/>
          <w:color w:val="auto"/>
          <w:sz w:val="28"/>
          <w:szCs w:val="28"/>
          <w:highlight w:val="none"/>
        </w:rPr>
        <w:t>该</w:t>
      </w:r>
      <w:r>
        <w:rPr>
          <w:rFonts w:ascii="Times New Roman" w:hAnsi="Times New Roman" w:eastAsia="仿宋" w:cs="Times New Roman"/>
          <w:color w:val="auto"/>
          <w:sz w:val="28"/>
          <w:szCs w:val="28"/>
          <w:highlight w:val="none"/>
        </w:rPr>
        <w:t>河道当月养护经费。</w:t>
      </w:r>
    </w:p>
    <w:p>
      <w:pPr>
        <w:spacing w:line="360" w:lineRule="auto"/>
        <w:ind w:firstLine="551" w:firstLineChars="196"/>
        <w:rPr>
          <w:rFonts w:ascii="Times New Roman" w:hAnsi="Times New Roman" w:eastAsia="仿宋" w:cs="Times New Roman"/>
          <w:b/>
          <w:bCs/>
          <w:color w:val="auto"/>
          <w:sz w:val="28"/>
          <w:szCs w:val="28"/>
          <w:highlight w:val="none"/>
        </w:rPr>
      </w:pPr>
      <w:r>
        <w:rPr>
          <w:rFonts w:ascii="Times New Roman" w:hAnsi="Times New Roman" w:eastAsia="仿宋" w:cs="Times New Roman"/>
          <w:b/>
          <w:bCs/>
          <w:color w:val="auto"/>
          <w:sz w:val="28"/>
          <w:szCs w:val="28"/>
          <w:highlight w:val="none"/>
        </w:rPr>
        <w:t>（二）年度分类考核办法</w:t>
      </w:r>
    </w:p>
    <w:p>
      <w:pPr>
        <w:spacing w:line="360" w:lineRule="auto"/>
        <w:ind w:firstLine="548" w:firstLineChars="196"/>
        <w:rPr>
          <w:rFonts w:ascii="Times New Roman" w:hAnsi="Times New Roman" w:eastAsia="仿宋" w:cs="Times New Roman"/>
          <w:b w:val="0"/>
          <w:bCs/>
          <w:color w:val="auto"/>
          <w:sz w:val="28"/>
          <w:szCs w:val="28"/>
          <w:highlight w:val="none"/>
        </w:rPr>
      </w:pPr>
      <w:r>
        <w:rPr>
          <w:rFonts w:hint="eastAsia" w:ascii="Times New Roman" w:hAnsi="Times New Roman" w:eastAsia="仿宋" w:cs="Times New Roman"/>
          <w:b w:val="0"/>
          <w:bCs/>
          <w:color w:val="auto"/>
          <w:sz w:val="28"/>
          <w:szCs w:val="28"/>
          <w:highlight w:val="none"/>
          <w:lang w:val="en-US" w:eastAsia="zh-CN"/>
        </w:rPr>
        <w:t>年度考核款（年度合同款的20%）根据实际水质养护完成月数（N）在年末进行结算，结算方式为合同款×20%/12×N。</w:t>
      </w:r>
      <w:r>
        <w:rPr>
          <w:rFonts w:ascii="Times New Roman" w:hAnsi="Times New Roman" w:eastAsia="仿宋" w:cs="Times New Roman"/>
          <w:b w:val="0"/>
          <w:bCs/>
          <w:color w:val="auto"/>
          <w:sz w:val="28"/>
          <w:szCs w:val="28"/>
          <w:highlight w:val="none"/>
        </w:rPr>
        <w:t>年度考核分为</w:t>
      </w:r>
      <w:r>
        <w:rPr>
          <w:rFonts w:hint="eastAsia" w:ascii="Times New Roman" w:hAnsi="Times New Roman" w:eastAsia="仿宋" w:cs="Times New Roman"/>
          <w:b w:val="0"/>
          <w:bCs/>
          <w:color w:val="auto"/>
          <w:sz w:val="28"/>
          <w:szCs w:val="28"/>
          <w:highlight w:val="none"/>
        </w:rPr>
        <w:t>年度</w:t>
      </w:r>
      <w:r>
        <w:rPr>
          <w:rFonts w:ascii="Times New Roman" w:hAnsi="Times New Roman" w:eastAsia="仿宋" w:cs="Times New Roman"/>
          <w:b w:val="0"/>
          <w:bCs/>
          <w:color w:val="auto"/>
          <w:sz w:val="28"/>
          <w:szCs w:val="28"/>
          <w:highlight w:val="none"/>
        </w:rPr>
        <w:t>平均值</w:t>
      </w:r>
      <w:r>
        <w:rPr>
          <w:rFonts w:hint="eastAsia" w:ascii="Times New Roman" w:hAnsi="Times New Roman" w:eastAsia="仿宋" w:cs="Times New Roman"/>
          <w:b w:val="0"/>
          <w:bCs/>
          <w:color w:val="auto"/>
          <w:sz w:val="28"/>
          <w:szCs w:val="28"/>
          <w:highlight w:val="none"/>
        </w:rPr>
        <w:t>考核</w:t>
      </w:r>
      <w:r>
        <w:rPr>
          <w:rFonts w:ascii="Times New Roman" w:hAnsi="Times New Roman" w:eastAsia="仿宋" w:cs="Times New Roman"/>
          <w:b w:val="0"/>
          <w:bCs/>
          <w:color w:val="auto"/>
          <w:sz w:val="28"/>
          <w:szCs w:val="28"/>
          <w:highlight w:val="none"/>
        </w:rPr>
        <w:t>及</w:t>
      </w:r>
      <w:r>
        <w:rPr>
          <w:rFonts w:hint="eastAsia" w:ascii="Times New Roman" w:hAnsi="Times New Roman" w:eastAsia="仿宋" w:cs="Times New Roman"/>
          <w:b w:val="0"/>
          <w:bCs/>
          <w:color w:val="auto"/>
          <w:sz w:val="28"/>
          <w:szCs w:val="28"/>
          <w:highlight w:val="none"/>
        </w:rPr>
        <w:t>年度</w:t>
      </w:r>
      <w:r>
        <w:rPr>
          <w:rFonts w:ascii="Times New Roman" w:hAnsi="Times New Roman" w:eastAsia="仿宋" w:cs="Times New Roman"/>
          <w:b w:val="0"/>
          <w:bCs/>
          <w:color w:val="auto"/>
          <w:sz w:val="28"/>
          <w:szCs w:val="28"/>
          <w:highlight w:val="none"/>
        </w:rPr>
        <w:t>管理考核，其中</w:t>
      </w:r>
      <w:r>
        <w:rPr>
          <w:rFonts w:hint="eastAsia" w:ascii="Times New Roman" w:hAnsi="Times New Roman" w:eastAsia="仿宋" w:cs="Times New Roman"/>
          <w:b w:val="0"/>
          <w:bCs/>
          <w:color w:val="auto"/>
          <w:sz w:val="28"/>
          <w:szCs w:val="28"/>
          <w:highlight w:val="none"/>
          <w:lang w:val="en-US" w:eastAsia="zh-CN"/>
        </w:rPr>
        <w:t>合同款的10%</w:t>
      </w:r>
      <w:r>
        <w:rPr>
          <w:rFonts w:hint="eastAsia" w:ascii="Times New Roman" w:hAnsi="Times New Roman" w:eastAsia="仿宋" w:cs="Times New Roman"/>
          <w:b w:val="0"/>
          <w:bCs/>
          <w:color w:val="auto"/>
          <w:sz w:val="28"/>
          <w:szCs w:val="28"/>
          <w:highlight w:val="none"/>
        </w:rPr>
        <w:t>按照年度平均值支付，</w:t>
      </w:r>
      <w:r>
        <w:rPr>
          <w:rFonts w:hint="eastAsia" w:ascii="Times New Roman" w:hAnsi="Times New Roman" w:eastAsia="仿宋" w:cs="Times New Roman"/>
          <w:b w:val="0"/>
          <w:bCs/>
          <w:color w:val="auto"/>
          <w:sz w:val="28"/>
          <w:szCs w:val="28"/>
          <w:highlight w:val="none"/>
          <w:lang w:val="en-US" w:eastAsia="zh-CN"/>
        </w:rPr>
        <w:t>合同款的10%</w:t>
      </w:r>
      <w:r>
        <w:rPr>
          <w:rFonts w:hint="eastAsia" w:ascii="Times New Roman" w:hAnsi="Times New Roman" w:eastAsia="仿宋" w:cs="Times New Roman"/>
          <w:b w:val="0"/>
          <w:bCs/>
          <w:color w:val="auto"/>
          <w:sz w:val="28"/>
          <w:szCs w:val="28"/>
          <w:highlight w:val="none"/>
        </w:rPr>
        <w:t xml:space="preserve">按照年度管理情况支付。   </w:t>
      </w:r>
    </w:p>
    <w:p>
      <w:pPr>
        <w:spacing w:line="360" w:lineRule="auto"/>
        <w:ind w:firstLine="560" w:firstLineChars="200"/>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none"/>
        </w:rPr>
        <w:t>1、</w:t>
      </w:r>
      <w:r>
        <w:rPr>
          <w:rFonts w:hint="eastAsia" w:ascii="Times New Roman" w:hAnsi="Times New Roman" w:eastAsia="仿宋" w:cs="Times New Roman"/>
          <w:color w:val="auto"/>
          <w:sz w:val="28"/>
          <w:szCs w:val="28"/>
          <w:highlight w:val="none"/>
        </w:rPr>
        <w:t>根据每条河道的</w:t>
      </w:r>
      <w:r>
        <w:rPr>
          <w:rFonts w:ascii="Times New Roman" w:hAnsi="Times New Roman" w:eastAsia="仿宋" w:cs="Times New Roman"/>
          <w:color w:val="auto"/>
          <w:sz w:val="28"/>
          <w:szCs w:val="28"/>
          <w:highlight w:val="none"/>
        </w:rPr>
        <w:t>月度考核分</w:t>
      </w:r>
      <w:r>
        <w:rPr>
          <w:rFonts w:hint="eastAsia" w:ascii="Times New Roman" w:hAnsi="Times New Roman" w:eastAsia="仿宋" w:cs="Times New Roman"/>
          <w:color w:val="auto"/>
          <w:sz w:val="28"/>
          <w:szCs w:val="28"/>
          <w:highlight w:val="none"/>
        </w:rPr>
        <w:t>计算</w:t>
      </w:r>
      <w:r>
        <w:rPr>
          <w:rFonts w:ascii="Times New Roman" w:hAnsi="Times New Roman" w:eastAsia="仿宋" w:cs="Times New Roman"/>
          <w:color w:val="auto"/>
          <w:sz w:val="28"/>
          <w:szCs w:val="28"/>
          <w:highlight w:val="none"/>
        </w:rPr>
        <w:t>年度平均值</w:t>
      </w:r>
      <w:r>
        <w:rPr>
          <w:rFonts w:hint="eastAsia" w:ascii="Times New Roman" w:hAnsi="Times New Roman" w:eastAsia="仿宋" w:cs="Times New Roman"/>
          <w:color w:val="auto"/>
          <w:sz w:val="28"/>
          <w:szCs w:val="28"/>
          <w:highlight w:val="none"/>
        </w:rPr>
        <w:t>（</w:t>
      </w:r>
      <w:r>
        <w:rPr>
          <w:rFonts w:hint="eastAsia" w:ascii="Times New Roman" w:hAnsi="Times New Roman" w:eastAsia="仿宋" w:cs="Times New Roman"/>
          <w:b/>
          <w:bCs/>
          <w:color w:val="auto"/>
          <w:sz w:val="28"/>
          <w:szCs w:val="28"/>
          <w:highlight w:val="none"/>
        </w:rPr>
        <w:t>T</w:t>
      </w:r>
      <w:r>
        <w:rPr>
          <w:rFonts w:hint="eastAsia" w:ascii="Times New Roman" w:hAnsi="Times New Roman" w:eastAsia="仿宋" w:cs="Times New Roman"/>
          <w:b/>
          <w:color w:val="auto"/>
          <w:sz w:val="28"/>
          <w:szCs w:val="28"/>
          <w:highlight w:val="none"/>
          <w:vertAlign w:val="subscript"/>
        </w:rPr>
        <w:t>y</w:t>
      </w:r>
      <w:r>
        <w:rPr>
          <w:rFonts w:hint="eastAsia" w:ascii="Times New Roman" w:hAnsi="Times New Roman" w:eastAsia="仿宋" w:cs="Times New Roman"/>
          <w:color w:val="auto"/>
          <w:sz w:val="28"/>
          <w:szCs w:val="28"/>
          <w:highlight w:val="none"/>
        </w:rPr>
        <w:t>），并按照以下三种情形支付10%</w:t>
      </w:r>
      <w:r>
        <w:rPr>
          <w:rFonts w:hint="eastAsia" w:ascii="Times New Roman" w:hAnsi="Times New Roman" w:eastAsia="仿宋" w:cs="Times New Roman"/>
          <w:color w:val="auto"/>
          <w:sz w:val="28"/>
          <w:szCs w:val="28"/>
          <w:highlight w:val="none"/>
          <w:lang w:eastAsia="zh-CN"/>
        </w:rPr>
        <w:t>年度合同款</w:t>
      </w:r>
      <w:r>
        <w:rPr>
          <w:rFonts w:hint="eastAsia" w:ascii="Times New Roman" w:hAnsi="Times New Roman" w:eastAsia="仿宋" w:cs="Times New Roman"/>
          <w:color w:val="auto"/>
          <w:sz w:val="28"/>
          <w:szCs w:val="28"/>
          <w:highlight w:val="none"/>
        </w:rPr>
        <w:t>：</w:t>
      </w:r>
    </w:p>
    <w:p>
      <w:pPr>
        <w:spacing w:line="360" w:lineRule="auto"/>
        <w:ind w:firstLine="560" w:firstLineChars="200"/>
        <w:rPr>
          <w:rFonts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rPr>
        <w:t>（1）</w:t>
      </w:r>
      <w:r>
        <w:rPr>
          <w:rFonts w:hint="eastAsia" w:ascii="Times New Roman" w:hAnsi="Times New Roman" w:eastAsia="仿宋" w:cs="Times New Roman"/>
          <w:b/>
          <w:bCs/>
          <w:color w:val="auto"/>
          <w:sz w:val="28"/>
          <w:szCs w:val="28"/>
          <w:highlight w:val="none"/>
        </w:rPr>
        <w:t>T</w:t>
      </w:r>
      <w:r>
        <w:rPr>
          <w:rFonts w:hint="eastAsia" w:ascii="Times New Roman" w:hAnsi="Times New Roman" w:eastAsia="仿宋" w:cs="Times New Roman"/>
          <w:b/>
          <w:color w:val="auto"/>
          <w:sz w:val="28"/>
          <w:szCs w:val="28"/>
          <w:highlight w:val="none"/>
          <w:vertAlign w:val="subscript"/>
        </w:rPr>
        <w:t>y</w:t>
      </w:r>
      <w:r>
        <w:rPr>
          <w:rFonts w:hint="eastAsia" w:ascii="Times New Roman" w:hAnsi="Times New Roman" w:eastAsia="仿宋" w:cs="Times New Roman"/>
          <w:bCs/>
          <w:color w:val="auto"/>
          <w:sz w:val="28"/>
          <w:szCs w:val="28"/>
          <w:highlight w:val="none"/>
        </w:rPr>
        <w:t>≥95分，</w:t>
      </w:r>
      <w:r>
        <w:rPr>
          <w:rFonts w:hint="eastAsia" w:ascii="Times New Roman" w:hAnsi="Times New Roman" w:eastAsia="仿宋" w:cs="Times New Roman"/>
          <w:color w:val="auto"/>
          <w:sz w:val="28"/>
          <w:szCs w:val="28"/>
          <w:highlight w:val="none"/>
        </w:rPr>
        <w:t>全额拨付</w:t>
      </w:r>
      <w:r>
        <w:rPr>
          <w:rFonts w:hint="eastAsia" w:ascii="Times New Roman" w:hAnsi="Times New Roman" w:eastAsia="仿宋" w:cs="Times New Roman"/>
          <w:color w:val="auto"/>
          <w:sz w:val="28"/>
          <w:szCs w:val="28"/>
          <w:highlight w:val="none"/>
          <w:lang w:val="en-US" w:eastAsia="zh-CN"/>
        </w:rPr>
        <w:t>年度合同款的</w:t>
      </w:r>
      <w:r>
        <w:rPr>
          <w:rFonts w:hint="eastAsia" w:ascii="Times New Roman" w:hAnsi="Times New Roman" w:eastAsia="仿宋" w:cs="Times New Roman"/>
          <w:color w:val="auto"/>
          <w:sz w:val="28"/>
          <w:szCs w:val="28"/>
          <w:highlight w:val="none"/>
        </w:rPr>
        <w:t>10%</w:t>
      </w:r>
      <w:r>
        <w:rPr>
          <w:rFonts w:ascii="Times New Roman" w:hAnsi="Times New Roman" w:eastAsia="仿宋" w:cs="Times New Roman"/>
          <w:color w:val="auto"/>
          <w:sz w:val="28"/>
          <w:szCs w:val="28"/>
          <w:highlight w:val="none"/>
        </w:rPr>
        <w:t>；</w:t>
      </w:r>
    </w:p>
    <w:p>
      <w:pPr>
        <w:spacing w:line="360" w:lineRule="auto"/>
        <w:ind w:firstLine="548" w:firstLineChars="196"/>
        <w:rPr>
          <w:rFonts w:ascii="Times New Roman" w:hAnsi="Times New Roman" w:eastAsia="仿宋" w:cs="Times New Roman"/>
          <w:color w:val="auto"/>
          <w:sz w:val="28"/>
          <w:szCs w:val="28"/>
          <w:highlight w:val="none"/>
        </w:rPr>
      </w:pPr>
      <w:r>
        <w:rPr>
          <w:rFonts w:hint="eastAsia" w:ascii="Times New Roman" w:hAnsi="Times New Roman" w:eastAsia="仿宋" w:cs="Times New Roman"/>
          <w:bCs/>
          <w:color w:val="auto"/>
          <w:sz w:val="28"/>
          <w:szCs w:val="28"/>
          <w:highlight w:val="none"/>
        </w:rPr>
        <w:t>（2）90</w:t>
      </w:r>
      <w:r>
        <w:rPr>
          <w:rFonts w:ascii="Times New Roman" w:hAnsi="Times New Roman" w:eastAsia="仿宋" w:cs="Times New Roman"/>
          <w:bCs/>
          <w:color w:val="auto"/>
          <w:sz w:val="28"/>
          <w:szCs w:val="28"/>
          <w:highlight w:val="none"/>
        </w:rPr>
        <w:t>分</w:t>
      </w:r>
      <w:r>
        <w:rPr>
          <w:rFonts w:hint="eastAsia" w:ascii="Times New Roman" w:hAnsi="Times New Roman" w:eastAsia="仿宋" w:cs="Times New Roman"/>
          <w:bCs/>
          <w:color w:val="auto"/>
          <w:sz w:val="28"/>
          <w:szCs w:val="28"/>
          <w:highlight w:val="none"/>
        </w:rPr>
        <w:t>≤</w:t>
      </w:r>
      <w:r>
        <w:rPr>
          <w:rFonts w:hint="eastAsia" w:ascii="Times New Roman" w:hAnsi="Times New Roman" w:eastAsia="仿宋" w:cs="Times New Roman"/>
          <w:b/>
          <w:bCs/>
          <w:color w:val="auto"/>
          <w:sz w:val="28"/>
          <w:szCs w:val="28"/>
          <w:highlight w:val="none"/>
        </w:rPr>
        <w:t>T</w:t>
      </w:r>
      <w:r>
        <w:rPr>
          <w:rFonts w:hint="eastAsia" w:ascii="Times New Roman" w:hAnsi="Times New Roman" w:eastAsia="仿宋" w:cs="Times New Roman"/>
          <w:b/>
          <w:color w:val="auto"/>
          <w:sz w:val="28"/>
          <w:szCs w:val="28"/>
          <w:highlight w:val="none"/>
          <w:vertAlign w:val="subscript"/>
        </w:rPr>
        <w:t>y</w:t>
      </w:r>
      <w:r>
        <w:rPr>
          <w:rFonts w:ascii="Times New Roman" w:hAnsi="Times New Roman" w:eastAsia="仿宋" w:cs="Times New Roman"/>
          <w:bCs/>
          <w:color w:val="auto"/>
          <w:sz w:val="28"/>
          <w:szCs w:val="28"/>
          <w:highlight w:val="none"/>
        </w:rPr>
        <w:t>＜95分</w:t>
      </w:r>
      <w:r>
        <w:rPr>
          <w:rFonts w:hint="eastAsia" w:ascii="Times New Roman" w:hAnsi="Times New Roman" w:eastAsia="仿宋" w:cs="Times New Roman"/>
          <w:bCs/>
          <w:color w:val="auto"/>
          <w:sz w:val="28"/>
          <w:szCs w:val="28"/>
          <w:highlight w:val="none"/>
        </w:rPr>
        <w:t>，扣除费用为：</w:t>
      </w:r>
      <w:r>
        <w:rPr>
          <w:rFonts w:hint="eastAsia" w:ascii="Times New Roman" w:hAnsi="Times New Roman" w:eastAsia="仿宋" w:cs="Times New Roman"/>
          <w:bCs/>
          <w:color w:val="auto"/>
          <w:sz w:val="28"/>
          <w:szCs w:val="28"/>
          <w:highlight w:val="none"/>
          <w:lang w:eastAsia="zh-CN"/>
        </w:rPr>
        <w:t>年度合同款</w:t>
      </w:r>
      <w:r>
        <w:rPr>
          <w:rFonts w:hint="eastAsia" w:ascii="Times New Roman" w:hAnsi="Times New Roman" w:eastAsia="仿宋" w:cs="Times New Roman"/>
          <w:bCs/>
          <w:color w:val="auto"/>
          <w:sz w:val="28"/>
          <w:szCs w:val="28"/>
          <w:highlight w:val="none"/>
          <w:lang w:val="en-US" w:eastAsia="zh-CN"/>
        </w:rPr>
        <w:t>×</w:t>
      </w:r>
      <w:r>
        <w:rPr>
          <w:rFonts w:hint="eastAsia" w:ascii="Times New Roman" w:hAnsi="Times New Roman" w:eastAsia="仿宋" w:cs="Times New Roman"/>
          <w:bCs/>
          <w:color w:val="auto"/>
          <w:sz w:val="28"/>
          <w:szCs w:val="28"/>
          <w:highlight w:val="none"/>
        </w:rPr>
        <w:t>（</w:t>
      </w:r>
      <w:r>
        <w:rPr>
          <w:rFonts w:hint="eastAsia" w:ascii="Times New Roman" w:hAnsi="Times New Roman" w:eastAsia="仿宋" w:cs="Times New Roman"/>
          <w:color w:val="auto"/>
          <w:sz w:val="28"/>
          <w:szCs w:val="28"/>
          <w:highlight w:val="none"/>
        </w:rPr>
        <w:t>95-</w:t>
      </w:r>
      <w:r>
        <w:rPr>
          <w:rFonts w:hint="eastAsia" w:ascii="Times New Roman" w:hAnsi="Times New Roman" w:eastAsia="仿宋" w:cs="Times New Roman"/>
          <w:b/>
          <w:bCs/>
          <w:color w:val="auto"/>
          <w:sz w:val="28"/>
          <w:szCs w:val="28"/>
          <w:highlight w:val="none"/>
        </w:rPr>
        <w:t>T</w:t>
      </w:r>
      <w:r>
        <w:rPr>
          <w:rFonts w:hint="eastAsia" w:ascii="Times New Roman" w:hAnsi="Times New Roman" w:eastAsia="仿宋" w:cs="Times New Roman"/>
          <w:b/>
          <w:color w:val="auto"/>
          <w:sz w:val="28"/>
          <w:szCs w:val="28"/>
          <w:highlight w:val="none"/>
          <w:vertAlign w:val="subscript"/>
        </w:rPr>
        <w:t>y</w:t>
      </w:r>
      <w:r>
        <w:rPr>
          <w:rFonts w:hint="eastAsia" w:ascii="Times New Roman" w:hAnsi="Times New Roman" w:eastAsia="仿宋" w:cs="Times New Roman"/>
          <w:bCs/>
          <w:color w:val="auto"/>
          <w:sz w:val="28"/>
          <w:szCs w:val="28"/>
          <w:highlight w:val="none"/>
        </w:rPr>
        <w:t>）</w:t>
      </w:r>
      <w:r>
        <w:rPr>
          <w:rFonts w:hint="eastAsia" w:ascii="Times New Roman" w:hAnsi="Times New Roman" w:eastAsia="仿宋" w:cs="Times New Roman"/>
          <w:bCs/>
          <w:color w:val="auto"/>
          <w:sz w:val="28"/>
          <w:szCs w:val="28"/>
          <w:highlight w:val="none"/>
          <w:lang w:val="en-US" w:eastAsia="zh-CN"/>
        </w:rPr>
        <w:t>×</w:t>
      </w:r>
      <w:r>
        <w:rPr>
          <w:rFonts w:hint="eastAsia" w:ascii="Times New Roman" w:hAnsi="Times New Roman" w:eastAsia="仿宋" w:cs="Times New Roman"/>
          <w:bCs/>
          <w:color w:val="auto"/>
          <w:sz w:val="28"/>
          <w:szCs w:val="28"/>
          <w:highlight w:val="none"/>
        </w:rPr>
        <w:t>0.2%；</w:t>
      </w:r>
    </w:p>
    <w:p>
      <w:pPr>
        <w:spacing w:line="360" w:lineRule="auto"/>
        <w:ind w:firstLine="548" w:firstLineChars="196"/>
        <w:rPr>
          <w:rFonts w:ascii="Times New Roman" w:hAnsi="Times New Roman" w:eastAsia="仿宋" w:cs="Times New Roman"/>
          <w:color w:val="auto"/>
          <w:sz w:val="28"/>
          <w:szCs w:val="28"/>
          <w:highlight w:val="none"/>
        </w:rPr>
      </w:pPr>
      <w:r>
        <w:rPr>
          <w:rFonts w:hint="eastAsia" w:ascii="Times New Roman" w:hAnsi="Times New Roman" w:eastAsia="仿宋" w:cs="Times New Roman"/>
          <w:bCs/>
          <w:color w:val="auto"/>
          <w:sz w:val="28"/>
          <w:szCs w:val="28"/>
          <w:highlight w:val="none"/>
        </w:rPr>
        <w:t>（2）85</w:t>
      </w:r>
      <w:r>
        <w:rPr>
          <w:rFonts w:ascii="Times New Roman" w:hAnsi="Times New Roman" w:eastAsia="仿宋" w:cs="Times New Roman"/>
          <w:bCs/>
          <w:color w:val="auto"/>
          <w:sz w:val="28"/>
          <w:szCs w:val="28"/>
          <w:highlight w:val="none"/>
        </w:rPr>
        <w:t>分</w:t>
      </w:r>
      <w:r>
        <w:rPr>
          <w:rFonts w:hint="eastAsia" w:ascii="Times New Roman" w:hAnsi="Times New Roman" w:eastAsia="仿宋" w:cs="Times New Roman"/>
          <w:bCs/>
          <w:color w:val="auto"/>
          <w:sz w:val="28"/>
          <w:szCs w:val="28"/>
          <w:highlight w:val="none"/>
        </w:rPr>
        <w:t>≤</w:t>
      </w:r>
      <w:r>
        <w:rPr>
          <w:rFonts w:hint="eastAsia" w:ascii="Times New Roman" w:hAnsi="Times New Roman" w:eastAsia="仿宋" w:cs="Times New Roman"/>
          <w:b/>
          <w:bCs/>
          <w:color w:val="auto"/>
          <w:sz w:val="28"/>
          <w:szCs w:val="28"/>
          <w:highlight w:val="none"/>
        </w:rPr>
        <w:t>T</w:t>
      </w:r>
      <w:r>
        <w:rPr>
          <w:rFonts w:hint="eastAsia" w:ascii="Times New Roman" w:hAnsi="Times New Roman" w:eastAsia="仿宋" w:cs="Times New Roman"/>
          <w:b/>
          <w:color w:val="auto"/>
          <w:sz w:val="28"/>
          <w:szCs w:val="28"/>
          <w:highlight w:val="none"/>
          <w:vertAlign w:val="subscript"/>
        </w:rPr>
        <w:t>y</w:t>
      </w:r>
      <w:r>
        <w:rPr>
          <w:rFonts w:ascii="Times New Roman" w:hAnsi="Times New Roman" w:eastAsia="仿宋" w:cs="Times New Roman"/>
          <w:bCs/>
          <w:color w:val="auto"/>
          <w:sz w:val="28"/>
          <w:szCs w:val="28"/>
          <w:highlight w:val="none"/>
        </w:rPr>
        <w:t>＜9</w:t>
      </w:r>
      <w:r>
        <w:rPr>
          <w:rFonts w:hint="eastAsia" w:ascii="Times New Roman" w:hAnsi="Times New Roman" w:eastAsia="仿宋" w:cs="Times New Roman"/>
          <w:bCs/>
          <w:color w:val="auto"/>
          <w:sz w:val="28"/>
          <w:szCs w:val="28"/>
          <w:highlight w:val="none"/>
        </w:rPr>
        <w:t>0</w:t>
      </w:r>
      <w:r>
        <w:rPr>
          <w:rFonts w:ascii="Times New Roman" w:hAnsi="Times New Roman" w:eastAsia="仿宋" w:cs="Times New Roman"/>
          <w:bCs/>
          <w:color w:val="auto"/>
          <w:sz w:val="28"/>
          <w:szCs w:val="28"/>
          <w:highlight w:val="none"/>
        </w:rPr>
        <w:t>分</w:t>
      </w:r>
      <w:r>
        <w:rPr>
          <w:rFonts w:hint="eastAsia" w:ascii="Times New Roman" w:hAnsi="Times New Roman" w:eastAsia="仿宋" w:cs="Times New Roman"/>
          <w:bCs/>
          <w:color w:val="auto"/>
          <w:sz w:val="28"/>
          <w:szCs w:val="28"/>
          <w:highlight w:val="none"/>
        </w:rPr>
        <w:t>，扣除费用为：</w:t>
      </w:r>
      <w:r>
        <w:rPr>
          <w:rFonts w:hint="eastAsia" w:ascii="Times New Roman" w:hAnsi="Times New Roman" w:eastAsia="仿宋" w:cs="Times New Roman"/>
          <w:bCs/>
          <w:color w:val="auto"/>
          <w:sz w:val="28"/>
          <w:szCs w:val="28"/>
          <w:highlight w:val="none"/>
          <w:lang w:eastAsia="zh-CN"/>
        </w:rPr>
        <w:t>年度合同款</w:t>
      </w:r>
      <w:r>
        <w:rPr>
          <w:rFonts w:hint="eastAsia" w:ascii="Times New Roman" w:hAnsi="Times New Roman" w:eastAsia="仿宋" w:cs="Times New Roman"/>
          <w:bCs/>
          <w:color w:val="auto"/>
          <w:sz w:val="28"/>
          <w:szCs w:val="28"/>
          <w:highlight w:val="none"/>
          <w:lang w:val="en-US" w:eastAsia="zh-CN"/>
        </w:rPr>
        <w:t>×</w:t>
      </w:r>
      <w:r>
        <w:rPr>
          <w:rFonts w:hint="eastAsia" w:ascii="Times New Roman" w:hAnsi="Times New Roman" w:eastAsia="仿宋" w:cs="Times New Roman"/>
          <w:bCs/>
          <w:color w:val="auto"/>
          <w:sz w:val="28"/>
          <w:szCs w:val="28"/>
          <w:highlight w:val="none"/>
        </w:rPr>
        <w:t>（</w:t>
      </w:r>
      <w:r>
        <w:rPr>
          <w:rFonts w:hint="eastAsia" w:ascii="Times New Roman" w:hAnsi="Times New Roman" w:eastAsia="仿宋" w:cs="Times New Roman"/>
          <w:color w:val="auto"/>
          <w:sz w:val="28"/>
          <w:szCs w:val="28"/>
          <w:highlight w:val="none"/>
        </w:rPr>
        <w:t>95-</w:t>
      </w:r>
      <w:r>
        <w:rPr>
          <w:rFonts w:hint="eastAsia" w:ascii="Times New Roman" w:hAnsi="Times New Roman" w:eastAsia="仿宋" w:cs="Times New Roman"/>
          <w:b/>
          <w:bCs/>
          <w:color w:val="auto"/>
          <w:sz w:val="28"/>
          <w:szCs w:val="28"/>
          <w:highlight w:val="none"/>
        </w:rPr>
        <w:t>T</w:t>
      </w:r>
      <w:r>
        <w:rPr>
          <w:rFonts w:hint="eastAsia" w:ascii="Times New Roman" w:hAnsi="Times New Roman" w:eastAsia="仿宋" w:cs="Times New Roman"/>
          <w:b/>
          <w:color w:val="auto"/>
          <w:sz w:val="28"/>
          <w:szCs w:val="28"/>
          <w:highlight w:val="none"/>
          <w:vertAlign w:val="subscript"/>
        </w:rPr>
        <w:t>y</w:t>
      </w:r>
      <w:r>
        <w:rPr>
          <w:rFonts w:hint="eastAsia" w:ascii="Times New Roman" w:hAnsi="Times New Roman" w:eastAsia="仿宋" w:cs="Times New Roman"/>
          <w:bCs/>
          <w:color w:val="auto"/>
          <w:sz w:val="28"/>
          <w:szCs w:val="28"/>
          <w:highlight w:val="none"/>
        </w:rPr>
        <w:t>）</w:t>
      </w:r>
      <w:r>
        <w:rPr>
          <w:rFonts w:hint="eastAsia" w:ascii="Times New Roman" w:hAnsi="Times New Roman" w:eastAsia="仿宋" w:cs="Times New Roman"/>
          <w:bCs/>
          <w:color w:val="auto"/>
          <w:sz w:val="28"/>
          <w:szCs w:val="28"/>
          <w:highlight w:val="none"/>
          <w:lang w:val="en-US" w:eastAsia="zh-CN"/>
        </w:rPr>
        <w:t>×</w:t>
      </w:r>
      <w:r>
        <w:rPr>
          <w:rFonts w:hint="eastAsia" w:ascii="Times New Roman" w:hAnsi="Times New Roman" w:eastAsia="仿宋" w:cs="Times New Roman"/>
          <w:bCs/>
          <w:color w:val="auto"/>
          <w:sz w:val="28"/>
          <w:szCs w:val="28"/>
          <w:highlight w:val="none"/>
        </w:rPr>
        <w:t>0.5%；</w:t>
      </w:r>
    </w:p>
    <w:p>
      <w:pPr>
        <w:spacing w:line="360" w:lineRule="auto"/>
        <w:ind w:firstLine="548" w:firstLineChars="196"/>
        <w:rPr>
          <w:rFonts w:ascii="仿宋" w:hAnsi="仿宋" w:eastAsia="仿宋" w:cs="仿宋"/>
          <w:color w:val="auto"/>
          <w:sz w:val="28"/>
          <w:szCs w:val="28"/>
          <w:highlight w:val="none"/>
        </w:rPr>
      </w:pPr>
      <w:r>
        <w:rPr>
          <w:rFonts w:hint="eastAsia" w:ascii="Times New Roman" w:hAnsi="Times New Roman" w:eastAsia="仿宋" w:cs="Times New Roman"/>
          <w:bCs/>
          <w:color w:val="auto"/>
          <w:sz w:val="28"/>
          <w:szCs w:val="28"/>
          <w:highlight w:val="none"/>
        </w:rPr>
        <w:t>（3）80</w:t>
      </w:r>
      <w:r>
        <w:rPr>
          <w:rFonts w:ascii="Times New Roman" w:hAnsi="Times New Roman" w:eastAsia="仿宋" w:cs="Times New Roman"/>
          <w:bCs/>
          <w:color w:val="auto"/>
          <w:sz w:val="28"/>
          <w:szCs w:val="28"/>
          <w:highlight w:val="none"/>
        </w:rPr>
        <w:t>分</w:t>
      </w:r>
      <w:r>
        <w:rPr>
          <w:rFonts w:hint="eastAsia" w:ascii="Times New Roman" w:hAnsi="Times New Roman" w:eastAsia="仿宋" w:cs="Times New Roman"/>
          <w:bCs/>
          <w:color w:val="auto"/>
          <w:sz w:val="28"/>
          <w:szCs w:val="28"/>
          <w:highlight w:val="none"/>
        </w:rPr>
        <w:t>≤</w:t>
      </w:r>
      <w:r>
        <w:rPr>
          <w:rFonts w:hint="eastAsia" w:ascii="Times New Roman" w:hAnsi="Times New Roman" w:eastAsia="仿宋" w:cs="Times New Roman"/>
          <w:b/>
          <w:bCs/>
          <w:color w:val="auto"/>
          <w:sz w:val="28"/>
          <w:szCs w:val="28"/>
          <w:highlight w:val="none"/>
        </w:rPr>
        <w:t>T</w:t>
      </w:r>
      <w:r>
        <w:rPr>
          <w:rFonts w:hint="eastAsia" w:ascii="Times New Roman" w:hAnsi="Times New Roman" w:eastAsia="仿宋" w:cs="Times New Roman"/>
          <w:b/>
          <w:color w:val="auto"/>
          <w:sz w:val="28"/>
          <w:szCs w:val="28"/>
          <w:highlight w:val="none"/>
          <w:vertAlign w:val="subscript"/>
        </w:rPr>
        <w:t>y</w:t>
      </w:r>
      <w:r>
        <w:rPr>
          <w:rFonts w:ascii="Times New Roman" w:hAnsi="Times New Roman" w:eastAsia="仿宋" w:cs="Times New Roman"/>
          <w:bCs/>
          <w:color w:val="auto"/>
          <w:sz w:val="28"/>
          <w:szCs w:val="28"/>
          <w:highlight w:val="none"/>
        </w:rPr>
        <w:t>＜</w:t>
      </w:r>
      <w:r>
        <w:rPr>
          <w:rFonts w:hint="eastAsia" w:ascii="Times New Roman" w:hAnsi="Times New Roman" w:eastAsia="仿宋" w:cs="Times New Roman"/>
          <w:bCs/>
          <w:color w:val="auto"/>
          <w:sz w:val="28"/>
          <w:szCs w:val="28"/>
          <w:highlight w:val="none"/>
        </w:rPr>
        <w:t>85</w:t>
      </w:r>
      <w:r>
        <w:rPr>
          <w:rFonts w:ascii="Times New Roman" w:hAnsi="Times New Roman" w:eastAsia="仿宋" w:cs="Times New Roman"/>
          <w:bCs/>
          <w:color w:val="auto"/>
          <w:sz w:val="28"/>
          <w:szCs w:val="28"/>
          <w:highlight w:val="none"/>
        </w:rPr>
        <w:t>分</w:t>
      </w:r>
      <w:r>
        <w:rPr>
          <w:rFonts w:hint="eastAsia" w:ascii="Times New Roman" w:hAnsi="Times New Roman" w:eastAsia="仿宋" w:cs="Times New Roman"/>
          <w:bCs/>
          <w:color w:val="auto"/>
          <w:sz w:val="28"/>
          <w:szCs w:val="28"/>
          <w:highlight w:val="none"/>
        </w:rPr>
        <w:t>，扣除费用为：</w:t>
      </w:r>
      <w:r>
        <w:rPr>
          <w:rFonts w:hint="eastAsia" w:ascii="Times New Roman" w:hAnsi="Times New Roman" w:eastAsia="仿宋" w:cs="Times New Roman"/>
          <w:bCs/>
          <w:color w:val="auto"/>
          <w:sz w:val="28"/>
          <w:szCs w:val="28"/>
          <w:highlight w:val="none"/>
          <w:lang w:eastAsia="zh-CN"/>
        </w:rPr>
        <w:t>年度合同款</w:t>
      </w:r>
      <w:r>
        <w:rPr>
          <w:rFonts w:hint="eastAsia" w:ascii="Times New Roman" w:hAnsi="Times New Roman" w:eastAsia="仿宋" w:cs="Times New Roman"/>
          <w:bCs/>
          <w:color w:val="auto"/>
          <w:sz w:val="28"/>
          <w:szCs w:val="28"/>
          <w:highlight w:val="none"/>
          <w:lang w:val="en-US" w:eastAsia="zh-CN"/>
        </w:rPr>
        <w:t>×</w:t>
      </w:r>
      <w:r>
        <w:rPr>
          <w:rFonts w:hint="eastAsia" w:ascii="仿宋" w:hAnsi="仿宋" w:eastAsia="仿宋" w:cs="仿宋"/>
          <w:bCs/>
          <w:color w:val="auto"/>
          <w:sz w:val="28"/>
          <w:szCs w:val="28"/>
          <w:highlight w:val="none"/>
        </w:rPr>
        <w:t>[</w:t>
      </w:r>
      <w:r>
        <w:rPr>
          <w:rFonts w:hint="eastAsia" w:ascii="Times New Roman" w:hAnsi="Times New Roman" w:eastAsia="仿宋" w:cs="Times New Roman"/>
          <w:bCs/>
          <w:color w:val="auto"/>
          <w:sz w:val="28"/>
          <w:szCs w:val="28"/>
          <w:highlight w:val="none"/>
        </w:rPr>
        <w:t>5%+（</w:t>
      </w:r>
      <w:r>
        <w:rPr>
          <w:rFonts w:hint="eastAsia" w:ascii="Times New Roman" w:hAnsi="Times New Roman" w:eastAsia="仿宋" w:cs="Times New Roman"/>
          <w:color w:val="auto"/>
          <w:sz w:val="28"/>
          <w:szCs w:val="28"/>
          <w:highlight w:val="none"/>
        </w:rPr>
        <w:t>85-</w:t>
      </w:r>
      <w:r>
        <w:rPr>
          <w:rFonts w:hint="eastAsia" w:ascii="Times New Roman" w:hAnsi="Times New Roman" w:eastAsia="仿宋" w:cs="Times New Roman"/>
          <w:b/>
          <w:bCs/>
          <w:color w:val="auto"/>
          <w:sz w:val="28"/>
          <w:szCs w:val="28"/>
          <w:highlight w:val="none"/>
        </w:rPr>
        <w:t>T</w:t>
      </w:r>
      <w:r>
        <w:rPr>
          <w:rFonts w:hint="eastAsia" w:ascii="Times New Roman" w:hAnsi="Times New Roman" w:eastAsia="仿宋" w:cs="Times New Roman"/>
          <w:b/>
          <w:color w:val="auto"/>
          <w:sz w:val="28"/>
          <w:szCs w:val="28"/>
          <w:highlight w:val="none"/>
          <w:vertAlign w:val="subscript"/>
        </w:rPr>
        <w:t>y</w:t>
      </w:r>
      <w:r>
        <w:rPr>
          <w:rFonts w:hint="eastAsia" w:ascii="Times New Roman" w:hAnsi="Times New Roman" w:eastAsia="仿宋" w:cs="Times New Roman"/>
          <w:bCs/>
          <w:color w:val="auto"/>
          <w:sz w:val="28"/>
          <w:szCs w:val="28"/>
          <w:highlight w:val="none"/>
        </w:rPr>
        <w:t>）</w:t>
      </w:r>
      <w:r>
        <w:rPr>
          <w:rFonts w:hint="eastAsia" w:ascii="Times New Roman" w:hAnsi="Times New Roman" w:eastAsia="仿宋" w:cs="Times New Roman"/>
          <w:bCs/>
          <w:color w:val="auto"/>
          <w:sz w:val="28"/>
          <w:szCs w:val="28"/>
          <w:highlight w:val="none"/>
          <w:lang w:val="en-US" w:eastAsia="zh-CN"/>
        </w:rPr>
        <w:t>×</w:t>
      </w:r>
      <w:r>
        <w:rPr>
          <w:rFonts w:hint="eastAsia" w:ascii="Times New Roman" w:hAnsi="Times New Roman" w:eastAsia="仿宋" w:cs="Times New Roman"/>
          <w:bCs/>
          <w:color w:val="auto"/>
          <w:sz w:val="28"/>
          <w:szCs w:val="28"/>
          <w:highlight w:val="none"/>
        </w:rPr>
        <w:t>1%</w:t>
      </w:r>
      <w:r>
        <w:rPr>
          <w:rFonts w:hint="eastAsia" w:ascii="仿宋" w:hAnsi="仿宋" w:eastAsia="仿宋" w:cs="仿宋"/>
          <w:bCs/>
          <w:color w:val="auto"/>
          <w:sz w:val="28"/>
          <w:szCs w:val="28"/>
          <w:highlight w:val="none"/>
        </w:rPr>
        <w:t>]；</w:t>
      </w:r>
    </w:p>
    <w:p>
      <w:pPr>
        <w:spacing w:line="360" w:lineRule="auto"/>
        <w:ind w:firstLine="548" w:firstLineChars="196"/>
        <w:rPr>
          <w:rFonts w:ascii="Times New Roman" w:hAnsi="Times New Roman" w:eastAsia="仿宋" w:cs="Times New Roman"/>
          <w:color w:val="auto"/>
          <w:sz w:val="28"/>
          <w:szCs w:val="28"/>
          <w:highlight w:val="none"/>
        </w:rPr>
      </w:pPr>
      <w:r>
        <w:rPr>
          <w:rFonts w:hint="eastAsia" w:ascii="Times New Roman" w:hAnsi="Times New Roman" w:eastAsia="仿宋" w:cs="Times New Roman"/>
          <w:bCs/>
          <w:color w:val="auto"/>
          <w:sz w:val="28"/>
          <w:szCs w:val="28"/>
          <w:highlight w:val="none"/>
        </w:rPr>
        <w:t>（4）</w:t>
      </w:r>
      <w:r>
        <w:rPr>
          <w:rFonts w:hint="eastAsia" w:ascii="Times New Roman" w:hAnsi="Times New Roman" w:eastAsia="仿宋" w:cs="Times New Roman"/>
          <w:b/>
          <w:bCs/>
          <w:color w:val="auto"/>
          <w:sz w:val="28"/>
          <w:szCs w:val="28"/>
          <w:highlight w:val="none"/>
        </w:rPr>
        <w:t>T</w:t>
      </w:r>
      <w:r>
        <w:rPr>
          <w:rFonts w:hint="eastAsia" w:ascii="Times New Roman" w:hAnsi="Times New Roman" w:eastAsia="仿宋" w:cs="Times New Roman"/>
          <w:b/>
          <w:color w:val="auto"/>
          <w:sz w:val="28"/>
          <w:szCs w:val="28"/>
          <w:highlight w:val="none"/>
          <w:vertAlign w:val="subscript"/>
        </w:rPr>
        <w:t>y</w:t>
      </w:r>
      <w:r>
        <w:rPr>
          <w:rFonts w:ascii="Times New Roman" w:hAnsi="Times New Roman" w:eastAsia="仿宋" w:cs="Times New Roman"/>
          <w:color w:val="auto"/>
          <w:sz w:val="24"/>
          <w:highlight w:val="none"/>
        </w:rPr>
        <w:t>＜</w:t>
      </w:r>
      <w:r>
        <w:rPr>
          <w:rFonts w:hint="eastAsia" w:ascii="Times New Roman" w:hAnsi="Times New Roman" w:eastAsia="仿宋" w:cs="Times New Roman"/>
          <w:bCs/>
          <w:color w:val="auto"/>
          <w:sz w:val="28"/>
          <w:szCs w:val="28"/>
          <w:highlight w:val="none"/>
        </w:rPr>
        <w:t>80</w:t>
      </w:r>
      <w:r>
        <w:rPr>
          <w:rFonts w:ascii="Times New Roman" w:hAnsi="Times New Roman" w:eastAsia="仿宋" w:cs="Times New Roman"/>
          <w:bCs/>
          <w:color w:val="auto"/>
          <w:sz w:val="28"/>
          <w:szCs w:val="28"/>
          <w:highlight w:val="none"/>
        </w:rPr>
        <w:t>分</w:t>
      </w:r>
      <w:r>
        <w:rPr>
          <w:rFonts w:ascii="Times New Roman" w:hAnsi="Times New Roman" w:eastAsia="仿宋" w:cs="Times New Roman"/>
          <w:color w:val="auto"/>
          <w:sz w:val="28"/>
          <w:szCs w:val="28"/>
          <w:highlight w:val="none"/>
        </w:rPr>
        <w:t>，</w:t>
      </w:r>
      <w:r>
        <w:rPr>
          <w:rFonts w:hint="eastAsia" w:ascii="Times New Roman" w:hAnsi="Times New Roman" w:eastAsia="仿宋" w:cs="Times New Roman"/>
          <w:color w:val="auto"/>
          <w:sz w:val="28"/>
          <w:szCs w:val="28"/>
          <w:highlight w:val="none"/>
        </w:rPr>
        <w:t>10%</w:t>
      </w:r>
      <w:r>
        <w:rPr>
          <w:rFonts w:hint="eastAsia" w:ascii="Times New Roman" w:hAnsi="Times New Roman" w:eastAsia="仿宋" w:cs="Times New Roman"/>
          <w:bCs/>
          <w:color w:val="auto"/>
          <w:sz w:val="28"/>
          <w:szCs w:val="28"/>
          <w:highlight w:val="none"/>
          <w:lang w:eastAsia="zh-CN"/>
        </w:rPr>
        <w:t>年度合同款</w:t>
      </w:r>
      <w:r>
        <w:rPr>
          <w:rFonts w:hint="eastAsia" w:ascii="Times New Roman" w:hAnsi="Times New Roman" w:eastAsia="仿宋" w:cs="Times New Roman"/>
          <w:color w:val="auto"/>
          <w:sz w:val="28"/>
          <w:szCs w:val="28"/>
          <w:highlight w:val="none"/>
        </w:rPr>
        <w:t>全部扣除</w:t>
      </w:r>
      <w:r>
        <w:rPr>
          <w:rFonts w:ascii="Times New Roman" w:hAnsi="Times New Roman" w:eastAsia="仿宋" w:cs="Times New Roman"/>
          <w:color w:val="auto"/>
          <w:sz w:val="28"/>
          <w:szCs w:val="28"/>
          <w:highlight w:val="none"/>
        </w:rPr>
        <w:t>。</w:t>
      </w:r>
    </w:p>
    <w:p>
      <w:pPr>
        <w:numPr>
          <w:ilvl w:val="0"/>
          <w:numId w:val="4"/>
        </w:numPr>
        <w:spacing w:line="360" w:lineRule="auto"/>
        <w:ind w:firstLine="548" w:firstLineChars="196"/>
        <w:rPr>
          <w:rFonts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rPr>
        <w:t>年度</w:t>
      </w:r>
      <w:r>
        <w:rPr>
          <w:rFonts w:ascii="Times New Roman" w:hAnsi="Times New Roman" w:eastAsia="仿宋" w:cs="Times New Roman"/>
          <w:color w:val="auto"/>
          <w:sz w:val="28"/>
          <w:szCs w:val="28"/>
          <w:highlight w:val="none"/>
        </w:rPr>
        <w:t>管理考核根据年度整体情况进行考核</w:t>
      </w:r>
      <w:r>
        <w:rPr>
          <w:rFonts w:hint="eastAsia" w:ascii="Times New Roman" w:hAnsi="Times New Roman" w:eastAsia="仿宋" w:cs="Times New Roman"/>
          <w:color w:val="auto"/>
          <w:sz w:val="28"/>
          <w:szCs w:val="28"/>
          <w:highlight w:val="none"/>
        </w:rPr>
        <w:t>：</w:t>
      </w:r>
    </w:p>
    <w:p>
      <w:pPr>
        <w:spacing w:line="360" w:lineRule="auto"/>
        <w:ind w:firstLine="560" w:firstLineChars="200"/>
        <w:rPr>
          <w:rFonts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rPr>
        <w:t>（1）符合以下情形的，10%</w:t>
      </w:r>
      <w:r>
        <w:rPr>
          <w:rFonts w:hint="eastAsia" w:ascii="Times New Roman" w:hAnsi="Times New Roman" w:eastAsia="仿宋" w:cs="Times New Roman"/>
          <w:color w:val="auto"/>
          <w:sz w:val="28"/>
          <w:szCs w:val="28"/>
          <w:highlight w:val="none"/>
          <w:lang w:eastAsia="zh-CN"/>
        </w:rPr>
        <w:t>年度合同款</w:t>
      </w:r>
      <w:r>
        <w:rPr>
          <w:rFonts w:hint="eastAsia" w:ascii="Times New Roman" w:hAnsi="Times New Roman" w:eastAsia="仿宋" w:cs="Times New Roman"/>
          <w:color w:val="auto"/>
          <w:sz w:val="28"/>
          <w:szCs w:val="28"/>
          <w:highlight w:val="none"/>
        </w:rPr>
        <w:t>全额支付：①</w:t>
      </w:r>
      <w:r>
        <w:rPr>
          <w:rFonts w:ascii="Times New Roman" w:hAnsi="Times New Roman" w:eastAsia="仿宋" w:cs="Times New Roman"/>
          <w:color w:val="auto"/>
          <w:sz w:val="28"/>
          <w:szCs w:val="28"/>
          <w:highlight w:val="none"/>
        </w:rPr>
        <w:t>水质治理效果与往年相比有</w:t>
      </w:r>
      <w:r>
        <w:rPr>
          <w:rFonts w:hint="eastAsia" w:ascii="Times New Roman" w:hAnsi="Times New Roman" w:eastAsia="仿宋" w:cs="Times New Roman"/>
          <w:color w:val="auto"/>
          <w:sz w:val="28"/>
          <w:szCs w:val="28"/>
          <w:highlight w:val="none"/>
        </w:rPr>
        <w:t>明显提升（精品河道至少无明显</w:t>
      </w:r>
      <w:r>
        <w:rPr>
          <w:rFonts w:ascii="Times New Roman" w:hAnsi="Times New Roman" w:eastAsia="仿宋" w:cs="Times New Roman"/>
          <w:color w:val="auto"/>
          <w:sz w:val="28"/>
          <w:szCs w:val="28"/>
          <w:highlight w:val="none"/>
        </w:rPr>
        <w:t>退步</w:t>
      </w:r>
      <w:r>
        <w:rPr>
          <w:rFonts w:hint="eastAsia" w:ascii="Times New Roman" w:hAnsi="Times New Roman" w:eastAsia="仿宋" w:cs="Times New Roman"/>
          <w:color w:val="auto"/>
          <w:sz w:val="28"/>
          <w:szCs w:val="28"/>
          <w:highlight w:val="none"/>
        </w:rPr>
        <w:t>），全年无黑臭、无蓝绿藻</w:t>
      </w:r>
      <w:r>
        <w:rPr>
          <w:rFonts w:hint="eastAsia" w:eastAsia="仿宋" w:cs="Times New Roman"/>
          <w:color w:val="auto"/>
          <w:sz w:val="28"/>
          <w:szCs w:val="28"/>
          <w:highlight w:val="none"/>
          <w:lang w:val="en-US" w:eastAsia="zh-CN"/>
        </w:rPr>
        <w:t>等</w:t>
      </w:r>
      <w:r>
        <w:rPr>
          <w:rFonts w:hint="eastAsia" w:ascii="Times New Roman" w:hAnsi="Times New Roman" w:eastAsia="仿宋" w:cs="Times New Roman"/>
          <w:color w:val="auto"/>
          <w:sz w:val="28"/>
          <w:szCs w:val="28"/>
          <w:highlight w:val="none"/>
        </w:rPr>
        <w:t>现象；②成功创建样板示范河道并获得</w:t>
      </w:r>
      <w:r>
        <w:rPr>
          <w:rFonts w:hint="eastAsia" w:eastAsia="仿宋" w:cs="Times New Roman"/>
          <w:color w:val="auto"/>
          <w:sz w:val="28"/>
          <w:szCs w:val="28"/>
          <w:highlight w:val="none"/>
          <w:lang w:eastAsia="zh-CN"/>
        </w:rPr>
        <w:t>采购单位</w:t>
      </w:r>
      <w:r>
        <w:rPr>
          <w:rFonts w:hint="eastAsia" w:ascii="Times New Roman" w:hAnsi="Times New Roman" w:eastAsia="仿宋" w:cs="Times New Roman"/>
          <w:color w:val="auto"/>
          <w:sz w:val="28"/>
          <w:szCs w:val="28"/>
          <w:highlight w:val="none"/>
        </w:rPr>
        <w:t>认可。③未发生有效投诉，没有因水质原因被局智慧城管、信访办等相关部门查到，或被媒体曝光</w:t>
      </w:r>
      <w:r>
        <w:rPr>
          <w:rFonts w:ascii="Times New Roman" w:hAnsi="Times New Roman" w:eastAsia="仿宋" w:cs="Times New Roman"/>
          <w:color w:val="auto"/>
          <w:sz w:val="28"/>
          <w:szCs w:val="28"/>
          <w:highlight w:val="none"/>
        </w:rPr>
        <w:t>。</w:t>
      </w:r>
    </w:p>
    <w:p>
      <w:pPr>
        <w:spacing w:line="360" w:lineRule="auto"/>
        <w:ind w:firstLine="560" w:firstLineChars="200"/>
        <w:rPr>
          <w:rFonts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rPr>
        <w:t>（2）如果</w:t>
      </w:r>
      <w:r>
        <w:rPr>
          <w:rFonts w:ascii="Times New Roman" w:hAnsi="Times New Roman" w:eastAsia="仿宋" w:cs="Times New Roman"/>
          <w:color w:val="auto"/>
          <w:sz w:val="28"/>
          <w:szCs w:val="28"/>
          <w:highlight w:val="none"/>
        </w:rPr>
        <w:t>水质治理效果不佳</w:t>
      </w:r>
      <w:r>
        <w:rPr>
          <w:rFonts w:hint="eastAsia" w:ascii="Times New Roman" w:hAnsi="Times New Roman" w:eastAsia="仿宋" w:cs="Times New Roman"/>
          <w:color w:val="auto"/>
          <w:sz w:val="28"/>
          <w:szCs w:val="28"/>
          <w:highlight w:val="none"/>
        </w:rPr>
        <w:t>或</w:t>
      </w:r>
      <w:r>
        <w:rPr>
          <w:rFonts w:ascii="Times New Roman" w:hAnsi="Times New Roman" w:eastAsia="仿宋" w:cs="Times New Roman"/>
          <w:color w:val="auto"/>
          <w:sz w:val="28"/>
          <w:szCs w:val="28"/>
          <w:highlight w:val="none"/>
        </w:rPr>
        <w:t>与往年相比有明显退步</w:t>
      </w:r>
      <w:r>
        <w:rPr>
          <w:rFonts w:hint="eastAsia" w:ascii="Times New Roman" w:hAnsi="Times New Roman" w:eastAsia="仿宋" w:cs="Times New Roman"/>
          <w:color w:val="auto"/>
          <w:sz w:val="28"/>
          <w:szCs w:val="28"/>
          <w:highlight w:val="none"/>
        </w:rPr>
        <w:t>情况</w:t>
      </w:r>
      <w:r>
        <w:rPr>
          <w:rFonts w:ascii="Times New Roman" w:hAnsi="Times New Roman" w:eastAsia="仿宋" w:cs="Times New Roman"/>
          <w:color w:val="auto"/>
          <w:sz w:val="28"/>
          <w:szCs w:val="28"/>
          <w:highlight w:val="none"/>
        </w:rPr>
        <w:t>的</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视情节</w:t>
      </w:r>
      <w:r>
        <w:rPr>
          <w:rFonts w:hint="eastAsia" w:ascii="Times New Roman" w:hAnsi="Times New Roman" w:eastAsia="仿宋" w:cs="Times New Roman"/>
          <w:color w:val="auto"/>
          <w:sz w:val="28"/>
          <w:szCs w:val="28"/>
          <w:highlight w:val="none"/>
        </w:rPr>
        <w:t>轻重，</w:t>
      </w:r>
      <w:r>
        <w:rPr>
          <w:rFonts w:ascii="Times New Roman" w:hAnsi="Times New Roman" w:eastAsia="仿宋" w:cs="Times New Roman"/>
          <w:color w:val="auto"/>
          <w:sz w:val="28"/>
          <w:szCs w:val="28"/>
          <w:highlight w:val="none"/>
        </w:rPr>
        <w:t>扣除</w:t>
      </w:r>
      <w:r>
        <w:rPr>
          <w:rFonts w:hint="eastAsia" w:ascii="Times New Roman" w:hAnsi="Times New Roman" w:eastAsia="仿宋" w:cs="Times New Roman"/>
          <w:color w:val="auto"/>
          <w:sz w:val="28"/>
          <w:szCs w:val="28"/>
          <w:highlight w:val="none"/>
        </w:rPr>
        <w:t>1%-2%</w:t>
      </w:r>
      <w:r>
        <w:rPr>
          <w:rFonts w:hint="eastAsia" w:ascii="Times New Roman" w:hAnsi="Times New Roman" w:eastAsia="仿宋" w:cs="Times New Roman"/>
          <w:color w:val="auto"/>
          <w:sz w:val="28"/>
          <w:szCs w:val="28"/>
          <w:highlight w:val="none"/>
          <w:lang w:eastAsia="zh-CN"/>
        </w:rPr>
        <w:t>年度合同款</w:t>
      </w:r>
      <w:r>
        <w:rPr>
          <w:rFonts w:hint="eastAsia" w:ascii="Times New Roman" w:hAnsi="Times New Roman" w:eastAsia="仿宋" w:cs="Times New Roman"/>
          <w:color w:val="auto"/>
          <w:sz w:val="28"/>
          <w:szCs w:val="28"/>
          <w:highlight w:val="none"/>
        </w:rPr>
        <w:t>。</w:t>
      </w:r>
    </w:p>
    <w:p>
      <w:pPr>
        <w:spacing w:line="360" w:lineRule="auto"/>
        <w:ind w:firstLine="560" w:firstLineChars="200"/>
        <w:rPr>
          <w:rFonts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rPr>
        <w:t>（3）创建样板范河道不力，</w:t>
      </w:r>
      <w:r>
        <w:rPr>
          <w:rFonts w:ascii="Times New Roman" w:hAnsi="Times New Roman" w:eastAsia="仿宋" w:cs="Times New Roman"/>
          <w:color w:val="auto"/>
          <w:sz w:val="28"/>
          <w:szCs w:val="28"/>
          <w:highlight w:val="none"/>
        </w:rPr>
        <w:t>扣除</w:t>
      </w:r>
      <w:r>
        <w:rPr>
          <w:rFonts w:hint="eastAsia" w:ascii="Times New Roman" w:hAnsi="Times New Roman" w:eastAsia="仿宋" w:cs="Times New Roman"/>
          <w:color w:val="auto"/>
          <w:sz w:val="28"/>
          <w:szCs w:val="28"/>
          <w:highlight w:val="none"/>
        </w:rPr>
        <w:t>1%-3%</w:t>
      </w:r>
      <w:r>
        <w:rPr>
          <w:rFonts w:hint="eastAsia" w:ascii="Times New Roman" w:hAnsi="Times New Roman" w:eastAsia="仿宋" w:cs="Times New Roman"/>
          <w:color w:val="auto"/>
          <w:sz w:val="28"/>
          <w:szCs w:val="28"/>
          <w:highlight w:val="none"/>
          <w:lang w:eastAsia="zh-CN"/>
        </w:rPr>
        <w:t>年度合同款</w:t>
      </w:r>
      <w:r>
        <w:rPr>
          <w:rFonts w:hint="eastAsia" w:ascii="Times New Roman" w:hAnsi="Times New Roman" w:eastAsia="仿宋" w:cs="Times New Roman"/>
          <w:color w:val="auto"/>
          <w:sz w:val="28"/>
          <w:szCs w:val="28"/>
          <w:highlight w:val="none"/>
        </w:rPr>
        <w:t>。</w:t>
      </w:r>
    </w:p>
    <w:p>
      <w:pPr>
        <w:spacing w:line="360" w:lineRule="auto"/>
        <w:ind w:firstLine="560" w:firstLineChars="200"/>
        <w:rPr>
          <w:rFonts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rPr>
        <w:t>（4）养护河道（包括应急河道）如有出现黑臭或有其它不良社会影响的，视情节轻重，扣除该标段1%-</w:t>
      </w:r>
      <w:r>
        <w:rPr>
          <w:rFonts w:hint="eastAsia" w:eastAsia="仿宋" w:cs="Times New Roman"/>
          <w:color w:val="auto"/>
          <w:sz w:val="28"/>
          <w:szCs w:val="28"/>
          <w:highlight w:val="none"/>
          <w:lang w:val="en-US" w:eastAsia="zh-CN"/>
        </w:rPr>
        <w:t>5</w:t>
      </w:r>
      <w:r>
        <w:rPr>
          <w:rFonts w:hint="eastAsia" w:ascii="Times New Roman" w:hAnsi="Times New Roman" w:eastAsia="仿宋" w:cs="Times New Roman"/>
          <w:color w:val="auto"/>
          <w:sz w:val="28"/>
          <w:szCs w:val="28"/>
          <w:highlight w:val="none"/>
        </w:rPr>
        <w:t>%</w:t>
      </w:r>
      <w:r>
        <w:rPr>
          <w:rFonts w:hint="eastAsia" w:ascii="Times New Roman" w:hAnsi="Times New Roman" w:eastAsia="仿宋" w:cs="Times New Roman"/>
          <w:color w:val="auto"/>
          <w:sz w:val="28"/>
          <w:szCs w:val="28"/>
          <w:highlight w:val="none"/>
          <w:lang w:eastAsia="zh-CN"/>
        </w:rPr>
        <w:t>年度合同款</w:t>
      </w:r>
      <w:r>
        <w:rPr>
          <w:rFonts w:hint="eastAsia" w:ascii="Times New Roman" w:hAnsi="Times New Roman" w:eastAsia="仿宋" w:cs="Times New Roman"/>
          <w:color w:val="auto"/>
          <w:sz w:val="28"/>
          <w:szCs w:val="28"/>
          <w:highlight w:val="none"/>
        </w:rPr>
        <w:t>。</w:t>
      </w:r>
    </w:p>
    <w:p>
      <w:pPr>
        <w:spacing w:line="360" w:lineRule="auto"/>
        <w:ind w:firstLine="560" w:firstLineChars="200"/>
        <w:rPr>
          <w:rFonts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rPr>
        <w:t>（5）每条河道氨氮、透明度、叶绿素年均值超出同类河道年均值15%，每项扣除</w:t>
      </w:r>
      <w:r>
        <w:rPr>
          <w:rFonts w:hint="eastAsia" w:ascii="Times New Roman" w:hAnsi="Times New Roman" w:eastAsia="仿宋" w:cs="Times New Roman"/>
          <w:color w:val="auto"/>
          <w:sz w:val="28"/>
          <w:szCs w:val="28"/>
          <w:highlight w:val="none"/>
          <w:lang w:eastAsia="zh-CN"/>
        </w:rPr>
        <w:t>年度合同款</w:t>
      </w:r>
      <w:r>
        <w:rPr>
          <w:rFonts w:hint="eastAsia" w:ascii="Times New Roman" w:hAnsi="Times New Roman" w:eastAsia="仿宋" w:cs="Times New Roman"/>
          <w:color w:val="auto"/>
          <w:sz w:val="28"/>
          <w:szCs w:val="28"/>
          <w:highlight w:val="none"/>
        </w:rPr>
        <w:t>的1%。</w:t>
      </w:r>
    </w:p>
    <w:p>
      <w:pPr>
        <w:spacing w:line="360" w:lineRule="auto"/>
        <w:ind w:firstLine="551" w:firstLineChars="196"/>
        <w:rPr>
          <w:rFonts w:ascii="Times New Roman" w:hAnsi="Times New Roman" w:eastAsia="仿宋" w:cs="Times New Roman"/>
          <w:b/>
          <w:bCs/>
          <w:color w:val="auto"/>
          <w:sz w:val="28"/>
          <w:szCs w:val="28"/>
          <w:highlight w:val="none"/>
        </w:rPr>
      </w:pPr>
      <w:r>
        <w:rPr>
          <w:rFonts w:ascii="Times New Roman" w:hAnsi="Times New Roman" w:eastAsia="仿宋" w:cs="Times New Roman"/>
          <w:b/>
          <w:bCs/>
          <w:color w:val="auto"/>
          <w:sz w:val="28"/>
          <w:szCs w:val="28"/>
          <w:highlight w:val="none"/>
        </w:rPr>
        <w:t>（</w:t>
      </w:r>
      <w:r>
        <w:rPr>
          <w:rFonts w:hint="eastAsia" w:ascii="Times New Roman" w:hAnsi="Times New Roman" w:eastAsia="仿宋" w:cs="Times New Roman"/>
          <w:b/>
          <w:bCs/>
          <w:color w:val="auto"/>
          <w:sz w:val="28"/>
          <w:szCs w:val="28"/>
          <w:highlight w:val="none"/>
        </w:rPr>
        <w:t>三</w:t>
      </w:r>
      <w:r>
        <w:rPr>
          <w:rFonts w:ascii="Times New Roman" w:hAnsi="Times New Roman" w:eastAsia="仿宋" w:cs="Times New Roman"/>
          <w:b/>
          <w:bCs/>
          <w:color w:val="auto"/>
          <w:sz w:val="28"/>
          <w:szCs w:val="28"/>
          <w:highlight w:val="none"/>
        </w:rPr>
        <w:t>）年度</w:t>
      </w:r>
      <w:r>
        <w:rPr>
          <w:rFonts w:hint="eastAsia" w:ascii="Times New Roman" w:hAnsi="Times New Roman" w:eastAsia="仿宋" w:cs="Times New Roman"/>
          <w:b/>
          <w:bCs/>
          <w:color w:val="auto"/>
          <w:sz w:val="28"/>
          <w:szCs w:val="28"/>
          <w:highlight w:val="none"/>
        </w:rPr>
        <w:t>直接扣款</w:t>
      </w:r>
      <w:r>
        <w:rPr>
          <w:rFonts w:ascii="Times New Roman" w:hAnsi="Times New Roman" w:eastAsia="仿宋" w:cs="Times New Roman"/>
          <w:b/>
          <w:bCs/>
          <w:color w:val="auto"/>
          <w:sz w:val="28"/>
          <w:szCs w:val="28"/>
          <w:highlight w:val="none"/>
        </w:rPr>
        <w:t>办法</w:t>
      </w:r>
    </w:p>
    <w:p>
      <w:pPr>
        <w:spacing w:line="360" w:lineRule="auto"/>
        <w:ind w:firstLine="548" w:firstLineChars="196"/>
        <w:rPr>
          <w:rFonts w:ascii="Times New Roman" w:hAnsi="Times New Roman" w:eastAsia="仿宋" w:cs="Times New Roman"/>
          <w:sz w:val="28"/>
          <w:szCs w:val="28"/>
          <w:highlight w:val="none"/>
        </w:rPr>
      </w:pPr>
      <w:r>
        <w:rPr>
          <w:rFonts w:ascii="Times New Roman" w:hAnsi="Times New Roman" w:eastAsia="仿宋" w:cs="Times New Roman"/>
          <w:sz w:val="28"/>
          <w:szCs w:val="28"/>
          <w:highlight w:val="none"/>
        </w:rPr>
        <w:t>1、同一条河道年度内连续</w:t>
      </w:r>
      <w:r>
        <w:rPr>
          <w:rFonts w:hint="eastAsia" w:eastAsia="仿宋" w:cs="Times New Roman"/>
          <w:sz w:val="28"/>
          <w:szCs w:val="28"/>
          <w:highlight w:val="none"/>
          <w:lang w:val="en-US" w:eastAsia="zh-CN"/>
        </w:rPr>
        <w:t>2</w:t>
      </w:r>
      <w:r>
        <w:rPr>
          <w:rFonts w:ascii="Times New Roman" w:hAnsi="Times New Roman" w:eastAsia="仿宋" w:cs="Times New Roman"/>
          <w:sz w:val="28"/>
          <w:szCs w:val="28"/>
          <w:highlight w:val="none"/>
        </w:rPr>
        <w:t>次或者累计</w:t>
      </w:r>
      <w:r>
        <w:rPr>
          <w:rFonts w:hint="eastAsia" w:eastAsia="仿宋" w:cs="Times New Roman"/>
          <w:sz w:val="28"/>
          <w:szCs w:val="28"/>
          <w:highlight w:val="none"/>
          <w:lang w:val="en-US" w:eastAsia="zh-CN"/>
        </w:rPr>
        <w:t>3</w:t>
      </w:r>
      <w:r>
        <w:rPr>
          <w:rFonts w:ascii="Times New Roman" w:hAnsi="Times New Roman" w:eastAsia="仿宋" w:cs="Times New Roman"/>
          <w:sz w:val="28"/>
          <w:szCs w:val="28"/>
          <w:highlight w:val="none"/>
        </w:rPr>
        <w:t>次月度考核不合格的，除</w:t>
      </w:r>
      <w:r>
        <w:rPr>
          <w:rFonts w:hint="eastAsia" w:ascii="Times New Roman" w:hAnsi="Times New Roman" w:eastAsia="仿宋" w:cs="Times New Roman"/>
          <w:sz w:val="28"/>
          <w:szCs w:val="28"/>
          <w:highlight w:val="none"/>
        </w:rPr>
        <w:t>执行</w:t>
      </w:r>
      <w:r>
        <w:rPr>
          <w:rFonts w:ascii="Times New Roman" w:hAnsi="Times New Roman" w:eastAsia="仿宋" w:cs="Times New Roman"/>
          <w:sz w:val="28"/>
          <w:szCs w:val="28"/>
          <w:highlight w:val="none"/>
        </w:rPr>
        <w:t>正常扣款外，</w:t>
      </w:r>
      <w:r>
        <w:rPr>
          <w:rFonts w:hint="eastAsia" w:ascii="Times New Roman" w:hAnsi="Times New Roman" w:eastAsia="仿宋" w:cs="Times New Roman"/>
          <w:sz w:val="28"/>
          <w:szCs w:val="28"/>
          <w:highlight w:val="none"/>
        </w:rPr>
        <w:t>另</w:t>
      </w:r>
      <w:r>
        <w:rPr>
          <w:rFonts w:ascii="Times New Roman" w:hAnsi="Times New Roman" w:eastAsia="仿宋" w:cs="Times New Roman"/>
          <w:sz w:val="28"/>
          <w:szCs w:val="28"/>
          <w:highlight w:val="none"/>
        </w:rPr>
        <w:t>扣除该条河道的</w:t>
      </w:r>
      <w:r>
        <w:rPr>
          <w:rFonts w:hint="eastAsia" w:ascii="Times New Roman" w:hAnsi="Times New Roman" w:eastAsia="仿宋" w:cs="Times New Roman"/>
          <w:sz w:val="28"/>
          <w:szCs w:val="28"/>
          <w:highlight w:val="none"/>
          <w:lang w:val="en-US" w:eastAsia="zh-CN"/>
        </w:rPr>
        <w:t>20</w:t>
      </w:r>
      <w:r>
        <w:rPr>
          <w:rFonts w:ascii="Times New Roman" w:hAnsi="Times New Roman" w:eastAsia="仿宋" w:cs="Times New Roman"/>
          <w:sz w:val="28"/>
          <w:szCs w:val="28"/>
          <w:highlight w:val="none"/>
        </w:rPr>
        <w:t>%</w:t>
      </w:r>
      <w:r>
        <w:rPr>
          <w:rFonts w:hint="eastAsia" w:ascii="Times New Roman" w:hAnsi="Times New Roman" w:eastAsia="仿宋" w:cs="Times New Roman"/>
          <w:sz w:val="28"/>
          <w:szCs w:val="28"/>
          <w:highlight w:val="none"/>
        </w:rPr>
        <w:t>的年度合同款</w:t>
      </w:r>
      <w:r>
        <w:rPr>
          <w:rFonts w:ascii="Times New Roman" w:hAnsi="Times New Roman" w:eastAsia="仿宋" w:cs="Times New Roman"/>
          <w:sz w:val="28"/>
          <w:szCs w:val="28"/>
          <w:highlight w:val="none"/>
        </w:rPr>
        <w:t>，同时要求水质养护单位提交书面整改措施并及时落实。</w:t>
      </w:r>
    </w:p>
    <w:p>
      <w:pPr>
        <w:spacing w:line="360" w:lineRule="auto"/>
        <w:ind w:firstLine="548" w:firstLineChars="196"/>
        <w:rPr>
          <w:rFonts w:ascii="Times New Roman" w:hAnsi="Times New Roman" w:eastAsia="仿宋" w:cs="Times New Roman"/>
          <w:sz w:val="28"/>
          <w:szCs w:val="28"/>
          <w:highlight w:val="none"/>
        </w:rPr>
      </w:pPr>
      <w:r>
        <w:rPr>
          <w:rFonts w:ascii="Times New Roman" w:hAnsi="Times New Roman" w:eastAsia="仿宋" w:cs="Times New Roman"/>
          <w:sz w:val="28"/>
          <w:szCs w:val="28"/>
          <w:highlight w:val="none"/>
        </w:rPr>
        <w:t>2、同一条河道年度内连续3次或者累计</w:t>
      </w:r>
      <w:r>
        <w:rPr>
          <w:rFonts w:hint="eastAsia" w:ascii="Times New Roman" w:hAnsi="Times New Roman" w:eastAsia="仿宋" w:cs="Times New Roman"/>
          <w:sz w:val="28"/>
          <w:szCs w:val="28"/>
          <w:highlight w:val="none"/>
          <w:lang w:val="en-US" w:eastAsia="zh-CN"/>
        </w:rPr>
        <w:t>4</w:t>
      </w:r>
      <w:r>
        <w:rPr>
          <w:rFonts w:ascii="Times New Roman" w:hAnsi="Times New Roman" w:eastAsia="仿宋" w:cs="Times New Roman"/>
          <w:sz w:val="28"/>
          <w:szCs w:val="28"/>
          <w:highlight w:val="none"/>
        </w:rPr>
        <w:t>次月度考核不合格的，除</w:t>
      </w:r>
      <w:r>
        <w:rPr>
          <w:rFonts w:hint="eastAsia" w:ascii="Times New Roman" w:hAnsi="Times New Roman" w:eastAsia="仿宋" w:cs="Times New Roman"/>
          <w:sz w:val="28"/>
          <w:szCs w:val="28"/>
          <w:highlight w:val="none"/>
        </w:rPr>
        <w:t>执行</w:t>
      </w:r>
      <w:r>
        <w:rPr>
          <w:rFonts w:ascii="Times New Roman" w:hAnsi="Times New Roman" w:eastAsia="仿宋" w:cs="Times New Roman"/>
          <w:sz w:val="28"/>
          <w:szCs w:val="28"/>
          <w:highlight w:val="none"/>
        </w:rPr>
        <w:t>正常扣款外，</w:t>
      </w:r>
      <w:r>
        <w:rPr>
          <w:rFonts w:hint="eastAsia" w:ascii="Times New Roman" w:hAnsi="Times New Roman" w:eastAsia="仿宋" w:cs="Times New Roman"/>
          <w:sz w:val="28"/>
          <w:szCs w:val="28"/>
          <w:highlight w:val="none"/>
        </w:rPr>
        <w:t>另</w:t>
      </w:r>
      <w:r>
        <w:rPr>
          <w:rFonts w:ascii="Times New Roman" w:hAnsi="Times New Roman" w:eastAsia="仿宋" w:cs="Times New Roman"/>
          <w:sz w:val="28"/>
          <w:szCs w:val="28"/>
          <w:highlight w:val="none"/>
        </w:rPr>
        <w:t>扣除该条河道的</w:t>
      </w:r>
      <w:r>
        <w:rPr>
          <w:rFonts w:hint="eastAsia" w:eastAsia="仿宋" w:cs="Times New Roman"/>
          <w:sz w:val="28"/>
          <w:szCs w:val="28"/>
          <w:highlight w:val="none"/>
          <w:lang w:val="en-US" w:eastAsia="zh-CN"/>
        </w:rPr>
        <w:t>4</w:t>
      </w:r>
      <w:r>
        <w:rPr>
          <w:rFonts w:hint="eastAsia" w:ascii="Times New Roman" w:hAnsi="Times New Roman" w:eastAsia="仿宋" w:cs="Times New Roman"/>
          <w:sz w:val="28"/>
          <w:szCs w:val="28"/>
          <w:highlight w:val="none"/>
          <w:lang w:val="en-US" w:eastAsia="zh-CN"/>
        </w:rPr>
        <w:t>0</w:t>
      </w:r>
      <w:r>
        <w:rPr>
          <w:rFonts w:ascii="Times New Roman" w:hAnsi="Times New Roman" w:eastAsia="仿宋" w:cs="Times New Roman"/>
          <w:sz w:val="28"/>
          <w:szCs w:val="28"/>
          <w:highlight w:val="none"/>
        </w:rPr>
        <w:t>%</w:t>
      </w:r>
      <w:r>
        <w:rPr>
          <w:rFonts w:hint="eastAsia" w:ascii="Times New Roman" w:hAnsi="Times New Roman" w:eastAsia="仿宋" w:cs="Times New Roman"/>
          <w:sz w:val="28"/>
          <w:szCs w:val="28"/>
          <w:highlight w:val="none"/>
        </w:rPr>
        <w:t>的年度合同款</w:t>
      </w:r>
      <w:r>
        <w:rPr>
          <w:rFonts w:ascii="Times New Roman" w:hAnsi="Times New Roman" w:eastAsia="仿宋" w:cs="Times New Roman"/>
          <w:sz w:val="28"/>
          <w:szCs w:val="28"/>
          <w:highlight w:val="none"/>
        </w:rPr>
        <w:t>，同时要求水质养护单位提交书面整改措施并及时落实。</w:t>
      </w:r>
    </w:p>
    <w:p>
      <w:pPr>
        <w:spacing w:line="360" w:lineRule="auto"/>
        <w:ind w:firstLine="548" w:firstLineChars="196"/>
        <w:rPr>
          <w:rFonts w:ascii="Times New Roman" w:hAnsi="Times New Roman" w:eastAsia="仿宋" w:cs="Times New Roman"/>
          <w:sz w:val="28"/>
          <w:szCs w:val="28"/>
          <w:highlight w:val="none"/>
        </w:rPr>
      </w:pPr>
      <w:r>
        <w:rPr>
          <w:rFonts w:hint="eastAsia" w:eastAsia="仿宋" w:cs="Times New Roman"/>
          <w:sz w:val="28"/>
          <w:szCs w:val="28"/>
          <w:highlight w:val="none"/>
          <w:lang w:val="en-US" w:eastAsia="zh-CN"/>
        </w:rPr>
        <w:t>3</w:t>
      </w:r>
      <w:r>
        <w:rPr>
          <w:rFonts w:ascii="Times New Roman" w:hAnsi="Times New Roman" w:eastAsia="仿宋" w:cs="Times New Roman"/>
          <w:sz w:val="28"/>
          <w:szCs w:val="28"/>
          <w:highlight w:val="none"/>
        </w:rPr>
        <w:t>、同一条河道年度内连续</w:t>
      </w:r>
      <w:r>
        <w:rPr>
          <w:rFonts w:hint="eastAsia" w:eastAsia="仿宋" w:cs="Times New Roman"/>
          <w:sz w:val="28"/>
          <w:szCs w:val="28"/>
          <w:highlight w:val="none"/>
          <w:lang w:val="en-US" w:eastAsia="zh-CN"/>
        </w:rPr>
        <w:t>4</w:t>
      </w:r>
      <w:r>
        <w:rPr>
          <w:rFonts w:ascii="Times New Roman" w:hAnsi="Times New Roman" w:eastAsia="仿宋" w:cs="Times New Roman"/>
          <w:sz w:val="28"/>
          <w:szCs w:val="28"/>
          <w:highlight w:val="none"/>
        </w:rPr>
        <w:t>次或者累计</w:t>
      </w:r>
      <w:r>
        <w:rPr>
          <w:rFonts w:hint="eastAsia" w:eastAsia="仿宋" w:cs="Times New Roman"/>
          <w:sz w:val="28"/>
          <w:szCs w:val="28"/>
          <w:highlight w:val="none"/>
          <w:lang w:val="en-US" w:eastAsia="zh-CN"/>
        </w:rPr>
        <w:t>5</w:t>
      </w:r>
      <w:r>
        <w:rPr>
          <w:rFonts w:ascii="Times New Roman" w:hAnsi="Times New Roman" w:eastAsia="仿宋" w:cs="Times New Roman"/>
          <w:sz w:val="28"/>
          <w:szCs w:val="28"/>
          <w:highlight w:val="none"/>
        </w:rPr>
        <w:t>次月度考核不合格的，除</w:t>
      </w:r>
      <w:r>
        <w:rPr>
          <w:rFonts w:hint="eastAsia" w:ascii="Times New Roman" w:hAnsi="Times New Roman" w:eastAsia="仿宋" w:cs="Times New Roman"/>
          <w:sz w:val="28"/>
          <w:szCs w:val="28"/>
          <w:highlight w:val="none"/>
        </w:rPr>
        <w:t>执行</w:t>
      </w:r>
      <w:r>
        <w:rPr>
          <w:rFonts w:ascii="Times New Roman" w:hAnsi="Times New Roman" w:eastAsia="仿宋" w:cs="Times New Roman"/>
          <w:sz w:val="28"/>
          <w:szCs w:val="28"/>
          <w:highlight w:val="none"/>
        </w:rPr>
        <w:t>正常扣款外，</w:t>
      </w:r>
      <w:r>
        <w:rPr>
          <w:rFonts w:hint="eastAsia" w:ascii="Times New Roman" w:hAnsi="Times New Roman" w:eastAsia="仿宋" w:cs="Times New Roman"/>
          <w:sz w:val="28"/>
          <w:szCs w:val="28"/>
          <w:highlight w:val="none"/>
        </w:rPr>
        <w:t>另</w:t>
      </w:r>
      <w:r>
        <w:rPr>
          <w:rFonts w:ascii="Times New Roman" w:hAnsi="Times New Roman" w:eastAsia="仿宋" w:cs="Times New Roman"/>
          <w:sz w:val="28"/>
          <w:szCs w:val="28"/>
          <w:highlight w:val="none"/>
        </w:rPr>
        <w:t>扣除该</w:t>
      </w:r>
      <w:r>
        <w:rPr>
          <w:rFonts w:hint="eastAsia" w:eastAsia="仿宋" w:cs="Times New Roman"/>
          <w:sz w:val="28"/>
          <w:szCs w:val="28"/>
          <w:highlight w:val="none"/>
          <w:lang w:val="en-US" w:eastAsia="zh-CN"/>
        </w:rPr>
        <w:t>标段</w:t>
      </w:r>
      <w:r>
        <w:rPr>
          <w:rFonts w:ascii="Times New Roman" w:hAnsi="Times New Roman" w:eastAsia="仿宋" w:cs="Times New Roman"/>
          <w:sz w:val="28"/>
          <w:szCs w:val="28"/>
          <w:highlight w:val="none"/>
        </w:rPr>
        <w:t>的</w:t>
      </w:r>
      <w:r>
        <w:rPr>
          <w:rFonts w:hint="eastAsia" w:ascii="Times New Roman" w:hAnsi="Times New Roman" w:eastAsia="仿宋" w:cs="Times New Roman"/>
          <w:sz w:val="28"/>
          <w:szCs w:val="28"/>
          <w:highlight w:val="none"/>
          <w:lang w:val="en-US" w:eastAsia="zh-CN"/>
        </w:rPr>
        <w:t>20</w:t>
      </w:r>
      <w:r>
        <w:rPr>
          <w:rFonts w:ascii="Times New Roman" w:hAnsi="Times New Roman" w:eastAsia="仿宋" w:cs="Times New Roman"/>
          <w:sz w:val="28"/>
          <w:szCs w:val="28"/>
          <w:highlight w:val="none"/>
        </w:rPr>
        <w:t>%</w:t>
      </w:r>
      <w:r>
        <w:rPr>
          <w:rFonts w:hint="eastAsia" w:ascii="Times New Roman" w:hAnsi="Times New Roman" w:eastAsia="仿宋" w:cs="Times New Roman"/>
          <w:sz w:val="28"/>
          <w:szCs w:val="28"/>
          <w:highlight w:val="none"/>
        </w:rPr>
        <w:t>的年度合同款</w:t>
      </w:r>
      <w:r>
        <w:rPr>
          <w:rFonts w:ascii="Times New Roman" w:hAnsi="Times New Roman" w:eastAsia="仿宋" w:cs="Times New Roman"/>
          <w:sz w:val="28"/>
          <w:szCs w:val="28"/>
          <w:highlight w:val="none"/>
        </w:rPr>
        <w:t>，同时要求水质养护单位提交书面整改措施并及时落实。</w:t>
      </w:r>
    </w:p>
    <w:p>
      <w:pPr>
        <w:spacing w:line="360" w:lineRule="auto"/>
        <w:ind w:firstLine="551" w:firstLineChars="196"/>
        <w:rPr>
          <w:rFonts w:ascii="Times New Roman" w:hAnsi="Times New Roman" w:eastAsia="仿宋" w:cs="Times New Roman"/>
          <w:color w:val="auto"/>
          <w:sz w:val="28"/>
          <w:szCs w:val="28"/>
          <w:highlight w:val="none"/>
        </w:rPr>
      </w:pPr>
      <w:r>
        <w:rPr>
          <w:rFonts w:hint="eastAsia" w:ascii="Times New Roman" w:hAnsi="Times New Roman" w:eastAsia="仿宋" w:cs="Times New Roman"/>
          <w:b/>
          <w:bCs/>
          <w:color w:val="auto"/>
          <w:sz w:val="28"/>
          <w:szCs w:val="28"/>
          <w:highlight w:val="none"/>
          <w:u w:val="single"/>
          <w:lang w:val="en-US" w:eastAsia="zh-CN"/>
        </w:rPr>
        <w:t>备注：</w:t>
      </w:r>
      <w:r>
        <w:rPr>
          <w:rFonts w:hint="eastAsia" w:ascii="Times New Roman" w:hAnsi="Times New Roman" w:eastAsia="仿宋" w:cs="Times New Roman"/>
          <w:b/>
          <w:bCs/>
          <w:color w:val="auto"/>
          <w:sz w:val="28"/>
          <w:szCs w:val="28"/>
          <w:highlight w:val="none"/>
          <w:u w:val="single"/>
        </w:rPr>
        <w:t>以上</w:t>
      </w:r>
      <w:r>
        <w:rPr>
          <w:rFonts w:hint="eastAsia" w:eastAsia="仿宋" w:cs="Times New Roman"/>
          <w:b/>
          <w:bCs/>
          <w:color w:val="auto"/>
          <w:sz w:val="28"/>
          <w:szCs w:val="28"/>
          <w:highlight w:val="none"/>
          <w:u w:val="single"/>
          <w:lang w:val="en-US" w:eastAsia="zh-CN"/>
        </w:rPr>
        <w:t>（三）项条款不叠加扣款，</w:t>
      </w:r>
      <w:r>
        <w:rPr>
          <w:rFonts w:hint="eastAsia" w:ascii="Times New Roman" w:hAnsi="Times New Roman" w:eastAsia="仿宋" w:cs="Times New Roman"/>
          <w:b/>
          <w:bCs/>
          <w:color w:val="auto"/>
          <w:sz w:val="28"/>
          <w:szCs w:val="28"/>
          <w:highlight w:val="none"/>
          <w:u w:val="single"/>
        </w:rPr>
        <w:t>（二）、（三）项条款累计扣款不超过该标段</w:t>
      </w:r>
      <w:r>
        <w:rPr>
          <w:rFonts w:hint="eastAsia" w:ascii="Times New Roman" w:hAnsi="Times New Roman" w:eastAsia="仿宋" w:cs="Times New Roman"/>
          <w:b/>
          <w:bCs/>
          <w:color w:val="auto"/>
          <w:sz w:val="28"/>
          <w:szCs w:val="28"/>
          <w:highlight w:val="none"/>
          <w:u w:val="single"/>
          <w:lang w:eastAsia="zh-CN"/>
        </w:rPr>
        <w:t>年度合同款</w:t>
      </w:r>
      <w:r>
        <w:rPr>
          <w:rFonts w:hint="eastAsia" w:ascii="Times New Roman" w:hAnsi="Times New Roman" w:eastAsia="仿宋" w:cs="Times New Roman"/>
          <w:b/>
          <w:bCs/>
          <w:color w:val="auto"/>
          <w:sz w:val="28"/>
          <w:szCs w:val="28"/>
          <w:highlight w:val="none"/>
          <w:u w:val="single"/>
        </w:rPr>
        <w:t>的20%。</w:t>
      </w:r>
    </w:p>
    <w:p>
      <w:pPr>
        <w:spacing w:line="360" w:lineRule="auto"/>
        <w:ind w:firstLine="551" w:firstLineChars="196"/>
        <w:rPr>
          <w:rFonts w:ascii="Times New Roman" w:hAnsi="Times New Roman" w:eastAsia="仿宋" w:cs="Times New Roman"/>
          <w:b/>
          <w:bCs/>
          <w:color w:val="auto"/>
          <w:sz w:val="28"/>
          <w:szCs w:val="28"/>
          <w:highlight w:val="none"/>
        </w:rPr>
      </w:pPr>
      <w:r>
        <w:rPr>
          <w:rFonts w:ascii="Times New Roman" w:hAnsi="Times New Roman" w:eastAsia="仿宋" w:cs="Times New Roman"/>
          <w:b/>
          <w:bCs/>
          <w:color w:val="auto"/>
          <w:sz w:val="28"/>
          <w:szCs w:val="28"/>
          <w:highlight w:val="none"/>
        </w:rPr>
        <w:t>（</w:t>
      </w:r>
      <w:r>
        <w:rPr>
          <w:rFonts w:hint="eastAsia" w:ascii="Times New Roman" w:hAnsi="Times New Roman" w:eastAsia="仿宋" w:cs="Times New Roman"/>
          <w:b/>
          <w:bCs/>
          <w:color w:val="auto"/>
          <w:sz w:val="28"/>
          <w:szCs w:val="28"/>
          <w:highlight w:val="none"/>
        </w:rPr>
        <w:t>四</w:t>
      </w:r>
      <w:r>
        <w:rPr>
          <w:rFonts w:ascii="Times New Roman" w:hAnsi="Times New Roman" w:eastAsia="仿宋" w:cs="Times New Roman"/>
          <w:b/>
          <w:bCs/>
          <w:color w:val="auto"/>
          <w:sz w:val="28"/>
          <w:szCs w:val="28"/>
          <w:highlight w:val="none"/>
        </w:rPr>
        <w:t>）合同解除办法</w:t>
      </w:r>
    </w:p>
    <w:p>
      <w:pPr>
        <w:spacing w:line="360" w:lineRule="auto"/>
        <w:ind w:firstLine="548" w:firstLineChars="196"/>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none"/>
        </w:rPr>
        <w:t>1、同一条河道年度内</w:t>
      </w:r>
      <w:r>
        <w:rPr>
          <w:rFonts w:hint="eastAsia" w:eastAsia="仿宋" w:cs="Times New Roman"/>
          <w:color w:val="auto"/>
          <w:sz w:val="28"/>
          <w:szCs w:val="28"/>
          <w:highlight w:val="none"/>
          <w:lang w:eastAsia="zh-CN"/>
        </w:rPr>
        <w:t>累计</w:t>
      </w:r>
      <w:r>
        <w:rPr>
          <w:rFonts w:hint="eastAsia" w:eastAsia="仿宋" w:cs="Times New Roman"/>
          <w:color w:val="auto"/>
          <w:sz w:val="28"/>
          <w:szCs w:val="28"/>
          <w:highlight w:val="none"/>
          <w:lang w:val="en-US" w:eastAsia="zh-CN"/>
        </w:rPr>
        <w:t>2</w:t>
      </w:r>
      <w:r>
        <w:rPr>
          <w:rFonts w:hint="eastAsia" w:eastAsia="仿宋" w:cs="Times New Roman"/>
          <w:color w:val="auto"/>
          <w:sz w:val="28"/>
          <w:szCs w:val="28"/>
          <w:highlight w:val="none"/>
          <w:lang w:eastAsia="zh-CN"/>
        </w:rPr>
        <w:t>次</w:t>
      </w:r>
      <w:r>
        <w:rPr>
          <w:rFonts w:hint="eastAsia" w:eastAsia="仿宋" w:cs="Times New Roman"/>
          <w:color w:val="auto"/>
          <w:sz w:val="28"/>
          <w:szCs w:val="28"/>
          <w:highlight w:val="none"/>
          <w:lang w:val="en-US" w:eastAsia="zh-CN"/>
        </w:rPr>
        <w:t>及</w:t>
      </w:r>
      <w:r>
        <w:rPr>
          <w:rFonts w:hint="eastAsia" w:ascii="Times New Roman" w:hAnsi="Times New Roman" w:eastAsia="仿宋" w:cs="Times New Roman"/>
          <w:color w:val="auto"/>
          <w:sz w:val="28"/>
          <w:szCs w:val="28"/>
          <w:highlight w:val="none"/>
        </w:rPr>
        <w:t>以上</w:t>
      </w:r>
      <w:r>
        <w:rPr>
          <w:rFonts w:ascii="Times New Roman" w:hAnsi="Times New Roman" w:eastAsia="仿宋" w:cs="Times New Roman"/>
          <w:color w:val="auto"/>
          <w:sz w:val="28"/>
          <w:szCs w:val="28"/>
          <w:highlight w:val="none"/>
        </w:rPr>
        <w:t>月度考核不合格的单位</w:t>
      </w:r>
      <w:r>
        <w:rPr>
          <w:rFonts w:hint="eastAsia" w:ascii="Times New Roman" w:hAnsi="Times New Roman" w:eastAsia="仿宋" w:cs="Times New Roman"/>
          <w:color w:val="auto"/>
          <w:sz w:val="28"/>
          <w:szCs w:val="28"/>
          <w:highlight w:val="none"/>
        </w:rPr>
        <w:t>，除执行正常违约责任外，同时要求</w:t>
      </w:r>
      <w:r>
        <w:rPr>
          <w:rFonts w:ascii="Times New Roman" w:hAnsi="Times New Roman" w:eastAsia="仿宋" w:cs="Times New Roman"/>
          <w:color w:val="auto"/>
          <w:sz w:val="28"/>
          <w:szCs w:val="28"/>
          <w:highlight w:val="none"/>
        </w:rPr>
        <w:t>养护单位</w:t>
      </w:r>
      <w:r>
        <w:rPr>
          <w:rFonts w:hint="eastAsia" w:ascii="Times New Roman" w:hAnsi="Times New Roman" w:eastAsia="仿宋" w:cs="Times New Roman"/>
          <w:color w:val="auto"/>
          <w:sz w:val="28"/>
          <w:szCs w:val="28"/>
          <w:highlight w:val="none"/>
        </w:rPr>
        <w:t>提交书面整改措施并及时有效落实。如未及时提交书面整改措施或未及时有效落实的，</w:t>
      </w:r>
      <w:r>
        <w:rPr>
          <w:rFonts w:hint="eastAsia" w:eastAsia="仿宋" w:cs="Times New Roman"/>
          <w:color w:val="auto"/>
          <w:sz w:val="28"/>
          <w:szCs w:val="28"/>
          <w:highlight w:val="none"/>
          <w:lang w:val="en-US" w:eastAsia="zh-CN"/>
        </w:rPr>
        <w:t>采购单位</w:t>
      </w:r>
      <w:r>
        <w:rPr>
          <w:rFonts w:hint="eastAsia" w:ascii="Times New Roman" w:hAnsi="Times New Roman" w:eastAsia="仿宋" w:cs="Times New Roman"/>
          <w:color w:val="auto"/>
          <w:sz w:val="28"/>
          <w:szCs w:val="28"/>
          <w:highlight w:val="none"/>
        </w:rPr>
        <w:t>有权单方面提前解除本合同，并扣除全部履约保证金，给</w:t>
      </w:r>
      <w:r>
        <w:rPr>
          <w:rFonts w:hint="eastAsia" w:eastAsia="仿宋" w:cs="Times New Roman"/>
          <w:color w:val="auto"/>
          <w:sz w:val="28"/>
          <w:szCs w:val="28"/>
          <w:highlight w:val="none"/>
          <w:lang w:val="en-US" w:eastAsia="zh-CN"/>
        </w:rPr>
        <w:t>采购单位</w:t>
      </w:r>
      <w:r>
        <w:rPr>
          <w:rFonts w:hint="eastAsia" w:ascii="Times New Roman" w:hAnsi="Times New Roman" w:eastAsia="仿宋" w:cs="Times New Roman"/>
          <w:color w:val="auto"/>
          <w:sz w:val="28"/>
          <w:szCs w:val="28"/>
          <w:highlight w:val="none"/>
        </w:rPr>
        <w:t>额外造成损失的，</w:t>
      </w:r>
      <w:r>
        <w:rPr>
          <w:rFonts w:ascii="Times New Roman" w:hAnsi="Times New Roman" w:eastAsia="仿宋" w:cs="Times New Roman"/>
          <w:color w:val="auto"/>
          <w:sz w:val="28"/>
          <w:szCs w:val="28"/>
          <w:highlight w:val="none"/>
        </w:rPr>
        <w:t>养护单位</w:t>
      </w:r>
      <w:r>
        <w:rPr>
          <w:rFonts w:hint="eastAsia" w:ascii="Times New Roman" w:hAnsi="Times New Roman" w:eastAsia="仿宋" w:cs="Times New Roman"/>
          <w:color w:val="auto"/>
          <w:sz w:val="28"/>
          <w:szCs w:val="28"/>
          <w:highlight w:val="none"/>
        </w:rPr>
        <w:t>还应承担全部赔偿责任，赔偿范围包括但不限于直接损失、间接损失、律师费、诉讼费等费用。</w:t>
      </w:r>
    </w:p>
    <w:p>
      <w:pPr>
        <w:spacing w:line="360" w:lineRule="auto"/>
        <w:ind w:firstLine="548" w:firstLineChars="196"/>
        <w:rPr>
          <w:rFonts w:hint="default" w:eastAsia="仿宋" w:cs="Times New Roman"/>
          <w:color w:val="auto"/>
          <w:sz w:val="28"/>
          <w:szCs w:val="28"/>
          <w:highlight w:val="none"/>
          <w:lang w:val="en-US" w:eastAsia="zh-CN"/>
        </w:rPr>
      </w:pPr>
      <w:r>
        <w:rPr>
          <w:rFonts w:hint="eastAsia" w:eastAsia="仿宋" w:cs="Times New Roman"/>
          <w:color w:val="auto"/>
          <w:sz w:val="28"/>
          <w:szCs w:val="28"/>
          <w:highlight w:val="none"/>
          <w:lang w:val="en-US" w:eastAsia="zh-CN"/>
        </w:rPr>
        <w:t>2、</w:t>
      </w:r>
      <w:r>
        <w:rPr>
          <w:rFonts w:hint="eastAsia" w:ascii="Times New Roman" w:hAnsi="Times New Roman" w:eastAsia="仿宋" w:cs="Times New Roman"/>
          <w:color w:val="auto"/>
          <w:sz w:val="28"/>
          <w:szCs w:val="28"/>
          <w:highlight w:val="none"/>
        </w:rPr>
        <w:t>同一条河道年度内连续3次或者累计</w:t>
      </w:r>
      <w:r>
        <w:rPr>
          <w:rFonts w:hint="eastAsia" w:eastAsia="仿宋" w:cs="Times New Roman"/>
          <w:color w:val="auto"/>
          <w:sz w:val="28"/>
          <w:szCs w:val="28"/>
          <w:highlight w:val="none"/>
          <w:lang w:val="en-US" w:eastAsia="zh-CN"/>
        </w:rPr>
        <w:t>4</w:t>
      </w:r>
      <w:r>
        <w:rPr>
          <w:rFonts w:hint="eastAsia" w:ascii="Times New Roman" w:hAnsi="Times New Roman" w:eastAsia="仿宋" w:cs="Times New Roman"/>
          <w:color w:val="auto"/>
          <w:sz w:val="28"/>
          <w:szCs w:val="28"/>
          <w:highlight w:val="none"/>
        </w:rPr>
        <w:t>次月度考核不合格的，除执行正常违约责任外，同时</w:t>
      </w:r>
      <w:r>
        <w:rPr>
          <w:rFonts w:hint="eastAsia" w:eastAsia="仿宋" w:cs="Times New Roman"/>
          <w:color w:val="auto"/>
          <w:sz w:val="28"/>
          <w:szCs w:val="28"/>
          <w:highlight w:val="none"/>
          <w:lang w:val="en-US" w:eastAsia="zh-CN"/>
        </w:rPr>
        <w:t>采购单位</w:t>
      </w:r>
      <w:r>
        <w:rPr>
          <w:rFonts w:hint="eastAsia" w:ascii="Times New Roman" w:hAnsi="Times New Roman" w:eastAsia="仿宋" w:cs="Times New Roman"/>
          <w:color w:val="auto"/>
          <w:sz w:val="28"/>
          <w:szCs w:val="28"/>
          <w:highlight w:val="none"/>
        </w:rPr>
        <w:t>有权无条件提前解除合同，</w:t>
      </w:r>
      <w:r>
        <w:rPr>
          <w:rFonts w:hint="eastAsia" w:eastAsia="仿宋" w:cs="Times New Roman"/>
          <w:color w:val="auto"/>
          <w:sz w:val="28"/>
          <w:szCs w:val="28"/>
          <w:highlight w:val="none"/>
          <w:lang w:val="en-US" w:eastAsia="zh-CN"/>
        </w:rPr>
        <w:t>养护单位</w:t>
      </w:r>
      <w:r>
        <w:rPr>
          <w:rFonts w:hint="eastAsia" w:ascii="Times New Roman" w:hAnsi="Times New Roman" w:eastAsia="仿宋" w:cs="Times New Roman"/>
          <w:color w:val="auto"/>
          <w:sz w:val="28"/>
          <w:szCs w:val="28"/>
          <w:highlight w:val="none"/>
        </w:rPr>
        <w:t>提交的全额履约保证金作为违约金，不予退还，给</w:t>
      </w:r>
      <w:r>
        <w:rPr>
          <w:rFonts w:hint="eastAsia" w:eastAsia="仿宋" w:cs="Times New Roman"/>
          <w:color w:val="auto"/>
          <w:sz w:val="28"/>
          <w:szCs w:val="28"/>
          <w:highlight w:val="none"/>
          <w:lang w:val="en-US" w:eastAsia="zh-CN"/>
        </w:rPr>
        <w:t>采购单位</w:t>
      </w:r>
      <w:r>
        <w:rPr>
          <w:rFonts w:hint="eastAsia" w:ascii="Times New Roman" w:hAnsi="Times New Roman" w:eastAsia="仿宋" w:cs="Times New Roman"/>
          <w:color w:val="auto"/>
          <w:sz w:val="28"/>
          <w:szCs w:val="28"/>
          <w:highlight w:val="none"/>
        </w:rPr>
        <w:t>额外造成损失的，</w:t>
      </w:r>
      <w:r>
        <w:rPr>
          <w:rFonts w:hint="eastAsia" w:eastAsia="仿宋" w:cs="Times New Roman"/>
          <w:color w:val="auto"/>
          <w:sz w:val="28"/>
          <w:szCs w:val="28"/>
          <w:highlight w:val="none"/>
          <w:lang w:val="en-US" w:eastAsia="zh-CN"/>
        </w:rPr>
        <w:t>养护单位</w:t>
      </w:r>
      <w:r>
        <w:rPr>
          <w:rFonts w:hint="eastAsia" w:ascii="Times New Roman" w:hAnsi="Times New Roman" w:eastAsia="仿宋" w:cs="Times New Roman"/>
          <w:color w:val="auto"/>
          <w:sz w:val="28"/>
          <w:szCs w:val="28"/>
          <w:highlight w:val="none"/>
        </w:rPr>
        <w:t>还应承担全部赔偿责任，赔偿范围包括但不限于直接损失、间接损失、律师费、诉讼费等费用。</w:t>
      </w:r>
    </w:p>
    <w:p>
      <w:pPr>
        <w:spacing w:line="360" w:lineRule="auto"/>
        <w:ind w:firstLine="548" w:firstLineChars="196"/>
        <w:rPr>
          <w:rFonts w:hint="eastAsia" w:ascii="Times New Roman" w:hAnsi="Times New Roman" w:eastAsia="仿宋" w:cs="Times New Roman"/>
          <w:color w:val="auto"/>
          <w:sz w:val="28"/>
          <w:szCs w:val="28"/>
          <w:highlight w:val="none"/>
        </w:rPr>
      </w:pPr>
      <w:r>
        <w:rPr>
          <w:rFonts w:hint="eastAsia" w:eastAsia="仿宋" w:cs="Times New Roman"/>
          <w:color w:val="auto"/>
          <w:sz w:val="28"/>
          <w:szCs w:val="28"/>
          <w:highlight w:val="none"/>
          <w:lang w:val="en-US" w:eastAsia="zh-CN"/>
        </w:rPr>
        <w:t>3</w:t>
      </w:r>
      <w:r>
        <w:rPr>
          <w:rFonts w:ascii="Times New Roman" w:hAnsi="Times New Roman" w:eastAsia="仿宋" w:cs="Times New Roman"/>
          <w:color w:val="auto"/>
          <w:sz w:val="28"/>
          <w:szCs w:val="28"/>
          <w:highlight w:val="none"/>
        </w:rPr>
        <w:t>、</w:t>
      </w:r>
      <w:r>
        <w:rPr>
          <w:rFonts w:hint="eastAsia" w:ascii="Times New Roman" w:hAnsi="Times New Roman" w:eastAsia="仿宋" w:cs="Times New Roman"/>
          <w:color w:val="auto"/>
          <w:sz w:val="28"/>
          <w:szCs w:val="28"/>
          <w:highlight w:val="none"/>
        </w:rPr>
        <w:t>在合同履行期间，若发现</w:t>
      </w:r>
      <w:r>
        <w:rPr>
          <w:rFonts w:hint="eastAsia" w:eastAsia="仿宋" w:cs="Times New Roman"/>
          <w:color w:val="auto"/>
          <w:sz w:val="28"/>
          <w:szCs w:val="28"/>
          <w:highlight w:val="none"/>
          <w:lang w:val="en-US" w:eastAsia="zh-CN"/>
        </w:rPr>
        <w:t>养护</w:t>
      </w:r>
      <w:r>
        <w:rPr>
          <w:rFonts w:hint="eastAsia" w:eastAsia="仿宋" w:cs="Times New Roman"/>
          <w:color w:val="auto"/>
          <w:sz w:val="28"/>
          <w:szCs w:val="28"/>
          <w:highlight w:val="none"/>
          <w:lang w:eastAsia="zh-CN"/>
        </w:rPr>
        <w:t>单位</w:t>
      </w:r>
      <w:r>
        <w:rPr>
          <w:rFonts w:hint="eastAsia" w:ascii="Times New Roman" w:hAnsi="Times New Roman" w:eastAsia="仿宋" w:cs="Times New Roman"/>
          <w:color w:val="auto"/>
          <w:sz w:val="28"/>
          <w:szCs w:val="28"/>
          <w:highlight w:val="none"/>
        </w:rPr>
        <w:t>存在偷电、私接电或类似违法行为造成不良影响的，视情节轻重</w:t>
      </w:r>
      <w:r>
        <w:rPr>
          <w:rFonts w:hint="eastAsia" w:eastAsia="仿宋" w:cs="Times New Roman"/>
          <w:color w:val="auto"/>
          <w:sz w:val="28"/>
          <w:szCs w:val="28"/>
          <w:highlight w:val="none"/>
          <w:lang w:eastAsia="zh-CN"/>
        </w:rPr>
        <w:t>采购单位位</w:t>
      </w:r>
      <w:r>
        <w:rPr>
          <w:rFonts w:hint="eastAsia" w:ascii="Times New Roman" w:hAnsi="Times New Roman" w:eastAsia="仿宋" w:cs="Times New Roman"/>
          <w:color w:val="auto"/>
          <w:sz w:val="28"/>
          <w:szCs w:val="28"/>
          <w:highlight w:val="none"/>
        </w:rPr>
        <w:t>有权给予扣款或单方解除合同，解除合同的将扣除全部履约保证金，给</w:t>
      </w:r>
      <w:r>
        <w:rPr>
          <w:rFonts w:hint="eastAsia" w:eastAsia="仿宋" w:cs="Times New Roman"/>
          <w:color w:val="auto"/>
          <w:sz w:val="28"/>
          <w:szCs w:val="28"/>
          <w:highlight w:val="none"/>
          <w:lang w:eastAsia="zh-CN"/>
        </w:rPr>
        <w:t>采购单位</w:t>
      </w:r>
      <w:r>
        <w:rPr>
          <w:rFonts w:hint="eastAsia" w:ascii="Times New Roman" w:hAnsi="Times New Roman" w:eastAsia="仿宋" w:cs="Times New Roman"/>
          <w:color w:val="auto"/>
          <w:sz w:val="28"/>
          <w:szCs w:val="28"/>
          <w:highlight w:val="none"/>
        </w:rPr>
        <w:t>额外造成损失的，</w:t>
      </w:r>
      <w:r>
        <w:rPr>
          <w:rFonts w:hint="eastAsia" w:eastAsia="仿宋" w:cs="Times New Roman"/>
          <w:color w:val="auto"/>
          <w:sz w:val="28"/>
          <w:szCs w:val="28"/>
          <w:highlight w:val="none"/>
          <w:lang w:val="en-US" w:eastAsia="zh-CN"/>
        </w:rPr>
        <w:t>养护</w:t>
      </w:r>
      <w:r>
        <w:rPr>
          <w:rFonts w:hint="eastAsia" w:eastAsia="仿宋" w:cs="Times New Roman"/>
          <w:color w:val="auto"/>
          <w:sz w:val="28"/>
          <w:szCs w:val="28"/>
          <w:highlight w:val="none"/>
          <w:lang w:eastAsia="zh-CN"/>
        </w:rPr>
        <w:t>单位</w:t>
      </w:r>
      <w:r>
        <w:rPr>
          <w:rFonts w:hint="eastAsia" w:ascii="Times New Roman" w:hAnsi="Times New Roman" w:eastAsia="仿宋" w:cs="Times New Roman"/>
          <w:color w:val="auto"/>
          <w:sz w:val="28"/>
          <w:szCs w:val="28"/>
          <w:highlight w:val="none"/>
        </w:rPr>
        <w:t>还应承担全部赔偿责任，赔偿范围包括但不限于直接损失、间接损失、律师费、诉讼费等费用。</w:t>
      </w:r>
    </w:p>
    <w:p>
      <w:pPr>
        <w:spacing w:line="360" w:lineRule="auto"/>
        <w:ind w:firstLine="548" w:firstLineChars="196"/>
        <w:rPr>
          <w:rFonts w:ascii="Times New Roman" w:hAnsi="Times New Roman" w:eastAsia="仿宋" w:cs="Times New Roman"/>
          <w:color w:val="auto"/>
          <w:sz w:val="28"/>
          <w:szCs w:val="28"/>
          <w:highlight w:val="none"/>
        </w:rPr>
      </w:pPr>
      <w:r>
        <w:rPr>
          <w:rFonts w:hint="eastAsia" w:eastAsia="仿宋" w:cs="Times New Roman"/>
          <w:color w:val="auto"/>
          <w:sz w:val="28"/>
          <w:szCs w:val="28"/>
          <w:highlight w:val="none"/>
          <w:lang w:val="en-US" w:eastAsia="zh-CN"/>
        </w:rPr>
        <w:t>4、养护</w:t>
      </w:r>
      <w:r>
        <w:rPr>
          <w:rFonts w:hint="eastAsia" w:eastAsia="仿宋" w:cs="Times New Roman"/>
          <w:color w:val="auto"/>
          <w:sz w:val="28"/>
          <w:szCs w:val="28"/>
          <w:highlight w:val="none"/>
          <w:lang w:eastAsia="zh-CN"/>
        </w:rPr>
        <w:t>单位</w:t>
      </w:r>
      <w:r>
        <w:rPr>
          <w:rFonts w:hint="eastAsia" w:ascii="Times New Roman" w:hAnsi="Times New Roman" w:eastAsia="仿宋" w:cs="Times New Roman"/>
          <w:color w:val="auto"/>
          <w:sz w:val="28"/>
          <w:szCs w:val="28"/>
          <w:highlight w:val="none"/>
        </w:rPr>
        <w:t>拒不执行</w:t>
      </w:r>
      <w:r>
        <w:rPr>
          <w:rFonts w:hint="eastAsia" w:eastAsia="仿宋" w:cs="Times New Roman"/>
          <w:color w:val="auto"/>
          <w:sz w:val="28"/>
          <w:szCs w:val="28"/>
          <w:highlight w:val="none"/>
          <w:lang w:eastAsia="zh-CN"/>
        </w:rPr>
        <w:t>采购单位</w:t>
      </w:r>
      <w:r>
        <w:rPr>
          <w:rFonts w:hint="eastAsia" w:ascii="Times New Roman" w:hAnsi="Times New Roman" w:eastAsia="仿宋" w:cs="Times New Roman"/>
          <w:color w:val="auto"/>
          <w:sz w:val="28"/>
          <w:szCs w:val="28"/>
          <w:highlight w:val="none"/>
        </w:rPr>
        <w:t>的养护任务要求，</w:t>
      </w:r>
      <w:r>
        <w:rPr>
          <w:rFonts w:hint="eastAsia" w:eastAsia="仿宋" w:cs="Times New Roman"/>
          <w:color w:val="auto"/>
          <w:sz w:val="28"/>
          <w:szCs w:val="28"/>
          <w:highlight w:val="none"/>
          <w:lang w:eastAsia="zh-CN"/>
        </w:rPr>
        <w:t>采购单位</w:t>
      </w:r>
      <w:r>
        <w:rPr>
          <w:rFonts w:hint="eastAsia" w:ascii="Times New Roman" w:hAnsi="Times New Roman" w:eastAsia="仿宋" w:cs="Times New Roman"/>
          <w:color w:val="auto"/>
          <w:sz w:val="28"/>
          <w:szCs w:val="28"/>
          <w:highlight w:val="none"/>
        </w:rPr>
        <w:t>有权解除合同，并扣除全部履约保证金，给</w:t>
      </w:r>
      <w:r>
        <w:rPr>
          <w:rFonts w:hint="eastAsia" w:eastAsia="仿宋" w:cs="Times New Roman"/>
          <w:color w:val="auto"/>
          <w:sz w:val="28"/>
          <w:szCs w:val="28"/>
          <w:highlight w:val="none"/>
          <w:lang w:eastAsia="zh-CN"/>
        </w:rPr>
        <w:t>采购单位</w:t>
      </w:r>
      <w:r>
        <w:rPr>
          <w:rFonts w:hint="eastAsia" w:ascii="Times New Roman" w:hAnsi="Times New Roman" w:eastAsia="仿宋" w:cs="Times New Roman"/>
          <w:color w:val="auto"/>
          <w:sz w:val="28"/>
          <w:szCs w:val="28"/>
          <w:highlight w:val="none"/>
        </w:rPr>
        <w:t>额外造成损失的，</w:t>
      </w:r>
      <w:r>
        <w:rPr>
          <w:rFonts w:hint="eastAsia" w:eastAsia="仿宋" w:cs="Times New Roman"/>
          <w:color w:val="auto"/>
          <w:sz w:val="28"/>
          <w:szCs w:val="28"/>
          <w:highlight w:val="none"/>
          <w:lang w:val="en-US" w:eastAsia="zh-CN"/>
        </w:rPr>
        <w:t>养护</w:t>
      </w:r>
      <w:r>
        <w:rPr>
          <w:rFonts w:hint="eastAsia" w:eastAsia="仿宋" w:cs="Times New Roman"/>
          <w:color w:val="auto"/>
          <w:sz w:val="28"/>
          <w:szCs w:val="28"/>
          <w:highlight w:val="none"/>
          <w:lang w:eastAsia="zh-CN"/>
        </w:rPr>
        <w:t>单位</w:t>
      </w:r>
      <w:r>
        <w:rPr>
          <w:rFonts w:hint="eastAsia" w:ascii="Times New Roman" w:hAnsi="Times New Roman" w:eastAsia="仿宋" w:cs="Times New Roman"/>
          <w:color w:val="auto"/>
          <w:sz w:val="28"/>
          <w:szCs w:val="28"/>
          <w:highlight w:val="none"/>
        </w:rPr>
        <w:t>还应承担全部赔偿责任，赔偿范围包括但不限于直接损失、间接损失、律师费、诉讼费等费用。</w:t>
      </w:r>
    </w:p>
    <w:p>
      <w:pPr>
        <w:spacing w:line="360" w:lineRule="auto"/>
        <w:ind w:firstLine="551" w:firstLineChars="196"/>
        <w:rPr>
          <w:rFonts w:ascii="Times New Roman" w:hAnsi="Times New Roman" w:eastAsia="仿宋" w:cs="Times New Roman"/>
          <w:b/>
          <w:bCs/>
          <w:color w:val="auto"/>
          <w:sz w:val="28"/>
          <w:szCs w:val="28"/>
          <w:highlight w:val="none"/>
        </w:rPr>
      </w:pPr>
      <w:r>
        <w:rPr>
          <w:rFonts w:ascii="Times New Roman" w:hAnsi="Times New Roman" w:eastAsia="仿宋" w:cs="Times New Roman"/>
          <w:b/>
          <w:bCs/>
          <w:color w:val="auto"/>
          <w:sz w:val="28"/>
          <w:szCs w:val="28"/>
          <w:highlight w:val="none"/>
        </w:rPr>
        <w:t>（</w:t>
      </w:r>
      <w:r>
        <w:rPr>
          <w:rFonts w:hint="eastAsia" w:ascii="Times New Roman" w:hAnsi="Times New Roman" w:eastAsia="仿宋" w:cs="Times New Roman"/>
          <w:b/>
          <w:bCs/>
          <w:color w:val="auto"/>
          <w:sz w:val="28"/>
          <w:szCs w:val="28"/>
          <w:highlight w:val="none"/>
        </w:rPr>
        <w:t>五</w:t>
      </w:r>
      <w:r>
        <w:rPr>
          <w:rFonts w:ascii="Times New Roman" w:hAnsi="Times New Roman" w:eastAsia="仿宋" w:cs="Times New Roman"/>
          <w:b/>
          <w:bCs/>
          <w:color w:val="auto"/>
          <w:sz w:val="28"/>
          <w:szCs w:val="28"/>
          <w:highlight w:val="none"/>
        </w:rPr>
        <w:t>）其它说明</w:t>
      </w:r>
    </w:p>
    <w:p>
      <w:pPr>
        <w:spacing w:line="360" w:lineRule="auto"/>
        <w:ind w:firstLine="548" w:firstLineChars="196"/>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1、每条河道养护经费按实际养护面积进行结算。</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中标通知书发放之日起40天内，整个标段所有设备、管道、土建等工程实施完毕并交采购单位整体验收合格，收到中标人送达的等额增值税发票后15个工作日内付款合同价的20%；中标人逾期完工每延期1天承担合同总价1%的违约金。</w:t>
      </w:r>
      <w:r>
        <w:rPr>
          <w:rFonts w:hint="eastAsia" w:ascii="仿宋" w:hAnsi="仿宋" w:eastAsia="仿宋" w:cs="仿宋"/>
          <w:color w:val="auto"/>
          <w:sz w:val="28"/>
          <w:szCs w:val="28"/>
          <w:highlight w:val="none"/>
        </w:rPr>
        <w:t>中标通知书</w:t>
      </w:r>
      <w:r>
        <w:rPr>
          <w:rFonts w:hint="eastAsia" w:ascii="仿宋" w:hAnsi="仿宋" w:eastAsia="仿宋" w:cs="仿宋"/>
          <w:color w:val="auto"/>
          <w:sz w:val="28"/>
          <w:szCs w:val="28"/>
          <w:highlight w:val="none"/>
          <w:lang w:val="en-US" w:eastAsia="zh-CN"/>
        </w:rPr>
        <w:t>发放</w:t>
      </w:r>
      <w:r>
        <w:rPr>
          <w:rFonts w:hint="eastAsia" w:ascii="仿宋" w:hAnsi="仿宋" w:eastAsia="仿宋" w:cs="仿宋"/>
          <w:color w:val="auto"/>
          <w:sz w:val="28"/>
          <w:szCs w:val="28"/>
          <w:highlight w:val="none"/>
        </w:rPr>
        <w:t>之日起60天内仍未完成该标段整体施工及设备安装并验收合格的，第61天起每延期1天承担合同总价1‰的违约金；中标通知书</w:t>
      </w:r>
      <w:r>
        <w:rPr>
          <w:rFonts w:hint="eastAsia" w:ascii="仿宋" w:hAnsi="仿宋" w:eastAsia="仿宋" w:cs="仿宋"/>
          <w:color w:val="auto"/>
          <w:sz w:val="28"/>
          <w:szCs w:val="28"/>
          <w:highlight w:val="none"/>
          <w:lang w:eastAsia="zh-CN"/>
        </w:rPr>
        <w:t>发放</w:t>
      </w:r>
      <w:r>
        <w:rPr>
          <w:rFonts w:hint="eastAsia" w:ascii="仿宋" w:hAnsi="仿宋" w:eastAsia="仿宋" w:cs="仿宋"/>
          <w:color w:val="auto"/>
          <w:sz w:val="28"/>
          <w:szCs w:val="28"/>
          <w:highlight w:val="none"/>
        </w:rPr>
        <w:t>之日起120天内仍未完成安装及通过验收的，合同自动解除并扣除全部履约保证金，同时</w:t>
      </w:r>
      <w:r>
        <w:rPr>
          <w:rFonts w:hint="eastAsia" w:ascii="仿宋" w:hAnsi="仿宋" w:eastAsia="仿宋" w:cs="仿宋"/>
          <w:color w:val="auto"/>
          <w:sz w:val="28"/>
          <w:szCs w:val="28"/>
          <w:highlight w:val="none"/>
          <w:lang w:eastAsia="zh-CN"/>
        </w:rPr>
        <w:t>采购单位</w:t>
      </w:r>
      <w:r>
        <w:rPr>
          <w:rFonts w:hint="eastAsia" w:ascii="仿宋" w:hAnsi="仿宋" w:eastAsia="仿宋" w:cs="仿宋"/>
          <w:color w:val="auto"/>
          <w:sz w:val="28"/>
          <w:szCs w:val="28"/>
          <w:highlight w:val="none"/>
        </w:rPr>
        <w:t>有权追究其造成的全部损失，赔偿范围包括但不限于直接损失、间接损失、律师费、诉讼费等费用。</w:t>
      </w:r>
    </w:p>
    <w:p>
      <w:pPr>
        <w:spacing w:line="360" w:lineRule="auto"/>
        <w:ind w:firstLine="548" w:firstLineChars="196"/>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3、应急河道不考虑年度养护费用，</w:t>
      </w:r>
      <w:r>
        <w:rPr>
          <w:rFonts w:hint="eastAsia" w:ascii="仿宋" w:hAnsi="仿宋" w:eastAsia="仿宋" w:cs="仿宋"/>
          <w:color w:val="auto"/>
          <w:sz w:val="28"/>
          <w:szCs w:val="28"/>
          <w:highlight w:val="none"/>
          <w:lang w:val="en-US" w:eastAsia="zh-CN"/>
        </w:rPr>
        <w:t>考核扣分纳入所在标段。</w:t>
      </w:r>
      <w:r>
        <w:rPr>
          <w:rFonts w:hint="eastAsia" w:ascii="仿宋" w:hAnsi="仿宋" w:eastAsia="仿宋" w:cs="仿宋"/>
          <w:color w:val="auto"/>
          <w:sz w:val="28"/>
          <w:szCs w:val="28"/>
          <w:highlight w:val="none"/>
        </w:rPr>
        <w:t>养护单位需要保持河道常年不黑不臭，并及时做好预防预防黑臭</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蓝绿藻等应急措施。若合同期内发生黑臭、蓝绿藻</w:t>
      </w:r>
      <w:r>
        <w:rPr>
          <w:rFonts w:hint="eastAsia" w:ascii="仿宋" w:hAnsi="仿宋" w:eastAsia="仿宋" w:cs="仿宋"/>
          <w:color w:val="auto"/>
          <w:sz w:val="28"/>
          <w:szCs w:val="28"/>
          <w:highlight w:val="none"/>
          <w:lang w:val="en-US" w:eastAsia="zh-CN"/>
        </w:rPr>
        <w:t>等</w:t>
      </w:r>
      <w:r>
        <w:rPr>
          <w:rFonts w:hint="eastAsia" w:ascii="仿宋" w:hAnsi="仿宋" w:eastAsia="仿宋" w:cs="仿宋"/>
          <w:color w:val="auto"/>
          <w:sz w:val="28"/>
          <w:szCs w:val="28"/>
          <w:highlight w:val="none"/>
        </w:rPr>
        <w:t>问题，需要在30分钟内到场响应，48小时内完成应急处理</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出现扣分纳入所在标段考核</w:t>
      </w:r>
      <w:r>
        <w:rPr>
          <w:rFonts w:hint="eastAsia" w:ascii="仿宋" w:hAnsi="仿宋" w:eastAsia="仿宋" w:cs="仿宋"/>
          <w:color w:val="auto"/>
          <w:sz w:val="28"/>
          <w:szCs w:val="28"/>
          <w:highlight w:val="none"/>
        </w:rPr>
        <w:t>。</w:t>
      </w:r>
    </w:p>
    <w:p>
      <w:pPr>
        <w:spacing w:line="360" w:lineRule="auto"/>
        <w:ind w:firstLine="548" w:firstLineChars="196"/>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4、所有河道主要因外部因素（外部引水补水、清水环通）改善而达到养护标准的河道，</w:t>
      </w:r>
      <w:r>
        <w:rPr>
          <w:rFonts w:hint="eastAsia" w:ascii="仿宋" w:hAnsi="仿宋" w:eastAsia="仿宋" w:cs="仿宋"/>
          <w:color w:val="auto"/>
          <w:sz w:val="28"/>
          <w:szCs w:val="28"/>
          <w:highlight w:val="none"/>
          <w:lang w:val="en-US" w:eastAsia="zh-CN"/>
        </w:rPr>
        <w:t>采购单位可视实际情况取消所涉</w:t>
      </w:r>
      <w:r>
        <w:rPr>
          <w:rFonts w:hint="eastAsia" w:ascii="仿宋" w:hAnsi="仿宋" w:eastAsia="仿宋" w:cs="仿宋"/>
          <w:color w:val="auto"/>
          <w:sz w:val="28"/>
          <w:szCs w:val="28"/>
          <w:highlight w:val="none"/>
        </w:rPr>
        <w:t>及河道</w:t>
      </w:r>
      <w:r>
        <w:rPr>
          <w:rFonts w:hint="eastAsia" w:ascii="仿宋" w:hAnsi="仿宋" w:eastAsia="仿宋" w:cs="仿宋"/>
          <w:color w:val="auto"/>
          <w:sz w:val="28"/>
          <w:szCs w:val="28"/>
          <w:highlight w:val="none"/>
          <w:lang w:val="en-US" w:eastAsia="zh-CN"/>
        </w:rPr>
        <w:t>的养护或调整养护目标及经费</w:t>
      </w:r>
      <w:r>
        <w:rPr>
          <w:rFonts w:hint="eastAsia" w:ascii="仿宋" w:hAnsi="仿宋" w:eastAsia="仿宋" w:cs="仿宋"/>
          <w:color w:val="auto"/>
          <w:sz w:val="28"/>
          <w:szCs w:val="28"/>
          <w:highlight w:val="none"/>
        </w:rPr>
        <w:t>。</w:t>
      </w:r>
    </w:p>
    <w:p>
      <w:pPr>
        <w:spacing w:line="360" w:lineRule="auto"/>
        <w:ind w:firstLine="548" w:firstLineChars="196"/>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5、本考核办法及细则的解释权归</w:t>
      </w:r>
      <w:r>
        <w:rPr>
          <w:rFonts w:hint="eastAsia" w:ascii="仿宋" w:hAnsi="仿宋" w:eastAsia="仿宋" w:cs="仿宋"/>
          <w:color w:val="auto"/>
          <w:sz w:val="28"/>
          <w:szCs w:val="28"/>
          <w:highlight w:val="none"/>
          <w:lang w:eastAsia="zh-CN"/>
        </w:rPr>
        <w:t>采购单位</w:t>
      </w:r>
      <w:r>
        <w:rPr>
          <w:rFonts w:hint="eastAsia" w:ascii="仿宋" w:hAnsi="仿宋" w:eastAsia="仿宋" w:cs="仿宋"/>
          <w:color w:val="auto"/>
          <w:sz w:val="28"/>
          <w:szCs w:val="28"/>
          <w:highlight w:val="none"/>
        </w:rPr>
        <w:t>所有；如有必要，</w:t>
      </w:r>
      <w:r>
        <w:rPr>
          <w:rFonts w:hint="eastAsia" w:ascii="仿宋" w:hAnsi="仿宋" w:eastAsia="仿宋" w:cs="仿宋"/>
          <w:color w:val="auto"/>
          <w:sz w:val="28"/>
          <w:szCs w:val="28"/>
          <w:highlight w:val="none"/>
          <w:lang w:eastAsia="zh-CN"/>
        </w:rPr>
        <w:t>采购单位</w:t>
      </w:r>
      <w:r>
        <w:rPr>
          <w:rFonts w:hint="eastAsia" w:ascii="仿宋" w:hAnsi="仿宋" w:eastAsia="仿宋" w:cs="仿宋"/>
          <w:color w:val="auto"/>
          <w:sz w:val="28"/>
          <w:szCs w:val="28"/>
          <w:highlight w:val="none"/>
        </w:rPr>
        <w:t>有权对考核办法及细则进行合理的修改并通知养护单位，养护单位必须无条件服从。</w:t>
      </w:r>
    </w:p>
    <w:p>
      <w:pPr>
        <w:spacing w:line="360" w:lineRule="auto"/>
        <w:ind w:firstLine="548" w:firstLineChars="196"/>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6、在合同履行期间，如与上级政策性要求相冲突或出现新的考核指标要求时，</w:t>
      </w:r>
      <w:r>
        <w:rPr>
          <w:rFonts w:hint="eastAsia" w:ascii="仿宋" w:hAnsi="仿宋" w:eastAsia="仿宋" w:cs="仿宋"/>
          <w:color w:val="auto"/>
          <w:sz w:val="28"/>
          <w:szCs w:val="28"/>
          <w:highlight w:val="none"/>
          <w:lang w:eastAsia="zh-CN"/>
        </w:rPr>
        <w:t>采购单位</w:t>
      </w:r>
      <w:r>
        <w:rPr>
          <w:rFonts w:hint="eastAsia" w:ascii="仿宋" w:hAnsi="仿宋" w:eastAsia="仿宋" w:cs="仿宋"/>
          <w:color w:val="auto"/>
          <w:sz w:val="28"/>
          <w:szCs w:val="28"/>
          <w:highlight w:val="none"/>
        </w:rPr>
        <w:t>有权单方面提前解除水质提升合同或重新要求养护单位按照新的考核要求进行整改。</w:t>
      </w:r>
    </w:p>
    <w:p>
      <w:pPr>
        <w:spacing w:line="360" w:lineRule="auto"/>
        <w:ind w:firstLine="548" w:firstLineChars="196"/>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7、因为突发情况影响水质正常养护，养护单位需要尽力配合、尽早恢复水质养护工作。</w:t>
      </w:r>
    </w:p>
    <w:p>
      <w:pPr>
        <w:pStyle w:val="11"/>
        <w:tabs>
          <w:tab w:val="left" w:pos="2472"/>
        </w:tabs>
        <w:snapToGrid w:val="0"/>
        <w:spacing w:beforeLines="0" w:afterLines="0" w:line="360" w:lineRule="auto"/>
        <w:ind w:firstLine="560" w:firstLineChars="200"/>
        <w:rPr>
          <w:rFonts w:hAnsi="宋体"/>
          <w:color w:val="auto"/>
          <w:spacing w:val="6"/>
          <w:sz w:val="21"/>
          <w:szCs w:val="21"/>
          <w:highlight w:val="none"/>
        </w:rPr>
      </w:pPr>
      <w:r>
        <w:rPr>
          <w:rFonts w:hint="eastAsia" w:ascii="仿宋" w:hAnsi="仿宋" w:eastAsia="仿宋" w:cs="仿宋"/>
          <w:color w:val="auto"/>
          <w:sz w:val="28"/>
          <w:szCs w:val="28"/>
          <w:highlight w:val="none"/>
        </w:rPr>
        <w:t>8、</w:t>
      </w:r>
      <w:r>
        <w:rPr>
          <w:rFonts w:hint="eastAsia" w:ascii="仿宋" w:hAnsi="仿宋" w:eastAsia="仿宋" w:cs="仿宋"/>
          <w:color w:val="auto"/>
          <w:sz w:val="28"/>
          <w:szCs w:val="28"/>
          <w:highlight w:val="none"/>
          <w:lang w:val="en-US" w:eastAsia="zh-CN"/>
        </w:rPr>
        <w:t>采购单位有权</w:t>
      </w:r>
      <w:r>
        <w:rPr>
          <w:rFonts w:hint="eastAsia" w:ascii="仿宋" w:hAnsi="仿宋" w:eastAsia="仿宋" w:cs="仿宋"/>
          <w:color w:val="auto"/>
          <w:sz w:val="28"/>
          <w:szCs w:val="28"/>
          <w:highlight w:val="none"/>
        </w:rPr>
        <w:t>在下一轮养护招投标过程中</w:t>
      </w:r>
      <w:r>
        <w:rPr>
          <w:rFonts w:hint="eastAsia" w:ascii="仿宋" w:hAnsi="仿宋" w:eastAsia="仿宋" w:cs="仿宋"/>
          <w:color w:val="auto"/>
          <w:sz w:val="28"/>
          <w:szCs w:val="28"/>
          <w:highlight w:val="none"/>
          <w:lang w:val="en-US" w:eastAsia="zh-CN"/>
        </w:rPr>
        <w:t>对养护单位的养护情况作客观评价，并对</w:t>
      </w:r>
      <w:r>
        <w:rPr>
          <w:rFonts w:hint="eastAsia" w:ascii="仿宋" w:hAnsi="仿宋" w:eastAsia="仿宋" w:cs="仿宋"/>
          <w:color w:val="auto"/>
          <w:sz w:val="28"/>
          <w:szCs w:val="28"/>
          <w:highlight w:val="none"/>
        </w:rPr>
        <w:t>养护不良或存在如下情形的扣除相应</w:t>
      </w:r>
      <w:r>
        <w:rPr>
          <w:rFonts w:hint="eastAsia" w:ascii="仿宋" w:hAnsi="仿宋" w:eastAsia="仿宋" w:cs="仿宋"/>
          <w:color w:val="auto"/>
          <w:sz w:val="28"/>
          <w:szCs w:val="28"/>
          <w:highlight w:val="none"/>
          <w:lang w:val="en-US" w:eastAsia="zh-CN"/>
        </w:rPr>
        <w:t>项</w:t>
      </w:r>
      <w:r>
        <w:rPr>
          <w:rFonts w:hint="eastAsia" w:ascii="仿宋" w:hAnsi="仿宋" w:eastAsia="仿宋" w:cs="仿宋"/>
          <w:color w:val="auto"/>
          <w:sz w:val="28"/>
          <w:szCs w:val="28"/>
          <w:highlight w:val="none"/>
        </w:rPr>
        <w:t>分数：①原先养护河道中，一年内累计4次或连续2次</w:t>
      </w:r>
      <w:r>
        <w:rPr>
          <w:rFonts w:hint="eastAsia" w:ascii="仿宋" w:hAnsi="仿宋" w:eastAsia="仿宋" w:cs="仿宋"/>
          <w:color w:val="auto"/>
          <w:sz w:val="28"/>
          <w:szCs w:val="28"/>
          <w:highlight w:val="none"/>
          <w:lang w:val="en-US" w:eastAsia="zh-CN"/>
        </w:rPr>
        <w:t>月考核等次</w:t>
      </w:r>
      <w:r>
        <w:rPr>
          <w:rFonts w:hint="eastAsia" w:ascii="仿宋" w:hAnsi="仿宋" w:eastAsia="仿宋" w:cs="仿宋"/>
          <w:color w:val="auto"/>
          <w:sz w:val="28"/>
          <w:szCs w:val="28"/>
          <w:highlight w:val="none"/>
        </w:rPr>
        <w:t>不合格</w:t>
      </w:r>
      <w:r>
        <w:rPr>
          <w:rFonts w:hint="eastAsia" w:ascii="仿宋" w:hAnsi="仿宋" w:eastAsia="仿宋" w:cs="仿宋"/>
          <w:color w:val="auto"/>
          <w:sz w:val="28"/>
          <w:szCs w:val="28"/>
          <w:highlight w:val="none"/>
          <w:lang w:val="en-US" w:eastAsia="zh-CN"/>
        </w:rPr>
        <w:t>的</w:t>
      </w:r>
      <w:r>
        <w:rPr>
          <w:rFonts w:hint="eastAsia" w:ascii="仿宋" w:hAnsi="仿宋" w:eastAsia="仿宋" w:cs="仿宋"/>
          <w:color w:val="auto"/>
          <w:sz w:val="28"/>
          <w:szCs w:val="28"/>
          <w:highlight w:val="none"/>
        </w:rPr>
        <w:t>；②出现黑臭、蓝绿藻</w:t>
      </w:r>
      <w:r>
        <w:rPr>
          <w:rFonts w:hint="eastAsia" w:ascii="仿宋" w:hAnsi="仿宋" w:eastAsia="仿宋" w:cs="仿宋"/>
          <w:color w:val="auto"/>
          <w:sz w:val="28"/>
          <w:szCs w:val="28"/>
          <w:highlight w:val="none"/>
          <w:lang w:val="en-US" w:eastAsia="zh-CN"/>
        </w:rPr>
        <w:t>等</w:t>
      </w:r>
      <w:r>
        <w:rPr>
          <w:rFonts w:hint="eastAsia" w:ascii="仿宋" w:hAnsi="仿宋" w:eastAsia="仿宋" w:cs="仿宋"/>
          <w:color w:val="auto"/>
          <w:sz w:val="28"/>
          <w:szCs w:val="28"/>
          <w:highlight w:val="none"/>
        </w:rPr>
        <w:t>问题响应不及时，或造成不良影响者；③</w:t>
      </w:r>
      <w:r>
        <w:rPr>
          <w:rFonts w:hint="eastAsia" w:ascii="仿宋" w:hAnsi="仿宋" w:eastAsia="仿宋" w:cs="仿宋"/>
          <w:color w:val="auto"/>
          <w:sz w:val="28"/>
          <w:szCs w:val="28"/>
          <w:highlight w:val="none"/>
          <w:lang w:val="en-US" w:eastAsia="zh-CN"/>
        </w:rPr>
        <w:t>养护不力、</w:t>
      </w:r>
      <w:r>
        <w:rPr>
          <w:rFonts w:hint="eastAsia" w:ascii="仿宋" w:hAnsi="仿宋" w:eastAsia="仿宋" w:cs="仿宋"/>
          <w:color w:val="auto"/>
          <w:sz w:val="28"/>
          <w:szCs w:val="28"/>
          <w:highlight w:val="none"/>
        </w:rPr>
        <w:t>不响应</w:t>
      </w:r>
      <w:r>
        <w:rPr>
          <w:rFonts w:hint="eastAsia" w:ascii="仿宋" w:hAnsi="仿宋" w:eastAsia="仿宋" w:cs="仿宋"/>
          <w:color w:val="auto"/>
          <w:sz w:val="28"/>
          <w:szCs w:val="28"/>
          <w:highlight w:val="none"/>
          <w:lang w:eastAsia="zh-CN"/>
        </w:rPr>
        <w:t>采购单位</w:t>
      </w:r>
      <w:r>
        <w:rPr>
          <w:rFonts w:ascii="Times New Roman" w:hAnsi="Times New Roman" w:eastAsia="仿宋" w:cs="Times New Roman"/>
          <w:color w:val="auto"/>
          <w:sz w:val="28"/>
          <w:szCs w:val="28"/>
          <w:highlight w:val="none"/>
        </w:rPr>
        <w:t>指令，或不配合</w:t>
      </w:r>
      <w:r>
        <w:rPr>
          <w:rFonts w:hint="eastAsia" w:ascii="Times New Roman" w:hAnsi="Times New Roman" w:eastAsia="仿宋" w:cs="Times New Roman"/>
          <w:color w:val="auto"/>
          <w:sz w:val="28"/>
          <w:szCs w:val="28"/>
          <w:highlight w:val="none"/>
          <w:lang w:eastAsia="zh-CN"/>
        </w:rPr>
        <w:t>采购单位</w:t>
      </w:r>
      <w:r>
        <w:rPr>
          <w:rFonts w:ascii="Times New Roman" w:hAnsi="Times New Roman" w:eastAsia="仿宋" w:cs="Times New Roman"/>
          <w:color w:val="auto"/>
          <w:sz w:val="28"/>
          <w:szCs w:val="28"/>
          <w:highlight w:val="none"/>
        </w:rPr>
        <w:t>工作</w:t>
      </w:r>
      <w:r>
        <w:rPr>
          <w:rFonts w:hint="eastAsia" w:ascii="Times New Roman" w:hAnsi="Times New Roman" w:eastAsia="仿宋" w:cs="Times New Roman"/>
          <w:color w:val="auto"/>
          <w:sz w:val="28"/>
          <w:szCs w:val="28"/>
          <w:highlight w:val="none"/>
          <w:lang w:val="en-US" w:eastAsia="zh-CN"/>
        </w:rPr>
        <w:t>等</w:t>
      </w:r>
      <w:r>
        <w:rPr>
          <w:rFonts w:ascii="Times New Roman" w:hAnsi="Times New Roman" w:eastAsia="仿宋" w:cs="Times New Roman"/>
          <w:color w:val="auto"/>
          <w:sz w:val="28"/>
          <w:szCs w:val="28"/>
          <w:highlight w:val="none"/>
        </w:rPr>
        <w:t>。</w:t>
      </w:r>
    </w:p>
    <w:sectPr>
      <w:headerReference r:id="rId12" w:type="default"/>
      <w:footerReference r:id="rId13" w:type="default"/>
      <w:pgSz w:w="11907" w:h="16840"/>
      <w:pgMar w:top="1440" w:right="1800" w:bottom="1440" w:left="1800" w:header="851" w:footer="992" w:gutter="0"/>
      <w:cols w:space="720" w:num="1"/>
      <w:titlePg/>
      <w:docGrid w:linePitch="60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roma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roman"/>
    <w:pitch w:val="default"/>
    <w:sig w:usb0="00000283" w:usb1="288F0000" w:usb2="0000000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modern"/>
    <w:pitch w:val="default"/>
    <w:sig w:usb0="80000287" w:usb1="2ACF3C50" w:usb2="00000016" w:usb3="00000000" w:csb0="0004001F" w:csb1="00000000"/>
  </w:font>
  <w:font w:name="仿宋">
    <w:panose1 w:val="02010609060101010101"/>
    <w:charset w:val="86"/>
    <w:family w:val="roman"/>
    <w:pitch w:val="default"/>
    <w:sig w:usb0="800002BF" w:usb1="38CF7CFA" w:usb2="00000016" w:usb3="00000000" w:csb0="00040001" w:csb1="00000000"/>
  </w:font>
  <w:font w:name="Tahoma">
    <w:panose1 w:val="020B0604030504040204"/>
    <w:charset w:val="00"/>
    <w:family w:val="modern"/>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3</w:t>
    </w:r>
    <w:r>
      <w:fldChar w:fldCharType="end"/>
    </w:r>
  </w:p>
  <w:p>
    <w:pPr>
      <w:pStyle w:val="14"/>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6"/>
      </w:rPr>
    </w:pPr>
    <w:r>
      <w:fldChar w:fldCharType="begin"/>
    </w:r>
    <w:r>
      <w:rPr>
        <w:rStyle w:val="26"/>
      </w:rPr>
      <w:instrText xml:space="preserve">PAGE  </w:instrText>
    </w:r>
    <w:r>
      <w:fldChar w:fldCharType="separate"/>
    </w:r>
    <w:r>
      <w:rPr>
        <w:rStyle w:val="26"/>
      </w:rPr>
      <w:t>3</w:t>
    </w:r>
    <w:r>
      <w:fldChar w:fldCharType="end"/>
    </w:r>
  </w:p>
  <w:p>
    <w:pPr>
      <w:pStyle w:val="1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2C3240"/>
    <w:multiLevelType w:val="singleLevel"/>
    <w:tmpl w:val="882C3240"/>
    <w:lvl w:ilvl="0" w:tentative="0">
      <w:start w:val="2"/>
      <w:numFmt w:val="decimal"/>
      <w:suff w:val="nothing"/>
      <w:lvlText w:val="%1、"/>
      <w:lvlJc w:val="left"/>
    </w:lvl>
  </w:abstractNum>
  <w:abstractNum w:abstractNumId="1">
    <w:nsid w:val="5FC0BBC0"/>
    <w:multiLevelType w:val="singleLevel"/>
    <w:tmpl w:val="5FC0BBC0"/>
    <w:lvl w:ilvl="0" w:tentative="0">
      <w:start w:val="1"/>
      <w:numFmt w:val="decimal"/>
      <w:suff w:val="nothing"/>
      <w:lvlText w:val="%1、"/>
      <w:lvlJc w:val="left"/>
    </w:lvl>
  </w:abstractNum>
  <w:abstractNum w:abstractNumId="2">
    <w:nsid w:val="5FC0CB04"/>
    <w:multiLevelType w:val="singleLevel"/>
    <w:tmpl w:val="5FC0CB04"/>
    <w:lvl w:ilvl="0" w:tentative="0">
      <w:start w:val="2"/>
      <w:numFmt w:val="decimal"/>
      <w:suff w:val="nothing"/>
      <w:lvlText w:val="%1、"/>
      <w:lvlJc w:val="left"/>
    </w:lvl>
  </w:abstractNum>
  <w:abstractNum w:abstractNumId="3">
    <w:nsid w:val="7760BACF"/>
    <w:multiLevelType w:val="singleLevel"/>
    <w:tmpl w:val="7760BACF"/>
    <w:lvl w:ilvl="0" w:tentative="0">
      <w:start w:val="1"/>
      <w:numFmt w:val="decimal"/>
      <w:pStyle w:val="8"/>
      <w:lvlText w:val="%1."/>
      <w:lvlJc w:val="left"/>
      <w:pPr>
        <w:tabs>
          <w:tab w:val="left" w:pos="360"/>
        </w:tabs>
        <w:ind w:left="360" w:hanging="36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CF2"/>
    <w:rsid w:val="00172A27"/>
    <w:rsid w:val="001A618F"/>
    <w:rsid w:val="001C1645"/>
    <w:rsid w:val="00207E08"/>
    <w:rsid w:val="0022248F"/>
    <w:rsid w:val="00244628"/>
    <w:rsid w:val="00271B65"/>
    <w:rsid w:val="003014D9"/>
    <w:rsid w:val="00354F7E"/>
    <w:rsid w:val="0035751B"/>
    <w:rsid w:val="00462CB9"/>
    <w:rsid w:val="00474A9A"/>
    <w:rsid w:val="00490537"/>
    <w:rsid w:val="004C1F36"/>
    <w:rsid w:val="00597271"/>
    <w:rsid w:val="005E3896"/>
    <w:rsid w:val="006C00AB"/>
    <w:rsid w:val="006F6602"/>
    <w:rsid w:val="00767B6C"/>
    <w:rsid w:val="0079577F"/>
    <w:rsid w:val="007B7144"/>
    <w:rsid w:val="00841F73"/>
    <w:rsid w:val="0092474C"/>
    <w:rsid w:val="00A119CC"/>
    <w:rsid w:val="00A41F45"/>
    <w:rsid w:val="00B272B5"/>
    <w:rsid w:val="00B84431"/>
    <w:rsid w:val="00BD3182"/>
    <w:rsid w:val="00BE6247"/>
    <w:rsid w:val="00CE6E91"/>
    <w:rsid w:val="00D2412D"/>
    <w:rsid w:val="00D5684F"/>
    <w:rsid w:val="00E32F92"/>
    <w:rsid w:val="00E43C7F"/>
    <w:rsid w:val="00E817B2"/>
    <w:rsid w:val="00E85685"/>
    <w:rsid w:val="00EA5B3A"/>
    <w:rsid w:val="00F973AC"/>
    <w:rsid w:val="011C0FCE"/>
    <w:rsid w:val="013F7A9A"/>
    <w:rsid w:val="01471D38"/>
    <w:rsid w:val="015F4157"/>
    <w:rsid w:val="01BB02F5"/>
    <w:rsid w:val="01BF242C"/>
    <w:rsid w:val="02004386"/>
    <w:rsid w:val="023470AD"/>
    <w:rsid w:val="02A17CEC"/>
    <w:rsid w:val="02A52860"/>
    <w:rsid w:val="02AE53DD"/>
    <w:rsid w:val="02B56E5E"/>
    <w:rsid w:val="02BC38AC"/>
    <w:rsid w:val="02C01B40"/>
    <w:rsid w:val="02F1316F"/>
    <w:rsid w:val="030F1027"/>
    <w:rsid w:val="033A6E84"/>
    <w:rsid w:val="03552D44"/>
    <w:rsid w:val="03647A00"/>
    <w:rsid w:val="03A01133"/>
    <w:rsid w:val="03AD0F8A"/>
    <w:rsid w:val="03C83951"/>
    <w:rsid w:val="03C8480A"/>
    <w:rsid w:val="040A28CA"/>
    <w:rsid w:val="043E5704"/>
    <w:rsid w:val="0442152C"/>
    <w:rsid w:val="04BD7ED9"/>
    <w:rsid w:val="04BE082B"/>
    <w:rsid w:val="04C04D1B"/>
    <w:rsid w:val="05014ED0"/>
    <w:rsid w:val="05115096"/>
    <w:rsid w:val="053F54B2"/>
    <w:rsid w:val="05537EA4"/>
    <w:rsid w:val="05815B3B"/>
    <w:rsid w:val="059525CB"/>
    <w:rsid w:val="05B80381"/>
    <w:rsid w:val="05D11D3B"/>
    <w:rsid w:val="05DE6E59"/>
    <w:rsid w:val="05FD3A14"/>
    <w:rsid w:val="066E5A39"/>
    <w:rsid w:val="067679B4"/>
    <w:rsid w:val="067F7DA9"/>
    <w:rsid w:val="06965640"/>
    <w:rsid w:val="07314B6D"/>
    <w:rsid w:val="073A7F23"/>
    <w:rsid w:val="07401F1E"/>
    <w:rsid w:val="077B2D14"/>
    <w:rsid w:val="07974948"/>
    <w:rsid w:val="079E26D5"/>
    <w:rsid w:val="07D04D4A"/>
    <w:rsid w:val="07D9676E"/>
    <w:rsid w:val="07DD37A9"/>
    <w:rsid w:val="07DF3F1F"/>
    <w:rsid w:val="07F8100C"/>
    <w:rsid w:val="082B7DE0"/>
    <w:rsid w:val="083F72C6"/>
    <w:rsid w:val="084231D8"/>
    <w:rsid w:val="084D6BED"/>
    <w:rsid w:val="08912B54"/>
    <w:rsid w:val="08A03B99"/>
    <w:rsid w:val="08B834DA"/>
    <w:rsid w:val="08BE6D4A"/>
    <w:rsid w:val="091F7C62"/>
    <w:rsid w:val="09220567"/>
    <w:rsid w:val="094E4545"/>
    <w:rsid w:val="09620D0A"/>
    <w:rsid w:val="09792022"/>
    <w:rsid w:val="0991517E"/>
    <w:rsid w:val="099D7843"/>
    <w:rsid w:val="09C371F1"/>
    <w:rsid w:val="09C54008"/>
    <w:rsid w:val="09CF43D0"/>
    <w:rsid w:val="09E171F5"/>
    <w:rsid w:val="09EE3F85"/>
    <w:rsid w:val="0A0008DD"/>
    <w:rsid w:val="0A1A2B32"/>
    <w:rsid w:val="0A3E42DE"/>
    <w:rsid w:val="0A4D247E"/>
    <w:rsid w:val="0A5B0B16"/>
    <w:rsid w:val="0A5E52D1"/>
    <w:rsid w:val="0A76270F"/>
    <w:rsid w:val="0A7D602C"/>
    <w:rsid w:val="0AB73860"/>
    <w:rsid w:val="0ADE786F"/>
    <w:rsid w:val="0AEC637B"/>
    <w:rsid w:val="0AF82B2B"/>
    <w:rsid w:val="0AF93EA8"/>
    <w:rsid w:val="0B04175C"/>
    <w:rsid w:val="0B0763F2"/>
    <w:rsid w:val="0BA42878"/>
    <w:rsid w:val="0BAD7C75"/>
    <w:rsid w:val="0BAF118F"/>
    <w:rsid w:val="0BBA70FE"/>
    <w:rsid w:val="0BCF0CF4"/>
    <w:rsid w:val="0BDC7A9D"/>
    <w:rsid w:val="0BDC7CD2"/>
    <w:rsid w:val="0BF701AF"/>
    <w:rsid w:val="0C0458BD"/>
    <w:rsid w:val="0C1F1633"/>
    <w:rsid w:val="0C212B65"/>
    <w:rsid w:val="0C3043DF"/>
    <w:rsid w:val="0C653F97"/>
    <w:rsid w:val="0C6F560E"/>
    <w:rsid w:val="0C977FE0"/>
    <w:rsid w:val="0CB2510A"/>
    <w:rsid w:val="0CB74088"/>
    <w:rsid w:val="0CD3709A"/>
    <w:rsid w:val="0CD943C9"/>
    <w:rsid w:val="0CE323CD"/>
    <w:rsid w:val="0CE57854"/>
    <w:rsid w:val="0CF25E70"/>
    <w:rsid w:val="0CFD1A9C"/>
    <w:rsid w:val="0D1E4CDF"/>
    <w:rsid w:val="0D3231DE"/>
    <w:rsid w:val="0D5E1861"/>
    <w:rsid w:val="0D7571C4"/>
    <w:rsid w:val="0D7B77ED"/>
    <w:rsid w:val="0DE44690"/>
    <w:rsid w:val="0E09580D"/>
    <w:rsid w:val="0E2E31A2"/>
    <w:rsid w:val="0E427C16"/>
    <w:rsid w:val="0E6963BE"/>
    <w:rsid w:val="0E6D29E9"/>
    <w:rsid w:val="0E7162DC"/>
    <w:rsid w:val="0E762B50"/>
    <w:rsid w:val="0E877938"/>
    <w:rsid w:val="0E9B5986"/>
    <w:rsid w:val="0EA54CB9"/>
    <w:rsid w:val="0EAB747C"/>
    <w:rsid w:val="0EAC5195"/>
    <w:rsid w:val="0EB10FE8"/>
    <w:rsid w:val="0EC845EC"/>
    <w:rsid w:val="0ED56CA7"/>
    <w:rsid w:val="0ED61A7C"/>
    <w:rsid w:val="0EF40BA8"/>
    <w:rsid w:val="0F0F1D13"/>
    <w:rsid w:val="0F1B2A35"/>
    <w:rsid w:val="0F3E30EF"/>
    <w:rsid w:val="0F3E3894"/>
    <w:rsid w:val="0F743AB6"/>
    <w:rsid w:val="0F772D3A"/>
    <w:rsid w:val="0FA9013C"/>
    <w:rsid w:val="0FD531C9"/>
    <w:rsid w:val="101013D7"/>
    <w:rsid w:val="101D373A"/>
    <w:rsid w:val="103F280D"/>
    <w:rsid w:val="104A4C90"/>
    <w:rsid w:val="10743EFD"/>
    <w:rsid w:val="108117C4"/>
    <w:rsid w:val="10947ED1"/>
    <w:rsid w:val="10955703"/>
    <w:rsid w:val="10A0792F"/>
    <w:rsid w:val="10A92FB3"/>
    <w:rsid w:val="10CC6831"/>
    <w:rsid w:val="10D025D3"/>
    <w:rsid w:val="111650A6"/>
    <w:rsid w:val="111E2F24"/>
    <w:rsid w:val="115C619D"/>
    <w:rsid w:val="11623CF4"/>
    <w:rsid w:val="11677165"/>
    <w:rsid w:val="1197666D"/>
    <w:rsid w:val="119C5C2D"/>
    <w:rsid w:val="119E65D5"/>
    <w:rsid w:val="11BF1A4A"/>
    <w:rsid w:val="11D3749B"/>
    <w:rsid w:val="11D6701C"/>
    <w:rsid w:val="1216458C"/>
    <w:rsid w:val="1229691F"/>
    <w:rsid w:val="122A681A"/>
    <w:rsid w:val="12335A2C"/>
    <w:rsid w:val="123805E5"/>
    <w:rsid w:val="123D336F"/>
    <w:rsid w:val="125A0347"/>
    <w:rsid w:val="127526FE"/>
    <w:rsid w:val="128A0B71"/>
    <w:rsid w:val="12973F68"/>
    <w:rsid w:val="12BA2E82"/>
    <w:rsid w:val="12D269DA"/>
    <w:rsid w:val="12E93E30"/>
    <w:rsid w:val="12F803F0"/>
    <w:rsid w:val="131470E0"/>
    <w:rsid w:val="131B52ED"/>
    <w:rsid w:val="133D0176"/>
    <w:rsid w:val="13AC4DD0"/>
    <w:rsid w:val="13EE067F"/>
    <w:rsid w:val="14096262"/>
    <w:rsid w:val="142E763D"/>
    <w:rsid w:val="14475D3F"/>
    <w:rsid w:val="146F0DBA"/>
    <w:rsid w:val="146F7B5F"/>
    <w:rsid w:val="1474061D"/>
    <w:rsid w:val="14845781"/>
    <w:rsid w:val="14855575"/>
    <w:rsid w:val="14932558"/>
    <w:rsid w:val="14B3735F"/>
    <w:rsid w:val="14C253C8"/>
    <w:rsid w:val="14D80545"/>
    <w:rsid w:val="15145D96"/>
    <w:rsid w:val="15213FD2"/>
    <w:rsid w:val="15320486"/>
    <w:rsid w:val="15396C0C"/>
    <w:rsid w:val="15773652"/>
    <w:rsid w:val="15B91E4A"/>
    <w:rsid w:val="15BB2B3F"/>
    <w:rsid w:val="15C2168D"/>
    <w:rsid w:val="15EE5C8E"/>
    <w:rsid w:val="161F20B4"/>
    <w:rsid w:val="16264960"/>
    <w:rsid w:val="162B23D5"/>
    <w:rsid w:val="16391D47"/>
    <w:rsid w:val="163A5B1C"/>
    <w:rsid w:val="16427C39"/>
    <w:rsid w:val="1660353B"/>
    <w:rsid w:val="1662566B"/>
    <w:rsid w:val="166A62F4"/>
    <w:rsid w:val="166C595E"/>
    <w:rsid w:val="16894C16"/>
    <w:rsid w:val="16A54064"/>
    <w:rsid w:val="16C81DED"/>
    <w:rsid w:val="16CE51DB"/>
    <w:rsid w:val="16DB1BDD"/>
    <w:rsid w:val="170A5756"/>
    <w:rsid w:val="17124715"/>
    <w:rsid w:val="17190E90"/>
    <w:rsid w:val="173A1B67"/>
    <w:rsid w:val="174A4567"/>
    <w:rsid w:val="17500CA7"/>
    <w:rsid w:val="17553DA3"/>
    <w:rsid w:val="177B31BF"/>
    <w:rsid w:val="177C1FF2"/>
    <w:rsid w:val="177F3475"/>
    <w:rsid w:val="178F4D62"/>
    <w:rsid w:val="179012B0"/>
    <w:rsid w:val="17A7160B"/>
    <w:rsid w:val="17AF2E40"/>
    <w:rsid w:val="17B82678"/>
    <w:rsid w:val="17BA0183"/>
    <w:rsid w:val="17CF039F"/>
    <w:rsid w:val="17D115E5"/>
    <w:rsid w:val="17F55CB0"/>
    <w:rsid w:val="181903B6"/>
    <w:rsid w:val="184B38A7"/>
    <w:rsid w:val="185B3AB1"/>
    <w:rsid w:val="188E63CE"/>
    <w:rsid w:val="18AE3A76"/>
    <w:rsid w:val="18CB2559"/>
    <w:rsid w:val="18D80681"/>
    <w:rsid w:val="18EE3C69"/>
    <w:rsid w:val="197D12E3"/>
    <w:rsid w:val="198E36F1"/>
    <w:rsid w:val="1997627B"/>
    <w:rsid w:val="19DC4077"/>
    <w:rsid w:val="1A284083"/>
    <w:rsid w:val="1A537FD5"/>
    <w:rsid w:val="1A6354DA"/>
    <w:rsid w:val="1AA668A2"/>
    <w:rsid w:val="1AAE6D3E"/>
    <w:rsid w:val="1AB13E03"/>
    <w:rsid w:val="1AD27EA0"/>
    <w:rsid w:val="1AFF0AA9"/>
    <w:rsid w:val="1B194454"/>
    <w:rsid w:val="1B1E4AA9"/>
    <w:rsid w:val="1B290BA6"/>
    <w:rsid w:val="1B296EB2"/>
    <w:rsid w:val="1B4809E7"/>
    <w:rsid w:val="1B9A19E5"/>
    <w:rsid w:val="1B9A2CC0"/>
    <w:rsid w:val="1BA57649"/>
    <w:rsid w:val="1BAB36A3"/>
    <w:rsid w:val="1BD60164"/>
    <w:rsid w:val="1BF67D91"/>
    <w:rsid w:val="1C0F7464"/>
    <w:rsid w:val="1C504773"/>
    <w:rsid w:val="1C573EEC"/>
    <w:rsid w:val="1C6C6D9D"/>
    <w:rsid w:val="1C9D2BCC"/>
    <w:rsid w:val="1CA46445"/>
    <w:rsid w:val="1CCE0F8C"/>
    <w:rsid w:val="1D187D34"/>
    <w:rsid w:val="1D1D6C3B"/>
    <w:rsid w:val="1D4E3264"/>
    <w:rsid w:val="1D522132"/>
    <w:rsid w:val="1D69638D"/>
    <w:rsid w:val="1DB05012"/>
    <w:rsid w:val="1E663F0A"/>
    <w:rsid w:val="1E7A6DDC"/>
    <w:rsid w:val="1E93451F"/>
    <w:rsid w:val="1EC467DF"/>
    <w:rsid w:val="1ED22DC2"/>
    <w:rsid w:val="1EE7350E"/>
    <w:rsid w:val="1EED4052"/>
    <w:rsid w:val="1F0719A6"/>
    <w:rsid w:val="1F143917"/>
    <w:rsid w:val="1F1E3599"/>
    <w:rsid w:val="1F23184E"/>
    <w:rsid w:val="1F2C2674"/>
    <w:rsid w:val="1F4E4C02"/>
    <w:rsid w:val="1F62337A"/>
    <w:rsid w:val="1F781638"/>
    <w:rsid w:val="1F7F28C9"/>
    <w:rsid w:val="1FB503C3"/>
    <w:rsid w:val="1FBE5216"/>
    <w:rsid w:val="1FEA71C3"/>
    <w:rsid w:val="1FEE4B09"/>
    <w:rsid w:val="1FF71467"/>
    <w:rsid w:val="200C4971"/>
    <w:rsid w:val="2076489C"/>
    <w:rsid w:val="2076567D"/>
    <w:rsid w:val="208C5C91"/>
    <w:rsid w:val="20963374"/>
    <w:rsid w:val="20F47E2E"/>
    <w:rsid w:val="210F19D4"/>
    <w:rsid w:val="21576D8A"/>
    <w:rsid w:val="215E21DD"/>
    <w:rsid w:val="21627573"/>
    <w:rsid w:val="216A61E3"/>
    <w:rsid w:val="21887610"/>
    <w:rsid w:val="218A78E8"/>
    <w:rsid w:val="219447C1"/>
    <w:rsid w:val="219C0EC7"/>
    <w:rsid w:val="21C3430A"/>
    <w:rsid w:val="21E72CBC"/>
    <w:rsid w:val="21EC3DE6"/>
    <w:rsid w:val="21FF5FF0"/>
    <w:rsid w:val="22067AAA"/>
    <w:rsid w:val="22350ECC"/>
    <w:rsid w:val="22351663"/>
    <w:rsid w:val="22387ADE"/>
    <w:rsid w:val="223C5A31"/>
    <w:rsid w:val="22581EF9"/>
    <w:rsid w:val="22623212"/>
    <w:rsid w:val="22B300E0"/>
    <w:rsid w:val="22B56134"/>
    <w:rsid w:val="22BD058C"/>
    <w:rsid w:val="22C9095B"/>
    <w:rsid w:val="23085032"/>
    <w:rsid w:val="2316080A"/>
    <w:rsid w:val="231F35FA"/>
    <w:rsid w:val="232B5C16"/>
    <w:rsid w:val="23574F07"/>
    <w:rsid w:val="235C319E"/>
    <w:rsid w:val="2374673A"/>
    <w:rsid w:val="237D7C8F"/>
    <w:rsid w:val="23840B1F"/>
    <w:rsid w:val="23876262"/>
    <w:rsid w:val="239201B0"/>
    <w:rsid w:val="23D54F6D"/>
    <w:rsid w:val="23D94121"/>
    <w:rsid w:val="23E837B3"/>
    <w:rsid w:val="241B5C9A"/>
    <w:rsid w:val="24216AB8"/>
    <w:rsid w:val="2442450E"/>
    <w:rsid w:val="24474642"/>
    <w:rsid w:val="24640BD5"/>
    <w:rsid w:val="248037B9"/>
    <w:rsid w:val="2480418C"/>
    <w:rsid w:val="24A44928"/>
    <w:rsid w:val="24A83B12"/>
    <w:rsid w:val="24ED690D"/>
    <w:rsid w:val="24F948F4"/>
    <w:rsid w:val="24FC02AA"/>
    <w:rsid w:val="251565D0"/>
    <w:rsid w:val="25200359"/>
    <w:rsid w:val="254A5562"/>
    <w:rsid w:val="25537EEA"/>
    <w:rsid w:val="25AE6D2A"/>
    <w:rsid w:val="25C34553"/>
    <w:rsid w:val="264B4793"/>
    <w:rsid w:val="26506F48"/>
    <w:rsid w:val="26514CE7"/>
    <w:rsid w:val="26530D06"/>
    <w:rsid w:val="265A79E9"/>
    <w:rsid w:val="265F7AAB"/>
    <w:rsid w:val="269F740E"/>
    <w:rsid w:val="26BF6F74"/>
    <w:rsid w:val="26C219F4"/>
    <w:rsid w:val="26DD0E98"/>
    <w:rsid w:val="26F66B8F"/>
    <w:rsid w:val="270C43BA"/>
    <w:rsid w:val="270F27DF"/>
    <w:rsid w:val="2710263F"/>
    <w:rsid w:val="272C5686"/>
    <w:rsid w:val="275C00BE"/>
    <w:rsid w:val="2789529B"/>
    <w:rsid w:val="27901D07"/>
    <w:rsid w:val="27D07545"/>
    <w:rsid w:val="27F73B25"/>
    <w:rsid w:val="27FA7372"/>
    <w:rsid w:val="27FB5E30"/>
    <w:rsid w:val="2802317E"/>
    <w:rsid w:val="2810362C"/>
    <w:rsid w:val="281955D0"/>
    <w:rsid w:val="281C6261"/>
    <w:rsid w:val="284D2ACF"/>
    <w:rsid w:val="2890601F"/>
    <w:rsid w:val="28BF616B"/>
    <w:rsid w:val="28EC75BB"/>
    <w:rsid w:val="28F37EE3"/>
    <w:rsid w:val="29164E1B"/>
    <w:rsid w:val="29893E87"/>
    <w:rsid w:val="29942E6C"/>
    <w:rsid w:val="29CD5424"/>
    <w:rsid w:val="2A343A31"/>
    <w:rsid w:val="2A537493"/>
    <w:rsid w:val="2A56247D"/>
    <w:rsid w:val="2A63310A"/>
    <w:rsid w:val="2A703673"/>
    <w:rsid w:val="2ACF3D15"/>
    <w:rsid w:val="2B0F1E7C"/>
    <w:rsid w:val="2B1A00B0"/>
    <w:rsid w:val="2B1E758C"/>
    <w:rsid w:val="2B2A5638"/>
    <w:rsid w:val="2B400E24"/>
    <w:rsid w:val="2B431ED9"/>
    <w:rsid w:val="2B4D23FC"/>
    <w:rsid w:val="2B753413"/>
    <w:rsid w:val="2BD309F5"/>
    <w:rsid w:val="2BE759D6"/>
    <w:rsid w:val="2C452DCE"/>
    <w:rsid w:val="2C793A61"/>
    <w:rsid w:val="2C803C3A"/>
    <w:rsid w:val="2C827CC7"/>
    <w:rsid w:val="2C8E3906"/>
    <w:rsid w:val="2C8E5062"/>
    <w:rsid w:val="2C900EAB"/>
    <w:rsid w:val="2C9D4072"/>
    <w:rsid w:val="2CA8729C"/>
    <w:rsid w:val="2CA931E2"/>
    <w:rsid w:val="2CCE4AFC"/>
    <w:rsid w:val="2CEC12D8"/>
    <w:rsid w:val="2CF131AE"/>
    <w:rsid w:val="2D217A58"/>
    <w:rsid w:val="2D4D5E4B"/>
    <w:rsid w:val="2D5E4140"/>
    <w:rsid w:val="2D743356"/>
    <w:rsid w:val="2D7A5A1C"/>
    <w:rsid w:val="2D8B22F8"/>
    <w:rsid w:val="2E06194A"/>
    <w:rsid w:val="2E2669F0"/>
    <w:rsid w:val="2E284850"/>
    <w:rsid w:val="2E5C7686"/>
    <w:rsid w:val="2E5E6122"/>
    <w:rsid w:val="2E772676"/>
    <w:rsid w:val="2E7C14A7"/>
    <w:rsid w:val="2E7C2C51"/>
    <w:rsid w:val="2E811957"/>
    <w:rsid w:val="2EBA608A"/>
    <w:rsid w:val="2EC27C18"/>
    <w:rsid w:val="2ECB41A7"/>
    <w:rsid w:val="2EF25639"/>
    <w:rsid w:val="2F1E3A54"/>
    <w:rsid w:val="2F257011"/>
    <w:rsid w:val="2F2B5904"/>
    <w:rsid w:val="2F346549"/>
    <w:rsid w:val="2F450FA6"/>
    <w:rsid w:val="2F8422F9"/>
    <w:rsid w:val="2FA60B3A"/>
    <w:rsid w:val="2FB07ECA"/>
    <w:rsid w:val="2FC26E56"/>
    <w:rsid w:val="2FCB23D2"/>
    <w:rsid w:val="2FD27276"/>
    <w:rsid w:val="2FD77111"/>
    <w:rsid w:val="300B4907"/>
    <w:rsid w:val="300B4F7C"/>
    <w:rsid w:val="3030416C"/>
    <w:rsid w:val="30304400"/>
    <w:rsid w:val="303975D9"/>
    <w:rsid w:val="30567EFD"/>
    <w:rsid w:val="30780A2E"/>
    <w:rsid w:val="307D6BB9"/>
    <w:rsid w:val="3091265E"/>
    <w:rsid w:val="30922E9C"/>
    <w:rsid w:val="30A74339"/>
    <w:rsid w:val="30CF00E0"/>
    <w:rsid w:val="30DE3A70"/>
    <w:rsid w:val="30FC26D7"/>
    <w:rsid w:val="31080CEE"/>
    <w:rsid w:val="31231F6E"/>
    <w:rsid w:val="31315BD3"/>
    <w:rsid w:val="31413E0A"/>
    <w:rsid w:val="315E6E01"/>
    <w:rsid w:val="31633A73"/>
    <w:rsid w:val="318773AA"/>
    <w:rsid w:val="31A27640"/>
    <w:rsid w:val="31BA4A62"/>
    <w:rsid w:val="31BE200D"/>
    <w:rsid w:val="31CA0AD5"/>
    <w:rsid w:val="31D2603C"/>
    <w:rsid w:val="31DC7FA6"/>
    <w:rsid w:val="31F65EA7"/>
    <w:rsid w:val="31FA176C"/>
    <w:rsid w:val="320B2D1E"/>
    <w:rsid w:val="321503A7"/>
    <w:rsid w:val="32277B4F"/>
    <w:rsid w:val="322F522A"/>
    <w:rsid w:val="324F5859"/>
    <w:rsid w:val="3268618D"/>
    <w:rsid w:val="32707E4C"/>
    <w:rsid w:val="330C1FE8"/>
    <w:rsid w:val="330D12C1"/>
    <w:rsid w:val="336B4F27"/>
    <w:rsid w:val="33784B43"/>
    <w:rsid w:val="33A636E6"/>
    <w:rsid w:val="33B00289"/>
    <w:rsid w:val="33BA318F"/>
    <w:rsid w:val="33C13983"/>
    <w:rsid w:val="33D97D91"/>
    <w:rsid w:val="33DE10D0"/>
    <w:rsid w:val="33F83B21"/>
    <w:rsid w:val="34633300"/>
    <w:rsid w:val="349D3C7D"/>
    <w:rsid w:val="34DE219F"/>
    <w:rsid w:val="35162AED"/>
    <w:rsid w:val="351A17CA"/>
    <w:rsid w:val="353415C2"/>
    <w:rsid w:val="353767AB"/>
    <w:rsid w:val="353B1746"/>
    <w:rsid w:val="355E3512"/>
    <w:rsid w:val="35744C95"/>
    <w:rsid w:val="359B0BF8"/>
    <w:rsid w:val="35DF3C3F"/>
    <w:rsid w:val="3612195F"/>
    <w:rsid w:val="36284537"/>
    <w:rsid w:val="36791E8F"/>
    <w:rsid w:val="36C70D2F"/>
    <w:rsid w:val="37036ABC"/>
    <w:rsid w:val="37181EFE"/>
    <w:rsid w:val="373D5825"/>
    <w:rsid w:val="37435F8B"/>
    <w:rsid w:val="374C665D"/>
    <w:rsid w:val="37846AB0"/>
    <w:rsid w:val="378A42FA"/>
    <w:rsid w:val="387A05F5"/>
    <w:rsid w:val="387E1D24"/>
    <w:rsid w:val="388242A7"/>
    <w:rsid w:val="391A3AA1"/>
    <w:rsid w:val="392F7313"/>
    <w:rsid w:val="39417E8C"/>
    <w:rsid w:val="394D4DCE"/>
    <w:rsid w:val="395136A1"/>
    <w:rsid w:val="398942FD"/>
    <w:rsid w:val="398C0BE0"/>
    <w:rsid w:val="3A0644A9"/>
    <w:rsid w:val="3A3264E5"/>
    <w:rsid w:val="3A4842BD"/>
    <w:rsid w:val="3A5D059C"/>
    <w:rsid w:val="3A8E370F"/>
    <w:rsid w:val="3AB711F4"/>
    <w:rsid w:val="3AE34622"/>
    <w:rsid w:val="3B3D6169"/>
    <w:rsid w:val="3B5934DB"/>
    <w:rsid w:val="3B5F5DB0"/>
    <w:rsid w:val="3B6F7719"/>
    <w:rsid w:val="3B814509"/>
    <w:rsid w:val="3BB427CE"/>
    <w:rsid w:val="3BF811E0"/>
    <w:rsid w:val="3C0360E3"/>
    <w:rsid w:val="3C183A75"/>
    <w:rsid w:val="3C492795"/>
    <w:rsid w:val="3C8E4933"/>
    <w:rsid w:val="3CA223F1"/>
    <w:rsid w:val="3CCD1FB7"/>
    <w:rsid w:val="3D0D0ACE"/>
    <w:rsid w:val="3D557F0A"/>
    <w:rsid w:val="3D6B7833"/>
    <w:rsid w:val="3D7C23CF"/>
    <w:rsid w:val="3DAA103D"/>
    <w:rsid w:val="3DAA70EB"/>
    <w:rsid w:val="3DAB5443"/>
    <w:rsid w:val="3DC61BF1"/>
    <w:rsid w:val="3DF424D0"/>
    <w:rsid w:val="3DFA0C04"/>
    <w:rsid w:val="3E0421F4"/>
    <w:rsid w:val="3E075276"/>
    <w:rsid w:val="3E114E7D"/>
    <w:rsid w:val="3E151A9B"/>
    <w:rsid w:val="3E167F84"/>
    <w:rsid w:val="3E3128AF"/>
    <w:rsid w:val="3E397D7D"/>
    <w:rsid w:val="3E4D0865"/>
    <w:rsid w:val="3E641FB3"/>
    <w:rsid w:val="3E6B74FE"/>
    <w:rsid w:val="3E714820"/>
    <w:rsid w:val="3E931AB8"/>
    <w:rsid w:val="3EAA2B72"/>
    <w:rsid w:val="3EEA3FA1"/>
    <w:rsid w:val="3F3426AC"/>
    <w:rsid w:val="3F3B55B2"/>
    <w:rsid w:val="3F5515DD"/>
    <w:rsid w:val="3F5A6A3D"/>
    <w:rsid w:val="3F5C2914"/>
    <w:rsid w:val="3FA762BB"/>
    <w:rsid w:val="3FBD620A"/>
    <w:rsid w:val="3FC4198D"/>
    <w:rsid w:val="3FDB0015"/>
    <w:rsid w:val="3FE00C4C"/>
    <w:rsid w:val="3FE84D92"/>
    <w:rsid w:val="40344EE4"/>
    <w:rsid w:val="4047633A"/>
    <w:rsid w:val="405D5B36"/>
    <w:rsid w:val="406C6EB8"/>
    <w:rsid w:val="40970C02"/>
    <w:rsid w:val="40996717"/>
    <w:rsid w:val="40B04488"/>
    <w:rsid w:val="40B50A1E"/>
    <w:rsid w:val="40C75527"/>
    <w:rsid w:val="40E1716A"/>
    <w:rsid w:val="41000B10"/>
    <w:rsid w:val="413E0B61"/>
    <w:rsid w:val="413E59E7"/>
    <w:rsid w:val="414F2FFF"/>
    <w:rsid w:val="41553B38"/>
    <w:rsid w:val="41707752"/>
    <w:rsid w:val="4177133B"/>
    <w:rsid w:val="41850EED"/>
    <w:rsid w:val="419C204A"/>
    <w:rsid w:val="419E702D"/>
    <w:rsid w:val="41C33523"/>
    <w:rsid w:val="41C57B6C"/>
    <w:rsid w:val="41E57ED9"/>
    <w:rsid w:val="42273ECD"/>
    <w:rsid w:val="42492C7C"/>
    <w:rsid w:val="426777C9"/>
    <w:rsid w:val="42713E0A"/>
    <w:rsid w:val="4278520C"/>
    <w:rsid w:val="42B50D0B"/>
    <w:rsid w:val="42DF2653"/>
    <w:rsid w:val="42F378B8"/>
    <w:rsid w:val="430D7C51"/>
    <w:rsid w:val="43667708"/>
    <w:rsid w:val="437B1DED"/>
    <w:rsid w:val="43814E38"/>
    <w:rsid w:val="43836B60"/>
    <w:rsid w:val="438A21E0"/>
    <w:rsid w:val="439F2CE8"/>
    <w:rsid w:val="44204BF9"/>
    <w:rsid w:val="445F42E5"/>
    <w:rsid w:val="446B54DF"/>
    <w:rsid w:val="449461AC"/>
    <w:rsid w:val="44C5273C"/>
    <w:rsid w:val="44CF277D"/>
    <w:rsid w:val="44D1235B"/>
    <w:rsid w:val="44DD1394"/>
    <w:rsid w:val="44DD7DEA"/>
    <w:rsid w:val="44F25CB2"/>
    <w:rsid w:val="44F83CE8"/>
    <w:rsid w:val="451959FC"/>
    <w:rsid w:val="453251D7"/>
    <w:rsid w:val="455A790C"/>
    <w:rsid w:val="456D33ED"/>
    <w:rsid w:val="45736A5E"/>
    <w:rsid w:val="458250A7"/>
    <w:rsid w:val="459B4A4D"/>
    <w:rsid w:val="45D234C4"/>
    <w:rsid w:val="46021CB5"/>
    <w:rsid w:val="460832B8"/>
    <w:rsid w:val="46136282"/>
    <w:rsid w:val="461541C3"/>
    <w:rsid w:val="468273B8"/>
    <w:rsid w:val="468758C5"/>
    <w:rsid w:val="468765E8"/>
    <w:rsid w:val="46B42C41"/>
    <w:rsid w:val="46E01ED2"/>
    <w:rsid w:val="470A1922"/>
    <w:rsid w:val="470C75ED"/>
    <w:rsid w:val="47253838"/>
    <w:rsid w:val="47267527"/>
    <w:rsid w:val="473625DB"/>
    <w:rsid w:val="47813D8B"/>
    <w:rsid w:val="47B16D6B"/>
    <w:rsid w:val="47B87B13"/>
    <w:rsid w:val="47DB09A0"/>
    <w:rsid w:val="47E12D43"/>
    <w:rsid w:val="4801253F"/>
    <w:rsid w:val="48025F92"/>
    <w:rsid w:val="4805706B"/>
    <w:rsid w:val="486008FA"/>
    <w:rsid w:val="486F5B50"/>
    <w:rsid w:val="48B33B44"/>
    <w:rsid w:val="48F464B6"/>
    <w:rsid w:val="49277483"/>
    <w:rsid w:val="49295EE1"/>
    <w:rsid w:val="49394D6C"/>
    <w:rsid w:val="49480616"/>
    <w:rsid w:val="494A6320"/>
    <w:rsid w:val="49542C3E"/>
    <w:rsid w:val="4954505A"/>
    <w:rsid w:val="49666617"/>
    <w:rsid w:val="49737B8A"/>
    <w:rsid w:val="49C7241C"/>
    <w:rsid w:val="49E81F12"/>
    <w:rsid w:val="4A064B68"/>
    <w:rsid w:val="4A63389C"/>
    <w:rsid w:val="4AA73929"/>
    <w:rsid w:val="4AC227CE"/>
    <w:rsid w:val="4AF30AED"/>
    <w:rsid w:val="4AF33F75"/>
    <w:rsid w:val="4AFE0FF2"/>
    <w:rsid w:val="4B10010E"/>
    <w:rsid w:val="4B1B3987"/>
    <w:rsid w:val="4B225123"/>
    <w:rsid w:val="4B23373E"/>
    <w:rsid w:val="4B2D496F"/>
    <w:rsid w:val="4B367052"/>
    <w:rsid w:val="4B4677BC"/>
    <w:rsid w:val="4B4B10ED"/>
    <w:rsid w:val="4B681AEE"/>
    <w:rsid w:val="4B7A31EB"/>
    <w:rsid w:val="4B81172D"/>
    <w:rsid w:val="4B892855"/>
    <w:rsid w:val="4BD7364F"/>
    <w:rsid w:val="4C1357DD"/>
    <w:rsid w:val="4C3828C2"/>
    <w:rsid w:val="4C4634EC"/>
    <w:rsid w:val="4C7630FB"/>
    <w:rsid w:val="4CA67746"/>
    <w:rsid w:val="4CBD128B"/>
    <w:rsid w:val="4CC62AE7"/>
    <w:rsid w:val="4CE40EA1"/>
    <w:rsid w:val="4CF57976"/>
    <w:rsid w:val="4CF82A8C"/>
    <w:rsid w:val="4D064BD4"/>
    <w:rsid w:val="4D317A31"/>
    <w:rsid w:val="4D36715D"/>
    <w:rsid w:val="4D546C18"/>
    <w:rsid w:val="4D7822B4"/>
    <w:rsid w:val="4D7E0F0C"/>
    <w:rsid w:val="4D7E698B"/>
    <w:rsid w:val="4D880FF4"/>
    <w:rsid w:val="4D97157A"/>
    <w:rsid w:val="4DAE72FA"/>
    <w:rsid w:val="4DB5155C"/>
    <w:rsid w:val="4DD041DA"/>
    <w:rsid w:val="4DEB1D6F"/>
    <w:rsid w:val="4DF00DB7"/>
    <w:rsid w:val="4E0A396E"/>
    <w:rsid w:val="4E100342"/>
    <w:rsid w:val="4E3B316F"/>
    <w:rsid w:val="4E466ABB"/>
    <w:rsid w:val="4E5379D2"/>
    <w:rsid w:val="4E5A4A73"/>
    <w:rsid w:val="4E5C5308"/>
    <w:rsid w:val="4E61062D"/>
    <w:rsid w:val="4E6B4937"/>
    <w:rsid w:val="4E8279E5"/>
    <w:rsid w:val="4E991B1E"/>
    <w:rsid w:val="4E9E039E"/>
    <w:rsid w:val="4EAD60B7"/>
    <w:rsid w:val="4EC30592"/>
    <w:rsid w:val="4F070D7A"/>
    <w:rsid w:val="4F331CA6"/>
    <w:rsid w:val="4F5E63C4"/>
    <w:rsid w:val="4F6F4045"/>
    <w:rsid w:val="4F883CF6"/>
    <w:rsid w:val="4F8D0335"/>
    <w:rsid w:val="4F954052"/>
    <w:rsid w:val="4FB173A2"/>
    <w:rsid w:val="4FBF02C3"/>
    <w:rsid w:val="4FCC5648"/>
    <w:rsid w:val="4FCF3EA0"/>
    <w:rsid w:val="4FE35CBA"/>
    <w:rsid w:val="4FEF3FE4"/>
    <w:rsid w:val="4FF1216D"/>
    <w:rsid w:val="502B132D"/>
    <w:rsid w:val="50356C52"/>
    <w:rsid w:val="5042083B"/>
    <w:rsid w:val="50665DAC"/>
    <w:rsid w:val="506860BE"/>
    <w:rsid w:val="508F3550"/>
    <w:rsid w:val="509C7A9D"/>
    <w:rsid w:val="50A805AE"/>
    <w:rsid w:val="50AC5EE9"/>
    <w:rsid w:val="50C22369"/>
    <w:rsid w:val="50C85B88"/>
    <w:rsid w:val="50EA314B"/>
    <w:rsid w:val="512D6155"/>
    <w:rsid w:val="51431CEF"/>
    <w:rsid w:val="514B6BE7"/>
    <w:rsid w:val="5155465E"/>
    <w:rsid w:val="51BC4252"/>
    <w:rsid w:val="51D85B4D"/>
    <w:rsid w:val="51E12B2C"/>
    <w:rsid w:val="51E46C74"/>
    <w:rsid w:val="51EE3A79"/>
    <w:rsid w:val="51FE76E7"/>
    <w:rsid w:val="5264676D"/>
    <w:rsid w:val="52A85EB3"/>
    <w:rsid w:val="52AF6DAE"/>
    <w:rsid w:val="52BF3D3A"/>
    <w:rsid w:val="533D3293"/>
    <w:rsid w:val="535A7B42"/>
    <w:rsid w:val="536A2855"/>
    <w:rsid w:val="53814027"/>
    <w:rsid w:val="538E095F"/>
    <w:rsid w:val="53990D1C"/>
    <w:rsid w:val="53A20B74"/>
    <w:rsid w:val="53A65168"/>
    <w:rsid w:val="53CF36C5"/>
    <w:rsid w:val="53DA779F"/>
    <w:rsid w:val="53E0585C"/>
    <w:rsid w:val="53E741A0"/>
    <w:rsid w:val="53EA4C77"/>
    <w:rsid w:val="53F115F6"/>
    <w:rsid w:val="53FF56F5"/>
    <w:rsid w:val="541051FE"/>
    <w:rsid w:val="542075F1"/>
    <w:rsid w:val="549F1A2B"/>
    <w:rsid w:val="54A77049"/>
    <w:rsid w:val="54E211C1"/>
    <w:rsid w:val="54E551BA"/>
    <w:rsid w:val="54EB048C"/>
    <w:rsid w:val="552C32D2"/>
    <w:rsid w:val="55313539"/>
    <w:rsid w:val="556F595A"/>
    <w:rsid w:val="557D5D87"/>
    <w:rsid w:val="55A87164"/>
    <w:rsid w:val="56065746"/>
    <w:rsid w:val="5624771B"/>
    <w:rsid w:val="56363B17"/>
    <w:rsid w:val="563D4A86"/>
    <w:rsid w:val="565335B0"/>
    <w:rsid w:val="566957AC"/>
    <w:rsid w:val="567D0DA7"/>
    <w:rsid w:val="56811899"/>
    <w:rsid w:val="5686796A"/>
    <w:rsid w:val="569F2906"/>
    <w:rsid w:val="56B46E98"/>
    <w:rsid w:val="56D26E48"/>
    <w:rsid w:val="56D5158B"/>
    <w:rsid w:val="56DB3C6C"/>
    <w:rsid w:val="572A2026"/>
    <w:rsid w:val="572B1480"/>
    <w:rsid w:val="57500366"/>
    <w:rsid w:val="575A0D11"/>
    <w:rsid w:val="5769526F"/>
    <w:rsid w:val="57696A0A"/>
    <w:rsid w:val="576A3D1F"/>
    <w:rsid w:val="576F6D03"/>
    <w:rsid w:val="57785CE8"/>
    <w:rsid w:val="5794647D"/>
    <w:rsid w:val="579518C7"/>
    <w:rsid w:val="57C925E4"/>
    <w:rsid w:val="57C931B7"/>
    <w:rsid w:val="580944C6"/>
    <w:rsid w:val="583237BD"/>
    <w:rsid w:val="5841595D"/>
    <w:rsid w:val="585A48A3"/>
    <w:rsid w:val="58625CD2"/>
    <w:rsid w:val="587254BB"/>
    <w:rsid w:val="588A5FD1"/>
    <w:rsid w:val="58974709"/>
    <w:rsid w:val="58E03C00"/>
    <w:rsid w:val="58E04EE0"/>
    <w:rsid w:val="58E144F6"/>
    <w:rsid w:val="58E23C5F"/>
    <w:rsid w:val="58E91A84"/>
    <w:rsid w:val="58FC365C"/>
    <w:rsid w:val="59035BB7"/>
    <w:rsid w:val="59143986"/>
    <w:rsid w:val="591825F1"/>
    <w:rsid w:val="592F4D9B"/>
    <w:rsid w:val="59720C6D"/>
    <w:rsid w:val="59CA3513"/>
    <w:rsid w:val="59D77895"/>
    <w:rsid w:val="59EF5140"/>
    <w:rsid w:val="5A1712BA"/>
    <w:rsid w:val="5A2163FC"/>
    <w:rsid w:val="5A4F5AAA"/>
    <w:rsid w:val="5A637ED4"/>
    <w:rsid w:val="5A6A036C"/>
    <w:rsid w:val="5A883D7B"/>
    <w:rsid w:val="5A8E77FB"/>
    <w:rsid w:val="5A923B37"/>
    <w:rsid w:val="5ACF1454"/>
    <w:rsid w:val="5AF25048"/>
    <w:rsid w:val="5B273F54"/>
    <w:rsid w:val="5B2C362B"/>
    <w:rsid w:val="5B555B98"/>
    <w:rsid w:val="5B7C6C21"/>
    <w:rsid w:val="5BA16C93"/>
    <w:rsid w:val="5BC11953"/>
    <w:rsid w:val="5BCE3D1E"/>
    <w:rsid w:val="5C0154F0"/>
    <w:rsid w:val="5C2B60BA"/>
    <w:rsid w:val="5C2C158B"/>
    <w:rsid w:val="5C3C796C"/>
    <w:rsid w:val="5C4C631A"/>
    <w:rsid w:val="5C4E1279"/>
    <w:rsid w:val="5C535B8D"/>
    <w:rsid w:val="5C5F1405"/>
    <w:rsid w:val="5C6325C9"/>
    <w:rsid w:val="5C826B05"/>
    <w:rsid w:val="5C980796"/>
    <w:rsid w:val="5CBD5382"/>
    <w:rsid w:val="5CE23C94"/>
    <w:rsid w:val="5CE56AEA"/>
    <w:rsid w:val="5CF57B29"/>
    <w:rsid w:val="5D0E7099"/>
    <w:rsid w:val="5D3C671E"/>
    <w:rsid w:val="5D4F60BC"/>
    <w:rsid w:val="5D8130FC"/>
    <w:rsid w:val="5DE8656D"/>
    <w:rsid w:val="5DFB56C7"/>
    <w:rsid w:val="5E0E4CA0"/>
    <w:rsid w:val="5E373C6E"/>
    <w:rsid w:val="5E3D7A95"/>
    <w:rsid w:val="5E8C2843"/>
    <w:rsid w:val="5EDB626E"/>
    <w:rsid w:val="5EE07B12"/>
    <w:rsid w:val="5EEC41C9"/>
    <w:rsid w:val="5F1531A3"/>
    <w:rsid w:val="5F356E4F"/>
    <w:rsid w:val="5F384FE3"/>
    <w:rsid w:val="5F3B4CFE"/>
    <w:rsid w:val="5F50214A"/>
    <w:rsid w:val="5F68205F"/>
    <w:rsid w:val="5F6D6C48"/>
    <w:rsid w:val="5F724E5C"/>
    <w:rsid w:val="5F8E0D22"/>
    <w:rsid w:val="5FC1104C"/>
    <w:rsid w:val="5FCF5B94"/>
    <w:rsid w:val="5FE90900"/>
    <w:rsid w:val="60092C56"/>
    <w:rsid w:val="601312C0"/>
    <w:rsid w:val="60503E84"/>
    <w:rsid w:val="60710DB3"/>
    <w:rsid w:val="60B97DC8"/>
    <w:rsid w:val="60C50640"/>
    <w:rsid w:val="60DA6C08"/>
    <w:rsid w:val="61053656"/>
    <w:rsid w:val="61116924"/>
    <w:rsid w:val="61201C62"/>
    <w:rsid w:val="613A3158"/>
    <w:rsid w:val="618A7EFA"/>
    <w:rsid w:val="619C525E"/>
    <w:rsid w:val="61AE3E47"/>
    <w:rsid w:val="61C60AD5"/>
    <w:rsid w:val="61D75A71"/>
    <w:rsid w:val="61ED27F3"/>
    <w:rsid w:val="61FF6A2C"/>
    <w:rsid w:val="621C58C3"/>
    <w:rsid w:val="62334648"/>
    <w:rsid w:val="62430A41"/>
    <w:rsid w:val="624C528E"/>
    <w:rsid w:val="62543048"/>
    <w:rsid w:val="62824F2A"/>
    <w:rsid w:val="628B6F4B"/>
    <w:rsid w:val="629D786F"/>
    <w:rsid w:val="62F053EC"/>
    <w:rsid w:val="630142E8"/>
    <w:rsid w:val="635D2751"/>
    <w:rsid w:val="638D570D"/>
    <w:rsid w:val="63927A84"/>
    <w:rsid w:val="63A6537E"/>
    <w:rsid w:val="63A815C7"/>
    <w:rsid w:val="63BF77B7"/>
    <w:rsid w:val="63C41D8E"/>
    <w:rsid w:val="63C4269B"/>
    <w:rsid w:val="63D56727"/>
    <w:rsid w:val="6430451F"/>
    <w:rsid w:val="64370749"/>
    <w:rsid w:val="643F28B8"/>
    <w:rsid w:val="644E4A6F"/>
    <w:rsid w:val="646366F3"/>
    <w:rsid w:val="6490125D"/>
    <w:rsid w:val="64910B00"/>
    <w:rsid w:val="64974FD6"/>
    <w:rsid w:val="64C7166B"/>
    <w:rsid w:val="64D65EFC"/>
    <w:rsid w:val="65467C25"/>
    <w:rsid w:val="655B4A8F"/>
    <w:rsid w:val="65630049"/>
    <w:rsid w:val="65811A17"/>
    <w:rsid w:val="6588172A"/>
    <w:rsid w:val="65950397"/>
    <w:rsid w:val="659527D2"/>
    <w:rsid w:val="65A979AB"/>
    <w:rsid w:val="65C35D58"/>
    <w:rsid w:val="65CA18C7"/>
    <w:rsid w:val="65FC2A40"/>
    <w:rsid w:val="660A64C3"/>
    <w:rsid w:val="66452138"/>
    <w:rsid w:val="664A1F24"/>
    <w:rsid w:val="66B601A8"/>
    <w:rsid w:val="66C560C0"/>
    <w:rsid w:val="677F7724"/>
    <w:rsid w:val="679C4CDB"/>
    <w:rsid w:val="67B63757"/>
    <w:rsid w:val="67D42ACC"/>
    <w:rsid w:val="67D93EDB"/>
    <w:rsid w:val="67DC0517"/>
    <w:rsid w:val="67E931F8"/>
    <w:rsid w:val="67F3034C"/>
    <w:rsid w:val="67FE3EB4"/>
    <w:rsid w:val="683310D1"/>
    <w:rsid w:val="68351DD4"/>
    <w:rsid w:val="6839148C"/>
    <w:rsid w:val="68432420"/>
    <w:rsid w:val="68473542"/>
    <w:rsid w:val="687D6BAC"/>
    <w:rsid w:val="688219DE"/>
    <w:rsid w:val="68824295"/>
    <w:rsid w:val="68840F05"/>
    <w:rsid w:val="68A23915"/>
    <w:rsid w:val="68A30897"/>
    <w:rsid w:val="68AC3BFB"/>
    <w:rsid w:val="68C558AF"/>
    <w:rsid w:val="68EA78F5"/>
    <w:rsid w:val="68F93F8A"/>
    <w:rsid w:val="69164B4E"/>
    <w:rsid w:val="6921777D"/>
    <w:rsid w:val="6940568B"/>
    <w:rsid w:val="695C614A"/>
    <w:rsid w:val="69646656"/>
    <w:rsid w:val="69E809EC"/>
    <w:rsid w:val="69EC42C8"/>
    <w:rsid w:val="6A015C49"/>
    <w:rsid w:val="6A0F106D"/>
    <w:rsid w:val="6A5207FC"/>
    <w:rsid w:val="6A57476E"/>
    <w:rsid w:val="6A59332A"/>
    <w:rsid w:val="6A5D70E6"/>
    <w:rsid w:val="6A6A7C00"/>
    <w:rsid w:val="6A755CB7"/>
    <w:rsid w:val="6AAE3166"/>
    <w:rsid w:val="6ABB7F1C"/>
    <w:rsid w:val="6ADE4A69"/>
    <w:rsid w:val="6AE0130F"/>
    <w:rsid w:val="6AEE0010"/>
    <w:rsid w:val="6B16696C"/>
    <w:rsid w:val="6B2C50B5"/>
    <w:rsid w:val="6B434F7D"/>
    <w:rsid w:val="6B503ECE"/>
    <w:rsid w:val="6B5304BB"/>
    <w:rsid w:val="6B74244D"/>
    <w:rsid w:val="6B926769"/>
    <w:rsid w:val="6B9B05B2"/>
    <w:rsid w:val="6BE4136A"/>
    <w:rsid w:val="6C0B0EDA"/>
    <w:rsid w:val="6C3A3967"/>
    <w:rsid w:val="6C3F0CB4"/>
    <w:rsid w:val="6C426A89"/>
    <w:rsid w:val="6C6937C0"/>
    <w:rsid w:val="6C7D425F"/>
    <w:rsid w:val="6C8428E5"/>
    <w:rsid w:val="6C9D636A"/>
    <w:rsid w:val="6CA605AF"/>
    <w:rsid w:val="6D185E57"/>
    <w:rsid w:val="6D2E0704"/>
    <w:rsid w:val="6D3439E4"/>
    <w:rsid w:val="6D451B7D"/>
    <w:rsid w:val="6E3E6E29"/>
    <w:rsid w:val="6E415A59"/>
    <w:rsid w:val="6E670C92"/>
    <w:rsid w:val="6E856503"/>
    <w:rsid w:val="6E8A3767"/>
    <w:rsid w:val="6EA76355"/>
    <w:rsid w:val="6ECE6D11"/>
    <w:rsid w:val="6ED017A1"/>
    <w:rsid w:val="6EDF301A"/>
    <w:rsid w:val="6EE91E79"/>
    <w:rsid w:val="6F2143E9"/>
    <w:rsid w:val="6F2B160F"/>
    <w:rsid w:val="6F3A0E88"/>
    <w:rsid w:val="6F4C31FD"/>
    <w:rsid w:val="6F93675E"/>
    <w:rsid w:val="6FBA2818"/>
    <w:rsid w:val="7005235E"/>
    <w:rsid w:val="704F4E8D"/>
    <w:rsid w:val="70554E75"/>
    <w:rsid w:val="70683BE6"/>
    <w:rsid w:val="7099574B"/>
    <w:rsid w:val="70D0792C"/>
    <w:rsid w:val="70D7566B"/>
    <w:rsid w:val="70E300D5"/>
    <w:rsid w:val="70EE16F1"/>
    <w:rsid w:val="712F2711"/>
    <w:rsid w:val="71396124"/>
    <w:rsid w:val="71434050"/>
    <w:rsid w:val="714B7519"/>
    <w:rsid w:val="716671E1"/>
    <w:rsid w:val="717A0CF8"/>
    <w:rsid w:val="718E6E2D"/>
    <w:rsid w:val="71973807"/>
    <w:rsid w:val="719B3AF7"/>
    <w:rsid w:val="719F637A"/>
    <w:rsid w:val="71E23B62"/>
    <w:rsid w:val="72255653"/>
    <w:rsid w:val="722A1FCC"/>
    <w:rsid w:val="724E29BF"/>
    <w:rsid w:val="72527D1F"/>
    <w:rsid w:val="726F0FF8"/>
    <w:rsid w:val="72827370"/>
    <w:rsid w:val="72B04BD6"/>
    <w:rsid w:val="72B40C28"/>
    <w:rsid w:val="72D440C3"/>
    <w:rsid w:val="72F81803"/>
    <w:rsid w:val="730E629F"/>
    <w:rsid w:val="732758AB"/>
    <w:rsid w:val="73417995"/>
    <w:rsid w:val="7351608D"/>
    <w:rsid w:val="73931E3F"/>
    <w:rsid w:val="7393509F"/>
    <w:rsid w:val="73B31ED2"/>
    <w:rsid w:val="73B429AA"/>
    <w:rsid w:val="74196994"/>
    <w:rsid w:val="7426113B"/>
    <w:rsid w:val="74336B27"/>
    <w:rsid w:val="745A08D2"/>
    <w:rsid w:val="746F714D"/>
    <w:rsid w:val="7488428E"/>
    <w:rsid w:val="7490019A"/>
    <w:rsid w:val="74962FEB"/>
    <w:rsid w:val="74A770B8"/>
    <w:rsid w:val="74AF4448"/>
    <w:rsid w:val="74E035C6"/>
    <w:rsid w:val="7504061B"/>
    <w:rsid w:val="75346D3E"/>
    <w:rsid w:val="758827AA"/>
    <w:rsid w:val="75C76BD8"/>
    <w:rsid w:val="75EB0D5E"/>
    <w:rsid w:val="76001817"/>
    <w:rsid w:val="761F5F18"/>
    <w:rsid w:val="7628225F"/>
    <w:rsid w:val="76336F1A"/>
    <w:rsid w:val="76851977"/>
    <w:rsid w:val="768E6EBD"/>
    <w:rsid w:val="769437D2"/>
    <w:rsid w:val="76B16E35"/>
    <w:rsid w:val="76C06D3D"/>
    <w:rsid w:val="772D0F4F"/>
    <w:rsid w:val="772F195B"/>
    <w:rsid w:val="772F4DD4"/>
    <w:rsid w:val="77564F5A"/>
    <w:rsid w:val="77584DD5"/>
    <w:rsid w:val="77792AD9"/>
    <w:rsid w:val="77942991"/>
    <w:rsid w:val="77AB2942"/>
    <w:rsid w:val="77C20B23"/>
    <w:rsid w:val="77EB233B"/>
    <w:rsid w:val="78230A50"/>
    <w:rsid w:val="785B65C3"/>
    <w:rsid w:val="78604730"/>
    <w:rsid w:val="78806ECE"/>
    <w:rsid w:val="788A7350"/>
    <w:rsid w:val="78955B88"/>
    <w:rsid w:val="78BD31D6"/>
    <w:rsid w:val="78E4470E"/>
    <w:rsid w:val="78F44912"/>
    <w:rsid w:val="792421E0"/>
    <w:rsid w:val="79604BD7"/>
    <w:rsid w:val="796E09C9"/>
    <w:rsid w:val="797F63DC"/>
    <w:rsid w:val="79CD4FE7"/>
    <w:rsid w:val="79CF1863"/>
    <w:rsid w:val="79DC3960"/>
    <w:rsid w:val="7A096B2A"/>
    <w:rsid w:val="7A0E4857"/>
    <w:rsid w:val="7A256D06"/>
    <w:rsid w:val="7A4077AA"/>
    <w:rsid w:val="7A612CF6"/>
    <w:rsid w:val="7A956E1D"/>
    <w:rsid w:val="7AA25B34"/>
    <w:rsid w:val="7AD01E44"/>
    <w:rsid w:val="7AFC4CB6"/>
    <w:rsid w:val="7B694B0A"/>
    <w:rsid w:val="7B775F6D"/>
    <w:rsid w:val="7BAC561B"/>
    <w:rsid w:val="7BB8462E"/>
    <w:rsid w:val="7BFD5017"/>
    <w:rsid w:val="7C5C17B9"/>
    <w:rsid w:val="7C6434DD"/>
    <w:rsid w:val="7C764A53"/>
    <w:rsid w:val="7C805043"/>
    <w:rsid w:val="7C9B2916"/>
    <w:rsid w:val="7CA2564D"/>
    <w:rsid w:val="7CB61CB8"/>
    <w:rsid w:val="7CEE355A"/>
    <w:rsid w:val="7CEF15E0"/>
    <w:rsid w:val="7D0F502E"/>
    <w:rsid w:val="7D255F79"/>
    <w:rsid w:val="7D3E68D8"/>
    <w:rsid w:val="7D5F706C"/>
    <w:rsid w:val="7D62701B"/>
    <w:rsid w:val="7DCD3C25"/>
    <w:rsid w:val="7DDC1AB6"/>
    <w:rsid w:val="7DFD5DF9"/>
    <w:rsid w:val="7E2103BB"/>
    <w:rsid w:val="7E36740D"/>
    <w:rsid w:val="7E627E37"/>
    <w:rsid w:val="7E6F3BB3"/>
    <w:rsid w:val="7E71487B"/>
    <w:rsid w:val="7E8C239C"/>
    <w:rsid w:val="7EA60E38"/>
    <w:rsid w:val="7EAA6A62"/>
    <w:rsid w:val="7EBB1CA4"/>
    <w:rsid w:val="7EBC7C92"/>
    <w:rsid w:val="7EBF58AF"/>
    <w:rsid w:val="7EC3436A"/>
    <w:rsid w:val="7F1D0847"/>
    <w:rsid w:val="7F994376"/>
    <w:rsid w:val="7FE8543A"/>
    <w:rsid w:val="7FEA1F26"/>
    <w:rsid w:val="7FEB7C21"/>
    <w:rsid w:val="7FFD2F3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360" w:lineRule="auto"/>
      <w:jc w:val="center"/>
      <w:outlineLvl w:val="0"/>
    </w:pPr>
    <w:rPr>
      <w:b/>
      <w:kern w:val="44"/>
      <w:sz w:val="32"/>
    </w:rPr>
  </w:style>
  <w:style w:type="paragraph" w:styleId="4">
    <w:name w:val="heading 2"/>
    <w:basedOn w:val="1"/>
    <w:next w:val="5"/>
    <w:link w:val="28"/>
    <w:unhideWhenUsed/>
    <w:qFormat/>
    <w:uiPriority w:val="0"/>
    <w:pPr>
      <w:keepNext/>
      <w:keepLines/>
      <w:spacing w:line="360" w:lineRule="auto"/>
      <w:jc w:val="center"/>
      <w:outlineLvl w:val="1"/>
    </w:pPr>
    <w:rPr>
      <w:rFonts w:ascii="Arial" w:hAnsi="Arial"/>
      <w:b/>
      <w:sz w:val="28"/>
    </w:rPr>
  </w:style>
  <w:style w:type="paragraph" w:styleId="6">
    <w:name w:val="heading 3"/>
    <w:basedOn w:val="1"/>
    <w:next w:val="1"/>
    <w:unhideWhenUsed/>
    <w:qFormat/>
    <w:uiPriority w:val="0"/>
    <w:pPr>
      <w:keepNext/>
      <w:keepLines/>
      <w:spacing w:line="360" w:lineRule="auto"/>
      <w:outlineLvl w:val="2"/>
    </w:pPr>
    <w:rPr>
      <w:b/>
      <w:sz w:val="24"/>
    </w:rPr>
  </w:style>
  <w:style w:type="paragraph" w:styleId="7">
    <w:name w:val="heading 4"/>
    <w:basedOn w:val="1"/>
    <w:next w:val="1"/>
    <w:unhideWhenUsed/>
    <w:qFormat/>
    <w:uiPriority w:val="0"/>
    <w:pPr>
      <w:keepNext/>
      <w:keepLines/>
      <w:spacing w:line="360" w:lineRule="auto"/>
      <w:outlineLvl w:val="3"/>
    </w:pPr>
    <w:rPr>
      <w:rFonts w:ascii="Arial" w:hAnsi="Arial"/>
      <w:sz w:val="24"/>
    </w:rPr>
  </w:style>
  <w:style w:type="character" w:default="1" w:styleId="24">
    <w:name w:val="Default Paragraph Font"/>
    <w:unhideWhenUsed/>
    <w:qFormat/>
    <w:uiPriority w:val="1"/>
  </w:style>
  <w:style w:type="table" w:default="1" w:styleId="22">
    <w:name w:val="Normal Table"/>
    <w:unhideWhenUsed/>
    <w:qFormat/>
    <w:uiPriority w:val="99"/>
    <w:tblPr>
      <w:tblCellMar>
        <w:top w:w="0" w:type="dxa"/>
        <w:left w:w="108" w:type="dxa"/>
        <w:bottom w:w="0" w:type="dxa"/>
        <w:right w:w="108" w:type="dxa"/>
      </w:tblCellMar>
    </w:tblPr>
  </w:style>
  <w:style w:type="paragraph" w:styleId="2">
    <w:name w:val="Body Text Indent"/>
    <w:basedOn w:val="1"/>
    <w:next w:val="1"/>
    <w:qFormat/>
    <w:uiPriority w:val="0"/>
    <w:pPr>
      <w:spacing w:line="200" w:lineRule="exact"/>
      <w:ind w:firstLine="301"/>
    </w:pPr>
    <w:rPr>
      <w:rFonts w:ascii="宋体" w:hAnsi="Courier New"/>
      <w:spacing w:val="-4"/>
      <w:sz w:val="18"/>
    </w:rPr>
  </w:style>
  <w:style w:type="paragraph" w:styleId="5">
    <w:name w:val="Normal Indent"/>
    <w:basedOn w:val="1"/>
    <w:next w:val="1"/>
    <w:qFormat/>
    <w:uiPriority w:val="0"/>
    <w:pPr>
      <w:ind w:firstLine="420"/>
    </w:pPr>
    <w:rPr>
      <w:szCs w:val="20"/>
    </w:rPr>
  </w:style>
  <w:style w:type="paragraph" w:styleId="8">
    <w:name w:val="List Number"/>
    <w:basedOn w:val="1"/>
    <w:qFormat/>
    <w:uiPriority w:val="0"/>
    <w:pPr>
      <w:numPr>
        <w:ilvl w:val="0"/>
        <w:numId w:val="1"/>
      </w:numPr>
    </w:pPr>
  </w:style>
  <w:style w:type="paragraph" w:styleId="9">
    <w:name w:val="annotation text"/>
    <w:basedOn w:val="1"/>
    <w:qFormat/>
    <w:uiPriority w:val="0"/>
    <w:pPr>
      <w:jc w:val="left"/>
    </w:pPr>
  </w:style>
  <w:style w:type="paragraph" w:styleId="10">
    <w:name w:val="Body Text"/>
    <w:basedOn w:val="1"/>
    <w:next w:val="1"/>
    <w:qFormat/>
    <w:uiPriority w:val="0"/>
    <w:pPr>
      <w:spacing w:after="120" w:afterLines="0"/>
    </w:pPr>
    <w:rPr>
      <w:sz w:val="28"/>
    </w:rPr>
  </w:style>
  <w:style w:type="paragraph" w:styleId="11">
    <w:name w:val="Plain Text"/>
    <w:basedOn w:val="1"/>
    <w:qFormat/>
    <w:uiPriority w:val="0"/>
    <w:pPr>
      <w:spacing w:beforeLines="50" w:afterLines="50" w:line="400" w:lineRule="exact"/>
    </w:pPr>
    <w:rPr>
      <w:rFonts w:ascii="宋体" w:hAnsi="Courier New"/>
      <w:sz w:val="24"/>
    </w:rPr>
  </w:style>
  <w:style w:type="paragraph" w:styleId="12">
    <w:name w:val="Body Text Indent 2"/>
    <w:basedOn w:val="1"/>
    <w:qFormat/>
    <w:uiPriority w:val="0"/>
    <w:pPr>
      <w:snapToGrid w:val="0"/>
      <w:ind w:firstLine="542" w:firstLineChars="225"/>
    </w:pPr>
    <w:rPr>
      <w:rFonts w:ascii="仿宋_GB2312" w:hAnsi="宋体"/>
      <w:b/>
      <w:bCs/>
      <w:color w:val="000000"/>
      <w:sz w:val="24"/>
    </w:rPr>
  </w:style>
  <w:style w:type="paragraph" w:styleId="13">
    <w:name w:val="Balloon Text"/>
    <w:basedOn w:val="1"/>
    <w:link w:val="48"/>
    <w:qFormat/>
    <w:uiPriority w:val="0"/>
    <w:rPr>
      <w:sz w:val="18"/>
      <w:szCs w:val="18"/>
    </w:rPr>
  </w:style>
  <w:style w:type="paragraph" w:styleId="14">
    <w:name w:val="footer"/>
    <w:basedOn w:val="1"/>
    <w:link w:val="46"/>
    <w:qFormat/>
    <w:uiPriority w:val="0"/>
    <w:pPr>
      <w:tabs>
        <w:tab w:val="center" w:pos="4153"/>
        <w:tab w:val="right" w:pos="8306"/>
      </w:tabs>
      <w:snapToGrid w:val="0"/>
      <w:jc w:val="left"/>
    </w:pPr>
    <w:rPr>
      <w:rFonts w:eastAsia="黑体"/>
      <w:snapToGrid w:val="0"/>
      <w:sz w:val="18"/>
      <w:szCs w:val="18"/>
    </w:rPr>
  </w:style>
  <w:style w:type="paragraph" w:styleId="15">
    <w:name w:val="header"/>
    <w:basedOn w:val="1"/>
    <w:link w:val="53"/>
    <w:qFormat/>
    <w:uiPriority w:val="0"/>
    <w:pPr>
      <w:pBdr>
        <w:bottom w:val="single" w:color="auto" w:sz="6" w:space="1"/>
      </w:pBdr>
      <w:tabs>
        <w:tab w:val="center" w:pos="4153"/>
        <w:tab w:val="right" w:pos="8306"/>
      </w:tabs>
      <w:snapToGrid w:val="0"/>
      <w:jc w:val="center"/>
    </w:pPr>
    <w:rPr>
      <w:rFonts w:eastAsia="仿宋_GB2312"/>
      <w:sz w:val="18"/>
    </w:rPr>
  </w:style>
  <w:style w:type="paragraph" w:styleId="16">
    <w:name w:val="toc 1"/>
    <w:basedOn w:val="1"/>
    <w:next w:val="1"/>
    <w:qFormat/>
    <w:uiPriority w:val="0"/>
    <w:rPr>
      <w:b/>
      <w:sz w:val="32"/>
    </w:rPr>
  </w:style>
  <w:style w:type="paragraph" w:styleId="17">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18">
    <w:name w:val="toc 2"/>
    <w:basedOn w:val="1"/>
    <w:next w:val="1"/>
    <w:qFormat/>
    <w:uiPriority w:val="0"/>
    <w:pPr>
      <w:ind w:left="420" w:leftChars="200"/>
    </w:pPr>
  </w:style>
  <w:style w:type="paragraph" w:styleId="19">
    <w:name w:val="Body Text 2"/>
    <w:basedOn w:val="1"/>
    <w:qFormat/>
    <w:uiPriority w:val="0"/>
    <w:pPr>
      <w:widowControl/>
      <w:snapToGrid w:val="0"/>
      <w:spacing w:afterLines="50" w:line="400" w:lineRule="exact"/>
      <w:jc w:val="left"/>
    </w:pPr>
    <w:rPr>
      <w:rFonts w:ascii="宋体" w:hAnsi="宋体"/>
      <w:color w:val="000000"/>
      <w:sz w:val="24"/>
    </w:rPr>
  </w:style>
  <w:style w:type="paragraph" w:styleId="20">
    <w:name w:val="Normal (Web)"/>
    <w:basedOn w:val="1"/>
    <w:qFormat/>
    <w:uiPriority w:val="0"/>
    <w:pPr>
      <w:widowControl/>
      <w:spacing w:beforeAutospacing="1" w:afterAutospacing="1"/>
      <w:jc w:val="left"/>
    </w:pPr>
    <w:rPr>
      <w:kern w:val="0"/>
      <w:sz w:val="24"/>
    </w:rPr>
  </w:style>
  <w:style w:type="paragraph" w:styleId="21">
    <w:name w:val="Body Text First Indent 2"/>
    <w:basedOn w:val="2"/>
    <w:next w:val="1"/>
    <w:qFormat/>
    <w:uiPriority w:val="0"/>
    <w:pPr>
      <w:spacing w:after="120" w:line="240" w:lineRule="auto"/>
      <w:ind w:left="420" w:leftChars="200" w:firstLine="420" w:firstLineChars="200"/>
    </w:pPr>
    <w:rPr>
      <w:sz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qFormat/>
    <w:uiPriority w:val="22"/>
    <w:rPr>
      <w:b/>
      <w:bCs/>
    </w:rPr>
  </w:style>
  <w:style w:type="character" w:styleId="26">
    <w:name w:val="page number"/>
    <w:basedOn w:val="24"/>
    <w:qFormat/>
    <w:uiPriority w:val="0"/>
  </w:style>
  <w:style w:type="character" w:styleId="27">
    <w:name w:val="Hyperlink"/>
    <w:qFormat/>
    <w:uiPriority w:val="0"/>
    <w:rPr>
      <w:color w:val="0000FF"/>
      <w:u w:val="single"/>
    </w:rPr>
  </w:style>
  <w:style w:type="character" w:customStyle="1" w:styleId="28">
    <w:name w:val="标题 2 Char"/>
    <w:basedOn w:val="24"/>
    <w:link w:val="4"/>
    <w:qFormat/>
    <w:uiPriority w:val="0"/>
    <w:rPr>
      <w:rFonts w:ascii="Arial" w:hAnsi="Arial" w:eastAsia="宋体"/>
      <w:b/>
      <w:kern w:val="2"/>
      <w:sz w:val="28"/>
      <w:lang w:val="en-US" w:eastAsia="zh-CN"/>
    </w:rPr>
  </w:style>
  <w:style w:type="paragraph" w:customStyle="1" w:styleId="29">
    <w:name w:val="小四加粗"/>
    <w:basedOn w:val="1"/>
    <w:qFormat/>
    <w:uiPriority w:val="0"/>
    <w:pPr>
      <w:spacing w:line="360" w:lineRule="auto"/>
      <w:jc w:val="left"/>
    </w:pPr>
  </w:style>
  <w:style w:type="paragraph" w:customStyle="1" w:styleId="30">
    <w:name w:val="标题1正文"/>
    <w:basedOn w:val="1"/>
    <w:next w:val="1"/>
    <w:qFormat/>
    <w:uiPriority w:val="0"/>
    <w:pPr>
      <w:spacing w:line="360" w:lineRule="auto"/>
    </w:pPr>
    <w:rPr>
      <w:b/>
      <w:sz w:val="32"/>
    </w:rPr>
  </w:style>
  <w:style w:type="paragraph" w:customStyle="1" w:styleId="31">
    <w:name w:val="标题1正文1"/>
    <w:basedOn w:val="3"/>
    <w:next w:val="1"/>
    <w:qFormat/>
    <w:uiPriority w:val="0"/>
  </w:style>
  <w:style w:type="paragraph" w:customStyle="1" w:styleId="32">
    <w:name w:val="标题2正文"/>
    <w:basedOn w:val="1"/>
    <w:next w:val="1"/>
    <w:qFormat/>
    <w:uiPriority w:val="0"/>
    <w:pPr>
      <w:spacing w:line="360" w:lineRule="auto"/>
    </w:pPr>
    <w:rPr>
      <w:b/>
      <w:sz w:val="28"/>
    </w:rPr>
  </w:style>
  <w:style w:type="paragraph" w:customStyle="1" w:styleId="33">
    <w:name w:val="标题3正文"/>
    <w:basedOn w:val="1"/>
    <w:next w:val="1"/>
    <w:qFormat/>
    <w:uiPriority w:val="0"/>
    <w:pPr>
      <w:spacing w:line="360" w:lineRule="auto"/>
    </w:pPr>
    <w:rPr>
      <w:b/>
      <w:sz w:val="24"/>
    </w:rPr>
  </w:style>
  <w:style w:type="paragraph" w:customStyle="1" w:styleId="34">
    <w:name w:val="图片注脚"/>
    <w:basedOn w:val="1"/>
    <w:next w:val="1"/>
    <w:qFormat/>
    <w:uiPriority w:val="0"/>
    <w:pPr>
      <w:spacing w:line="360" w:lineRule="auto"/>
    </w:pPr>
    <w:rPr>
      <w:rFonts w:ascii="Arial" w:hAnsi="Arial"/>
      <w:b/>
    </w:rPr>
  </w:style>
  <w:style w:type="paragraph" w:customStyle="1" w:styleId="35">
    <w:name w:val="正文 "/>
    <w:basedOn w:val="1"/>
    <w:qFormat/>
    <w:uiPriority w:val="0"/>
    <w:pPr>
      <w:widowControl w:val="0"/>
      <w:adjustRightInd w:val="0"/>
      <w:spacing w:line="318" w:lineRule="atLeast"/>
      <w:ind w:left="369" w:firstLine="369"/>
      <w:jc w:val="both"/>
      <w:textAlignment w:val="baseline"/>
    </w:pPr>
    <w:rPr>
      <w:rFonts w:ascii="宋体"/>
      <w:sz w:val="21"/>
      <w:szCs w:val="20"/>
    </w:rPr>
  </w:style>
  <w:style w:type="paragraph" w:customStyle="1" w:styleId="36">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37">
    <w:name w:val="正文段"/>
    <w:basedOn w:val="1"/>
    <w:qFormat/>
    <w:uiPriority w:val="0"/>
    <w:pPr>
      <w:widowControl/>
      <w:snapToGrid w:val="0"/>
      <w:spacing w:afterLines="50"/>
      <w:ind w:firstLine="200" w:firstLineChars="200"/>
    </w:pPr>
    <w:rPr>
      <w:kern w:val="0"/>
      <w:sz w:val="24"/>
      <w:szCs w:val="20"/>
    </w:rPr>
  </w:style>
  <w:style w:type="paragraph" w:customStyle="1" w:styleId="38">
    <w:name w:val="正文 New"/>
    <w:qFormat/>
    <w:uiPriority w:val="0"/>
    <w:pPr>
      <w:widowControl w:val="0"/>
      <w:spacing w:line="360" w:lineRule="auto"/>
      <w:jc w:val="both"/>
    </w:pPr>
    <w:rPr>
      <w:rFonts w:ascii="Times New Roman" w:hAnsi="Times New Roman" w:eastAsia="宋体" w:cs="Times New Roman"/>
      <w:kern w:val="2"/>
      <w:sz w:val="21"/>
      <w:szCs w:val="22"/>
      <w:lang w:val="en-US" w:eastAsia="zh-CN" w:bidi="ar-SA"/>
    </w:rPr>
  </w:style>
  <w:style w:type="paragraph" w:customStyle="1" w:styleId="39">
    <w:name w:val="WPSOffice手动目录 1"/>
    <w:qFormat/>
    <w:uiPriority w:val="0"/>
    <w:rPr>
      <w:rFonts w:ascii="Times New Roman" w:hAnsi="Times New Roman" w:eastAsia="宋体" w:cs="Times New Roman"/>
      <w:lang w:val="en-US" w:eastAsia="zh-CN" w:bidi="ar-SA"/>
    </w:rPr>
  </w:style>
  <w:style w:type="character" w:customStyle="1" w:styleId="40">
    <w:name w:val="font121"/>
    <w:basedOn w:val="24"/>
    <w:qFormat/>
    <w:uiPriority w:val="0"/>
    <w:rPr>
      <w:rFonts w:hint="eastAsia" w:ascii="宋体" w:hAnsi="宋体" w:eastAsia="宋体" w:cs="宋体"/>
      <w:b/>
      <w:color w:val="000000"/>
      <w:sz w:val="20"/>
      <w:szCs w:val="20"/>
      <w:u w:val="none"/>
    </w:rPr>
  </w:style>
  <w:style w:type="character" w:customStyle="1" w:styleId="41">
    <w:name w:val="font01"/>
    <w:qFormat/>
    <w:uiPriority w:val="0"/>
    <w:rPr>
      <w:rFonts w:hint="default" w:ascii="Times New Roman" w:hAnsi="Times New Roman" w:cs="Times New Roman"/>
      <w:color w:val="000000"/>
      <w:sz w:val="24"/>
      <w:szCs w:val="24"/>
      <w:u w:val="none"/>
    </w:rPr>
  </w:style>
  <w:style w:type="character" w:customStyle="1" w:styleId="42">
    <w:name w:val="font91"/>
    <w:basedOn w:val="24"/>
    <w:qFormat/>
    <w:uiPriority w:val="0"/>
    <w:rPr>
      <w:rFonts w:hint="default" w:ascii="Times New Roman" w:hAnsi="Times New Roman" w:cs="Times New Roman"/>
      <w:color w:val="000000"/>
      <w:sz w:val="20"/>
      <w:szCs w:val="20"/>
      <w:u w:val="none"/>
      <w:vertAlign w:val="superscript"/>
    </w:rPr>
  </w:style>
  <w:style w:type="character" w:customStyle="1" w:styleId="43">
    <w:name w:val="font51"/>
    <w:basedOn w:val="24"/>
    <w:qFormat/>
    <w:uiPriority w:val="0"/>
    <w:rPr>
      <w:rFonts w:hint="eastAsia" w:ascii="宋体" w:hAnsi="宋体" w:eastAsia="宋体" w:cs="宋体"/>
      <w:color w:val="000000"/>
      <w:sz w:val="28"/>
      <w:szCs w:val="28"/>
      <w:u w:val="none"/>
    </w:rPr>
  </w:style>
  <w:style w:type="character" w:customStyle="1" w:styleId="44">
    <w:name w:val="font131"/>
    <w:basedOn w:val="24"/>
    <w:qFormat/>
    <w:uiPriority w:val="0"/>
    <w:rPr>
      <w:rFonts w:hint="eastAsia" w:ascii="宋体" w:hAnsi="宋体" w:eastAsia="宋体" w:cs="宋体"/>
      <w:color w:val="FF0000"/>
      <w:sz w:val="20"/>
      <w:szCs w:val="20"/>
      <w:u w:val="none"/>
    </w:rPr>
  </w:style>
  <w:style w:type="character" w:customStyle="1" w:styleId="45">
    <w:name w:val="font71"/>
    <w:qFormat/>
    <w:uiPriority w:val="0"/>
    <w:rPr>
      <w:rFonts w:hint="default" w:ascii="Times New Roman" w:hAnsi="Times New Roman" w:cs="Times New Roman"/>
      <w:color w:val="000000"/>
      <w:sz w:val="28"/>
      <w:szCs w:val="28"/>
      <w:u w:val="none"/>
    </w:rPr>
  </w:style>
  <w:style w:type="character" w:customStyle="1" w:styleId="46">
    <w:name w:val="页脚 Char"/>
    <w:basedOn w:val="24"/>
    <w:link w:val="14"/>
    <w:qFormat/>
    <w:uiPriority w:val="0"/>
    <w:rPr>
      <w:rFonts w:eastAsia="黑体"/>
      <w:snapToGrid w:val="0"/>
      <w:kern w:val="2"/>
      <w:sz w:val="18"/>
      <w:szCs w:val="18"/>
    </w:rPr>
  </w:style>
  <w:style w:type="character" w:customStyle="1" w:styleId="47">
    <w:name w:val="font21"/>
    <w:basedOn w:val="24"/>
    <w:qFormat/>
    <w:uiPriority w:val="0"/>
    <w:rPr>
      <w:rFonts w:hint="eastAsia" w:ascii="宋体" w:hAnsi="宋体" w:eastAsia="宋体" w:cs="宋体"/>
      <w:b/>
      <w:color w:val="000000"/>
      <w:sz w:val="20"/>
      <w:szCs w:val="20"/>
      <w:u w:val="none"/>
    </w:rPr>
  </w:style>
  <w:style w:type="character" w:customStyle="1" w:styleId="48">
    <w:name w:val="批注框文本 Char"/>
    <w:basedOn w:val="24"/>
    <w:link w:val="13"/>
    <w:qFormat/>
    <w:uiPriority w:val="0"/>
    <w:rPr>
      <w:kern w:val="2"/>
      <w:sz w:val="18"/>
      <w:szCs w:val="18"/>
    </w:rPr>
  </w:style>
  <w:style w:type="character" w:customStyle="1" w:styleId="49">
    <w:name w:val="font101"/>
    <w:basedOn w:val="24"/>
    <w:qFormat/>
    <w:uiPriority w:val="0"/>
    <w:rPr>
      <w:rFonts w:ascii="新宋体" w:hAnsi="新宋体" w:eastAsia="新宋体" w:cs="新宋体"/>
      <w:color w:val="000000"/>
      <w:sz w:val="20"/>
      <w:szCs w:val="20"/>
      <w:u w:val="none"/>
    </w:rPr>
  </w:style>
  <w:style w:type="character" w:customStyle="1" w:styleId="50">
    <w:name w:val="font41"/>
    <w:basedOn w:val="24"/>
    <w:qFormat/>
    <w:uiPriority w:val="0"/>
    <w:rPr>
      <w:rFonts w:hint="default" w:ascii="Times New Roman" w:hAnsi="Times New Roman" w:cs="Times New Roman"/>
      <w:color w:val="000000"/>
      <w:sz w:val="20"/>
      <w:szCs w:val="20"/>
      <w:u w:val="none"/>
    </w:rPr>
  </w:style>
  <w:style w:type="character" w:customStyle="1" w:styleId="51">
    <w:name w:val="font151"/>
    <w:basedOn w:val="24"/>
    <w:qFormat/>
    <w:uiPriority w:val="0"/>
    <w:rPr>
      <w:rFonts w:hint="eastAsia" w:ascii="宋体" w:hAnsi="宋体" w:eastAsia="宋体" w:cs="宋体"/>
      <w:color w:val="000000"/>
      <w:sz w:val="20"/>
      <w:szCs w:val="20"/>
      <w:u w:val="none"/>
    </w:rPr>
  </w:style>
  <w:style w:type="character" w:customStyle="1" w:styleId="52">
    <w:name w:val="font11"/>
    <w:qFormat/>
    <w:uiPriority w:val="0"/>
    <w:rPr>
      <w:rFonts w:hint="eastAsia" w:ascii="宋体" w:hAnsi="宋体" w:eastAsia="宋体" w:cs="宋体"/>
      <w:color w:val="000000"/>
      <w:sz w:val="24"/>
      <w:szCs w:val="24"/>
      <w:u w:val="none"/>
    </w:rPr>
  </w:style>
  <w:style w:type="character" w:customStyle="1" w:styleId="53">
    <w:name w:val="页眉 Char"/>
    <w:basedOn w:val="24"/>
    <w:link w:val="15"/>
    <w:qFormat/>
    <w:uiPriority w:val="0"/>
    <w:rPr>
      <w:rFonts w:eastAsia="仿宋_GB2312"/>
      <w:kern w:val="2"/>
      <w:sz w:val="18"/>
      <w:szCs w:val="24"/>
    </w:rPr>
  </w:style>
  <w:style w:type="character" w:customStyle="1" w:styleId="54">
    <w:name w:val="font141"/>
    <w:basedOn w:val="24"/>
    <w:qFormat/>
    <w:uiPriority w:val="0"/>
    <w:rPr>
      <w:rFonts w:hint="default" w:ascii="Times New Roman" w:hAnsi="Times New Roman" w:cs="Times New Roman"/>
      <w:color w:val="FF0000"/>
      <w:sz w:val="20"/>
      <w:szCs w:val="20"/>
      <w:u w:val="none"/>
    </w:rPr>
  </w:style>
  <w:style w:type="character" w:customStyle="1" w:styleId="55">
    <w:name w:val="font112"/>
    <w:basedOn w:val="24"/>
    <w:qFormat/>
    <w:uiPriority w:val="0"/>
    <w:rPr>
      <w:rFonts w:hint="eastAsia" w:ascii="宋体" w:hAnsi="宋体" w:eastAsia="宋体" w:cs="宋体"/>
      <w:color w:val="000000"/>
      <w:sz w:val="20"/>
      <w:szCs w:val="20"/>
      <w:u w:val="none"/>
    </w:rPr>
  </w:style>
  <w:style w:type="character" w:customStyle="1" w:styleId="56">
    <w:name w:val="font111"/>
    <w:qFormat/>
    <w:uiPriority w:val="0"/>
    <w:rPr>
      <w:rFonts w:hint="eastAsia" w:ascii="宋体" w:hAnsi="宋体" w:eastAsia="宋体" w:cs="宋体"/>
      <w:color w:val="000000"/>
      <w:sz w:val="20"/>
      <w:szCs w:val="20"/>
      <w:u w:val="none"/>
    </w:rPr>
  </w:style>
  <w:style w:type="character" w:customStyle="1" w:styleId="57">
    <w:name w:val="font12"/>
    <w:qFormat/>
    <w:uiPriority w:val="0"/>
    <w:rPr>
      <w:rFonts w:ascii="新宋体" w:hAnsi="新宋体" w:eastAsia="新宋体" w:cs="新宋体"/>
      <w:color w:val="000000"/>
      <w:sz w:val="20"/>
      <w:szCs w:val="20"/>
      <w:u w:val="none"/>
    </w:rPr>
  </w:style>
  <w:style w:type="character" w:customStyle="1" w:styleId="58">
    <w:name w:val="font81"/>
    <w:qFormat/>
    <w:uiPriority w:val="0"/>
    <w:rPr>
      <w:rFonts w:hint="default" w:ascii="Times New Roman" w:hAnsi="Times New Roman" w:cs="Times New Roman"/>
      <w:color w:val="000000"/>
      <w:sz w:val="20"/>
      <w:szCs w:val="20"/>
      <w:u w:val="none"/>
      <w:vertAlign w:val="superscript"/>
    </w:rPr>
  </w:style>
  <w:style w:type="character" w:customStyle="1" w:styleId="59">
    <w:name w:val="font161"/>
    <w:qFormat/>
    <w:uiPriority w:val="0"/>
    <w:rPr>
      <w:rFonts w:hint="default" w:ascii="Times New Roman" w:hAnsi="Times New Roman" w:cs="Times New Roman"/>
      <w:color w:val="FF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Pages>
  <Words>27</Words>
  <Characters>160</Characters>
  <Lines>1</Lines>
  <Paragraphs>1</Paragraphs>
  <TotalTime>3</TotalTime>
  <ScaleCrop>false</ScaleCrop>
  <LinksUpToDate>false</LinksUpToDate>
  <CharactersWithSpaces>186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騰</cp:lastModifiedBy>
  <cp:lastPrinted>2021-01-26T03:35:00Z</cp:lastPrinted>
  <dcterms:modified xsi:type="dcterms:W3CDTF">2021-02-01T06:03:14Z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