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hint="eastAsia" w:ascii="宋体" w:hAnsi="宋体" w:eastAsia="宋体" w:cs="宋体"/>
          <w:b/>
          <w:bCs/>
          <w:color w:val="auto"/>
          <w:spacing w:val="120"/>
          <w:sz w:val="72"/>
          <w:szCs w:val="72"/>
          <w:highlight w:val="none"/>
        </w:rPr>
      </w:pPr>
      <w:bookmarkStart w:id="250" w:name="_GoBack"/>
      <w:bookmarkEnd w:id="250"/>
    </w:p>
    <w:p>
      <w:pPr>
        <w:autoSpaceDE w:val="0"/>
        <w:autoSpaceDN w:val="0"/>
        <w:spacing w:line="500" w:lineRule="atLeast"/>
        <w:jc w:val="distribute"/>
        <w:textAlignment w:val="bottom"/>
        <w:rPr>
          <w:rFonts w:hint="eastAsia" w:ascii="宋体" w:hAnsi="宋体" w:eastAsia="宋体" w:cs="宋体"/>
          <w:b/>
          <w:bCs/>
          <w:color w:val="auto"/>
          <w:spacing w:val="-40"/>
          <w:sz w:val="72"/>
          <w:szCs w:val="72"/>
          <w:highlight w:val="none"/>
        </w:rPr>
      </w:pPr>
      <w:r>
        <w:rPr>
          <w:rFonts w:hint="eastAsia" w:ascii="宋体" w:hAnsi="宋体" w:eastAsia="宋体" w:cs="宋体"/>
          <w:b/>
          <w:bCs/>
          <w:color w:val="auto"/>
          <w:spacing w:val="-40"/>
          <w:sz w:val="72"/>
          <w:szCs w:val="72"/>
          <w:highlight w:val="none"/>
        </w:rPr>
        <w:t>温州市</w:t>
      </w:r>
      <w:r>
        <w:rPr>
          <w:rFonts w:hint="eastAsia" w:ascii="宋体" w:hAnsi="宋体" w:eastAsia="宋体" w:cs="宋体"/>
          <w:b/>
          <w:bCs/>
          <w:color w:val="auto"/>
          <w:spacing w:val="-40"/>
          <w:sz w:val="72"/>
          <w:szCs w:val="72"/>
          <w:highlight w:val="none"/>
          <w:lang w:val="en-US" w:eastAsia="zh-CN"/>
        </w:rPr>
        <w:t>鹿城区</w:t>
      </w:r>
      <w:r>
        <w:rPr>
          <w:rFonts w:hint="eastAsia" w:ascii="宋体" w:hAnsi="宋体" w:eastAsia="宋体" w:cs="宋体"/>
          <w:b/>
          <w:bCs/>
          <w:color w:val="auto"/>
          <w:spacing w:val="-40"/>
          <w:sz w:val="72"/>
          <w:szCs w:val="72"/>
          <w:highlight w:val="none"/>
        </w:rPr>
        <w:t>政府分散采购</w:t>
      </w:r>
    </w:p>
    <w:p>
      <w:pPr>
        <w:spacing w:line="400" w:lineRule="atLeast"/>
        <w:jc w:val="center"/>
        <w:rPr>
          <w:rFonts w:hint="eastAsia" w:ascii="宋体" w:hAnsi="宋体" w:eastAsia="宋体" w:cs="宋体"/>
          <w:b/>
          <w:color w:val="auto"/>
          <w:sz w:val="52"/>
          <w:highlight w:val="none"/>
        </w:rPr>
      </w:pPr>
    </w:p>
    <w:p>
      <w:pPr>
        <w:pStyle w:val="25"/>
        <w:rPr>
          <w:rFonts w:hint="eastAsia" w:ascii="宋体" w:hAnsi="宋体" w:eastAsia="宋体" w:cs="宋体"/>
          <w:color w:val="auto"/>
          <w:highlight w:val="none"/>
          <w:lang w:val="en-US" w:eastAsia="zh-CN"/>
        </w:rPr>
      </w:pPr>
    </w:p>
    <w:p>
      <w:pPr>
        <w:pStyle w:val="26"/>
        <w:ind w:firstLine="321"/>
        <w:rPr>
          <w:rFonts w:hint="eastAsia" w:ascii="宋体" w:hAnsi="宋体" w:eastAsia="宋体" w:cs="宋体"/>
          <w:color w:val="auto"/>
          <w:highlight w:val="none"/>
          <w:lang w:val="en-US" w:eastAsia="zh-CN"/>
        </w:rPr>
      </w:pPr>
    </w:p>
    <w:p>
      <w:pPr>
        <w:spacing w:line="400" w:lineRule="atLeast"/>
        <w:jc w:val="center"/>
        <w:rPr>
          <w:rFonts w:hint="eastAsia" w:ascii="宋体" w:hAnsi="宋体" w:eastAsia="宋体" w:cs="宋体"/>
          <w:b/>
          <w:color w:val="auto"/>
          <w:sz w:val="36"/>
          <w:szCs w:val="36"/>
          <w:highlight w:val="none"/>
        </w:rPr>
      </w:pPr>
    </w:p>
    <w:p>
      <w:pPr>
        <w:autoSpaceDE w:val="0"/>
        <w:autoSpaceDN w:val="0"/>
        <w:spacing w:line="500" w:lineRule="atLeast"/>
        <w:jc w:val="center"/>
        <w:textAlignment w:val="bottom"/>
        <w:rPr>
          <w:rFonts w:hint="eastAsia" w:ascii="宋体" w:hAnsi="宋体" w:eastAsia="宋体" w:cs="宋体"/>
          <w:b/>
          <w:color w:val="auto"/>
          <w:sz w:val="72"/>
          <w:szCs w:val="72"/>
          <w:highlight w:val="none"/>
        </w:rPr>
      </w:pPr>
      <w:r>
        <w:rPr>
          <w:rFonts w:hint="eastAsia" w:ascii="宋体" w:hAnsi="宋体" w:eastAsia="宋体" w:cs="宋体"/>
          <w:b/>
          <w:bCs/>
          <w:color w:val="auto"/>
          <w:sz w:val="72"/>
          <w:szCs w:val="72"/>
          <w:highlight w:val="none"/>
        </w:rPr>
        <w:t>招 标 文 件</w:t>
      </w:r>
    </w:p>
    <w:p>
      <w:pPr>
        <w:spacing w:line="400" w:lineRule="atLeast"/>
        <w:rPr>
          <w:rFonts w:hint="eastAsia" w:ascii="宋体" w:hAnsi="宋体" w:eastAsia="宋体" w:cs="宋体"/>
          <w:b/>
          <w:color w:val="auto"/>
          <w:sz w:val="44"/>
          <w:szCs w:val="44"/>
          <w:highlight w:val="none"/>
        </w:rPr>
      </w:pPr>
    </w:p>
    <w:p>
      <w:pPr>
        <w:spacing w:line="400" w:lineRule="atLeast"/>
        <w:rPr>
          <w:rFonts w:hint="eastAsia" w:ascii="宋体" w:hAnsi="宋体" w:eastAsia="宋体" w:cs="宋体"/>
          <w:b/>
          <w:color w:val="auto"/>
          <w:sz w:val="44"/>
          <w:szCs w:val="44"/>
          <w:highlight w:val="none"/>
        </w:rPr>
      </w:pPr>
    </w:p>
    <w:p>
      <w:pPr>
        <w:spacing w:line="400" w:lineRule="atLeast"/>
        <w:rPr>
          <w:rFonts w:hint="eastAsia" w:ascii="宋体" w:hAnsi="宋体" w:eastAsia="宋体" w:cs="宋体"/>
          <w:b/>
          <w:color w:val="auto"/>
          <w:sz w:val="52"/>
          <w:highlight w:val="none"/>
        </w:rPr>
      </w:pPr>
    </w:p>
    <w:p>
      <w:pPr>
        <w:tabs>
          <w:tab w:val="left" w:pos="4860"/>
        </w:tabs>
        <w:spacing w:line="600" w:lineRule="exact"/>
        <w:ind w:firstLine="1684" w:firstLineChars="559"/>
        <w:jc w:val="left"/>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r>
        <w:rPr>
          <w:rFonts w:hint="eastAsia" w:ascii="宋体" w:hAnsi="宋体" w:eastAsia="宋体" w:cs="宋体"/>
          <w:b/>
          <w:color w:val="auto"/>
          <w:sz w:val="30"/>
          <w:szCs w:val="30"/>
          <w:highlight w:val="none"/>
          <w:lang w:eastAsia="zh-CN"/>
        </w:rPr>
        <w:t>GZWZ[202</w:t>
      </w:r>
      <w:r>
        <w:rPr>
          <w:rFonts w:hint="eastAsia" w:ascii="宋体"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005</w:t>
      </w:r>
    </w:p>
    <w:p>
      <w:pPr>
        <w:tabs>
          <w:tab w:val="left" w:pos="4860"/>
        </w:tabs>
        <w:spacing w:line="600" w:lineRule="exact"/>
        <w:ind w:firstLine="1684" w:firstLineChars="559"/>
        <w:jc w:val="left"/>
        <w:rPr>
          <w:rFonts w:hint="eastAsia" w:ascii="宋体" w:hAnsi="宋体" w:eastAsia="宋体" w:cs="宋体"/>
          <w:b/>
          <w:color w:val="auto"/>
          <w:sz w:val="30"/>
          <w:szCs w:val="30"/>
          <w:highlight w:val="none"/>
          <w:lang w:val="en" w:eastAsia="zh-CN"/>
        </w:rPr>
      </w:pPr>
      <w:r>
        <w:rPr>
          <w:rFonts w:hint="eastAsia" w:ascii="宋体" w:hAnsi="宋体" w:eastAsia="宋体" w:cs="宋体"/>
          <w:b/>
          <w:color w:val="auto"/>
          <w:sz w:val="30"/>
          <w:szCs w:val="30"/>
          <w:highlight w:val="none"/>
        </w:rPr>
        <w:t>项目名称：</w:t>
      </w:r>
      <w:r>
        <w:rPr>
          <w:rFonts w:hint="eastAsia" w:ascii="宋体" w:hAnsi="宋体" w:eastAsia="宋体" w:cs="宋体"/>
          <w:b/>
          <w:color w:val="auto"/>
          <w:sz w:val="30"/>
          <w:szCs w:val="30"/>
          <w:highlight w:val="none"/>
          <w:lang w:val="en" w:eastAsia="zh-CN"/>
        </w:rPr>
        <w:t>鹿城区环卫一体化项目二期（重）</w:t>
      </w:r>
    </w:p>
    <w:p>
      <w:pPr>
        <w:tabs>
          <w:tab w:val="left" w:pos="4860"/>
        </w:tabs>
        <w:spacing w:line="600" w:lineRule="exact"/>
        <w:ind w:firstLine="1684" w:firstLineChars="559"/>
        <w:jc w:val="left"/>
        <w:rPr>
          <w:rFonts w:hint="eastAsia" w:ascii="宋体" w:hAnsi="宋体" w:eastAsia="宋体" w:cs="宋体"/>
          <w:b/>
          <w:color w:val="auto"/>
          <w:sz w:val="44"/>
          <w:szCs w:val="44"/>
          <w:highlight w:val="none"/>
        </w:rPr>
      </w:pPr>
      <w:r>
        <w:rPr>
          <w:rFonts w:hint="eastAsia" w:ascii="宋体" w:hAnsi="宋体" w:eastAsia="宋体" w:cs="宋体"/>
          <w:b/>
          <w:color w:val="auto"/>
          <w:sz w:val="30"/>
          <w:szCs w:val="30"/>
          <w:highlight w:val="none"/>
        </w:rPr>
        <w:t>采购方式：公 开 招 标</w:t>
      </w:r>
    </w:p>
    <w:p>
      <w:pPr>
        <w:pStyle w:val="2"/>
        <w:rPr>
          <w:rFonts w:hint="eastAsia"/>
          <w:color w:val="auto"/>
          <w:highlight w:val="none"/>
        </w:rPr>
      </w:pPr>
    </w:p>
    <w:tbl>
      <w:tblPr>
        <w:tblStyle w:val="59"/>
        <w:tblW w:w="0" w:type="auto"/>
        <w:tblInd w:w="1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55"/>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5" w:type="dxa"/>
            <w:tcBorders>
              <w:top w:val="nil"/>
              <w:left w:val="nil"/>
              <w:bottom w:val="nil"/>
              <w:right w:val="nil"/>
            </w:tcBorders>
            <w:noWrap w:val="0"/>
            <w:vAlign w:val="top"/>
          </w:tcPr>
          <w:p>
            <w:pPr>
              <w:spacing w:line="400" w:lineRule="atLeast"/>
              <w:jc w:val="both"/>
              <w:rPr>
                <w:rFonts w:hint="eastAsia" w:ascii="宋体" w:hAnsi="宋体" w:eastAsia="宋体" w:cs="宋体"/>
                <w:b/>
                <w:color w:val="auto"/>
                <w:sz w:val="44"/>
                <w:szCs w:val="44"/>
                <w:highlight w:val="none"/>
                <w:vertAlign w:val="baseline"/>
              </w:rPr>
            </w:pPr>
            <w:r>
              <w:rPr>
                <w:rFonts w:hint="eastAsia" w:ascii="宋体" w:hAnsi="宋体" w:eastAsia="宋体" w:cs="宋体"/>
                <w:b/>
                <w:color w:val="auto"/>
                <w:sz w:val="30"/>
                <w:szCs w:val="30"/>
                <w:highlight w:val="none"/>
              </w:rPr>
              <w:t>采 购  人：</w:t>
            </w:r>
          </w:p>
        </w:tc>
        <w:tc>
          <w:tcPr>
            <w:tcW w:w="6130" w:type="dxa"/>
            <w:tcBorders>
              <w:top w:val="nil"/>
              <w:left w:val="nil"/>
              <w:bottom w:val="nil"/>
              <w:right w:val="nil"/>
            </w:tcBorders>
            <w:noWrap w:val="0"/>
            <w:vAlign w:val="top"/>
          </w:tcPr>
          <w:p>
            <w:pPr>
              <w:spacing w:line="400" w:lineRule="atLeast"/>
              <w:jc w:val="both"/>
              <w:rPr>
                <w:rFonts w:hint="eastAsia" w:ascii="宋体" w:hAnsi="宋体" w:eastAsia="宋体" w:cs="宋体"/>
                <w:b/>
                <w:color w:val="auto"/>
                <w:sz w:val="44"/>
                <w:szCs w:val="44"/>
                <w:highlight w:val="none"/>
                <w:vertAlign w:val="baseline"/>
              </w:rPr>
            </w:pPr>
            <w:r>
              <w:rPr>
                <w:rFonts w:hint="eastAsia" w:ascii="宋体" w:hAnsi="宋体" w:eastAsia="宋体" w:cs="宋体"/>
                <w:b/>
                <w:color w:val="auto"/>
                <w:spacing w:val="12"/>
                <w:sz w:val="30"/>
                <w:szCs w:val="30"/>
                <w:highlight w:val="none"/>
                <w:lang w:eastAsia="zh-CN"/>
              </w:rPr>
              <w:t>温州市鹿城区综合行政执法局</w:t>
            </w:r>
          </w:p>
        </w:tc>
      </w:tr>
    </w:tbl>
    <w:p>
      <w:pPr>
        <w:spacing w:line="600" w:lineRule="exact"/>
        <w:ind w:firstLine="1906" w:firstLineChars="500"/>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采购代理</w:t>
      </w:r>
      <w:r>
        <w:rPr>
          <w:rFonts w:hint="eastAsia" w:ascii="宋体" w:hAnsi="宋体" w:eastAsia="宋体" w:cs="宋体"/>
          <w:b/>
          <w:color w:val="auto"/>
          <w:sz w:val="30"/>
          <w:szCs w:val="30"/>
          <w:highlight w:val="none"/>
        </w:rPr>
        <w:t>：</w:t>
      </w:r>
      <w:r>
        <w:rPr>
          <w:rFonts w:hint="eastAsia" w:ascii="宋体" w:hAnsi="宋体" w:eastAsia="宋体" w:cs="宋体"/>
          <w:b/>
          <w:color w:val="auto"/>
          <w:spacing w:val="12"/>
          <w:sz w:val="30"/>
          <w:szCs w:val="30"/>
          <w:highlight w:val="none"/>
          <w:lang w:eastAsia="zh-CN"/>
        </w:rPr>
        <w:t>宁波国咨工程造价咨询有限公司</w:t>
      </w:r>
    </w:p>
    <w:p>
      <w:pPr>
        <w:spacing w:line="600" w:lineRule="exact"/>
        <w:jc w:val="center"/>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二〇二</w:t>
      </w:r>
      <w:r>
        <w:rPr>
          <w:rFonts w:hint="eastAsia" w:ascii="宋体" w:hAnsi="宋体" w:eastAsia="宋体" w:cs="宋体"/>
          <w:b/>
          <w:color w:val="auto"/>
          <w:spacing w:val="40"/>
          <w:sz w:val="30"/>
          <w:szCs w:val="30"/>
          <w:highlight w:val="none"/>
          <w:lang w:val="en-US" w:eastAsia="zh-CN"/>
        </w:rPr>
        <w:t>三</w:t>
      </w:r>
      <w:r>
        <w:rPr>
          <w:rFonts w:hint="eastAsia" w:ascii="宋体" w:hAnsi="宋体" w:eastAsia="宋体" w:cs="宋体"/>
          <w:b/>
          <w:color w:val="auto"/>
          <w:spacing w:val="40"/>
          <w:sz w:val="30"/>
          <w:szCs w:val="30"/>
          <w:highlight w:val="none"/>
        </w:rPr>
        <w:t>年</w:t>
      </w:r>
      <w:r>
        <w:rPr>
          <w:rFonts w:hint="eastAsia" w:ascii="宋体" w:hAnsi="宋体" w:eastAsia="宋体" w:cs="宋体"/>
          <w:b/>
          <w:color w:val="auto"/>
          <w:spacing w:val="40"/>
          <w:sz w:val="30"/>
          <w:szCs w:val="30"/>
          <w:highlight w:val="none"/>
          <w:lang w:val="en-US" w:eastAsia="zh-CN"/>
        </w:rPr>
        <w:t>三</w:t>
      </w:r>
      <w:r>
        <w:rPr>
          <w:rFonts w:hint="eastAsia" w:ascii="宋体" w:hAnsi="宋体" w:eastAsia="宋体" w:cs="宋体"/>
          <w:b/>
          <w:color w:val="auto"/>
          <w:spacing w:val="40"/>
          <w:sz w:val="30"/>
          <w:szCs w:val="30"/>
          <w:highlight w:val="none"/>
        </w:rPr>
        <w:t>月</w:t>
      </w:r>
    </w:p>
    <w:p>
      <w:pPr>
        <w:spacing w:line="600" w:lineRule="exact"/>
        <w:jc w:val="center"/>
        <w:rPr>
          <w:rFonts w:hint="eastAsia" w:ascii="宋体" w:hAnsi="宋体" w:eastAsia="宋体" w:cs="宋体"/>
          <w:b/>
          <w:color w:val="auto"/>
          <w:sz w:val="30"/>
          <w:szCs w:val="30"/>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0"/>
          <w:cols w:space="720" w:num="1"/>
          <w:titlePg/>
          <w:docGrid w:linePitch="312" w:charSpace="0"/>
        </w:sectPr>
      </w:pPr>
    </w:p>
    <w:p>
      <w:pPr>
        <w:pStyle w:val="42"/>
        <w:tabs>
          <w:tab w:val="right" w:leader="dot" w:pos="9638"/>
        </w:tabs>
        <w:ind w:left="1030" w:hanging="103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42"/>
        <w:tabs>
          <w:tab w:val="right" w:leader="dot" w:pos="9628"/>
        </w:tabs>
        <w:spacing w:line="480" w:lineRule="auto"/>
        <w:ind w:left="1" w:firstLine="0" w:firstLineChars="0"/>
        <w:rPr>
          <w:rFonts w:hint="eastAsia" w:ascii="宋体" w:hAnsi="宋体" w:eastAsia="宋体" w:cs="宋体"/>
          <w:b/>
          <w:bCs/>
          <w:color w:val="auto"/>
          <w:szCs w:val="21"/>
          <w:highlight w:val="none"/>
        </w:rPr>
      </w:pP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TOC \o "1-3" \h \u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_Toc24491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color w:val="auto"/>
          <w:sz w:val="22"/>
          <w:szCs w:val="22"/>
          <w:highlight w:val="none"/>
          <w:lang w:eastAsia="zh-CN"/>
        </w:rPr>
        <w:t>宁波国咨工程造价咨询有限公司</w:t>
      </w:r>
      <w:r>
        <w:rPr>
          <w:rFonts w:hint="eastAsia" w:ascii="宋体" w:hAnsi="宋体" w:eastAsia="宋体" w:cs="宋体"/>
          <w:color w:val="auto"/>
          <w:sz w:val="22"/>
          <w:szCs w:val="22"/>
          <w:highlight w:val="none"/>
        </w:rPr>
        <w:t>关于</w:t>
      </w:r>
      <w:r>
        <w:rPr>
          <w:rFonts w:hint="eastAsia" w:ascii="宋体" w:hAnsi="宋体" w:eastAsia="宋体" w:cs="宋体"/>
          <w:color w:val="auto"/>
          <w:sz w:val="22"/>
          <w:szCs w:val="22"/>
          <w:highlight w:val="none"/>
          <w:lang w:val="en" w:eastAsia="zh-CN"/>
        </w:rPr>
        <w:t>鹿城区环卫一体化项目二期（重）</w:t>
      </w:r>
      <w:r>
        <w:rPr>
          <w:rFonts w:hint="eastAsia" w:ascii="宋体" w:hAnsi="宋体" w:eastAsia="宋体" w:cs="宋体"/>
          <w:color w:val="auto"/>
          <w:sz w:val="22"/>
          <w:szCs w:val="22"/>
          <w:highlight w:val="none"/>
        </w:rPr>
        <w:t>的公开招标公告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_Toc24491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_Toc9387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color w:val="auto"/>
          <w:sz w:val="22"/>
          <w:szCs w:val="22"/>
          <w:highlight w:val="none"/>
        </w:rPr>
        <w:t xml:space="preserve">第一部分   </w:t>
      </w:r>
      <w:r>
        <w:rPr>
          <w:rFonts w:hint="eastAsia" w:ascii="宋体" w:hAnsi="宋体" w:eastAsia="宋体" w:cs="宋体"/>
          <w:color w:val="auto"/>
          <w:sz w:val="22"/>
          <w:szCs w:val="22"/>
          <w:highlight w:val="none"/>
          <w:lang w:eastAsia="zh-CN"/>
        </w:rPr>
        <w:t>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_Toc9387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_Toc9578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color w:val="auto"/>
          <w:kern w:val="2"/>
          <w:sz w:val="22"/>
          <w:szCs w:val="22"/>
          <w:highlight w:val="none"/>
        </w:rPr>
        <w:t>第二部分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_Toc9578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_Toc14140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color w:val="auto"/>
          <w:kern w:val="2"/>
          <w:sz w:val="22"/>
          <w:szCs w:val="22"/>
          <w:highlight w:val="none"/>
        </w:rPr>
        <w:t>第</w:t>
      </w:r>
      <w:r>
        <w:rPr>
          <w:rFonts w:hint="eastAsia" w:ascii="宋体" w:hAnsi="宋体" w:eastAsia="宋体" w:cs="宋体"/>
          <w:color w:val="auto"/>
          <w:kern w:val="2"/>
          <w:sz w:val="22"/>
          <w:szCs w:val="22"/>
          <w:highlight w:val="none"/>
          <w:lang w:eastAsia="zh-CN"/>
        </w:rPr>
        <w:t>三</w:t>
      </w:r>
      <w:r>
        <w:rPr>
          <w:rFonts w:hint="eastAsia" w:ascii="宋体" w:hAnsi="宋体" w:eastAsia="宋体" w:cs="宋体"/>
          <w:color w:val="auto"/>
          <w:kern w:val="2"/>
          <w:sz w:val="22"/>
          <w:szCs w:val="22"/>
          <w:highlight w:val="none"/>
        </w:rPr>
        <w:t>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_Toc14140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31</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_Toc18276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第四部分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_Toc18276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_Toc8072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color w:val="auto"/>
          <w:sz w:val="22"/>
          <w:szCs w:val="22"/>
          <w:highlight w:val="none"/>
        </w:rPr>
        <w:t>第</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_Toc8072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79</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\l _Toc15632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color w:val="auto"/>
          <w:sz w:val="22"/>
          <w:szCs w:val="22"/>
          <w:highlight w:val="none"/>
        </w:rPr>
        <w:t>第</w:t>
      </w: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rPr>
        <w:t>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_Toc15632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103</w:t>
      </w:r>
      <w:r>
        <w:rPr>
          <w:rFonts w:hint="eastAsia" w:ascii="宋体" w:hAnsi="宋体" w:eastAsia="宋体" w:cs="宋体"/>
          <w:color w:val="auto"/>
          <w:sz w:val="22"/>
          <w:szCs w:val="22"/>
          <w:highlight w:val="none"/>
        </w:rPr>
        <w:fldChar w:fldCharType="end"/>
      </w:r>
      <w:r>
        <w:rPr>
          <w:rFonts w:hint="eastAsia" w:ascii="宋体" w:hAnsi="宋体" w:eastAsia="宋体" w:cs="宋体"/>
          <w:bCs/>
          <w:color w:val="auto"/>
          <w:sz w:val="22"/>
          <w:szCs w:val="22"/>
          <w:highlight w:val="none"/>
        </w:rPr>
        <w:fldChar w:fldCharType="end"/>
      </w:r>
      <w:r>
        <w:rPr>
          <w:rFonts w:hint="eastAsia" w:ascii="宋体" w:hAnsi="宋体" w:eastAsia="宋体" w:cs="宋体"/>
          <w:color w:val="auto"/>
          <w:sz w:val="22"/>
          <w:szCs w:val="22"/>
          <w:highlight w:val="none"/>
          <w:lang w:val="en-US" w:eastAsia="zh-CN"/>
        </w:rPr>
        <w:t>8</w:t>
      </w:r>
    </w:p>
    <w:p>
      <w:pPr>
        <w:pStyle w:val="25"/>
        <w:keepNext w:val="0"/>
        <w:keepLines w:val="0"/>
        <w:pageBreakBefore w:val="0"/>
        <w:widowControl w:val="0"/>
        <w:kinsoku/>
        <w:wordWrap/>
        <w:overflowPunct/>
        <w:topLinePunct w:val="0"/>
        <w:autoSpaceDE/>
        <w:autoSpaceDN/>
        <w:bidi w:val="0"/>
        <w:adjustRightInd/>
        <w:snapToGrid/>
        <w:spacing w:after="0" w:line="480" w:lineRule="auto"/>
        <w:ind w:left="0"/>
        <w:textAlignment w:val="auto"/>
        <w:rPr>
          <w:rFonts w:hint="eastAsia" w:ascii="宋体" w:hAnsi="宋体" w:eastAsia="宋体" w:cs="宋体"/>
          <w:b/>
          <w:bCs/>
          <w:color w:val="auto"/>
          <w:szCs w:val="21"/>
          <w:highlight w:val="none"/>
        </w:rPr>
      </w:pPr>
      <w:r>
        <w:rPr>
          <w:rFonts w:hint="eastAsia" w:ascii="宋体" w:hAnsi="宋体" w:eastAsia="宋体" w:cs="宋体"/>
          <w:bCs/>
          <w:color w:val="auto"/>
          <w:sz w:val="22"/>
          <w:szCs w:val="22"/>
          <w:highlight w:val="none"/>
        </w:rPr>
        <w:fldChar w:fldCharType="end"/>
      </w:r>
    </w:p>
    <w:p>
      <w:pPr>
        <w:pStyle w:val="26"/>
        <w:spacing w:line="500" w:lineRule="exact"/>
        <w:ind w:firstLine="0" w:firstLineChars="0"/>
        <w:rPr>
          <w:rFonts w:hint="eastAsia" w:ascii="宋体" w:hAnsi="宋体" w:eastAsia="宋体" w:cs="宋体"/>
          <w:b w:val="0"/>
          <w:bCs/>
          <w:color w:val="auto"/>
          <w:sz w:val="22"/>
          <w:szCs w:val="22"/>
          <w:highlight w:val="none"/>
        </w:rPr>
      </w:pPr>
      <w:r>
        <w:rPr>
          <w:rFonts w:hint="eastAsia" w:ascii="宋体" w:hAnsi="宋体" w:eastAsia="宋体" w:cs="宋体"/>
          <w:bCs/>
          <w:color w:val="auto"/>
          <w:sz w:val="22"/>
          <w:szCs w:val="22"/>
          <w:highlight w:val="none"/>
        </w:rPr>
        <w:t>注：招标文件中加“▲”且加下划线条款，为招标的实质性要求和条件，着重提醒各投标人注意，并认真查看招标文件中的每一个条款及要求，因误读招标文件而造成的后果，</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rPr>
        <w:t>人概不负责。</w:t>
      </w:r>
    </w:p>
    <w:p>
      <w:pPr>
        <w:pStyle w:val="26"/>
        <w:ind w:firstLine="320"/>
        <w:rPr>
          <w:rFonts w:hint="eastAsia" w:ascii="宋体" w:hAnsi="宋体" w:eastAsia="宋体" w:cs="宋体"/>
          <w:b w:val="0"/>
          <w:bCs/>
          <w:color w:val="auto"/>
          <w:szCs w:val="21"/>
          <w:highlight w:val="none"/>
        </w:rPr>
      </w:pPr>
    </w:p>
    <w:p>
      <w:pPr>
        <w:pStyle w:val="26"/>
        <w:ind w:firstLine="320"/>
        <w:rPr>
          <w:rFonts w:hint="eastAsia" w:ascii="宋体" w:hAnsi="宋体" w:eastAsia="宋体" w:cs="宋体"/>
          <w:b w:val="0"/>
          <w:bCs/>
          <w:color w:val="auto"/>
          <w:szCs w:val="21"/>
          <w:highlight w:val="none"/>
          <w:lang w:eastAsia="zh-CN"/>
        </w:rPr>
      </w:pPr>
    </w:p>
    <w:p>
      <w:pPr>
        <w:pStyle w:val="26"/>
        <w:ind w:firstLine="320"/>
        <w:rPr>
          <w:rFonts w:hint="eastAsia" w:ascii="宋体" w:hAnsi="宋体" w:eastAsia="宋体" w:cs="宋体"/>
          <w:b w:val="0"/>
          <w:bCs/>
          <w:color w:val="auto"/>
          <w:szCs w:val="21"/>
          <w:highlight w:val="none"/>
          <w:lang w:eastAsia="zh-CN"/>
        </w:rPr>
      </w:pPr>
    </w:p>
    <w:p>
      <w:pPr>
        <w:pStyle w:val="5"/>
        <w:rPr>
          <w:rFonts w:hint="eastAsia" w:ascii="宋体" w:hAnsi="宋体" w:eastAsia="宋体" w:cs="宋体"/>
          <w:color w:val="auto"/>
          <w:sz w:val="30"/>
          <w:szCs w:val="30"/>
          <w:highlight w:val="none"/>
        </w:rPr>
      </w:pPr>
      <w:bookmarkStart w:id="0" w:name="_Toc26845"/>
      <w:bookmarkStart w:id="1" w:name="_Toc361035134"/>
      <w:bookmarkStart w:id="2" w:name="_Toc445914867"/>
      <w:bookmarkStart w:id="3" w:name="_Toc363576971"/>
    </w:p>
    <w:p>
      <w:pPr>
        <w:rPr>
          <w:rFonts w:hint="eastAsia" w:ascii="宋体" w:hAnsi="宋体" w:eastAsia="宋体" w:cs="宋体"/>
          <w:color w:val="auto"/>
          <w:highlight w:val="none"/>
        </w:rPr>
      </w:pPr>
    </w:p>
    <w:p>
      <w:pPr>
        <w:pStyle w:val="25"/>
        <w:rPr>
          <w:rFonts w:hint="eastAsia" w:ascii="宋体" w:hAnsi="宋体" w:eastAsia="宋体" w:cs="宋体"/>
          <w:color w:val="auto"/>
          <w:highlight w:val="none"/>
          <w:lang w:val="en-US"/>
        </w:rPr>
      </w:pPr>
    </w:p>
    <w:p>
      <w:pPr>
        <w:pStyle w:val="5"/>
        <w:rPr>
          <w:rFonts w:hint="eastAsia" w:ascii="宋体" w:hAnsi="宋体" w:eastAsia="宋体" w:cs="宋体"/>
          <w:b w:val="0"/>
          <w:bCs w:val="0"/>
          <w:color w:val="auto"/>
          <w:kern w:val="0"/>
          <w:sz w:val="32"/>
          <w:szCs w:val="32"/>
          <w:highlight w:val="none"/>
        </w:rPr>
      </w:pPr>
      <w:r>
        <w:rPr>
          <w:rFonts w:hint="eastAsia" w:ascii="宋体" w:hAnsi="宋体" w:eastAsia="宋体" w:cs="宋体"/>
          <w:color w:val="auto"/>
          <w:sz w:val="30"/>
          <w:szCs w:val="30"/>
          <w:highlight w:val="none"/>
          <w:lang w:eastAsia="zh-CN"/>
        </w:rPr>
        <w:br w:type="page"/>
      </w:r>
      <w:bookmarkStart w:id="4" w:name="_Toc24491"/>
      <w:r>
        <w:rPr>
          <w:rFonts w:hint="eastAsia" w:ascii="宋体" w:hAnsi="宋体" w:eastAsia="宋体" w:cs="宋体"/>
          <w:color w:val="auto"/>
          <w:sz w:val="32"/>
          <w:szCs w:val="32"/>
          <w:highlight w:val="none"/>
          <w:lang w:eastAsia="zh-CN"/>
        </w:rPr>
        <w:t>宁波国咨工程造价咨询有限公司</w:t>
      </w:r>
      <w:r>
        <w:rPr>
          <w:rFonts w:hint="eastAsia" w:ascii="宋体" w:hAnsi="宋体" w:eastAsia="宋体" w:cs="宋体"/>
          <w:color w:val="auto"/>
          <w:sz w:val="32"/>
          <w:szCs w:val="32"/>
          <w:highlight w:val="none"/>
        </w:rPr>
        <w:t>关于</w:t>
      </w:r>
      <w:r>
        <w:rPr>
          <w:rFonts w:hint="eastAsia" w:ascii="宋体" w:hAnsi="宋体" w:eastAsia="宋体" w:cs="宋体"/>
          <w:color w:val="auto"/>
          <w:sz w:val="32"/>
          <w:szCs w:val="32"/>
          <w:highlight w:val="none"/>
          <w:lang w:val="en" w:eastAsia="zh-CN"/>
        </w:rPr>
        <w:t>鹿城区环卫一体化项目二期（重）</w:t>
      </w:r>
      <w:r>
        <w:rPr>
          <w:rFonts w:hint="eastAsia" w:ascii="宋体" w:hAnsi="宋体" w:eastAsia="宋体" w:cs="宋体"/>
          <w:color w:val="auto"/>
          <w:sz w:val="32"/>
          <w:szCs w:val="32"/>
          <w:highlight w:val="none"/>
        </w:rPr>
        <w:t>的公开招标公告</w:t>
      </w:r>
      <w:bookmarkEnd w:id="0"/>
      <w:bookmarkEnd w:id="4"/>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 w:eastAsia="zh-CN"/>
        </w:rPr>
        <w:t>鹿城区环卫一体化项目二期（重）</w:t>
      </w:r>
      <w:r>
        <w:rPr>
          <w:rFonts w:hint="eastAsia" w:ascii="宋体" w:hAnsi="宋体" w:eastAsia="宋体" w:cs="宋体"/>
          <w:bCs/>
          <w:color w:val="auto"/>
          <w:sz w:val="22"/>
          <w:szCs w:val="22"/>
          <w:highlight w:val="none"/>
        </w:rPr>
        <w:t>招标项目的潜在投标人应在政府采购云平台（www.zcygov.cn）上自主获取（未注册政采云账号请尽早办理，注册流程详见“浙江政府采购网—网上办事指南—投标人注册申请”，咨询电话：4008817190）。获取（下载）招标文件，并于</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日</w:t>
      </w:r>
      <w:r>
        <w:rPr>
          <w:rFonts w:hint="eastAsia" w:ascii="宋体" w:hAnsi="宋体" w:eastAsia="宋体" w:cs="宋体"/>
          <w:bCs/>
          <w:color w:val="auto"/>
          <w:sz w:val="22"/>
          <w:szCs w:val="22"/>
          <w:highlight w:val="none"/>
        </w:rPr>
        <w:t xml:space="preserve"> 09:30（北京时间）前递交（上传）投标文件。       </w:t>
      </w:r>
    </w:p>
    <w:p>
      <w:pPr>
        <w:widowControl/>
        <w:spacing w:line="36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pPr>
        <w:widowControl/>
        <w:spacing w:line="360" w:lineRule="exact"/>
        <w:ind w:firstLine="503" w:firstLineChars="229"/>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项目编号：GZWZ[2023]005</w:t>
      </w:r>
    </w:p>
    <w:p>
      <w:pPr>
        <w:widowControl/>
        <w:spacing w:line="360" w:lineRule="exact"/>
        <w:ind w:firstLine="503" w:firstLineChars="229"/>
        <w:jc w:val="left"/>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rPr>
        <w:t>项目名称：</w:t>
      </w:r>
      <w:r>
        <w:rPr>
          <w:rFonts w:hint="eastAsia" w:ascii="宋体" w:hAnsi="宋体" w:eastAsia="宋体" w:cs="宋体"/>
          <w:color w:val="auto"/>
          <w:kern w:val="0"/>
          <w:sz w:val="22"/>
          <w:szCs w:val="22"/>
          <w:highlight w:val="none"/>
          <w:lang w:val="en" w:eastAsia="zh-CN"/>
        </w:rPr>
        <w:t>鹿城区环卫一体化项目二期（重）</w:t>
      </w:r>
    </w:p>
    <w:p>
      <w:pPr>
        <w:widowControl/>
        <w:spacing w:line="360" w:lineRule="exact"/>
        <w:ind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预算金额(元)：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89452628</w:t>
      </w:r>
      <w:r>
        <w:rPr>
          <w:rFonts w:hint="eastAsia" w:ascii="宋体" w:hAnsi="宋体" w:eastAsia="宋体" w:cs="宋体"/>
          <w:color w:val="auto"/>
          <w:kern w:val="0"/>
          <w:sz w:val="22"/>
          <w:szCs w:val="22"/>
          <w:highlight w:val="none"/>
        </w:rPr>
        <w:t>.00</w:t>
      </w:r>
    </w:p>
    <w:p>
      <w:pPr>
        <w:widowControl/>
        <w:spacing w:line="360" w:lineRule="exact"/>
        <w:ind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最高限价(元)：/</w:t>
      </w:r>
    </w:p>
    <w:p>
      <w:pPr>
        <w:widowControl/>
        <w:spacing w:line="360" w:lineRule="exact"/>
        <w:ind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采购需求：</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标项1</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标项名称：鹿城区环卫一体化项目二期（双屿街道、丰门街道、仰义街道）（重）</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数量：</w:t>
      </w:r>
      <w:r>
        <w:rPr>
          <w:rFonts w:hint="eastAsia" w:ascii="宋体" w:hAnsi="宋体" w:eastAsia="宋体" w:cs="宋体"/>
          <w:color w:val="auto"/>
          <w:sz w:val="22"/>
          <w:szCs w:val="22"/>
          <w:highlight w:val="none"/>
          <w:lang w:val="en-US" w:eastAsia="zh-CN"/>
        </w:rPr>
        <w:t>不限</w:t>
      </w:r>
    </w:p>
    <w:p>
      <w:pPr>
        <w:widowControl/>
        <w:spacing w:before="60" w:after="60" w:line="360" w:lineRule="exact"/>
        <w:ind w:left="60" w:right="60" w:firstLine="503" w:firstLineChars="229"/>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预算金额(元)：</w:t>
      </w:r>
      <w:r>
        <w:rPr>
          <w:rFonts w:hint="eastAsia" w:ascii="宋体" w:hAnsi="宋体" w:eastAsia="宋体" w:cs="宋体"/>
          <w:color w:val="auto"/>
          <w:kern w:val="0"/>
          <w:sz w:val="22"/>
          <w:szCs w:val="22"/>
          <w:highlight w:val="none"/>
          <w:lang w:val="en-US" w:eastAsia="zh-CN"/>
        </w:rPr>
        <w:t>177468558</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简要规格描述：</w:t>
      </w:r>
      <w:r>
        <w:rPr>
          <w:rFonts w:hint="eastAsia" w:ascii="宋体" w:hAnsi="宋体" w:eastAsia="宋体" w:cs="宋体"/>
          <w:color w:val="auto"/>
          <w:kern w:val="0"/>
          <w:sz w:val="22"/>
          <w:szCs w:val="22"/>
          <w:highlight w:val="none"/>
          <w:lang w:val="en-US" w:eastAsia="zh-CN"/>
        </w:rPr>
        <w:t>鹿城区环卫一体化项目二期（双屿街道、丰门街道、仰义街道）（重）</w:t>
      </w:r>
      <w:r>
        <w:rPr>
          <w:rFonts w:hint="eastAsia" w:ascii="宋体" w:hAnsi="宋体" w:eastAsia="宋体" w:cs="宋体"/>
          <w:color w:val="auto"/>
          <w:kern w:val="0"/>
          <w:sz w:val="22"/>
          <w:szCs w:val="22"/>
          <w:highlight w:val="none"/>
        </w:rPr>
        <w:t>，具体</w:t>
      </w:r>
      <w:r>
        <w:rPr>
          <w:rFonts w:hint="eastAsia" w:ascii="宋体" w:hAnsi="宋体" w:eastAsia="宋体" w:cs="宋体"/>
          <w:color w:val="auto"/>
          <w:kern w:val="0"/>
          <w:sz w:val="22"/>
          <w:szCs w:val="22"/>
          <w:highlight w:val="none"/>
          <w:lang w:eastAsia="zh-CN"/>
        </w:rPr>
        <w:t>招标内容</w:t>
      </w:r>
      <w:r>
        <w:rPr>
          <w:rFonts w:hint="eastAsia" w:ascii="宋体" w:hAnsi="宋体" w:eastAsia="宋体" w:cs="宋体"/>
          <w:color w:val="auto"/>
          <w:kern w:val="0"/>
          <w:sz w:val="22"/>
          <w:szCs w:val="22"/>
          <w:highlight w:val="none"/>
        </w:rPr>
        <w:t>及要求详见采购文件相关部分。</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备注：无</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标项2</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标项名称：鹿城区环卫一体化项目二期（藤桥镇、山福镇）（重）</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数量：</w:t>
      </w:r>
      <w:r>
        <w:rPr>
          <w:rFonts w:hint="eastAsia" w:ascii="宋体" w:hAnsi="宋体" w:eastAsia="宋体" w:cs="宋体"/>
          <w:color w:val="auto"/>
          <w:sz w:val="22"/>
          <w:szCs w:val="22"/>
          <w:highlight w:val="none"/>
          <w:lang w:val="en-US" w:eastAsia="zh-CN"/>
        </w:rPr>
        <w:t>不限</w:t>
      </w:r>
    </w:p>
    <w:p>
      <w:pPr>
        <w:widowControl/>
        <w:spacing w:before="60" w:after="60" w:line="360" w:lineRule="exact"/>
        <w:ind w:left="60" w:right="60" w:firstLine="503" w:firstLineChars="229"/>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预算金额(元)：</w:t>
      </w:r>
      <w:r>
        <w:rPr>
          <w:rFonts w:hint="eastAsia" w:ascii="宋体" w:hAnsi="宋体" w:eastAsia="宋体" w:cs="宋体"/>
          <w:color w:val="auto"/>
          <w:kern w:val="0"/>
          <w:sz w:val="22"/>
          <w:szCs w:val="22"/>
          <w:highlight w:val="none"/>
          <w:lang w:val="en-US" w:eastAsia="zh-CN"/>
        </w:rPr>
        <w:t>85664070</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简要规格描述：</w:t>
      </w:r>
      <w:r>
        <w:rPr>
          <w:rFonts w:hint="eastAsia" w:ascii="宋体" w:hAnsi="宋体" w:eastAsia="宋体" w:cs="宋体"/>
          <w:color w:val="auto"/>
          <w:kern w:val="0"/>
          <w:sz w:val="22"/>
          <w:szCs w:val="22"/>
          <w:highlight w:val="none"/>
          <w:lang w:val="en-US" w:eastAsia="zh-CN"/>
        </w:rPr>
        <w:t>鹿城区环卫一体化项目二期（藤桥镇、山福镇）（重）</w:t>
      </w:r>
      <w:r>
        <w:rPr>
          <w:rFonts w:hint="eastAsia" w:ascii="宋体" w:hAnsi="宋体" w:eastAsia="宋体" w:cs="宋体"/>
          <w:color w:val="auto"/>
          <w:kern w:val="0"/>
          <w:sz w:val="22"/>
          <w:szCs w:val="22"/>
          <w:highlight w:val="none"/>
        </w:rPr>
        <w:t>，具体</w:t>
      </w:r>
      <w:r>
        <w:rPr>
          <w:rFonts w:hint="eastAsia" w:ascii="宋体" w:hAnsi="宋体" w:eastAsia="宋体" w:cs="宋体"/>
          <w:color w:val="auto"/>
          <w:kern w:val="0"/>
          <w:sz w:val="22"/>
          <w:szCs w:val="22"/>
          <w:highlight w:val="none"/>
          <w:lang w:eastAsia="zh-CN"/>
        </w:rPr>
        <w:t>招标内容</w:t>
      </w:r>
      <w:r>
        <w:rPr>
          <w:rFonts w:hint="eastAsia" w:ascii="宋体" w:hAnsi="宋体" w:eastAsia="宋体" w:cs="宋体"/>
          <w:color w:val="auto"/>
          <w:kern w:val="0"/>
          <w:sz w:val="22"/>
          <w:szCs w:val="22"/>
          <w:highlight w:val="none"/>
        </w:rPr>
        <w:t>及要求详见采购文件相关部分。</w:t>
      </w:r>
    </w:p>
    <w:p>
      <w:pPr>
        <w:widowControl/>
        <w:spacing w:before="60" w:after="60" w:line="360" w:lineRule="exact"/>
        <w:ind w:left="60" w:right="60" w:firstLine="503" w:firstLineChars="229"/>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备注：无</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标项3</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标项名称：鹿城区环卫一体化项目二期（七都街道）（重）</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数量：</w:t>
      </w:r>
      <w:r>
        <w:rPr>
          <w:rFonts w:hint="eastAsia" w:ascii="宋体" w:hAnsi="宋体" w:eastAsia="宋体" w:cs="宋体"/>
          <w:color w:val="auto"/>
          <w:sz w:val="22"/>
          <w:szCs w:val="22"/>
          <w:highlight w:val="none"/>
          <w:lang w:val="en-US" w:eastAsia="zh-CN"/>
        </w:rPr>
        <w:t>不限</w:t>
      </w:r>
    </w:p>
    <w:p>
      <w:pPr>
        <w:widowControl/>
        <w:spacing w:before="60" w:after="60" w:line="360" w:lineRule="exact"/>
        <w:ind w:left="60" w:right="60" w:firstLine="503" w:firstLineChars="229"/>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预算金额(元)：</w:t>
      </w:r>
      <w:r>
        <w:rPr>
          <w:rFonts w:hint="eastAsia" w:ascii="宋体" w:hAnsi="宋体" w:eastAsia="宋体" w:cs="宋体"/>
          <w:color w:val="auto"/>
          <w:kern w:val="0"/>
          <w:sz w:val="22"/>
          <w:szCs w:val="22"/>
          <w:highlight w:val="none"/>
          <w:lang w:val="en-US" w:eastAsia="zh-CN"/>
        </w:rPr>
        <w:t>26320000</w:t>
      </w:r>
    </w:p>
    <w:p>
      <w:pPr>
        <w:widowControl/>
        <w:spacing w:before="60" w:after="60" w:line="360" w:lineRule="exact"/>
        <w:ind w:left="60" w:right="60"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简要规格描述：</w:t>
      </w:r>
      <w:r>
        <w:rPr>
          <w:rFonts w:hint="eastAsia" w:ascii="宋体" w:hAnsi="宋体" w:eastAsia="宋体" w:cs="宋体"/>
          <w:color w:val="auto"/>
          <w:kern w:val="0"/>
          <w:sz w:val="22"/>
          <w:szCs w:val="22"/>
          <w:highlight w:val="none"/>
          <w:lang w:val="en-US" w:eastAsia="zh-CN"/>
        </w:rPr>
        <w:t>鹿城区环卫一体化项目二期（七都街道）（重）</w:t>
      </w:r>
      <w:r>
        <w:rPr>
          <w:rFonts w:hint="eastAsia" w:ascii="宋体" w:hAnsi="宋体" w:eastAsia="宋体" w:cs="宋体"/>
          <w:color w:val="auto"/>
          <w:kern w:val="0"/>
          <w:sz w:val="22"/>
          <w:szCs w:val="22"/>
          <w:highlight w:val="none"/>
        </w:rPr>
        <w:t>，具体</w:t>
      </w:r>
      <w:r>
        <w:rPr>
          <w:rFonts w:hint="eastAsia" w:ascii="宋体" w:hAnsi="宋体" w:eastAsia="宋体" w:cs="宋体"/>
          <w:color w:val="auto"/>
          <w:kern w:val="0"/>
          <w:sz w:val="22"/>
          <w:szCs w:val="22"/>
          <w:highlight w:val="none"/>
          <w:lang w:eastAsia="zh-CN"/>
        </w:rPr>
        <w:t>招标内容</w:t>
      </w:r>
      <w:r>
        <w:rPr>
          <w:rFonts w:hint="eastAsia" w:ascii="宋体" w:hAnsi="宋体" w:eastAsia="宋体" w:cs="宋体"/>
          <w:color w:val="auto"/>
          <w:kern w:val="0"/>
          <w:sz w:val="22"/>
          <w:szCs w:val="22"/>
          <w:highlight w:val="none"/>
        </w:rPr>
        <w:t>及要求详见采购文件相关部分。</w:t>
      </w:r>
    </w:p>
    <w:p>
      <w:pPr>
        <w:widowControl/>
        <w:spacing w:before="60" w:after="60" w:line="360" w:lineRule="exact"/>
        <w:ind w:left="60" w:right="60" w:firstLine="503" w:firstLineChars="229"/>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备注：无</w:t>
      </w:r>
    </w:p>
    <w:p>
      <w:pPr>
        <w:pStyle w:val="33"/>
        <w:spacing w:line="360" w:lineRule="exact"/>
        <w:ind w:firstLine="550" w:firstLineChars="250"/>
        <w:rPr>
          <w:rFonts w:hint="eastAsia" w:ascii="宋体" w:hAnsi="宋体" w:eastAsia="宋体" w:cs="宋体"/>
          <w:b/>
          <w:color w:val="auto"/>
          <w:kern w:val="0"/>
          <w:sz w:val="22"/>
          <w:szCs w:val="22"/>
          <w:highlight w:val="none"/>
          <w:lang w:eastAsia="zh-CN"/>
        </w:rPr>
      </w:pPr>
      <w:r>
        <w:rPr>
          <w:rFonts w:hint="eastAsia" w:ascii="宋体" w:hAnsi="宋体" w:eastAsia="宋体" w:cs="宋体"/>
          <w:color w:val="auto"/>
          <w:sz w:val="22"/>
          <w:szCs w:val="22"/>
          <w:highlight w:val="none"/>
        </w:rPr>
        <w:t>合同履</w:t>
      </w:r>
      <w:r>
        <w:rPr>
          <w:rFonts w:hint="eastAsia" w:ascii="宋体" w:hAnsi="宋体" w:eastAsia="宋体" w:cs="宋体"/>
          <w:color w:val="auto"/>
          <w:sz w:val="22"/>
          <w:szCs w:val="22"/>
          <w:highlight w:val="none"/>
          <w:lang w:val="en-US" w:eastAsia="zh-CN"/>
        </w:rPr>
        <w:t>约</w:t>
      </w:r>
      <w:r>
        <w:rPr>
          <w:rFonts w:hint="eastAsia" w:ascii="宋体" w:hAnsi="宋体" w:eastAsia="宋体" w:cs="宋体"/>
          <w:color w:val="auto"/>
          <w:sz w:val="22"/>
          <w:szCs w:val="22"/>
          <w:highlight w:val="none"/>
        </w:rPr>
        <w:t>期限：</w:t>
      </w:r>
      <w:r>
        <w:rPr>
          <w:rFonts w:hint="eastAsia" w:ascii="宋体" w:hAnsi="宋体" w:eastAsia="宋体" w:cs="宋体"/>
          <w:color w:val="auto"/>
          <w:sz w:val="22"/>
          <w:szCs w:val="22"/>
          <w:highlight w:val="none"/>
          <w:lang w:eastAsia="zh-CN"/>
        </w:rPr>
        <w:t>本项目服务期限为3年，合同按照一年一签形式，未出现须提前终止合同情况的，可签第二年（第三年）。</w:t>
      </w:r>
    </w:p>
    <w:p>
      <w:pPr>
        <w:widowControl/>
        <w:spacing w:line="360" w:lineRule="exact"/>
        <w:ind w:firstLine="503" w:firstLineChars="229"/>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本项目（否）接受联合体投标。</w:t>
      </w:r>
    </w:p>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二、申请人的资格要求</w:t>
      </w:r>
    </w:p>
    <w:p>
      <w:pPr>
        <w:pStyle w:val="25"/>
        <w:spacing w:after="0"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1.满足《中华人民共和国政府采购法》第二十二条的规定；</w:t>
      </w:r>
      <w:r>
        <w:rPr>
          <w:rFonts w:hint="eastAsia" w:ascii="宋体" w:hAnsi="宋体" w:eastAsia="宋体" w:cs="宋体"/>
          <w:color w:val="auto"/>
          <w:sz w:val="22"/>
          <w:szCs w:val="22"/>
          <w:highlight w:val="none"/>
        </w:rPr>
        <w:t>未被“信用中国”（www.creditchina.gov.cn)、中国政府采购网（www.ccgp.gov.cn）列入失信被执行人、重大税收违法案件当事人名单、政府采购严重违法失信行为记录名单。</w:t>
      </w:r>
    </w:p>
    <w:p>
      <w:pPr>
        <w:pStyle w:val="25"/>
        <w:spacing w:after="0" w:line="36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2.落实政府采购政策需满足的资格要求：</w:t>
      </w:r>
      <w:r>
        <w:rPr>
          <w:rFonts w:hint="eastAsia" w:ascii="宋体" w:hAnsi="宋体" w:eastAsia="宋体" w:cs="宋体"/>
          <w:bCs/>
          <w:color w:val="auto"/>
          <w:kern w:val="0"/>
          <w:sz w:val="22"/>
          <w:szCs w:val="22"/>
          <w:highlight w:val="none"/>
          <w:lang w:val="en-US" w:eastAsia="zh-CN"/>
        </w:rPr>
        <w:t>无</w:t>
      </w:r>
      <w:r>
        <w:rPr>
          <w:rFonts w:hint="eastAsia" w:ascii="宋体" w:hAnsi="宋体" w:eastAsia="宋体" w:cs="宋体"/>
          <w:bCs/>
          <w:color w:val="auto"/>
          <w:kern w:val="0"/>
          <w:sz w:val="22"/>
          <w:szCs w:val="22"/>
          <w:highlight w:val="none"/>
        </w:rPr>
        <w:t xml:space="preserve">。 </w:t>
      </w:r>
    </w:p>
    <w:p>
      <w:pPr>
        <w:widowControl/>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3.本项目的特定资格要求：</w:t>
      </w:r>
    </w:p>
    <w:p>
      <w:pPr>
        <w:widowControl/>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（1）单位负责人为同一人或者存在直接控股、管理关系的不同投标人，不得参加同一合同项下的政府采购活</w:t>
      </w:r>
      <w:r>
        <w:rPr>
          <w:rFonts w:hint="eastAsia" w:ascii="宋体" w:hAnsi="宋体" w:eastAsia="宋体" w:cs="宋体"/>
          <w:bCs/>
          <w:color w:val="auto"/>
          <w:kern w:val="0"/>
          <w:sz w:val="22"/>
          <w:szCs w:val="22"/>
          <w:highlight w:val="none"/>
        </w:rPr>
        <w:t>动；</w:t>
      </w:r>
    </w:p>
    <w:p>
      <w:pPr>
        <w:widowControl/>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（2）本项目（否）接受联合体投标。</w:t>
      </w:r>
    </w:p>
    <w:p>
      <w:pPr>
        <w:widowControl/>
        <w:spacing w:line="360" w:lineRule="exact"/>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三、获取招标文件</w:t>
      </w:r>
    </w:p>
    <w:p>
      <w:pPr>
        <w:widowControl/>
        <w:spacing w:line="360" w:lineRule="exact"/>
        <w:ind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时间：</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kern w:val="0"/>
          <w:sz w:val="22"/>
          <w:szCs w:val="22"/>
          <w:highlight w:val="none"/>
        </w:rPr>
        <w:t>至</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日</w:t>
      </w:r>
      <w:r>
        <w:rPr>
          <w:rFonts w:hint="eastAsia" w:ascii="宋体" w:hAnsi="宋体" w:eastAsia="宋体" w:cs="宋体"/>
          <w:color w:val="auto"/>
          <w:kern w:val="0"/>
          <w:sz w:val="22"/>
          <w:szCs w:val="22"/>
          <w:highlight w:val="none"/>
        </w:rPr>
        <w:t>，每天上午00:00至12：00，下午12:00至23：59（北京时间，线上获取法定节假日均可，</w:t>
      </w:r>
      <w:r>
        <w:rPr>
          <w:rFonts w:hint="eastAsia" w:ascii="宋体" w:hAnsi="宋体" w:eastAsia="宋体" w:cs="宋体"/>
          <w:color w:val="auto"/>
          <w:sz w:val="22"/>
          <w:szCs w:val="22"/>
          <w:highlight w:val="none"/>
        </w:rPr>
        <w:t>线下获取文件法定节假日除外</w:t>
      </w:r>
      <w:r>
        <w:rPr>
          <w:rFonts w:hint="eastAsia" w:ascii="宋体" w:hAnsi="宋体" w:eastAsia="宋体" w:cs="宋体"/>
          <w:color w:val="auto"/>
          <w:kern w:val="0"/>
          <w:sz w:val="22"/>
          <w:szCs w:val="22"/>
          <w:highlight w:val="none"/>
        </w:rPr>
        <w:t>）。</w:t>
      </w:r>
    </w:p>
    <w:p>
      <w:pPr>
        <w:widowControl/>
        <w:spacing w:line="360" w:lineRule="exact"/>
        <w:ind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地点（网址）：在政府采购云平台（www.zcygov.cn）上自主获取（</w:t>
      </w:r>
      <w:r>
        <w:rPr>
          <w:rFonts w:hint="eastAsia" w:ascii="宋体" w:hAnsi="宋体" w:eastAsia="宋体" w:cs="宋体"/>
          <w:color w:val="auto"/>
          <w:sz w:val="22"/>
          <w:szCs w:val="22"/>
          <w:highlight w:val="none"/>
        </w:rPr>
        <w:t>未注册政采云账号请尽早办</w:t>
      </w:r>
      <w:r>
        <w:rPr>
          <w:rFonts w:hint="eastAsia" w:ascii="宋体" w:hAnsi="宋体" w:eastAsia="宋体" w:cs="宋体"/>
          <w:color w:val="auto"/>
          <w:kern w:val="0"/>
          <w:sz w:val="22"/>
          <w:szCs w:val="22"/>
          <w:highlight w:val="none"/>
        </w:rPr>
        <w:t>理，注册流程详见“浙江政府采购网—网上办事指南—投标人注册申请”，咨询电话：4008817190）。</w:t>
      </w:r>
    </w:p>
    <w:p>
      <w:pPr>
        <w:widowControl/>
        <w:spacing w:line="3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方式：</w:t>
      </w:r>
      <w:r>
        <w:rPr>
          <w:rFonts w:hint="eastAsia" w:ascii="宋体" w:hAnsi="宋体" w:eastAsia="宋体" w:cs="宋体"/>
          <w:color w:val="auto"/>
          <w:sz w:val="22"/>
          <w:szCs w:val="22"/>
          <w:highlight w:val="none"/>
        </w:rPr>
        <w:t>潜在投标人登陆政府采购云平台</w:t>
      </w:r>
      <w:r>
        <w:rPr>
          <w:rFonts w:hint="eastAsia" w:ascii="宋体" w:hAnsi="宋体" w:eastAsia="宋体" w:cs="宋体"/>
          <w:color w:val="auto"/>
          <w:kern w:val="0"/>
          <w:sz w:val="22"/>
          <w:szCs w:val="22"/>
          <w:highlight w:val="none"/>
        </w:rPr>
        <w:t>（www.zcygov.cn）</w:t>
      </w:r>
      <w:r>
        <w:rPr>
          <w:rFonts w:hint="eastAsia" w:ascii="宋体" w:hAnsi="宋体" w:eastAsia="宋体" w:cs="宋体"/>
          <w:color w:val="auto"/>
          <w:sz w:val="22"/>
          <w:szCs w:val="22"/>
          <w:highlight w:val="none"/>
        </w:rPr>
        <w:t>，在线申请获取招标文件（进入“项目采购”应用，在获取采购文件菜单中选择项目，申请获取采购文件；仅需浏览采购文件的投标人可点击“游客，浏览采购</w:t>
      </w:r>
      <w:r>
        <w:rPr>
          <w:rFonts w:hint="eastAsia" w:ascii="宋体" w:hAnsi="宋体" w:eastAsia="宋体" w:cs="宋体"/>
          <w:color w:val="auto"/>
          <w:sz w:val="22"/>
          <w:szCs w:val="22"/>
          <w:highlight w:val="none"/>
          <w:lang w:val="en-US" w:eastAsia="zh-CN"/>
        </w:rPr>
        <w:t>文</w:t>
      </w:r>
      <w:r>
        <w:rPr>
          <w:rFonts w:hint="eastAsia" w:ascii="宋体" w:hAnsi="宋体" w:eastAsia="宋体" w:cs="宋体"/>
          <w:color w:val="auto"/>
          <w:sz w:val="22"/>
          <w:szCs w:val="22"/>
          <w:highlight w:val="none"/>
        </w:rPr>
        <w:t>件”直接下载采购文件浏览，不视作依法获取采购文件）。</w:t>
      </w:r>
      <w:r>
        <w:rPr>
          <w:rFonts w:hint="eastAsia" w:ascii="宋体" w:hAnsi="宋体" w:eastAsia="宋体" w:cs="宋体"/>
          <w:color w:val="auto"/>
          <w:kern w:val="0"/>
          <w:sz w:val="22"/>
          <w:szCs w:val="22"/>
          <w:highlight w:val="none"/>
        </w:rPr>
        <w:t>未依法获取采购文件的潜在投标人对采购文件提起质疑投诉，不予受理。</w:t>
      </w:r>
    </w:p>
    <w:p>
      <w:pPr>
        <w:widowControl/>
        <w:spacing w:line="360" w:lineRule="exact"/>
        <w:ind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售价（元）：0</w:t>
      </w:r>
    </w:p>
    <w:p>
      <w:pPr>
        <w:widowControl/>
        <w:spacing w:line="36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widowControl/>
        <w:spacing w:line="360" w:lineRule="exact"/>
        <w:ind w:firstLine="431" w:firstLineChars="196"/>
        <w:jc w:val="left"/>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日</w:t>
      </w:r>
      <w:r>
        <w:rPr>
          <w:rFonts w:hint="eastAsia" w:ascii="宋体" w:hAnsi="宋体" w:eastAsia="宋体" w:cs="宋体"/>
          <w:bCs/>
          <w:color w:val="auto"/>
          <w:sz w:val="22"/>
          <w:szCs w:val="22"/>
          <w:highlight w:val="none"/>
        </w:rPr>
        <w:t>09:30（北京时间）</w:t>
      </w:r>
      <w:r>
        <w:rPr>
          <w:rFonts w:hint="eastAsia" w:ascii="宋体" w:hAnsi="宋体" w:eastAsia="宋体" w:cs="宋体"/>
          <w:bCs/>
          <w:color w:val="auto"/>
          <w:kern w:val="0"/>
          <w:sz w:val="22"/>
          <w:szCs w:val="22"/>
          <w:highlight w:val="none"/>
        </w:rPr>
        <w:t xml:space="preserve"> </w:t>
      </w:r>
    </w:p>
    <w:p>
      <w:pPr>
        <w:widowControl/>
        <w:spacing w:line="360" w:lineRule="exact"/>
        <w:ind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投标地点（网址）：</w:t>
      </w:r>
      <w:r>
        <w:rPr>
          <w:rFonts w:hint="eastAsia" w:ascii="宋体" w:hAnsi="宋体" w:eastAsia="宋体" w:cs="宋体"/>
          <w:color w:val="auto"/>
          <w:kern w:val="0"/>
          <w:sz w:val="22"/>
          <w:szCs w:val="22"/>
          <w:highlight w:val="none"/>
        </w:rPr>
        <w:t>政府采购云平台（www.zcygov.cn）在线提交</w:t>
      </w:r>
    </w:p>
    <w:p>
      <w:pPr>
        <w:widowControl/>
        <w:spacing w:line="360" w:lineRule="exact"/>
        <w:ind w:firstLine="431" w:firstLineChars="196"/>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日</w:t>
      </w:r>
      <w:r>
        <w:rPr>
          <w:rFonts w:hint="eastAsia" w:ascii="宋体" w:hAnsi="宋体" w:eastAsia="宋体" w:cs="宋体"/>
          <w:bCs/>
          <w:color w:val="auto"/>
          <w:sz w:val="22"/>
          <w:szCs w:val="22"/>
          <w:highlight w:val="none"/>
        </w:rPr>
        <w:t>09:30（北京时间）</w:t>
      </w:r>
    </w:p>
    <w:p>
      <w:pPr>
        <w:widowControl/>
        <w:spacing w:line="360" w:lineRule="exact"/>
        <w:ind w:firstLine="431" w:firstLineChars="196"/>
        <w:jc w:val="left"/>
        <w:rPr>
          <w:rStyle w:val="166"/>
          <w:rFonts w:hint="eastAsia" w:ascii="宋体" w:hAnsi="宋体" w:eastAsia="宋体" w:cs="宋体"/>
          <w:color w:val="auto"/>
          <w:highlight w:val="none"/>
        </w:rPr>
      </w:pPr>
      <w:r>
        <w:rPr>
          <w:rFonts w:hint="eastAsia" w:ascii="宋体" w:hAnsi="宋体" w:eastAsia="宋体" w:cs="宋体"/>
          <w:bCs/>
          <w:color w:val="auto"/>
          <w:kern w:val="0"/>
          <w:sz w:val="22"/>
          <w:szCs w:val="22"/>
          <w:highlight w:val="none"/>
        </w:rPr>
        <w:t>开标地点（网址）：</w:t>
      </w:r>
      <w:r>
        <w:rPr>
          <w:rFonts w:hint="eastAsia" w:ascii="宋体" w:hAnsi="宋体" w:eastAsia="宋体" w:cs="宋体"/>
          <w:bCs/>
          <w:color w:val="auto"/>
          <w:kern w:val="0"/>
          <w:sz w:val="22"/>
          <w:szCs w:val="22"/>
          <w:highlight w:val="none"/>
        </w:rPr>
        <w:t>温州市公共资源交易中心鹿城分中心（</w:t>
      </w:r>
      <w:r>
        <w:rPr>
          <w:rFonts w:hint="eastAsia" w:ascii="宋体" w:hAnsi="宋体" w:eastAsia="宋体" w:cs="宋体"/>
          <w:bCs/>
          <w:color w:val="auto"/>
          <w:kern w:val="0"/>
          <w:sz w:val="22"/>
          <w:szCs w:val="22"/>
          <w:highlight w:val="none"/>
          <w:lang w:val="en-US" w:eastAsia="zh-CN"/>
        </w:rPr>
        <w:t>评标区</w:t>
      </w:r>
      <w:r>
        <w:rPr>
          <w:rFonts w:hint="eastAsia" w:ascii="宋体" w:hAnsi="宋体" w:eastAsia="宋体" w:cs="宋体"/>
          <w:bCs/>
          <w:color w:val="auto"/>
          <w:kern w:val="0"/>
          <w:sz w:val="22"/>
          <w:szCs w:val="22"/>
          <w:highlight w:val="none"/>
        </w:rPr>
        <w:t xml:space="preserve">）（温州市宽带路18号）/ </w:t>
      </w:r>
      <w:r>
        <w:rPr>
          <w:rFonts w:hint="eastAsia" w:ascii="宋体" w:hAnsi="宋体" w:eastAsia="宋体" w:cs="宋体"/>
          <w:bCs/>
          <w:color w:val="auto"/>
          <w:kern w:val="0"/>
          <w:sz w:val="22"/>
          <w:szCs w:val="22"/>
          <w:highlight w:val="none"/>
        </w:rPr>
        <w:t>政府采购云平台（www.zcygov.cn）在线开标</w:t>
      </w:r>
    </w:p>
    <w:p>
      <w:pPr>
        <w:widowControl/>
        <w:spacing w:line="360" w:lineRule="exact"/>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五、公告期限</w:t>
      </w:r>
    </w:p>
    <w:p>
      <w:pPr>
        <w:widowControl/>
        <w:spacing w:line="360" w:lineRule="exact"/>
        <w:ind w:firstLine="543" w:firstLineChars="2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自本公告发布之日起5个工作日。</w:t>
      </w:r>
    </w:p>
    <w:p>
      <w:pPr>
        <w:widowControl/>
        <w:spacing w:line="360" w:lineRule="exact"/>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六、其他补充事宜</w:t>
      </w:r>
    </w:p>
    <w:p>
      <w:pPr>
        <w:widowControl/>
        <w:spacing w:line="36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exact"/>
        <w:ind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.其他事项</w:t>
      </w:r>
    </w:p>
    <w:p>
      <w:pPr>
        <w:widowControl/>
        <w:spacing w:line="360" w:lineRule="exact"/>
        <w:ind w:firstLine="330" w:firstLineChars="1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r>
        <w:rPr>
          <w:rFonts w:hint="eastAsia" w:ascii="宋体" w:hAnsi="宋体" w:eastAsia="宋体" w:cs="宋体"/>
          <w:color w:val="auto"/>
          <w:sz w:val="22"/>
          <w:szCs w:val="22"/>
          <w:highlight w:val="none"/>
        </w:rPr>
        <w:t>根据浙江省财政厅关于明确政府采购保证金管理工作的通知【浙财采监（2019）5号文件】规定，本项目不要求缴纳投标保证金</w:t>
      </w:r>
      <w:r>
        <w:rPr>
          <w:rFonts w:hint="eastAsia" w:ascii="宋体" w:hAnsi="宋体" w:eastAsia="宋体" w:cs="宋体"/>
          <w:bCs/>
          <w:color w:val="auto"/>
          <w:kern w:val="0"/>
          <w:sz w:val="22"/>
          <w:szCs w:val="22"/>
          <w:highlight w:val="none"/>
        </w:rPr>
        <w:t>；</w:t>
      </w:r>
    </w:p>
    <w:p>
      <w:pPr>
        <w:widowControl/>
        <w:spacing w:line="360" w:lineRule="exact"/>
        <w:ind w:firstLine="330" w:firstLineChars="1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pPr>
        <w:widowControl/>
        <w:spacing w:line="360" w:lineRule="exact"/>
        <w:ind w:firstLine="330" w:firstLineChars="1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widowControl/>
        <w:spacing w:line="360" w:lineRule="exact"/>
        <w:ind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（4）本项目依据《浙江省政府采购项目电子交易管理暂行办法》，通过“政府采购云平台”（网址： www.zcygov.cn ）实行电子交易（在线投标响应）。潜在供应商在参与本项目投标前应当完成“政府采购云平台”的账号注册、身份认证（CA 数字证书申领）、“政采云电子交易客户端”下载安装，相关操作指南参考如下：</w:t>
      </w:r>
    </w:p>
    <w:p>
      <w:pPr>
        <w:widowControl/>
        <w:spacing w:line="360" w:lineRule="exact"/>
        <w:ind w:firstLine="543" w:firstLineChars="2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a.供应商注册（入驻）：https://middle.zcygov.cn/v-settle-front/registry；</w:t>
      </w:r>
    </w:p>
    <w:p>
      <w:pPr>
        <w:widowControl/>
        <w:spacing w:line="360" w:lineRule="exact"/>
        <w:ind w:firstLine="543" w:firstLineChars="2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b.浙江省“电子交易/不见面开评标”学习专题（网址https://edu.zcygov.cn/luban/e-biding）</w:t>
      </w:r>
    </w:p>
    <w:p>
      <w:pPr>
        <w:widowControl/>
        <w:spacing w:line="360" w:lineRule="exact"/>
        <w:ind w:firstLine="543" w:firstLineChars="2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c.“政府采购云平台”服务热线电话：400-881-7190。</w:t>
      </w:r>
    </w:p>
    <w:p>
      <w:pPr>
        <w:widowControl/>
        <w:spacing w:line="360" w:lineRule="exact"/>
        <w:ind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七、</w:t>
      </w:r>
      <w:r>
        <w:rPr>
          <w:rFonts w:hint="eastAsia" w:ascii="宋体" w:hAnsi="宋体" w:eastAsia="宋体" w:cs="宋体"/>
          <w:b/>
          <w:bCs/>
          <w:color w:val="auto"/>
          <w:kern w:val="0"/>
          <w:sz w:val="22"/>
          <w:szCs w:val="22"/>
          <w:highlight w:val="none"/>
        </w:rPr>
        <w:t>对本次招标提出询问、质疑、投诉，请按以下方式联系</w:t>
      </w: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1.采购人信息</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名   称：温州市鹿城区综合行政执法局</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   址：温州市鹿城区南汇街道惠民路766号</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传   真：</w:t>
      </w:r>
      <w:r>
        <w:rPr>
          <w:rFonts w:hint="eastAsia" w:ascii="宋体" w:hAnsi="宋体" w:eastAsia="宋体" w:cs="宋体"/>
          <w:bCs/>
          <w:color w:val="auto"/>
          <w:kern w:val="0"/>
          <w:sz w:val="22"/>
          <w:szCs w:val="22"/>
          <w:highlight w:val="none"/>
          <w:lang w:val="en-US" w:eastAsia="zh-CN"/>
        </w:rPr>
        <w:t>/</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项目联系人（询问）：</w:t>
      </w:r>
      <w:r>
        <w:rPr>
          <w:rFonts w:hint="eastAsia" w:ascii="宋体" w:hAnsi="宋体" w:eastAsia="宋体" w:cs="宋体"/>
          <w:bCs/>
          <w:color w:val="auto"/>
          <w:kern w:val="0"/>
          <w:sz w:val="22"/>
          <w:szCs w:val="22"/>
          <w:highlight w:val="none"/>
          <w:lang w:val="en-US" w:eastAsia="zh-CN"/>
        </w:rPr>
        <w:t>张先生</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联系方式（询问）：</w:t>
      </w:r>
      <w:r>
        <w:rPr>
          <w:rFonts w:hint="eastAsia" w:ascii="宋体" w:hAnsi="宋体" w:eastAsia="宋体" w:cs="宋体"/>
          <w:bCs/>
          <w:color w:val="auto"/>
          <w:kern w:val="0"/>
          <w:sz w:val="22"/>
          <w:szCs w:val="22"/>
          <w:highlight w:val="none"/>
          <w:lang w:val="en-US" w:eastAsia="zh-CN"/>
        </w:rPr>
        <w:t>0577-88101121</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质疑联系人：</w:t>
      </w:r>
      <w:r>
        <w:rPr>
          <w:rFonts w:hint="eastAsia" w:ascii="宋体" w:hAnsi="宋体" w:eastAsia="宋体" w:cs="宋体"/>
          <w:bCs/>
          <w:color w:val="auto"/>
          <w:kern w:val="0"/>
          <w:sz w:val="22"/>
          <w:szCs w:val="22"/>
          <w:highlight w:val="none"/>
          <w:lang w:val="en-US" w:eastAsia="zh-CN"/>
        </w:rPr>
        <w:t>李先生</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质疑联系方式：</w:t>
      </w:r>
      <w:r>
        <w:rPr>
          <w:rFonts w:hint="eastAsia" w:ascii="宋体" w:hAnsi="宋体" w:eastAsia="宋体" w:cs="宋体"/>
          <w:bCs/>
          <w:color w:val="auto"/>
          <w:kern w:val="0"/>
          <w:sz w:val="22"/>
          <w:szCs w:val="22"/>
          <w:highlight w:val="none"/>
          <w:lang w:val="en-US" w:eastAsia="zh-CN"/>
        </w:rPr>
        <w:t>0577-88101109</w:t>
      </w: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2.采购代理机构信息</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名   称：</w:t>
      </w:r>
      <w:r>
        <w:rPr>
          <w:rFonts w:hint="eastAsia" w:ascii="宋体" w:hAnsi="宋体" w:eastAsia="宋体" w:cs="宋体"/>
          <w:bCs/>
          <w:color w:val="auto"/>
          <w:kern w:val="0"/>
          <w:sz w:val="22"/>
          <w:szCs w:val="22"/>
          <w:highlight w:val="none"/>
          <w:lang w:eastAsia="zh-CN"/>
        </w:rPr>
        <w:t>宁波国咨工程造价咨询有限公司</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   址：</w:t>
      </w:r>
      <w:r>
        <w:rPr>
          <w:rFonts w:hint="eastAsia" w:ascii="宋体" w:hAnsi="宋体" w:eastAsia="宋体" w:cs="宋体"/>
          <w:bCs/>
          <w:color w:val="auto"/>
          <w:kern w:val="0"/>
          <w:sz w:val="22"/>
          <w:szCs w:val="22"/>
          <w:highlight w:val="none"/>
          <w:lang w:eastAsia="zh-CN"/>
        </w:rPr>
        <w:t>温州市鹿城区市府路592号新益大厦A幢1302</w:t>
      </w:r>
    </w:p>
    <w:p>
      <w:pPr>
        <w:widowControl/>
        <w:spacing w:line="360" w:lineRule="exact"/>
        <w:ind w:firstLine="440"/>
        <w:jc w:val="left"/>
        <w:rPr>
          <w:rFonts w:hint="eastAsia" w:ascii="宋体" w:hAnsi="宋体" w:eastAsia="宋体" w:cs="宋体"/>
          <w:color w:val="auto"/>
          <w:highlight w:val="none"/>
        </w:rPr>
      </w:pPr>
      <w:r>
        <w:rPr>
          <w:rFonts w:hint="eastAsia" w:ascii="宋体" w:hAnsi="宋体" w:eastAsia="宋体" w:cs="宋体"/>
          <w:bCs/>
          <w:color w:val="auto"/>
          <w:kern w:val="0"/>
          <w:sz w:val="22"/>
          <w:szCs w:val="22"/>
          <w:highlight w:val="none"/>
        </w:rPr>
        <w:t>传   真：0577-88120158</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项目联系人（询问）：</w:t>
      </w:r>
      <w:r>
        <w:rPr>
          <w:rFonts w:hint="eastAsia" w:ascii="宋体" w:hAnsi="宋体" w:eastAsia="宋体" w:cs="宋体"/>
          <w:bCs/>
          <w:color w:val="auto"/>
          <w:kern w:val="0"/>
          <w:sz w:val="22"/>
          <w:szCs w:val="22"/>
          <w:highlight w:val="none"/>
          <w:lang w:val="en-US" w:eastAsia="zh-CN"/>
        </w:rPr>
        <w:t>章</w:t>
      </w:r>
      <w:r>
        <w:rPr>
          <w:rFonts w:hint="eastAsia" w:ascii="宋体" w:hAnsi="宋体" w:eastAsia="宋体" w:cs="宋体"/>
          <w:bCs/>
          <w:color w:val="auto"/>
          <w:kern w:val="0"/>
          <w:sz w:val="22"/>
          <w:szCs w:val="22"/>
          <w:highlight w:val="none"/>
          <w:lang w:val="en-US" w:eastAsia="zh-CN"/>
        </w:rPr>
        <w:t>国庆</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项目联系方式（询问）：0577-</w:t>
      </w:r>
      <w:r>
        <w:rPr>
          <w:rFonts w:hint="eastAsia" w:ascii="宋体" w:hAnsi="宋体" w:eastAsia="宋体" w:cs="宋体"/>
          <w:bCs/>
          <w:color w:val="auto"/>
          <w:kern w:val="0"/>
          <w:sz w:val="22"/>
          <w:szCs w:val="22"/>
          <w:highlight w:val="none"/>
          <w:lang w:val="en-US" w:eastAsia="zh-CN"/>
        </w:rPr>
        <w:t>8</w:t>
      </w:r>
      <w:r>
        <w:rPr>
          <w:rFonts w:hint="eastAsia" w:ascii="宋体" w:hAnsi="宋体" w:eastAsia="宋体" w:cs="宋体"/>
          <w:bCs/>
          <w:color w:val="auto"/>
          <w:kern w:val="0"/>
          <w:sz w:val="22"/>
          <w:szCs w:val="22"/>
          <w:highlight w:val="none"/>
          <w:lang w:val="en-US" w:eastAsia="zh-CN"/>
        </w:rPr>
        <w:t>8120155</w:t>
      </w: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质疑联系人：冯丽丽</w:t>
      </w:r>
    </w:p>
    <w:p>
      <w:pPr>
        <w:widowControl/>
        <w:spacing w:line="360" w:lineRule="exact"/>
        <w:ind w:firstLine="44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质疑联系方式：</w:t>
      </w:r>
      <w:r>
        <w:rPr>
          <w:rFonts w:hint="eastAsia" w:ascii="宋体" w:hAnsi="宋体" w:eastAsia="宋体" w:cs="宋体"/>
          <w:bCs/>
          <w:color w:val="auto"/>
          <w:kern w:val="0"/>
          <w:sz w:val="22"/>
          <w:szCs w:val="22"/>
          <w:highlight w:val="none"/>
          <w:lang w:val="en-US" w:eastAsia="zh-CN"/>
        </w:rPr>
        <w:t>0</w:t>
      </w:r>
      <w:r>
        <w:rPr>
          <w:rFonts w:hint="eastAsia" w:ascii="宋体" w:hAnsi="宋体" w:eastAsia="宋体" w:cs="宋体"/>
          <w:bCs/>
          <w:color w:val="auto"/>
          <w:kern w:val="0"/>
          <w:sz w:val="22"/>
          <w:szCs w:val="22"/>
          <w:highlight w:val="none"/>
          <w:lang w:val="en-US" w:eastAsia="zh-CN"/>
        </w:rPr>
        <w:t>577-88907677</w:t>
      </w: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3. </w:t>
      </w:r>
      <w:r>
        <w:rPr>
          <w:rFonts w:hint="eastAsia" w:ascii="宋体" w:hAnsi="宋体" w:eastAsia="宋体" w:cs="宋体"/>
          <w:color w:val="auto"/>
          <w:sz w:val="22"/>
          <w:szCs w:val="22"/>
          <w:highlight w:val="none"/>
        </w:rPr>
        <w:t>同级政府采购监督管理部门</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名   称：</w:t>
      </w:r>
      <w:r>
        <w:rPr>
          <w:rFonts w:hint="eastAsia" w:ascii="宋体" w:hAnsi="宋体" w:eastAsia="宋体" w:cs="宋体"/>
          <w:bCs/>
          <w:color w:val="auto"/>
          <w:kern w:val="0"/>
          <w:sz w:val="22"/>
          <w:szCs w:val="22"/>
          <w:highlight w:val="none"/>
          <w:lang w:eastAsia="zh-CN"/>
        </w:rPr>
        <w:t>温州市鹿城区财政局</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   址：</w:t>
      </w:r>
      <w:r>
        <w:rPr>
          <w:rFonts w:hint="eastAsia" w:ascii="宋体" w:hAnsi="宋体" w:eastAsia="宋体" w:cs="宋体"/>
          <w:bCs/>
          <w:color w:val="auto"/>
          <w:kern w:val="0"/>
          <w:sz w:val="22"/>
          <w:szCs w:val="22"/>
          <w:highlight w:val="none"/>
          <w:lang w:eastAsia="zh-CN"/>
        </w:rPr>
        <w:t>浙江省温州市鹿城区江滨西路552号博林大厦2楼</w:t>
      </w: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传   真：/</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联系人：黄女士\朱先生</w:t>
      </w:r>
    </w:p>
    <w:p>
      <w:pPr>
        <w:widowControl/>
        <w:spacing w:line="360" w:lineRule="exact"/>
        <w:ind w:firstLine="44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监督投诉电话：0577-88359173</w:t>
      </w:r>
    </w:p>
    <w:p>
      <w:pPr>
        <w:pStyle w:val="26"/>
        <w:spacing w:after="0" w:line="360" w:lineRule="exact"/>
        <w:ind w:firstLine="210"/>
        <w:rPr>
          <w:rFonts w:hint="eastAsia" w:ascii="宋体" w:hAnsi="宋体" w:eastAsia="宋体" w:cs="宋体"/>
          <w:b w:val="0"/>
          <w:color w:val="auto"/>
          <w:kern w:val="2"/>
          <w:sz w:val="21"/>
          <w:szCs w:val="24"/>
          <w:highlight w:val="none"/>
          <w:lang w:val="en-US" w:eastAsia="zh-CN"/>
        </w:rPr>
      </w:pP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exact"/>
        <w:ind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CA问题联系电话（人工）：汇信CA 400-888-4636；天谷CA 400-087-8198。</w:t>
      </w:r>
    </w:p>
    <w:p>
      <w:pPr>
        <w:pStyle w:val="26"/>
        <w:ind w:firstLine="321"/>
        <w:rPr>
          <w:rFonts w:hint="eastAsia" w:ascii="宋体" w:hAnsi="宋体" w:eastAsia="宋体" w:cs="宋体"/>
          <w:color w:val="auto"/>
          <w:highlight w:val="none"/>
          <w:lang w:val="en-US" w:eastAsia="zh-CN"/>
        </w:rPr>
      </w:pPr>
    </w:p>
    <w:bookmarkEnd w:id="1"/>
    <w:bookmarkEnd w:id="2"/>
    <w:bookmarkEnd w:id="3"/>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br w:type="page"/>
      </w:r>
      <w:bookmarkStart w:id="5" w:name="_Toc19442"/>
      <w:bookmarkStart w:id="6" w:name="_Toc32301"/>
      <w:r>
        <w:rPr>
          <w:rFonts w:hint="eastAsia" w:ascii="宋体" w:hAnsi="宋体" w:eastAsia="宋体" w:cs="宋体"/>
          <w:b/>
          <w:color w:val="auto"/>
          <w:sz w:val="32"/>
          <w:szCs w:val="32"/>
          <w:highlight w:val="none"/>
        </w:rPr>
        <w:t>风险提示</w:t>
      </w:r>
      <w:bookmarkEnd w:id="5"/>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1.根据《鹿城区环卫保洁市场化作业监管考核实施办法》的有关规定，</w:t>
      </w:r>
      <w:r>
        <w:rPr>
          <w:rFonts w:hint="eastAsia" w:ascii="宋体" w:hAnsi="宋体" w:eastAsia="宋体" w:cs="宋体"/>
          <w:color w:val="auto"/>
          <w:sz w:val="22"/>
          <w:szCs w:val="22"/>
          <w:highlight w:val="none"/>
        </w:rPr>
        <w:t>采购人将对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的环卫保洁工作</w:t>
      </w:r>
      <w:r>
        <w:rPr>
          <w:rFonts w:hint="eastAsia" w:ascii="宋体" w:hAnsi="宋体" w:eastAsia="宋体" w:cs="宋体"/>
          <w:b/>
          <w:bCs/>
          <w:color w:val="auto"/>
          <w:sz w:val="22"/>
          <w:szCs w:val="22"/>
          <w:highlight w:val="none"/>
          <w:u w:val="single"/>
        </w:rPr>
        <w:t>从严、从重考核，并引入了退出机制</w:t>
      </w:r>
      <w:r>
        <w:rPr>
          <w:rFonts w:hint="eastAsia" w:ascii="宋体" w:hAnsi="宋体" w:eastAsia="宋体" w:cs="宋体"/>
          <w:color w:val="auto"/>
          <w:sz w:val="22"/>
          <w:szCs w:val="22"/>
          <w:highlight w:val="none"/>
        </w:rPr>
        <w:t>，对考核不合格并触发退出条件的供应商将予以通报，并启动退出机制，以</w:t>
      </w:r>
      <w:r>
        <w:rPr>
          <w:rFonts w:hint="eastAsia" w:ascii="宋体" w:hAnsi="宋体" w:eastAsia="宋体" w:cs="宋体"/>
          <w:b/>
          <w:bCs/>
          <w:color w:val="auto"/>
          <w:sz w:val="22"/>
          <w:szCs w:val="22"/>
          <w:highlight w:val="none"/>
          <w:u w:val="single"/>
        </w:rPr>
        <w:t>遏制供应商通过恶意低价谋取中标</w:t>
      </w:r>
      <w:r>
        <w:rPr>
          <w:rFonts w:hint="eastAsia" w:ascii="宋体" w:hAnsi="宋体" w:eastAsia="宋体" w:cs="宋体"/>
          <w:color w:val="auto"/>
          <w:sz w:val="22"/>
          <w:szCs w:val="22"/>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本次采购将采用APP考核，日常考核</w:t>
      </w:r>
      <w:r>
        <w:rPr>
          <w:rFonts w:hint="eastAsia" w:ascii="宋体" w:hAnsi="宋体" w:eastAsia="宋体" w:cs="宋体"/>
          <w:color w:val="auto"/>
          <w:sz w:val="22"/>
          <w:szCs w:val="22"/>
          <w:highlight w:val="none"/>
          <w:lang w:val="en-US" w:eastAsia="zh-CN"/>
        </w:rPr>
        <w:t>采用扣分的形式，</w:t>
      </w:r>
      <w:r>
        <w:rPr>
          <w:rFonts w:hint="eastAsia" w:ascii="宋体" w:hAnsi="宋体" w:eastAsia="宋体" w:cs="宋体"/>
          <w:color w:val="auto"/>
          <w:sz w:val="22"/>
          <w:szCs w:val="22"/>
          <w:highlight w:val="none"/>
        </w:rPr>
        <w:t>评分结果与月度服务费挂钩；</w:t>
      </w:r>
      <w:r>
        <w:rPr>
          <w:rFonts w:hint="eastAsia" w:ascii="宋体" w:hAnsi="宋体" w:eastAsia="宋体" w:cs="宋体"/>
          <w:color w:val="auto"/>
          <w:sz w:val="22"/>
          <w:szCs w:val="22"/>
          <w:highlight w:val="none"/>
          <w:lang w:val="en-US" w:eastAsia="zh-CN"/>
        </w:rPr>
        <w:t>另行规定的专项考核</w:t>
      </w:r>
      <w:r>
        <w:rPr>
          <w:rFonts w:hint="eastAsia" w:ascii="宋体" w:hAnsi="宋体" w:eastAsia="宋体" w:cs="宋体"/>
          <w:color w:val="auto"/>
          <w:sz w:val="22"/>
          <w:szCs w:val="22"/>
          <w:highlight w:val="none"/>
        </w:rPr>
        <w:t>采用直接扣服务费的方式。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本次采购，</w:t>
      </w:r>
      <w:r>
        <w:rPr>
          <w:rFonts w:hint="eastAsia" w:ascii="宋体" w:hAnsi="宋体" w:eastAsia="宋体" w:cs="宋体"/>
          <w:color w:val="auto"/>
          <w:sz w:val="22"/>
          <w:szCs w:val="22"/>
          <w:highlight w:val="none"/>
          <w:lang w:val="en-US" w:eastAsia="zh-CN"/>
        </w:rPr>
        <w:t>如中标人中标后未按招标文件提供完整的材料，或提供的材料未达到投标时承诺的要求（或未达到招标文件的要求），或提供的材料与投标时承诺不符（构成虚假承诺的），采购人有权拒签合同或取消其中标资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本次采购，如乙方（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）触发本合同或采购文件规定的</w:t>
      </w:r>
      <w:r>
        <w:rPr>
          <w:rFonts w:hint="eastAsia" w:ascii="宋体" w:hAnsi="宋体" w:eastAsia="宋体" w:cs="宋体"/>
          <w:b/>
          <w:bCs/>
          <w:color w:val="auto"/>
          <w:sz w:val="22"/>
          <w:szCs w:val="22"/>
          <w:highlight w:val="none"/>
          <w:u w:val="single"/>
        </w:rPr>
        <w:t>退出条件（终止合同）</w:t>
      </w:r>
      <w:r>
        <w:rPr>
          <w:rFonts w:hint="eastAsia" w:ascii="宋体" w:hAnsi="宋体" w:eastAsia="宋体" w:cs="宋体"/>
          <w:color w:val="auto"/>
          <w:sz w:val="22"/>
          <w:szCs w:val="22"/>
          <w:highlight w:val="none"/>
        </w:rPr>
        <w:t>，则：乙方的环卫作业按相邻原则，由</w:t>
      </w:r>
      <w:r>
        <w:rPr>
          <w:rFonts w:hint="eastAsia" w:ascii="宋体" w:hAnsi="宋体" w:eastAsia="宋体" w:cs="宋体"/>
          <w:color w:val="auto"/>
          <w:sz w:val="22"/>
          <w:szCs w:val="22"/>
          <w:highlight w:val="none"/>
          <w:lang w:val="en-US" w:eastAsia="zh-CN"/>
        </w:rPr>
        <w:t>本项目</w:t>
      </w:r>
      <w:r>
        <w:rPr>
          <w:rFonts w:hint="eastAsia" w:ascii="宋体" w:hAnsi="宋体" w:eastAsia="宋体" w:cs="宋体"/>
          <w:color w:val="auto"/>
          <w:sz w:val="22"/>
          <w:szCs w:val="22"/>
          <w:highlight w:val="none"/>
        </w:rPr>
        <w:t>范围内其他</w:t>
      </w:r>
      <w:r>
        <w:rPr>
          <w:rFonts w:hint="eastAsia" w:ascii="宋体" w:hAnsi="宋体" w:eastAsia="宋体" w:cs="宋体"/>
          <w:color w:val="auto"/>
          <w:sz w:val="22"/>
          <w:szCs w:val="22"/>
          <w:highlight w:val="none"/>
          <w:lang w:val="en-US" w:eastAsia="zh-CN"/>
        </w:rPr>
        <w:t>标段</w:t>
      </w:r>
      <w:r>
        <w:rPr>
          <w:rFonts w:hint="eastAsia" w:ascii="宋体" w:hAnsi="宋体" w:eastAsia="宋体" w:cs="宋体"/>
          <w:color w:val="auto"/>
          <w:sz w:val="22"/>
          <w:szCs w:val="22"/>
          <w:highlight w:val="none"/>
        </w:rPr>
        <w:t>供应商临时代管，临时代管费用按</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临时</w:t>
      </w:r>
      <w:r>
        <w:rPr>
          <w:rFonts w:hint="eastAsia" w:ascii="宋体" w:hAnsi="宋体" w:eastAsia="宋体" w:cs="宋体"/>
          <w:color w:val="auto"/>
          <w:sz w:val="22"/>
          <w:szCs w:val="22"/>
          <w:highlight w:val="none"/>
          <w:lang w:val="en-US" w:eastAsia="zh-CN"/>
        </w:rPr>
        <w:t>代管供应商的承包价格进行</w:t>
      </w:r>
      <w:r>
        <w:rPr>
          <w:rFonts w:hint="eastAsia" w:ascii="宋体" w:hAnsi="宋体" w:eastAsia="宋体" w:cs="宋体"/>
          <w:color w:val="auto"/>
          <w:sz w:val="22"/>
          <w:szCs w:val="22"/>
          <w:highlight w:val="none"/>
        </w:rPr>
        <w:t>计算；待重新招</w:t>
      </w:r>
      <w:r>
        <w:rPr>
          <w:rFonts w:hint="eastAsia" w:ascii="宋体" w:hAnsi="宋体" w:eastAsia="宋体" w:cs="宋体"/>
          <w:color w:val="auto"/>
          <w:sz w:val="22"/>
          <w:szCs w:val="22"/>
          <w:highlight w:val="none"/>
          <w:lang w:eastAsia="zh-CN"/>
        </w:rPr>
        <w:t>标</w:t>
      </w:r>
      <w:r>
        <w:rPr>
          <w:rFonts w:hint="eastAsia" w:ascii="宋体" w:hAnsi="宋体" w:eastAsia="宋体" w:cs="宋体"/>
          <w:color w:val="auto"/>
          <w:sz w:val="22"/>
          <w:szCs w:val="22"/>
          <w:highlight w:val="none"/>
        </w:rPr>
        <w:t>完成后，由新的</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接管。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本次采购，采购人有权不续签或终止合同的情形包括且不限于：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本项目遇不可抗力影响或法律、法规、国家政策重大调整影响合同无法执行的；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实际投入人员、机械车辆与投标文件承诺不符合，拒不履行投标承诺的</w:t>
      </w:r>
      <w:r>
        <w:rPr>
          <w:rFonts w:hint="eastAsia" w:ascii="宋体" w:hAnsi="宋体" w:eastAsia="宋体" w:cs="宋体"/>
          <w:color w:val="auto"/>
          <w:sz w:val="22"/>
          <w:szCs w:val="22"/>
          <w:highlight w:val="none"/>
          <w:shd w:val="clear" w:color="auto" w:fill="auto"/>
          <w:lang w:eastAsia="zh-CN"/>
        </w:rPr>
        <w:t>中标人</w:t>
      </w:r>
      <w:r>
        <w:rPr>
          <w:rFonts w:hint="eastAsia" w:ascii="宋体" w:hAnsi="宋体" w:eastAsia="宋体" w:cs="宋体"/>
          <w:color w:val="auto"/>
          <w:sz w:val="22"/>
          <w:szCs w:val="22"/>
          <w:highlight w:val="none"/>
          <w:shd w:val="clear" w:color="auto" w:fill="auto"/>
        </w:rPr>
        <w:t>（未按采购文件规定时间人员、机械车辆到位，达到解除合同条件的），采购人有权无责任终止采购合同。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供应商有下列情形之一的，采购人有权不续签或终止合同：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单个街道（或镇）</w:t>
      </w:r>
      <w:r>
        <w:rPr>
          <w:rFonts w:hint="eastAsia" w:ascii="宋体" w:hAnsi="宋体" w:eastAsia="宋体" w:cs="宋体"/>
          <w:color w:val="auto"/>
          <w:sz w:val="22"/>
          <w:szCs w:val="22"/>
          <w:highlight w:val="none"/>
          <w:lang w:eastAsia="zh-CN"/>
        </w:rPr>
        <w:t>评分连续2个月或年累计3个月不合格（低于</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0分）的，启动退出机制；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）中标公司发生员工群体性事件，处置不利造成重大影响的，启动退出机制；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）因应急处置不当造成严重环境污染、重大公共事件或者被上级政府追责的其他事项的，启动退出机制；</w:t>
      </w:r>
    </w:p>
    <w:p>
      <w:pPr>
        <w:pStyle w:val="2"/>
        <w:ind w:left="0" w:leftChars="0" w:firstLine="660" w:firstLineChars="300"/>
        <w:rPr>
          <w:rFonts w:hint="default"/>
          <w:color w:val="auto"/>
          <w:highlight w:val="none"/>
          <w:lang w:val="en-US" w:eastAsia="zh-CN"/>
        </w:rPr>
      </w:pPr>
      <w:r>
        <w:rPr>
          <w:rFonts w:hint="eastAsia" w:eastAsia="宋体" w:cs="宋体"/>
          <w:color w:val="auto"/>
          <w:sz w:val="22"/>
          <w:szCs w:val="22"/>
          <w:highlight w:val="none"/>
          <w:lang w:val="en-US" w:eastAsia="zh-CN"/>
        </w:rPr>
        <w:t>4）中标公司在投标文件中的承诺，如果在项目清扫保洁实际实施过程中没有到位，采购人将发出书面通知，责令其整改。中标公司必须限期履行投标承诺并整改到位，如逾期未整改到位，</w:t>
      </w:r>
      <w:r>
        <w:rPr>
          <w:rFonts w:hint="eastAsia" w:ascii="宋体" w:hAnsi="宋体" w:eastAsia="宋体" w:cs="宋体"/>
          <w:color w:val="auto"/>
          <w:sz w:val="22"/>
          <w:szCs w:val="22"/>
          <w:highlight w:val="none"/>
          <w:lang w:eastAsia="zh-CN"/>
        </w:rPr>
        <w:t>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）发现挂靠、转包的，立即启动退出机制并没收履约保证金，同时报</w:t>
      </w:r>
      <w:r>
        <w:rPr>
          <w:rFonts w:hint="eastAsia" w:ascii="宋体" w:hAnsi="宋体" w:eastAsia="宋体" w:cs="宋体"/>
          <w:color w:val="auto"/>
          <w:sz w:val="22"/>
          <w:szCs w:val="22"/>
          <w:highlight w:val="none"/>
          <w:lang w:val="en-US" w:eastAsia="zh-CN"/>
        </w:rPr>
        <w:t>采购主管部门</w:t>
      </w:r>
      <w:r>
        <w:rPr>
          <w:rFonts w:hint="eastAsia" w:ascii="宋体" w:hAnsi="宋体" w:eastAsia="宋体" w:cs="宋体"/>
          <w:color w:val="auto"/>
          <w:sz w:val="22"/>
          <w:szCs w:val="22"/>
          <w:highlight w:val="none"/>
          <w:lang w:eastAsia="zh-CN"/>
        </w:rPr>
        <w:t>列入黑名单企业；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其它弄虚作假及其他不正当行为</w:t>
      </w:r>
      <w:r>
        <w:rPr>
          <w:rFonts w:hint="eastAsia" w:ascii="宋体" w:hAnsi="宋体" w:eastAsia="宋体" w:cs="宋体"/>
          <w:color w:val="auto"/>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合同履约期间，</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法人组织破产的；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根据采购文件及合同约定，其它不续签或终止合同的规定，其它法律规定的终止情形。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本采购的报价形式按作业量清单报价，但是作业量清单中未明确表示的</w:t>
      </w:r>
      <w:r>
        <w:rPr>
          <w:rFonts w:hint="eastAsia" w:ascii="宋体" w:hAnsi="宋体" w:eastAsia="宋体" w:cs="宋体"/>
          <w:color w:val="auto"/>
          <w:sz w:val="22"/>
          <w:szCs w:val="22"/>
          <w:highlight w:val="non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化粪池抽运）；环卫驿站维养、无主装潢垃圾清运、生活垃圾分类收运等项目</w:t>
      </w:r>
      <w:r>
        <w:rPr>
          <w:rFonts w:hint="eastAsia" w:ascii="宋体" w:hAnsi="宋体" w:eastAsia="宋体" w:cs="宋体"/>
          <w:color w:val="auto"/>
          <w:sz w:val="22"/>
          <w:szCs w:val="22"/>
          <w:highlight w:val="none"/>
        </w:rPr>
        <w:t>，无论是否报价单列，以上内容全部包括在投标总价中。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trike/>
          <w:dstrike w:val="0"/>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本次采购，作业车辆、工具的停放场地</w:t>
      </w:r>
      <w:r>
        <w:rPr>
          <w:rFonts w:hint="eastAsia" w:ascii="宋体" w:hAnsi="宋体" w:eastAsia="宋体" w:cs="宋体"/>
          <w:color w:val="auto"/>
          <w:sz w:val="22"/>
          <w:szCs w:val="22"/>
          <w:highlight w:val="none"/>
          <w:lang w:val="en-US" w:eastAsia="zh-CN"/>
        </w:rPr>
        <w:t>及装修垃圾、废弃家具、大件垃圾中转场</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自行负责解决，要求规范</w:t>
      </w:r>
      <w:r>
        <w:rPr>
          <w:rFonts w:hint="eastAsia" w:ascii="宋体" w:hAnsi="宋体" w:eastAsia="宋体" w:cs="宋体"/>
          <w:color w:val="auto"/>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本次采购，</w:t>
      </w:r>
      <w:r>
        <w:rPr>
          <w:rFonts w:hint="eastAsia" w:ascii="宋体" w:hAnsi="宋体" w:eastAsia="宋体" w:cs="宋体"/>
          <w:b/>
          <w:bCs/>
          <w:color w:val="auto"/>
          <w:sz w:val="22"/>
          <w:szCs w:val="22"/>
          <w:highlight w:val="none"/>
          <w:u w:val="single"/>
        </w:rPr>
        <w:t>所投标机械车辆，须根据投标文件在领取中标通知书后20个</w:t>
      </w:r>
      <w:r>
        <w:rPr>
          <w:rFonts w:hint="eastAsia" w:ascii="宋体" w:hAnsi="宋体" w:eastAsia="宋体" w:cs="宋体"/>
          <w:b/>
          <w:bCs/>
          <w:color w:val="auto"/>
          <w:sz w:val="22"/>
          <w:szCs w:val="22"/>
          <w:highlight w:val="none"/>
          <w:u w:val="single"/>
          <w:lang w:val="en-US" w:eastAsia="zh-CN"/>
        </w:rPr>
        <w:t>日历天</w:t>
      </w:r>
      <w:r>
        <w:rPr>
          <w:rFonts w:hint="eastAsia" w:ascii="宋体" w:hAnsi="宋体" w:eastAsia="宋体" w:cs="宋体"/>
          <w:b/>
          <w:bCs/>
          <w:color w:val="auto"/>
          <w:sz w:val="22"/>
          <w:szCs w:val="22"/>
          <w:highlight w:val="none"/>
          <w:u w:val="single"/>
        </w:rPr>
        <w:t>内全部按照采购人指定的设计方案统一涂装、统一LOGO喷涂到位（如确实因节能限电或其他政府政策原因，导致生产厂家无法如期提供的，在提供了购买合同、付款凭证、厂家出具的说明等相关资料，并提供满足保洁服务质量的措施后，经采购人确认，可予以延期，但最长不超过二个月），采购人将指定地点进行统一清点核验，否则将取消其中标资格</w:t>
      </w:r>
      <w:r>
        <w:rPr>
          <w:rFonts w:hint="eastAsia" w:ascii="宋体" w:hAnsi="宋体" w:eastAsia="宋体" w:cs="宋体"/>
          <w:color w:val="auto"/>
          <w:sz w:val="22"/>
          <w:szCs w:val="22"/>
          <w:highlight w:val="none"/>
        </w:rPr>
        <w:t>，采购人将重新组织采购。制定机械作业方案报备采购人审定，并严格按照采购人确认的范围、路线、时间进行作业，不得随意变更。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本次采购，所有车辆必须重新涂装，必须按照采购人指定的设计方案</w:t>
      </w:r>
      <w:r>
        <w:rPr>
          <w:rFonts w:hint="eastAsia" w:ascii="宋体" w:hAnsi="宋体" w:eastAsia="宋体" w:cs="宋体"/>
          <w:b/>
          <w:bCs/>
          <w:color w:val="auto"/>
          <w:sz w:val="22"/>
          <w:szCs w:val="22"/>
          <w:highlight w:val="none"/>
          <w:u w:val="single"/>
        </w:rPr>
        <w:t>统一涂装</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LOGO</w:t>
      </w:r>
      <w:r>
        <w:rPr>
          <w:rFonts w:hint="eastAsia" w:ascii="宋体" w:hAnsi="宋体" w:eastAsia="宋体" w:cs="宋体"/>
          <w:color w:val="auto"/>
          <w:sz w:val="22"/>
          <w:szCs w:val="22"/>
          <w:highlight w:val="none"/>
        </w:rPr>
        <w:t>，涂装的费用由供应商自行承担。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本次采购，要求供应商建立</w:t>
      </w:r>
      <w:r>
        <w:rPr>
          <w:rFonts w:hint="eastAsia" w:ascii="宋体" w:hAnsi="宋体" w:eastAsia="宋体" w:cs="宋体"/>
          <w:b/>
          <w:bCs/>
          <w:color w:val="auto"/>
          <w:sz w:val="22"/>
          <w:szCs w:val="22"/>
          <w:highlight w:val="none"/>
          <w:u w:val="single"/>
        </w:rPr>
        <w:t>独立账户</w:t>
      </w:r>
      <w:r>
        <w:rPr>
          <w:rFonts w:hint="eastAsia" w:ascii="宋体" w:hAnsi="宋体" w:eastAsia="宋体" w:cs="宋体"/>
          <w:color w:val="auto"/>
          <w:sz w:val="22"/>
          <w:szCs w:val="22"/>
          <w:highlight w:val="none"/>
        </w:rPr>
        <w:t>专用于本次中标项目，建立独立的环卫工人花名册</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u w:val="single"/>
        </w:rPr>
        <w:t>环卫工人的工资、奖金、福利等支付不采用现金形式，通过独立账户银行转账方式支付</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采购人付款前，供应商必须提供上一</w:t>
      </w:r>
      <w:r>
        <w:rPr>
          <w:rFonts w:hint="eastAsia" w:ascii="宋体" w:hAnsi="宋体" w:eastAsia="宋体" w:cs="宋体"/>
          <w:b/>
          <w:bCs/>
          <w:color w:val="auto"/>
          <w:sz w:val="22"/>
          <w:szCs w:val="22"/>
          <w:highlight w:val="none"/>
          <w:u w:val="single"/>
          <w:lang w:val="en-US" w:eastAsia="zh-CN"/>
        </w:rPr>
        <w:t>月</w:t>
      </w:r>
      <w:r>
        <w:rPr>
          <w:rFonts w:hint="eastAsia" w:ascii="宋体" w:hAnsi="宋体" w:eastAsia="宋体" w:cs="宋体"/>
          <w:b/>
          <w:bCs/>
          <w:color w:val="auto"/>
          <w:sz w:val="22"/>
          <w:szCs w:val="22"/>
          <w:highlight w:val="none"/>
          <w:u w:val="single"/>
        </w:rPr>
        <w:t>工资支付的银行流水，</w:t>
      </w:r>
      <w:r>
        <w:rPr>
          <w:rFonts w:hint="eastAsia" w:ascii="宋体" w:hAnsi="宋体" w:eastAsia="宋体" w:cs="宋体"/>
          <w:color w:val="auto"/>
          <w:sz w:val="22"/>
          <w:szCs w:val="22"/>
          <w:highlight w:val="none"/>
        </w:rPr>
        <w:t>否则采购人将不予付款。</w:t>
      </w:r>
      <w:r>
        <w:rPr>
          <w:rFonts w:hint="eastAsia" w:ascii="宋体" w:hAnsi="宋体" w:eastAsia="宋体" w:cs="宋体"/>
          <w:color w:val="auto"/>
          <w:sz w:val="22"/>
          <w:szCs w:val="22"/>
          <w:highlight w:val="none"/>
          <w:lang w:val="en-US" w:eastAsia="zh-CN"/>
        </w:rPr>
        <w:t>环卫工人的工资支付由标项中的各街镇进行审查，承包经费由各街镇支付给中标供应商</w:t>
      </w:r>
      <w:r>
        <w:rPr>
          <w:rFonts w:hint="eastAsia" w:ascii="宋体" w:hAnsi="宋体" w:eastAsia="宋体" w:cs="宋体"/>
          <w:color w:val="auto"/>
          <w:sz w:val="22"/>
          <w:szCs w:val="22"/>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履约保证金采用银行保函的，银行保函形式应为</w:t>
      </w:r>
      <w:r>
        <w:rPr>
          <w:rFonts w:hint="eastAsia" w:ascii="宋体" w:hAnsi="宋体" w:eastAsia="宋体" w:cs="宋体"/>
          <w:b/>
          <w:bCs/>
          <w:color w:val="auto"/>
          <w:sz w:val="22"/>
          <w:szCs w:val="22"/>
          <w:highlight w:val="none"/>
          <w:u w:val="single"/>
        </w:rPr>
        <w:t>见索即付的无条件独立保函</w:t>
      </w:r>
      <w:r>
        <w:rPr>
          <w:rFonts w:hint="eastAsia" w:ascii="宋体" w:hAnsi="宋体" w:eastAsia="宋体" w:cs="宋体"/>
          <w:color w:val="auto"/>
          <w:sz w:val="22"/>
          <w:szCs w:val="22"/>
          <w:highlight w:val="none"/>
        </w:rPr>
        <w:t>。采购人提取履约保证金，但未达到解除合同条件的，</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须在扣罚之日起7日历天内补齐合同履约保证金至一年合同款的</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％。拒不缴纳补齐的，采购人有权扣罚全部履约保证金，并无条件解除合同。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本次采购，投标人不得恶意低价竞标，评标委员会认为投标人的报价明显低于其他通过符合性审查投标人的报价或低于成本价，有可能影响</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质量或者不能诚信履约的，应当要求其在评标现场合</w:t>
      </w:r>
      <w:r>
        <w:rPr>
          <w:rFonts w:hint="eastAsia" w:ascii="宋体" w:hAnsi="宋体" w:eastAsia="宋体" w:cs="宋体"/>
          <w:b w:val="0"/>
          <w:bCs w:val="0"/>
          <w:color w:val="auto"/>
          <w:sz w:val="22"/>
          <w:szCs w:val="22"/>
          <w:highlight w:val="none"/>
        </w:rPr>
        <w:t>理的时间内提供书面说明，必要时提交相关证明材料；投标人不能证明其报价合理性的，评标委员会应当将其作为无效投标处理。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trike/>
          <w:dstrike w:val="0"/>
          <w:color w:val="auto"/>
          <w:sz w:val="22"/>
          <w:szCs w:val="22"/>
          <w:highlight w:val="none"/>
        </w:rPr>
      </w:pP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本次采购，</w:t>
      </w:r>
      <w:r>
        <w:rPr>
          <w:rFonts w:hint="eastAsia" w:ascii="宋体" w:hAnsi="宋体" w:eastAsia="宋体" w:cs="宋体"/>
          <w:color w:val="auto"/>
          <w:sz w:val="22"/>
          <w:szCs w:val="22"/>
          <w:highlight w:val="none"/>
        </w:rPr>
        <w:t>保洁作业的进场时间</w:t>
      </w:r>
      <w:r>
        <w:rPr>
          <w:rFonts w:hint="eastAsia" w:ascii="宋体" w:hAnsi="宋体" w:eastAsia="宋体" w:cs="宋体"/>
          <w:color w:val="auto"/>
          <w:sz w:val="22"/>
          <w:szCs w:val="22"/>
          <w:highlight w:val="none"/>
          <w:lang w:val="en-US" w:eastAsia="zh-CN"/>
        </w:rPr>
        <w:t>可能</w:t>
      </w:r>
      <w:r>
        <w:rPr>
          <w:rFonts w:hint="eastAsia" w:ascii="宋体" w:hAnsi="宋体" w:eastAsia="宋体" w:cs="宋体"/>
          <w:color w:val="auto"/>
          <w:sz w:val="22"/>
          <w:szCs w:val="22"/>
          <w:highlight w:val="none"/>
        </w:rPr>
        <w:t>存在差异，保洁经费以实际进场的保洁作业量和</w:t>
      </w:r>
      <w:r>
        <w:rPr>
          <w:rFonts w:hint="eastAsia" w:ascii="宋体" w:hAnsi="宋体" w:eastAsia="宋体" w:cs="宋体"/>
          <w:color w:val="auto"/>
          <w:sz w:val="22"/>
          <w:szCs w:val="22"/>
          <w:highlight w:val="none"/>
          <w:lang w:eastAsia="zh-CN"/>
        </w:rPr>
        <w:t>单价</w:t>
      </w:r>
      <w:r>
        <w:rPr>
          <w:rFonts w:hint="eastAsia" w:ascii="宋体" w:hAnsi="宋体" w:eastAsia="宋体" w:cs="宋体"/>
          <w:color w:val="auto"/>
          <w:sz w:val="22"/>
          <w:szCs w:val="22"/>
          <w:highlight w:val="none"/>
        </w:rPr>
        <w:t>进行结算，供应商自行承担相应风险</w:t>
      </w:r>
      <w:r>
        <w:rPr>
          <w:rFonts w:hint="eastAsia" w:ascii="宋体" w:hAnsi="宋体" w:eastAsia="宋体" w:cs="宋体"/>
          <w:color w:val="auto"/>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合同履行期间或将增加</w:t>
      </w:r>
      <w:r>
        <w:rPr>
          <w:rFonts w:hint="eastAsia" w:ascii="宋体" w:hAnsi="宋体" w:eastAsia="宋体" w:cs="宋体"/>
          <w:color w:val="auto"/>
          <w:sz w:val="22"/>
          <w:szCs w:val="22"/>
          <w:highlight w:val="none"/>
          <w:lang w:val="en-US" w:eastAsia="zh-CN"/>
        </w:rPr>
        <w:t>厕所、</w:t>
      </w:r>
      <w:r>
        <w:rPr>
          <w:rFonts w:hint="eastAsia" w:ascii="宋体" w:hAnsi="宋体" w:eastAsia="宋体" w:cs="宋体"/>
          <w:color w:val="auto"/>
          <w:sz w:val="22"/>
          <w:szCs w:val="22"/>
          <w:highlight w:val="none"/>
        </w:rPr>
        <w:t>垃圾分类等设备设施，其日常运维由供应商全权负责，造成供应商工作人员、管理成本增加的应综合考虑。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pStyle w:val="5"/>
        <w:rPr>
          <w:rFonts w:hint="eastAsia" w:ascii="宋体" w:hAnsi="宋体" w:eastAsia="宋体" w:cs="宋体"/>
          <w:color w:val="auto"/>
          <w:sz w:val="36"/>
          <w:szCs w:val="36"/>
          <w:highlight w:val="none"/>
          <w:lang w:eastAsia="zh-CN"/>
        </w:rPr>
      </w:pPr>
      <w:r>
        <w:rPr>
          <w:rFonts w:hint="eastAsia" w:ascii="宋体" w:hAnsi="宋体" w:eastAsia="宋体" w:cs="宋体"/>
          <w:b w:val="0"/>
          <w:color w:val="auto"/>
          <w:sz w:val="36"/>
          <w:szCs w:val="36"/>
          <w:highlight w:val="none"/>
        </w:rPr>
        <w:br w:type="page"/>
      </w:r>
      <w:bookmarkStart w:id="7" w:name="_Toc9387"/>
      <w:r>
        <w:rPr>
          <w:rFonts w:hint="eastAsia" w:ascii="宋体" w:hAnsi="宋体" w:eastAsia="宋体" w:cs="宋体"/>
          <w:color w:val="auto"/>
          <w:sz w:val="36"/>
          <w:szCs w:val="36"/>
          <w:highlight w:val="none"/>
        </w:rPr>
        <w:t xml:space="preserve">第一部分   </w:t>
      </w:r>
      <w:r>
        <w:rPr>
          <w:rFonts w:hint="eastAsia" w:ascii="宋体" w:hAnsi="宋体" w:eastAsia="宋体" w:cs="宋体"/>
          <w:color w:val="auto"/>
          <w:sz w:val="36"/>
          <w:szCs w:val="36"/>
          <w:highlight w:val="none"/>
          <w:lang w:eastAsia="zh-CN"/>
        </w:rPr>
        <w:t>投标人须知</w:t>
      </w:r>
      <w:bookmarkEnd w:id="7"/>
    </w:p>
    <w:p>
      <w:pPr>
        <w:pStyle w:val="5"/>
        <w:rPr>
          <w:rFonts w:hint="eastAsia" w:ascii="宋体" w:hAnsi="宋体" w:eastAsia="宋体" w:cs="宋体"/>
          <w:color w:val="auto"/>
          <w:sz w:val="36"/>
          <w:szCs w:val="36"/>
          <w:highlight w:val="none"/>
        </w:rPr>
      </w:pPr>
      <w:bookmarkStart w:id="8" w:name="_Toc19600"/>
      <w:bookmarkStart w:id="9" w:name="_Toc23590"/>
      <w:r>
        <w:rPr>
          <w:rFonts w:hint="eastAsia" w:ascii="宋体" w:hAnsi="宋体" w:eastAsia="宋体" w:cs="宋体"/>
          <w:color w:val="auto"/>
          <w:sz w:val="36"/>
          <w:szCs w:val="36"/>
          <w:highlight w:val="none"/>
        </w:rPr>
        <w:t>投标人须知前附表</w:t>
      </w:r>
      <w:bookmarkEnd w:id="6"/>
      <w:bookmarkEnd w:id="8"/>
      <w:bookmarkEnd w:id="9"/>
    </w:p>
    <w:tbl>
      <w:tblPr>
        <w:tblStyle w:val="58"/>
        <w:tblW w:w="4996" w:type="pct"/>
        <w:tblInd w:w="0" w:type="dxa"/>
        <w:tblLayout w:type="autofit"/>
        <w:tblCellMar>
          <w:top w:w="0" w:type="dxa"/>
          <w:left w:w="108" w:type="dxa"/>
          <w:bottom w:w="0" w:type="dxa"/>
          <w:right w:w="108" w:type="dxa"/>
        </w:tblCellMar>
      </w:tblPr>
      <w:tblGrid>
        <w:gridCol w:w="642"/>
        <w:gridCol w:w="2161"/>
        <w:gridCol w:w="7043"/>
      </w:tblGrid>
      <w:tr>
        <w:tblPrEx>
          <w:tblCellMar>
            <w:top w:w="0" w:type="dxa"/>
            <w:left w:w="108" w:type="dxa"/>
            <w:bottom w:w="0" w:type="dxa"/>
            <w:right w:w="108" w:type="dxa"/>
          </w:tblCellMar>
        </w:tblPrEx>
        <w:trPr>
          <w:wBefore w:w="0" w:type="auto"/>
          <w:wAfter w:w="0" w:type="auto"/>
          <w:trHeight w:val="525"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条款名称</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编列内容</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采购人名称：温州市鹿城区综合行政执法局</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地址：温州市鹿城区南汇街道惠民路766号</w:t>
            </w:r>
          </w:p>
          <w:p>
            <w:pPr>
              <w:keepNext w:val="0"/>
              <w:keepLines w:val="0"/>
              <w:pageBreakBefore w:val="0"/>
              <w:kinsoku/>
              <w:wordWrap/>
              <w:overflowPunct/>
              <w:topLinePunct w:val="0"/>
              <w:bidi w:val="0"/>
              <w:snapToGrid/>
              <w:spacing w:line="360" w:lineRule="exact"/>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val="en-US" w:eastAsia="zh-CN"/>
              </w:rPr>
              <w:t>张先生</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lang w:val="en-US" w:eastAsia="zh-CN"/>
              </w:rPr>
              <w:t>0577-88101121</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采购代理机构</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采购代理机构名称：</w:t>
            </w:r>
            <w:r>
              <w:rPr>
                <w:rFonts w:hint="eastAsia" w:ascii="宋体" w:hAnsi="宋体" w:eastAsia="宋体" w:cs="宋体"/>
                <w:bCs/>
                <w:color w:val="auto"/>
                <w:kern w:val="0"/>
                <w:sz w:val="22"/>
                <w:szCs w:val="22"/>
                <w:highlight w:val="none"/>
                <w:lang w:eastAsia="zh-CN"/>
              </w:rPr>
              <w:t>宁波国咨工程造价咨询有限公司</w:t>
            </w:r>
          </w:p>
          <w:p>
            <w:pPr>
              <w:keepNext w:val="0"/>
              <w:keepLines w:val="0"/>
              <w:pageBreakBefore w:val="0"/>
              <w:kinsoku/>
              <w:wordWrap/>
              <w:overflowPunct/>
              <w:topLinePunct w:val="0"/>
              <w:bidi w:val="0"/>
              <w:snapToGrid/>
              <w:spacing w:line="360" w:lineRule="exact"/>
              <w:textAlignment w:val="auto"/>
              <w:rPr>
                <w:rFonts w:hint="default" w:ascii="宋体" w:hAnsi="宋体" w:eastAsia="宋体" w:cs="宋体"/>
                <w:bCs/>
                <w:color w:val="auto"/>
                <w:kern w:val="0"/>
                <w:sz w:val="22"/>
                <w:szCs w:val="22"/>
                <w:highlight w:val="none"/>
                <w:lang w:val="en-US"/>
              </w:rPr>
            </w:pPr>
            <w:r>
              <w:rPr>
                <w:rFonts w:hint="eastAsia" w:ascii="宋体" w:hAnsi="宋体" w:eastAsia="宋体" w:cs="宋体"/>
                <w:bCs/>
                <w:color w:val="auto"/>
                <w:kern w:val="0"/>
                <w:sz w:val="22"/>
                <w:szCs w:val="22"/>
                <w:highlight w:val="none"/>
              </w:rPr>
              <w:t>地址：</w:t>
            </w:r>
            <w:r>
              <w:rPr>
                <w:rFonts w:hint="eastAsia" w:ascii="宋体" w:hAnsi="宋体" w:eastAsia="宋体" w:cs="宋体"/>
                <w:bCs/>
                <w:color w:val="auto"/>
                <w:kern w:val="0"/>
                <w:sz w:val="22"/>
                <w:szCs w:val="22"/>
                <w:highlight w:val="none"/>
                <w:lang w:eastAsia="zh-CN"/>
              </w:rPr>
              <w:t>温州市鹿城区市府路592号新益大厦A幢1302</w:t>
            </w:r>
            <w:r>
              <w:rPr>
                <w:rFonts w:hint="eastAsia" w:ascii="宋体" w:hAnsi="宋体" w:eastAsia="宋体" w:cs="宋体"/>
                <w:bCs/>
                <w:color w:val="auto"/>
                <w:kern w:val="0"/>
                <w:sz w:val="22"/>
                <w:szCs w:val="22"/>
                <w:highlight w:val="none"/>
                <w:lang w:val="en-US" w:eastAsia="zh-CN"/>
              </w:rPr>
              <w:t>C室</w:t>
            </w:r>
          </w:p>
          <w:p>
            <w:pPr>
              <w:keepNext w:val="0"/>
              <w:keepLines w:val="0"/>
              <w:pageBreakBefore w:val="0"/>
              <w:kinsoku/>
              <w:wordWrap/>
              <w:overflowPunct/>
              <w:topLinePunct w:val="0"/>
              <w:bidi w:val="0"/>
              <w:snapToGrid/>
              <w:spacing w:line="360" w:lineRule="exact"/>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val="en-US" w:eastAsia="zh-CN"/>
              </w:rPr>
              <w:t>章</w:t>
            </w:r>
            <w:r>
              <w:rPr>
                <w:rFonts w:hint="eastAsia" w:ascii="宋体" w:hAnsi="宋体" w:eastAsia="宋体" w:cs="宋体"/>
                <w:bCs/>
                <w:color w:val="auto"/>
                <w:kern w:val="0"/>
                <w:sz w:val="22"/>
                <w:szCs w:val="22"/>
                <w:highlight w:val="none"/>
                <w:lang w:val="en-US" w:eastAsia="zh-CN"/>
              </w:rPr>
              <w:t>国庆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rPr>
              <w:t>0577-</w:t>
            </w:r>
            <w:r>
              <w:rPr>
                <w:rFonts w:hint="eastAsia" w:ascii="宋体" w:hAnsi="宋体" w:eastAsia="宋体" w:cs="宋体"/>
                <w:bCs/>
                <w:color w:val="auto"/>
                <w:kern w:val="0"/>
                <w:sz w:val="22"/>
                <w:szCs w:val="22"/>
                <w:highlight w:val="none"/>
                <w:lang w:val="en-US" w:eastAsia="zh-CN"/>
              </w:rPr>
              <w:t>88120155</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lang w:val="en-US" w:eastAsia="zh-CN"/>
              </w:rPr>
              <w:t>传真：</w:t>
            </w:r>
            <w:r>
              <w:rPr>
                <w:rFonts w:hint="eastAsia" w:ascii="宋体" w:hAnsi="宋体" w:eastAsia="宋体" w:cs="宋体"/>
                <w:bCs/>
                <w:color w:val="auto"/>
                <w:kern w:val="0"/>
                <w:sz w:val="22"/>
                <w:szCs w:val="22"/>
                <w:highlight w:val="none"/>
              </w:rPr>
              <w:t>0577-</w:t>
            </w:r>
            <w:r>
              <w:rPr>
                <w:rFonts w:hint="eastAsia" w:ascii="宋体" w:hAnsi="宋体" w:eastAsia="宋体" w:cs="宋体"/>
                <w:bCs/>
                <w:color w:val="auto"/>
                <w:kern w:val="0"/>
                <w:sz w:val="22"/>
                <w:szCs w:val="22"/>
                <w:highlight w:val="none"/>
                <w:lang w:val="en-US" w:eastAsia="zh-CN"/>
              </w:rPr>
              <w:t>88120158</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项目名称及项目编号</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val="en" w:eastAsia="zh-CN"/>
              </w:rPr>
            </w:pPr>
            <w:r>
              <w:rPr>
                <w:rFonts w:hint="eastAsia" w:ascii="宋体" w:hAnsi="宋体" w:eastAsia="宋体" w:cs="宋体"/>
                <w:bCs/>
                <w:color w:val="auto"/>
                <w:kern w:val="0"/>
                <w:sz w:val="22"/>
                <w:szCs w:val="22"/>
                <w:highlight w:val="none"/>
              </w:rPr>
              <w:t>项目名称：</w:t>
            </w:r>
            <w:r>
              <w:rPr>
                <w:rFonts w:hint="eastAsia" w:ascii="宋体" w:hAnsi="宋体" w:eastAsia="宋体" w:cs="宋体"/>
                <w:bCs/>
                <w:color w:val="auto"/>
                <w:kern w:val="0"/>
                <w:sz w:val="22"/>
                <w:szCs w:val="22"/>
                <w:highlight w:val="none"/>
                <w:u w:val="single"/>
                <w:lang w:val="en" w:eastAsia="zh-CN"/>
              </w:rPr>
              <w:t>鹿城区环卫一体化项目二期（重）</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u w:val="single"/>
                <w:lang w:val="en" w:eastAsia="zh-CN"/>
              </w:rPr>
            </w:pPr>
            <w:r>
              <w:rPr>
                <w:rFonts w:hint="eastAsia" w:ascii="宋体" w:hAnsi="宋体" w:eastAsia="宋体" w:cs="宋体"/>
                <w:bCs/>
                <w:color w:val="auto"/>
                <w:kern w:val="0"/>
                <w:sz w:val="22"/>
                <w:szCs w:val="22"/>
                <w:highlight w:val="none"/>
                <w:lang w:val="en-US" w:eastAsia="zh-CN"/>
              </w:rPr>
              <w:t>标项1名称：</w:t>
            </w:r>
            <w:r>
              <w:rPr>
                <w:rFonts w:hint="eastAsia" w:ascii="宋体" w:hAnsi="宋体" w:eastAsia="宋体" w:cs="宋体"/>
                <w:color w:val="auto"/>
                <w:kern w:val="0"/>
                <w:sz w:val="22"/>
                <w:szCs w:val="22"/>
                <w:highlight w:val="none"/>
                <w:u w:val="single"/>
                <w:lang w:val="en-US" w:eastAsia="zh-CN"/>
              </w:rPr>
              <w:t>鹿城区环卫一体化项目二期（双屿街道、丰门街道、仰义街道）</w:t>
            </w:r>
            <w:r>
              <w:rPr>
                <w:rFonts w:hint="eastAsia" w:ascii="宋体" w:hAnsi="宋体" w:eastAsia="宋体" w:cs="宋体"/>
                <w:color w:val="auto"/>
                <w:kern w:val="0"/>
                <w:sz w:val="22"/>
                <w:szCs w:val="22"/>
                <w:highlight w:val="none"/>
                <w:u w:val="single"/>
                <w:lang w:val="en-US" w:eastAsia="zh-CN"/>
              </w:rPr>
              <w:t>（重）</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val="en" w:eastAsia="zh-CN"/>
              </w:rPr>
            </w:pPr>
            <w:r>
              <w:rPr>
                <w:rFonts w:hint="eastAsia" w:ascii="宋体" w:hAnsi="宋体" w:eastAsia="宋体" w:cs="宋体"/>
                <w:bCs/>
                <w:color w:val="auto"/>
                <w:kern w:val="0"/>
                <w:sz w:val="22"/>
                <w:szCs w:val="22"/>
                <w:highlight w:val="none"/>
                <w:lang w:val="en-US" w:eastAsia="zh-CN"/>
              </w:rPr>
              <w:t>标项2</w:t>
            </w:r>
            <w:r>
              <w:rPr>
                <w:rFonts w:hint="eastAsia" w:ascii="宋体" w:hAnsi="宋体" w:eastAsia="宋体" w:cs="宋体"/>
                <w:bCs/>
                <w:color w:val="auto"/>
                <w:kern w:val="0"/>
                <w:sz w:val="22"/>
                <w:szCs w:val="22"/>
                <w:highlight w:val="none"/>
                <w:lang w:val="en-US" w:eastAsia="zh-CN"/>
              </w:rPr>
              <w:t>名称</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color w:val="auto"/>
                <w:kern w:val="0"/>
                <w:sz w:val="22"/>
                <w:szCs w:val="22"/>
                <w:highlight w:val="none"/>
                <w:u w:val="single"/>
                <w:lang w:val="en-US" w:eastAsia="zh-CN"/>
              </w:rPr>
              <w:t>鹿城区环卫一体化项目二期（藤桥镇、山福镇）</w:t>
            </w:r>
            <w:r>
              <w:rPr>
                <w:rFonts w:hint="eastAsia" w:ascii="宋体" w:hAnsi="宋体" w:eastAsia="宋体" w:cs="宋体"/>
                <w:color w:val="auto"/>
                <w:kern w:val="0"/>
                <w:sz w:val="22"/>
                <w:szCs w:val="22"/>
                <w:highlight w:val="none"/>
                <w:u w:val="single"/>
                <w:lang w:val="en-US" w:eastAsia="zh-CN"/>
              </w:rPr>
              <w:t>（重）</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标项3</w:t>
            </w:r>
            <w:r>
              <w:rPr>
                <w:rFonts w:hint="eastAsia" w:ascii="宋体" w:hAnsi="宋体" w:eastAsia="宋体" w:cs="宋体"/>
                <w:bCs/>
                <w:color w:val="auto"/>
                <w:kern w:val="0"/>
                <w:sz w:val="22"/>
                <w:szCs w:val="22"/>
                <w:highlight w:val="none"/>
                <w:lang w:val="en-US" w:eastAsia="zh-CN"/>
              </w:rPr>
              <w:t>名称</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color w:val="auto"/>
                <w:kern w:val="0"/>
                <w:sz w:val="22"/>
                <w:szCs w:val="22"/>
                <w:highlight w:val="none"/>
                <w:u w:val="single"/>
                <w:lang w:val="en-US" w:eastAsia="zh-CN"/>
              </w:rPr>
              <w:t>鹿城区环卫一体化项目二期（七都街道）</w:t>
            </w:r>
            <w:r>
              <w:rPr>
                <w:rFonts w:hint="eastAsia" w:ascii="宋体" w:hAnsi="宋体" w:eastAsia="宋体" w:cs="宋体"/>
                <w:color w:val="auto"/>
                <w:kern w:val="0"/>
                <w:sz w:val="22"/>
                <w:szCs w:val="22"/>
                <w:highlight w:val="none"/>
                <w:u w:val="single"/>
                <w:lang w:val="en-US" w:eastAsia="zh-CN"/>
              </w:rPr>
              <w:t>（重）</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eastAsia="zh-CN"/>
              </w:rPr>
              <w:t>项目编号：</w:t>
            </w:r>
            <w:r>
              <w:rPr>
                <w:rFonts w:hint="eastAsia" w:ascii="宋体" w:hAnsi="宋体" w:eastAsia="宋体" w:cs="宋体"/>
                <w:bCs/>
                <w:color w:val="auto"/>
                <w:kern w:val="0"/>
                <w:sz w:val="22"/>
                <w:szCs w:val="22"/>
                <w:highlight w:val="none"/>
                <w:u w:val="single"/>
                <w:lang w:eastAsia="zh-CN"/>
              </w:rPr>
              <w:t>GZWZ[2023]005</w:t>
            </w:r>
          </w:p>
        </w:tc>
      </w:tr>
      <w:tr>
        <w:tblPrEx>
          <w:tblCellMar>
            <w:top w:w="0" w:type="dxa"/>
            <w:left w:w="108" w:type="dxa"/>
            <w:bottom w:w="0" w:type="dxa"/>
            <w:right w:w="108" w:type="dxa"/>
          </w:tblCellMar>
        </w:tblPrEx>
        <w:trPr>
          <w:wBefore w:w="0" w:type="auto"/>
          <w:wAfter w:w="0" w:type="auto"/>
          <w:trHeight w:val="2438"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招标内容</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Times New Roman" w:hAnsi="Times New Roman" w:eastAsia="宋体" w:cs="Times New Roman"/>
                <w:color w:val="auto"/>
                <w:highlight w:val="none"/>
                <w:lang w:val="en" w:eastAsia="zh-CN"/>
              </w:rPr>
            </w:pPr>
            <w:r>
              <w:rPr>
                <w:rFonts w:hint="eastAsia" w:ascii="Times New Roman" w:hAnsi="Times New Roman" w:eastAsia="宋体" w:cs="Times New Roman"/>
                <w:color w:val="auto"/>
                <w:highlight w:val="none"/>
                <w:lang w:val="en-US" w:eastAsia="zh-CN"/>
              </w:rPr>
              <w:t>标项1：鹿城区环卫一体化项目二期（双屿街道、丰门街道、仰义街道）（重），具体招标内容及要求详见采购文件相关部分。</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eastAsia="宋体" w:cs="Times New Roman"/>
                <w:color w:val="auto"/>
                <w:highlight w:val="none"/>
                <w:lang w:val="en" w:eastAsia="zh-CN"/>
              </w:rPr>
            </w:pPr>
            <w:r>
              <w:rPr>
                <w:rFonts w:hint="eastAsia" w:ascii="Times New Roman" w:hAnsi="Times New Roman" w:eastAsia="宋体" w:cs="Times New Roman"/>
                <w:color w:val="auto"/>
                <w:highlight w:val="none"/>
                <w:lang w:val="en-US" w:eastAsia="zh-CN"/>
              </w:rPr>
              <w:t>标项2：鹿城区环卫一体化项目二期（藤桥镇、山福镇）（重），具体招标内容及要求详见采购文件相关部分。</w:t>
            </w:r>
          </w:p>
          <w:p>
            <w:pPr>
              <w:keepNext w:val="0"/>
              <w:keepLines w:val="0"/>
              <w:pageBreakBefore w:val="0"/>
              <w:kinsoku/>
              <w:wordWrap/>
              <w:overflowPunct/>
              <w:topLinePunct w:val="0"/>
              <w:bidi w:val="0"/>
              <w:snapToGrid/>
              <w:spacing w:line="360" w:lineRule="exact"/>
              <w:textAlignment w:val="auto"/>
              <w:rPr>
                <w:rFonts w:hint="eastAsia" w:eastAsia="宋体"/>
                <w:color w:val="auto"/>
                <w:highlight w:val="none"/>
                <w:lang w:eastAsia="zh-CN"/>
              </w:rPr>
            </w:pPr>
            <w:r>
              <w:rPr>
                <w:rFonts w:hint="eastAsia" w:ascii="Times New Roman" w:hAnsi="Times New Roman" w:eastAsia="宋体" w:cs="Times New Roman"/>
                <w:color w:val="auto"/>
                <w:highlight w:val="none"/>
                <w:lang w:val="en-US" w:eastAsia="zh-CN"/>
              </w:rPr>
              <w:t>标项3：鹿城区环卫一体化项目二期（七都街道）（重），具体招标内容及要求详见采购文件相关部分。</w:t>
            </w:r>
          </w:p>
        </w:tc>
      </w:tr>
      <w:tr>
        <w:tblPrEx>
          <w:tblCellMar>
            <w:top w:w="0" w:type="dxa"/>
            <w:left w:w="108" w:type="dxa"/>
            <w:bottom w:w="0" w:type="dxa"/>
            <w:right w:w="108" w:type="dxa"/>
          </w:tblCellMar>
        </w:tblPrEx>
        <w:trPr>
          <w:wBefore w:w="0" w:type="auto"/>
          <w:wAfter w:w="0" w:type="auto"/>
          <w:trHeight w:val="733"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rPr>
              <w:t>合同履行期限</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u w:val="single"/>
                <w:lang w:eastAsia="zh-CN"/>
              </w:rPr>
              <w:t>本项目服务期限为3年，合同按照一年一签形式，未出现须提前终止合同情况的，可签第二年（第三年）。</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rPr>
              <w:t>申请人资格要求</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2.落实政府采购政策需满足的资格要求：无。    </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3.本项目的特定资格要求：</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（1）单位负责人为同一</w:t>
            </w:r>
            <w:r>
              <w:rPr>
                <w:rFonts w:hint="eastAsia" w:ascii="宋体" w:hAnsi="宋体" w:eastAsia="宋体" w:cs="宋体"/>
                <w:bCs/>
                <w:color w:val="auto"/>
                <w:sz w:val="22"/>
                <w:szCs w:val="22"/>
                <w:highlight w:val="none"/>
              </w:rPr>
              <w:t>人或者存在直接控股、管理关系的不同投标人，不得参加同一合同项下的政府采购活动；</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（2）本项目（否）接受联合体投标。</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是否接受联合体投标</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不接受</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□接受</w:t>
            </w:r>
          </w:p>
        </w:tc>
      </w:tr>
      <w:tr>
        <w:tblPrEx>
          <w:tblCellMar>
            <w:top w:w="0" w:type="dxa"/>
            <w:left w:w="108" w:type="dxa"/>
            <w:bottom w:w="0" w:type="dxa"/>
            <w:right w:w="108" w:type="dxa"/>
          </w:tblCellMar>
        </w:tblPrEx>
        <w:trPr>
          <w:wBefore w:w="0" w:type="auto"/>
          <w:wAfter w:w="0" w:type="auto"/>
          <w:trHeight w:val="416"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不组织，投标人自行前往项目现场进行踏勘。</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□召开</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rPr>
              <w:t>投标截止时间</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见招标公告</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分包</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□允许</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不允许</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偏差允许幅度及其处理方法：允许细微偏差，不允许重大偏差。由评标委员会判断，细微偏差要求投标人在评审结束前予以澄清、说明或补正，不接受要求进行的，评标委员会有权做无效标处理，详见评标办法。</w:t>
            </w:r>
          </w:p>
        </w:tc>
      </w:tr>
      <w:tr>
        <w:tblPrEx>
          <w:tblCellMar>
            <w:top w:w="0" w:type="dxa"/>
            <w:left w:w="108" w:type="dxa"/>
            <w:bottom w:w="0" w:type="dxa"/>
            <w:right w:w="108" w:type="dxa"/>
          </w:tblCellMar>
        </w:tblPrEx>
        <w:trPr>
          <w:wBefore w:w="0" w:type="auto"/>
          <w:wAfter w:w="0" w:type="auto"/>
          <w:trHeight w:val="705"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投标文件有效期</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投标文件自投标截止时间起生效，有效期</w:t>
            </w:r>
            <w:r>
              <w:rPr>
                <w:rFonts w:hint="eastAsia" w:ascii="宋体" w:hAnsi="宋体" w:eastAsia="宋体" w:cs="宋体"/>
                <w:color w:val="auto"/>
                <w:kern w:val="0"/>
                <w:sz w:val="22"/>
                <w:szCs w:val="22"/>
                <w:highlight w:val="none"/>
                <w:u w:val="single"/>
              </w:rPr>
              <w:t>90</w:t>
            </w:r>
            <w:r>
              <w:rPr>
                <w:rFonts w:hint="eastAsia" w:ascii="宋体" w:hAnsi="宋体" w:eastAsia="宋体" w:cs="宋体"/>
                <w:color w:val="auto"/>
                <w:kern w:val="0"/>
                <w:sz w:val="22"/>
                <w:szCs w:val="22"/>
                <w:highlight w:val="none"/>
              </w:rPr>
              <w:t>天。</w:t>
            </w:r>
          </w:p>
        </w:tc>
      </w:tr>
      <w:tr>
        <w:tblPrEx>
          <w:tblCellMar>
            <w:top w:w="0" w:type="dxa"/>
            <w:left w:w="108" w:type="dxa"/>
            <w:bottom w:w="0" w:type="dxa"/>
            <w:right w:w="108" w:type="dxa"/>
          </w:tblCellMar>
        </w:tblPrEx>
        <w:trPr>
          <w:wBefore w:w="0" w:type="auto"/>
          <w:wAfter w:w="0" w:type="auto"/>
          <w:trHeight w:val="3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根据浙江省财政厅关于明确政府采购保证金管理工作的通知【浙财采监（2019）5号文件】规定，本项目不要求缴纳投标保证金。</w:t>
            </w:r>
          </w:p>
        </w:tc>
      </w:tr>
      <w:tr>
        <w:tblPrEx>
          <w:tblCellMar>
            <w:top w:w="0" w:type="dxa"/>
            <w:left w:w="108" w:type="dxa"/>
            <w:bottom w:w="0" w:type="dxa"/>
            <w:right w:w="108" w:type="dxa"/>
          </w:tblCellMar>
        </w:tblPrEx>
        <w:trPr>
          <w:wBefore w:w="0" w:type="auto"/>
          <w:wAfter w:w="0" w:type="auto"/>
          <w:trHeight w:val="755"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15</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电子投标文件的组成</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由资格文件、商务技术文件、报价文件三个部分组成。</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16</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电子投标文件的编制</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投标人应先安装“政采云电子交易客户端”，并按照本招标文件和政府采购云平台的要求，通过“政采云电子交易客户端”编制并加密电子投标文件。</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17</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lang w:val="zh-CN"/>
              </w:rPr>
              <w:t>签字或盖章要求</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u w:val="single"/>
                <w:lang w:val="zh-CN"/>
              </w:rPr>
            </w:pPr>
            <w:r>
              <w:rPr>
                <w:rFonts w:hint="eastAsia" w:ascii="宋体" w:hAnsi="宋体" w:eastAsia="宋体" w:cs="宋体"/>
                <w:b/>
                <w:color w:val="auto"/>
                <w:kern w:val="0"/>
                <w:sz w:val="22"/>
                <w:szCs w:val="22"/>
                <w:highlight w:val="none"/>
                <w:u w:val="single"/>
                <w:lang w:val="zh-CN"/>
              </w:rPr>
              <w:t>电子投标文件的相应位置应加盖：CA电子签章。</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u w:val="single"/>
                <w:lang w:val="zh-CN"/>
              </w:rPr>
            </w:pPr>
            <w:r>
              <w:rPr>
                <w:rFonts w:hint="eastAsia" w:ascii="宋体" w:hAnsi="宋体" w:eastAsia="宋体" w:cs="宋体"/>
                <w:b/>
                <w:bCs/>
                <w:color w:val="auto"/>
                <w:kern w:val="0"/>
                <w:sz w:val="22"/>
                <w:szCs w:val="22"/>
                <w:highlight w:val="none"/>
                <w:u w:val="single"/>
                <w:lang w:val="zh-CN"/>
              </w:rPr>
              <w:t>1.单位公章：电子投标文件中所须加盖公章部分均采用CA电子签章，如投标人以联合体形式参与投标的，由联合体牵头人进行CA电子签章；</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2.法定代表人签署的规定：</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如投标人已办理法人CA电子签章的，则法定代表人签署的地方可用CA电子签章进行签署；</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如投标人未办理法人CA电子签章的，电子投标文件中要求投标人法定代表人签署的地方，须投标人制作成word版本先打印出来，由法定代表人签署后再上传PDF。</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3、授权代表签署的规定：</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如授权代表已办理CA电子签章的，则授权代表签署的地方可用CA电子签章进行签署；</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如授权代表未办理CA电子签章的，电子投标文件中要求授权代表签署的地方，须投标人制作成word版本先打印出来，由授权代表签署后再上传PDF。</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val="zh-CN"/>
              </w:rPr>
              <w:t>4.政府采购云系统平台有新的操作流程的，按其规定。</w:t>
            </w:r>
          </w:p>
        </w:tc>
      </w:tr>
      <w:tr>
        <w:tblPrEx>
          <w:tblCellMar>
            <w:top w:w="0" w:type="dxa"/>
            <w:left w:w="108" w:type="dxa"/>
            <w:bottom w:w="0" w:type="dxa"/>
            <w:right w:w="108" w:type="dxa"/>
          </w:tblCellMar>
        </w:tblPrEx>
        <w:trPr>
          <w:wBefore w:w="0" w:type="auto"/>
          <w:wAfter w:w="0" w:type="auto"/>
          <w:trHeight w:val="92"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18</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投标文件的形式、制作及组成</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☑电子投标文件</w:t>
            </w:r>
            <w:r>
              <w:rPr>
                <w:rFonts w:hint="eastAsia" w:ascii="宋体" w:hAnsi="宋体" w:eastAsia="宋体" w:cs="宋体"/>
                <w:b/>
                <w:color w:val="auto"/>
                <w:kern w:val="0"/>
                <w:sz w:val="22"/>
                <w:szCs w:val="22"/>
                <w:highlight w:val="none"/>
                <w:lang w:val="zh-CN"/>
              </w:rPr>
              <w:t>。</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投标人须准备电子投标文件（包括“电子加密投标文件(文件后缀格式为.jmbs)”和“备份投标文件(文件后缀格式为.bfbs)”两类，在投标文件编制完成后同时生成）。</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以上两类投标文件均由资格文件、商务技术文件、报价文件三部分组成。</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19</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电子投标文件份数</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（1）“电子加密投标文件”：一份，后缀格式为.jmbs。</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（2）“备份投标文件”：一份，</w:t>
            </w:r>
            <w:r>
              <w:rPr>
                <w:rFonts w:hint="eastAsia" w:ascii="宋体" w:hAnsi="宋体" w:eastAsia="宋体" w:cs="宋体"/>
                <w:b/>
                <w:color w:val="auto"/>
                <w:kern w:val="0"/>
                <w:sz w:val="22"/>
                <w:szCs w:val="22"/>
                <w:highlight w:val="none"/>
                <w:lang w:val="zh-CN"/>
              </w:rPr>
              <w:fldChar w:fldCharType="begin"/>
            </w:r>
            <w:r>
              <w:rPr>
                <w:rFonts w:hint="eastAsia" w:ascii="宋体" w:hAnsi="宋体" w:eastAsia="宋体" w:cs="宋体"/>
                <w:b/>
                <w:color w:val="auto"/>
                <w:kern w:val="0"/>
                <w:sz w:val="22"/>
                <w:szCs w:val="22"/>
                <w:highlight w:val="none"/>
                <w:lang w:val="zh-CN"/>
              </w:rPr>
              <w:instrText xml:space="preserve"> HYPERLINK "mailto:可以（建议）在投标截止时间前将系统生成的备份标书（后缀格式为.bfbs）以电子邮件形式传送至采购代理机构邮箱7439036@qq.com，" </w:instrText>
            </w:r>
            <w:r>
              <w:rPr>
                <w:rFonts w:hint="eastAsia" w:ascii="宋体" w:hAnsi="宋体" w:eastAsia="宋体" w:cs="宋体"/>
                <w:b/>
                <w:color w:val="auto"/>
                <w:kern w:val="0"/>
                <w:sz w:val="22"/>
                <w:szCs w:val="22"/>
                <w:highlight w:val="none"/>
                <w:lang w:val="zh-CN"/>
              </w:rPr>
              <w:fldChar w:fldCharType="separate"/>
            </w:r>
            <w:r>
              <w:rPr>
                <w:rFonts w:hint="eastAsia" w:ascii="宋体" w:hAnsi="宋体" w:eastAsia="宋体" w:cs="宋体"/>
                <w:b/>
                <w:color w:val="auto"/>
                <w:kern w:val="0"/>
                <w:sz w:val="22"/>
                <w:szCs w:val="22"/>
                <w:highlight w:val="none"/>
                <w:lang w:val="zh-CN"/>
              </w:rPr>
              <w:t>后缀格式为.bfbs</w:t>
            </w:r>
            <w:r>
              <w:rPr>
                <w:rFonts w:hint="eastAsia" w:ascii="宋体" w:hAnsi="宋体" w:eastAsia="宋体" w:cs="宋体"/>
                <w:b/>
                <w:color w:val="auto"/>
                <w:kern w:val="0"/>
                <w:sz w:val="22"/>
                <w:szCs w:val="22"/>
                <w:highlight w:val="none"/>
                <w:lang w:val="zh-CN"/>
              </w:rPr>
              <w:fldChar w:fldCharType="end"/>
            </w:r>
            <w:r>
              <w:rPr>
                <w:rFonts w:hint="eastAsia" w:ascii="宋体" w:hAnsi="宋体" w:eastAsia="宋体" w:cs="宋体"/>
                <w:b/>
                <w:color w:val="auto"/>
                <w:kern w:val="0"/>
                <w:sz w:val="22"/>
                <w:szCs w:val="22"/>
                <w:highlight w:val="none"/>
                <w:lang w:val="zh-CN"/>
              </w:rPr>
              <w:t>。</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20</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auto"/>
                <w:kern w:val="0"/>
                <w:sz w:val="22"/>
                <w:szCs w:val="22"/>
                <w:highlight w:val="none"/>
                <w:u w:val="single"/>
                <w:lang w:val="zh-CN"/>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lang w:val="zh-CN"/>
              </w:rPr>
              <w:t>电子投标文件的上传和递交</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rPr>
              <w:t>1、</w:t>
            </w:r>
            <w:r>
              <w:rPr>
                <w:rFonts w:hint="eastAsia" w:ascii="宋体" w:hAnsi="宋体" w:eastAsia="宋体" w:cs="宋体"/>
                <w:b/>
                <w:bCs/>
                <w:color w:val="auto"/>
                <w:sz w:val="22"/>
                <w:szCs w:val="22"/>
                <w:highlight w:val="none"/>
              </w:rPr>
              <w:t>“电子加密投标文件”的上传、递交，</w:t>
            </w:r>
            <w:r>
              <w:rPr>
                <w:rFonts w:hint="eastAsia" w:ascii="宋体" w:hAnsi="宋体" w:eastAsia="宋体" w:cs="宋体"/>
                <w:b/>
                <w:bCs/>
                <w:color w:val="auto"/>
                <w:sz w:val="22"/>
                <w:szCs w:val="22"/>
                <w:highlight w:val="none"/>
                <w:lang w:val="en-US"/>
              </w:rPr>
              <w:t>具体详见《政府采购项目电子交易管理操作指南-投标人》（投标人自行去政采云系统上进行下载）</w:t>
            </w:r>
            <w:r>
              <w:rPr>
                <w:rFonts w:hint="eastAsia" w:ascii="宋体" w:hAnsi="宋体" w:eastAsia="宋体" w:cs="宋体"/>
                <w:b/>
                <w:bCs/>
                <w:color w:val="auto"/>
                <w:sz w:val="22"/>
                <w:szCs w:val="22"/>
                <w:highlight w:val="none"/>
              </w:rPr>
              <w:t>：</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（1）投标人应在投标文件递交截止时间前将“电子加密投标文件”成功上传递交至“政府采购云平台”，</w:t>
            </w:r>
            <w:r>
              <w:rPr>
                <w:rFonts w:hint="eastAsia" w:ascii="宋体" w:hAnsi="宋体" w:eastAsia="宋体" w:cs="宋体"/>
                <w:b/>
                <w:bCs/>
                <w:color w:val="auto"/>
                <w:sz w:val="22"/>
                <w:szCs w:val="22"/>
                <w:highlight w:val="none"/>
                <w:lang w:val="en-US"/>
              </w:rPr>
              <w:t>接到解密通知</w:t>
            </w:r>
            <w:r>
              <w:rPr>
                <w:rFonts w:hint="eastAsia" w:ascii="宋体" w:hAnsi="宋体" w:eastAsia="宋体" w:cs="宋体"/>
                <w:b/>
                <w:bCs/>
                <w:color w:val="auto"/>
                <w:sz w:val="22"/>
                <w:szCs w:val="22"/>
                <w:highlight w:val="none"/>
              </w:rPr>
              <w:t>后，解密电子加密投标文件</w:t>
            </w:r>
            <w:r>
              <w:rPr>
                <w:rFonts w:hint="eastAsia" w:ascii="宋体" w:hAnsi="宋体" w:eastAsia="宋体" w:cs="宋体"/>
                <w:b/>
                <w:color w:val="auto"/>
                <w:sz w:val="22"/>
                <w:szCs w:val="22"/>
                <w:highlight w:val="none"/>
              </w:rPr>
              <w:t>。</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rPr>
              <w:t>（2</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rPr>
              <w:t>电子加密投标</w:t>
            </w:r>
            <w:r>
              <w:rPr>
                <w:rFonts w:hint="eastAsia" w:ascii="宋体" w:hAnsi="宋体" w:eastAsia="宋体" w:cs="宋体"/>
                <w:b/>
                <w:bCs/>
                <w:color w:val="auto"/>
                <w:sz w:val="22"/>
                <w:szCs w:val="22"/>
                <w:highlight w:val="none"/>
              </w:rPr>
              <w:t>文件上传成功后，在“电子投标文件上传-进行中”标签页下，显示状态为“已上传”。可在此处下载打印回执；在投标截止时间前，投标人可撤回电子加密投标文件，修改内容。</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2、“备份投标文件”的递交：</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（1）投标人在“政府采购云平台”完成“电子加密投标文件”的上传递交后，</w:t>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"mailto:可以（建议）在投标截止时间前将系统生成的备份投标文件（后缀格式为.bfbs）以电子邮件形式传送至采购代理机构指定邮箱zhejiangchuangjia@126.com，" </w:instrText>
            </w:r>
            <w:r>
              <w:rPr>
                <w:rFonts w:hint="eastAsia" w:ascii="宋体" w:hAnsi="宋体" w:eastAsia="宋体" w:cs="宋体"/>
                <w:b/>
                <w:color w:val="auto"/>
                <w:sz w:val="22"/>
                <w:szCs w:val="22"/>
                <w:highlight w:val="none"/>
              </w:rPr>
              <w:fldChar w:fldCharType="separate"/>
            </w:r>
            <w:r>
              <w:rPr>
                <w:rStyle w:val="71"/>
                <w:rFonts w:hint="eastAsia" w:ascii="宋体" w:hAnsi="宋体" w:eastAsia="宋体" w:cs="宋体"/>
                <w:b/>
                <w:color w:val="auto"/>
                <w:sz w:val="22"/>
                <w:szCs w:val="22"/>
                <w:highlight w:val="none"/>
              </w:rPr>
              <w:t>可以（建议）在投标截止时间前将系统生成的备份投标文件（后缀格式为.bfbs）以电子邮件形式传送至采购代理机构指定邮箱</w:t>
            </w:r>
            <w:r>
              <w:rPr>
                <w:rStyle w:val="71"/>
                <w:rFonts w:hint="eastAsia" w:eastAsia="宋体" w:cs="宋体"/>
                <w:b/>
                <w:color w:val="auto"/>
                <w:sz w:val="22"/>
                <w:szCs w:val="22"/>
                <w:highlight w:val="none"/>
                <w:lang w:eastAsia="zh-CN"/>
              </w:rPr>
              <w:t>349207947@QQ.com</w:t>
            </w:r>
            <w:r>
              <w:rPr>
                <w:rStyle w:val="71"/>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t xml:space="preserve">传送的备份标书需打包压缩并加密，加密密码由投标人自行保管； </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（3）</w:t>
            </w:r>
            <w:r>
              <w:rPr>
                <w:rFonts w:hint="eastAsia" w:ascii="宋体" w:hAnsi="宋体" w:eastAsia="宋体" w:cs="宋体"/>
                <w:b/>
                <w:color w:val="auto"/>
                <w:kern w:val="0"/>
                <w:sz w:val="22"/>
                <w:szCs w:val="22"/>
                <w:highlight w:val="none"/>
                <w:lang w:val="zh-CN"/>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auto"/>
                <w:sz w:val="22"/>
                <w:szCs w:val="22"/>
                <w:highlight w:val="none"/>
                <w:lang w:val="zh-CN" w:eastAsia="zh-CN"/>
              </w:rPr>
            </w:pPr>
            <w:r>
              <w:rPr>
                <w:rFonts w:hint="eastAsia" w:ascii="宋体" w:hAnsi="宋体" w:eastAsia="宋体" w:cs="宋体"/>
                <w:b/>
                <w:color w:val="auto"/>
                <w:sz w:val="22"/>
                <w:szCs w:val="22"/>
                <w:highlight w:val="none"/>
                <w:lang w:val="zh-CN" w:eastAsia="zh-CN"/>
              </w:rPr>
              <w:t>3、</w:t>
            </w:r>
            <w:r>
              <w:rPr>
                <w:rFonts w:hint="eastAsia" w:ascii="宋体" w:hAnsi="宋体" w:eastAsia="宋体" w:cs="宋体"/>
                <w:b/>
                <w:bCs/>
                <w:color w:val="auto"/>
                <w:sz w:val="22"/>
                <w:szCs w:val="22"/>
                <w:highlight w:val="none"/>
                <w:lang w:val="en-US" w:eastAsia="zh-CN"/>
              </w:rPr>
              <w:t>投标人需保证上传的电子加密投标文件与提交的备份投标文件必须同时生成且内容完全一致</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b/>
                <w:color w:val="auto"/>
                <w:sz w:val="22"/>
                <w:szCs w:val="22"/>
                <w:highlight w:val="none"/>
                <w:lang w:val="en-US" w:eastAsia="zh-CN"/>
              </w:rPr>
              <w:t>4、解密CA必须是上传并制作电子投标文件CA锁。</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lang w:val="zh-CN"/>
              </w:rPr>
              <w:t>电子加密投标文件的解密和异常情况处理</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（1）开标后，采购组织机构将向各投标人发出“电子加密投标文件”的解密通知，各投标人代表应当在接到解密通知后</w:t>
            </w:r>
            <w:r>
              <w:rPr>
                <w:rFonts w:hint="eastAsia" w:ascii="宋体" w:hAnsi="宋体" w:eastAsia="宋体" w:cs="宋体"/>
                <w:b/>
                <w:color w:val="auto"/>
                <w:kern w:val="0"/>
                <w:sz w:val="22"/>
                <w:szCs w:val="22"/>
                <w:highlight w:val="none"/>
                <w:lang w:val="en-US" w:eastAsia="zh-CN"/>
              </w:rPr>
              <w:t>30分钟</w:t>
            </w:r>
            <w:r>
              <w:rPr>
                <w:rFonts w:hint="eastAsia" w:ascii="宋体" w:hAnsi="宋体" w:eastAsia="宋体" w:cs="宋体"/>
                <w:b/>
                <w:color w:val="auto"/>
                <w:kern w:val="0"/>
                <w:sz w:val="22"/>
                <w:szCs w:val="22"/>
                <w:highlight w:val="none"/>
                <w:lang w:val="zh-CN"/>
              </w:rPr>
              <w:t>内自行完成“电子加密投标文件”的在线解密（解密电子加密投标文件必须插入CA）。</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（2）投标文件递交截止时间前，投标人仅递交了“备份投标文件”而未将电子加密投标文件上传至“政府采购云平台”的，投标无效。</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auto"/>
                <w:kern w:val="0"/>
                <w:sz w:val="22"/>
                <w:szCs w:val="22"/>
                <w:highlight w:val="none"/>
                <w:lang w:val="zh-CN" w:eastAsia="zh-CN"/>
              </w:rPr>
            </w:pPr>
            <w:r>
              <w:rPr>
                <w:rFonts w:hint="eastAsia" w:ascii="宋体" w:hAnsi="宋体" w:eastAsia="宋体" w:cs="宋体"/>
                <w:b/>
                <w:color w:val="auto"/>
                <w:kern w:val="0"/>
                <w:sz w:val="22"/>
                <w:szCs w:val="22"/>
                <w:highlight w:val="none"/>
                <w:lang w:val="zh-CN" w:eastAsia="zh-CN"/>
              </w:rPr>
              <w:t>（3）投标人务必按时自行解密，规定时间内解密失败且经异常处理但政采云电子交易系统仍未能识别备份投标文件的投标文件作无效标处理。</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kern w:val="0"/>
                <w:sz w:val="22"/>
                <w:szCs w:val="22"/>
                <w:highlight w:val="none"/>
                <w:lang w:val="zh-CN"/>
              </w:rPr>
              <w:t>（4）异常处理：如政采云上电子加密投标文件出现解密失败情况，投标人可根据自身意愿确认是否将备份电子投标文件压缩包的解密密码传送至采购代理机构邮箱349207947@QQ.com,采购代理机构收到解密密码后通过【异常处理】的端口对投标人的备份电子投标文件进行上传（上传成功后，“电子加密投标文件”自动失效），由政采云系统进行识别，不能成功上传的视为电子投标文件撤回）。</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u w:val="single"/>
              </w:rPr>
              <w:t>政采云系统默认投标人自动放弃的情形</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（1）投标人未按规定上传电子投标文件的；</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kern w:val="0"/>
                <w:sz w:val="22"/>
                <w:szCs w:val="22"/>
                <w:highlight w:val="none"/>
                <w:lang w:val="zh-CN"/>
              </w:rPr>
              <w:t>在解密期限内投标人电子加密投标文件解密失败，且经异常处理后政采云电子交易系统仍未能解决的。</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r>
              <w:rPr>
                <w:rFonts w:hint="eastAsia" w:ascii="宋体" w:hAnsi="宋体" w:eastAsia="宋体" w:cs="宋体"/>
                <w:b/>
                <w:color w:val="auto"/>
                <w:kern w:val="0"/>
                <w:sz w:val="22"/>
                <w:szCs w:val="22"/>
                <w:highlight w:val="none"/>
                <w:u w:val="single"/>
                <w:lang w:val="zh-CN"/>
              </w:rPr>
              <w:t>提交投标文件截止时间、开标时间和地点</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详见招标公告</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auto"/>
                <w:sz w:val="22"/>
                <w:szCs w:val="22"/>
                <w:highlight w:val="none"/>
                <w:lang w:val="zh-CN" w:eastAsia="zh-CN"/>
              </w:rPr>
            </w:pPr>
            <w:r>
              <w:rPr>
                <w:rFonts w:hint="eastAsia" w:ascii="宋体" w:hAnsi="宋体" w:eastAsia="宋体" w:cs="宋体"/>
                <w:b/>
                <w:color w:val="auto"/>
                <w:sz w:val="22"/>
                <w:szCs w:val="22"/>
                <w:highlight w:val="none"/>
                <w:lang w:val="zh-CN" w:eastAsia="zh-CN"/>
              </w:rPr>
              <w:t>注：本项目</w:t>
            </w:r>
            <w:r>
              <w:rPr>
                <w:rFonts w:hint="eastAsia" w:ascii="宋体" w:hAnsi="宋体" w:eastAsia="宋体" w:cs="宋体"/>
                <w:b/>
                <w:bCs/>
                <w:color w:val="auto"/>
                <w:kern w:val="0"/>
                <w:sz w:val="22"/>
                <w:szCs w:val="22"/>
                <w:highlight w:val="none"/>
                <w:lang w:val="en-US" w:eastAsia="zh-CN"/>
              </w:rPr>
              <w:t>政府采购项目电子交易</w:t>
            </w:r>
            <w:r>
              <w:rPr>
                <w:rFonts w:hint="eastAsia" w:ascii="宋体" w:hAnsi="宋体" w:eastAsia="宋体" w:cs="宋体"/>
                <w:b/>
                <w:color w:val="auto"/>
                <w:sz w:val="22"/>
                <w:szCs w:val="22"/>
                <w:highlight w:val="none"/>
                <w:lang w:val="zh-CN" w:eastAsia="zh-CN"/>
              </w:rPr>
              <w:t>，相关的电子交易流程（</w:t>
            </w:r>
            <w:r>
              <w:rPr>
                <w:rFonts w:hint="eastAsia" w:ascii="宋体" w:hAnsi="宋体" w:eastAsia="宋体" w:cs="宋体"/>
                <w:b/>
                <w:color w:val="auto"/>
                <w:sz w:val="22"/>
                <w:szCs w:val="22"/>
                <w:highlight w:val="none"/>
                <w:lang w:val="en-US" w:eastAsia="zh-CN"/>
              </w:rPr>
              <w:t>招标</w:t>
            </w:r>
            <w:r>
              <w:rPr>
                <w:rFonts w:hint="eastAsia" w:ascii="宋体" w:hAnsi="宋体" w:eastAsia="宋体" w:cs="宋体"/>
                <w:b/>
                <w:color w:val="auto"/>
                <w:sz w:val="22"/>
                <w:szCs w:val="22"/>
                <w:highlight w:val="none"/>
                <w:lang w:val="zh-CN" w:eastAsia="zh-CN"/>
              </w:rPr>
              <w:t>文件下载、电子投标文件上传等程序）均在 “政府采购云平台”进行，</w:t>
            </w:r>
            <w:r>
              <w:rPr>
                <w:rFonts w:hint="eastAsia" w:ascii="宋体" w:hAnsi="宋体" w:eastAsia="宋体" w:cs="宋体"/>
                <w:b/>
                <w:color w:val="auto"/>
                <w:sz w:val="22"/>
                <w:szCs w:val="22"/>
                <w:highlight w:val="none"/>
                <w:lang w:val="en-US" w:eastAsia="zh-CN"/>
              </w:rPr>
              <w:t>投标人</w:t>
            </w:r>
            <w:r>
              <w:rPr>
                <w:rFonts w:hint="eastAsia" w:ascii="宋体" w:hAnsi="宋体" w:eastAsia="宋体" w:cs="宋体"/>
                <w:b/>
                <w:color w:val="auto"/>
                <w:sz w:val="22"/>
                <w:szCs w:val="22"/>
                <w:highlight w:val="none"/>
                <w:lang w:val="zh-CN" w:eastAsia="zh-CN"/>
              </w:rPr>
              <w:t>不必前往现场进行</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lang w:val="zh-CN" w:eastAsia="zh-CN"/>
              </w:rPr>
              <w:t>活动等事宜。</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24</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询标澄清</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zh-CN" w:eastAsia="zh-CN"/>
              </w:rPr>
              <w:t>在评标过程中，如评标委员会对投标人递交的电子投标文件存有疑问要求投标人进行澄清，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2.评标过程中，建议各投标人代表应在电脑前及时在线关注评审动态，若投标人在询标澄清环节，由于CA等原因无法进行线上操作时，应在规定时限内由授权代表将线下材料传送至</w:t>
            </w:r>
            <w:r>
              <w:rPr>
                <w:rFonts w:hint="eastAsia" w:ascii="宋体" w:hAnsi="宋体" w:eastAsia="宋体" w:cs="宋体"/>
                <w:b/>
                <w:bCs/>
                <w:color w:val="auto"/>
                <w:kern w:val="0"/>
                <w:sz w:val="22"/>
                <w:szCs w:val="22"/>
                <w:highlight w:val="none"/>
                <w:lang w:val="zh-CN" w:eastAsia="zh-CN"/>
              </w:rPr>
              <w:t>采购代理机构邮箱349207947@QQ.com</w:t>
            </w:r>
            <w:r>
              <w:rPr>
                <w:rFonts w:hint="eastAsia" w:ascii="宋体" w:hAnsi="宋体" w:eastAsia="宋体" w:cs="宋体"/>
                <w:b/>
                <w:bCs/>
                <w:color w:val="auto"/>
                <w:sz w:val="22"/>
                <w:szCs w:val="22"/>
                <w:highlight w:val="none"/>
                <w:lang w:val="zh-CN" w:eastAsia="zh-CN"/>
              </w:rPr>
              <w:t>;因投标人自身原因导致其未能在规定时间内完成询标澄清事宜的，由此造成的后果由投标人自行承担。</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sz w:val="22"/>
                <w:szCs w:val="22"/>
                <w:highlight w:val="none"/>
                <w:lang w:val="zh-CN"/>
              </w:rPr>
              <w:t>3.本项目采购过程中，涉及的投标人联系方式（如手机号码、</w:t>
            </w:r>
            <w:r>
              <w:rPr>
                <w:rFonts w:hint="eastAsia" w:ascii="宋体" w:hAnsi="宋体" w:eastAsia="宋体" w:cs="宋体"/>
                <w:b/>
                <w:bCs/>
                <w:color w:val="auto"/>
                <w:sz w:val="22"/>
                <w:szCs w:val="22"/>
                <w:highlight w:val="none"/>
              </w:rPr>
              <w:t>投标</w:t>
            </w:r>
            <w:r>
              <w:rPr>
                <w:rFonts w:hint="eastAsia" w:ascii="宋体" w:hAnsi="宋体" w:eastAsia="宋体" w:cs="宋体"/>
                <w:b/>
                <w:bCs/>
                <w:color w:val="auto"/>
                <w:sz w:val="22"/>
                <w:szCs w:val="22"/>
                <w:highlight w:val="none"/>
                <w:lang w:val="zh-CN"/>
              </w:rPr>
              <w:t>文件中预留的邮箱、投标人地址），均以投标人递交的电子投标文件中《法定代表人资格声明书》或《法定代表人授权委托书》上注明的联系方式为准</w:t>
            </w:r>
            <w:r>
              <w:rPr>
                <w:rFonts w:hint="eastAsia" w:ascii="宋体" w:hAnsi="宋体" w:eastAsia="宋体" w:cs="宋体"/>
                <w:color w:val="auto"/>
                <w:sz w:val="22"/>
                <w:szCs w:val="22"/>
                <w:highlight w:val="none"/>
                <w:lang w:val="zh-CN"/>
              </w:rPr>
              <w:t>。</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25</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w:t>
            </w:r>
          </w:p>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的组建</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人（含）以上单数，除采购人代表外的专家将在评标专家库中随机抽取产生。</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26</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履约保证金</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sym w:font="Wingdings" w:char="F0FE"/>
            </w:r>
            <w:r>
              <w:rPr>
                <w:rFonts w:hint="eastAsia" w:ascii="宋体" w:hAnsi="宋体" w:eastAsia="宋体" w:cs="宋体"/>
                <w:bCs/>
                <w:color w:val="auto"/>
                <w:sz w:val="22"/>
                <w:szCs w:val="22"/>
                <w:highlight w:val="none"/>
              </w:rPr>
              <w:t>需要，应满足下列要求：</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履约保证金形式：</w:t>
            </w:r>
            <w:r>
              <w:rPr>
                <w:rFonts w:hint="eastAsia" w:ascii="宋体" w:hAnsi="宋体" w:eastAsia="宋体" w:cs="宋体"/>
                <w:color w:val="auto"/>
                <w:sz w:val="22"/>
                <w:szCs w:val="22"/>
                <w:highlight w:val="none"/>
              </w:rPr>
              <w:t>接受支票、汇票、本票或者金融机构、担保机构出具的保函等非现金形式。</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履约保证金金额：合同总价的</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w:t>
            </w:r>
          </w:p>
        </w:tc>
      </w:tr>
      <w:tr>
        <w:tblPrEx>
          <w:tblCellMar>
            <w:top w:w="0" w:type="dxa"/>
            <w:left w:w="108" w:type="dxa"/>
            <w:bottom w:w="0" w:type="dxa"/>
            <w:right w:w="108" w:type="dxa"/>
          </w:tblCellMar>
        </w:tblPrEx>
        <w:trPr>
          <w:wBefore w:w="0" w:type="auto"/>
          <w:wAfter w:w="0" w:type="auto"/>
          <w:trHeight w:val="274"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27</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政府采购政策</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color w:val="auto"/>
                <w:kern w:val="0"/>
                <w:sz w:val="22"/>
                <w:szCs w:val="22"/>
                <w:highlight w:val="none"/>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3.本项目《面向中小企业预留采购份额》执行的政策：</w:t>
            </w:r>
          </w:p>
          <w:p>
            <w:pPr>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（1）本项目</w:t>
            </w:r>
            <w:r>
              <w:rPr>
                <w:rFonts w:hint="eastAsia" w:ascii="宋体" w:hAnsi="宋体" w:eastAsia="宋体" w:cs="宋体"/>
                <w:b/>
                <w:color w:val="auto"/>
                <w:sz w:val="22"/>
                <w:szCs w:val="22"/>
                <w:highlight w:val="none"/>
                <w:u w:val="single"/>
              </w:rPr>
              <w:t>否</w:t>
            </w:r>
            <w:r>
              <w:rPr>
                <w:rFonts w:hint="eastAsia" w:ascii="宋体" w:hAnsi="宋体" w:eastAsia="宋体" w:cs="宋体"/>
                <w:b/>
                <w:color w:val="auto"/>
                <w:sz w:val="22"/>
                <w:szCs w:val="22"/>
                <w:highlight w:val="none"/>
              </w:rPr>
              <w:t>（是/否）属于预留份额专门面向中小企业采购的项目。</w:t>
            </w:r>
          </w:p>
          <w:p>
            <w:pPr>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（2）本项目属性：</w:t>
            </w:r>
            <w:r>
              <w:rPr>
                <w:rFonts w:hint="eastAsia" w:ascii="宋体" w:hAnsi="宋体" w:eastAsia="宋体" w:cs="宋体"/>
                <w:b/>
                <w:color w:val="auto"/>
                <w:sz w:val="22"/>
                <w:szCs w:val="22"/>
                <w:highlight w:val="none"/>
                <w:u w:val="single"/>
              </w:rPr>
              <w:t>②</w:t>
            </w:r>
            <w:r>
              <w:rPr>
                <w:rFonts w:hint="eastAsia" w:ascii="宋体" w:hAnsi="宋体" w:eastAsia="宋体" w:cs="宋体"/>
                <w:b/>
                <w:color w:val="auto"/>
                <w:sz w:val="22"/>
                <w:szCs w:val="22"/>
                <w:highlight w:val="none"/>
              </w:rPr>
              <w:t>（①货物类/②服务类/③工程类）。</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（3）本项目对应的中小企业划分标准所属行业：</w:t>
            </w:r>
            <w:r>
              <w:rPr>
                <w:rFonts w:hint="eastAsia" w:ascii="宋体" w:hAnsi="宋体" w:eastAsia="宋体" w:cs="宋体"/>
                <w:b/>
                <w:color w:val="auto"/>
                <w:sz w:val="22"/>
                <w:szCs w:val="22"/>
                <w:highlight w:val="none"/>
                <w:u w:val="single"/>
              </w:rPr>
              <w:t>其他未列明行业</w:t>
            </w:r>
            <w:r>
              <w:rPr>
                <w:rFonts w:hint="eastAsia" w:ascii="宋体" w:hAnsi="宋体" w:eastAsia="宋体" w:cs="宋体"/>
                <w:b/>
                <w:color w:val="auto"/>
                <w:sz w:val="22"/>
                <w:szCs w:val="22"/>
                <w:highlight w:val="none"/>
              </w:rPr>
              <w:t>。从业人员300人以下的为中小微型企业</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包括分公司人员</w:t>
            </w:r>
            <w:r>
              <w:rPr>
                <w:rFonts w:hint="eastAsia" w:ascii="宋体" w:hAnsi="宋体" w:eastAsia="宋体" w:cs="宋体"/>
                <w:b/>
                <w:color w:val="auto"/>
                <w:sz w:val="22"/>
                <w:szCs w:val="22"/>
                <w:highlight w:val="none"/>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2"/>
                <w:szCs w:val="22"/>
                <w:highlight w:val="none"/>
              </w:rPr>
              <w:t>（4）如为专门面向中小企业采购的项目，不再执行价格评审优惠的扶持政策。</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28</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投标人信用</w:t>
            </w:r>
          </w:p>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查询</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（2）投标人信用信息查询截止时点：本项目投标文件递交截止时间。</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（3）投标人信用信息查询记录和证据留存的具体方式：网页截图打印；</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（5）具有以上（4）所述信息记录的投标人，其投标做无效投标处理。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（6）</w:t>
            </w:r>
            <w:r>
              <w:rPr>
                <w:rFonts w:hint="eastAsia" w:ascii="宋体" w:hAnsi="宋体" w:eastAsia="宋体" w:cs="宋体"/>
                <w:b/>
                <w:color w:val="auto"/>
                <w:sz w:val="22"/>
                <w:szCs w:val="22"/>
                <w:highlight w:val="none"/>
                <w:u w:val="single"/>
              </w:rPr>
              <w:t>关于</w:t>
            </w:r>
            <w:r>
              <w:rPr>
                <w:rFonts w:hint="eastAsia" w:ascii="宋体" w:hAnsi="宋体" w:eastAsia="宋体" w:cs="宋体"/>
                <w:b/>
                <w:bCs/>
                <w:color w:val="auto"/>
                <w:sz w:val="22"/>
                <w:szCs w:val="22"/>
                <w:highlight w:val="none"/>
                <w:u w:val="single"/>
              </w:rPr>
              <w:t>“信用中国”(www.creditchina.gov.cn) 信用记录网页截图相关说明</w:t>
            </w:r>
            <w:r>
              <w:rPr>
                <w:rFonts w:hint="eastAsia" w:ascii="宋体" w:hAnsi="宋体" w:eastAsia="宋体" w:cs="宋体"/>
                <w:bCs/>
                <w:color w:val="auto"/>
                <w:sz w:val="22"/>
                <w:szCs w:val="22"/>
                <w:highlight w:val="none"/>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①若投标人查询页面“行政处罚”栏显示有行政处罚事项，须将所有行政处罚事项在“信用中国”网页上列出的明细一并打印，并附说明，是否属于“经营活动中的重大违法记录”。</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②若投标人在“信用中国”无数据，亦须将搜索结果页面打印，并附说明。</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③未按照以上①-②条要求提供“信用中国”查询结果记录的，将按照资格审查不通过处理。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（7）具体结果以开标当日采购人或采购代理机构对</w:t>
            </w:r>
            <w:r>
              <w:rPr>
                <w:rFonts w:hint="eastAsia" w:ascii="宋体" w:hAnsi="宋体" w:eastAsia="宋体" w:cs="宋体"/>
                <w:color w:val="auto"/>
                <w:kern w:val="0"/>
                <w:sz w:val="22"/>
                <w:szCs w:val="22"/>
                <w:highlight w:val="none"/>
              </w:rPr>
              <w:t>投标人信用查询网页的</w:t>
            </w:r>
            <w:r>
              <w:rPr>
                <w:rFonts w:hint="eastAsia" w:ascii="宋体" w:hAnsi="宋体" w:eastAsia="宋体" w:cs="宋体"/>
                <w:bCs/>
                <w:color w:val="auto"/>
                <w:sz w:val="22"/>
                <w:szCs w:val="22"/>
                <w:highlight w:val="none"/>
              </w:rPr>
              <w:t>查询结果为准。</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29</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合同备案</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（1）中标人须在中标通知书发出之日起30日历天内与采购人签订合同。</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（2）中标人与采购人签订合同后，2日历天内将合同扫描件电子版发给采购代理机构邮箱：</w:t>
            </w:r>
            <w:r>
              <w:rPr>
                <w:rFonts w:hint="eastAsia" w:ascii="宋体" w:hAnsi="宋体" w:eastAsia="宋体" w:cs="宋体"/>
                <w:b/>
                <w:color w:val="auto"/>
                <w:sz w:val="22"/>
                <w:szCs w:val="22"/>
                <w:highlight w:val="none"/>
                <w:u w:val="single"/>
                <w:lang w:eastAsia="zh-CN"/>
              </w:rPr>
              <w:t>349207947@QQ.com</w:t>
            </w:r>
            <w:r>
              <w:rPr>
                <w:rFonts w:hint="eastAsia" w:ascii="宋体" w:hAnsi="宋体" w:eastAsia="宋体" w:cs="宋体"/>
                <w:color w:val="auto"/>
                <w:sz w:val="22"/>
                <w:szCs w:val="22"/>
                <w:highlight w:val="none"/>
              </w:rPr>
              <w:t>。</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30</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合同履约管理</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解释权</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（1）采购代理服务费按固定金额人民币（标</w:t>
            </w:r>
            <w:r>
              <w:rPr>
                <w:rFonts w:hint="eastAsia" w:ascii="宋体" w:hAnsi="宋体" w:eastAsia="宋体" w:cs="宋体"/>
                <w:b w:val="0"/>
                <w:bCs/>
                <w:color w:val="auto"/>
                <w:sz w:val="22"/>
                <w:szCs w:val="22"/>
                <w:highlight w:val="none"/>
                <w:lang w:val="en-US" w:eastAsia="zh-CN"/>
              </w:rPr>
              <w:t>项1:167000</w:t>
            </w:r>
            <w:r>
              <w:rPr>
                <w:rFonts w:hint="eastAsia" w:ascii="宋体" w:hAnsi="宋体" w:eastAsia="宋体" w:cs="宋体"/>
                <w:b w:val="0"/>
                <w:bCs/>
                <w:color w:val="auto"/>
                <w:sz w:val="22"/>
                <w:szCs w:val="22"/>
                <w:highlight w:val="none"/>
              </w:rPr>
              <w:t>元、标</w:t>
            </w:r>
            <w:r>
              <w:rPr>
                <w:rFonts w:hint="eastAsia" w:ascii="宋体" w:hAnsi="宋体" w:eastAsia="宋体" w:cs="宋体"/>
                <w:b w:val="0"/>
                <w:bCs/>
                <w:color w:val="auto"/>
                <w:sz w:val="22"/>
                <w:szCs w:val="22"/>
                <w:highlight w:val="none"/>
                <w:lang w:val="en-US" w:eastAsia="zh-CN"/>
              </w:rPr>
              <w:t>项2:   82200</w:t>
            </w:r>
            <w:r>
              <w:rPr>
                <w:rFonts w:hint="eastAsia" w:ascii="宋体" w:hAnsi="宋体" w:eastAsia="宋体" w:cs="宋体"/>
                <w:b w:val="0"/>
                <w:bCs/>
                <w:color w:val="auto"/>
                <w:sz w:val="22"/>
                <w:szCs w:val="22"/>
                <w:highlight w:val="none"/>
              </w:rPr>
              <w:t>元</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标</w:t>
            </w:r>
            <w:r>
              <w:rPr>
                <w:rFonts w:hint="eastAsia" w:ascii="宋体" w:hAnsi="宋体" w:eastAsia="宋体" w:cs="宋体"/>
                <w:b w:val="0"/>
                <w:bCs/>
                <w:color w:val="auto"/>
                <w:sz w:val="22"/>
                <w:szCs w:val="22"/>
                <w:highlight w:val="none"/>
                <w:lang w:val="en-US" w:eastAsia="zh-CN"/>
              </w:rPr>
              <w:t>项3: 32800</w:t>
            </w:r>
            <w:r>
              <w:rPr>
                <w:rFonts w:hint="eastAsia" w:ascii="宋体" w:hAnsi="宋体" w:eastAsia="宋体" w:cs="宋体"/>
                <w:b w:val="0"/>
                <w:bCs/>
                <w:color w:val="auto"/>
                <w:sz w:val="22"/>
                <w:szCs w:val="22"/>
                <w:highlight w:val="none"/>
              </w:rPr>
              <w:t>元）。由中标人在领取中标通知书时向采购代理机构进行支付。</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（2）采购代理服务费可以是现金、支票或汇票。</w:t>
            </w:r>
          </w:p>
        </w:tc>
      </w:tr>
      <w:tr>
        <w:tblPrEx>
          <w:tblCellMar>
            <w:top w:w="0" w:type="dxa"/>
            <w:left w:w="108" w:type="dxa"/>
            <w:bottom w:w="0" w:type="dxa"/>
            <w:right w:w="108" w:type="dxa"/>
          </w:tblCellMar>
        </w:tblPrEx>
        <w:trPr>
          <w:wBefore w:w="0" w:type="auto"/>
          <w:wAfter w:w="0" w:type="auto"/>
          <w:trHeight w:val="98"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注意事项</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（1）本招标文件中有关时间安排如有不一致的，一律以本“投标人须知前附表”为准；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（2）本招标文件涉及的时间为“北京时间”；</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（3）本招标文件涉及的货币为“人民币”；</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（4）</w:t>
            </w:r>
            <w:r>
              <w:rPr>
                <w:rFonts w:hint="eastAsia" w:ascii="宋体" w:hAnsi="宋体" w:eastAsia="宋体" w:cs="宋体"/>
                <w:color w:val="auto"/>
                <w:sz w:val="22"/>
                <w:szCs w:val="22"/>
                <w:highlight w:val="none"/>
              </w:rPr>
              <w:t>同级政府采购监督管理部门</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温州市鹿城区财政局</w:t>
            </w:r>
          </w:p>
        </w:tc>
      </w:tr>
    </w:tbl>
    <w:p>
      <w:pPr>
        <w:spacing w:line="500" w:lineRule="exact"/>
        <w:rPr>
          <w:rFonts w:hint="eastAsia" w:ascii="宋体" w:hAnsi="宋体" w:eastAsia="宋体" w:cs="宋体"/>
          <w:b/>
          <w:bCs/>
          <w:color w:val="auto"/>
          <w:sz w:val="36"/>
          <w:szCs w:val="36"/>
          <w:highlight w:val="none"/>
        </w:rPr>
      </w:pPr>
    </w:p>
    <w:p>
      <w:pPr>
        <w:spacing w:line="500" w:lineRule="exact"/>
        <w:jc w:val="center"/>
        <w:rPr>
          <w:rFonts w:hint="eastAsia" w:ascii="宋体" w:hAnsi="宋体" w:eastAsia="宋体" w:cs="宋体"/>
          <w:b/>
          <w:bCs/>
          <w:color w:val="auto"/>
          <w:sz w:val="36"/>
          <w:szCs w:val="36"/>
          <w:highlight w:val="none"/>
        </w:rPr>
      </w:pPr>
    </w:p>
    <w:p>
      <w:pPr>
        <w:pStyle w:val="6"/>
        <w:spacing w:before="200" w:after="200"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36"/>
          <w:szCs w:val="36"/>
          <w:highlight w:val="none"/>
        </w:rPr>
        <w:br w:type="page"/>
      </w:r>
      <w:bookmarkStart w:id="10" w:name="_Toc221374623"/>
      <w:bookmarkStart w:id="11" w:name="_Toc241404199"/>
      <w:bookmarkStart w:id="12" w:name="_Toc221356883"/>
      <w:bookmarkStart w:id="13" w:name="_Toc221423616"/>
      <w:bookmarkStart w:id="14" w:name="_Toc265529380"/>
      <w:bookmarkStart w:id="15" w:name="_Toc34508130"/>
      <w:bookmarkStart w:id="16" w:name="_Toc221356948"/>
      <w:bookmarkStart w:id="17" w:name="_Toc40"/>
      <w:bookmarkStart w:id="18" w:name="_Toc222114876"/>
      <w:bookmarkStart w:id="19" w:name="_Toc223715995"/>
      <w:bookmarkStart w:id="20" w:name="_Toc2620"/>
      <w:bookmarkStart w:id="21" w:name="_Toc239145351"/>
      <w:bookmarkStart w:id="22" w:name="_Toc393699549"/>
      <w:r>
        <w:rPr>
          <w:rFonts w:hint="eastAsia" w:ascii="宋体" w:hAnsi="宋体" w:eastAsia="宋体" w:cs="宋体"/>
          <w:color w:val="auto"/>
          <w:sz w:val="22"/>
          <w:szCs w:val="22"/>
          <w:highlight w:val="none"/>
        </w:rPr>
        <w:t>一、  说明</w:t>
      </w:r>
      <w:bookmarkEnd w:id="10"/>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招标是参照《中华人民共和国政府采购法》、《中华人民共和国政府采购法实施条例》、《政府采购货物和服务招标投标管理办法》（财政部87号令）和《关于进一步规范政府采购活动的若干意见》等法律及有关法规组织和实施的。</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bCs/>
          <w:color w:val="auto"/>
          <w:sz w:val="22"/>
          <w:szCs w:val="22"/>
          <w:highlight w:val="none"/>
        </w:rPr>
        <w:t xml:space="preserve"> ▲</w:t>
      </w:r>
      <w:r>
        <w:rPr>
          <w:rFonts w:hint="eastAsia" w:ascii="宋体" w:hAnsi="宋体" w:eastAsia="宋体" w:cs="宋体"/>
          <w:b/>
          <w:color w:val="auto"/>
          <w:sz w:val="22"/>
          <w:szCs w:val="22"/>
          <w:highlight w:val="none"/>
          <w:u w:val="single"/>
        </w:rPr>
        <w:t>合格投标人要求以招标公告对申请人资格要求的表述为准。</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3.投标人代表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4.投标费用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投标人应承担所有与准备和参加投标有关费用，不论投标的结果如何，采购人和采购代理机构均无义务和责任承担这些费用。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5.定义</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5.1“采购人”：是指依法进行政府采购的国家机关、事业单位、团体组织，即政府采购合同中的“甲方”（本项目的采购人是指“温州市鹿城区综合行政执法局”）；</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5.2 “采购代理机构”：是指受采购人委托，在委托的范围内办理采购事宜的机构（本项目的采购代理机构是指“ 宁波国咨工程造价咨询有限公司”）；</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5.3 “采购组织机构”：是指采购人或受采购人委托组织本次采购活动的机构（本项目的采购组织机构是指“ 宁波国咨工程造价咨询有限公司”）；</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5.4 “投标人”：是指在规定的时间和地点向采购人提交投标人文件的供应商；</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5.5 “投标人代表 ”：是指参加本项目投标活动的投标人的法定代表人或法定代表人的授权代表；</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5.6 “联合体”：是指不同的投标人通过签署联合体投标协议，以一个投标人的身份参加投标；</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5.7 “中标人”：是指经评标委员会推荐并经采购人确认的中标单位，即政府采购合同中的 “乙方”；</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5.8 “同级政府采购监督管理部门”：是指“温州市鹿城区财政局”；</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5.9 “中小企业（含中型、小型、微型）”：是指符合中小企业划分标准（工信部联企业[2011]300 号）的企业；</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5.11 “残疾人福利性单位”：是指符合《财政部 民政部 中国残疾人联合会关于促进残疾人就业政府采购政策的通知》（财库〔2017〕141 号）的规定单位；</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5.12 “项目”：是指投标人按投标文件规定向采购人提供的货物或服务或工程；</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5.13 “书面形式”：是指加盖有单位公章的信函、传真、电子扫描件等；</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5.14 “个人有效身份证明”：是指有效的居民身份证、临时居民身份证、护照、驾驶证等，有期限规定的证件在有效期内方为有效；</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5.15 “制造商”：是指拥有产品自主知识产权的单位；</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5.16 “招标文件”：均系指本文件；</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5.17 “进口产品”：是指通过中国海关报关验放进入中国境内且产自关境外的产品；</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5.18</w:t>
      </w:r>
      <w:r>
        <w:rPr>
          <w:rFonts w:hint="eastAsia" w:ascii="宋体" w:hAnsi="宋体" w:eastAsia="宋体" w:cs="宋体"/>
          <w:b/>
          <w:color w:val="auto"/>
          <w:sz w:val="22"/>
          <w:szCs w:val="22"/>
          <w:highlight w:val="none"/>
          <w:lang w:val="en-US" w:eastAsia="zh-CN"/>
        </w:rPr>
        <w:t xml:space="preserve"> “实质性条款（或要求）”： 是指本文件中标注“▲”号且加下划线的技术 、服务或商务条款（或要求），投标人响应时应对所有“实质性条款（或要求）”作出实质性响应，且不得出现负偏离，否则响应无效 ；</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 xml:space="preserve">5.19 </w:t>
      </w:r>
      <w:r>
        <w:rPr>
          <w:rFonts w:hint="eastAsia" w:ascii="宋体" w:hAnsi="宋体" w:eastAsia="宋体" w:cs="宋体"/>
          <w:b/>
          <w:color w:val="auto"/>
          <w:sz w:val="22"/>
          <w:szCs w:val="22"/>
          <w:highlight w:val="none"/>
          <w:lang w:val="en-US" w:eastAsia="zh-CN"/>
        </w:rPr>
        <w:t>“重大偏离”或“保留”：是指将会影响到招标文件规定的服务范围、质量标准，或会给合同中规定的采购人的权利和投标人的责任造成实质性限制，而纠正这些偏离或保留将对其他提交了实质性响应的投标文件的投标人生不公平影响的。</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 xml:space="preserve">5.20 </w:t>
      </w:r>
      <w:r>
        <w:rPr>
          <w:rFonts w:hint="eastAsia" w:ascii="宋体" w:hAnsi="宋体" w:eastAsia="宋体" w:cs="宋体"/>
          <w:b/>
          <w:color w:val="auto"/>
          <w:sz w:val="22"/>
          <w:szCs w:val="22"/>
          <w:highlight w:val="none"/>
          <w:lang w:val="en-US" w:eastAsia="zh-CN"/>
        </w:rPr>
        <w:t>“细微偏离”：是指投标文件对招标文件的非实质性内容存在不完全响应或不响应。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6.特别说明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6.1投标人应仔细阅读招标文件的所有内容，按照招标文件的要求提交投标文件，并对所提供的全部资料的真实性承担法律责任。</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Cs/>
          <w:color w:val="auto"/>
          <w:spacing w:val="6"/>
          <w:sz w:val="22"/>
          <w:szCs w:val="22"/>
          <w:highlight w:val="none"/>
          <w:lang w:val="en-US" w:eastAsia="zh-CN"/>
        </w:rPr>
        <w:t>6.2</w:t>
      </w:r>
      <w:r>
        <w:rPr>
          <w:rFonts w:hint="eastAsia" w:ascii="宋体" w:hAnsi="宋体" w:eastAsia="宋体" w:cs="宋体"/>
          <w:b/>
          <w:bCs/>
          <w:color w:val="auto"/>
          <w:spacing w:val="6"/>
          <w:sz w:val="22"/>
          <w:szCs w:val="22"/>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6.3联合体投标</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（1）两个或以上的 自然人、法人或者其他组织可以组成一个联合体，以一个投标人的身份共同参加 投标活动 。以联合体形式参加投标活动的，应当在投标文件中予以说明；</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（2）以联合体形式参加投标活动的，参加联合体的投标人均应当符合本招标文件规定的 “资格文件“的规定（联合体方均应提供资格证明材料），并应当在投标文件文件中向采购人提《联合协议书》 ，载明联合体各方承担的工作和义务。未提交有效的《联合协议书》的联合体无效 ；</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 联合体各方应当共同与采购人签订采购合同，就采购合同约定的事项对采购人承担连带责任 ；</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 联合体中有同类资质的供应商按照联合体分工承担相同工作的，按照资质等级较低的供应商确定资质等级 ；</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（5）联合体形式参加投标活动的，招标文件中有明确规定联合体各方均须提供的材料应当由联合体各成员共同签、章（或分别提供各自签、章）； 招标文件没有明确规定联合体各方均须提供的材料可以由《联合协议书》中载明的牵头人（主办方）按规定进行签、章，牵头人（主办方）代表联合体签、章的，对联合体各成员方同样具有约束力；</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（6）以联合体形式参加投标活动的，联合体各方均不得再单独参加或者与其他供应商另外组成联合体参加同一合同项下的投标活动，否则相关联合体均按无效联合体处理，资格审查不通过；</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（7）联合体形式参加投标活动的，履约保证金、采购代理服务费可由牵头人（主办方）一方缴纳，也可以由联合体各方按《联合协议书》约定共同缴纳，《联合协议书》未约定的，由牵头人（主办方）缴纳。</w:t>
      </w:r>
    </w:p>
    <w:p>
      <w:pPr>
        <w:pStyle w:val="2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eastAsia="宋体" w:cs="宋体"/>
          <w:bCs/>
          <w:color w:val="auto"/>
          <w:spacing w:val="6"/>
          <w:kern w:val="2"/>
          <w:sz w:val="22"/>
          <w:szCs w:val="22"/>
          <w:highlight w:val="none"/>
          <w:lang w:val="en-US" w:eastAsia="zh-CN"/>
        </w:rPr>
      </w:pPr>
      <w:r>
        <w:rPr>
          <w:rFonts w:hint="eastAsia" w:ascii="宋体" w:hAnsi="宋体" w:eastAsia="宋体" w:cs="宋体"/>
          <w:bCs/>
          <w:color w:val="auto"/>
          <w:spacing w:val="6"/>
          <w:kern w:val="2"/>
          <w:sz w:val="22"/>
          <w:szCs w:val="22"/>
          <w:highlight w:val="none"/>
          <w:lang w:val="en-US" w:eastAsia="zh-CN"/>
        </w:rPr>
        <w:t>6.4 进口产品</w:t>
      </w:r>
    </w:p>
    <w:p>
      <w:pPr>
        <w:pStyle w:val="2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（1）是否允许进品产品投标：否。</w:t>
      </w:r>
    </w:p>
    <w:p>
      <w:pPr>
        <w:pStyle w:val="2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（2）未标明允许进口产品投标的合同项（标项）一律拒绝“进口产品”参加投标（响应）。 “进口产品”系指通过中国海关报关验放进入中国境内且产自关境外的产品，“国外品牌产品”不等于“进口产品”。</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6.5</w:t>
      </w: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6"/>
          <w:sz w:val="22"/>
          <w:szCs w:val="22"/>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Cs/>
          <w:color w:val="auto"/>
          <w:spacing w:val="6"/>
          <w:sz w:val="22"/>
          <w:szCs w:val="22"/>
          <w:highlight w:val="none"/>
        </w:rPr>
        <w:t>6.6</w:t>
      </w:r>
      <w:r>
        <w:rPr>
          <w:rFonts w:hint="eastAsia" w:ascii="宋体" w:hAnsi="宋体" w:eastAsia="宋体" w:cs="宋体"/>
          <w:b/>
          <w:bCs/>
          <w:color w:val="auto"/>
          <w:spacing w:val="6"/>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pacing w:val="6"/>
          <w:sz w:val="22"/>
          <w:szCs w:val="22"/>
          <w:highlight w:val="none"/>
        </w:rPr>
        <w:t>6.7</w:t>
      </w:r>
      <w:r>
        <w:rPr>
          <w:rFonts w:hint="eastAsia" w:ascii="宋体" w:hAnsi="宋体" w:eastAsia="宋体" w:cs="宋体"/>
          <w:b/>
          <w:bCs/>
          <w:color w:val="auto"/>
          <w:kern w:val="0"/>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pPr>
        <w:pStyle w:val="6"/>
        <w:spacing w:before="200" w:after="200" w:line="360" w:lineRule="auto"/>
        <w:jc w:val="center"/>
        <w:rPr>
          <w:rFonts w:hint="eastAsia" w:ascii="宋体" w:hAnsi="宋体" w:eastAsia="宋体" w:cs="宋体"/>
          <w:color w:val="auto"/>
          <w:sz w:val="22"/>
          <w:szCs w:val="22"/>
          <w:highlight w:val="none"/>
        </w:rPr>
      </w:pPr>
      <w:bookmarkStart w:id="23" w:name="_Toc222114877"/>
      <w:bookmarkStart w:id="24" w:name="_Toc221423617"/>
      <w:bookmarkStart w:id="25" w:name="_Toc241404200"/>
      <w:bookmarkStart w:id="26" w:name="_Toc239145352"/>
      <w:bookmarkStart w:id="27" w:name="_Toc221356884"/>
      <w:bookmarkStart w:id="28" w:name="_Toc29628"/>
      <w:bookmarkStart w:id="29" w:name="_Toc34508131"/>
      <w:bookmarkStart w:id="30" w:name="_Toc221356949"/>
      <w:bookmarkStart w:id="31" w:name="_Toc223715996"/>
      <w:bookmarkStart w:id="32" w:name="_Toc265529381"/>
      <w:bookmarkStart w:id="33" w:name="_Toc17485"/>
      <w:bookmarkStart w:id="34" w:name="_Toc221374624"/>
      <w:r>
        <w:rPr>
          <w:rFonts w:hint="eastAsia" w:ascii="宋体" w:hAnsi="宋体" w:eastAsia="宋体" w:cs="宋体"/>
          <w:color w:val="auto"/>
          <w:sz w:val="22"/>
          <w:szCs w:val="22"/>
          <w:highlight w:val="none"/>
        </w:rPr>
        <w:t>二、 招标文件</w:t>
      </w:r>
      <w:bookmarkEnd w:id="23"/>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1.招标文件由招标文件目录所列内容及相关资料组成。</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2.招标文件的澄清或修改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2.1采购人或者采购代理机构可以对已发出的招标文件进行必要的澄清或者修改。澄清或者修改</w:t>
      </w:r>
      <w:r>
        <w:rPr>
          <w:rFonts w:hint="eastAsia" w:ascii="宋体" w:hAnsi="宋体" w:eastAsia="宋体" w:cs="宋体"/>
          <w:bCs/>
          <w:color w:val="auto"/>
          <w:spacing w:val="6"/>
          <w:sz w:val="22"/>
          <w:szCs w:val="22"/>
          <w:highlight w:val="none"/>
        </w:rPr>
        <w:t>在浙江政府采购网上发布公告，同时政采云系统会向所有已按招标文件规定方式获取招标文件的潜在投标人发送更正提醒信息，潜在投标人请自行到浙江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eastAsia="宋体" w:cs="宋体"/>
          <w:color w:val="auto"/>
          <w:spacing w:val="6"/>
          <w:sz w:val="22"/>
          <w:szCs w:val="22"/>
          <w:highlight w:val="none"/>
        </w:rPr>
        <w:t>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2.2澄清或者修改的内容可能影响投标文件编制的，采购人或者采购代理机构应当在投标截止时间至少15日前，以书面形式（</w:t>
      </w:r>
      <w:r>
        <w:rPr>
          <w:rFonts w:hint="eastAsia" w:ascii="宋体" w:hAnsi="宋体" w:eastAsia="宋体" w:cs="宋体"/>
          <w:bCs/>
          <w:color w:val="auto"/>
          <w:spacing w:val="6"/>
          <w:sz w:val="22"/>
          <w:szCs w:val="22"/>
          <w:highlight w:val="none"/>
        </w:rPr>
        <w:t>在浙江政府采购网上发布公告</w:t>
      </w:r>
      <w:r>
        <w:rPr>
          <w:rFonts w:hint="eastAsia" w:ascii="宋体" w:hAnsi="宋体" w:eastAsia="宋体" w:cs="宋体"/>
          <w:color w:val="auto"/>
          <w:spacing w:val="6"/>
          <w:sz w:val="22"/>
          <w:szCs w:val="22"/>
          <w:highlight w:val="none"/>
        </w:rPr>
        <w:t>）通知所有获取招标文件的潜在投标人；不足15日的，采购人或者采购代理机构应当顺延提交投标文件的截止时间。</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2.3招标文件如有补充更正均见浙江政府采购网（http://www.zjzfcg.gov.cn）。投标人须在开标前一日自行查看是否有补充更正文件，并按补充更正文件要求投标，否则责任自负。</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3.质疑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3.1</w:t>
      </w:r>
      <w:r>
        <w:rPr>
          <w:rFonts w:hint="eastAsia" w:ascii="宋体" w:hAnsi="宋体" w:eastAsia="宋体" w:cs="宋体"/>
          <w:color w:val="auto"/>
          <w:spacing w:val="6"/>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3.2投标人提出质疑应当提交质疑函和必要的证明材料，质疑函范本请到“浙江政府采购网下载专区”下载，质疑函内容及签署等相关要求请参看《政府采购质疑和投诉办法》相关规定。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pacing w:val="6"/>
          <w:sz w:val="22"/>
          <w:szCs w:val="22"/>
          <w:highlight w:val="none"/>
        </w:rPr>
      </w:pPr>
      <w:r>
        <w:rPr>
          <w:rFonts w:hint="eastAsia" w:ascii="宋体" w:hAnsi="宋体" w:eastAsia="宋体" w:cs="宋体"/>
          <w:color w:val="auto"/>
          <w:spacing w:val="6"/>
          <w:sz w:val="22"/>
          <w:szCs w:val="22"/>
          <w:highlight w:val="none"/>
        </w:rPr>
        <w:t>3.3提出质疑的投标人应当是参与本项目招标活动的投标人。</w:t>
      </w:r>
      <w:r>
        <w:rPr>
          <w:rFonts w:hint="eastAsia" w:ascii="宋体" w:hAnsi="宋体" w:eastAsia="宋体" w:cs="宋体"/>
          <w:bCs/>
          <w:color w:val="auto"/>
          <w:spacing w:val="6"/>
          <w:sz w:val="22"/>
          <w:szCs w:val="22"/>
          <w:highlight w:val="none"/>
        </w:rPr>
        <w:t>投标人在法定质疑期内一次性提出针对同一采购程序环节的质疑。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bCs/>
          <w:color w:val="auto"/>
          <w:spacing w:val="6"/>
          <w:sz w:val="22"/>
          <w:szCs w:val="22"/>
          <w:highlight w:val="none"/>
        </w:rPr>
        <w:t>3.4</w:t>
      </w:r>
      <w:r>
        <w:rPr>
          <w:rFonts w:hint="eastAsia" w:ascii="宋体" w:hAnsi="宋体" w:eastAsia="宋体" w:cs="宋体"/>
          <w:color w:val="auto"/>
          <w:spacing w:val="6"/>
          <w:sz w:val="22"/>
          <w:szCs w:val="22"/>
          <w:highlight w:val="none"/>
        </w:rPr>
        <w:t>根据《政府采购质疑和投诉办法》第三十七条的规定，投诉人在全国范围12个月内三次以上投诉查无实据的，由财政部门列入不良行为记录名单。</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4.投诉</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6"/>
          <w:sz w:val="22"/>
          <w:szCs w:val="22"/>
          <w:highlight w:val="none"/>
          <w:lang w:eastAsia="zh-CN"/>
        </w:rPr>
        <w:t>4</w:t>
      </w:r>
      <w:r>
        <w:rPr>
          <w:rFonts w:hint="eastAsia" w:ascii="宋体" w:hAnsi="宋体" w:eastAsia="宋体" w:cs="宋体"/>
          <w:color w:val="auto"/>
          <w:spacing w:val="6"/>
          <w:sz w:val="22"/>
          <w:szCs w:val="22"/>
          <w:highlight w:val="none"/>
        </w:rPr>
        <w:t>.1质疑投标人对采购人、采购代理机构的答复不满意或者采购人、采购代理机构未在规定的时间内作出答复的，可以在答复期满后十五个工作日内向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2"/>
          <w:szCs w:val="22"/>
          <w:highlight w:val="none"/>
        </w:rPr>
        <w:t>同级政府采购监督管理部门</w:t>
      </w:r>
      <w:r>
        <w:rPr>
          <w:rFonts w:hint="eastAsia" w:ascii="宋体" w:hAnsi="宋体" w:eastAsia="宋体" w:cs="宋体"/>
          <w:color w:val="auto"/>
          <w:spacing w:val="6"/>
          <w:sz w:val="22"/>
          <w:szCs w:val="22"/>
          <w:highlight w:val="none"/>
        </w:rPr>
        <w:t>投诉。投诉书范本请到“浙江政府采购网下载专区”下载。</w:t>
      </w:r>
    </w:p>
    <w:p>
      <w:pPr>
        <w:pStyle w:val="6"/>
        <w:spacing w:before="200" w:after="200" w:line="360" w:lineRule="auto"/>
        <w:jc w:val="center"/>
        <w:rPr>
          <w:rFonts w:hint="eastAsia" w:ascii="宋体" w:hAnsi="宋体" w:eastAsia="宋体" w:cs="宋体"/>
          <w:color w:val="auto"/>
          <w:sz w:val="22"/>
          <w:szCs w:val="22"/>
          <w:highlight w:val="none"/>
        </w:rPr>
      </w:pPr>
      <w:bookmarkStart w:id="35" w:name="_Toc221356885"/>
      <w:bookmarkStart w:id="36" w:name="_Toc34508132"/>
      <w:bookmarkStart w:id="37" w:name="_Toc32089"/>
      <w:bookmarkStart w:id="38" w:name="_Toc239145353"/>
      <w:bookmarkStart w:id="39" w:name="_Toc222114878"/>
      <w:bookmarkStart w:id="40" w:name="_Toc265529382"/>
      <w:bookmarkStart w:id="41" w:name="_Toc223715997"/>
      <w:bookmarkStart w:id="42" w:name="_Toc221423618"/>
      <w:bookmarkStart w:id="43" w:name="_Toc221356950"/>
      <w:bookmarkStart w:id="44" w:name="_Toc13132"/>
      <w:bookmarkStart w:id="45" w:name="_Toc221374625"/>
      <w:bookmarkStart w:id="46" w:name="_Toc241404201"/>
      <w:r>
        <w:rPr>
          <w:rFonts w:hint="eastAsia" w:ascii="宋体" w:hAnsi="宋体" w:eastAsia="宋体" w:cs="宋体"/>
          <w:color w:val="auto"/>
          <w:sz w:val="22"/>
          <w:szCs w:val="22"/>
          <w:highlight w:val="none"/>
        </w:rPr>
        <w:t>三、 电子投标文件的编制</w:t>
      </w:r>
      <w:bookmarkEnd w:id="35"/>
      <w:bookmarkEnd w:id="36"/>
      <w:bookmarkEnd w:id="37"/>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rPr>
      </w:pPr>
      <w:bookmarkStart w:id="47" w:name="_Toc221356886"/>
      <w:r>
        <w:rPr>
          <w:rFonts w:hint="eastAsia" w:ascii="宋体" w:hAnsi="宋体" w:eastAsia="宋体" w:cs="宋体"/>
          <w:snapToGrid w:val="0"/>
          <w:color w:val="auto"/>
          <w:sz w:val="22"/>
          <w:szCs w:val="22"/>
          <w:highlight w:val="none"/>
        </w:rPr>
        <w:t>1.</w:t>
      </w:r>
      <w:r>
        <w:rPr>
          <w:rFonts w:hint="eastAsia" w:ascii="宋体" w:hAnsi="宋体" w:eastAsia="宋体" w:cs="宋体"/>
          <w:color w:val="auto"/>
          <w:sz w:val="22"/>
          <w:szCs w:val="22"/>
          <w:highlight w:val="none"/>
        </w:rPr>
        <w:t xml:space="preserve"> 投标人应认真阅读招标文件中所有事项格式、条款和技术规范等。</w:t>
      </w:r>
      <w:r>
        <w:rPr>
          <w:rFonts w:hint="eastAsia" w:ascii="宋体" w:hAnsi="宋体" w:eastAsia="宋体" w:cs="宋体"/>
          <w:b/>
          <w:color w:val="auto"/>
          <w:sz w:val="22"/>
          <w:szCs w:val="22"/>
          <w:highlight w:val="none"/>
        </w:rPr>
        <w:t>投标人没有按照招标文件要求提交全部资料，或者没有对招标文件各个方面做出实质性响应，导致投标被拒绝的风险由投标人自行承担。</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snapToGrid w:val="0"/>
          <w:color w:val="auto"/>
          <w:sz w:val="22"/>
          <w:szCs w:val="22"/>
          <w:highlight w:val="none"/>
          <w:lang w:val="en-US" w:eastAsia="zh-CN"/>
        </w:rPr>
        <w:t>2．</w:t>
      </w:r>
      <w:r>
        <w:rPr>
          <w:rFonts w:hint="eastAsia" w:ascii="宋体" w:hAnsi="宋体" w:eastAsia="宋体" w:cs="宋体"/>
          <w:bCs/>
          <w:color w:val="auto"/>
          <w:sz w:val="22"/>
          <w:szCs w:val="22"/>
          <w:highlight w:val="none"/>
        </w:rPr>
        <w:t>投标人法律责任</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 电子投标文件的构成</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3.1 电子投标文件包括资格文件、商务技术文件、报价文件三部分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适用于所有标项</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（1）</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u w:val="single"/>
        </w:rPr>
        <w:t>资格文件（</w:t>
      </w:r>
      <w:r>
        <w:rPr>
          <w:rFonts w:hint="eastAsia" w:ascii="宋体" w:hAnsi="宋体" w:eastAsia="宋体" w:cs="宋体"/>
          <w:b/>
          <w:color w:val="auto"/>
          <w:sz w:val="22"/>
          <w:szCs w:val="22"/>
          <w:highlight w:val="none"/>
          <w:u w:val="single"/>
        </w:rPr>
        <w:t>强制性要求，资格审查未通过的，不进入后续评审，按无效标处理）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89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89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88"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营业执照(或事业法人登记证书或其它工商等登记证明材料)</w:t>
            </w:r>
          </w:p>
          <w:p>
            <w:pPr>
              <w:pStyle w:val="25"/>
              <w:keepNext w:val="0"/>
              <w:keepLines w:val="0"/>
              <w:pageBreakBefore w:val="0"/>
              <w:widowControl w:val="0"/>
              <w:kinsoku/>
              <w:wordWrap/>
              <w:topLinePunct w:val="0"/>
              <w:autoSpaceDE/>
              <w:autoSpaceDN/>
              <w:bidi w:val="0"/>
              <w:adjustRightInd/>
              <w:snapToGrid/>
              <w:spacing w:after="0"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pStyle w:val="25"/>
              <w:keepNext w:val="0"/>
              <w:keepLines w:val="0"/>
              <w:pageBreakBefore w:val="0"/>
              <w:widowControl w:val="0"/>
              <w:kinsoku/>
              <w:wordWrap/>
              <w:topLinePunct w:val="0"/>
              <w:autoSpaceDE/>
              <w:autoSpaceDN/>
              <w:bidi w:val="0"/>
              <w:adjustRightInd/>
              <w:snapToGrid/>
              <w:spacing w:after="0"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b.金融、保险、通讯等特定行业的全国性企业所设立的区域性分支机构，以及个体工商户、个人独资企业、合伙企业参加本项目投标的，除提供投标人自身的营业执照外，还须提供总公司（总机构）授权书或房产权证或其他有效财产证明材料（提供复印件加盖投标人公章），以证明其具备实际承担责任的能力和法定的缔结合同能力。</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具有良好的商业信誉和健全的财务会计制度的承诺函（</w:t>
            </w:r>
            <w:r>
              <w:rPr>
                <w:rFonts w:hint="eastAsia" w:ascii="宋体" w:hAnsi="宋体" w:eastAsia="宋体" w:cs="宋体"/>
                <w:color w:val="auto"/>
                <w:sz w:val="22"/>
                <w:szCs w:val="22"/>
                <w:highlight w:val="none"/>
              </w:rPr>
              <w:t>(新成立的公司，必须提供情况说明)</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具有依法缴纳税收和社会保障资金的良好记录的承诺函（(新成立的公司，必须提供情况说明)</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具有履行合同所必需的设备和专业技术能力的承诺函</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参加政府采购活动前3年内（新成立不满三年的组织机构自成立之日起算）在经营活动中没有重大违法记录的声明函</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投标人“信用中国”(www.creditchina.gov.cn)；“中国政府采购网”（http://www.ccgp.gov.cn/）信用记录网页截图（招标公告发布之日至投标截止时间前）</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声明函（单位负责人为同一人或者存在直接控股、管理关系的不同投标人，不得参加同一合同项下的政府采购活动）</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法定代表人资格声明书或法定代表人授权委托书（如法定代表人为投标人代表时，可不提供）</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附件一（8）、（9）</w:t>
            </w:r>
          </w:p>
        </w:tc>
      </w:tr>
    </w:tbl>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p>
      <w:pPr>
        <w:numPr>
          <w:ilvl w:val="0"/>
          <w:numId w:val="21"/>
        </w:numPr>
        <w:spacing w:line="36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以上所需的各种材料若系复印件、扫描件，须加盖投标人有效的公章（CA电子签章）。</w:t>
      </w:r>
    </w:p>
    <w:p>
      <w:pPr>
        <w:numPr>
          <w:ilvl w:val="0"/>
          <w:numId w:val="21"/>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pPr>
        <w:tabs>
          <w:tab w:val="left" w:pos="360"/>
        </w:tabs>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（2）商务技术文件</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4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投标函</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eastAsia="zh-CN"/>
              </w:rPr>
              <w:t>技术规格、商务条款偏离表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资信证明文件（本部分为商务技术评分内容，投标人根据自身实际情况提供）</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投标人基本情况表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项目负责人及管理团队情况表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投标人近三年内（2020年3月1日至今）城市道路保洁服务业绩表（如有）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确认函（如有）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类似项目业绩合同（如有）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合同履行业主评价书</w:t>
            </w:r>
            <w:r>
              <w:rPr>
                <w:rFonts w:hint="eastAsia" w:ascii="宋体" w:hAnsi="宋体" w:eastAsia="宋体" w:cs="宋体"/>
                <w:color w:val="auto"/>
                <w:kern w:val="2"/>
                <w:sz w:val="22"/>
                <w:szCs w:val="22"/>
                <w:highlight w:val="none"/>
                <w:lang w:val="en-US" w:eastAsia="zh-CN" w:bidi="ar-SA"/>
              </w:rPr>
              <w:t>（如有）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11)</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single"/>
                <w:lang w:val="en-US" w:eastAsia="zh-CN" w:bidi="ar-SA"/>
              </w:rPr>
              <w:t>▲法定代表人诚信投标承诺书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single"/>
                <w:lang w:val="en-US" w:eastAsia="zh-CN" w:bidi="ar-SA"/>
              </w:rPr>
              <w:t>▲环卫保洁承诺书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13）</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拟投入本项目最低配置数量要求的设备（工具）一览表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14)</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拟投入本项目最低配置数量要求后增加的设备（工具）一览表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15)</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拟投入本项目其他设备（工具）一览表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16)</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专车专用承诺书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13</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17)</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拟投入消耗品一览表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14</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18)</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拟投入本项目管理人员一览表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19)</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single"/>
                <w:lang w:val="en-US" w:eastAsia="zh-CN" w:bidi="ar-SA"/>
              </w:rPr>
              <w:t>▲无条件承接跨标段任务承诺书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16</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20)</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整改到位承诺书（如有）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17</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21)</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拟投入本项目保洁排班数一览表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附件二（</w:t>
            </w:r>
            <w:r>
              <w:rPr>
                <w:rFonts w:hint="eastAsia" w:ascii="宋体" w:hAnsi="宋体" w:eastAsia="宋体" w:cs="宋体"/>
                <w:b w:val="0"/>
                <w:bCs/>
                <w:color w:val="auto"/>
                <w:sz w:val="22"/>
                <w:szCs w:val="22"/>
                <w:highlight w:val="none"/>
                <w:lang w:val="en-US" w:eastAsia="zh-CN"/>
              </w:rPr>
              <w:t>18</w:t>
            </w:r>
            <w:r>
              <w:rPr>
                <w:rFonts w:hint="eastAsia" w:ascii="宋体" w:hAnsi="宋体" w:eastAsia="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22)</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u w:val="single"/>
              </w:rPr>
              <w:t>针对本次项目采购需求提出的详细</w:t>
            </w:r>
            <w:r>
              <w:rPr>
                <w:rFonts w:hint="eastAsia" w:ascii="宋体" w:hAnsi="宋体" w:eastAsia="宋体" w:cs="宋体"/>
                <w:b/>
                <w:color w:val="auto"/>
                <w:sz w:val="22"/>
                <w:szCs w:val="22"/>
                <w:highlight w:val="none"/>
                <w:u w:val="single"/>
                <w:lang w:val="en-US" w:eastAsia="zh-CN"/>
              </w:rPr>
              <w:t>技术</w:t>
            </w:r>
            <w:r>
              <w:rPr>
                <w:rFonts w:hint="eastAsia" w:ascii="宋体" w:hAnsi="宋体" w:eastAsia="宋体" w:cs="宋体"/>
                <w:b/>
                <w:color w:val="auto"/>
                <w:sz w:val="22"/>
                <w:szCs w:val="22"/>
                <w:highlight w:val="none"/>
                <w:u w:val="single"/>
              </w:rPr>
              <w:t>方案（包括但不限于商务技术分评分细则要求的各个方案）</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23)</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节能产品、环境标志产品证明材料（</w:t>
            </w:r>
            <w:r>
              <w:rPr>
                <w:rFonts w:hint="eastAsia" w:ascii="宋体" w:hAnsi="宋体" w:eastAsia="宋体" w:cs="宋体"/>
                <w:color w:val="auto"/>
                <w:kern w:val="0"/>
                <w:sz w:val="22"/>
                <w:szCs w:val="22"/>
                <w:highlight w:val="none"/>
              </w:rPr>
              <w:t>如有，按</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文件规定要求提供，否则不予认可,详见</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w:t>
            </w:r>
            <w:r>
              <w:rPr>
                <w:rFonts w:hint="eastAsia" w:ascii="宋体" w:hAnsi="宋体" w:eastAsia="宋体" w:cs="宋体"/>
                <w:color w:val="auto"/>
                <w:sz w:val="22"/>
                <w:szCs w:val="22"/>
                <w:highlight w:val="none"/>
              </w:rPr>
              <w:t>政府采购政策功能相关说明）</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24)</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kern w:val="2"/>
                <w:sz w:val="22"/>
                <w:szCs w:val="22"/>
                <w:highlight w:val="none"/>
                <w:u w:val="single"/>
                <w:lang w:val="en-US" w:eastAsia="zh-CN" w:bidi="ar-SA"/>
              </w:rPr>
            </w:pPr>
            <w:r>
              <w:rPr>
                <w:rFonts w:hint="eastAsia" w:ascii="宋体" w:hAnsi="宋体" w:eastAsia="宋体" w:cs="宋体"/>
                <w:color w:val="auto"/>
                <w:sz w:val="22"/>
                <w:szCs w:val="22"/>
                <w:highlight w:val="none"/>
              </w:rPr>
              <w:t>给予采购人的各种优惠及承诺</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备注：商务技术文件内容投标人可根据招标文件第六部分《评分细则》要点自行增加，格式自拟。</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▲以上所需的各种证书、证件、证明等若系复印件、扫描件，须加盖投标人有效的公章（CA电子签章）。</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pPr>
        <w:keepNext w:val="0"/>
        <w:keepLines w:val="0"/>
        <w:pageBreakBefore w:val="0"/>
        <w:widowControl w:val="0"/>
        <w:tabs>
          <w:tab w:val="left" w:pos="5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（3）报价文件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2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7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7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开标一览表</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7260" w:type="dxa"/>
            <w:noWrap w:val="0"/>
            <w:vAlign w:val="top"/>
          </w:tcPr>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投标分项报价表</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7260" w:type="dxa"/>
            <w:noWrap w:val="0"/>
            <w:vAlign w:val="top"/>
          </w:tcPr>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w:t>
            </w:r>
            <w:r>
              <w:rPr>
                <w:rFonts w:hint="eastAsia" w:ascii="宋体" w:hAnsi="宋体" w:eastAsia="宋体" w:cs="宋体"/>
                <w:color w:val="auto"/>
                <w:sz w:val="22"/>
                <w:szCs w:val="22"/>
                <w:highlight w:val="none"/>
                <w:lang w:eastAsia="zh-CN"/>
              </w:rPr>
              <w:t>街镇</w:t>
            </w:r>
            <w:r>
              <w:rPr>
                <w:rFonts w:hint="eastAsia" w:ascii="宋体" w:hAnsi="宋体" w:eastAsia="宋体" w:cs="宋体"/>
                <w:color w:val="auto"/>
                <w:sz w:val="22"/>
                <w:szCs w:val="22"/>
                <w:highlight w:val="none"/>
              </w:rPr>
              <w:t>投标分项报价表</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附件三（</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w:t>
            </w:r>
          </w:p>
        </w:tc>
        <w:tc>
          <w:tcPr>
            <w:tcW w:w="7260" w:type="dxa"/>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小、微企业（或监狱企业、残疾人福利单位）（如有，按招标文件规定要求提供，否则不予认可，详见招标文件政府采购政策功能相关说明）</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注：《中小企业声明函》中项目属性、所属行业参考《投标人须知前附表》第27款。</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附件五</w:t>
            </w:r>
          </w:p>
        </w:tc>
      </w:tr>
      <w:bookmarkEnd w:id="47"/>
    </w:tbl>
    <w:p>
      <w:pPr>
        <w:keepNext w:val="0"/>
        <w:keepLines w:val="0"/>
        <w:pageBreakBefore w:val="0"/>
        <w:widowControl w:val="0"/>
        <w:kinsoku/>
        <w:wordWrap/>
        <w:overflowPunct/>
        <w:topLinePunct w:val="0"/>
        <w:bidi w:val="0"/>
        <w:snapToGrid/>
        <w:spacing w:line="360" w:lineRule="auto"/>
        <w:ind w:left="0" w:hanging="331" w:hangingChars="15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3.2.电子投标文件形式</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
          <w:color w:val="auto"/>
          <w:sz w:val="22"/>
          <w:szCs w:val="22"/>
          <w:highlight w:val="none"/>
        </w:rPr>
        <w:t>本项目通过“政府采购云平台（www.zcygov.cn）”实行电子交易，投标文件为电子投标文件。投标文件由资格文件、商务技术文件、报价文件组成。投标人应通过“政采云电子交易客户端”，并按“政采云投标人项目采购-电子招投标操作指南”及本招标文件要求制作、加密并递交。</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（2）“电子投标文件”是指通过“政采云电子交易客户端”完成投标文件编制后生成并加密的数据电文形式的加密标书,加密标书文件后缀格式为.jmbs。</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Style w:val="71"/>
          <w:rFonts w:hint="eastAsia" w:ascii="宋体" w:hAnsi="宋体" w:eastAsia="宋体" w:cs="宋体"/>
          <w:color w:val="auto"/>
          <w:sz w:val="22"/>
          <w:szCs w:val="22"/>
          <w:highlight w:val="none"/>
        </w:rPr>
      </w:pPr>
      <w:r>
        <w:rPr>
          <w:rStyle w:val="71"/>
          <w:rFonts w:hint="eastAsia" w:ascii="宋体" w:hAnsi="宋体" w:eastAsia="宋体" w:cs="宋体"/>
          <w:color w:val="auto"/>
          <w:sz w:val="22"/>
          <w:szCs w:val="22"/>
          <w:highlight w:val="none"/>
        </w:rPr>
        <w:t>3.4</w:t>
      </w:r>
      <w:r>
        <w:rPr>
          <w:rFonts w:hint="eastAsia" w:ascii="宋体" w:hAnsi="宋体" w:eastAsia="宋体" w:cs="宋体"/>
          <w:b/>
          <w:color w:val="auto"/>
          <w:sz w:val="22"/>
          <w:szCs w:val="22"/>
          <w:highlight w:val="none"/>
        </w:rPr>
        <w:t>投标人应当在投标截止时间前完成电子投标文件的传输递交，并可以补充、修改或者撤回电子投标文件。补充或者修改电子投标文件的，应当先行撤回原文件，补充、修改后重新传输递交。</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Style w:val="71"/>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Style w:val="71"/>
          <w:rFonts w:hint="eastAsia" w:ascii="宋体" w:hAnsi="宋体" w:eastAsia="宋体" w:cs="宋体"/>
          <w:color w:val="auto"/>
          <w:sz w:val="22"/>
          <w:szCs w:val="22"/>
          <w:highlight w:val="none"/>
        </w:rPr>
        <w:t>.5</w:t>
      </w:r>
      <w:r>
        <w:rPr>
          <w:rFonts w:hint="eastAsia" w:ascii="宋体" w:hAnsi="宋体" w:eastAsia="宋体" w:cs="宋体"/>
          <w:b/>
          <w:bCs/>
          <w:color w:val="auto"/>
          <w:sz w:val="22"/>
          <w:szCs w:val="22"/>
          <w:highlight w:val="none"/>
        </w:rPr>
        <w:t>▲</w:t>
      </w:r>
      <w:r>
        <w:rPr>
          <w:rStyle w:val="71"/>
          <w:rFonts w:hint="eastAsia" w:ascii="宋体" w:hAnsi="宋体" w:eastAsia="宋体" w:cs="宋体"/>
          <w:b/>
          <w:color w:val="auto"/>
          <w:sz w:val="22"/>
          <w:szCs w:val="22"/>
          <w:highlight w:val="none"/>
          <w:u w:val="single"/>
        </w:rPr>
        <w:t>投标截止时间前未完成上传递交的，视为撤回投标文件。投标截止时间后送达的投标文件，将被政府采购云平台拒收。</w:t>
      </w:r>
    </w:p>
    <w:p>
      <w:pPr>
        <w:pStyle w:val="25"/>
        <w:keepNext w:val="0"/>
        <w:keepLines w:val="0"/>
        <w:pageBreakBefore w:val="0"/>
        <w:widowControl w:val="0"/>
        <w:kinsoku/>
        <w:wordWrap/>
        <w:overflowPunct/>
        <w:topLinePunct w:val="0"/>
        <w:bidi w:val="0"/>
        <w:snapToGrid/>
        <w:spacing w:after="0" w:line="360" w:lineRule="auto"/>
        <w:ind w:left="0"/>
        <w:textAlignment w:val="auto"/>
        <w:rPr>
          <w:rStyle w:val="71"/>
          <w:rFonts w:hint="eastAsia" w:ascii="宋体" w:hAnsi="宋体" w:eastAsia="宋体" w:cs="宋体"/>
          <w:b/>
          <w:color w:val="auto"/>
          <w:sz w:val="22"/>
          <w:szCs w:val="22"/>
          <w:highlight w:val="none"/>
          <w:u w:val="single"/>
          <w:lang w:val="en-US" w:eastAsia="zh-CN"/>
        </w:rPr>
      </w:pPr>
      <w:r>
        <w:rPr>
          <w:rStyle w:val="71"/>
          <w:rFonts w:hint="eastAsia" w:ascii="宋体" w:hAnsi="宋体" w:eastAsia="宋体" w:cs="宋体"/>
          <w:color w:val="auto"/>
          <w:sz w:val="22"/>
          <w:szCs w:val="22"/>
          <w:highlight w:val="none"/>
        </w:rPr>
        <w:t>3.6</w:t>
      </w:r>
      <w:r>
        <w:rPr>
          <w:rFonts w:hint="eastAsia" w:ascii="宋体" w:hAnsi="宋体" w:eastAsia="宋体" w:cs="宋体"/>
          <w:b/>
          <w:bCs/>
          <w:color w:val="auto"/>
          <w:sz w:val="22"/>
          <w:szCs w:val="22"/>
          <w:highlight w:val="none"/>
        </w:rPr>
        <w:t>▲</w:t>
      </w:r>
      <w:r>
        <w:rPr>
          <w:rStyle w:val="71"/>
          <w:rFonts w:hint="eastAsia" w:ascii="宋体" w:hAnsi="宋体" w:eastAsia="宋体" w:cs="宋体"/>
          <w:b/>
          <w:color w:val="auto"/>
          <w:sz w:val="22"/>
          <w:szCs w:val="22"/>
          <w:highlight w:val="none"/>
          <w:u w:val="single"/>
          <w:lang w:val="en-US" w:eastAsia="zh-CN"/>
        </w:rPr>
        <w:t>投标人务必按时自行解密，规定时间内解密失败且经异常处理但政采云电子交易系统仍未能识别备份投标文件的投标文件作无效响应处理。</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4.电子投标文件的编制</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4.1本招标文件“第四部分 附件”中有提供投标文件格式的，投标人须参照格式进行编制（格式中要求提供相关证明材料的还需后附相关证明材料），并按格式要求在指定位置根据要求进行签章，否则视为未提供；本文件“第四部分 附件”未提供格式的，请各投标单位自行拟定格式，并在相应位置进行签章，否则视为未提供。</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eastAsia="宋体" w:cs="宋体"/>
          <w:b/>
          <w:bCs/>
          <w:color w:val="auto"/>
          <w:sz w:val="22"/>
          <w:szCs w:val="22"/>
          <w:highlight w:val="none"/>
        </w:rPr>
        <w:t>投标应保证《电子投标文件》的字迹清晰、内容完整、排版清爽，若因《电子投标文件》字迹潦草或表达不清、内容不完整、编排混乱等原因导致《电子投标文件》被误读、漏读或者查找不到相关内容，由此造成对投标人不利的评审的，其后果由投标自行承担</w:t>
      </w:r>
      <w:r>
        <w:rPr>
          <w:rFonts w:hint="eastAsia" w:ascii="宋体" w:hAnsi="宋体" w:eastAsia="宋体" w:cs="宋体"/>
          <w:color w:val="auto"/>
          <w:sz w:val="22"/>
          <w:szCs w:val="22"/>
          <w:highlight w:val="none"/>
        </w:rPr>
        <w:t>。</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4.3 投标人没有按照本章节 “电子投标文件组成”要求提供全部资料，或者没有仔细阅读招标文件，或者没有对招标文件在各方面的要求作出实质性响应是投标人的风险，由此造成的一切后果由投标人自行承担。</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4.4本项目采购过程中，涉及的投标人联系方式（如手机号码、投标文件中预留的邮箱、投标地址），均以投标人递交的电子投标文件中《法定代表人资格声明书》或《法定代表人授权委托书》上注明的联系方式为准。</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5.投标报价</w:t>
      </w:r>
    </w:p>
    <w:p>
      <w:pPr>
        <w:pStyle w:val="25"/>
        <w:keepNext w:val="0"/>
        <w:keepLines w:val="0"/>
        <w:pageBreakBefore w:val="0"/>
        <w:widowControl w:val="0"/>
        <w:kinsoku/>
        <w:wordWrap/>
        <w:overflowPunct/>
        <w:topLinePunct w:val="0"/>
        <w:bidi w:val="0"/>
        <w:snapToGrid/>
        <w:spacing w:after="0" w:line="360" w:lineRule="auto"/>
        <w:ind w:left="0" w:firstLine="42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5.1</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本项目投标报价为期限</w:t>
      </w:r>
      <w:r>
        <w:rPr>
          <w:rFonts w:hint="eastAsia" w:ascii="宋体" w:hAnsi="宋体" w:eastAsia="宋体" w:cs="宋体"/>
          <w:b/>
          <w:bCs/>
          <w:color w:val="auto"/>
          <w:sz w:val="22"/>
          <w:szCs w:val="22"/>
          <w:highlight w:val="none"/>
          <w:u w:val="single"/>
          <w:lang w:val="en-US" w:eastAsia="zh-CN"/>
        </w:rPr>
        <w:t>叁</w:t>
      </w:r>
      <w:r>
        <w:rPr>
          <w:rFonts w:hint="eastAsia" w:ascii="宋体" w:hAnsi="宋体" w:eastAsia="宋体" w:cs="宋体"/>
          <w:b/>
          <w:bCs/>
          <w:color w:val="auto"/>
          <w:sz w:val="22"/>
          <w:szCs w:val="22"/>
          <w:highlight w:val="none"/>
          <w:u w:val="single"/>
        </w:rPr>
        <w:t>年（</w:t>
      </w:r>
      <w:r>
        <w:rPr>
          <w:rFonts w:hint="eastAsia" w:ascii="宋体" w:hAnsi="宋体" w:eastAsia="宋体" w:cs="宋体"/>
          <w:b/>
          <w:bCs/>
          <w:color w:val="auto"/>
          <w:sz w:val="22"/>
          <w:szCs w:val="22"/>
          <w:highlight w:val="none"/>
          <w:u w:val="single"/>
          <w:lang w:val="en-US" w:eastAsia="zh-CN"/>
        </w:rPr>
        <w:t>36</w:t>
      </w:r>
      <w:r>
        <w:rPr>
          <w:rFonts w:hint="eastAsia" w:ascii="宋体" w:hAnsi="宋体" w:eastAsia="宋体" w:cs="宋体"/>
          <w:b/>
          <w:bCs/>
          <w:color w:val="auto"/>
          <w:sz w:val="22"/>
          <w:szCs w:val="22"/>
          <w:highlight w:val="none"/>
          <w:u w:val="single"/>
        </w:rPr>
        <w:t>个月）的承包费的报价。承包总价必须包括在承包区域内提供</w:t>
      </w:r>
      <w:r>
        <w:rPr>
          <w:rFonts w:hint="eastAsia" w:ascii="宋体" w:hAnsi="宋体" w:eastAsia="宋体" w:cs="宋体"/>
          <w:b/>
          <w:bCs/>
          <w:color w:val="auto"/>
          <w:sz w:val="22"/>
          <w:szCs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bCs/>
          <w:color w:val="auto"/>
          <w:sz w:val="22"/>
          <w:szCs w:val="22"/>
          <w:highlight w:val="none"/>
          <w:u w:val="single"/>
          <w:lang w:val="en-US" w:eastAsia="zh-CN"/>
        </w:rPr>
        <w:t>含</w:t>
      </w:r>
      <w:r>
        <w:rPr>
          <w:rFonts w:hint="eastAsia" w:ascii="宋体" w:hAnsi="宋体" w:eastAsia="宋体" w:cs="宋体"/>
          <w:b/>
          <w:bCs/>
          <w:color w:val="auto"/>
          <w:sz w:val="22"/>
          <w:szCs w:val="22"/>
          <w:highlight w:val="none"/>
          <w:u w:val="single"/>
          <w:lang w:eastAsia="zh-CN"/>
        </w:rPr>
        <w:t>化粪池抽运）；环卫驿站维养、无主装潢垃圾清运、生活垃圾分类收运等项目</w:t>
      </w:r>
      <w:r>
        <w:rPr>
          <w:rFonts w:hint="eastAsia" w:ascii="宋体" w:hAnsi="宋体" w:eastAsia="宋体" w:cs="宋体"/>
          <w:b/>
          <w:bCs/>
          <w:color w:val="auto"/>
          <w:sz w:val="22"/>
          <w:szCs w:val="22"/>
          <w:highlight w:val="none"/>
          <w:u w:val="single"/>
        </w:rPr>
        <w:t>、采购代理服务费等完成合同所需的一切本身和不可或缺的所有工作开支、政策性文件规定及合同包含的所有风险、责任等各项全部费用并承担一切风险责任。</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5.2</w:t>
      </w:r>
      <w:r>
        <w:rPr>
          <w:rFonts w:hint="eastAsia" w:ascii="宋体" w:hAnsi="宋体" w:eastAsia="宋体" w:cs="宋体"/>
          <w:color w:val="auto"/>
          <w:sz w:val="22"/>
          <w:szCs w:val="22"/>
          <w:highlight w:val="none"/>
        </w:rPr>
        <w:t>投标人必须按附件的开标一览表（统一格式）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投标分项报价表（统一格式）的内容填写服投标报价及其他事项，并由法定代表人或授权代表签署</w:t>
      </w:r>
      <w:r>
        <w:rPr>
          <w:rFonts w:hint="eastAsia" w:ascii="宋体" w:hAnsi="宋体" w:eastAsia="宋体" w:cs="宋体"/>
          <w:color w:val="auto"/>
          <w:sz w:val="22"/>
          <w:szCs w:val="22"/>
          <w:highlight w:val="none"/>
          <w:lang w:eastAsia="zh-CN"/>
        </w:rPr>
        <w:t>。</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rPr>
        <w:t>.3所有投标均以人民币报价。</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5.4</w:t>
      </w:r>
      <w:r>
        <w:rPr>
          <w:rFonts w:hint="eastAsia" w:ascii="宋体" w:hAnsi="宋体" w:eastAsia="宋体" w:cs="宋体"/>
          <w:color w:val="auto"/>
          <w:kern w:val="0"/>
          <w:sz w:val="22"/>
          <w:szCs w:val="22"/>
          <w:highlight w:val="none"/>
        </w:rPr>
        <w:t>采购人不接受任何选择报价，对每一种货物/服务只允许一个报价。</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5.5</w:t>
      </w:r>
      <w:r>
        <w:rPr>
          <w:rFonts w:hint="eastAsia" w:ascii="宋体" w:hAnsi="宋体" w:eastAsia="宋体" w:cs="宋体"/>
          <w:b w:val="0"/>
          <w:color w:val="auto"/>
          <w:sz w:val="22"/>
          <w:szCs w:val="22"/>
          <w:highlight w:val="none"/>
        </w:rPr>
        <w:t>采购人要求分类报价是为了方便评标，但在任何情况下不限制采购人以其认为最合适的条款、条件签订合同的权利。</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5.6</w:t>
      </w:r>
      <w:r>
        <w:rPr>
          <w:rFonts w:hint="eastAsia" w:ascii="宋体" w:hAnsi="宋体" w:eastAsia="宋体" w:cs="宋体"/>
          <w:b w:val="0"/>
          <w:color w:val="auto"/>
          <w:sz w:val="22"/>
          <w:szCs w:val="22"/>
          <w:highlight w:val="none"/>
        </w:rPr>
        <w:t>投标人所报的投标价在合同执行过程中是固定不变的（除投标时所报不可竞争费用外），不得以任何理由予以变更。任何包含价格调整的要求，将被认为是非实质性响应投标而予以拒绝。</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5.7</w:t>
      </w:r>
      <w:r>
        <w:rPr>
          <w:rFonts w:hint="eastAsia" w:ascii="宋体" w:hAnsi="宋体" w:eastAsia="宋体" w:cs="宋体"/>
          <w:b w:val="0"/>
          <w:color w:val="auto"/>
          <w:sz w:val="22"/>
          <w:szCs w:val="22"/>
          <w:highlight w:val="none"/>
        </w:rPr>
        <w:t>最低报价不能作为中标的保证。</w:t>
      </w:r>
    </w:p>
    <w:p>
      <w:pPr>
        <w:keepNext w:val="0"/>
        <w:keepLines w:val="0"/>
        <w:pageBreakBefore w:val="0"/>
        <w:widowControl w:val="0"/>
        <w:kinsoku/>
        <w:wordWrap/>
        <w:overflowPunct/>
        <w:topLinePunct w:val="0"/>
        <w:bidi w:val="0"/>
        <w:snapToGrid/>
        <w:spacing w:line="360" w:lineRule="auto"/>
        <w:ind w:left="0" w:hanging="331" w:hangingChars="15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6.电子投标文件的签章</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6.1单位公章：电子投标文件中所须加盖公章部分均采用CA电子签章，如投标人以联合体形式参与投标人的，由联合体牵头人进行CA电子签章；</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6.2法定代表人签署的规定：</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如投标人已办理法人CA电子签章的，则法定代表人签署的地方可用CA电子签章进行签署；</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如投标人未办理法人CA电子签章的，电子投标文件中要求投标人法定代表人签署的地方，须投标人制作成word版本先打印出来，由法定代表人签署后再上传PDF。</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6.3授权代表签署的规定：</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如授权代表已办理CA电子签章的，则授权代表签署的地方可用CA电子签章进行签署；</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如授权代表未办理CA电子签章的，电子投标文件中要求授权代表签署的地方，须投标人制作成word版本先打印出来，由授权代表签署后再上传PDF。</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val="zh-CN"/>
        </w:rPr>
        <w:t>6.4政采云系统平台有新的操作流程的，按其规定。</w:t>
      </w:r>
    </w:p>
    <w:p>
      <w:pPr>
        <w:keepNext w:val="0"/>
        <w:keepLines w:val="0"/>
        <w:pageBreakBefore w:val="0"/>
        <w:widowControl w:val="0"/>
        <w:kinsoku/>
        <w:wordWrap/>
        <w:overflowPunct/>
        <w:topLinePunct w:val="0"/>
        <w:bidi w:val="0"/>
        <w:snapToGrid/>
        <w:spacing w:line="360" w:lineRule="auto"/>
        <w:ind w:left="0" w:hanging="331" w:hangingChars="15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7.投标文件的份数</w:t>
      </w:r>
    </w:p>
    <w:p>
      <w:pPr>
        <w:keepNext w:val="0"/>
        <w:keepLines w:val="0"/>
        <w:pageBreakBefore w:val="0"/>
        <w:widowControl w:val="0"/>
        <w:tabs>
          <w:tab w:val="left" w:pos="5355"/>
        </w:tabs>
        <w:kinsoku/>
        <w:wordWrap/>
        <w:overflowPunct/>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7.1投标文件的份数：见投标人须知前附表第19款。</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8.投标保证金</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8.1根据浙江省财政厅关于明确政府采购保证金管理工作的通知【浙财采监（2019）5号文件】规定，本项目不要求缴纳投标保证金。</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9.投标有效期</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9.1</w:t>
      </w:r>
      <w:r>
        <w:rPr>
          <w:rFonts w:hint="eastAsia" w:ascii="宋体" w:hAnsi="宋体" w:eastAsia="宋体" w:cs="宋体"/>
          <w:b w:val="0"/>
          <w:color w:val="auto"/>
          <w:sz w:val="22"/>
          <w:szCs w:val="22"/>
          <w:highlight w:val="none"/>
        </w:rPr>
        <w:t>自开标之日起</w:t>
      </w:r>
      <w:r>
        <w:rPr>
          <w:rFonts w:hint="eastAsia" w:ascii="宋体" w:hAnsi="宋体" w:eastAsia="宋体" w:cs="宋体"/>
          <w:b w:val="0"/>
          <w:color w:val="auto"/>
          <w:sz w:val="22"/>
          <w:szCs w:val="22"/>
          <w:highlight w:val="none"/>
          <w:u w:val="single"/>
        </w:rPr>
        <w:t xml:space="preserve"> 90</w:t>
      </w:r>
      <w:r>
        <w:rPr>
          <w:rFonts w:hint="eastAsia" w:ascii="宋体" w:hAnsi="宋体" w:eastAsia="宋体" w:cs="宋体"/>
          <w:b w:val="0"/>
          <w:color w:val="auto"/>
          <w:sz w:val="22"/>
          <w:szCs w:val="22"/>
          <w:highlight w:val="none"/>
        </w:rPr>
        <w:t>天内投标应保持有效。投标有效期短于这个规定期限的投标将视为非响应性投标而予以拒绝</w:t>
      </w:r>
      <w:r>
        <w:rPr>
          <w:rFonts w:hint="eastAsia" w:ascii="宋体" w:hAnsi="宋体" w:eastAsia="宋体" w:cs="宋体"/>
          <w:b w:val="0"/>
          <w:color w:val="auto"/>
          <w:sz w:val="22"/>
          <w:szCs w:val="22"/>
          <w:highlight w:val="none"/>
          <w:lang w:eastAsia="zh-CN"/>
        </w:rPr>
        <w:t>。</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9.2</w:t>
      </w:r>
      <w:r>
        <w:rPr>
          <w:rFonts w:hint="eastAsia" w:ascii="宋体" w:hAnsi="宋体" w:eastAsia="宋体" w:cs="宋体"/>
          <w:b w:val="0"/>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pPr>
        <w:pStyle w:val="6"/>
        <w:spacing w:before="200" w:after="200" w:line="360" w:lineRule="auto"/>
        <w:jc w:val="center"/>
        <w:rPr>
          <w:rFonts w:hint="eastAsia" w:ascii="宋体" w:hAnsi="宋体" w:eastAsia="宋体" w:cs="宋体"/>
          <w:color w:val="auto"/>
          <w:sz w:val="22"/>
          <w:szCs w:val="22"/>
          <w:highlight w:val="none"/>
        </w:rPr>
      </w:pPr>
      <w:bookmarkStart w:id="48" w:name="_Toc223715998"/>
      <w:bookmarkStart w:id="49" w:name="_Toc221423619"/>
      <w:bookmarkStart w:id="50" w:name="_Toc222114879"/>
      <w:bookmarkStart w:id="51" w:name="_Toc265529383"/>
      <w:bookmarkStart w:id="52" w:name="_Toc17705"/>
      <w:bookmarkStart w:id="53" w:name="_Toc221374626"/>
      <w:bookmarkStart w:id="54" w:name="_Toc4139"/>
      <w:bookmarkStart w:id="55" w:name="_Toc34508133"/>
      <w:bookmarkStart w:id="56" w:name="_Toc239145354"/>
      <w:bookmarkStart w:id="57" w:name="_Toc221356951"/>
      <w:bookmarkStart w:id="58" w:name="_Toc241404202"/>
      <w:bookmarkStart w:id="59" w:name="_Toc221356887"/>
      <w:r>
        <w:rPr>
          <w:rFonts w:hint="eastAsia" w:ascii="宋体" w:hAnsi="宋体" w:eastAsia="宋体" w:cs="宋体"/>
          <w:color w:val="auto"/>
          <w:sz w:val="22"/>
          <w:szCs w:val="22"/>
          <w:highlight w:val="none"/>
        </w:rPr>
        <w:t>四、 电子投标文件的递交</w:t>
      </w:r>
      <w:bookmarkEnd w:id="48"/>
      <w:bookmarkEnd w:id="49"/>
      <w:bookmarkEnd w:id="50"/>
      <w:bookmarkEnd w:id="51"/>
      <w:bookmarkEnd w:id="52"/>
      <w:bookmarkEnd w:id="53"/>
      <w:bookmarkEnd w:id="54"/>
      <w:bookmarkEnd w:id="55"/>
      <w:bookmarkEnd w:id="56"/>
      <w:bookmarkEnd w:id="57"/>
      <w:bookmarkEnd w:id="58"/>
      <w:bookmarkEnd w:id="59"/>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 电子投标文件的递交</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1.1电子投标文件的上传、递交：见投标人须知前附表第20款。</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 “电子加密投标文件”解密和异常情况处理。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2.1“电子加密投标文件”解密和异常情况处理：见投标人须知前附表第21款。</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 投标文件的补充、修改或撤回</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3.1投标人应当在投标文件递交截止时间前完成投标文件的上传、递交，并可以补充、修改或者撤回投标文件。补充或者修改投标文件的，应当先行撤回原文件，补充、修改后重新上传、递交。</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w:t>
      </w:r>
      <w:r>
        <w:rPr>
          <w:rFonts w:hint="eastAsia" w:ascii="宋体" w:hAnsi="宋体" w:eastAsia="宋体" w:cs="宋体"/>
          <w:b/>
          <w:bCs/>
          <w:color w:val="auto"/>
          <w:sz w:val="22"/>
          <w:szCs w:val="22"/>
          <w:highlight w:val="none"/>
        </w:rPr>
        <w:t>▲</w:t>
      </w:r>
      <w:r>
        <w:rPr>
          <w:rFonts w:hint="eastAsia" w:ascii="宋体" w:hAnsi="宋体" w:eastAsia="宋体" w:cs="宋体"/>
          <w:b/>
          <w:bCs/>
          <w:color w:val="auto"/>
          <w:kern w:val="0"/>
          <w:sz w:val="22"/>
          <w:szCs w:val="22"/>
          <w:highlight w:val="none"/>
          <w:u w:val="single"/>
        </w:rPr>
        <w:t>投标文件递交截止时间前未完成上传、递交的，视为撤回投标文件。投标文件递交截止时间后递交的投标文件，“政府采购云平台”将予以拒收。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3.3投标文件递交截止时间后，投标人不得撤回、修改投标文件。</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 </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u w:val="single"/>
        </w:rPr>
        <w:t>发生下列情况之一的投标文件将不予受理：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u w:val="single"/>
        </w:rPr>
        <w:t>在投标截止时间以后上传的投标文件；</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u w:val="single"/>
        </w:rPr>
        <w:t>仅递交了“备份投标文件”而未将电子加密投标文件上传至“政府采购云平台”的；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u w:val="single"/>
        </w:rPr>
        <w:t xml:space="preserve">未在规定时间解密，或者解密失败且经异常处理政采云系统仍未能识别的； </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以纸质形式提交的；</w:t>
      </w:r>
    </w:p>
    <w:p>
      <w:pPr>
        <w:pStyle w:val="6"/>
        <w:spacing w:before="200" w:after="200" w:line="360" w:lineRule="auto"/>
        <w:jc w:val="center"/>
        <w:rPr>
          <w:rFonts w:hint="eastAsia" w:ascii="宋体" w:hAnsi="宋体" w:eastAsia="宋体" w:cs="宋体"/>
          <w:color w:val="auto"/>
          <w:sz w:val="22"/>
          <w:szCs w:val="22"/>
          <w:highlight w:val="none"/>
        </w:rPr>
      </w:pPr>
      <w:bookmarkStart w:id="60" w:name="_Toc221374627"/>
      <w:bookmarkStart w:id="61" w:name="_Toc222114880"/>
      <w:bookmarkStart w:id="62" w:name="_Toc223715999"/>
      <w:bookmarkStart w:id="63" w:name="_Toc221356952"/>
      <w:bookmarkStart w:id="64" w:name="_Toc221356888"/>
      <w:bookmarkStart w:id="65" w:name="_Toc221423620"/>
      <w:bookmarkStart w:id="66" w:name="_Toc265529384"/>
      <w:bookmarkStart w:id="67" w:name="_Toc239145355"/>
      <w:bookmarkStart w:id="68" w:name="_Toc34508134"/>
      <w:bookmarkStart w:id="69" w:name="_Toc241404203"/>
      <w:bookmarkStart w:id="70" w:name="_Toc19126"/>
      <w:bookmarkStart w:id="71" w:name="_Toc14251"/>
      <w:r>
        <w:rPr>
          <w:rFonts w:hint="eastAsia" w:ascii="宋体" w:hAnsi="宋体" w:eastAsia="宋体" w:cs="宋体"/>
          <w:color w:val="auto"/>
          <w:sz w:val="22"/>
          <w:szCs w:val="22"/>
          <w:highlight w:val="none"/>
        </w:rPr>
        <w:t>五、 开标</w:t>
      </w:r>
      <w:bookmarkEnd w:id="60"/>
      <w:bookmarkEnd w:id="61"/>
      <w:bookmarkEnd w:id="62"/>
      <w:bookmarkEnd w:id="63"/>
      <w:bookmarkEnd w:id="64"/>
      <w:bookmarkEnd w:id="65"/>
      <w:bookmarkEnd w:id="66"/>
      <w:bookmarkEnd w:id="67"/>
      <w:bookmarkEnd w:id="68"/>
      <w:bookmarkEnd w:id="69"/>
      <w:r>
        <w:rPr>
          <w:rFonts w:hint="eastAsia" w:ascii="宋体" w:hAnsi="宋体" w:eastAsia="宋体" w:cs="宋体"/>
          <w:color w:val="auto"/>
          <w:sz w:val="22"/>
          <w:szCs w:val="22"/>
          <w:highlight w:val="none"/>
        </w:rPr>
        <w:t>和评标</w:t>
      </w:r>
      <w:bookmarkEnd w:id="70"/>
      <w:bookmarkEnd w:id="71"/>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1.评标委员会</w:t>
      </w:r>
    </w:p>
    <w:p>
      <w:pPr>
        <w:pStyle w:val="25"/>
        <w:keepNext w:val="0"/>
        <w:keepLines w:val="0"/>
        <w:pageBreakBefore w:val="0"/>
        <w:widowControl w:val="0"/>
        <w:kinsoku/>
        <w:wordWrap/>
        <w:topLinePunct w:val="0"/>
        <w:bidi w:val="0"/>
        <w:snapToGrid/>
        <w:spacing w:after="0" w:line="360" w:lineRule="auto"/>
        <w:ind w:left="0"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人（含）以上单数，除采购人代表外的专家将在评标专家库中随机抽取产生。</w:t>
      </w:r>
    </w:p>
    <w:p>
      <w:pPr>
        <w:pStyle w:val="26"/>
        <w:keepNext w:val="0"/>
        <w:keepLines w:val="0"/>
        <w:pageBreakBefore w:val="0"/>
        <w:widowControl w:val="0"/>
        <w:kinsoku/>
        <w:wordWrap/>
        <w:topLinePunct w:val="0"/>
        <w:bidi w:val="0"/>
        <w:snapToGrid/>
        <w:spacing w:after="0" w:line="360" w:lineRule="auto"/>
        <w:ind w:left="0" w:firstLine="0" w:firstLineChars="0"/>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2.评标过程的保密性</w:t>
      </w:r>
    </w:p>
    <w:p>
      <w:pPr>
        <w:pStyle w:val="26"/>
        <w:keepNext w:val="0"/>
        <w:keepLines w:val="0"/>
        <w:pageBreakBefore w:val="0"/>
        <w:widowControl w:val="0"/>
        <w:kinsoku/>
        <w:wordWrap/>
        <w:topLinePunct w:val="0"/>
        <w:bidi w:val="0"/>
        <w:snapToGrid/>
        <w:spacing w:after="0" w:line="360" w:lineRule="auto"/>
        <w:ind w:left="0"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3.开标、评标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3.1按招标文件规定的时间、地点开启各投标人的投标文件。</w:t>
      </w:r>
      <w:r>
        <w:rPr>
          <w:rFonts w:hint="eastAsia" w:ascii="宋体" w:hAnsi="宋体" w:eastAsia="宋体" w:cs="宋体"/>
          <w:bCs/>
          <w:color w:val="auto"/>
          <w:kern w:val="0"/>
          <w:sz w:val="22"/>
          <w:szCs w:val="22"/>
          <w:highlight w:val="none"/>
        </w:rPr>
        <w:t>各投标人无须参加现场开标会议，请自行登录政府采购云平台关注开标信息</w:t>
      </w:r>
      <w:r>
        <w:rPr>
          <w:rFonts w:hint="eastAsia" w:ascii="宋体" w:hAnsi="宋体" w:eastAsia="宋体" w:cs="宋体"/>
          <w:bCs/>
          <w:color w:val="auto"/>
          <w:sz w:val="22"/>
          <w:szCs w:val="22"/>
          <w:highlight w:val="none"/>
        </w:rPr>
        <w:t>。</w:t>
      </w:r>
    </w:p>
    <w:p>
      <w:pPr>
        <w:keepNext w:val="0"/>
        <w:keepLines w:val="0"/>
        <w:pageBreakBefore w:val="0"/>
        <w:widowControl w:val="0"/>
        <w:tabs>
          <w:tab w:val="left" w:pos="535"/>
        </w:tabs>
        <w:kinsoku/>
        <w:wordWrap/>
        <w:overflowPunct w:val="0"/>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3.2电子招投标开标及评审程序</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投标截止时间后，投标人登录政府采购云平台，用“项目采购-开标评标”功能对电子投标文件进行在线解密。在线解密电子投标文件时间为开标时间起</w:t>
      </w:r>
      <w:r>
        <w:rPr>
          <w:rFonts w:hint="eastAsia" w:ascii="宋体" w:hAnsi="宋体" w:eastAsia="宋体" w:cs="宋体"/>
          <w:bCs/>
          <w:color w:val="auto"/>
          <w:sz w:val="22"/>
          <w:szCs w:val="22"/>
          <w:highlight w:val="none"/>
          <w:lang w:val="en-US" w:eastAsia="zh-CN"/>
        </w:rPr>
        <w:t>30分钟</w:t>
      </w:r>
      <w:r>
        <w:rPr>
          <w:rFonts w:hint="eastAsia" w:ascii="宋体" w:hAnsi="宋体" w:eastAsia="宋体" w:cs="宋体"/>
          <w:bCs/>
          <w:color w:val="auto"/>
          <w:sz w:val="22"/>
          <w:szCs w:val="22"/>
          <w:highlight w:val="none"/>
        </w:rPr>
        <w:t>内。</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评标委员会对资格和商务技术文件进行评审；</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在系统上公开资格和商务技术评审结果；</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评标委员会对报价情况进行评审；</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在系统上公布评审结果。</w:t>
      </w:r>
    </w:p>
    <w:p>
      <w:pPr>
        <w:keepNext w:val="0"/>
        <w:keepLines w:val="0"/>
        <w:pageBreakBefore w:val="0"/>
        <w:widowControl w:val="0"/>
        <w:kinsoku/>
        <w:wordWrap/>
        <w:overflowPunct w:val="0"/>
        <w:topLinePunct w:val="0"/>
        <w:bidi w:val="0"/>
        <w:snapToGrid/>
        <w:spacing w:line="360" w:lineRule="auto"/>
        <w:ind w:left="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特别说明：1、政采云公司如对电子化开标及评审程序有调整的，按调整后的程序操作。</w:t>
      </w:r>
    </w:p>
    <w:p>
      <w:pPr>
        <w:keepNext w:val="0"/>
        <w:keepLines w:val="0"/>
        <w:pageBreakBefore w:val="0"/>
        <w:widowControl w:val="0"/>
        <w:kinsoku/>
        <w:wordWrap/>
        <w:overflowPunct w:val="0"/>
        <w:topLinePunct w:val="0"/>
        <w:bidi w:val="0"/>
        <w:snapToGrid/>
        <w:spacing w:line="360" w:lineRule="auto"/>
        <w:ind w:left="0" w:firstLine="1281" w:firstLineChars="58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2、目前政府采购全流程电子化交易，投标人须在规定时间内自行解密。</w:t>
      </w:r>
    </w:p>
    <w:p>
      <w:pPr>
        <w:keepNext w:val="0"/>
        <w:keepLines w:val="0"/>
        <w:pageBreakBefore w:val="0"/>
        <w:widowControl w:val="0"/>
        <w:tabs>
          <w:tab w:val="left" w:pos="535"/>
        </w:tabs>
        <w:kinsoku/>
        <w:wordWrap/>
        <w:overflowPunct w:val="0"/>
        <w:topLinePunct w:val="0"/>
        <w:bidi w:val="0"/>
        <w:snapToGrid/>
        <w:spacing w:line="360" w:lineRule="auto"/>
        <w:ind w:left="0"/>
        <w:textAlignment w:val="auto"/>
        <w:rPr>
          <w:rFonts w:hint="eastAsia" w:ascii="宋体" w:hAnsi="宋体" w:eastAsia="宋体" w:cs="宋体"/>
          <w:bCs/>
          <w:color w:val="auto"/>
          <w:sz w:val="22"/>
          <w:szCs w:val="22"/>
          <w:highlight w:val="none"/>
          <w:u w:val="single"/>
        </w:rPr>
      </w:pPr>
      <w:r>
        <w:rPr>
          <w:rFonts w:hint="eastAsia" w:ascii="宋体" w:hAnsi="宋体" w:eastAsia="宋体" w:cs="宋体"/>
          <w:b/>
          <w:bCs/>
          <w:color w:val="auto"/>
          <w:sz w:val="22"/>
          <w:szCs w:val="22"/>
          <w:highlight w:val="none"/>
          <w:u w:val="single"/>
        </w:rPr>
        <w:t>3.3电子投标文件解密结束后，各投标人签署《政府采购活动现场确认声明书》（见附件四）后将扫描件发送至采购代理机构邮箱</w:t>
      </w:r>
      <w:r>
        <w:rPr>
          <w:rFonts w:hint="eastAsia" w:ascii="宋体" w:hAnsi="宋体" w:eastAsia="宋体" w:cs="宋体"/>
          <w:b/>
          <w:bCs/>
          <w:color w:val="auto"/>
          <w:sz w:val="22"/>
          <w:szCs w:val="22"/>
          <w:highlight w:val="none"/>
          <w:u w:val="single"/>
          <w:lang w:eastAsia="zh-CN"/>
        </w:rPr>
        <w:t>349207947@QQ.com</w:t>
      </w:r>
      <w:r>
        <w:rPr>
          <w:rFonts w:hint="eastAsia" w:ascii="宋体" w:hAnsi="宋体" w:eastAsia="宋体" w:cs="宋体"/>
          <w:b/>
          <w:bCs/>
          <w:color w:val="auto"/>
          <w:sz w:val="22"/>
          <w:szCs w:val="22"/>
          <w:highlight w:val="none"/>
          <w:u w:val="single"/>
        </w:rPr>
        <w:t>。</w:t>
      </w:r>
    </w:p>
    <w:p>
      <w:pPr>
        <w:keepNext w:val="0"/>
        <w:keepLines w:val="0"/>
        <w:pageBreakBefore w:val="0"/>
        <w:widowControl w:val="0"/>
        <w:tabs>
          <w:tab w:val="left" w:pos="535"/>
        </w:tabs>
        <w:kinsoku/>
        <w:wordWrap/>
        <w:overflowPunct w:val="0"/>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3.4投标文件的初审。初审分为资格性审查和符合性检查。</w:t>
      </w:r>
    </w:p>
    <w:p>
      <w:pPr>
        <w:keepNext w:val="0"/>
        <w:keepLines w:val="0"/>
        <w:pageBreakBefore w:val="0"/>
        <w:widowControl w:val="0"/>
        <w:kinsoku/>
        <w:wordWrap/>
        <w:overflowPunct w:val="0"/>
        <w:topLinePunct w:val="0"/>
        <w:bidi w:val="0"/>
        <w:snapToGrid/>
        <w:spacing w:line="360" w:lineRule="auto"/>
        <w:ind w:left="0" w:firstLine="110" w:firstLineChars="5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（1）资格性审查</w:t>
      </w:r>
    </w:p>
    <w:p>
      <w:pPr>
        <w:keepNext w:val="0"/>
        <w:keepLines w:val="0"/>
        <w:pageBreakBefore w:val="0"/>
        <w:widowControl w:val="0"/>
        <w:kinsoku/>
        <w:wordWrap/>
        <w:overflowPunct w:val="0"/>
        <w:topLinePunct w:val="0"/>
        <w:bidi w:val="0"/>
        <w:snapToGrid/>
        <w:spacing w:line="360" w:lineRule="auto"/>
        <w:ind w:lef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①依据法律、法规和招标文件的规定，采购人或采购代理机构在开启各投标人资格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keepNext w:val="0"/>
        <w:keepLines w:val="0"/>
        <w:pageBreakBefore w:val="0"/>
        <w:widowControl w:val="0"/>
        <w:kinsoku/>
        <w:wordWrap/>
        <w:overflowPunct w:val="0"/>
        <w:topLinePunct w:val="0"/>
        <w:bidi w:val="0"/>
        <w:snapToGrid/>
        <w:spacing w:line="360" w:lineRule="auto"/>
        <w:ind w:left="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②在资格审查过程中，若对投标人的资格审查文件有疑问，采购组织机构将在系统上向投标人发起询标函。</w:t>
      </w:r>
    </w:p>
    <w:p>
      <w:pPr>
        <w:keepNext w:val="0"/>
        <w:keepLines w:val="0"/>
        <w:pageBreakBefore w:val="0"/>
        <w:widowControl w:val="0"/>
        <w:kinsoku/>
        <w:wordWrap/>
        <w:overflowPunct w:val="0"/>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（2）符合性检查</w:t>
      </w:r>
    </w:p>
    <w:p>
      <w:pPr>
        <w:keepNext w:val="0"/>
        <w:keepLines w:val="0"/>
        <w:pageBreakBefore w:val="0"/>
        <w:widowControl w:val="0"/>
        <w:kinsoku/>
        <w:wordWrap/>
        <w:overflowPunct w:val="0"/>
        <w:topLinePunct w:val="0"/>
        <w:bidi w:val="0"/>
        <w:snapToGrid/>
        <w:spacing w:line="360" w:lineRule="auto"/>
        <w:ind w:lef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评标委员会依据招标文件的规定，从投标文件中的有效性、完整性和对招标文件的响应程度进行审查，并在“政采云系统-符合性评审”中录入投标人的符合性审查情况。</w:t>
      </w:r>
    </w:p>
    <w:p>
      <w:pPr>
        <w:keepNext w:val="0"/>
        <w:keepLines w:val="0"/>
        <w:pageBreakBefore w:val="0"/>
        <w:widowControl w:val="0"/>
        <w:kinsoku/>
        <w:wordWrap/>
        <w:overflowPunct w:val="0"/>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0"/>
          <w:sz w:val="22"/>
          <w:szCs w:val="22"/>
          <w:highlight w:val="none"/>
        </w:rPr>
        <w:t>（3）▲</w:t>
      </w:r>
      <w:r>
        <w:rPr>
          <w:rFonts w:hint="eastAsia" w:ascii="宋体" w:hAnsi="宋体" w:eastAsia="宋体" w:cs="宋体"/>
          <w:b/>
          <w:bCs/>
          <w:color w:val="auto"/>
          <w:sz w:val="22"/>
          <w:szCs w:val="22"/>
          <w:highlight w:val="none"/>
          <w:u w:val="single"/>
        </w:rPr>
        <w:t>通过资格性审查与符合性审查的商务技术文件由评委进行综合评审，审查确认未通过的商务技术文件不予评审。</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w:t>
      </w:r>
      <w:r>
        <w:rPr>
          <w:rFonts w:hint="eastAsia" w:ascii="宋体" w:hAnsi="宋体" w:eastAsia="宋体" w:cs="宋体"/>
          <w:b/>
          <w:bCs/>
          <w:color w:val="auto"/>
          <w:sz w:val="22"/>
          <w:szCs w:val="22"/>
          <w:highlight w:val="none"/>
          <w:u w:val="single"/>
        </w:rPr>
        <w:t>在对各投标人的投标文件进行综合评审时，投标文件有下列情况之一的，经评标委员会认定后按无效标处理</w:t>
      </w:r>
      <w:r>
        <w:rPr>
          <w:rFonts w:hint="eastAsia" w:ascii="宋体" w:hAnsi="宋体" w:eastAsia="宋体" w:cs="宋体"/>
          <w:b/>
          <w:bCs/>
          <w:color w:val="auto"/>
          <w:sz w:val="22"/>
          <w:szCs w:val="22"/>
          <w:highlight w:val="none"/>
        </w:rPr>
        <w:t>：</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（1）电子投标文件未按规定进行CA签章；</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（2）电子投标文件中要求投标人法定代表人或授权代表签字（或盖章）的地方无法定代表人签字（或盖章）或其授权代表签字（或盖章）的；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（3）不具备招标文件中规定的资格要求的；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（4）仅提交“备份投标文件”的；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（5）投标报价超过招标文件中规定的预算金额或者最高限价的；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（6）电子投标文件含有采购人不能接受的附加条件的；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（7）经评标委员会认定投标人串通投标的；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（8）同时出现两种及以上不一致价格且修正后投标人不确认报价的；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（9）投标报价明显低于其他通过符合性审查投标人的投标报价，且在评标现场合理的时间内不能证明其投标报价合理性的；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（10）授权代表</w:t>
      </w:r>
      <w:r>
        <w:rPr>
          <w:rFonts w:hint="eastAsia" w:ascii="宋体" w:hAnsi="宋体" w:eastAsia="宋体" w:cs="宋体"/>
          <w:b/>
          <w:color w:val="auto"/>
          <w:kern w:val="0"/>
          <w:sz w:val="22"/>
          <w:szCs w:val="22"/>
          <w:highlight w:val="none"/>
          <w:u w:val="single"/>
        </w:rPr>
        <w:t>无法定代表人合法、有效委托的；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lang w:eastAsia="zh-CN"/>
        </w:rPr>
        <w:t>（</w:t>
      </w:r>
      <w:r>
        <w:rPr>
          <w:rFonts w:hint="eastAsia" w:ascii="宋体" w:hAnsi="宋体" w:eastAsia="宋体" w:cs="宋体"/>
          <w:b/>
          <w:color w:val="auto"/>
          <w:kern w:val="0"/>
          <w:sz w:val="22"/>
          <w:szCs w:val="22"/>
          <w:highlight w:val="none"/>
          <w:u w:val="single"/>
          <w:lang w:val="en-US" w:eastAsia="zh-CN"/>
        </w:rPr>
        <w:t>11</w:t>
      </w:r>
      <w:r>
        <w:rPr>
          <w:rFonts w:hint="eastAsia" w:ascii="宋体" w:hAnsi="宋体" w:eastAsia="宋体" w:cs="宋体"/>
          <w:b/>
          <w:color w:val="auto"/>
          <w:kern w:val="0"/>
          <w:sz w:val="22"/>
          <w:szCs w:val="22"/>
          <w:highlight w:val="none"/>
          <w:u w:val="single"/>
          <w:lang w:eastAsia="zh-CN"/>
        </w:rPr>
        <w:t>）</w:t>
      </w:r>
      <w:r>
        <w:rPr>
          <w:rFonts w:hint="eastAsia" w:ascii="宋体" w:hAnsi="宋体" w:eastAsia="宋体" w:cs="宋体"/>
          <w:b/>
          <w:color w:val="auto"/>
          <w:sz w:val="22"/>
          <w:szCs w:val="22"/>
          <w:highlight w:val="none"/>
          <w:u w:val="single"/>
        </w:rPr>
        <w:t>规定时间内解密失败且经异常处理但政采云电子交易系统仍未能识别备份投标文件的；</w:t>
      </w:r>
    </w:p>
    <w:p>
      <w:pPr>
        <w:keepNext w:val="0"/>
        <w:keepLines w:val="0"/>
        <w:pageBreakBefore w:val="0"/>
        <w:widowControl w:val="0"/>
        <w:kinsoku/>
        <w:wordWrap/>
        <w:topLinePunct w:val="0"/>
        <w:bidi w:val="0"/>
        <w:snapToGrid/>
        <w:spacing w:line="360" w:lineRule="auto"/>
        <w:ind w:left="0" w:firstLine="442" w:firstLineChars="20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（12）评标委员会认定不符合法律、法规和招标文件中规定的其他实质性要求的。</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3.6 ▲</w:t>
      </w:r>
      <w:r>
        <w:rPr>
          <w:rFonts w:hint="eastAsia" w:ascii="宋体" w:hAnsi="宋体" w:eastAsia="宋体" w:cs="宋体"/>
          <w:b/>
          <w:bCs/>
          <w:color w:val="auto"/>
          <w:sz w:val="22"/>
          <w:szCs w:val="22"/>
          <w:highlight w:val="none"/>
          <w:u w:val="single"/>
        </w:rPr>
        <w:t>有下列情形之一的，视为投标人串通投标，其投标无效：</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（1）不同投标人的投标文件由同一单位或者个人编制；</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（2）不同投标人委托同一单位或者个人办理投标事宜；</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（3）不同投标人的投标文件载明的项目管理成员或者联系人员为同一人；</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（4）不同投标人的投标文件异常一致或者投标报价呈规律性差异；</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lang w:eastAsia="zh-CN"/>
        </w:rPr>
        <w:t>（</w:t>
      </w:r>
      <w:r>
        <w:rPr>
          <w:rFonts w:hint="eastAsia" w:ascii="宋体" w:hAnsi="宋体" w:eastAsia="宋体" w:cs="宋体"/>
          <w:b/>
          <w:color w:val="auto"/>
          <w:kern w:val="0"/>
          <w:sz w:val="22"/>
          <w:szCs w:val="22"/>
          <w:highlight w:val="none"/>
          <w:u w:val="single"/>
          <w:lang w:val="en-US" w:eastAsia="zh-CN"/>
        </w:rPr>
        <w:t>5</w:t>
      </w:r>
      <w:r>
        <w:rPr>
          <w:rFonts w:hint="eastAsia" w:ascii="宋体" w:hAnsi="宋体" w:eastAsia="宋体" w:cs="宋体"/>
          <w:b/>
          <w:color w:val="auto"/>
          <w:kern w:val="0"/>
          <w:sz w:val="22"/>
          <w:szCs w:val="22"/>
          <w:highlight w:val="none"/>
          <w:u w:val="single"/>
          <w:lang w:eastAsia="zh-CN"/>
        </w:rPr>
        <w:t>）</w:t>
      </w:r>
      <w:r>
        <w:rPr>
          <w:rFonts w:hint="eastAsia" w:ascii="宋体" w:hAnsi="宋体" w:eastAsia="宋体" w:cs="宋体"/>
          <w:b/>
          <w:color w:val="auto"/>
          <w:kern w:val="0"/>
          <w:sz w:val="22"/>
          <w:szCs w:val="22"/>
          <w:highlight w:val="none"/>
          <w:u w:val="single"/>
        </w:rPr>
        <w:t>不同投标人的投标文件相互混装；</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3.7“报价文件”开启后，由评标委员会对各投标人的商务报价进行核查，核查时发现投标报价内容不清楚可要求投标人书面澄清，计算上的错误，可按下面方法修正：</w:t>
      </w:r>
    </w:p>
    <w:p>
      <w:pPr>
        <w:keepNext w:val="0"/>
        <w:keepLines w:val="0"/>
        <w:pageBreakBefore w:val="0"/>
        <w:widowControl w:val="0"/>
        <w:tabs>
          <w:tab w:val="left" w:pos="720"/>
        </w:tabs>
        <w:kinsoku/>
        <w:wordWrap/>
        <w:topLinePunct w:val="0"/>
        <w:bidi w:val="0"/>
        <w:snapToGrid/>
        <w:spacing w:line="360" w:lineRule="auto"/>
        <w:ind w:left="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电子投标文件中上传的价格和系统中报价一览表里填写的价格不一致的，以投标人上传的报价文件为准；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pPr>
        <w:keepNext w:val="0"/>
        <w:keepLines w:val="0"/>
        <w:pageBreakBefore w:val="0"/>
        <w:widowControl w:val="0"/>
        <w:tabs>
          <w:tab w:val="left" w:pos="720"/>
        </w:tabs>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（2）如果投标人不接受对其价格错误进行修正，其投标无效。</w:t>
      </w:r>
    </w:p>
    <w:p>
      <w:pPr>
        <w:keepNext w:val="0"/>
        <w:keepLines w:val="0"/>
        <w:pageBreakBefore w:val="0"/>
        <w:widowControl w:val="0"/>
        <w:tabs>
          <w:tab w:val="left" w:pos="720"/>
        </w:tabs>
        <w:kinsoku/>
        <w:wordWrap/>
        <w:topLinePunct w:val="0"/>
        <w:bidi w:val="0"/>
        <w:snapToGrid/>
        <w:spacing w:line="360" w:lineRule="auto"/>
        <w:ind w:left="0"/>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如投标人为小微企业（含监狱企业、残疾人福利性单位），享受政策支持的，则采购机构将在政采云系统政策价格认定中对其进行修正（未按规定递交相关证明材料或经评标委会认定其不具备享受政策支持资格的，不予修正）</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3.8在详细评标之前，评标委员会要审查每份投标文件是否实质上响应了招标文件的要求。实质上响应的投标应该是与招标文件要求的全部条款、条件和规格基本相符。没有重大偏离。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eastAsia="宋体" w:cs="宋体"/>
          <w:b/>
          <w:bCs/>
          <w:color w:val="auto"/>
          <w:sz w:val="22"/>
          <w:szCs w:val="22"/>
          <w:highlight w:val="none"/>
        </w:rPr>
        <w:t>评标委员会决定投标的响应性只根据投标文件本身的内容，而不寻求外部的证据。</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3.9实质上没有响应招标文件要求的投标将被拒绝，</w:t>
      </w:r>
      <w:r>
        <w:rPr>
          <w:rFonts w:hint="eastAsia" w:ascii="宋体" w:hAnsi="宋体" w:eastAsia="宋体" w:cs="宋体"/>
          <w:bCs/>
          <w:color w:val="auto"/>
          <w:sz w:val="22"/>
          <w:szCs w:val="22"/>
          <w:highlight w:val="none"/>
        </w:rPr>
        <w:t>投标人不得通过修正或撤消不合要求的偏离或保留从而使其投标成为实质上响应的投标。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3.10评标委员会对审查合格的投标文件按照招标文件中制订的评标方法进行综合评定打分。</w:t>
      </w:r>
    </w:p>
    <w:p>
      <w:pPr>
        <w:keepNext w:val="0"/>
        <w:keepLines w:val="0"/>
        <w:pageBreakBefore w:val="0"/>
        <w:widowControl w:val="0"/>
        <w:tabs>
          <w:tab w:val="left" w:pos="540"/>
          <w:tab w:val="left" w:pos="709"/>
        </w:tabs>
        <w:kinsoku/>
        <w:wordWrap/>
        <w:topLinePunct w:val="0"/>
        <w:bidi w:val="0"/>
        <w:snapToGrid/>
        <w:spacing w:line="360" w:lineRule="auto"/>
        <w:ind w:left="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3.11▲</w:t>
      </w:r>
      <w:r>
        <w:rPr>
          <w:rFonts w:hint="eastAsia" w:ascii="宋体" w:hAnsi="宋体" w:eastAsia="宋体" w:cs="宋体"/>
          <w:b/>
          <w:bCs/>
          <w:color w:val="auto"/>
          <w:kern w:val="0"/>
          <w:sz w:val="22"/>
          <w:szCs w:val="22"/>
          <w:highlight w:val="none"/>
          <w:u w:val="single"/>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r>
        <w:rPr>
          <w:rFonts w:hint="eastAsia" w:ascii="宋体" w:hAnsi="宋体" w:eastAsia="宋体" w:cs="宋体"/>
          <w:color w:val="auto"/>
          <w:kern w:val="0"/>
          <w:sz w:val="22"/>
          <w:szCs w:val="22"/>
          <w:highlight w:val="none"/>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color w:val="auto"/>
          <w:kern w:val="0"/>
          <w:sz w:val="22"/>
          <w:szCs w:val="22"/>
          <w:highlight w:val="none"/>
        </w:rPr>
        <w:t>3.12▲</w:t>
      </w:r>
      <w:r>
        <w:rPr>
          <w:rFonts w:hint="eastAsia" w:ascii="宋体" w:hAnsi="宋体" w:eastAsia="宋体" w:cs="宋体"/>
          <w:b/>
          <w:bCs/>
          <w:color w:val="auto"/>
          <w:sz w:val="22"/>
          <w:szCs w:val="22"/>
          <w:highlight w:val="none"/>
          <w:u w:val="single"/>
        </w:rPr>
        <w:t>本项目采用政采云电子招投标开标及评审程序，如有以下情形之一的，按以下情况处理：</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（1）投标人在规定时间内无法解密或解密失败的作无效投标处理。解密成功的投标人不足三家的，本项目流标重新组织采购活动。</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（2）因政府采购云平台原因无法读取或电子开评标无法正常进行，采购机构将情况上报行业监管部门同意后，重新组织采购活动。</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评审期间，出现有效投标人不足</w:t>
      </w: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家的，本次招标按流（废）标处理，重新组织招标。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4.投标文件的澄清</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4.1在评标期间，评标委员会可以对投标文件中含义不明确、对同类问题表述不一致或者有明显文字和计算错误的内容作必要的澄清、说明或补正。澄清、说明或补将采用在政采云系统上向投标人发起询标函的方式进行。投标人须在“截止时间”内登录政采云系统（路径：用户中心—项目采购—询标澄清）根据标项回复询标函，具体操作流程详见《政府采购项目电子交易管理操作指南-投标人》。澄清内容不得超出投标文件的范围或者改变投标文件的实质性内容。拒不按要求对其投标文件进行澄清，说明或补正的投标人，评标委员会可以否决其投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投标人自行承担。</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4.3若投标人在询标澄清环节，由于CA等原因无法进行线上操作时，应在规定时限内由授权代表将线下材料通过其在投标文件中预留的邮箱（</w:t>
      </w:r>
      <w:r>
        <w:rPr>
          <w:rFonts w:hint="eastAsia" w:ascii="宋体" w:hAnsi="宋体" w:eastAsia="宋体" w:cs="宋体"/>
          <w:b/>
          <w:color w:val="auto"/>
          <w:kern w:val="0"/>
          <w:sz w:val="22"/>
          <w:szCs w:val="22"/>
          <w:highlight w:val="none"/>
        </w:rPr>
        <w:t>▲</w:t>
      </w:r>
      <w:r>
        <w:rPr>
          <w:rFonts w:hint="eastAsia" w:ascii="宋体" w:hAnsi="宋体" w:eastAsia="宋体" w:cs="宋体"/>
          <w:b/>
          <w:bCs/>
          <w:color w:val="auto"/>
          <w:sz w:val="22"/>
          <w:szCs w:val="22"/>
          <w:highlight w:val="none"/>
          <w:u w:val="single"/>
        </w:rPr>
        <w:t>必须由指定预留邮箱发送，否则澄清邮件不予认可</w:t>
      </w:r>
      <w:r>
        <w:rPr>
          <w:rFonts w:hint="eastAsia" w:ascii="宋体" w:hAnsi="宋体" w:eastAsia="宋体" w:cs="宋体"/>
          <w:b/>
          <w:bCs/>
          <w:color w:val="auto"/>
          <w:sz w:val="22"/>
          <w:szCs w:val="22"/>
          <w:highlight w:val="none"/>
        </w:rPr>
        <w:t>）传送至代理机构邮箱</w:t>
      </w:r>
      <w:r>
        <w:rPr>
          <w:rFonts w:hint="eastAsia" w:ascii="宋体" w:hAnsi="宋体" w:eastAsia="宋体" w:cs="宋体"/>
          <w:b/>
          <w:bCs/>
          <w:color w:val="auto"/>
          <w:sz w:val="22"/>
          <w:szCs w:val="22"/>
          <w:highlight w:val="none"/>
          <w:lang w:eastAsia="zh-CN"/>
        </w:rPr>
        <w:t>349207947@QQ.com</w:t>
      </w:r>
      <w:r>
        <w:rPr>
          <w:rFonts w:hint="eastAsia" w:ascii="宋体" w:hAnsi="宋体" w:eastAsia="宋体" w:cs="宋体"/>
          <w:b/>
          <w:bCs/>
          <w:color w:val="auto"/>
          <w:sz w:val="22"/>
          <w:szCs w:val="22"/>
          <w:highlight w:val="none"/>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rPr>
        <w:t>4.4▲</w:t>
      </w:r>
      <w:r>
        <w:rPr>
          <w:rFonts w:hint="eastAsia" w:ascii="宋体" w:hAnsi="宋体" w:eastAsia="宋体" w:cs="宋体"/>
          <w:b/>
          <w:color w:val="auto"/>
          <w:sz w:val="22"/>
          <w:szCs w:val="22"/>
          <w:highlight w:val="none"/>
          <w:u w:val="single"/>
        </w:rPr>
        <w:t>经澄清后，若偏差仍存在，且不可接受，投标人则被认为是“没有实质性响应招标文件要求”，其投标不进入下一步评审。</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5.确定中标候选人</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适用于所有标项</w:t>
      </w:r>
      <w:r>
        <w:rPr>
          <w:rFonts w:hint="eastAsia" w:ascii="宋体" w:hAnsi="宋体" w:eastAsia="宋体" w:cs="宋体"/>
          <w:b/>
          <w:color w:val="auto"/>
          <w:sz w:val="22"/>
          <w:szCs w:val="22"/>
          <w:highlight w:val="none"/>
          <w:lang w:eastAsia="zh-CN"/>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5.1本次招标由评标委员会推荐中标候选人。</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5.2评标委员会依据法律、法规及招标文件有关规定在有效标中按投标人的综合得分（即商务技术得分分与投标报价得分之和）高低进行排序，综合得分前</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rPr>
        <w:t>名的投标人推荐为第一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第二</w:t>
      </w:r>
      <w:r>
        <w:rPr>
          <w:rFonts w:hint="eastAsia" w:ascii="宋体" w:hAnsi="宋体" w:eastAsia="宋体" w:cs="宋体"/>
          <w:color w:val="auto"/>
          <w:kern w:val="0"/>
          <w:sz w:val="22"/>
          <w:szCs w:val="22"/>
          <w:highlight w:val="none"/>
          <w:lang w:val="en-US" w:eastAsia="zh-CN"/>
        </w:rPr>
        <w:t>和第三</w:t>
      </w:r>
      <w:r>
        <w:rPr>
          <w:rFonts w:hint="eastAsia" w:ascii="宋体" w:hAnsi="宋体" w:eastAsia="宋体" w:cs="宋体"/>
          <w:color w:val="auto"/>
          <w:kern w:val="0"/>
          <w:sz w:val="22"/>
          <w:szCs w:val="22"/>
          <w:highlight w:val="none"/>
        </w:rPr>
        <w:t>中标候选人（综合</w:t>
      </w:r>
      <w:r>
        <w:rPr>
          <w:rFonts w:hint="eastAsia" w:ascii="宋体" w:hAnsi="宋体" w:eastAsia="宋体" w:cs="宋体"/>
          <w:color w:val="auto"/>
          <w:sz w:val="22"/>
          <w:szCs w:val="22"/>
          <w:highlight w:val="none"/>
        </w:rPr>
        <w:t>得分相同的，按投标报价得分由高到底顺序排列。综合得分且投标报价得分相同的，由评标委员会随机抽取决定排名顺序。</w:t>
      </w:r>
      <w:r>
        <w:rPr>
          <w:rFonts w:hint="eastAsia" w:ascii="宋体" w:hAnsi="宋体" w:eastAsia="宋体" w:cs="宋体"/>
          <w:color w:val="auto"/>
          <w:kern w:val="0"/>
          <w:sz w:val="22"/>
          <w:szCs w:val="22"/>
          <w:highlight w:val="none"/>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5.3排名第一的中标候选人放弃中标；因不可抗力提出不能履行合同；或者招标文件规定应当提交履约保证金而在规定的期限内未能提交的；或未能在规定时间内与采购单位签订合同的；或者经质疑，采购人审查后，确因排名第一的候选人在本次采购活动中存在违法违规行为或其他原因使质疑成立的，采购人可视具体情况确定是否</w:t>
      </w:r>
      <w:r>
        <w:rPr>
          <w:rFonts w:hint="eastAsia" w:ascii="宋体" w:hAnsi="宋体" w:eastAsia="宋体" w:cs="宋体"/>
          <w:color w:val="auto"/>
          <w:kern w:val="0"/>
          <w:sz w:val="22"/>
          <w:szCs w:val="22"/>
          <w:highlight w:val="none"/>
          <w:lang w:val="en-US" w:eastAsia="zh-CN"/>
        </w:rPr>
        <w:t>按顺序</w:t>
      </w:r>
      <w:r>
        <w:rPr>
          <w:rFonts w:hint="eastAsia" w:ascii="宋体" w:hAnsi="宋体" w:eastAsia="宋体" w:cs="宋体"/>
          <w:color w:val="auto"/>
          <w:kern w:val="0"/>
          <w:sz w:val="22"/>
          <w:szCs w:val="22"/>
          <w:highlight w:val="none"/>
        </w:rPr>
        <w:t>由排名第二</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第三</w:t>
      </w:r>
      <w:r>
        <w:rPr>
          <w:rFonts w:hint="eastAsia" w:ascii="宋体" w:hAnsi="宋体" w:eastAsia="宋体" w:cs="宋体"/>
          <w:color w:val="auto"/>
          <w:kern w:val="0"/>
          <w:sz w:val="22"/>
          <w:szCs w:val="22"/>
          <w:highlight w:val="none"/>
        </w:rPr>
        <w:t>的中标候选人为中标人。</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采购人对决标结果不做任何解释，也不保证最低报价中标。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中标人在中标后提供纸质投标文件一式两份，电子投标文件（PDF格式）一份，作为备案存档资料邮寄至代理公司。</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6.可中止电子交易活动的情形</w:t>
      </w:r>
    </w:p>
    <w:p>
      <w:pPr>
        <w:keepNext w:val="0"/>
        <w:keepLines w:val="0"/>
        <w:pageBreakBefore w:val="0"/>
        <w:widowControl w:val="0"/>
        <w:kinsoku/>
        <w:wordWrap/>
        <w:topLinePunct w:val="0"/>
        <w:bidi w:val="0"/>
        <w:snapToGrid/>
        <w:spacing w:line="360" w:lineRule="auto"/>
        <w:ind w:left="0" w:firstLine="42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color w:val="auto"/>
          <w:kern w:val="0"/>
          <w:sz w:val="22"/>
          <w:szCs w:val="22"/>
          <w:highlight w:val="none"/>
        </w:rPr>
        <w:t>▲</w:t>
      </w:r>
      <w:r>
        <w:rPr>
          <w:rFonts w:hint="eastAsia" w:ascii="宋体" w:hAnsi="宋体" w:eastAsia="宋体" w:cs="宋体"/>
          <w:b/>
          <w:bCs/>
          <w:color w:val="auto"/>
          <w:sz w:val="22"/>
          <w:szCs w:val="22"/>
          <w:highlight w:val="none"/>
          <w:u w:val="single"/>
        </w:rPr>
        <w:t>采购过程中出现以下情形，导致电子交易平台无法正常运行，或者无法保证电子交易的公平、公正和安全时，采购组织机构可中止电子交易活动：</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（1）电子交易平台发生故障而无法登录访问的；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（2）电子交易平台应用或数据库出现错误，不能进行正常操作的；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（3）电子交易平台发现严重安全漏洞，有潜在泄密危险的；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（4）病毒发作导致不能进行正常操作的；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（5）其他无法保证电子交易的公平、公正和安全的情况。</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7.出现前款规定情形，不影响采购公平、公正性的，采购组织机构可以待上述情形消除后继续组织电子交易活动；影响或可能影响采购公平、公正性的，应当重新采购未详尽事宜，遵照有关法律法规执行。</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8.评标细则详见“评标原则及方法”。</w:t>
      </w:r>
    </w:p>
    <w:p>
      <w:pPr>
        <w:pStyle w:val="6"/>
        <w:spacing w:before="200" w:after="200" w:line="360" w:lineRule="auto"/>
        <w:jc w:val="center"/>
        <w:rPr>
          <w:rFonts w:hint="eastAsia" w:ascii="宋体" w:hAnsi="宋体" w:eastAsia="宋体" w:cs="宋体"/>
          <w:color w:val="auto"/>
          <w:sz w:val="22"/>
          <w:szCs w:val="22"/>
          <w:highlight w:val="none"/>
        </w:rPr>
      </w:pPr>
      <w:bookmarkStart w:id="72" w:name="_Toc5057"/>
      <w:bookmarkStart w:id="73" w:name="_Toc34221901"/>
      <w:bookmarkStart w:id="74" w:name="_Toc34508136"/>
      <w:bookmarkStart w:id="75" w:name="_Toc16964"/>
      <w:bookmarkStart w:id="76" w:name="_Toc306613654"/>
      <w:r>
        <w:rPr>
          <w:rFonts w:hint="eastAsia" w:ascii="宋体" w:hAnsi="宋体" w:eastAsia="宋体" w:cs="宋体"/>
          <w:color w:val="auto"/>
          <w:sz w:val="22"/>
          <w:szCs w:val="22"/>
          <w:highlight w:val="none"/>
        </w:rPr>
        <w:t>六、 授予合同</w:t>
      </w:r>
      <w:bookmarkEnd w:id="72"/>
      <w:bookmarkEnd w:id="73"/>
      <w:bookmarkEnd w:id="74"/>
      <w:bookmarkEnd w:id="75"/>
      <w:bookmarkEnd w:id="76"/>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确定中标人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代理机构在评审结束后2个工作日内将评审报告送交采购人确认。采购人自收到评标报告之日起5个工作日内，在评标报告确定的中标候选人名单中按顺序确定中标人。采购人逾期未确定中标人且不提出异议的，视为确定评审报告提出的排序第一的候选人为中标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1.2中标人确定之日起2个工作日内，在浙江政府采购网上公示中标结果，中标公告期限为1个工作日；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1.3在公告中标结果的同时，采购人向中标人发出中标通知书，</w:t>
      </w:r>
      <w:r>
        <w:rPr>
          <w:rFonts w:hint="eastAsia" w:ascii="宋体" w:hAnsi="宋体" w:eastAsia="宋体" w:cs="宋体"/>
          <w:color w:val="auto"/>
          <w:kern w:val="0"/>
          <w:sz w:val="22"/>
          <w:szCs w:val="22"/>
          <w:highlight w:val="none"/>
        </w:rPr>
        <w:t>中标通知书是合同的一个组成部分,对采购人和中标人均具有同等法律效力。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1.4各投标人对评标结果如有异议，可在中标结果公示之日起7个工作日内以书面形式向采购人进行署名投诉或提出质疑，但需对投诉或质疑内容的真实性承担法律责任。</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签订合同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2.1公示期结束后，中标人须在5个工作日内主动联系采购人或采购机构领取中标通知书。</w:t>
      </w:r>
      <w:r>
        <w:rPr>
          <w:rFonts w:hint="eastAsia" w:ascii="宋体" w:hAnsi="宋体" w:eastAsia="宋体" w:cs="宋体"/>
          <w:b/>
          <w:bCs/>
          <w:color w:val="auto"/>
          <w:sz w:val="22"/>
          <w:szCs w:val="22"/>
          <w:highlight w:val="none"/>
        </w:rPr>
        <w:t>中标人应当在中标通知书发出之日起30日内与采购人签订合同</w:t>
      </w:r>
      <w:r>
        <w:rPr>
          <w:rFonts w:hint="eastAsia" w:ascii="宋体" w:hAnsi="宋体" w:eastAsia="宋体" w:cs="宋体"/>
          <w:color w:val="auto"/>
          <w:sz w:val="22"/>
          <w:szCs w:val="22"/>
          <w:highlight w:val="none"/>
        </w:rPr>
        <w:t>。中标人未经采购人许可，在规定时间内未到采购人处与采购人签订合同，则视为拒签合同。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2.2招标文件、中标人的投标文件及投标修改文件、评标过程中有关澄清文件及经双方签字的询标纪要（承诺）和中标通知书均作为合同附件。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2.3拒签合同的责任</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2.4中标人在规定时间内（30日历天）借故否认已经承诺的条件、拒签合同，以投标违约处理，并赔偿采购人由此造成的直接经济损失；采购人重新组织招标的，所需费用由原中标人承担。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3.履约保证金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3.1中标人在收到中标通知书后，</w:t>
      </w:r>
      <w:r>
        <w:rPr>
          <w:rFonts w:hint="eastAsia" w:ascii="宋体" w:hAnsi="宋体" w:eastAsia="宋体" w:cs="宋体"/>
          <w:color w:val="auto"/>
          <w:spacing w:val="6"/>
          <w:sz w:val="22"/>
          <w:szCs w:val="22"/>
          <w:highlight w:val="none"/>
        </w:rPr>
        <w:t>签订合同时须向采购人提交合同总价</w:t>
      </w:r>
      <w:r>
        <w:rPr>
          <w:rFonts w:hint="eastAsia" w:ascii="宋体" w:hAnsi="宋体" w:eastAsia="宋体" w:cs="宋体"/>
          <w:color w:val="auto"/>
          <w:spacing w:val="6"/>
          <w:sz w:val="22"/>
          <w:szCs w:val="22"/>
          <w:highlight w:val="none"/>
          <w:lang w:val="en-US" w:eastAsia="zh-CN"/>
        </w:rPr>
        <w:t>1</w:t>
      </w:r>
      <w:r>
        <w:rPr>
          <w:rFonts w:hint="eastAsia" w:ascii="宋体" w:hAnsi="宋体" w:eastAsia="宋体" w:cs="宋体"/>
          <w:color w:val="auto"/>
          <w:spacing w:val="6"/>
          <w:sz w:val="22"/>
          <w:szCs w:val="22"/>
          <w:highlight w:val="none"/>
        </w:rPr>
        <w:t>%的履约保证金，履约保证金接受支票、汇票、本票或者金融机构、担保机构出具的保函等非现金形式。</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3.2履约保证金用于补偿采购人因中标人不能完成其合同义务而蒙受的损失。</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3.3履约保证金自</w:t>
      </w:r>
      <w:r>
        <w:rPr>
          <w:rFonts w:hint="eastAsia" w:ascii="宋体" w:hAnsi="宋体" w:eastAsia="宋体" w:cs="宋体"/>
          <w:color w:val="auto"/>
          <w:kern w:val="0"/>
          <w:sz w:val="22"/>
          <w:szCs w:val="22"/>
          <w:highlight w:val="none"/>
          <w:lang w:eastAsia="zh-CN"/>
        </w:rPr>
        <w:t>第三方检测机构出具检验报告并显示验收结果合格</w:t>
      </w:r>
      <w:r>
        <w:rPr>
          <w:rFonts w:hint="eastAsia" w:ascii="宋体" w:hAnsi="宋体" w:eastAsia="宋体" w:cs="宋体"/>
          <w:color w:val="auto"/>
          <w:kern w:val="0"/>
          <w:sz w:val="22"/>
          <w:szCs w:val="22"/>
          <w:highlight w:val="none"/>
        </w:rPr>
        <w:t>之日起至存储年限满</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年止有效, 有效期满后，无质量和服务问题采购人应及时将履约保证金无息退还给中标人。</w:t>
      </w:r>
      <w:bookmarkStart w:id="77" w:name="_Toc495955195"/>
      <w:bookmarkStart w:id="78" w:name="_Toc34508137"/>
    </w:p>
    <w:p>
      <w:pPr>
        <w:tabs>
          <w:tab w:val="left" w:pos="540"/>
        </w:tabs>
        <w:spacing w:line="42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en-US" w:eastAsia="zh-CN"/>
        </w:rPr>
        <w:t>4.</w:t>
      </w:r>
      <w:r>
        <w:rPr>
          <w:rFonts w:hint="eastAsia" w:ascii="宋体" w:hAnsi="宋体" w:eastAsia="宋体" w:cs="宋体"/>
          <w:color w:val="auto"/>
          <w:spacing w:val="6"/>
          <w:sz w:val="22"/>
          <w:szCs w:val="22"/>
          <w:highlight w:val="none"/>
          <w:lang w:eastAsia="zh-CN"/>
        </w:rPr>
        <w:t>中标单位</w:t>
      </w:r>
      <w:r>
        <w:rPr>
          <w:rFonts w:hint="eastAsia" w:ascii="宋体" w:hAnsi="宋体" w:eastAsia="宋体" w:cs="宋体"/>
          <w:color w:val="auto"/>
          <w:spacing w:val="6"/>
          <w:sz w:val="22"/>
          <w:szCs w:val="22"/>
          <w:highlight w:val="none"/>
        </w:rPr>
        <w:t>承诺购买机械保洁车辆（新车）投入本项目作业的，应在中标通知书发出之日起（以中标通知书落款日期为准）3个日历天内</w:t>
      </w:r>
      <w:r>
        <w:rPr>
          <w:rFonts w:hint="eastAsia" w:ascii="宋体" w:hAnsi="宋体" w:eastAsia="宋体" w:cs="宋体"/>
          <w:color w:val="auto"/>
          <w:spacing w:val="6"/>
          <w:sz w:val="22"/>
          <w:szCs w:val="22"/>
          <w:highlight w:val="none"/>
          <w:lang w:eastAsia="zh-CN"/>
        </w:rPr>
        <w:t>向</w:t>
      </w:r>
      <w:r>
        <w:rPr>
          <w:rFonts w:hint="eastAsia" w:ascii="宋体" w:hAnsi="宋体" w:eastAsia="宋体" w:cs="宋体"/>
          <w:color w:val="auto"/>
          <w:spacing w:val="6"/>
          <w:sz w:val="22"/>
          <w:szCs w:val="22"/>
          <w:highlight w:val="none"/>
        </w:rPr>
        <w:t>采购单位提交相应的购车履约保证金（接受</w:t>
      </w:r>
      <w:r>
        <w:rPr>
          <w:rFonts w:hint="eastAsia" w:ascii="宋体" w:hAnsi="宋体" w:eastAsia="宋体" w:cs="宋体"/>
          <w:color w:val="auto"/>
          <w:spacing w:val="6"/>
          <w:sz w:val="22"/>
          <w:szCs w:val="22"/>
          <w:highlight w:val="none"/>
          <w:lang w:val="en-US" w:eastAsia="zh-CN"/>
        </w:rPr>
        <w:t>银行转账、</w:t>
      </w:r>
      <w:r>
        <w:rPr>
          <w:rFonts w:hint="eastAsia" w:ascii="宋体" w:hAnsi="宋体" w:eastAsia="宋体" w:cs="宋体"/>
          <w:color w:val="auto"/>
          <w:spacing w:val="6"/>
          <w:sz w:val="22"/>
          <w:szCs w:val="22"/>
          <w:highlight w:val="none"/>
        </w:rPr>
        <w:t>支票、汇票、本票或者金融机构、担保机构出具的保函等非现金形式</w:t>
      </w:r>
      <w:r>
        <w:rPr>
          <w:rFonts w:hint="eastAsia" w:ascii="宋体" w:hAnsi="宋体" w:eastAsia="宋体" w:cs="宋体"/>
          <w:color w:val="auto"/>
          <w:spacing w:val="6"/>
          <w:sz w:val="22"/>
          <w:szCs w:val="22"/>
          <w:highlight w:val="none"/>
        </w:rPr>
        <w:t>）且须在</w:t>
      </w:r>
      <w:r>
        <w:rPr>
          <w:rFonts w:hint="eastAsia" w:ascii="宋体" w:hAnsi="宋体" w:eastAsia="宋体" w:cs="宋体"/>
          <w:color w:val="auto"/>
          <w:spacing w:val="6"/>
          <w:sz w:val="22"/>
          <w:szCs w:val="22"/>
          <w:highlight w:val="none"/>
          <w:lang w:val="en-US" w:eastAsia="zh-CN"/>
        </w:rPr>
        <w:t>20</w:t>
      </w:r>
      <w:r>
        <w:rPr>
          <w:rFonts w:hint="eastAsia" w:ascii="宋体" w:hAnsi="宋体" w:eastAsia="宋体" w:cs="宋体"/>
          <w:color w:val="auto"/>
          <w:spacing w:val="6"/>
          <w:sz w:val="22"/>
          <w:szCs w:val="22"/>
          <w:highlight w:val="none"/>
        </w:rPr>
        <w:t>个日历天内采购承诺的机械保洁车辆并按要求时间到位投入清扫工作。待采购机械保洁车辆现场到位投入清扫工作后</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lang w:val="en-US" w:eastAsia="zh-CN"/>
        </w:rPr>
        <w:t>或合同签订后或被取消中标资格</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，采购人依据购车合同返还（无息）</w:t>
      </w:r>
      <w:r>
        <w:rPr>
          <w:rFonts w:hint="eastAsia" w:ascii="宋体" w:hAnsi="宋体" w:eastAsia="宋体" w:cs="宋体"/>
          <w:color w:val="auto"/>
          <w:spacing w:val="6"/>
          <w:sz w:val="22"/>
          <w:szCs w:val="22"/>
          <w:highlight w:val="none"/>
          <w:lang w:eastAsia="zh-CN"/>
        </w:rPr>
        <w:t>中标单位</w:t>
      </w:r>
      <w:r>
        <w:rPr>
          <w:rFonts w:hint="eastAsia" w:ascii="宋体" w:hAnsi="宋体" w:eastAsia="宋体" w:cs="宋体"/>
          <w:color w:val="auto"/>
          <w:spacing w:val="6"/>
          <w:sz w:val="22"/>
          <w:szCs w:val="22"/>
          <w:highlight w:val="none"/>
        </w:rPr>
        <w:t>购车履约保证金；若</w:t>
      </w:r>
      <w:r>
        <w:rPr>
          <w:rFonts w:hint="eastAsia" w:ascii="宋体" w:hAnsi="宋体" w:eastAsia="宋体" w:cs="宋体"/>
          <w:color w:val="auto"/>
          <w:spacing w:val="6"/>
          <w:sz w:val="22"/>
          <w:szCs w:val="22"/>
          <w:highlight w:val="none"/>
          <w:lang w:eastAsia="zh-CN"/>
        </w:rPr>
        <w:t>中标单位</w:t>
      </w:r>
      <w:r>
        <w:rPr>
          <w:rFonts w:hint="eastAsia" w:ascii="宋体" w:hAnsi="宋体" w:eastAsia="宋体" w:cs="宋体"/>
          <w:color w:val="auto"/>
          <w:spacing w:val="6"/>
          <w:sz w:val="22"/>
          <w:szCs w:val="22"/>
          <w:highlight w:val="none"/>
        </w:rPr>
        <w:t>在中标通知书发出之日起（以中标通知书落款日期为准）未按规定时间将承诺够买的车辆投入清扫工作的，采购人有权将购车履约保证金自行购置投标人承诺购买车辆，同时不再退还</w:t>
      </w:r>
      <w:r>
        <w:rPr>
          <w:rFonts w:hint="eastAsia" w:ascii="宋体" w:hAnsi="宋体" w:eastAsia="宋体" w:cs="宋体"/>
          <w:color w:val="auto"/>
          <w:spacing w:val="6"/>
          <w:sz w:val="22"/>
          <w:szCs w:val="22"/>
          <w:highlight w:val="none"/>
          <w:lang w:eastAsia="zh-CN"/>
        </w:rPr>
        <w:t>中标单位</w:t>
      </w:r>
      <w:r>
        <w:rPr>
          <w:rFonts w:hint="eastAsia" w:ascii="宋体" w:hAnsi="宋体" w:eastAsia="宋体" w:cs="宋体"/>
          <w:color w:val="auto"/>
          <w:spacing w:val="6"/>
          <w:sz w:val="22"/>
          <w:szCs w:val="22"/>
          <w:highlight w:val="none"/>
        </w:rPr>
        <w:t>购车履约保证金。</w:t>
      </w:r>
    </w:p>
    <w:p>
      <w:pPr>
        <w:tabs>
          <w:tab w:val="left" w:pos="540"/>
        </w:tabs>
        <w:spacing w:line="420" w:lineRule="exact"/>
        <w:ind w:left="540"/>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lang w:eastAsia="zh-CN"/>
        </w:rPr>
        <w:t>中标单位</w:t>
      </w:r>
      <w:r>
        <w:rPr>
          <w:rFonts w:hint="eastAsia" w:ascii="宋体" w:hAnsi="宋体" w:eastAsia="宋体" w:cs="宋体"/>
          <w:b/>
          <w:color w:val="auto"/>
          <w:spacing w:val="6"/>
          <w:sz w:val="22"/>
          <w:szCs w:val="22"/>
          <w:highlight w:val="none"/>
        </w:rPr>
        <w:t>承诺投入本项目机械保洁车辆的购车履约保证金表</w:t>
      </w:r>
    </w:p>
    <w:tbl>
      <w:tblPr>
        <w:tblStyle w:val="5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5382"/>
        <w:gridCol w:w="30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382"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车辆名称</w:t>
            </w:r>
          </w:p>
        </w:tc>
        <w:tc>
          <w:tcPr>
            <w:tcW w:w="3092"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购车履约保证金/辆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382" w:type="dxa"/>
            <w:noWrap w:val="0"/>
            <w:vAlign w:val="center"/>
          </w:tcPr>
          <w:p>
            <w:pPr>
              <w:ind w:left="4" w:hanging="4" w:hangingChars="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多功能清扫车</w:t>
            </w:r>
          </w:p>
        </w:tc>
        <w:tc>
          <w:tcPr>
            <w:tcW w:w="3092"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35万/辆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5382" w:type="dxa"/>
            <w:noWrap w:val="0"/>
            <w:vAlign w:val="center"/>
          </w:tcPr>
          <w:p>
            <w:pPr>
              <w:ind w:left="4" w:hanging="4" w:hangingChars="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高压冲洗（洒水）车</w:t>
            </w:r>
          </w:p>
        </w:tc>
        <w:tc>
          <w:tcPr>
            <w:tcW w:w="3092"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30万/辆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5382" w:type="dxa"/>
            <w:noWrap w:val="0"/>
            <w:vAlign w:val="center"/>
          </w:tcPr>
          <w:p>
            <w:pPr>
              <w:ind w:left="4" w:hanging="4" w:hangingChars="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电动高压冲洗车</w:t>
            </w:r>
          </w:p>
        </w:tc>
        <w:tc>
          <w:tcPr>
            <w:tcW w:w="3092" w:type="dxa"/>
            <w:noWrap w:val="0"/>
            <w:vAlign w:val="center"/>
          </w:tcPr>
          <w:p>
            <w:pPr>
              <w:ind w:left="315" w:hanging="314" w:hangingChars="14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8万/辆</w:t>
            </w:r>
          </w:p>
        </w:tc>
      </w:tr>
    </w:tbl>
    <w:p>
      <w:pPr>
        <w:pStyle w:val="56"/>
        <w:jc w:val="both"/>
        <w:rPr>
          <w:rFonts w:hint="eastAsia" w:ascii="宋体" w:hAnsi="宋体" w:eastAsia="宋体" w:cs="宋体"/>
          <w:color w:val="auto"/>
          <w:kern w:val="2"/>
          <w:sz w:val="36"/>
          <w:szCs w:val="36"/>
          <w:highlight w:val="none"/>
        </w:rPr>
      </w:pPr>
      <w:r>
        <w:rPr>
          <w:rFonts w:hint="eastAsia" w:ascii="宋体" w:hAnsi="宋体" w:eastAsia="宋体" w:cs="宋体"/>
          <w:b/>
          <w:bCs/>
          <w:color w:val="auto"/>
          <w:spacing w:val="6"/>
          <w:kern w:val="2"/>
          <w:sz w:val="22"/>
          <w:szCs w:val="22"/>
          <w:highlight w:val="none"/>
          <w:lang w:val="en-US" w:eastAsia="zh-CN" w:bidi="ar-SA"/>
        </w:rPr>
        <w:t>七、按照《温州市政府采购履约验收办法》的规定，采购人委托本项目采购代理机构组织本项目验收事宜，费用由中标供应商支付给采购代理机构，费用为中标价的0.1%。验收方式：合同期满10日内，由采购代理机构组织相关专家进行履约验收。</w:t>
      </w:r>
      <w:r>
        <w:rPr>
          <w:rFonts w:hint="eastAsia" w:ascii="宋体" w:hAnsi="宋体" w:eastAsia="宋体" w:cs="宋体"/>
          <w:b w:val="0"/>
          <w:color w:val="auto"/>
          <w:szCs w:val="21"/>
          <w:highlight w:val="none"/>
        </w:rPr>
        <w:br w:type="page"/>
      </w:r>
      <w:bookmarkStart w:id="79" w:name="_Toc9578"/>
      <w:r>
        <w:rPr>
          <w:rFonts w:hint="eastAsia" w:ascii="宋体" w:hAnsi="宋体" w:eastAsia="宋体" w:cs="宋体"/>
          <w:color w:val="auto"/>
          <w:kern w:val="2"/>
          <w:sz w:val="36"/>
          <w:szCs w:val="36"/>
          <w:highlight w:val="none"/>
        </w:rPr>
        <w:t>第二部分   政府采购政策功能相关说明</w:t>
      </w:r>
      <w:bookmarkEnd w:id="77"/>
      <w:bookmarkEnd w:id="78"/>
      <w:bookmarkEnd w:id="79"/>
    </w:p>
    <w:p>
      <w:pPr>
        <w:jc w:val="left"/>
        <w:rPr>
          <w:rFonts w:hint="eastAsia" w:ascii="宋体" w:hAnsi="宋体" w:eastAsia="宋体" w:cs="宋体"/>
          <w:b/>
          <w:color w:val="auto"/>
          <w:sz w:val="22"/>
          <w:highlight w:val="none"/>
        </w:rPr>
      </w:pPr>
    </w:p>
    <w:p>
      <w:pPr>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一、小、微企业（含监狱企业、残疾人福利性单位）扶持政策说明</w:t>
      </w:r>
    </w:p>
    <w:p>
      <w:pPr>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1、文件依据</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（1）关于《政府采购促进中小企业发展管理办法》（财库﹝2020﹞46 号）</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（2）浙江省财政厅转发财政部工业和信息化部关于印发《政府采购促进中小企业发展暂行办法》的通知（浙财采监[2012]11号）</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（3）浙江省省财政厅《关于开展政府采购供应商网上注册登记和诚信管理工作的通知》（浙财采监〔2010〕8号)</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（4）《工业和信息化部、国家统计局、国家发展和改革委员会、财政部关于印发中小企业划型标准规定的通知》（工信部联企业[2011]300号）</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（5）财政部、司法部《关于政府采购支持监狱企业发展有关问题的通知》（财库〔2014〕68号）</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（6）《财政部 民政部 中国残疾人联合会关于促进残疾人就业政府采购政策的通知》（财库〔2017〕 141号）</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（7）《浙江省财政厅  浙江省经济和信息化委员会关于简化中小企业类别确认流程有关事项的通知》（浙财采监〔2018〕2号)</w:t>
      </w:r>
    </w:p>
    <w:p>
      <w:pPr>
        <w:spacing w:line="400" w:lineRule="exact"/>
        <w:jc w:val="left"/>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8</w:t>
      </w:r>
      <w:r>
        <w:rPr>
          <w:rFonts w:hint="eastAsia" w:ascii="宋体" w:hAnsi="宋体" w:eastAsia="宋体" w:cs="宋体"/>
          <w:bCs/>
          <w:color w:val="auto"/>
          <w:sz w:val="22"/>
          <w:highlight w:val="none"/>
          <w:lang w:eastAsia="zh-CN"/>
        </w:rPr>
        <w:t>）《温州市财政局转发浙江省财政厅关于进一步发挥政府采购政策功能全力推动经济稳进提质的通知》温财采〔</w:t>
      </w:r>
      <w:r>
        <w:rPr>
          <w:rFonts w:hint="eastAsia" w:ascii="宋体" w:hAnsi="宋体" w:eastAsia="宋体" w:cs="宋体"/>
          <w:bCs/>
          <w:color w:val="auto"/>
          <w:sz w:val="22"/>
          <w:highlight w:val="none"/>
          <w:lang w:val="en-US" w:eastAsia="zh-CN"/>
        </w:rPr>
        <w:t>2022</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1号</w:t>
      </w:r>
    </w:p>
    <w:p>
      <w:pPr>
        <w:spacing w:line="400" w:lineRule="exact"/>
        <w:jc w:val="lef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9</w:t>
      </w:r>
      <w:r>
        <w:rPr>
          <w:rFonts w:hint="eastAsia" w:ascii="宋体" w:hAnsi="宋体" w:eastAsia="宋体" w:cs="宋体"/>
          <w:bCs/>
          <w:color w:val="auto"/>
          <w:sz w:val="22"/>
          <w:highlight w:val="none"/>
          <w:lang w:eastAsia="zh-CN"/>
        </w:rPr>
        <w:t>）《浙江省财政厅关于进一步发挥政府采购政策功能全力推动经济稳进提质的通知》 （浙财采监（2022）3号）</w:t>
      </w:r>
    </w:p>
    <w:p>
      <w:pPr>
        <w:spacing w:line="400" w:lineRule="exact"/>
        <w:jc w:val="lef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10</w:t>
      </w:r>
      <w:r>
        <w:rPr>
          <w:rFonts w:hint="eastAsia" w:ascii="宋体" w:hAnsi="宋体" w:eastAsia="宋体" w:cs="宋体"/>
          <w:bCs/>
          <w:color w:val="auto"/>
          <w:sz w:val="22"/>
          <w:highlight w:val="none"/>
          <w:lang w:eastAsia="zh-CN"/>
        </w:rPr>
        <w:t>）《浙江省财政厅关于进一步促进政府采购公平竞争打造最优营商环境的通知》（浙财采监（2021）22号）</w:t>
      </w:r>
    </w:p>
    <w:p>
      <w:pPr>
        <w:pStyle w:val="2"/>
        <w:ind w:left="0" w:leftChars="0" w:firstLine="0" w:firstLineChars="0"/>
        <w:rPr>
          <w:rFonts w:hint="default"/>
          <w:color w:val="auto"/>
          <w:highlight w:val="none"/>
          <w:lang w:val="en-US" w:eastAsia="zh-CN"/>
        </w:rPr>
      </w:pPr>
      <w:r>
        <w:rPr>
          <w:rFonts w:hint="eastAsia" w:eastAsia="宋体" w:cs="宋体"/>
          <w:bCs/>
          <w:color w:val="auto"/>
          <w:sz w:val="22"/>
          <w:highlight w:val="none"/>
          <w:lang w:eastAsia="zh-CN"/>
        </w:rPr>
        <w:t>（</w:t>
      </w:r>
      <w:r>
        <w:rPr>
          <w:rFonts w:hint="eastAsia" w:eastAsia="宋体" w:cs="宋体"/>
          <w:bCs/>
          <w:color w:val="auto"/>
          <w:sz w:val="22"/>
          <w:highlight w:val="none"/>
          <w:lang w:val="en-US" w:eastAsia="zh-CN"/>
        </w:rPr>
        <w:t>11</w:t>
      </w:r>
      <w:r>
        <w:rPr>
          <w:rFonts w:hint="eastAsia" w:eastAsia="宋体" w:cs="宋体"/>
          <w:bCs/>
          <w:color w:val="auto"/>
          <w:sz w:val="22"/>
          <w:highlight w:val="none"/>
          <w:lang w:eastAsia="zh-CN"/>
        </w:rPr>
        <w:t>）</w:t>
      </w:r>
      <w:r>
        <w:rPr>
          <w:rFonts w:hint="eastAsia" w:eastAsia="宋体" w:cs="宋体"/>
          <w:bCs/>
          <w:color w:val="auto"/>
          <w:sz w:val="22"/>
          <w:highlight w:val="none"/>
          <w:lang w:val="en-US" w:eastAsia="zh-CN"/>
        </w:rPr>
        <w:t>《温州市财政局转发浙江省财政厅关于进一步加大政府采购支持中小企业力度助力扎实稳住经济的通知》</w:t>
      </w:r>
      <w:r>
        <w:rPr>
          <w:rFonts w:hint="eastAsia" w:eastAsia="宋体" w:cs="宋体"/>
          <w:bCs/>
          <w:color w:val="auto"/>
          <w:sz w:val="22"/>
          <w:highlight w:val="none"/>
          <w:lang w:val="en-US" w:eastAsia="zh-CN"/>
        </w:rPr>
        <w:t>温财采【2022】7号</w:t>
      </w:r>
    </w:p>
    <w:p>
      <w:pPr>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2、在政府采购活动中，供应商提供的货物、工程或者服务符合下列情形的，享受中小企业扶持政策：</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（1）在货物采购项目中，货物由中小企业制造，即货物由中小企业生产且使用该中小企业商号或者注册商标； </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（2）在工程采购项目中，工程由中小企业承建，即工程施工单位为中小企业； </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（3）在服务采购项目中，服务由中小企业承接，即提供服务的人员为中小企业依照《中华人民共和国劳动合同法》订立劳动合同的从业人员。 </w:t>
      </w:r>
    </w:p>
    <w:p>
      <w:pPr>
        <w:spacing w:line="400" w:lineRule="exact"/>
        <w:ind w:firstLine="442" w:firstLineChars="20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在货物采购项目中，供应商提供的货物既有中小企业制造货物，也有大型企业制造货物的，不享受规定的中小企业扶持政策。</w:t>
      </w:r>
    </w:p>
    <w:p>
      <w:pPr>
        <w:spacing w:line="400" w:lineRule="exact"/>
        <w:ind w:firstLine="442" w:firstLineChars="20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以联合体形式参加政府采购活动，联合体各方均为中小业的，联合体视为中小企业。其中，联合体各方均为小微企业的，联合体视同小微企业。</w:t>
      </w:r>
    </w:p>
    <w:p>
      <w:pPr>
        <w:spacing w:line="400" w:lineRule="exact"/>
        <w:ind w:firstLine="442" w:firstLineChars="20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42" w:firstLineChars="20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符合中小企业划分标准的个体工商户，在政府采购活动中视同中小企业。</w:t>
      </w:r>
    </w:p>
    <w:p>
      <w:pPr>
        <w:spacing w:line="400" w:lineRule="exact"/>
        <w:ind w:firstLine="420" w:firstLineChars="200"/>
        <w:jc w:val="left"/>
        <w:rPr>
          <w:rFonts w:hint="eastAsia" w:ascii="宋体" w:hAnsi="宋体" w:eastAsia="宋体" w:cs="宋体"/>
          <w:b/>
          <w:bCs/>
          <w:color w:val="auto"/>
          <w:sz w:val="22"/>
          <w:highlight w:val="none"/>
        </w:rPr>
      </w:pPr>
      <w:r>
        <w:rPr>
          <w:rFonts w:hint="eastAsia" w:ascii="宋体" w:hAnsi="宋体" w:eastAsia="宋体" w:cs="宋体"/>
          <w:color w:val="auto"/>
          <w:highlight w:val="none"/>
        </w:rPr>
        <w:t>中小企业划分标准：</w:t>
      </w:r>
      <w:r>
        <w:rPr>
          <w:rFonts w:hint="eastAsia" w:ascii="宋体" w:hAnsi="宋体" w:eastAsia="宋体" w:cs="宋体"/>
          <w:bCs/>
          <w:color w:val="auto"/>
          <w:sz w:val="22"/>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pPr>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3、享受小微企业（含监狱企业、残疾人福利性单位）价格折扣比例</w:t>
      </w:r>
    </w:p>
    <w:p>
      <w:pPr>
        <w:spacing w:line="400" w:lineRule="exact"/>
        <w:jc w:val="lef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（1）在货物或服务项目采购中，对小微企业报价给予</w:t>
      </w: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val="en-US" w:eastAsia="zh-CN"/>
        </w:rPr>
        <w:t>0</w:t>
      </w:r>
      <w:r>
        <w:rPr>
          <w:rFonts w:hint="eastAsia" w:ascii="宋体" w:hAnsi="宋体" w:eastAsia="宋体" w:cs="宋体"/>
          <w:bCs/>
          <w:color w:val="auto"/>
          <w:sz w:val="22"/>
          <w:highlight w:val="none"/>
        </w:rPr>
        <w:t>%的扣除，用扣除后的价格参加评审；</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（2）在工程项目采购中，对小微企业报价给予</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%的扣除，用扣除后的价格参加评审。</w:t>
      </w:r>
    </w:p>
    <w:p>
      <w:pPr>
        <w:spacing w:line="400" w:lineRule="exact"/>
        <w:jc w:val="lef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rPr>
        <w:t>%（工程项目为</w:t>
      </w: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
          <w:bCs/>
          <w:color w:val="auto"/>
          <w:sz w:val="22"/>
          <w:highlight w:val="none"/>
          <w:u w:val="single"/>
        </w:rPr>
        <w:t>4、享受小微企业价格折扣应提供以下证明材料（电子</w:t>
      </w:r>
      <w:r>
        <w:rPr>
          <w:rFonts w:hint="eastAsia" w:ascii="宋体" w:hAnsi="宋体" w:eastAsia="宋体" w:cs="宋体"/>
          <w:b/>
          <w:bCs/>
          <w:color w:val="auto"/>
          <w:sz w:val="22"/>
          <w:highlight w:val="none"/>
          <w:u w:val="single"/>
          <w:lang w:val="en-US" w:eastAsia="zh-CN"/>
        </w:rPr>
        <w:t>投标</w:t>
      </w:r>
      <w:r>
        <w:rPr>
          <w:rFonts w:hint="eastAsia" w:ascii="宋体" w:hAnsi="宋体" w:eastAsia="宋体" w:cs="宋体"/>
          <w:b/>
          <w:bCs/>
          <w:color w:val="auto"/>
          <w:sz w:val="22"/>
          <w:highlight w:val="none"/>
          <w:u w:val="single"/>
          <w:lang w:val="en-US" w:eastAsia="zh-CN"/>
        </w:rPr>
        <w:t>文件</w:t>
      </w:r>
      <w:r>
        <w:rPr>
          <w:rFonts w:hint="eastAsia" w:ascii="宋体" w:hAnsi="宋体" w:eastAsia="宋体" w:cs="宋体"/>
          <w:b/>
          <w:bCs/>
          <w:color w:val="auto"/>
          <w:sz w:val="22"/>
          <w:highlight w:val="none"/>
          <w:u w:val="single"/>
        </w:rPr>
        <w:t>中，不提供的不享受价格扣除）</w:t>
      </w:r>
      <w:r>
        <w:rPr>
          <w:rFonts w:hint="eastAsia" w:ascii="宋体" w:hAnsi="宋体" w:eastAsia="宋体" w:cs="宋体"/>
          <w:b/>
          <w:bCs/>
          <w:color w:val="auto"/>
          <w:sz w:val="22"/>
          <w:highlight w:val="none"/>
        </w:rPr>
        <w:t>：</w:t>
      </w:r>
    </w:p>
    <w:p>
      <w:pPr>
        <w:spacing w:line="4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（1）《中小企业</w:t>
      </w:r>
      <w:r>
        <w:rPr>
          <w:rFonts w:hint="eastAsia" w:ascii="宋体" w:hAnsi="宋体" w:eastAsia="宋体" w:cs="宋体"/>
          <w:b/>
          <w:bCs/>
          <w:color w:val="auto"/>
          <w:sz w:val="22"/>
          <w:szCs w:val="22"/>
          <w:highlight w:val="none"/>
        </w:rPr>
        <w:t>声明函》（原件上传后进行CA电子签章，格式见附件五）</w:t>
      </w:r>
    </w:p>
    <w:p>
      <w:pPr>
        <w:spacing w:line="400" w:lineRule="exact"/>
        <w:jc w:val="left"/>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5、享受监狱企业价格折扣应提供以下证明材料（电子</w:t>
      </w:r>
      <w:r>
        <w:rPr>
          <w:rFonts w:hint="eastAsia" w:ascii="宋体" w:hAnsi="宋体" w:eastAsia="宋体" w:cs="宋体"/>
          <w:b/>
          <w:bCs/>
          <w:color w:val="auto"/>
          <w:sz w:val="22"/>
          <w:highlight w:val="none"/>
          <w:u w:val="single"/>
          <w:lang w:val="en-US" w:eastAsia="zh-CN"/>
        </w:rPr>
        <w:t>投标文件</w:t>
      </w:r>
      <w:r>
        <w:rPr>
          <w:rFonts w:hint="eastAsia" w:ascii="宋体" w:hAnsi="宋体" w:eastAsia="宋体" w:cs="宋体"/>
          <w:b/>
          <w:bCs/>
          <w:color w:val="auto"/>
          <w:sz w:val="22"/>
          <w:highlight w:val="none"/>
          <w:u w:val="single"/>
        </w:rPr>
        <w:t>中,不提供的不享受价格折扣）：</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监狱企业参加政府采购活动时，应当提供由省级以上监狱管理局、戒毒管理局(含新疆生产建设兵团)出具的属于监狱企业的证明文件（原件或复印件上传后进行CA电子签章）。在政府采购活动中，监狱企业视同小型、微型企业，享受评审中价格扣除政策。</w:t>
      </w:r>
    </w:p>
    <w:p>
      <w:pPr>
        <w:adjustRightInd w:val="0"/>
        <w:snapToGrid w:val="0"/>
        <w:spacing w:line="400" w:lineRule="exact"/>
        <w:ind w:firstLine="348" w:firstLineChars="150"/>
        <w:rPr>
          <w:rFonts w:hint="eastAsia" w:ascii="宋体" w:hAnsi="宋体" w:eastAsia="宋体" w:cs="宋体"/>
          <w:bCs/>
          <w:color w:val="auto"/>
          <w:sz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
          <w:bCs/>
          <w:color w:val="auto"/>
          <w:sz w:val="22"/>
          <w:highlight w:val="none"/>
          <w:u w:val="single"/>
        </w:rPr>
        <w:t>6、享受残疾人福利性单位格折扣应提供以下证明材料（电子</w:t>
      </w:r>
      <w:r>
        <w:rPr>
          <w:rFonts w:hint="eastAsia" w:ascii="宋体" w:hAnsi="宋体" w:eastAsia="宋体" w:cs="宋体"/>
          <w:b/>
          <w:bCs/>
          <w:color w:val="auto"/>
          <w:sz w:val="22"/>
          <w:highlight w:val="none"/>
          <w:u w:val="single"/>
          <w:lang w:val="en-US" w:eastAsia="zh-CN"/>
        </w:rPr>
        <w:t>投标文件</w:t>
      </w:r>
      <w:r>
        <w:rPr>
          <w:rFonts w:hint="eastAsia" w:ascii="宋体" w:hAnsi="宋体" w:eastAsia="宋体" w:cs="宋体"/>
          <w:b/>
          <w:bCs/>
          <w:color w:val="auto"/>
          <w:sz w:val="22"/>
          <w:highlight w:val="none"/>
          <w:u w:val="single"/>
        </w:rPr>
        <w:t>中，不提供的不享受价格折扣）</w:t>
      </w:r>
      <w:r>
        <w:rPr>
          <w:rFonts w:hint="eastAsia" w:ascii="宋体" w:hAnsi="宋体" w:eastAsia="宋体" w:cs="宋体"/>
          <w:bCs/>
          <w:color w:val="auto"/>
          <w:sz w:val="22"/>
          <w:highlight w:val="none"/>
        </w:rPr>
        <w:t>：</w:t>
      </w:r>
    </w:p>
    <w:p>
      <w:pPr>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（1）残疾人福利性单位声明函（上传后进行CA电子签章，格式见附件五）；在政府采购活动中，残疾人福利性单位视同小型、微型企业，享受评审中价格扣除政策。</w:t>
      </w:r>
    </w:p>
    <w:p>
      <w:pPr>
        <w:spacing w:line="40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7、非单一产品采购，无法核实（按</w:t>
      </w:r>
      <w:r>
        <w:rPr>
          <w:rFonts w:hint="eastAsia" w:ascii="宋体" w:hAnsi="宋体" w:eastAsia="宋体" w:cs="宋体"/>
          <w:bCs/>
          <w:color w:val="auto"/>
          <w:sz w:val="22"/>
          <w:highlight w:val="none"/>
          <w:lang w:val="en-US" w:eastAsia="zh-CN"/>
        </w:rPr>
        <w:t>投标</w:t>
      </w:r>
      <w:r>
        <w:rPr>
          <w:rFonts w:hint="eastAsia" w:ascii="宋体" w:hAnsi="宋体" w:eastAsia="宋体" w:cs="宋体"/>
          <w:bCs/>
          <w:color w:val="auto"/>
          <w:sz w:val="22"/>
          <w:highlight w:val="none"/>
        </w:rPr>
        <w:t>文件资料）全部货物均为小微企业（含监狱企业、残疾人福利性单位）制造；或小微企业（含监狱企业、残疾人福利性单位）提供其他制造商制造的货物且无法核实（按</w:t>
      </w:r>
      <w:r>
        <w:rPr>
          <w:rFonts w:hint="eastAsia" w:ascii="宋体" w:hAnsi="宋体" w:eastAsia="宋体" w:cs="宋体"/>
          <w:bCs/>
          <w:color w:val="auto"/>
          <w:sz w:val="22"/>
          <w:highlight w:val="none"/>
          <w:lang w:val="en-US" w:eastAsia="zh-CN"/>
        </w:rPr>
        <w:t>投标</w:t>
      </w:r>
      <w:r>
        <w:rPr>
          <w:rFonts w:hint="eastAsia" w:ascii="宋体" w:hAnsi="宋体" w:eastAsia="宋体" w:cs="宋体"/>
          <w:bCs/>
          <w:color w:val="auto"/>
          <w:sz w:val="22"/>
          <w:highlight w:val="none"/>
        </w:rPr>
        <w:t>文件资料）制造商是否为小微企，业（含监狱企业、残疾人福利性单位）的，不享受价格折扣。</w:t>
      </w:r>
      <w:r>
        <w:rPr>
          <w:rFonts w:hint="eastAsia" w:ascii="宋体" w:hAnsi="宋体" w:eastAsia="宋体" w:cs="宋体"/>
          <w:b/>
          <w:color w:val="auto"/>
          <w:sz w:val="22"/>
          <w:szCs w:val="22"/>
          <w:highlight w:val="none"/>
        </w:rPr>
        <w:t>属于小微企业（含监狱企业、残疾人福利性单位）的供应商提供其他制造商制造的货物参与</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的，还应提供所投产品制造商属于小微企业（含监狱企业、残疾人福利性单位）的证明材料并加盖制造商公章，否则不享受价格折扣。</w:t>
      </w:r>
    </w:p>
    <w:p>
      <w:pPr>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8、享受扶持政策获得政府采购合同的，小微企业不得将合同分包给大中型企业，中型企业不得将合同分包给大型企业。</w:t>
      </w:r>
    </w:p>
    <w:p>
      <w:pPr>
        <w:pStyle w:val="26"/>
        <w:ind w:firstLine="221"/>
        <w:rPr>
          <w:rFonts w:hint="eastAsia" w:ascii="宋体" w:hAnsi="宋体" w:eastAsia="宋体" w:cs="宋体"/>
          <w:bCs/>
          <w:color w:val="auto"/>
          <w:sz w:val="22"/>
          <w:highlight w:val="none"/>
          <w:lang w:val="en-US" w:eastAsia="zh-CN"/>
        </w:rPr>
      </w:pPr>
    </w:p>
    <w:p>
      <w:pPr>
        <w:spacing w:line="400" w:lineRule="exact"/>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Cs w:val="21"/>
          <w:highlight w:val="none"/>
        </w:rPr>
        <w:t>▲</w:t>
      </w:r>
      <w:r>
        <w:rPr>
          <w:rFonts w:hint="eastAsia" w:ascii="宋体" w:hAnsi="宋体" w:eastAsia="宋体" w:cs="宋体"/>
          <w:b/>
          <w:bCs/>
          <w:color w:val="auto"/>
          <w:sz w:val="28"/>
          <w:szCs w:val="28"/>
          <w:highlight w:val="none"/>
          <w:u w:val="single"/>
        </w:rPr>
        <w:t>说明：如为专门面向中小企业采购的项目或者标项，不再执行价格评审优惠的扶持政策。</w:t>
      </w:r>
    </w:p>
    <w:p>
      <w:pPr>
        <w:rPr>
          <w:rFonts w:hint="eastAsia" w:ascii="宋体" w:hAnsi="宋体" w:eastAsia="宋体" w:cs="宋体"/>
          <w:color w:val="auto"/>
          <w:highlight w:val="none"/>
        </w:rPr>
      </w:pPr>
    </w:p>
    <w:p>
      <w:pPr>
        <w:spacing w:line="4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二、节能产品 、环境标志产品扶持政策说明</w:t>
      </w:r>
    </w:p>
    <w:p>
      <w:pPr>
        <w:pStyle w:val="26"/>
        <w:spacing w:after="0" w:line="400" w:lineRule="exact"/>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号文件规定，对政府采购节能产品、环境标志产品实施品目清单管理，依据品目清单和认证证书实施政府优先采购和强制采购。</w:t>
      </w:r>
    </w:p>
    <w:p>
      <w:pPr>
        <w:pStyle w:val="26"/>
        <w:spacing w:after="0" w:line="400" w:lineRule="exact"/>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2、《节能产品政府采购品目清单》详见《关于印发节能产品政府采购品目清单的通知（财库[2019]19  号）》（如遇调整，按最新清单执行）。产品名称（以“★”标注的为政府强制采购产品）。</w:t>
      </w:r>
    </w:p>
    <w:p>
      <w:pPr>
        <w:pStyle w:val="26"/>
        <w:spacing w:after="0" w:line="400" w:lineRule="exact"/>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3、本次采购对属于节能产品政府采购品目清单规定的政府强制采购产品范围内的产品实施强制采购。供应商应当在</w:t>
      </w:r>
      <w:r>
        <w:rPr>
          <w:rFonts w:hint="eastAsia" w:ascii="宋体" w:hAnsi="宋体" w:eastAsia="宋体" w:cs="宋体"/>
          <w:bCs/>
          <w:color w:val="auto"/>
          <w:sz w:val="22"/>
          <w:szCs w:val="22"/>
          <w:highlight w:val="none"/>
          <w:lang w:val="en-US" w:eastAsia="zh-CN"/>
        </w:rPr>
        <w:t>投标</w:t>
      </w:r>
      <w:r>
        <w:rPr>
          <w:rFonts w:hint="eastAsia" w:ascii="宋体" w:hAnsi="宋体" w:eastAsia="宋体" w:cs="宋体"/>
          <w:bCs/>
          <w:color w:val="auto"/>
          <w:sz w:val="22"/>
          <w:szCs w:val="22"/>
          <w:highlight w:val="none"/>
        </w:rPr>
        <w:t>文件中提供国家确定的认证机构出具的、处于有效期之内的节能产品认证证书（复印件、加盖公章）。 不能提供上述证书的，</w:t>
      </w:r>
      <w:r>
        <w:rPr>
          <w:rFonts w:hint="eastAsia" w:ascii="宋体" w:hAnsi="宋体" w:eastAsia="宋体" w:cs="宋体"/>
          <w:bCs/>
          <w:color w:val="auto"/>
          <w:sz w:val="22"/>
          <w:highlight w:val="none"/>
          <w:lang w:val="en-US" w:eastAsia="zh-CN"/>
        </w:rPr>
        <w:t>投标</w:t>
      </w:r>
      <w:r>
        <w:rPr>
          <w:rFonts w:hint="eastAsia" w:ascii="宋体" w:hAnsi="宋体" w:eastAsia="宋体" w:cs="宋体"/>
          <w:bCs/>
          <w:color w:val="auto"/>
          <w:sz w:val="22"/>
          <w:szCs w:val="22"/>
          <w:highlight w:val="none"/>
        </w:rPr>
        <w:t>文件无效。</w:t>
      </w:r>
    </w:p>
    <w:p>
      <w:pPr>
        <w:pStyle w:val="26"/>
        <w:spacing w:after="0" w:line="4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4、《环境标志产品政府采购品目清单》详见《关于印发环境标志产品政府采购品目清单的通知（财库[2019]18 号）》（如遇调整，按最新清单执行）。</w:t>
      </w:r>
    </w:p>
    <w:p>
      <w:pPr>
        <w:pStyle w:val="26"/>
        <w:spacing w:after="0" w:line="400" w:lineRule="exact"/>
        <w:ind w:firstLine="0" w:firstLineChars="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5、本次采购对属于品目清单范围但不属于政府强制采购产品的，实施优先采购，详见采购文件《第五部分 </w:t>
      </w:r>
      <w:r>
        <w:rPr>
          <w:rFonts w:hint="eastAsia" w:ascii="宋体" w:hAnsi="宋体" w:eastAsia="宋体" w:cs="宋体"/>
          <w:color w:val="auto"/>
          <w:sz w:val="22"/>
          <w:szCs w:val="22"/>
          <w:highlight w:val="none"/>
          <w:u w:val="single"/>
          <w:lang w:val="en-US" w:eastAsia="zh-CN"/>
        </w:rPr>
        <w:t>评标</w:t>
      </w:r>
      <w:r>
        <w:rPr>
          <w:rFonts w:hint="eastAsia" w:ascii="宋体" w:hAnsi="宋体" w:eastAsia="宋体" w:cs="宋体"/>
          <w:color w:val="auto"/>
          <w:sz w:val="22"/>
          <w:szCs w:val="22"/>
          <w:highlight w:val="none"/>
          <w:u w:val="single"/>
        </w:rPr>
        <w:t>原则及方法》。供应商在</w:t>
      </w:r>
      <w:r>
        <w:rPr>
          <w:rFonts w:hint="eastAsia" w:ascii="宋体" w:hAnsi="宋体" w:eastAsia="宋体" w:cs="宋体"/>
          <w:color w:val="auto"/>
          <w:sz w:val="22"/>
          <w:szCs w:val="22"/>
          <w:highlight w:val="none"/>
          <w:u w:val="single"/>
          <w:lang w:val="en-US" w:eastAsia="zh-CN"/>
        </w:rPr>
        <w:t>投标</w:t>
      </w:r>
      <w:r>
        <w:rPr>
          <w:rFonts w:hint="eastAsia" w:ascii="宋体" w:hAnsi="宋体" w:eastAsia="宋体" w:cs="宋体"/>
          <w:color w:val="auto"/>
          <w:sz w:val="22"/>
          <w:szCs w:val="22"/>
          <w:highlight w:val="none"/>
          <w:u w:val="single"/>
        </w:rPr>
        <w:t>文件中提供国家确定的认证机构出具的、处于有效期之内的节能产品或环境标志产品认证证书（复印件）并提供品目清单核对，否则不享受加分。</w:t>
      </w:r>
    </w:p>
    <w:p>
      <w:pPr>
        <w:pStyle w:val="26"/>
        <w:spacing w:after="0" w:line="4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pStyle w:val="26"/>
        <w:spacing w:after="0" w:line="4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国家确定的认证机构以国家市场监管总局发布的参与实施政府采购节能产品、环境标志产品认证机构名录为准，详见《市场监管总局关于发布参与实施政府采购节能产品、环境标志产品认证机构名录的公告》（ 2019 年第16号）。</w:t>
      </w:r>
    </w:p>
    <w:p>
      <w:pPr>
        <w:spacing w:line="400" w:lineRule="exact"/>
        <w:jc w:val="left"/>
        <w:rPr>
          <w:rFonts w:hint="eastAsia" w:ascii="宋体" w:hAnsi="宋体" w:eastAsia="宋体" w:cs="宋体"/>
          <w:b/>
          <w:color w:val="auto"/>
          <w:sz w:val="22"/>
          <w:highlight w:val="none"/>
        </w:rPr>
      </w:pPr>
    </w:p>
    <w:p>
      <w:pPr>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三、优化政府采金融服务</w:t>
      </w:r>
    </w:p>
    <w:p>
      <w:pPr>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详见</w:t>
      </w:r>
      <w:r>
        <w:rPr>
          <w:rFonts w:hint="eastAsia" w:ascii="宋体" w:hAnsi="宋体" w:eastAsia="宋体" w:cs="宋体"/>
          <w:color w:val="auto"/>
          <w:kern w:val="0"/>
          <w:sz w:val="22"/>
          <w:szCs w:val="22"/>
          <w:highlight w:val="none"/>
        </w:rPr>
        <w:t>《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pStyle w:val="25"/>
        <w:rPr>
          <w:rFonts w:hint="eastAsia" w:ascii="宋体" w:hAnsi="宋体" w:eastAsia="宋体" w:cs="宋体"/>
          <w:color w:val="auto"/>
          <w:kern w:val="0"/>
          <w:sz w:val="22"/>
          <w:szCs w:val="22"/>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lang w:val="en-US" w:eastAsia="zh-CN"/>
        </w:rPr>
      </w:pPr>
    </w:p>
    <w:p>
      <w:pPr>
        <w:spacing w:line="440" w:lineRule="atLeast"/>
        <w:jc w:val="left"/>
        <w:rPr>
          <w:rFonts w:hint="eastAsia" w:ascii="宋体" w:hAnsi="宋体" w:eastAsia="宋体" w:cs="宋体"/>
          <w:b/>
          <w:color w:val="auto"/>
          <w:sz w:val="22"/>
          <w:highlight w:val="none"/>
        </w:rPr>
      </w:pPr>
    </w:p>
    <w:p>
      <w:pPr>
        <w:spacing w:line="440" w:lineRule="atLeast"/>
        <w:jc w:val="left"/>
        <w:rPr>
          <w:rFonts w:hint="eastAsia" w:ascii="宋体" w:hAnsi="宋体" w:eastAsia="宋体" w:cs="宋体"/>
          <w:b/>
          <w:color w:val="auto"/>
          <w:sz w:val="22"/>
          <w:highlight w:val="none"/>
        </w:rPr>
      </w:pPr>
    </w:p>
    <w:p>
      <w:pPr>
        <w:pStyle w:val="56"/>
        <w:rPr>
          <w:rFonts w:hint="eastAsia" w:ascii="宋体" w:hAnsi="宋体" w:eastAsia="宋体" w:cs="宋体"/>
          <w:color w:val="auto"/>
          <w:kern w:val="2"/>
          <w:sz w:val="36"/>
          <w:szCs w:val="36"/>
          <w:highlight w:val="none"/>
        </w:rPr>
      </w:pPr>
      <w:r>
        <w:rPr>
          <w:rFonts w:hint="eastAsia" w:ascii="宋体" w:hAnsi="宋体" w:eastAsia="宋体" w:cs="宋体"/>
          <w:color w:val="auto"/>
          <w:sz w:val="22"/>
          <w:szCs w:val="22"/>
          <w:highlight w:val="none"/>
        </w:rPr>
        <w:br w:type="page"/>
      </w:r>
      <w:bookmarkStart w:id="80" w:name="_Toc14140"/>
      <w:bookmarkStart w:id="81" w:name="_Toc9491"/>
      <w:r>
        <w:rPr>
          <w:rFonts w:hint="eastAsia" w:ascii="宋体" w:hAnsi="宋体" w:eastAsia="宋体" w:cs="宋体"/>
          <w:color w:val="auto"/>
          <w:kern w:val="2"/>
          <w:sz w:val="36"/>
          <w:szCs w:val="36"/>
          <w:highlight w:val="none"/>
        </w:rPr>
        <w:t>第</w:t>
      </w:r>
      <w:r>
        <w:rPr>
          <w:rFonts w:hint="eastAsia" w:ascii="宋体" w:hAnsi="宋体" w:eastAsia="宋体" w:cs="宋体"/>
          <w:color w:val="auto"/>
          <w:kern w:val="2"/>
          <w:sz w:val="36"/>
          <w:szCs w:val="36"/>
          <w:highlight w:val="none"/>
          <w:lang w:eastAsia="zh-CN"/>
        </w:rPr>
        <w:t>三</w:t>
      </w:r>
      <w:r>
        <w:rPr>
          <w:rFonts w:hint="eastAsia" w:ascii="宋体" w:hAnsi="宋体" w:eastAsia="宋体" w:cs="宋体"/>
          <w:color w:val="auto"/>
          <w:kern w:val="2"/>
          <w:sz w:val="36"/>
          <w:szCs w:val="36"/>
          <w:highlight w:val="none"/>
        </w:rPr>
        <w:t>部分   合同主要条款</w:t>
      </w:r>
      <w:bookmarkEnd w:id="80"/>
      <w:bookmarkEnd w:id="81"/>
    </w:p>
    <w:p>
      <w:pPr>
        <w:pStyle w:val="33"/>
        <w:snapToGrid w:val="0"/>
        <w:spacing w:line="360" w:lineRule="auto"/>
        <w:rPr>
          <w:rFonts w:hint="eastAsia" w:ascii="宋体" w:hAnsi="宋体" w:eastAsia="宋体" w:cs="宋体"/>
          <w:b/>
          <w:color w:val="auto"/>
          <w:szCs w:val="21"/>
          <w:highlight w:val="none"/>
          <w:u w:val="wave"/>
        </w:rPr>
      </w:pPr>
      <w:bookmarkStart w:id="82" w:name="_Toc21106"/>
      <w:bookmarkStart w:id="83" w:name="_Toc29422"/>
      <w:bookmarkStart w:id="84" w:name="_Toc5314"/>
      <w:bookmarkStart w:id="85" w:name="_Toc265529387"/>
      <w:bookmarkStart w:id="86" w:name="_Toc246996253"/>
      <w:bookmarkStart w:id="87" w:name="_Toc239145358"/>
      <w:bookmarkStart w:id="88" w:name="_Toc247085768"/>
      <w:bookmarkStart w:id="89" w:name="_Toc221356955"/>
      <w:bookmarkStart w:id="90" w:name="_Toc152042388"/>
      <w:bookmarkStart w:id="91" w:name="_Toc223716002"/>
      <w:bookmarkStart w:id="92" w:name="_Toc152045610"/>
      <w:bookmarkStart w:id="93" w:name="_Toc241404206"/>
      <w:bookmarkStart w:id="94" w:name="_Toc179632628"/>
      <w:bookmarkStart w:id="95" w:name="_Toc222114883"/>
      <w:bookmarkStart w:id="96" w:name="_Toc221356891"/>
      <w:bookmarkStart w:id="97" w:name="_Toc221374630"/>
      <w:bookmarkStart w:id="98" w:name="_Toc221423623"/>
      <w:bookmarkStart w:id="99" w:name="_Toc246996996"/>
      <w:bookmarkStart w:id="100" w:name="_Toc144974578"/>
      <w:bookmarkStart w:id="101" w:name="_Toc296602498"/>
      <w:r>
        <w:rPr>
          <w:rFonts w:hint="eastAsia" w:ascii="宋体" w:hAnsi="宋体" w:eastAsia="宋体" w:cs="宋体"/>
          <w:b/>
          <w:color w:val="auto"/>
          <w:szCs w:val="21"/>
          <w:highlight w:val="none"/>
          <w:u w:val="wave"/>
        </w:rPr>
        <w:t>说明：</w:t>
      </w:r>
      <w:r>
        <w:rPr>
          <w:rFonts w:hint="eastAsia" w:hAnsi="宋体" w:eastAsia="宋体" w:cs="宋体"/>
          <w:b/>
          <w:color w:val="auto"/>
          <w:szCs w:val="21"/>
          <w:highlight w:val="none"/>
          <w:u w:val="wave"/>
          <w:lang w:val="en-US" w:eastAsia="zh-CN"/>
        </w:rPr>
        <w:t>本项目各标项合同由温州市鹿城区综合行政执法局和标项中的街道或镇与中标供应商共同签订。</w:t>
      </w:r>
      <w:r>
        <w:rPr>
          <w:rFonts w:hint="eastAsia" w:ascii="宋体" w:hAnsi="宋体" w:eastAsia="宋体" w:cs="宋体"/>
          <w:b/>
          <w:color w:val="auto"/>
          <w:szCs w:val="21"/>
          <w:highlight w:val="none"/>
          <w:u w:val="wave"/>
        </w:rPr>
        <w:t>如甲乙双方同意，合同格式也可以按照其他形式。</w:t>
      </w:r>
    </w:p>
    <w:p>
      <w:pPr>
        <w:pageBreakBefore w:val="0"/>
        <w:widowControl/>
        <w:kinsoku/>
        <w:wordWrap/>
        <w:topLinePunct w:val="0"/>
        <w:bidi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服务承包合同</w:t>
      </w:r>
    </w:p>
    <w:p>
      <w:pPr>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p>
    <w:p>
      <w:pPr>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温州市鹿城区综合行政执法局</w:t>
      </w:r>
      <w:r>
        <w:rPr>
          <w:rFonts w:hint="eastAsia" w:ascii="宋体" w:hAnsi="宋体" w:eastAsia="宋体" w:cs="宋体"/>
          <w:color w:val="auto"/>
          <w:sz w:val="22"/>
          <w:szCs w:val="22"/>
          <w:highlight w:val="none"/>
          <w:u w:val="single"/>
        </w:rPr>
        <w:t xml:space="preserve">                                                               </w:t>
      </w:r>
    </w:p>
    <w:p>
      <w:pPr>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val="en-US" w:eastAsia="zh-CN"/>
        </w:rPr>
        <w:t>2：（标项中的街道或镇）</w:t>
      </w:r>
    </w:p>
    <w:p>
      <w:pPr>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p>
    <w:p>
      <w:pPr>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p>
      <w:pPr>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签约日期：</w:t>
      </w:r>
    </w:p>
    <w:p>
      <w:pPr>
        <w:pStyle w:val="624"/>
        <w:pageBreakBefore w:val="0"/>
        <w:widowControl/>
        <w:kinsoku/>
        <w:wordWrap/>
        <w:topLinePunct w:val="0"/>
        <w:bidi w:val="0"/>
        <w:spacing w:line="360" w:lineRule="auto"/>
        <w:rPr>
          <w:rFonts w:hint="eastAsia" w:ascii="宋体" w:hAnsi="宋体" w:eastAsia="宋体" w:cs="宋体"/>
          <w:color w:val="auto"/>
          <w:sz w:val="22"/>
          <w:szCs w:val="22"/>
          <w:highlight w:val="none"/>
        </w:rPr>
      </w:pP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bookmarkStart w:id="102" w:name="_Toc246"/>
      <w:bookmarkStart w:id="103" w:name="_Toc72407444"/>
      <w:r>
        <w:rPr>
          <w:rFonts w:hint="eastAsia" w:hAnsi="宋体" w:eastAsia="宋体" w:cs="宋体"/>
          <w:color w:val="auto"/>
          <w:sz w:val="22"/>
          <w:szCs w:val="22"/>
          <w:highlight w:val="none"/>
          <w:u w:val="single"/>
          <w:lang w:eastAsia="zh-CN"/>
        </w:rPr>
        <w:t>鹿城区环卫一体化项目二期（重）</w:t>
      </w:r>
      <w:r>
        <w:rPr>
          <w:rFonts w:hint="eastAsia"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 xml:space="preserve">标项  </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（项目编号：           ）通过公开招标方式采购，</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。甲乙</w:t>
      </w:r>
      <w:r>
        <w:rPr>
          <w:rFonts w:hint="eastAsia" w:hAnsi="宋体" w:eastAsia="宋体" w:cs="宋体"/>
          <w:color w:val="auto"/>
          <w:sz w:val="22"/>
          <w:szCs w:val="22"/>
          <w:highlight w:val="none"/>
          <w:lang w:val="en-US" w:eastAsia="zh-CN"/>
        </w:rPr>
        <w:t>各</w:t>
      </w:r>
      <w:r>
        <w:rPr>
          <w:rFonts w:hint="eastAsia" w:ascii="宋体" w:hAnsi="宋体" w:eastAsia="宋体" w:cs="宋体"/>
          <w:color w:val="auto"/>
          <w:sz w:val="22"/>
          <w:szCs w:val="22"/>
          <w:highlight w:val="none"/>
        </w:rPr>
        <w:t>方根据《中华人民共和国民法典》等有关法律法规和本合同的采购文件、投标文件及相关承诺，经</w:t>
      </w:r>
      <w:r>
        <w:rPr>
          <w:rFonts w:hint="eastAsia" w:hAnsi="宋体" w:eastAsia="宋体" w:cs="宋体"/>
          <w:color w:val="auto"/>
          <w:sz w:val="22"/>
          <w:szCs w:val="22"/>
          <w:highlight w:val="none"/>
          <w:lang w:val="en-US" w:eastAsia="zh-CN"/>
        </w:rPr>
        <w:t>各</w:t>
      </w:r>
      <w:r>
        <w:rPr>
          <w:rFonts w:hint="eastAsia" w:ascii="宋体" w:hAnsi="宋体" w:eastAsia="宋体" w:cs="宋体"/>
          <w:color w:val="auto"/>
          <w:sz w:val="22"/>
          <w:szCs w:val="22"/>
          <w:highlight w:val="none"/>
        </w:rPr>
        <w:t>方友好协商，同意签订本合同，共同遵守。</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04" w:name="_Toc5652"/>
      <w:bookmarkStart w:id="105" w:name="_Toc590"/>
      <w:bookmarkStart w:id="106" w:name="_Toc17895"/>
      <w:bookmarkStart w:id="107" w:name="_Toc28203"/>
      <w:bookmarkStart w:id="108" w:name="_Toc20987"/>
      <w:bookmarkStart w:id="109" w:name="_Toc21783"/>
      <w:bookmarkStart w:id="110" w:name="_Toc10045"/>
      <w:bookmarkStart w:id="111" w:name="_Toc72407428"/>
      <w:r>
        <w:rPr>
          <w:rFonts w:hint="eastAsia" w:ascii="宋体" w:hAnsi="宋体" w:eastAsia="宋体" w:cs="宋体"/>
          <w:color w:val="auto"/>
          <w:sz w:val="22"/>
          <w:szCs w:val="22"/>
          <w:highlight w:val="none"/>
        </w:rPr>
        <w:t>第一条  合同文件</w:t>
      </w:r>
      <w:bookmarkEnd w:id="104"/>
      <w:bookmarkEnd w:id="105"/>
      <w:bookmarkEnd w:id="106"/>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下列文件构成本合同的组成部分：</w:t>
      </w:r>
      <w:bookmarkEnd w:id="107"/>
      <w:bookmarkEnd w:id="108"/>
      <w:bookmarkEnd w:id="109"/>
      <w:bookmarkEnd w:id="110"/>
      <w:bookmarkEnd w:id="111"/>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a. 合同补充条款或说明</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b. 合同主要条款</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c. 中标通知书               </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d. 采购文件</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e. 承诺书</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f. 投标文件</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g. 履约保证金</w:t>
      </w:r>
    </w:p>
    <w:p>
      <w:pPr>
        <w:pStyle w:val="33"/>
        <w:pageBreakBefore w:val="0"/>
        <w:widowControl/>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合同条款以上述条款的先后顺序作为依据。</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12" w:name="_Toc16530"/>
      <w:bookmarkStart w:id="113" w:name="_Toc6279"/>
      <w:bookmarkStart w:id="114" w:name="_Toc11184"/>
      <w:bookmarkStart w:id="115" w:name="_Toc10869"/>
      <w:bookmarkStart w:id="116" w:name="_Toc72407429"/>
      <w:bookmarkStart w:id="117" w:name="_Toc31400"/>
      <w:bookmarkStart w:id="118" w:name="_Toc11139"/>
      <w:r>
        <w:rPr>
          <w:rFonts w:hint="eastAsia" w:ascii="宋体" w:hAnsi="宋体" w:eastAsia="宋体" w:cs="宋体"/>
          <w:color w:val="auto"/>
          <w:sz w:val="22"/>
          <w:szCs w:val="22"/>
          <w:highlight w:val="none"/>
        </w:rPr>
        <w:t>第二条  合同名称</w:t>
      </w:r>
      <w:bookmarkEnd w:id="112"/>
      <w:bookmarkEnd w:id="113"/>
      <w:bookmarkEnd w:id="114"/>
      <w:bookmarkEnd w:id="115"/>
      <w:bookmarkEnd w:id="116"/>
      <w:bookmarkEnd w:id="117"/>
      <w:bookmarkEnd w:id="118"/>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u w:val="none"/>
          <w:lang w:eastAsia="zh-CN"/>
        </w:rPr>
        <w:t>鹿城区环卫一体化项目二期（重）（</w:t>
      </w:r>
      <w:r>
        <w:rPr>
          <w:rFonts w:hint="eastAsia" w:hAnsi="宋体" w:eastAsia="宋体" w:cs="宋体"/>
          <w:color w:val="auto"/>
          <w:sz w:val="22"/>
          <w:szCs w:val="22"/>
          <w:highlight w:val="none"/>
          <w:u w:val="none"/>
          <w:lang w:val="en-US" w:eastAsia="zh-CN"/>
        </w:rPr>
        <w:t>标项</w:t>
      </w:r>
      <w:r>
        <w:rPr>
          <w:rFonts w:hint="eastAsia" w:hAnsi="宋体" w:eastAsia="宋体" w:cs="宋体"/>
          <w:color w:val="auto"/>
          <w:sz w:val="22"/>
          <w:szCs w:val="22"/>
          <w:highlight w:val="none"/>
          <w:u w:val="single"/>
          <w:lang w:val="en-US" w:eastAsia="zh-CN"/>
        </w:rPr>
        <w:t xml:space="preserve">   </w:t>
      </w:r>
      <w:r>
        <w:rPr>
          <w:rFonts w:hint="eastAsia"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rPr>
        <w:t>服务业务承包合同</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19" w:name="_Toc72407430"/>
      <w:bookmarkStart w:id="120" w:name="_Toc4572"/>
      <w:bookmarkStart w:id="121" w:name="_Toc10691"/>
      <w:bookmarkStart w:id="122" w:name="_Toc27238"/>
      <w:bookmarkStart w:id="123" w:name="_Toc19229"/>
      <w:bookmarkStart w:id="124" w:name="_Toc19403"/>
      <w:bookmarkStart w:id="125" w:name="_Toc1827"/>
      <w:r>
        <w:rPr>
          <w:rFonts w:hint="eastAsia" w:ascii="宋体" w:hAnsi="宋体" w:eastAsia="宋体" w:cs="宋体"/>
          <w:color w:val="auto"/>
          <w:sz w:val="22"/>
          <w:szCs w:val="22"/>
          <w:highlight w:val="none"/>
        </w:rPr>
        <w:t>第三条  承包内容和要求</w:t>
      </w:r>
      <w:bookmarkEnd w:id="119"/>
      <w:bookmarkEnd w:id="120"/>
      <w:bookmarkEnd w:id="121"/>
      <w:bookmarkEnd w:id="122"/>
      <w:bookmarkEnd w:id="123"/>
      <w:bookmarkEnd w:id="124"/>
      <w:bookmarkEnd w:id="125"/>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1、承包内容和要求见采购文件第</w:t>
      </w: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部分（含采购文件更正、补充文件）。</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2、本项目提供的城市道路、域内国、省道、社区(村）道路、沿河游步道、绿化带、街头绿地和开放式物业小区等保洁</w:t>
      </w:r>
      <w:r>
        <w:rPr>
          <w:rFonts w:hint="eastAsia" w:hAnsi="宋体" w:eastAsia="宋体" w:cs="宋体"/>
          <w:color w:val="auto"/>
          <w:sz w:val="22"/>
          <w:szCs w:val="22"/>
          <w:highlight w:val="none"/>
          <w:lang w:val="en-US" w:eastAsia="zh-CN"/>
        </w:rPr>
        <w:t>内容清单</w:t>
      </w:r>
      <w:r>
        <w:rPr>
          <w:rFonts w:hint="eastAsia" w:ascii="宋体" w:hAnsi="宋体" w:eastAsia="宋体" w:cs="宋体"/>
          <w:color w:val="auto"/>
          <w:sz w:val="22"/>
          <w:szCs w:val="22"/>
          <w:highlight w:val="none"/>
        </w:rPr>
        <w:t>为参考数据，合同执行过程保洁</w:t>
      </w:r>
      <w:r>
        <w:rPr>
          <w:rFonts w:hint="eastAsia"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以实际为准，乙方须现场踏勘，以求得准确的报价依据，并自行承担投标报价风险，具体按采购文件要求执行。</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26" w:name="_Toc30054"/>
      <w:bookmarkStart w:id="127" w:name="_Toc11714"/>
      <w:bookmarkStart w:id="128" w:name="_Toc22475"/>
      <w:bookmarkStart w:id="129" w:name="_Toc10146"/>
      <w:bookmarkStart w:id="130" w:name="_Toc3738"/>
      <w:bookmarkStart w:id="131" w:name="_Toc72407431"/>
      <w:bookmarkStart w:id="132" w:name="_Toc24283"/>
      <w:r>
        <w:rPr>
          <w:rFonts w:hint="eastAsia" w:ascii="宋体" w:hAnsi="宋体" w:eastAsia="宋体" w:cs="宋体"/>
          <w:color w:val="auto"/>
          <w:sz w:val="22"/>
          <w:szCs w:val="22"/>
          <w:highlight w:val="none"/>
        </w:rPr>
        <w:t>第四条  承包期限</w:t>
      </w:r>
      <w:bookmarkEnd w:id="126"/>
      <w:bookmarkEnd w:id="127"/>
      <w:bookmarkEnd w:id="128"/>
      <w:bookmarkEnd w:id="129"/>
      <w:bookmarkEnd w:id="130"/>
      <w:bookmarkEnd w:id="131"/>
      <w:bookmarkEnd w:id="132"/>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本项目承包期限为三年（20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日-20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日），从清扫保洁业务交接完毕之日起至20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日止。本项目进场作业时间为20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日，个别区域进场作业时间由甲</w:t>
      </w:r>
      <w:r>
        <w:rPr>
          <w:rFonts w:hint="eastAsia" w:hAnsi="宋体" w:eastAsia="宋体" w:cs="宋体"/>
          <w:color w:val="auto"/>
          <w:sz w:val="22"/>
          <w:szCs w:val="22"/>
          <w:highlight w:val="none"/>
          <w:lang w:val="en-US" w:eastAsia="zh-CN"/>
        </w:rPr>
        <w:t>方2</w:t>
      </w:r>
      <w:r>
        <w:rPr>
          <w:rFonts w:hint="eastAsia" w:ascii="宋体" w:hAnsi="宋体" w:eastAsia="宋体" w:cs="宋体"/>
          <w:color w:val="auto"/>
          <w:sz w:val="22"/>
          <w:szCs w:val="22"/>
          <w:highlight w:val="none"/>
        </w:rPr>
        <w:t>根据实际情况确定。</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本合同期限为20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日至20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日，合同1年期满后，若甲方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对乙方的考核结果为合格且未触发采购文件约定不续签或终止合同条件的，可以续签下年合同，否则甲</w:t>
      </w:r>
      <w:r>
        <w:rPr>
          <w:rFonts w:hint="eastAsia" w:hAnsi="宋体" w:eastAsia="宋体" w:cs="宋体"/>
          <w:color w:val="auto"/>
          <w:sz w:val="22"/>
          <w:szCs w:val="22"/>
          <w:highlight w:val="none"/>
          <w:lang w:val="en-US" w:eastAsia="zh-CN"/>
        </w:rPr>
        <w:t>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有权按采购文件、合同约定，或按考核办法单方面解除合同或不续签下一年合同。</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33" w:name="_Toc19640"/>
      <w:bookmarkStart w:id="134" w:name="_Toc21811"/>
      <w:bookmarkStart w:id="135" w:name="_Toc13856"/>
      <w:bookmarkStart w:id="136" w:name="_Toc8120"/>
      <w:bookmarkStart w:id="137" w:name="_Toc27877"/>
      <w:bookmarkStart w:id="138" w:name="_Toc72407432"/>
      <w:bookmarkStart w:id="139" w:name="_Toc258"/>
      <w:r>
        <w:rPr>
          <w:rFonts w:hint="eastAsia" w:ascii="宋体" w:hAnsi="宋体" w:eastAsia="宋体" w:cs="宋体"/>
          <w:color w:val="auto"/>
          <w:sz w:val="22"/>
          <w:szCs w:val="22"/>
          <w:highlight w:val="none"/>
        </w:rPr>
        <w:t>第五条  承包经费</w:t>
      </w:r>
      <w:bookmarkEnd w:id="133"/>
      <w:bookmarkEnd w:id="134"/>
      <w:bookmarkEnd w:id="135"/>
      <w:bookmarkEnd w:id="136"/>
      <w:bookmarkEnd w:id="137"/>
      <w:bookmarkEnd w:id="138"/>
      <w:bookmarkEnd w:id="139"/>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（一）承包经费</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1、三年中标总价：</w:t>
      </w:r>
      <w:r>
        <w:rPr>
          <w:rFonts w:hint="eastAsia" w:ascii="宋体" w:hAnsi="宋体" w:eastAsia="宋体" w:cs="宋体"/>
          <w:color w:val="auto"/>
          <w:sz w:val="22"/>
          <w:szCs w:val="22"/>
          <w:highlight w:val="none"/>
          <w:u w:val="single"/>
        </w:rPr>
        <w:t>￥：      元（人民币大写：     ）（三年总价）</w:t>
      </w:r>
      <w:r>
        <w:rPr>
          <w:rFonts w:hint="eastAsia" w:ascii="宋体" w:hAnsi="宋体" w:eastAsia="宋体" w:cs="宋体"/>
          <w:color w:val="auto"/>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2、本次合同经费为：</w:t>
      </w:r>
      <w:r>
        <w:rPr>
          <w:rFonts w:hint="eastAsia" w:ascii="宋体" w:hAnsi="宋体" w:eastAsia="宋体" w:cs="宋体"/>
          <w:color w:val="auto"/>
          <w:sz w:val="22"/>
          <w:szCs w:val="22"/>
          <w:highlight w:val="none"/>
          <w:u w:val="single"/>
        </w:rPr>
        <w:t>￥：      元（人民币大写：     ）（一年总价）</w:t>
      </w:r>
      <w:r>
        <w:rPr>
          <w:rFonts w:hint="eastAsia" w:ascii="宋体" w:hAnsi="宋体" w:eastAsia="宋体" w:cs="宋体"/>
          <w:color w:val="auto"/>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（二）承包经费按项目进度、检查验收结果和资金到账情况分次核拨，由乙方按甲方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业务要求支配使用。</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（三）承包经费最终结算价依据中标通知书、投标文件、验收考核等要求计算。</w:t>
      </w:r>
    </w:p>
    <w:p>
      <w:pPr>
        <w:pStyle w:val="33"/>
        <w:pageBreakBefore w:val="0"/>
        <w:widowControl/>
        <w:tabs>
          <w:tab w:val="left" w:pos="1651"/>
          <w:tab w:val="left" w:pos="3828"/>
        </w:tabs>
        <w:kinsoku/>
        <w:wordWrap/>
        <w:topLinePunct w:val="0"/>
        <w:bidi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（四）</w:t>
      </w:r>
      <w:r>
        <w:rPr>
          <w:rFonts w:hint="eastAsia" w:ascii="宋体" w:hAnsi="宋体" w:eastAsia="宋体" w:cs="宋体"/>
          <w:b/>
          <w:color w:val="auto"/>
          <w:sz w:val="22"/>
          <w:szCs w:val="22"/>
          <w:highlight w:val="none"/>
        </w:rPr>
        <w:t>承包期内，如各类型的工作量有增减，则增减部分的单价均</w:t>
      </w:r>
      <w:r>
        <w:rPr>
          <w:rFonts w:hint="eastAsia" w:hAnsi="宋体" w:eastAsia="宋体" w:cs="宋体"/>
          <w:b/>
          <w:color w:val="auto"/>
          <w:sz w:val="22"/>
          <w:szCs w:val="22"/>
          <w:highlight w:val="none"/>
          <w:lang w:val="en-US" w:eastAsia="zh-CN"/>
        </w:rPr>
        <w:t>按中标单价</w:t>
      </w:r>
      <w:r>
        <w:rPr>
          <w:rFonts w:hint="eastAsia" w:ascii="宋体" w:hAnsi="宋体" w:eastAsia="宋体" w:cs="宋体"/>
          <w:b/>
          <w:color w:val="auto"/>
          <w:sz w:val="22"/>
          <w:szCs w:val="22"/>
          <w:highlight w:val="none"/>
        </w:rPr>
        <w:t>计算</w:t>
      </w:r>
      <w:r>
        <w:rPr>
          <w:rFonts w:hint="eastAsia" w:hAnsi="宋体" w:eastAsia="宋体" w:cs="宋体"/>
          <w:b/>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增加部分不得超过合同价的10%</w:t>
      </w:r>
      <w:r>
        <w:rPr>
          <w:rFonts w:hint="eastAsia" w:ascii="宋体" w:hAnsi="宋体" w:eastAsia="宋体" w:cs="宋体"/>
          <w:b/>
          <w:color w:val="auto"/>
          <w:sz w:val="22"/>
          <w:szCs w:val="22"/>
          <w:highlight w:val="none"/>
        </w:rPr>
        <w:t>：</w:t>
      </w:r>
    </w:p>
    <w:tbl>
      <w:tblPr>
        <w:tblStyle w:val="5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72"/>
        <w:gridCol w:w="1629"/>
        <w:gridCol w:w="2444"/>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140" w:name="_Toc72407433"/>
            <w:bookmarkStart w:id="141" w:name="_Toc1460"/>
            <w:bookmarkStart w:id="142" w:name="_Toc12259"/>
            <w:bookmarkStart w:id="143" w:name="_Toc11118"/>
            <w:bookmarkStart w:id="144" w:name="_Toc14946"/>
            <w:r>
              <w:rPr>
                <w:rFonts w:hint="eastAsia" w:ascii="宋体" w:hAnsi="宋体" w:eastAsia="宋体" w:cs="宋体"/>
                <w:i w:val="0"/>
                <w:iCs w:val="0"/>
                <w:color w:val="auto"/>
                <w:kern w:val="0"/>
                <w:sz w:val="22"/>
                <w:szCs w:val="22"/>
                <w:highlight w:val="none"/>
                <w:u w:val="none"/>
                <w:lang w:val="en-US" w:eastAsia="zh-CN" w:bidi="ar"/>
              </w:rPr>
              <w:t>类型</w:t>
            </w:r>
          </w:p>
        </w:tc>
        <w:tc>
          <w:tcPr>
            <w:tcW w:w="82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中标单价</w:t>
            </w:r>
          </w:p>
        </w:tc>
        <w:tc>
          <w:tcPr>
            <w:tcW w:w="1241"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218" w:type="pct"/>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w:t>
            </w:r>
            <w:r>
              <w:rPr>
                <w:rFonts w:hint="eastAsia" w:ascii="宋体" w:hAnsi="宋体" w:eastAsia="宋体" w:cs="宋体"/>
                <w:i w:val="0"/>
                <w:iCs w:val="0"/>
                <w:color w:val="auto"/>
                <w:kern w:val="0"/>
                <w:sz w:val="22"/>
                <w:szCs w:val="22"/>
                <w:highlight w:val="none"/>
                <w:u w:val="none"/>
                <w:lang w:val="en-US" w:eastAsia="zh-CN" w:bidi="ar"/>
              </w:rPr>
              <w:t>级</w:t>
            </w:r>
            <w:r>
              <w:rPr>
                <w:rFonts w:hint="eastAsia" w:ascii="宋体" w:hAnsi="宋体" w:eastAsia="宋体" w:cs="宋体"/>
                <w:i w:val="0"/>
                <w:iCs w:val="0"/>
                <w:color w:val="auto"/>
                <w:kern w:val="0"/>
                <w:sz w:val="22"/>
                <w:szCs w:val="22"/>
                <w:highlight w:val="none"/>
                <w:u w:val="none"/>
                <w:lang w:val="en-US" w:eastAsia="zh-CN" w:bidi="ar"/>
              </w:rPr>
              <w:t>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w:t>
            </w:r>
            <w:r>
              <w:rPr>
                <w:rFonts w:hint="eastAsia" w:ascii="宋体" w:hAnsi="宋体" w:eastAsia="宋体" w:cs="宋体"/>
                <w:i w:val="0"/>
                <w:iCs w:val="0"/>
                <w:color w:val="auto"/>
                <w:kern w:val="0"/>
                <w:sz w:val="22"/>
                <w:szCs w:val="22"/>
                <w:highlight w:val="none"/>
                <w:u w:val="none"/>
                <w:lang w:val="en-US" w:eastAsia="zh-CN" w:bidi="ar"/>
              </w:rPr>
              <w:t>级</w:t>
            </w:r>
            <w:r>
              <w:rPr>
                <w:rFonts w:hint="eastAsia" w:ascii="宋体" w:hAnsi="宋体" w:eastAsia="宋体" w:cs="宋体"/>
                <w:i w:val="0"/>
                <w:iCs w:val="0"/>
                <w:color w:val="auto"/>
                <w:kern w:val="0"/>
                <w:sz w:val="22"/>
                <w:szCs w:val="22"/>
                <w:highlight w:val="none"/>
                <w:u w:val="none"/>
                <w:lang w:val="en-US" w:eastAsia="zh-CN" w:bidi="ar"/>
              </w:rPr>
              <w:t>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w:t>
            </w:r>
            <w:r>
              <w:rPr>
                <w:rFonts w:hint="eastAsia" w:ascii="宋体" w:hAnsi="宋体" w:eastAsia="宋体" w:cs="宋体"/>
                <w:i w:val="0"/>
                <w:iCs w:val="0"/>
                <w:color w:val="auto"/>
                <w:kern w:val="0"/>
                <w:sz w:val="22"/>
                <w:szCs w:val="22"/>
                <w:highlight w:val="none"/>
                <w:u w:val="none"/>
                <w:lang w:val="en-US" w:eastAsia="zh-CN" w:bidi="ar"/>
              </w:rPr>
              <w:t>级</w:t>
            </w:r>
            <w:r>
              <w:rPr>
                <w:rFonts w:hint="eastAsia" w:ascii="宋体" w:hAnsi="宋体" w:eastAsia="宋体" w:cs="宋体"/>
                <w:i w:val="0"/>
                <w:iCs w:val="0"/>
                <w:color w:val="auto"/>
                <w:kern w:val="0"/>
                <w:sz w:val="22"/>
                <w:szCs w:val="22"/>
                <w:highlight w:val="none"/>
                <w:u w:val="none"/>
                <w:lang w:val="en-US" w:eastAsia="zh-CN" w:bidi="ar"/>
              </w:rPr>
              <w:t>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绿化单价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公厕单价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（元∕座/年）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bookmarkStart w:id="145" w:name="_Toc9654"/>
            <w:bookmarkStart w:id="146" w:name="_Toc29410"/>
            <w:r>
              <w:rPr>
                <w:rFonts w:hint="eastAsia" w:ascii="宋体" w:hAnsi="宋体" w:eastAsia="宋体" w:cs="宋体"/>
                <w:i w:val="0"/>
                <w:iCs w:val="0"/>
                <w:color w:val="auto"/>
                <w:kern w:val="0"/>
                <w:sz w:val="22"/>
                <w:szCs w:val="22"/>
                <w:highlight w:val="none"/>
                <w:u w:val="none"/>
                <w:lang w:val="en-US" w:eastAsia="zh-CN" w:bidi="ar"/>
              </w:rPr>
              <w:t>环卫驿站维养</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（元∕座）</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bl>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第六条  付款方式</w:t>
      </w:r>
      <w:bookmarkEnd w:id="140"/>
      <w:bookmarkEnd w:id="141"/>
      <w:bookmarkEnd w:id="142"/>
      <w:bookmarkEnd w:id="143"/>
      <w:bookmarkEnd w:id="144"/>
      <w:bookmarkEnd w:id="145"/>
      <w:bookmarkEnd w:id="146"/>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eastAsia="宋体" w:cs="宋体"/>
          <w:color w:val="auto"/>
          <w:sz w:val="22"/>
          <w:szCs w:val="22"/>
          <w:highlight w:val="none"/>
          <w:lang w:val="en-US" w:eastAsia="zh-CN"/>
        </w:rPr>
        <w:t>每个月的20日前，甲方1将承包经费拨付给甲方2，再由甲2支付给乙方。</w:t>
      </w:r>
      <w:r>
        <w:rPr>
          <w:rFonts w:hint="eastAsia" w:ascii="宋体" w:hAnsi="宋体" w:eastAsia="宋体" w:cs="宋体"/>
          <w:color w:val="auto"/>
          <w:sz w:val="22"/>
          <w:szCs w:val="22"/>
          <w:highlight w:val="none"/>
        </w:rPr>
        <w:t>付款方式为先保洁后支付，由甲方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根据考核结果，</w:t>
      </w:r>
      <w:r>
        <w:rPr>
          <w:rFonts w:hint="eastAsia" w:hAnsi="宋体" w:eastAsia="宋体" w:cs="宋体"/>
          <w:color w:val="auto"/>
          <w:sz w:val="22"/>
          <w:szCs w:val="22"/>
          <w:highlight w:val="none"/>
          <w:lang w:val="en-US" w:eastAsia="zh-CN"/>
        </w:rPr>
        <w:t>于</w:t>
      </w:r>
      <w:r>
        <w:rPr>
          <w:rFonts w:hint="eastAsia" w:ascii="宋体" w:hAnsi="宋体" w:eastAsia="宋体" w:cs="宋体"/>
          <w:color w:val="auto"/>
          <w:sz w:val="22"/>
          <w:szCs w:val="22"/>
          <w:highlight w:val="none"/>
        </w:rPr>
        <w:t>每个</w:t>
      </w:r>
      <w:r>
        <w:rPr>
          <w:rFonts w:hint="eastAsia" w:ascii="宋体" w:hAnsi="宋体" w:eastAsia="宋体" w:cs="宋体"/>
          <w:color w:val="auto"/>
          <w:sz w:val="22"/>
          <w:szCs w:val="22"/>
          <w:highlight w:val="none"/>
          <w:lang w:val="en-US" w:eastAsia="zh-CN"/>
        </w:rPr>
        <w:t>月</w:t>
      </w:r>
      <w:r>
        <w:rPr>
          <w:rFonts w:hint="eastAsia" w:ascii="宋体" w:hAnsi="宋体" w:eastAsia="宋体" w:cs="宋体"/>
          <w:color w:val="auto"/>
          <w:sz w:val="22"/>
          <w:szCs w:val="22"/>
          <w:highlight w:val="none"/>
        </w:rPr>
        <w:t>的</w:t>
      </w:r>
      <w:r>
        <w:rPr>
          <w:rFonts w:hint="eastAsia"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lang w:val="en-US" w:eastAsia="zh-CN"/>
        </w:rPr>
        <w:t>号前</w:t>
      </w:r>
      <w:r>
        <w:rPr>
          <w:rFonts w:hint="eastAsia" w:ascii="宋体" w:hAnsi="宋体" w:eastAsia="宋体" w:cs="宋体"/>
          <w:color w:val="auto"/>
          <w:sz w:val="22"/>
          <w:szCs w:val="22"/>
          <w:highlight w:val="none"/>
        </w:rPr>
        <w:t>结算前一个</w:t>
      </w:r>
      <w:r>
        <w:rPr>
          <w:rFonts w:hint="eastAsia" w:ascii="宋体" w:hAnsi="宋体" w:eastAsia="宋体" w:cs="宋体"/>
          <w:color w:val="auto"/>
          <w:sz w:val="22"/>
          <w:szCs w:val="22"/>
          <w:highlight w:val="none"/>
          <w:lang w:val="en-US" w:eastAsia="zh-CN"/>
        </w:rPr>
        <w:t>月</w:t>
      </w:r>
      <w:r>
        <w:rPr>
          <w:rFonts w:hint="eastAsia" w:ascii="宋体" w:hAnsi="宋体" w:eastAsia="宋体" w:cs="宋体"/>
          <w:color w:val="auto"/>
          <w:sz w:val="22"/>
          <w:szCs w:val="22"/>
          <w:highlight w:val="none"/>
        </w:rPr>
        <w:t>的承包经费（遇节假日顺延）。</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（2）乙方按每月的考核结果向甲方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结算，甲方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在收到乙方开具的正式发票及乙方上一</w:t>
      </w:r>
      <w:r>
        <w:rPr>
          <w:rFonts w:hint="eastAsia" w:ascii="宋体" w:hAnsi="宋体" w:eastAsia="宋体" w:cs="宋体"/>
          <w:color w:val="auto"/>
          <w:sz w:val="22"/>
          <w:szCs w:val="22"/>
          <w:highlight w:val="none"/>
          <w:lang w:val="en-US" w:eastAsia="zh-CN"/>
        </w:rPr>
        <w:t>个月</w:t>
      </w:r>
      <w:r>
        <w:rPr>
          <w:rFonts w:hint="eastAsia" w:ascii="宋体" w:hAnsi="宋体" w:eastAsia="宋体" w:cs="宋体"/>
          <w:color w:val="auto"/>
          <w:sz w:val="22"/>
          <w:szCs w:val="22"/>
          <w:highlight w:val="none"/>
        </w:rPr>
        <w:t>环卫工人工资支付的银行流水后，再进行支付（每个</w:t>
      </w:r>
      <w:r>
        <w:rPr>
          <w:rFonts w:hint="eastAsia" w:ascii="宋体" w:hAnsi="宋体" w:eastAsia="宋体" w:cs="宋体"/>
          <w:color w:val="auto"/>
          <w:sz w:val="22"/>
          <w:szCs w:val="22"/>
          <w:highlight w:val="none"/>
          <w:lang w:val="en-US" w:eastAsia="zh-CN"/>
        </w:rPr>
        <w:t>月</w:t>
      </w:r>
      <w:r>
        <w:rPr>
          <w:rFonts w:hint="eastAsia" w:ascii="宋体" w:hAnsi="宋体" w:eastAsia="宋体" w:cs="宋体"/>
          <w:color w:val="auto"/>
          <w:sz w:val="22"/>
          <w:szCs w:val="22"/>
          <w:highlight w:val="none"/>
        </w:rPr>
        <w:t>根据考核结果支付一次），否则不予付款。</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（3）环境卫生质量考核按采购文件规定的考核办法及温州市、</w:t>
      </w:r>
      <w:r>
        <w:rPr>
          <w:rFonts w:hint="eastAsia" w:hAnsi="宋体" w:eastAsia="宋体" w:cs="宋体"/>
          <w:color w:val="auto"/>
          <w:sz w:val="22"/>
          <w:szCs w:val="22"/>
          <w:highlight w:val="none"/>
          <w:lang w:eastAsia="zh-CN"/>
        </w:rPr>
        <w:t>鹿城区</w:t>
      </w:r>
      <w:r>
        <w:rPr>
          <w:rFonts w:hint="eastAsia" w:ascii="宋体" w:hAnsi="宋体" w:eastAsia="宋体" w:cs="宋体"/>
          <w:color w:val="auto"/>
          <w:sz w:val="22"/>
          <w:szCs w:val="22"/>
          <w:highlight w:val="none"/>
        </w:rPr>
        <w:t>的相关规定执行。</w:t>
      </w:r>
    </w:p>
    <w:p>
      <w:pPr>
        <w:pStyle w:val="33"/>
        <w:pageBreakBefore w:val="0"/>
        <w:widowControl/>
        <w:numPr>
          <w:ilvl w:val="0"/>
          <w:numId w:val="30"/>
        </w:numPr>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每月作出考核结果，</w:t>
      </w:r>
      <w:r>
        <w:rPr>
          <w:rFonts w:hint="eastAsia" w:hAnsi="宋体" w:eastAsia="宋体" w:cs="宋体"/>
          <w:color w:val="auto"/>
          <w:sz w:val="22"/>
          <w:szCs w:val="22"/>
          <w:highlight w:val="none"/>
          <w:lang w:val="en-US" w:eastAsia="zh-CN"/>
        </w:rPr>
        <w:t>按照考核结果计算处罚金额，对保洁经费进行扣款，确定付款金额</w:t>
      </w:r>
      <w:r>
        <w:rPr>
          <w:rFonts w:hint="eastAsia" w:ascii="宋体" w:hAnsi="宋体" w:eastAsia="宋体" w:cs="宋体"/>
          <w:color w:val="auto"/>
          <w:sz w:val="22"/>
          <w:szCs w:val="22"/>
          <w:highlight w:val="none"/>
        </w:rPr>
        <w:t>，并告知乙方。处罚金额按月直接在付款额中扣除。</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color w:val="auto"/>
          <w:sz w:val="22"/>
          <w:szCs w:val="22"/>
          <w:highlight w:val="none"/>
        </w:rPr>
        <w:t>（5）</w:t>
      </w:r>
      <w:r>
        <w:rPr>
          <w:rFonts w:hint="eastAsia" w:ascii="宋体" w:hAnsi="宋体" w:eastAsia="宋体" w:cs="宋体"/>
          <w:b/>
          <w:color w:val="auto"/>
          <w:sz w:val="22"/>
          <w:szCs w:val="22"/>
          <w:highlight w:val="none"/>
          <w:lang w:val="en-US" w:eastAsia="zh-CN"/>
        </w:rPr>
        <w:t>根据《浙江省财政厅关于进一步发挥政府采购政策功能全力推动经济稳进提质的通知》 （浙财采监（2022）3号）文件相关规定，本项目属于以人工为主且实行按月定期结算支付款项，故本项目不</w:t>
      </w:r>
      <w:r>
        <w:rPr>
          <w:rFonts w:hint="eastAsia" w:hAnsi="宋体" w:eastAsia="宋体" w:cs="宋体"/>
          <w:b w:val="0"/>
          <w:bCs/>
          <w:color w:val="auto"/>
          <w:sz w:val="22"/>
          <w:szCs w:val="22"/>
          <w:highlight w:val="none"/>
          <w:lang w:val="en-US" w:eastAsia="zh-CN"/>
        </w:rPr>
        <w:t>设置</w:t>
      </w:r>
      <w:r>
        <w:rPr>
          <w:rFonts w:hint="eastAsia" w:ascii="宋体" w:hAnsi="宋体" w:eastAsia="宋体" w:cs="宋体"/>
          <w:b/>
          <w:color w:val="auto"/>
          <w:sz w:val="22"/>
          <w:szCs w:val="22"/>
          <w:highlight w:val="none"/>
          <w:lang w:val="en-US" w:eastAsia="zh-CN"/>
        </w:rPr>
        <w:t>预付款。</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（6）乙方建立针对本项目的银行独立账户，建立独立的环卫工人花名册，环卫工人的工资、奖金、福利等支付不得采用现金形式，要求必须通过独立账户银行转账方式支付。</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租赁</w:t>
      </w:r>
      <w:r>
        <w:rPr>
          <w:rFonts w:hint="eastAsia" w:ascii="宋体" w:hAnsi="宋体" w:eastAsia="宋体" w:cs="宋体"/>
          <w:color w:val="auto"/>
          <w:sz w:val="22"/>
          <w:szCs w:val="22"/>
          <w:highlight w:val="none"/>
          <w:lang w:eastAsia="zh-CN"/>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已有设备的，或租用</w:t>
      </w:r>
      <w:r>
        <w:rPr>
          <w:rFonts w:hint="eastAsia" w:ascii="宋体" w:hAnsi="宋体" w:eastAsia="宋体" w:cs="宋体"/>
          <w:color w:val="auto"/>
          <w:sz w:val="22"/>
          <w:szCs w:val="22"/>
          <w:highlight w:val="none"/>
          <w:lang w:eastAsia="zh-CN"/>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已有宿舍的，相应费用经</w:t>
      </w:r>
      <w:r>
        <w:rPr>
          <w:rFonts w:hint="eastAsia" w:ascii="宋体" w:hAnsi="宋体" w:eastAsia="宋体" w:cs="宋体"/>
          <w:color w:val="auto"/>
          <w:sz w:val="22"/>
          <w:szCs w:val="22"/>
          <w:highlight w:val="none"/>
          <w:lang w:eastAsia="zh-CN"/>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选择的第三方评估机构评估后，从合同价款中扣除。</w:t>
      </w:r>
    </w:p>
    <w:p>
      <w:pPr>
        <w:rPr>
          <w:rFonts w:hint="default" w:eastAsia="宋体"/>
          <w:color w:val="auto"/>
          <w:highlight w:val="none"/>
          <w:lang w:val="en-US" w:eastAsia="zh-CN"/>
        </w:rPr>
      </w:pPr>
      <w:r>
        <w:rPr>
          <w:rFonts w:hint="eastAsia" w:ascii="宋体" w:hAnsi="宋体" w:eastAsia="宋体" w:cs="宋体"/>
          <w:color w:val="auto"/>
          <w:sz w:val="22"/>
          <w:szCs w:val="22"/>
          <w:highlight w:val="none"/>
          <w:lang w:val="en-US" w:eastAsia="zh-CN"/>
        </w:rPr>
        <w:t xml:space="preserve">     </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47" w:name="_Toc26794"/>
      <w:bookmarkStart w:id="148" w:name="_Toc6182"/>
      <w:bookmarkStart w:id="149" w:name="_Toc15915"/>
      <w:bookmarkStart w:id="150" w:name="_Toc23389"/>
      <w:bookmarkStart w:id="151" w:name="_Toc72407434"/>
      <w:bookmarkStart w:id="152" w:name="_Toc14828"/>
      <w:bookmarkStart w:id="153" w:name="_Toc4985"/>
      <w:r>
        <w:rPr>
          <w:rFonts w:hint="eastAsia" w:ascii="宋体" w:hAnsi="宋体" w:eastAsia="宋体" w:cs="宋体"/>
          <w:color w:val="auto"/>
          <w:sz w:val="22"/>
          <w:szCs w:val="22"/>
          <w:highlight w:val="none"/>
        </w:rPr>
        <w:t>第七条  承包方式</w:t>
      </w:r>
      <w:bookmarkEnd w:id="147"/>
      <w:bookmarkEnd w:id="148"/>
      <w:bookmarkEnd w:id="149"/>
      <w:bookmarkEnd w:id="150"/>
      <w:bookmarkEnd w:id="151"/>
      <w:bookmarkEnd w:id="152"/>
      <w:bookmarkEnd w:id="153"/>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采用全包干形式，即业务包干、经费包干、安全责任包干方式。</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1和</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将清扫保洁业务及相应的经费交给乙方，乙方按</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1和</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的管理要求和标准组织清扫保洁工作，负责作业安全，并接受</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1和</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的指导、监督和检查验收。</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54" w:name="_Toc25547"/>
      <w:bookmarkStart w:id="155" w:name="_Toc23184"/>
      <w:bookmarkStart w:id="156" w:name="_Toc21101"/>
      <w:bookmarkStart w:id="157" w:name="_Toc72407435"/>
      <w:bookmarkStart w:id="158" w:name="_Toc27934"/>
      <w:bookmarkStart w:id="159" w:name="_Toc517"/>
      <w:bookmarkStart w:id="160" w:name="_Toc19272"/>
      <w:r>
        <w:rPr>
          <w:rFonts w:hint="eastAsia" w:ascii="宋体" w:hAnsi="宋体" w:eastAsia="宋体" w:cs="宋体"/>
          <w:color w:val="auto"/>
          <w:sz w:val="22"/>
          <w:szCs w:val="22"/>
          <w:highlight w:val="none"/>
        </w:rPr>
        <w:t>第八条  保洁质量</w:t>
      </w:r>
      <w:bookmarkEnd w:id="154"/>
      <w:bookmarkEnd w:id="155"/>
      <w:bookmarkEnd w:id="156"/>
      <w:bookmarkEnd w:id="157"/>
      <w:bookmarkEnd w:id="158"/>
      <w:bookmarkEnd w:id="159"/>
      <w:bookmarkEnd w:id="160"/>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清扫保洁各项具体工作的质量标准和作业规范按</w:t>
      </w:r>
      <w:r>
        <w:rPr>
          <w:rFonts w:hint="eastAsia" w:hAnsi="宋体" w:eastAsia="宋体" w:cs="宋体"/>
          <w:color w:val="auto"/>
          <w:sz w:val="22"/>
          <w:szCs w:val="22"/>
          <w:highlight w:val="none"/>
          <w:lang w:val="en-US" w:eastAsia="zh-CN"/>
        </w:rPr>
        <w:t>《</w:t>
      </w:r>
      <w:r>
        <w:rPr>
          <w:rFonts w:hint="eastAsia" w:hAnsi="宋体" w:eastAsia="宋体" w:cs="宋体"/>
          <w:color w:val="auto"/>
          <w:sz w:val="22"/>
          <w:szCs w:val="22"/>
          <w:highlight w:val="none"/>
          <w:lang w:eastAsia="zh-CN"/>
        </w:rPr>
        <w:t>鹿城区市场化道路清扫保洁质量考核标准</w:t>
      </w:r>
      <w:r>
        <w:rPr>
          <w:rFonts w:hint="eastAsia"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的规定（</w:t>
      </w:r>
      <w:r>
        <w:rPr>
          <w:rFonts w:hint="eastAsia" w:hAnsi="宋体" w:eastAsia="宋体" w:cs="宋体"/>
          <w:color w:val="auto"/>
          <w:sz w:val="22"/>
          <w:szCs w:val="22"/>
          <w:highlight w:val="none"/>
          <w:lang w:val="en-US" w:eastAsia="zh-CN"/>
        </w:rPr>
        <w:t>有最新规定参照最新规定</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甲方具体要求及甲方《采购文件》中规定，乙方《投标文件》承诺的措施、方案、投入的人力、机械设备车辆，严格执行。</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乙方中标后采用优于投标车辆品牌及规格参数的车辆，以新换旧、以优换次替换投标车辆的，经</w:t>
      </w:r>
      <w:r>
        <w:rPr>
          <w:rFonts w:hint="eastAsia" w:ascii="宋体" w:hAnsi="宋体" w:eastAsia="宋体" w:cs="宋体"/>
          <w:color w:val="auto"/>
          <w:sz w:val="22"/>
          <w:szCs w:val="22"/>
          <w:highlight w:val="none"/>
          <w:lang w:eastAsia="zh-CN"/>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审核同意，可以予以更换。但最终进场车辆(最低配置车辆）必须保证专车专用，只用于本项目。</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61" w:name="_Toc25860"/>
      <w:bookmarkStart w:id="162" w:name="_Toc30113"/>
      <w:bookmarkStart w:id="163" w:name="_Toc4416"/>
      <w:bookmarkStart w:id="164" w:name="_Toc24501"/>
      <w:bookmarkStart w:id="165" w:name="_Toc20475"/>
      <w:bookmarkStart w:id="166" w:name="_Toc30850"/>
      <w:bookmarkStart w:id="167" w:name="_Toc72407436"/>
      <w:r>
        <w:rPr>
          <w:rFonts w:hint="eastAsia" w:ascii="宋体" w:hAnsi="宋体" w:eastAsia="宋体" w:cs="宋体"/>
          <w:color w:val="auto"/>
          <w:sz w:val="22"/>
          <w:szCs w:val="22"/>
          <w:highlight w:val="none"/>
        </w:rPr>
        <w:t>第九条  检查考评办法</w:t>
      </w:r>
      <w:bookmarkEnd w:id="161"/>
      <w:bookmarkEnd w:id="162"/>
      <w:bookmarkEnd w:id="163"/>
      <w:bookmarkEnd w:id="164"/>
      <w:bookmarkEnd w:id="165"/>
      <w:bookmarkEnd w:id="166"/>
      <w:bookmarkEnd w:id="167"/>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乙方应严格按照</w:t>
      </w:r>
      <w:r>
        <w:rPr>
          <w:rFonts w:hint="eastAsia" w:hAnsi="宋体" w:eastAsia="宋体" w:cs="宋体"/>
          <w:color w:val="auto"/>
          <w:sz w:val="22"/>
          <w:szCs w:val="22"/>
          <w:highlight w:val="none"/>
          <w:lang w:val="en-US" w:eastAsia="zh-CN"/>
        </w:rPr>
        <w:t>《</w:t>
      </w:r>
      <w:r>
        <w:rPr>
          <w:rFonts w:hint="eastAsia" w:hAnsi="宋体" w:eastAsia="宋体" w:cs="宋体"/>
          <w:color w:val="auto"/>
          <w:sz w:val="22"/>
          <w:szCs w:val="22"/>
          <w:highlight w:val="none"/>
          <w:lang w:eastAsia="zh-CN"/>
        </w:rPr>
        <w:t>鹿城区市场化道路清扫保洁质量考核标准</w:t>
      </w:r>
      <w:r>
        <w:rPr>
          <w:rFonts w:hint="eastAsia"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的规定（</w:t>
      </w:r>
      <w:r>
        <w:rPr>
          <w:rFonts w:hint="eastAsia" w:hAnsi="宋体" w:eastAsia="宋体" w:cs="宋体"/>
          <w:color w:val="auto"/>
          <w:sz w:val="22"/>
          <w:szCs w:val="22"/>
          <w:highlight w:val="none"/>
          <w:lang w:val="en-US" w:eastAsia="zh-CN"/>
        </w:rPr>
        <w:t>如主管部门的考核办法有更新的，以最新</w:t>
      </w:r>
      <w:r>
        <w:rPr>
          <w:rFonts w:hint="eastAsia" w:ascii="宋体" w:hAnsi="宋体" w:eastAsia="宋体" w:cs="宋体"/>
          <w:color w:val="auto"/>
          <w:sz w:val="22"/>
          <w:szCs w:val="22"/>
          <w:highlight w:val="none"/>
          <w:lang w:val="en-US" w:eastAsia="zh-CN"/>
        </w:rPr>
        <w:t>规定</w:t>
      </w:r>
      <w:r>
        <w:rPr>
          <w:rFonts w:hint="eastAsia" w:hAnsi="宋体" w:eastAsia="宋体" w:cs="宋体"/>
          <w:color w:val="auto"/>
          <w:sz w:val="22"/>
          <w:szCs w:val="22"/>
          <w:highlight w:val="none"/>
          <w:lang w:val="en-US" w:eastAsia="zh-CN"/>
        </w:rPr>
        <w:t>为准</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甲方具体要求及《采购文件》的规定，以及乙方《投标文件》承诺，对承包区域进行清扫保洁。</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68" w:name="_Toc5509"/>
      <w:bookmarkStart w:id="169" w:name="_Toc72407437"/>
      <w:bookmarkStart w:id="170" w:name="_Toc29144"/>
      <w:bookmarkStart w:id="171" w:name="_Toc22807"/>
      <w:bookmarkStart w:id="172" w:name="_Toc5621"/>
      <w:bookmarkStart w:id="173" w:name="_Toc28731"/>
      <w:bookmarkStart w:id="174" w:name="_Toc10975"/>
      <w:r>
        <w:rPr>
          <w:rFonts w:hint="eastAsia" w:ascii="宋体" w:hAnsi="宋体" w:eastAsia="宋体" w:cs="宋体"/>
          <w:color w:val="auto"/>
          <w:sz w:val="22"/>
          <w:szCs w:val="22"/>
          <w:highlight w:val="none"/>
        </w:rPr>
        <w:t>第十条  履约保证金</w:t>
      </w:r>
      <w:bookmarkEnd w:id="168"/>
      <w:bookmarkEnd w:id="169"/>
      <w:bookmarkEnd w:id="170"/>
      <w:bookmarkEnd w:id="171"/>
      <w:bookmarkEnd w:id="172"/>
      <w:bookmarkEnd w:id="173"/>
      <w:bookmarkEnd w:id="174"/>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（一）乙方必须以银行转账/转帐支票/银行汇票/银行保函方式付甲方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保洁区域一年合同款的</w:t>
      </w:r>
      <w:r>
        <w:rPr>
          <w:rFonts w:hint="eastAsia"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％作为履约保证金（无息）给甲方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开给乙方合同履约保证金收据。如采用银行保函的，银行保函要求为见索即付的独立保函形式，具体见采购文件。</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提取履约保证金，但未达到解除合同条件的，乙方须在提取之日起7日历天内补齐合同履约保证金至一年合同款的</w:t>
      </w:r>
      <w:r>
        <w:rPr>
          <w:rFonts w:hint="eastAsia"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拒不缴纳补齐的，甲方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有权全额提取履约保证金，并</w:t>
      </w:r>
      <w:r>
        <w:rPr>
          <w:rFonts w:hint="eastAsia" w:hAnsi="宋体" w:eastAsia="宋体" w:cs="宋体"/>
          <w:color w:val="auto"/>
          <w:sz w:val="22"/>
          <w:szCs w:val="22"/>
          <w:highlight w:val="none"/>
          <w:lang w:val="en-US" w:eastAsia="zh-CN"/>
        </w:rPr>
        <w:t>有权</w:t>
      </w:r>
      <w:r>
        <w:rPr>
          <w:rFonts w:hint="eastAsia" w:ascii="宋体" w:hAnsi="宋体" w:eastAsia="宋体" w:cs="宋体"/>
          <w:color w:val="auto"/>
          <w:sz w:val="22"/>
          <w:szCs w:val="22"/>
          <w:highlight w:val="none"/>
        </w:rPr>
        <w:t>解除合同。</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（三）承包任务完成并验收移交甲方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后30日内，甲方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无息退还乙方剩余的合同履约保证金。</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75" w:name="_Toc72407438"/>
      <w:bookmarkStart w:id="176" w:name="_Toc1731"/>
      <w:bookmarkStart w:id="177" w:name="_Toc31395"/>
      <w:bookmarkStart w:id="178" w:name="_Toc10356"/>
      <w:bookmarkStart w:id="179" w:name="_Toc19011"/>
      <w:bookmarkStart w:id="180" w:name="_Toc27529"/>
      <w:bookmarkStart w:id="181" w:name="_Toc7087"/>
      <w:r>
        <w:rPr>
          <w:rFonts w:hint="eastAsia" w:ascii="宋体" w:hAnsi="宋体" w:eastAsia="宋体" w:cs="宋体"/>
          <w:color w:val="auto"/>
          <w:sz w:val="22"/>
          <w:szCs w:val="22"/>
          <w:highlight w:val="none"/>
        </w:rPr>
        <w:t>第十一条  权利和义务</w:t>
      </w:r>
      <w:bookmarkEnd w:id="175"/>
      <w:bookmarkEnd w:id="176"/>
      <w:bookmarkEnd w:id="177"/>
      <w:bookmarkEnd w:id="178"/>
      <w:bookmarkEnd w:id="179"/>
      <w:bookmarkEnd w:id="180"/>
      <w:bookmarkEnd w:id="181"/>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（一）甲方权利与义务</w:t>
      </w:r>
    </w:p>
    <w:p>
      <w:pPr>
        <w:pStyle w:val="33"/>
        <w:pageBreakBefore w:val="0"/>
        <w:widowControl/>
        <w:tabs>
          <w:tab w:val="left" w:pos="1651"/>
          <w:tab w:val="left" w:pos="3828"/>
        </w:tabs>
        <w:kinsoku/>
        <w:wordWrap/>
        <w:topLinePunct w:val="0"/>
        <w:bidi w:val="0"/>
        <w:spacing w:line="360" w:lineRule="auto"/>
        <w:ind w:firstLine="440" w:firstLineChars="200"/>
        <w:rPr>
          <w:rFonts w:hint="default" w:ascii="宋体" w:hAnsi="宋体" w:eastAsia="宋体" w:cs="宋体"/>
          <w:color w:val="auto"/>
          <w:sz w:val="22"/>
          <w:szCs w:val="22"/>
          <w:highlight w:val="none"/>
          <w:lang w:val="en-US" w:eastAsia="zh-CN"/>
        </w:rPr>
      </w:pPr>
      <w:r>
        <w:rPr>
          <w:rFonts w:hint="eastAsia" w:hAnsi="宋体" w:eastAsia="宋体" w:cs="宋体"/>
          <w:color w:val="auto"/>
          <w:sz w:val="22"/>
          <w:szCs w:val="22"/>
          <w:highlight w:val="none"/>
          <w:lang w:val="en-US" w:eastAsia="zh-CN"/>
        </w:rPr>
        <w:t>1、</w:t>
      </w:r>
      <w:r>
        <w:rPr>
          <w:rFonts w:hint="eastAsia" w:hAnsi="宋体" w:eastAsia="宋体" w:cs="宋体"/>
          <w:color w:val="auto"/>
          <w:sz w:val="22"/>
          <w:szCs w:val="22"/>
          <w:highlight w:val="none"/>
          <w:lang w:val="en-US" w:eastAsia="zh-CN"/>
        </w:rPr>
        <w:t>甲方1根据《</w:t>
      </w:r>
      <w:r>
        <w:rPr>
          <w:rFonts w:hint="eastAsia" w:hAnsi="宋体" w:eastAsia="宋体" w:cs="宋体"/>
          <w:color w:val="auto"/>
          <w:sz w:val="22"/>
          <w:szCs w:val="22"/>
          <w:highlight w:val="none"/>
          <w:lang w:eastAsia="zh-CN"/>
        </w:rPr>
        <w:t>鹿城区市场化道路清扫保洁质量考核标准</w:t>
      </w:r>
      <w:r>
        <w:rPr>
          <w:rFonts w:hint="eastAsia" w:hAnsi="宋体" w:eastAsia="宋体" w:cs="宋体"/>
          <w:color w:val="auto"/>
          <w:sz w:val="22"/>
          <w:szCs w:val="22"/>
          <w:highlight w:val="none"/>
          <w:lang w:val="en-US" w:eastAsia="zh-CN"/>
        </w:rPr>
        <w:t>》对甲方2进行考核，指导甲方2做好日常管理，并拨付经费给甲方2。</w:t>
      </w:r>
    </w:p>
    <w:p>
      <w:pPr>
        <w:pStyle w:val="33"/>
        <w:pageBreakBefore w:val="0"/>
        <w:widowControl/>
        <w:tabs>
          <w:tab w:val="left" w:pos="1651"/>
          <w:tab w:val="left" w:pos="3828"/>
        </w:tabs>
        <w:kinsoku/>
        <w:wordWrap/>
        <w:topLinePunct w:val="0"/>
        <w:bidi w:val="0"/>
        <w:spacing w:line="360" w:lineRule="auto"/>
        <w:ind w:firstLine="440" w:firstLineChars="200"/>
        <w:rPr>
          <w:rFonts w:hint="default" w:ascii="宋体" w:hAnsi="宋体" w:eastAsia="宋体" w:cs="宋体"/>
          <w:color w:val="auto"/>
          <w:sz w:val="22"/>
          <w:szCs w:val="22"/>
          <w:highlight w:val="none"/>
          <w:lang w:val="en-US" w:eastAsia="zh-CN"/>
        </w:rPr>
      </w:pP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对乙方的清扫保洁业务进行全面的技术指导、检查、管理和监督，对检查中发现的环境卫生质量问题及时向乙方提出书面或口头改进意见。</w:t>
      </w:r>
      <w:r>
        <w:rPr>
          <w:rFonts w:hint="eastAsia" w:hAnsi="宋体" w:eastAsia="宋体" w:cs="宋体"/>
          <w:color w:val="auto"/>
          <w:sz w:val="22"/>
          <w:szCs w:val="22"/>
          <w:highlight w:val="none"/>
          <w:lang w:val="en-US" w:eastAsia="zh-CN"/>
        </w:rPr>
        <w:t>甲方2日常考核扣款结果必须到甲方1处备案。</w:t>
      </w:r>
      <w:r>
        <w:rPr>
          <w:rFonts w:hint="eastAsia" w:hAnsi="宋体" w:eastAsia="宋体" w:cs="宋体"/>
          <w:color w:val="auto"/>
          <w:sz w:val="22"/>
          <w:szCs w:val="22"/>
          <w:highlight w:val="none"/>
          <w:lang w:val="en-US" w:eastAsia="zh-CN"/>
        </w:rPr>
        <w:t>甲方2每月支付乙方承包经费前，将当月考核结果报甲方1备案，甲方1有权对甲方2考核结果提出监督指导意见。</w:t>
      </w:r>
    </w:p>
    <w:p>
      <w:pPr>
        <w:pStyle w:val="33"/>
        <w:pageBreakBefore w:val="0"/>
        <w:widowControl/>
        <w:tabs>
          <w:tab w:val="left" w:pos="1651"/>
          <w:tab w:val="left" w:pos="3828"/>
        </w:tabs>
        <w:kinsoku/>
        <w:wordWrap/>
        <w:topLinePunct w:val="0"/>
        <w:bidi w:val="0"/>
        <w:spacing w:line="360" w:lineRule="auto"/>
        <w:ind w:firstLine="440" w:firstLineChars="200"/>
        <w:rPr>
          <w:rFonts w:hint="default" w:ascii="宋体" w:hAnsi="宋体" w:eastAsia="宋体" w:cs="宋体"/>
          <w:color w:val="auto"/>
          <w:sz w:val="22"/>
          <w:szCs w:val="22"/>
          <w:highlight w:val="none"/>
          <w:lang w:val="en-US" w:eastAsia="zh-CN"/>
        </w:rPr>
      </w:pPr>
      <w:r>
        <w:rPr>
          <w:rFonts w:hint="eastAsia"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对乙方</w:t>
      </w:r>
      <w:r>
        <w:rPr>
          <w:rFonts w:hint="eastAsia" w:hAnsi="宋体" w:eastAsia="宋体" w:cs="宋体"/>
          <w:color w:val="auto"/>
          <w:sz w:val="22"/>
          <w:szCs w:val="22"/>
          <w:highlight w:val="none"/>
          <w:lang w:val="en-US" w:eastAsia="zh-CN"/>
        </w:rPr>
        <w:t>进行普查</w:t>
      </w:r>
      <w:r>
        <w:rPr>
          <w:rFonts w:hint="eastAsia" w:ascii="宋体" w:hAnsi="宋体" w:eastAsia="宋体" w:cs="宋体"/>
          <w:color w:val="auto"/>
          <w:sz w:val="22"/>
          <w:szCs w:val="22"/>
          <w:highlight w:val="none"/>
        </w:rPr>
        <w:t>考核管理。</w:t>
      </w:r>
      <w:r>
        <w:rPr>
          <w:rFonts w:hint="eastAsia" w:ascii="宋体" w:hAnsi="宋体" w:eastAsia="宋体" w:cs="宋体"/>
          <w:color w:val="auto"/>
          <w:sz w:val="22"/>
          <w:szCs w:val="22"/>
          <w:highlight w:val="none"/>
        </w:rPr>
        <w:t>有权监督检查乙方落实安全防火和安全生产措施。有权监督检查乙方对员工进行培训的情况，以提高清扫保洁服务的技术水平。</w:t>
      </w:r>
      <w:r>
        <w:rPr>
          <w:rFonts w:hint="eastAsia" w:ascii="宋体" w:hAnsi="宋体" w:eastAsia="宋体" w:cs="宋体"/>
          <w:color w:val="auto"/>
          <w:sz w:val="22"/>
          <w:szCs w:val="22"/>
          <w:highlight w:val="none"/>
          <w:lang w:val="en-US" w:eastAsia="zh-CN"/>
        </w:rPr>
        <w:t>有权</w:t>
      </w:r>
      <w:r>
        <w:rPr>
          <w:rFonts w:hint="eastAsia" w:ascii="宋体" w:hAnsi="宋体" w:eastAsia="宋体" w:cs="宋体"/>
          <w:color w:val="auto"/>
          <w:sz w:val="22"/>
          <w:szCs w:val="22"/>
          <w:highlight w:val="none"/>
        </w:rPr>
        <w:t>要求乙方调整不合格员工。</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可根据政策的变动并结合实际情况对考核办法进行修改和补充。</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应按时支付款项。本合同的清扫保洁经费由政府拨款，如因政策影响或其它原因，拨款未能及时到位，乙方不得以此为由而不履行本合同规定的义务。否则，甲方按规定扣罚。</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、服务期内遇到各类检查、考核（如上级部门检查、考核、督导等），乙方要</w:t>
      </w:r>
      <w:r>
        <w:rPr>
          <w:rFonts w:hint="eastAsia" w:hAnsi="宋体" w:eastAsia="宋体" w:cs="宋体"/>
          <w:color w:val="auto"/>
          <w:sz w:val="22"/>
          <w:szCs w:val="22"/>
          <w:highlight w:val="none"/>
          <w:lang w:val="en-US" w:eastAsia="zh-CN"/>
        </w:rPr>
        <w:t>根据甲方2要求</w:t>
      </w:r>
      <w:r>
        <w:rPr>
          <w:rFonts w:hint="eastAsia" w:ascii="宋体" w:hAnsi="宋体" w:eastAsia="宋体" w:cs="宋体"/>
          <w:color w:val="auto"/>
          <w:sz w:val="22"/>
          <w:szCs w:val="22"/>
          <w:highlight w:val="none"/>
        </w:rPr>
        <w:t>无条件加班，甲方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不另支付加班费，即此项造成的费用由乙方承担。</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（二）乙方权利和义务</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1、乙方有权根据承包合同按期领取</w:t>
      </w:r>
      <w:r>
        <w:rPr>
          <w:rFonts w:hint="eastAsia" w:hAnsi="宋体" w:eastAsia="宋体" w:cs="宋体"/>
          <w:color w:val="auto"/>
          <w:sz w:val="22"/>
          <w:szCs w:val="22"/>
          <w:highlight w:val="none"/>
          <w:lang w:val="en-US" w:eastAsia="zh-CN"/>
        </w:rPr>
        <w:t>考核</w:t>
      </w:r>
      <w:r>
        <w:rPr>
          <w:rFonts w:hint="eastAsia" w:ascii="宋体" w:hAnsi="宋体" w:eastAsia="宋体" w:cs="宋体"/>
          <w:color w:val="auto"/>
          <w:sz w:val="22"/>
          <w:szCs w:val="22"/>
          <w:highlight w:val="none"/>
        </w:rPr>
        <w:t>承包经费。</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w:t>
      </w:r>
      <w:r>
        <w:rPr>
          <w:rFonts w:hint="eastAsia" w:hAnsi="宋体" w:eastAsia="宋体" w:cs="宋体"/>
          <w:color w:val="auto"/>
          <w:sz w:val="22"/>
          <w:szCs w:val="22"/>
          <w:highlight w:val="none"/>
          <w:lang w:val="en-US" w:eastAsia="zh-CN"/>
        </w:rPr>
        <w:t>有</w:t>
      </w:r>
      <w:r>
        <w:rPr>
          <w:rFonts w:hint="eastAsia" w:ascii="宋体" w:hAnsi="宋体" w:eastAsia="宋体" w:cs="宋体"/>
          <w:color w:val="auto"/>
          <w:sz w:val="22"/>
          <w:szCs w:val="22"/>
          <w:highlight w:val="none"/>
        </w:rPr>
        <w:t>履行承诺的义务，并参加由甲方组织的检查和综合考评。</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3、乙方应接受甲方的检查监督及指导。</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4、按甲方的要求开展工作，如有改变，乙方应提出书面申请，并征得甲方的书面同意。</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5、特殊情况下（台风和暴雨等），乙方除应做好管辖地段保护工作外，还应服从甲方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的统一指挥和调动，参加抢险救灾工作。</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lang w:eastAsia="zh-CN"/>
        </w:rPr>
      </w:pPr>
      <w:r>
        <w:rPr>
          <w:rFonts w:hint="eastAsia"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rPr>
        <w:t>负责提供清扫保洁所需的全部</w:t>
      </w:r>
      <w:r>
        <w:rPr>
          <w:rFonts w:hint="eastAsia" w:hAnsi="宋体" w:eastAsia="宋体" w:cs="宋体"/>
          <w:color w:val="auto"/>
          <w:sz w:val="22"/>
          <w:szCs w:val="22"/>
          <w:highlight w:val="none"/>
          <w:lang w:val="en-US" w:eastAsia="zh-CN"/>
        </w:rPr>
        <w:t>人员、</w:t>
      </w:r>
      <w:r>
        <w:rPr>
          <w:rFonts w:hint="eastAsia" w:ascii="宋体" w:hAnsi="宋体" w:eastAsia="宋体" w:cs="宋体"/>
          <w:color w:val="auto"/>
          <w:sz w:val="22"/>
          <w:szCs w:val="22"/>
          <w:highlight w:val="none"/>
        </w:rPr>
        <w:t>设备、工具和材料</w:t>
      </w:r>
      <w:r>
        <w:rPr>
          <w:rFonts w:hint="eastAsia" w:hAnsi="宋体" w:eastAsia="宋体" w:cs="宋体"/>
          <w:color w:val="auto"/>
          <w:sz w:val="22"/>
          <w:szCs w:val="22"/>
          <w:highlight w:val="none"/>
          <w:lang w:eastAsia="zh-CN"/>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、乙方不得有弄虚作假及其不正当行为。</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、乙方应认真保管，维护好保洁区域上的环卫设施。</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乙方应严格遵守国家法律、法规的规定，落实安全生产主体责任，加强安全生产管理，规范工作人员日常安全文明作业，加强安全生产和消防安全教育和演练，落实安全生产措施。配合相关职能部门做好社会综合治理等工作，不得违反国家法律、法规和温州市、</w:t>
      </w:r>
      <w:r>
        <w:rPr>
          <w:rFonts w:hint="eastAsia" w:hAnsi="宋体" w:eastAsia="宋体" w:cs="宋体"/>
          <w:color w:val="auto"/>
          <w:sz w:val="22"/>
          <w:szCs w:val="22"/>
          <w:highlight w:val="none"/>
          <w:lang w:eastAsia="zh-CN"/>
        </w:rPr>
        <w:t>鹿城区</w:t>
      </w:r>
      <w:r>
        <w:rPr>
          <w:rFonts w:hint="eastAsia" w:ascii="宋体" w:hAnsi="宋体" w:eastAsia="宋体" w:cs="宋体"/>
          <w:color w:val="auto"/>
          <w:sz w:val="22"/>
          <w:szCs w:val="22"/>
          <w:highlight w:val="none"/>
        </w:rPr>
        <w:t>的有关规定。</w:t>
      </w:r>
    </w:p>
    <w:p>
      <w:pPr>
        <w:spacing w:line="440" w:lineRule="exact"/>
        <w:rPr>
          <w:rFonts w:hint="default" w:eastAsia="宋体"/>
          <w:color w:val="auto"/>
          <w:highlight w:val="none"/>
          <w:lang w:val="en-US" w:eastAsia="zh-CN"/>
        </w:rPr>
      </w:pPr>
      <w:r>
        <w:rPr>
          <w:rFonts w:hint="eastAsia" w:ascii="宋体" w:hAnsi="宋体" w:eastAsia="宋体" w:cs="宋体"/>
          <w:color w:val="auto"/>
          <w:sz w:val="22"/>
          <w:szCs w:val="22"/>
          <w:highlight w:val="none"/>
          <w:lang w:val="en-US" w:eastAsia="zh-CN"/>
        </w:rPr>
        <w:t xml:space="preserve">    10、乙方应安排团队骨干参加业务技术的培训学习，教育员工遵守交通法规，并负责作业过程中的事故处理和一切费用。</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、在合同期内，因国家建设需要调整乙方管理服务任务时，乙方要服从大局，相应增减承包面积及经费。由此造成的经济损失，甲方不负赔偿责任。</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、乙方应遵守法律、法规和政策的规定，因以上原因使合同性质发生改变，甲方不负赔偿责任。</w:t>
      </w:r>
    </w:p>
    <w:p>
      <w:pPr>
        <w:rPr>
          <w:rFonts w:hint="default" w:eastAsia="宋体"/>
          <w:color w:val="auto"/>
          <w:highlight w:val="none"/>
          <w:lang w:val="en-US" w:eastAsia="zh-CN"/>
        </w:rPr>
      </w:pPr>
      <w:r>
        <w:rPr>
          <w:rFonts w:hint="eastAsia" w:ascii="宋体" w:hAnsi="宋体" w:eastAsia="宋体" w:cs="宋体"/>
          <w:color w:val="auto"/>
          <w:sz w:val="22"/>
          <w:szCs w:val="22"/>
          <w:highlight w:val="none"/>
          <w:lang w:val="en-US" w:eastAsia="zh-CN"/>
        </w:rPr>
        <w:t xml:space="preserve">    13、</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val="en-US" w:eastAsia="zh-CN"/>
        </w:rPr>
        <w:t>应按照各级要求做好各类突发事件等不可抗力相关工作，因此而支出的经费由乙方承担。</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82" w:name="_Toc5685"/>
      <w:bookmarkStart w:id="183" w:name="_Toc32624"/>
      <w:bookmarkStart w:id="184" w:name="_Toc5591"/>
      <w:bookmarkStart w:id="185" w:name="_Toc28410"/>
      <w:bookmarkStart w:id="186" w:name="_Toc20896"/>
      <w:bookmarkStart w:id="187" w:name="_Toc27739"/>
      <w:bookmarkStart w:id="188" w:name="_Toc72407439"/>
      <w:r>
        <w:rPr>
          <w:rFonts w:hint="eastAsia" w:ascii="宋体" w:hAnsi="宋体" w:eastAsia="宋体" w:cs="宋体"/>
          <w:color w:val="auto"/>
          <w:sz w:val="22"/>
          <w:szCs w:val="22"/>
          <w:highlight w:val="none"/>
        </w:rPr>
        <w:t>第十二条  合同组成</w:t>
      </w:r>
      <w:bookmarkEnd w:id="182"/>
      <w:bookmarkEnd w:id="183"/>
      <w:bookmarkEnd w:id="184"/>
      <w:bookmarkEnd w:id="185"/>
      <w:bookmarkEnd w:id="186"/>
      <w:bookmarkEnd w:id="187"/>
      <w:bookmarkEnd w:id="188"/>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承包合同由《采购文件》、《投标文件》为本合同的有效组成部分。</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189" w:name="_Toc24160"/>
      <w:bookmarkStart w:id="190" w:name="_Toc19141"/>
      <w:bookmarkStart w:id="191" w:name="_Toc15481"/>
      <w:bookmarkStart w:id="192" w:name="_Toc15830"/>
      <w:bookmarkStart w:id="193" w:name="_Toc26957"/>
      <w:bookmarkStart w:id="194" w:name="_Toc8721"/>
      <w:bookmarkStart w:id="195" w:name="_Toc72407440"/>
      <w:r>
        <w:rPr>
          <w:rFonts w:hint="eastAsia" w:ascii="宋体" w:hAnsi="宋体" w:eastAsia="宋体" w:cs="宋体"/>
          <w:color w:val="auto"/>
          <w:sz w:val="22"/>
          <w:szCs w:val="22"/>
          <w:highlight w:val="none"/>
        </w:rPr>
        <w:t>第十三条  违约责任</w:t>
      </w:r>
      <w:bookmarkEnd w:id="189"/>
      <w:bookmarkEnd w:id="190"/>
      <w:bookmarkEnd w:id="191"/>
      <w:bookmarkEnd w:id="192"/>
      <w:bookmarkEnd w:id="193"/>
      <w:bookmarkEnd w:id="194"/>
      <w:bookmarkEnd w:id="195"/>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（一）乙方违反甲方具体要求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《采购文件》规定</w:t>
      </w:r>
      <w:r>
        <w:rPr>
          <w:rFonts w:hint="eastAsia" w:ascii="宋体" w:hAnsi="宋体" w:eastAsia="宋体" w:cs="宋体"/>
          <w:color w:val="auto"/>
          <w:sz w:val="22"/>
          <w:szCs w:val="22"/>
          <w:highlight w:val="none"/>
          <w:lang w:val="en-US" w:eastAsia="zh-CN"/>
        </w:rPr>
        <w:t>及合同约定的义务</w:t>
      </w:r>
      <w:r>
        <w:rPr>
          <w:rFonts w:hint="eastAsia" w:ascii="宋体" w:hAnsi="宋体" w:eastAsia="宋体" w:cs="宋体"/>
          <w:color w:val="auto"/>
          <w:sz w:val="22"/>
          <w:szCs w:val="22"/>
          <w:highlight w:val="none"/>
        </w:rPr>
        <w:t>的行为均属违约行为。甲方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根据上述规定条款，视乙方违反规定的情节轻重，做出批评教育或警告或按考核办法进行扣罚处理，情节严重者，甲方有权单方终止本合同，由乙方承担一切经济损失和法律责任。因乙方违约造成甲方损失的，甲方</w:t>
      </w:r>
      <w:r>
        <w:rPr>
          <w:rFonts w:hint="eastAsia" w:hAnsi="宋体" w:eastAsia="宋体" w:cs="宋体"/>
          <w:color w:val="auto"/>
          <w:sz w:val="22"/>
          <w:szCs w:val="22"/>
          <w:highlight w:val="none"/>
          <w:lang w:val="en-US" w:eastAsia="zh-CN"/>
        </w:rPr>
        <w:t>2可</w:t>
      </w:r>
      <w:r>
        <w:rPr>
          <w:rFonts w:hint="eastAsia" w:ascii="宋体" w:hAnsi="宋体" w:eastAsia="宋体" w:cs="宋体"/>
          <w:color w:val="auto"/>
          <w:sz w:val="22"/>
          <w:szCs w:val="22"/>
          <w:highlight w:val="none"/>
        </w:rPr>
        <w:t>从乙方缴纳的履约保证金</w:t>
      </w:r>
      <w:r>
        <w:rPr>
          <w:rFonts w:hint="eastAsia" w:hAnsi="宋体" w:eastAsia="宋体" w:cs="宋体"/>
          <w:color w:val="auto"/>
          <w:sz w:val="22"/>
          <w:szCs w:val="22"/>
          <w:highlight w:val="none"/>
          <w:lang w:val="en-US" w:eastAsia="zh-CN"/>
        </w:rPr>
        <w:t>和保洁经费</w:t>
      </w:r>
      <w:r>
        <w:rPr>
          <w:rFonts w:hint="eastAsia" w:ascii="宋体" w:hAnsi="宋体" w:eastAsia="宋体" w:cs="宋体"/>
          <w:color w:val="auto"/>
          <w:sz w:val="22"/>
          <w:szCs w:val="22"/>
          <w:highlight w:val="none"/>
        </w:rPr>
        <w:t>中扣除。</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bookmarkStart w:id="196" w:name="_Toc72407441"/>
      <w:bookmarkStart w:id="197" w:name="_Toc4620"/>
      <w:bookmarkStart w:id="198" w:name="_Toc28231"/>
      <w:bookmarkStart w:id="199" w:name="_Toc23038"/>
      <w:bookmarkStart w:id="200" w:name="_Toc17250"/>
      <w:r>
        <w:rPr>
          <w:rFonts w:hint="eastAsia" w:ascii="宋体" w:hAnsi="宋体" w:eastAsia="宋体" w:cs="宋体"/>
          <w:color w:val="auto"/>
          <w:sz w:val="22"/>
          <w:szCs w:val="22"/>
          <w:highlight w:val="none"/>
        </w:rPr>
        <w:t>（二）乙方因机械、工具或技术、劳动等跟不上管理需要影响工作，未达到质量标准，记1次书面警告</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10000元/次</w:t>
      </w:r>
      <w:r>
        <w:rPr>
          <w:rFonts w:hint="eastAsia" w:ascii="宋体" w:hAnsi="宋体" w:eastAsia="宋体" w:cs="宋体"/>
          <w:color w:val="auto"/>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w:t>
      </w:r>
      <w:r>
        <w:rPr>
          <w:rFonts w:hint="eastAsia" w:ascii="宋体" w:hAnsi="宋体" w:eastAsia="宋体" w:cs="宋体"/>
          <w:color w:val="auto"/>
          <w:sz w:val="22"/>
          <w:szCs w:val="22"/>
          <w:highlight w:val="none"/>
        </w:rPr>
        <w:t>车辆逾期15天及以上未接入</w:t>
      </w:r>
      <w:r>
        <w:rPr>
          <w:rFonts w:hint="eastAsia" w:hAnsi="宋体" w:eastAsia="宋体" w:cs="宋体"/>
          <w:color w:val="auto"/>
          <w:sz w:val="22"/>
          <w:szCs w:val="22"/>
          <w:highlight w:val="none"/>
          <w:lang w:val="en-US" w:eastAsia="zh-CN"/>
        </w:rPr>
        <w:t>区</w:t>
      </w:r>
      <w:r>
        <w:rPr>
          <w:rFonts w:hint="eastAsia" w:ascii="宋体" w:hAnsi="宋体" w:eastAsia="宋体" w:cs="宋体"/>
          <w:color w:val="auto"/>
          <w:sz w:val="22"/>
          <w:szCs w:val="22"/>
          <w:highlight w:val="none"/>
        </w:rPr>
        <w:t>综合行政执法局智慧环卫监管平台的，记1次书面警告</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10000元/次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情节严重的可按严重警告计</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50000元/次</w:t>
      </w:r>
      <w:r>
        <w:rPr>
          <w:rFonts w:hint="eastAsia" w:ascii="宋体" w:hAnsi="宋体" w:eastAsia="宋体" w:cs="宋体"/>
          <w:color w:val="auto"/>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r>
        <w:rPr>
          <w:rFonts w:hint="eastAsia"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经</w:t>
      </w:r>
      <w:r>
        <w:rPr>
          <w:rFonts w:hint="eastAsia" w:ascii="宋体" w:hAnsi="宋体" w:eastAsia="宋体" w:cs="宋体"/>
          <w:color w:val="auto"/>
          <w:sz w:val="22"/>
          <w:szCs w:val="22"/>
          <w:highlight w:val="none"/>
          <w:lang w:eastAsia="zh-CN"/>
        </w:rPr>
        <w:t>甲方</w:t>
      </w: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下发整改通知，且拒不整改或整改2次不到位的，记1次警告</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10000元/次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情节十分恶劣的，记1次严重警告</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50000元/次</w:t>
      </w:r>
      <w:r>
        <w:rPr>
          <w:rFonts w:hint="eastAsia" w:ascii="宋体" w:hAnsi="宋体" w:eastAsia="宋体" w:cs="宋体"/>
          <w:color w:val="auto"/>
          <w:sz w:val="22"/>
          <w:szCs w:val="22"/>
          <w:highlight w:val="none"/>
        </w:rPr>
        <w:t>。</w:t>
      </w:r>
    </w:p>
    <w:p>
      <w:pPr>
        <w:pStyle w:val="849"/>
        <w:pageBreakBefore w:val="0"/>
        <w:numPr>
          <w:ilvl w:val="0"/>
          <w:numId w:val="0"/>
        </w:numPr>
        <w:kinsoku/>
        <w:wordWrap/>
        <w:overflowPunct/>
        <w:topLinePunct w:val="0"/>
        <w:autoSpaceDE/>
        <w:autoSpaceDN/>
        <w:bidi w:val="0"/>
        <w:adjustRightInd/>
        <w:snapToGrid/>
        <w:spacing w:line="400" w:lineRule="exact"/>
        <w:textAlignment w:val="auto"/>
        <w:rPr>
          <w:rFonts w:hint="default" w:eastAsia="宋体"/>
          <w:color w:val="auto"/>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lang w:val="en-US" w:eastAsia="zh-CN"/>
        </w:rPr>
        <w:t>配合</w:t>
      </w:r>
      <w:r>
        <w:rPr>
          <w:rFonts w:hint="eastAsia" w:eastAsia="宋体" w:cs="宋体"/>
          <w:color w:val="auto"/>
          <w:sz w:val="22"/>
          <w:szCs w:val="22"/>
          <w:highlight w:val="none"/>
          <w:lang w:val="en-US" w:eastAsia="zh-CN"/>
        </w:rPr>
        <w:t>做好甲方布置的应急突发事件的应对措施</w:t>
      </w:r>
      <w:r>
        <w:rPr>
          <w:rFonts w:hint="eastAsia" w:ascii="宋体" w:hAnsi="宋体" w:eastAsia="宋体" w:cs="宋体"/>
          <w:color w:val="auto"/>
          <w:sz w:val="22"/>
          <w:szCs w:val="22"/>
          <w:highlight w:val="none"/>
          <w:lang w:val="en-US" w:eastAsia="zh-CN"/>
        </w:rPr>
        <w:t>，</w:t>
      </w:r>
      <w:r>
        <w:rPr>
          <w:rFonts w:hint="eastAsia" w:eastAsia="宋体" w:cs="宋体"/>
          <w:color w:val="auto"/>
          <w:sz w:val="22"/>
          <w:szCs w:val="22"/>
          <w:highlight w:val="none"/>
          <w:lang w:val="en-US" w:eastAsia="zh-CN"/>
        </w:rPr>
        <w:t>没有完成的，</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1000</w:t>
      </w:r>
      <w:r>
        <w:rPr>
          <w:rFonts w:hint="eastAsia" w:eastAsia="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元/</w:t>
      </w:r>
      <w:r>
        <w:rPr>
          <w:rFonts w:hint="eastAsia" w:eastAsia="宋体" w:cs="宋体"/>
          <w:color w:val="auto"/>
          <w:sz w:val="22"/>
          <w:szCs w:val="22"/>
          <w:highlight w:val="none"/>
          <w:lang w:val="en-US" w:eastAsia="zh-CN"/>
        </w:rPr>
        <w:t>次</w:t>
      </w:r>
      <w:r>
        <w:rPr>
          <w:rFonts w:hint="eastAsia" w:ascii="宋体" w:hAnsi="宋体" w:eastAsia="宋体" w:cs="宋体"/>
          <w:color w:val="auto"/>
          <w:sz w:val="22"/>
          <w:szCs w:val="22"/>
          <w:highlight w:val="none"/>
          <w:lang w:val="en-US" w:eastAsia="zh-CN"/>
        </w:rPr>
        <w:t>。</w:t>
      </w:r>
    </w:p>
    <w:p>
      <w:pPr>
        <w:pStyle w:val="849"/>
        <w:numPr>
          <w:ilvl w:val="0"/>
          <w:numId w:val="0"/>
        </w:numPr>
        <w:spacing w:line="400" w:lineRule="exact"/>
        <w:rPr>
          <w:rFonts w:hint="eastAsia" w:ascii="宋体" w:hAnsi="宋体" w:eastAsia="宋体" w:cs="宋体"/>
          <w:color w:val="auto"/>
          <w:sz w:val="22"/>
          <w:szCs w:val="22"/>
          <w:highlight w:val="none"/>
          <w:lang w:eastAsia="zh-CN"/>
        </w:rPr>
      </w:pPr>
      <w:r>
        <w:rPr>
          <w:rFonts w:hint="eastAsia" w:eastAsia="宋体"/>
          <w:color w:val="auto"/>
          <w:highlight w:val="none"/>
          <w:lang w:val="en-US" w:eastAsia="zh-CN"/>
        </w:rPr>
        <w:t xml:space="preserve">    </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发现乙方</w:t>
      </w:r>
      <w:r>
        <w:rPr>
          <w:rFonts w:hint="eastAsia" w:ascii="宋体" w:hAnsi="宋体" w:eastAsia="宋体" w:cs="宋体"/>
          <w:color w:val="auto"/>
          <w:sz w:val="22"/>
          <w:szCs w:val="22"/>
          <w:highlight w:val="none"/>
          <w:lang w:eastAsia="zh-CN"/>
        </w:rPr>
        <w:t>偷倒无主装潢垃圾的，</w:t>
      </w:r>
      <w:r>
        <w:rPr>
          <w:rFonts w:hint="eastAsia" w:hAnsi="宋体" w:eastAsia="宋体" w:cs="宋体"/>
          <w:color w:val="auto"/>
          <w:sz w:val="22"/>
          <w:szCs w:val="22"/>
          <w:highlight w:val="none"/>
          <w:lang w:val="en-US" w:eastAsia="zh-CN"/>
        </w:rPr>
        <w:t>在月保洁费中扣除</w:t>
      </w:r>
      <w:r>
        <w:rPr>
          <w:rFonts w:hint="eastAsia" w:ascii="宋体" w:hAnsi="宋体" w:eastAsia="宋体" w:cs="宋体"/>
          <w:color w:val="auto"/>
          <w:sz w:val="22"/>
          <w:szCs w:val="22"/>
          <w:highlight w:val="none"/>
          <w:lang w:val="en-US" w:eastAsia="zh-CN"/>
        </w:rPr>
        <w:t>30000元/次。</w:t>
      </w:r>
    </w:p>
    <w:p>
      <w:pPr>
        <w:pStyle w:val="33"/>
        <w:pageBreakBefore w:val="0"/>
        <w:widowControl/>
        <w:tabs>
          <w:tab w:val="left" w:pos="1651"/>
          <w:tab w:val="left" w:pos="3828"/>
        </w:tabs>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highlight w:val="none"/>
          <w:lang w:eastAsia="zh-CN"/>
        </w:rPr>
      </w:pPr>
      <w:r>
        <w:rPr>
          <w:rFonts w:hint="eastAsia"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七</w:t>
      </w:r>
      <w:r>
        <w:rPr>
          <w:rFonts w:hint="eastAsia" w:hAnsi="宋体" w:eastAsia="宋体" w:cs="宋体"/>
          <w:color w:val="auto"/>
          <w:sz w:val="22"/>
          <w:szCs w:val="22"/>
          <w:highlight w:val="none"/>
          <w:lang w:eastAsia="zh-CN"/>
        </w:rPr>
        <w:t>）</w:t>
      </w:r>
      <w:r>
        <w:rPr>
          <w:rFonts w:hint="eastAsia" w:eastAsia="宋体" w:cs="宋体"/>
          <w:color w:val="auto"/>
          <w:sz w:val="22"/>
          <w:szCs w:val="22"/>
          <w:highlight w:val="none"/>
          <w:lang w:val="en-US" w:eastAsia="zh-CN"/>
        </w:rPr>
        <w:t>乙方在投标文件中的承诺，如果在项目清扫保洁实际实施过程中没有到位，甲方2将发出书面通知，</w:t>
      </w:r>
      <w:r>
        <w:rPr>
          <w:rFonts w:hint="eastAsia" w:hAnsi="宋体" w:eastAsia="宋体" w:cs="宋体"/>
          <w:color w:val="auto"/>
          <w:sz w:val="22"/>
          <w:szCs w:val="22"/>
          <w:highlight w:val="none"/>
          <w:lang w:val="en-US" w:eastAsia="zh-CN"/>
        </w:rPr>
        <w:t>在月保洁费中扣除2</w:t>
      </w:r>
      <w:r>
        <w:rPr>
          <w:rFonts w:hint="eastAsia" w:ascii="宋体" w:hAnsi="宋体" w:eastAsia="宋体" w:cs="宋体"/>
          <w:color w:val="auto"/>
          <w:sz w:val="22"/>
          <w:szCs w:val="22"/>
          <w:highlight w:val="none"/>
          <w:lang w:val="en-US" w:eastAsia="zh-CN"/>
        </w:rPr>
        <w:t>0000元/次</w:t>
      </w:r>
      <w:r>
        <w:rPr>
          <w:rFonts w:hint="eastAsia" w:hAnsi="宋体" w:eastAsia="宋体" w:cs="宋体"/>
          <w:color w:val="auto"/>
          <w:sz w:val="22"/>
          <w:szCs w:val="22"/>
          <w:highlight w:val="none"/>
          <w:lang w:val="en-US" w:eastAsia="zh-CN"/>
        </w:rPr>
        <w:t>，并</w:t>
      </w:r>
      <w:r>
        <w:rPr>
          <w:rFonts w:hint="eastAsia" w:eastAsia="宋体" w:cs="宋体"/>
          <w:color w:val="auto"/>
          <w:sz w:val="22"/>
          <w:szCs w:val="22"/>
          <w:highlight w:val="none"/>
          <w:lang w:val="en-US" w:eastAsia="zh-CN"/>
        </w:rPr>
        <w:t>责令其整改。乙方必须限期履行投标承诺并整改到位，如逾期未整改到位，甲方有权解除合同并</w:t>
      </w:r>
      <w:r>
        <w:rPr>
          <w:rFonts w:hint="eastAsia" w:ascii="宋体" w:hAnsi="宋体" w:eastAsia="宋体" w:cs="宋体"/>
          <w:color w:val="auto"/>
          <w:sz w:val="22"/>
          <w:szCs w:val="22"/>
          <w:highlight w:val="none"/>
          <w:lang w:eastAsia="zh-CN"/>
        </w:rPr>
        <w:t>启动退出机制；</w:t>
      </w:r>
    </w:p>
    <w:p>
      <w:pPr>
        <w:pStyle w:val="33"/>
        <w:pageBreakBefore w:val="0"/>
        <w:widowControl/>
        <w:tabs>
          <w:tab w:val="left" w:pos="1651"/>
          <w:tab w:val="left" w:pos="3828"/>
        </w:tabs>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根据采购文件、合同约定及考核办法</w:t>
      </w:r>
      <w:r>
        <w:rPr>
          <w:rFonts w:hint="eastAsia" w:hAnsi="宋体" w:eastAsia="宋体" w:cs="宋体"/>
          <w:color w:val="auto"/>
          <w:sz w:val="22"/>
          <w:szCs w:val="22"/>
          <w:highlight w:val="none"/>
          <w:lang w:val="en-US" w:eastAsia="zh-CN"/>
        </w:rPr>
        <w:t>等其他违约</w:t>
      </w:r>
      <w:r>
        <w:rPr>
          <w:rFonts w:hint="eastAsia" w:ascii="宋体" w:hAnsi="宋体" w:eastAsia="宋体" w:cs="宋体"/>
          <w:color w:val="auto"/>
          <w:sz w:val="22"/>
          <w:szCs w:val="22"/>
          <w:highlight w:val="none"/>
        </w:rPr>
        <w:t>规定。</w:t>
      </w:r>
    </w:p>
    <w:p>
      <w:pPr>
        <w:pStyle w:val="6"/>
        <w:pageBreakBefore w:val="0"/>
        <w:widowControl/>
        <w:tabs>
          <w:tab w:val="left" w:pos="840"/>
        </w:tabs>
        <w:kinsoku/>
        <w:wordWrap/>
        <w:topLinePunct w:val="0"/>
        <w:bidi w:val="0"/>
        <w:spacing w:before="0"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hAnsi="宋体" w:eastAsia="宋体" w:cs="宋体"/>
          <w:color w:val="auto"/>
          <w:sz w:val="22"/>
          <w:szCs w:val="22"/>
          <w:highlight w:val="none"/>
          <w:lang w:val="en-US" w:eastAsia="zh-CN"/>
        </w:rPr>
        <w:t>九</w:t>
      </w:r>
      <w:r>
        <w:rPr>
          <w:rFonts w:hint="eastAsia" w:ascii="宋体" w:hAnsi="宋体" w:eastAsia="宋体" w:cs="宋体"/>
          <w:color w:val="auto"/>
          <w:sz w:val="22"/>
          <w:szCs w:val="22"/>
          <w:highlight w:val="none"/>
          <w:lang w:eastAsia="zh-CN"/>
        </w:rPr>
        <w:t>）同一事件除本条款扣款外，如采购文件及考核办法另有约定</w:t>
      </w:r>
      <w:r>
        <w:rPr>
          <w:rFonts w:hint="eastAsia" w:hAnsi="宋体" w:eastAsia="宋体" w:cs="宋体"/>
          <w:color w:val="auto"/>
          <w:sz w:val="22"/>
          <w:szCs w:val="22"/>
          <w:highlight w:val="none"/>
          <w:lang w:val="en-US" w:eastAsia="zh-CN"/>
        </w:rPr>
        <w:t>扣分</w:t>
      </w:r>
      <w:r>
        <w:rPr>
          <w:rFonts w:hint="eastAsia" w:ascii="宋体" w:hAnsi="宋体" w:eastAsia="宋体" w:cs="宋体"/>
          <w:color w:val="auto"/>
          <w:sz w:val="22"/>
          <w:szCs w:val="22"/>
          <w:highlight w:val="none"/>
          <w:lang w:eastAsia="zh-CN"/>
        </w:rPr>
        <w:t>扣款的</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照常</w:t>
      </w:r>
      <w:r>
        <w:rPr>
          <w:rFonts w:hint="eastAsia" w:hAnsi="宋体" w:eastAsia="宋体" w:cs="宋体"/>
          <w:color w:val="auto"/>
          <w:sz w:val="22"/>
          <w:szCs w:val="22"/>
          <w:highlight w:val="none"/>
          <w:lang w:val="en-US" w:eastAsia="zh-CN"/>
        </w:rPr>
        <w:t>按约定执行</w:t>
      </w:r>
      <w:bookmarkStart w:id="201" w:name="_Toc3625"/>
      <w:bookmarkStart w:id="202" w:name="_Toc32414"/>
      <w:r>
        <w:rPr>
          <w:rFonts w:hint="eastAsia" w:ascii="宋体" w:hAnsi="宋体" w:eastAsia="宋体" w:cs="宋体"/>
          <w:color w:val="auto"/>
          <w:sz w:val="22"/>
          <w:szCs w:val="22"/>
          <w:highlight w:val="none"/>
        </w:rPr>
        <w:t>第十四条  争议的解决</w:t>
      </w:r>
      <w:bookmarkEnd w:id="196"/>
      <w:bookmarkEnd w:id="197"/>
      <w:bookmarkEnd w:id="198"/>
      <w:bookmarkEnd w:id="199"/>
      <w:bookmarkEnd w:id="200"/>
      <w:bookmarkEnd w:id="201"/>
      <w:bookmarkEnd w:id="202"/>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合同未尽事宜，</w:t>
      </w:r>
      <w:r>
        <w:rPr>
          <w:rFonts w:hint="eastAsia" w:hAnsi="宋体" w:eastAsia="宋体" w:cs="宋体"/>
          <w:color w:val="auto"/>
          <w:sz w:val="22"/>
          <w:szCs w:val="22"/>
          <w:highlight w:val="none"/>
          <w:lang w:val="en-US" w:eastAsia="zh-CN"/>
        </w:rPr>
        <w:t>由合同各</w:t>
      </w:r>
      <w:r>
        <w:rPr>
          <w:rFonts w:hint="eastAsia" w:ascii="宋体" w:hAnsi="宋体" w:eastAsia="宋体" w:cs="宋体"/>
          <w:color w:val="auto"/>
          <w:sz w:val="22"/>
          <w:szCs w:val="22"/>
          <w:highlight w:val="none"/>
        </w:rPr>
        <w:t>方友好协调解决。协商不一致，任何一方均有权向</w:t>
      </w:r>
      <w:r>
        <w:rPr>
          <w:rFonts w:hint="eastAsia" w:hAnsi="宋体" w:eastAsia="宋体" w:cs="宋体"/>
          <w:color w:val="auto"/>
          <w:sz w:val="22"/>
          <w:szCs w:val="22"/>
          <w:highlight w:val="none"/>
          <w:lang w:eastAsia="zh-CN"/>
        </w:rPr>
        <w:t>鹿城区</w:t>
      </w:r>
      <w:r>
        <w:rPr>
          <w:rFonts w:hint="eastAsia" w:ascii="宋体" w:hAnsi="宋体" w:eastAsia="宋体" w:cs="宋体"/>
          <w:color w:val="auto"/>
          <w:sz w:val="22"/>
          <w:szCs w:val="22"/>
          <w:highlight w:val="none"/>
        </w:rPr>
        <w:t>人民法院提起诉讼。</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203" w:name="_Toc642"/>
      <w:bookmarkStart w:id="204" w:name="_Toc10773"/>
      <w:bookmarkStart w:id="205" w:name="_Toc72407442"/>
      <w:bookmarkStart w:id="206" w:name="_Toc7417"/>
      <w:bookmarkStart w:id="207" w:name="_Toc14729"/>
      <w:bookmarkStart w:id="208" w:name="_Toc6941"/>
      <w:bookmarkStart w:id="209" w:name="_Toc17732"/>
      <w:r>
        <w:rPr>
          <w:rFonts w:hint="eastAsia" w:ascii="宋体" w:hAnsi="宋体" w:eastAsia="宋体" w:cs="宋体"/>
          <w:color w:val="auto"/>
          <w:sz w:val="22"/>
          <w:szCs w:val="22"/>
          <w:highlight w:val="none"/>
        </w:rPr>
        <w:t>第十五条  合同生效及终止</w:t>
      </w:r>
      <w:bookmarkEnd w:id="203"/>
      <w:bookmarkEnd w:id="204"/>
      <w:bookmarkEnd w:id="205"/>
      <w:bookmarkEnd w:id="206"/>
      <w:bookmarkEnd w:id="207"/>
      <w:bookmarkEnd w:id="208"/>
      <w:bookmarkEnd w:id="209"/>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（一）合同生效：本合同自甲乙</w:t>
      </w:r>
      <w:r>
        <w:rPr>
          <w:rFonts w:hint="eastAsia"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方法定代表人签字、盖章之日起生效。</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（二）合同终止：本项目有下列情形的，</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有权不续签或终止合同。</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1、本项目遇不可抗力影响或法律、法规、国家政策重大调整影响合同无法执行的；</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2、实际投入</w:t>
      </w:r>
      <w:r>
        <w:rPr>
          <w:rFonts w:hint="eastAsia" w:hAnsi="宋体" w:eastAsia="宋体" w:cs="宋体"/>
          <w:color w:val="auto"/>
          <w:sz w:val="22"/>
          <w:szCs w:val="22"/>
          <w:highlight w:val="none"/>
          <w:lang w:val="en-US" w:eastAsia="zh-CN"/>
        </w:rPr>
        <w:t>排班数、</w:t>
      </w:r>
      <w:r>
        <w:rPr>
          <w:rFonts w:hint="eastAsia" w:ascii="宋体" w:hAnsi="宋体" w:eastAsia="宋体" w:cs="宋体"/>
          <w:color w:val="auto"/>
          <w:sz w:val="22"/>
          <w:szCs w:val="22"/>
          <w:highlight w:val="none"/>
        </w:rPr>
        <w:t>机械车辆与投标文件承诺不符合，拒不履行投标承诺的乙方（达到解除合同条件的），</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有权无责任终止采购合同，</w:t>
      </w:r>
      <w:r>
        <w:rPr>
          <w:rFonts w:hint="eastAsia" w:ascii="宋体" w:hAnsi="宋体" w:eastAsia="宋体" w:cs="宋体"/>
          <w:color w:val="auto"/>
          <w:sz w:val="22"/>
          <w:szCs w:val="22"/>
          <w:highlight w:val="none"/>
          <w:lang w:eastAsia="zh-CN"/>
        </w:rPr>
        <w:t>违约金为全额</w:t>
      </w:r>
      <w:r>
        <w:rPr>
          <w:rFonts w:hint="eastAsia" w:ascii="宋体" w:hAnsi="宋体" w:eastAsia="宋体" w:cs="宋体"/>
          <w:color w:val="auto"/>
          <w:sz w:val="22"/>
          <w:szCs w:val="22"/>
          <w:highlight w:val="none"/>
        </w:rPr>
        <w:t>履约保证金并承担由此引起的法律责任及一切经济损失</w:t>
      </w:r>
      <w:r>
        <w:rPr>
          <w:rFonts w:hint="eastAsia" w:ascii="宋体" w:hAnsi="宋体" w:eastAsia="宋体" w:cs="宋体"/>
          <w:color w:val="auto"/>
          <w:sz w:val="22"/>
          <w:szCs w:val="22"/>
          <w:highlight w:val="none"/>
          <w:lang w:eastAsia="zh-CN"/>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3、按相关法律、法规、采购文件规定及考核办法，有下列情形之一的，</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有权不续签或终止合同，</w:t>
      </w:r>
      <w:r>
        <w:rPr>
          <w:rFonts w:hint="eastAsia" w:ascii="宋体" w:hAnsi="宋体" w:eastAsia="宋体" w:cs="宋体"/>
          <w:color w:val="auto"/>
          <w:sz w:val="22"/>
          <w:szCs w:val="22"/>
          <w:highlight w:val="none"/>
          <w:lang w:eastAsia="zh-CN"/>
        </w:rPr>
        <w:t>违约金为全额</w:t>
      </w:r>
      <w:r>
        <w:rPr>
          <w:rFonts w:hint="eastAsia" w:ascii="宋体" w:hAnsi="宋体" w:eastAsia="宋体" w:cs="宋体"/>
          <w:color w:val="auto"/>
          <w:sz w:val="22"/>
          <w:szCs w:val="22"/>
          <w:highlight w:val="none"/>
        </w:rPr>
        <w:t>履约保证金并承担由此引起的法律责任及一切经济损失：</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本项目遇不可抗力影响或法律、法规、国家政策重大调整影响合同无法执行的；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实际投入</w:t>
      </w:r>
      <w:r>
        <w:rPr>
          <w:rFonts w:hint="eastAsia" w:hAnsi="宋体" w:eastAsia="宋体" w:cs="宋体"/>
          <w:color w:val="auto"/>
          <w:sz w:val="22"/>
          <w:szCs w:val="22"/>
          <w:highlight w:val="none"/>
          <w:lang w:val="en-US" w:eastAsia="zh-CN"/>
        </w:rPr>
        <w:t>排班数</w:t>
      </w:r>
      <w:r>
        <w:rPr>
          <w:rFonts w:hint="eastAsia" w:ascii="宋体" w:hAnsi="宋体" w:eastAsia="宋体" w:cs="宋体"/>
          <w:color w:val="auto"/>
          <w:sz w:val="22"/>
          <w:szCs w:val="22"/>
          <w:highlight w:val="none"/>
          <w:shd w:val="clear" w:color="auto" w:fill="auto"/>
        </w:rPr>
        <w:t>、机械车辆与投标文件承诺不符合，拒不履行投标承诺的</w:t>
      </w:r>
      <w:r>
        <w:rPr>
          <w:rFonts w:hint="eastAsia" w:ascii="宋体" w:hAnsi="宋体" w:eastAsia="宋体" w:cs="宋体"/>
          <w:color w:val="auto"/>
          <w:sz w:val="22"/>
          <w:szCs w:val="22"/>
          <w:highlight w:val="none"/>
          <w:shd w:val="clear" w:color="auto" w:fill="auto"/>
          <w:lang w:val="en-US" w:eastAsia="zh-CN"/>
        </w:rPr>
        <w:t>乙方</w:t>
      </w:r>
      <w:r>
        <w:rPr>
          <w:rFonts w:hint="eastAsia" w:ascii="宋体" w:hAnsi="宋体" w:eastAsia="宋体" w:cs="宋体"/>
          <w:color w:val="auto"/>
          <w:sz w:val="22"/>
          <w:szCs w:val="22"/>
          <w:highlight w:val="none"/>
          <w:shd w:val="clear" w:color="auto" w:fill="auto"/>
        </w:rPr>
        <w:t>（达到解除合同条件的），</w:t>
      </w:r>
      <w:r>
        <w:rPr>
          <w:rFonts w:hint="eastAsia" w:ascii="宋体" w:hAnsi="宋体" w:eastAsia="宋体" w:cs="宋体"/>
          <w:color w:val="auto"/>
          <w:sz w:val="22"/>
          <w:szCs w:val="22"/>
          <w:highlight w:val="none"/>
          <w:shd w:val="clear" w:color="auto" w:fill="auto"/>
          <w:lang w:val="en-US" w:eastAsia="zh-CN"/>
        </w:rPr>
        <w:t>甲方</w:t>
      </w:r>
      <w:r>
        <w:rPr>
          <w:rFonts w:hint="eastAsia" w:ascii="宋体" w:hAnsi="宋体" w:eastAsia="宋体" w:cs="宋体"/>
          <w:color w:val="auto"/>
          <w:sz w:val="22"/>
          <w:szCs w:val="22"/>
          <w:highlight w:val="none"/>
          <w:shd w:val="clear" w:color="auto" w:fill="auto"/>
        </w:rPr>
        <w:t>有权无责任终止采购合同。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供应商有下列情形之一的，采购人有权不续签或终止合同：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单个街道（或镇）</w:t>
      </w:r>
      <w:r>
        <w:rPr>
          <w:rFonts w:hint="eastAsia" w:ascii="宋体" w:hAnsi="宋体" w:eastAsia="宋体" w:cs="宋体"/>
          <w:color w:val="auto"/>
          <w:sz w:val="22"/>
          <w:szCs w:val="22"/>
          <w:highlight w:val="none"/>
          <w:lang w:eastAsia="zh-CN"/>
        </w:rPr>
        <w:t>评分连续2个月或年累计3个月不合格（低于</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0分）的；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）中标公司发生员工群体性事件，处置不利造成重大影响的；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）因应急处置不当造成严重环境污染、重大公共事件或者被上级政府追责的其他事项的；</w:t>
      </w:r>
    </w:p>
    <w:p>
      <w:pPr>
        <w:pStyle w:val="2"/>
        <w:ind w:left="0" w:leftChars="0" w:firstLine="660" w:firstLineChars="300"/>
        <w:rPr>
          <w:rFonts w:hint="default"/>
          <w:color w:val="auto"/>
          <w:highlight w:val="none"/>
          <w:lang w:val="en-US" w:eastAsia="zh-CN"/>
        </w:rPr>
      </w:pPr>
      <w:r>
        <w:rPr>
          <w:rFonts w:hint="eastAsia" w:eastAsia="宋体" w:cs="宋体"/>
          <w:color w:val="auto"/>
          <w:sz w:val="22"/>
          <w:szCs w:val="22"/>
          <w:highlight w:val="none"/>
          <w:lang w:val="en-US" w:eastAsia="zh-CN"/>
        </w:rPr>
        <w:t>4）中标公司在投标文件中的承诺，如果在项目清扫保洁实际实施过程中没有到位，采购人将发出书面通知，责令其整改。中标公司必须限期履行投标承诺并整改到位，如逾期未整改到位的</w:t>
      </w:r>
      <w:r>
        <w:rPr>
          <w:rFonts w:hint="eastAsia" w:ascii="宋体" w:hAnsi="宋体" w:eastAsia="宋体" w:cs="宋体"/>
          <w:color w:val="auto"/>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）发现挂靠、转包的，立即启动退出机制并没收履约保证金，同时报</w:t>
      </w:r>
      <w:r>
        <w:rPr>
          <w:rFonts w:hint="eastAsia" w:ascii="宋体" w:hAnsi="宋体" w:eastAsia="宋体" w:cs="宋体"/>
          <w:color w:val="auto"/>
          <w:sz w:val="22"/>
          <w:szCs w:val="22"/>
          <w:highlight w:val="none"/>
          <w:lang w:val="en-US" w:eastAsia="zh-CN"/>
        </w:rPr>
        <w:t>采购主管部门</w:t>
      </w:r>
      <w:r>
        <w:rPr>
          <w:rFonts w:hint="eastAsia" w:ascii="宋体" w:hAnsi="宋体" w:eastAsia="宋体" w:cs="宋体"/>
          <w:color w:val="auto"/>
          <w:sz w:val="22"/>
          <w:szCs w:val="22"/>
          <w:highlight w:val="none"/>
          <w:lang w:eastAsia="zh-CN"/>
        </w:rPr>
        <w:t>列入黑名单企业；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其它弄虚作假及其他不正当行为</w:t>
      </w:r>
      <w:r>
        <w:rPr>
          <w:rFonts w:hint="eastAsia" w:ascii="宋体" w:hAnsi="宋体" w:eastAsia="宋体" w:cs="宋体"/>
          <w:color w:val="auto"/>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合同履约期间，</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法人组织破产的；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根据采购文件及合同约定，其它不续签或终止合同的规定，其它法律规定的终止情形</w:t>
      </w:r>
      <w:r>
        <w:rPr>
          <w:rFonts w:hint="eastAsia" w:ascii="宋体" w:hAnsi="宋体" w:eastAsia="宋体" w:cs="宋体"/>
          <w:color w:val="auto"/>
          <w:sz w:val="22"/>
          <w:szCs w:val="22"/>
          <w:highlight w:val="none"/>
          <w:lang w:eastAsia="zh-CN"/>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4、乙方不得将本项目分包与转包，一经发现立即终止合同，作违约处理，</w:t>
      </w:r>
      <w:r>
        <w:rPr>
          <w:rFonts w:hint="eastAsia" w:ascii="宋体" w:hAnsi="宋体" w:eastAsia="宋体" w:cs="宋体"/>
          <w:color w:val="auto"/>
          <w:sz w:val="22"/>
          <w:szCs w:val="22"/>
          <w:highlight w:val="none"/>
          <w:lang w:eastAsia="zh-CN"/>
        </w:rPr>
        <w:t>违约金为全额</w:t>
      </w:r>
      <w:r>
        <w:rPr>
          <w:rFonts w:hint="eastAsia" w:ascii="宋体" w:hAnsi="宋体" w:eastAsia="宋体" w:cs="宋体"/>
          <w:color w:val="auto"/>
          <w:sz w:val="22"/>
          <w:szCs w:val="22"/>
          <w:highlight w:val="none"/>
        </w:rPr>
        <w:t>履约保证金并承担由此引起的法律责任及一切经济损失。</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合同期限届满时自行终止。</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、如乙方触发本合同或采购文件规定的退出条件（终止合同），则乙方的环卫作业按</w:t>
      </w:r>
      <w:r>
        <w:rPr>
          <w:rFonts w:hint="eastAsia" w:hAnsi="宋体" w:eastAsia="宋体" w:cs="宋体"/>
          <w:color w:val="auto"/>
          <w:sz w:val="22"/>
          <w:szCs w:val="22"/>
          <w:highlight w:val="none"/>
          <w:lang w:val="en-US" w:eastAsia="zh-CN"/>
        </w:rPr>
        <w:t>高</w:t>
      </w:r>
      <w:r>
        <w:rPr>
          <w:rFonts w:hint="eastAsia" w:hAnsi="宋体" w:eastAsia="宋体" w:cs="宋体"/>
          <w:color w:val="auto"/>
          <w:sz w:val="22"/>
          <w:szCs w:val="22"/>
          <w:highlight w:val="none"/>
          <w:lang w:val="en-US" w:eastAsia="zh-CN"/>
        </w:rPr>
        <w:t>得分优先</w:t>
      </w:r>
      <w:r>
        <w:rPr>
          <w:rFonts w:hint="eastAsia" w:ascii="宋体" w:hAnsi="宋体" w:eastAsia="宋体" w:cs="宋体"/>
          <w:color w:val="auto"/>
          <w:sz w:val="22"/>
          <w:szCs w:val="22"/>
          <w:highlight w:val="none"/>
        </w:rPr>
        <w:t>原则，由</w:t>
      </w:r>
      <w:r>
        <w:rPr>
          <w:rFonts w:hint="eastAsia" w:hAnsi="宋体" w:eastAsia="宋体" w:cs="宋体"/>
          <w:color w:val="auto"/>
          <w:sz w:val="22"/>
          <w:szCs w:val="22"/>
          <w:highlight w:val="none"/>
          <w:lang w:eastAsia="zh-CN"/>
        </w:rPr>
        <w:t>鹿城区</w:t>
      </w:r>
      <w:r>
        <w:rPr>
          <w:rFonts w:hint="eastAsia" w:ascii="宋体" w:hAnsi="宋体" w:eastAsia="宋体" w:cs="宋体"/>
          <w:color w:val="auto"/>
          <w:sz w:val="22"/>
          <w:szCs w:val="22"/>
          <w:highlight w:val="none"/>
        </w:rPr>
        <w:t>范围内其他供应商临时代管，</w:t>
      </w:r>
      <w:r>
        <w:rPr>
          <w:rFonts w:hint="eastAsia" w:ascii="宋体" w:hAnsi="宋体" w:eastAsia="宋体" w:cs="宋体"/>
          <w:color w:val="auto"/>
          <w:sz w:val="22"/>
          <w:szCs w:val="22"/>
          <w:highlight w:val="none"/>
        </w:rPr>
        <w:t>临时代管费用按</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临时</w:t>
      </w:r>
      <w:r>
        <w:rPr>
          <w:rFonts w:hint="eastAsia" w:ascii="宋体" w:hAnsi="宋体" w:eastAsia="宋体" w:cs="宋体"/>
          <w:color w:val="auto"/>
          <w:sz w:val="22"/>
          <w:szCs w:val="22"/>
          <w:highlight w:val="none"/>
          <w:lang w:val="en-US" w:eastAsia="zh-CN"/>
        </w:rPr>
        <w:t>代管供应商的承包价格进行</w:t>
      </w:r>
      <w:r>
        <w:rPr>
          <w:rFonts w:hint="eastAsia" w:ascii="宋体" w:hAnsi="宋体" w:eastAsia="宋体" w:cs="宋体"/>
          <w:color w:val="auto"/>
          <w:sz w:val="22"/>
          <w:szCs w:val="22"/>
          <w:highlight w:val="none"/>
        </w:rPr>
        <w:t>计算</w:t>
      </w:r>
      <w:r>
        <w:rPr>
          <w:rFonts w:hint="eastAsia" w:ascii="宋体" w:hAnsi="宋体" w:eastAsia="宋体" w:cs="宋体"/>
          <w:color w:val="auto"/>
          <w:sz w:val="22"/>
          <w:szCs w:val="22"/>
          <w:highlight w:val="none"/>
        </w:rPr>
        <w:t>；待重新招完成后，由新的</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接管。</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210" w:name="_Toc22309"/>
      <w:bookmarkStart w:id="211" w:name="_Toc72407443"/>
      <w:bookmarkStart w:id="212" w:name="_Toc3186"/>
      <w:bookmarkStart w:id="213" w:name="_Toc30985"/>
      <w:bookmarkStart w:id="214" w:name="_Toc16330"/>
      <w:bookmarkStart w:id="215" w:name="_Toc9310"/>
      <w:bookmarkStart w:id="216" w:name="_Toc27878"/>
      <w:bookmarkStart w:id="217" w:name="_Toc25847"/>
      <w:r>
        <w:rPr>
          <w:rFonts w:hint="eastAsia" w:ascii="宋体" w:hAnsi="宋体" w:eastAsia="宋体" w:cs="宋体"/>
          <w:color w:val="auto"/>
          <w:sz w:val="22"/>
          <w:szCs w:val="22"/>
          <w:highlight w:val="none"/>
        </w:rPr>
        <w:t>第十六条  合同的解释</w:t>
      </w:r>
      <w:bookmarkEnd w:id="210"/>
      <w:bookmarkEnd w:id="211"/>
      <w:bookmarkEnd w:id="212"/>
      <w:bookmarkEnd w:id="213"/>
      <w:bookmarkEnd w:id="214"/>
      <w:bookmarkEnd w:id="215"/>
      <w:bookmarkEnd w:id="216"/>
      <w:bookmarkEnd w:id="217"/>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本合同的解释权在</w:t>
      </w:r>
      <w:r>
        <w:rPr>
          <w:rFonts w:hint="eastAsia" w:hAnsi="宋体" w:eastAsia="宋体" w:cs="宋体"/>
          <w:bCs/>
          <w:color w:val="auto"/>
          <w:kern w:val="0"/>
          <w:sz w:val="22"/>
          <w:szCs w:val="22"/>
          <w:highlight w:val="none"/>
          <w:lang w:val="en-US" w:eastAsia="zh-CN"/>
        </w:rPr>
        <w:t>甲方1</w:t>
      </w:r>
      <w:r>
        <w:rPr>
          <w:rFonts w:hint="eastAsia" w:ascii="宋体" w:hAnsi="宋体" w:eastAsia="宋体" w:cs="宋体"/>
          <w:color w:val="auto"/>
          <w:sz w:val="22"/>
          <w:szCs w:val="22"/>
          <w:highlight w:val="none"/>
        </w:rPr>
        <w:t>。</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auto"/>
          <w:sz w:val="22"/>
          <w:szCs w:val="22"/>
          <w:highlight w:val="none"/>
        </w:rPr>
      </w:pPr>
      <w:bookmarkStart w:id="218" w:name="_Toc10734"/>
      <w:bookmarkStart w:id="219" w:name="_Toc13531"/>
      <w:bookmarkStart w:id="220" w:name="_Toc19930"/>
      <w:bookmarkStart w:id="221" w:name="_Toc23758"/>
      <w:bookmarkStart w:id="222" w:name="_Toc6678"/>
      <w:bookmarkStart w:id="223" w:name="_Toc29239"/>
      <w:r>
        <w:rPr>
          <w:rFonts w:hint="eastAsia" w:ascii="宋体" w:hAnsi="宋体" w:eastAsia="宋体" w:cs="宋体"/>
          <w:color w:val="auto"/>
          <w:sz w:val="22"/>
          <w:szCs w:val="22"/>
          <w:highlight w:val="none"/>
        </w:rPr>
        <w:t>第十七条  合同的份数</w:t>
      </w:r>
      <w:bookmarkEnd w:id="218"/>
      <w:bookmarkEnd w:id="219"/>
      <w:bookmarkEnd w:id="220"/>
      <w:bookmarkEnd w:id="221"/>
      <w:bookmarkEnd w:id="222"/>
      <w:bookmarkEnd w:id="223"/>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本合同一式七份，合同各方各执二份，送采购代理机构备案一份，具有同等法律效力。</w:t>
      </w:r>
    </w:p>
    <w:bookmarkEnd w:id="102"/>
    <w:bookmarkEnd w:id="103"/>
    <w:p>
      <w:pPr>
        <w:pStyle w:val="33"/>
        <w:pageBreakBefore w:val="0"/>
        <w:widowControl/>
        <w:tabs>
          <w:tab w:val="left" w:pos="1651"/>
          <w:tab w:val="left" w:pos="3828"/>
        </w:tabs>
        <w:kinsoku/>
        <w:wordWrap/>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【合同签署页】</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甲方</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 xml:space="preserve">：（印章）         </w:t>
      </w:r>
      <w:r>
        <w:rPr>
          <w:rFonts w:hint="eastAsia" w:ascii="宋体" w:hAnsi="宋体" w:eastAsia="宋体" w:cs="宋体"/>
          <w:b w:val="0"/>
          <w:bCs/>
          <w:color w:val="auto"/>
          <w:sz w:val="22"/>
          <w:szCs w:val="22"/>
          <w:highlight w:val="none"/>
        </w:rPr>
        <w:t>甲方</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：（印章）</w:t>
      </w:r>
      <w:r>
        <w:rPr>
          <w:rFonts w:hint="eastAsia" w:ascii="宋体" w:hAnsi="宋体" w:eastAsia="宋体" w:cs="宋体"/>
          <w:b w:val="0"/>
          <w:bCs/>
          <w:color w:val="auto"/>
          <w:sz w:val="22"/>
          <w:szCs w:val="22"/>
          <w:highlight w:val="none"/>
        </w:rPr>
        <w:t xml:space="preserve">          乙方：（印章）</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全权代表：（签字）      </w:t>
      </w:r>
      <w:r>
        <w:rPr>
          <w:rFonts w:hint="eastAsia" w:ascii="宋体" w:hAnsi="宋体" w:eastAsia="宋体" w:cs="宋体"/>
          <w:b w:val="0"/>
          <w:bCs/>
          <w:color w:val="auto"/>
          <w:sz w:val="22"/>
          <w:szCs w:val="22"/>
          <w:highlight w:val="none"/>
        </w:rPr>
        <w:t>全权代表：（签字）</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全权代表：（签字）</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确认送达地址：           </w:t>
      </w:r>
      <w:r>
        <w:rPr>
          <w:rFonts w:hint="eastAsia" w:ascii="宋体" w:hAnsi="宋体" w:eastAsia="宋体" w:cs="宋体"/>
          <w:b w:val="0"/>
          <w:bCs/>
          <w:color w:val="auto"/>
          <w:sz w:val="22"/>
          <w:szCs w:val="22"/>
          <w:highlight w:val="none"/>
        </w:rPr>
        <w:t>确认送达地址：</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确认送达地址：</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邮政编码：               </w:t>
      </w:r>
      <w:r>
        <w:rPr>
          <w:rFonts w:hint="eastAsia" w:ascii="宋体" w:hAnsi="宋体" w:eastAsia="宋体" w:cs="宋体"/>
          <w:b w:val="0"/>
          <w:bCs/>
          <w:color w:val="auto"/>
          <w:sz w:val="22"/>
          <w:szCs w:val="22"/>
          <w:highlight w:val="none"/>
        </w:rPr>
        <w:t>邮政编码：</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邮政编码：</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电话：                   </w:t>
      </w:r>
      <w:r>
        <w:rPr>
          <w:rFonts w:hint="eastAsia" w:ascii="宋体" w:hAnsi="宋体" w:eastAsia="宋体" w:cs="宋体"/>
          <w:b w:val="0"/>
          <w:bCs/>
          <w:color w:val="auto"/>
          <w:sz w:val="22"/>
          <w:szCs w:val="22"/>
          <w:highlight w:val="none"/>
        </w:rPr>
        <w:t>电话：</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电话：</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传真：                   </w:t>
      </w:r>
      <w:r>
        <w:rPr>
          <w:rFonts w:hint="eastAsia" w:ascii="宋体" w:hAnsi="宋体" w:eastAsia="宋体" w:cs="宋体"/>
          <w:b w:val="0"/>
          <w:bCs/>
          <w:color w:val="auto"/>
          <w:sz w:val="22"/>
          <w:szCs w:val="22"/>
          <w:highlight w:val="none"/>
        </w:rPr>
        <w:t>传真：</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传真：</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开户银行：               </w:t>
      </w:r>
      <w:r>
        <w:rPr>
          <w:rFonts w:hint="eastAsia" w:ascii="宋体" w:hAnsi="宋体" w:eastAsia="宋体" w:cs="宋体"/>
          <w:b w:val="0"/>
          <w:bCs/>
          <w:color w:val="auto"/>
          <w:sz w:val="22"/>
          <w:szCs w:val="22"/>
          <w:highlight w:val="none"/>
        </w:rPr>
        <w:t>开户银行：</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开户银行：</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帐号：                   </w:t>
      </w:r>
      <w:r>
        <w:rPr>
          <w:rFonts w:hint="eastAsia" w:ascii="宋体" w:hAnsi="宋体" w:eastAsia="宋体" w:cs="宋体"/>
          <w:b w:val="0"/>
          <w:bCs/>
          <w:color w:val="auto"/>
          <w:sz w:val="22"/>
          <w:szCs w:val="22"/>
          <w:highlight w:val="none"/>
        </w:rPr>
        <w:t>帐号：</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帐号：</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p>
    <w:p>
      <w:pPr>
        <w:snapToGrid w:val="0"/>
        <w:spacing w:line="360" w:lineRule="auto"/>
        <w:jc w:val="both"/>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注：本合同作为示范文本，具体以中标</w:t>
      </w:r>
      <w:r>
        <w:rPr>
          <w:rFonts w:hint="eastAsia" w:ascii="宋体" w:hAnsi="宋体" w:eastAsia="宋体" w:cs="宋体"/>
          <w:b/>
          <w:bCs/>
          <w:color w:val="auto"/>
          <w:szCs w:val="21"/>
          <w:highlight w:val="none"/>
          <w:u w:val="single"/>
          <w:lang w:val="en-US" w:eastAsia="zh-CN"/>
        </w:rPr>
        <w:t>供应商</w:t>
      </w:r>
      <w:r>
        <w:rPr>
          <w:rFonts w:hint="eastAsia" w:ascii="宋体" w:hAnsi="宋体" w:eastAsia="宋体" w:cs="宋体"/>
          <w:b/>
          <w:bCs/>
          <w:color w:val="auto"/>
          <w:szCs w:val="21"/>
          <w:highlight w:val="none"/>
          <w:u w:val="single"/>
        </w:rPr>
        <w:t>与</w:t>
      </w:r>
      <w:r>
        <w:rPr>
          <w:rFonts w:hint="eastAsia" w:ascii="宋体" w:hAnsi="宋体" w:eastAsia="宋体" w:cs="宋体"/>
          <w:b/>
          <w:bCs/>
          <w:color w:val="auto"/>
          <w:szCs w:val="21"/>
          <w:highlight w:val="none"/>
          <w:u w:val="single"/>
          <w:lang w:val="en-US" w:eastAsia="zh-CN"/>
        </w:rPr>
        <w:t>采购</w:t>
      </w:r>
      <w:r>
        <w:rPr>
          <w:rFonts w:hint="eastAsia" w:ascii="宋体" w:hAnsi="宋体" w:eastAsia="宋体" w:cs="宋体"/>
          <w:b/>
          <w:bCs/>
          <w:color w:val="auto"/>
          <w:szCs w:val="21"/>
          <w:highlight w:val="none"/>
          <w:u w:val="single"/>
        </w:rPr>
        <w:t>人所签定正式合同为准。</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auto"/>
          <w:sz w:val="22"/>
          <w:szCs w:val="22"/>
          <w:highlight w:val="none"/>
        </w:rPr>
      </w:pPr>
    </w:p>
    <w:p>
      <w:pPr>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bCs/>
          <w:color w:val="auto"/>
          <w:sz w:val="36"/>
          <w:szCs w:val="36"/>
          <w:highlight w:val="none"/>
          <w:lang w:val="en-US" w:eastAsia="zh-CN"/>
        </w:rPr>
      </w:pPr>
      <w:bookmarkStart w:id="224" w:name="_Toc18276"/>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 xml:space="preserve">第四部分   </w:t>
      </w:r>
      <w:bookmarkEnd w:id="82"/>
      <w:bookmarkEnd w:id="83"/>
      <w:bookmarkEnd w:id="84"/>
      <w:r>
        <w:rPr>
          <w:rFonts w:hint="eastAsia" w:ascii="宋体" w:hAnsi="宋体" w:eastAsia="宋体" w:cs="宋体"/>
          <w:b/>
          <w:bCs/>
          <w:color w:val="auto"/>
          <w:sz w:val="36"/>
          <w:szCs w:val="36"/>
          <w:highlight w:val="none"/>
        </w:rPr>
        <w:t>附件</w:t>
      </w:r>
      <w:bookmarkEnd w:id="224"/>
    </w:p>
    <w:p>
      <w:pPr>
        <w:spacing w:line="460" w:lineRule="exact"/>
        <w:ind w:left="22" w:hanging="22" w:hangingChars="8"/>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附件一 ：资格文件（适用所有标项）</w:t>
      </w:r>
    </w:p>
    <w:p>
      <w:pPr>
        <w:pStyle w:val="26"/>
        <w:spacing w:after="0" w:line="360" w:lineRule="auto"/>
        <w:ind w:firstLine="0" w:firstLineChars="0"/>
        <w:rPr>
          <w:rFonts w:hint="eastAsia" w:ascii="宋体" w:hAnsi="宋体" w:eastAsia="宋体" w:cs="宋体"/>
          <w:bCs/>
          <w:color w:val="auto"/>
          <w:sz w:val="21"/>
          <w:szCs w:val="21"/>
          <w:highlight w:val="none"/>
        </w:rPr>
      </w:pPr>
    </w:p>
    <w:p>
      <w:pPr>
        <w:pStyle w:val="26"/>
        <w:spacing w:after="0"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（1）营业执照(或事业法人登记证书或其它工商等登记证明材料)；</w:t>
      </w:r>
    </w:p>
    <w:p>
      <w:pPr>
        <w:pStyle w:val="25"/>
        <w:spacing w:after="0" w:line="360"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说明：</w:t>
      </w:r>
      <w:r>
        <w:rPr>
          <w:rFonts w:hint="eastAsia" w:ascii="宋体" w:hAnsi="宋体" w:eastAsia="宋体" w:cs="宋体"/>
          <w:bCs/>
          <w:color w:val="auto"/>
          <w:kern w:val="0"/>
          <w:szCs w:val="21"/>
          <w:highlight w:val="none"/>
          <w:lang w:eastAsia="zh-CN"/>
        </w:rPr>
        <w:t>1、投标人</w:t>
      </w:r>
      <w:r>
        <w:rPr>
          <w:rFonts w:hint="eastAsia" w:ascii="宋体" w:hAnsi="宋体" w:eastAsia="宋体" w:cs="宋体"/>
          <w:color w:val="auto"/>
          <w:szCs w:val="21"/>
          <w:highlight w:val="none"/>
          <w:lang w:val="en-US" w:eastAsia="zh-CN"/>
        </w:rPr>
        <w:t>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pStyle w:val="25"/>
        <w:spacing w:after="0" w:line="360" w:lineRule="auto"/>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Cs w:val="21"/>
          <w:highlight w:val="none"/>
          <w:lang w:eastAsia="zh-CN"/>
        </w:rPr>
        <w:t>2、金</w:t>
      </w:r>
      <w:r>
        <w:rPr>
          <w:rFonts w:hint="eastAsia" w:ascii="宋体" w:hAnsi="宋体" w:eastAsia="宋体" w:cs="宋体"/>
          <w:color w:val="auto"/>
          <w:szCs w:val="21"/>
          <w:highlight w:val="none"/>
          <w:lang w:val="en-US" w:eastAsia="zh-CN"/>
        </w:rPr>
        <w:t>融、保险、通讯等特定行业的全国性企业所设立的区域性分支机构，以及个体工商户、个人独资企业、合伙企业参加本项目投标的，除提供投标人自身的营业执照外，还须提供总公司（总机构）授权书或房产权证或其他有效财产证明材料（提供复印件加盖投标人公章），以证明其具备实际承担责任的能力和法定的缔结合同能力。</w:t>
      </w:r>
    </w:p>
    <w:p>
      <w:pPr>
        <w:pStyle w:val="26"/>
        <w:spacing w:after="0" w:line="360" w:lineRule="auto"/>
        <w:ind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3、</w:t>
      </w:r>
      <w:r>
        <w:rPr>
          <w:rFonts w:hint="eastAsia" w:ascii="宋体" w:hAnsi="宋体" w:eastAsia="宋体" w:cs="宋体"/>
          <w:b w:val="0"/>
          <w:bCs/>
          <w:color w:val="auto"/>
          <w:sz w:val="21"/>
          <w:szCs w:val="21"/>
          <w:highlight w:val="none"/>
        </w:rPr>
        <w:t>投标人提供的相应证明材料复印件均应符合：内容完整、清晰、整洁，上传后进行CA电子签章。</w:t>
      </w:r>
    </w:p>
    <w:p>
      <w:pPr>
        <w:pStyle w:val="26"/>
        <w:spacing w:after="0" w:line="360" w:lineRule="auto"/>
        <w:ind w:firstLine="0" w:firstLineChars="0"/>
        <w:rPr>
          <w:rFonts w:hint="eastAsia" w:ascii="宋体" w:hAnsi="宋体" w:eastAsia="宋体" w:cs="宋体"/>
          <w:b w:val="0"/>
          <w:bCs/>
          <w:color w:val="auto"/>
          <w:sz w:val="21"/>
          <w:szCs w:val="21"/>
          <w:highlight w:val="none"/>
          <w:lang w:eastAsia="zh-CN"/>
        </w:rPr>
      </w:pPr>
    </w:p>
    <w:p>
      <w:pPr>
        <w:overflowPunct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（2）具有良好的商业信誉和健全的财务会计制度的承诺函（适用所有标项）</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温州市鹿城区综合行政执法局</w:t>
      </w:r>
      <w:r>
        <w:rPr>
          <w:rFonts w:hint="eastAsia" w:ascii="宋体" w:hAnsi="宋体" w:eastAsia="宋体" w:cs="宋体"/>
          <w:color w:val="auto"/>
          <w:kern w:val="0"/>
          <w:szCs w:val="21"/>
          <w:highlight w:val="none"/>
          <w:u w:val="single"/>
        </w:rPr>
        <w:t>：</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宁波国咨工程造价咨询有限公司</w:t>
      </w:r>
      <w:r>
        <w:rPr>
          <w:rFonts w:hint="eastAsia" w:ascii="宋体" w:hAnsi="宋体" w:eastAsia="宋体" w:cs="宋体"/>
          <w:color w:val="auto"/>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（投标人全称）</w:t>
      </w:r>
      <w:r>
        <w:rPr>
          <w:rFonts w:hint="eastAsia" w:ascii="宋体" w:hAnsi="宋体" w:eastAsia="宋体" w:cs="宋体"/>
          <w:color w:val="auto"/>
          <w:kern w:val="0"/>
          <w:szCs w:val="21"/>
          <w:highlight w:val="none"/>
        </w:rPr>
        <w:t>承诺具有良好的商业信誉和健全的财务会计制度。如有虚假，采购人可取消我方任何资格（投标/中标/签订合同），我方对此无任何异议。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pStyle w:val="25"/>
        <w:spacing w:after="0" w:line="360" w:lineRule="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rPr>
        <w:t>注：新成立的公司，必须提供情况说明</w:t>
      </w:r>
    </w:p>
    <w:p>
      <w:pPr>
        <w:pStyle w:val="26"/>
        <w:ind w:firstLine="321"/>
        <w:rPr>
          <w:rFonts w:hint="eastAsia" w:ascii="宋体" w:hAnsi="宋体" w:eastAsia="宋体" w:cs="宋体"/>
          <w:color w:val="auto"/>
          <w:highlight w:val="none"/>
          <w:lang w:eastAsia="zh-CN"/>
        </w:rPr>
      </w:pPr>
    </w:p>
    <w:p>
      <w:pPr>
        <w:pStyle w:val="25"/>
        <w:spacing w:after="0" w:line="360" w:lineRule="auto"/>
        <w:rPr>
          <w:rFonts w:hint="eastAsia" w:ascii="宋体" w:hAnsi="宋体" w:eastAsia="宋体" w:cs="宋体"/>
          <w:b/>
          <w:color w:val="auto"/>
          <w:szCs w:val="21"/>
          <w:highlight w:val="none"/>
          <w:u w:val="single"/>
          <w:lang w:eastAsia="zh-CN"/>
        </w:rPr>
      </w:pPr>
    </w:p>
    <w:p>
      <w:pPr>
        <w:overflowPunct w:val="0"/>
        <w:spacing w:line="460" w:lineRule="exact"/>
        <w:ind w:firstLine="108" w:firstLineChars="49"/>
        <w:jc w:val="center"/>
        <w:rPr>
          <w:rFonts w:hint="eastAsia" w:ascii="宋体" w:hAnsi="宋体" w:eastAsia="宋体" w:cs="宋体"/>
          <w:b/>
          <w:bCs/>
          <w:color w:val="auto"/>
          <w:szCs w:val="21"/>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Cs w:val="21"/>
          <w:highlight w:val="none"/>
        </w:rPr>
        <w:t>（3） 具有依法缴纳税收和社会保障资金的良好记录的承诺函（适用所有标项）</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温州市鹿城区综合行政执法局</w:t>
      </w:r>
      <w:r>
        <w:rPr>
          <w:rFonts w:hint="eastAsia" w:ascii="宋体" w:hAnsi="宋体" w:eastAsia="宋体" w:cs="宋体"/>
          <w:color w:val="auto"/>
          <w:kern w:val="0"/>
          <w:szCs w:val="21"/>
          <w:highlight w:val="none"/>
          <w:u w:val="single"/>
        </w:rPr>
        <w:t>：</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宁波国咨工程造价咨询有限公司</w:t>
      </w:r>
      <w:r>
        <w:rPr>
          <w:rFonts w:hint="eastAsia" w:ascii="宋体" w:hAnsi="宋体" w:eastAsia="宋体" w:cs="宋体"/>
          <w:color w:val="auto"/>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（投标人全称）</w:t>
      </w:r>
      <w:r>
        <w:rPr>
          <w:rFonts w:hint="eastAsia" w:ascii="宋体" w:hAnsi="宋体" w:eastAsia="宋体" w:cs="宋体"/>
          <w:color w:val="auto"/>
          <w:kern w:val="0"/>
          <w:szCs w:val="21"/>
          <w:highlight w:val="none"/>
        </w:rPr>
        <w:t>承诺具有</w:t>
      </w:r>
      <w:r>
        <w:rPr>
          <w:rFonts w:hint="eastAsia" w:ascii="宋体" w:hAnsi="宋体" w:eastAsia="宋体" w:cs="宋体"/>
          <w:color w:val="auto"/>
          <w:szCs w:val="21"/>
          <w:highlight w:val="none"/>
        </w:rPr>
        <w:t>依法缴纳税收和社会保障资金的良好记录</w:t>
      </w:r>
      <w:r>
        <w:rPr>
          <w:rFonts w:hint="eastAsia" w:ascii="宋体" w:hAnsi="宋体" w:eastAsia="宋体" w:cs="宋体"/>
          <w:color w:val="auto"/>
          <w:kern w:val="0"/>
          <w:szCs w:val="21"/>
          <w:highlight w:val="none"/>
        </w:rPr>
        <w:t>。如有虚假，采购人可取消我方任何资格（投标/中标/签订合同），我方对此无任何异议。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pStyle w:val="25"/>
        <w:spacing w:after="0" w:line="360" w:lineRule="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rPr>
        <w:t>注：新成立的公司，必须提供情况说明</w:t>
      </w:r>
    </w:p>
    <w:p>
      <w:pPr>
        <w:pStyle w:val="26"/>
        <w:spacing w:after="0" w:line="360" w:lineRule="auto"/>
        <w:ind w:firstLine="211"/>
        <w:rPr>
          <w:rFonts w:hint="eastAsia" w:ascii="宋体" w:hAnsi="宋体" w:eastAsia="宋体" w:cs="宋体"/>
          <w:color w:val="auto"/>
          <w:sz w:val="21"/>
          <w:szCs w:val="21"/>
          <w:highlight w:val="none"/>
          <w:lang w:eastAsia="zh-CN"/>
        </w:rPr>
      </w:pPr>
    </w:p>
    <w:p>
      <w:pPr>
        <w:overflowPunct w:val="0"/>
        <w:spacing w:line="360" w:lineRule="auto"/>
        <w:ind w:firstLine="103" w:firstLineChars="49"/>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 具有履行合同所必需的设备和专业技术能力的承诺函（适用所有标项）</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温州市鹿城区综合行政执法局</w:t>
      </w:r>
      <w:r>
        <w:rPr>
          <w:rFonts w:hint="eastAsia" w:ascii="宋体" w:hAnsi="宋体" w:eastAsia="宋体" w:cs="宋体"/>
          <w:color w:val="auto"/>
          <w:kern w:val="0"/>
          <w:szCs w:val="21"/>
          <w:highlight w:val="none"/>
          <w:u w:val="single"/>
        </w:rPr>
        <w:t>：</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eastAsia="zh-CN"/>
        </w:rPr>
        <w:t>宁波国咨工程造价咨询有限公司</w:t>
      </w:r>
      <w:r>
        <w:rPr>
          <w:rFonts w:hint="eastAsia" w:ascii="宋体" w:hAnsi="宋体" w:eastAsia="宋体" w:cs="宋体"/>
          <w:color w:val="auto"/>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（投标人全称）</w:t>
      </w:r>
      <w:r>
        <w:rPr>
          <w:rFonts w:hint="eastAsia" w:ascii="宋体" w:hAnsi="宋体" w:eastAsia="宋体" w:cs="宋体"/>
          <w:color w:val="auto"/>
          <w:kern w:val="0"/>
          <w:szCs w:val="21"/>
          <w:highlight w:val="none"/>
        </w:rPr>
        <w:t>承诺具有履行合同所必需的设备和专业技术能力。如有虚假，采购人可取消我方任何资格（投标/中标/签订合同），我方对此无任何异议。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tabs>
          <w:tab w:val="left" w:pos="420"/>
          <w:tab w:val="left" w:pos="535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（5）参加政府采购活动前3年内（新成立不满三年的组织机构自成立之日起算）在经营活动中没有重大违法记录的声明函（适用所有标项）</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温州市鹿城区综合行政执法局</w:t>
      </w:r>
      <w:r>
        <w:rPr>
          <w:rFonts w:hint="eastAsia" w:ascii="宋体" w:hAnsi="宋体" w:eastAsia="宋体" w:cs="宋体"/>
          <w:color w:val="auto"/>
          <w:kern w:val="0"/>
          <w:szCs w:val="21"/>
          <w:highlight w:val="none"/>
          <w:u w:val="single"/>
        </w:rPr>
        <w:t>：</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宁波国咨工程造价咨询有限公司</w:t>
      </w:r>
      <w:r>
        <w:rPr>
          <w:rFonts w:hint="eastAsia" w:ascii="宋体" w:hAnsi="宋体" w:eastAsia="宋体" w:cs="宋体"/>
          <w:color w:val="auto"/>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（投标人全称）</w:t>
      </w:r>
      <w:r>
        <w:rPr>
          <w:rFonts w:hint="eastAsia" w:ascii="宋体" w:hAnsi="宋体" w:eastAsia="宋体" w:cs="宋体"/>
          <w:color w:val="auto"/>
          <w:kern w:val="0"/>
          <w:szCs w:val="21"/>
          <w:highlight w:val="none"/>
        </w:rPr>
        <w:t>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tabs>
          <w:tab w:val="left" w:pos="420"/>
          <w:tab w:val="left" w:pos="5355"/>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（6）投标人“信用中国”(www.creditchina.gov.cn)；“中国政府采购网”（http://www.ccgp.gov.cn/）信用记录网页截图（招标公告发布之日至投标截止时间前）</w:t>
      </w:r>
      <w:r>
        <w:rPr>
          <w:rFonts w:hint="eastAsia" w:ascii="宋体" w:hAnsi="宋体" w:eastAsia="宋体" w:cs="宋体"/>
          <w:b/>
          <w:bCs/>
          <w:color w:val="auto"/>
          <w:szCs w:val="21"/>
          <w:highlight w:val="none"/>
        </w:rPr>
        <w:t>（适用所有标项）</w:t>
      </w:r>
    </w:p>
    <w:p>
      <w:pPr>
        <w:pStyle w:val="26"/>
        <w:spacing w:after="0" w:line="360" w:lineRule="auto"/>
        <w:ind w:firstLine="211"/>
        <w:rPr>
          <w:rFonts w:hint="eastAsia" w:ascii="宋体" w:hAnsi="宋体" w:eastAsia="宋体" w:cs="宋体"/>
          <w:color w:val="auto"/>
          <w:sz w:val="21"/>
          <w:szCs w:val="21"/>
          <w:highlight w:val="none"/>
          <w:lang w:val="en-US" w:eastAsia="zh-CN"/>
        </w:rPr>
      </w:pPr>
    </w:p>
    <w:p>
      <w:pPr>
        <w:pStyle w:val="26"/>
        <w:spacing w:after="0" w:line="360" w:lineRule="auto"/>
        <w:ind w:firstLine="211"/>
        <w:rPr>
          <w:rFonts w:hint="eastAsia" w:ascii="宋体" w:hAnsi="宋体" w:eastAsia="宋体" w:cs="宋体"/>
          <w:color w:val="auto"/>
          <w:sz w:val="21"/>
          <w:szCs w:val="21"/>
          <w:highlight w:val="none"/>
          <w:lang w:val="en-US" w:eastAsia="zh-CN"/>
        </w:rPr>
      </w:pPr>
    </w:p>
    <w:p>
      <w:pPr>
        <w:pStyle w:val="26"/>
        <w:spacing w:after="0" w:line="360" w:lineRule="auto"/>
        <w:ind w:firstLine="211"/>
        <w:rPr>
          <w:rFonts w:hint="eastAsia" w:ascii="宋体" w:hAnsi="宋体" w:eastAsia="宋体" w:cs="宋体"/>
          <w:color w:val="auto"/>
          <w:sz w:val="21"/>
          <w:szCs w:val="21"/>
          <w:highlight w:val="none"/>
          <w:lang w:val="en-US" w:eastAsia="zh-CN"/>
        </w:rPr>
      </w:pPr>
    </w:p>
    <w:p>
      <w:pPr>
        <w:tabs>
          <w:tab w:val="left" w:pos="420"/>
          <w:tab w:val="left" w:pos="5355"/>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（7）声明函（</w:t>
      </w:r>
      <w:r>
        <w:rPr>
          <w:rFonts w:hint="eastAsia" w:ascii="宋体" w:hAnsi="宋体" w:eastAsia="宋体" w:cs="宋体"/>
          <w:b/>
          <w:bCs/>
          <w:color w:val="auto"/>
          <w:kern w:val="0"/>
          <w:szCs w:val="21"/>
          <w:highlight w:val="none"/>
        </w:rPr>
        <w:t>单位负责人为同一人或者存在直接控股、管理关系的不同投标人，不得参加同一合同项下的政府采购活动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rPr>
        <w:t>（适用所有标项）</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eastAsia="zh-CN"/>
        </w:rPr>
        <w:t>温州市鹿城区综合行政执法局</w:t>
      </w:r>
      <w:r>
        <w:rPr>
          <w:rFonts w:hint="eastAsia" w:ascii="宋体" w:hAnsi="宋体" w:eastAsia="宋体" w:cs="宋体"/>
          <w:color w:val="auto"/>
          <w:kern w:val="0"/>
          <w:szCs w:val="21"/>
          <w:highlight w:val="none"/>
          <w:u w:val="single"/>
        </w:rPr>
        <w:t>：</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eastAsia="zh-CN"/>
        </w:rPr>
        <w:t>宁波国咨工程造价咨询有限公司</w:t>
      </w:r>
      <w:r>
        <w:rPr>
          <w:rFonts w:hint="eastAsia" w:ascii="宋体" w:hAnsi="宋体" w:eastAsia="宋体" w:cs="宋体"/>
          <w:color w:val="auto"/>
          <w:kern w:val="0"/>
          <w:szCs w:val="21"/>
          <w:highlight w:val="none"/>
          <w:u w:val="single"/>
        </w:rPr>
        <w:t>：</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（投标人全称）</w:t>
      </w:r>
      <w:r>
        <w:rPr>
          <w:rFonts w:hint="eastAsia" w:ascii="宋体" w:hAnsi="宋体" w:eastAsia="宋体" w:cs="宋体"/>
          <w:color w:val="auto"/>
          <w:szCs w:val="21"/>
          <w:highlight w:val="none"/>
        </w:rPr>
        <w:t>声明本项目投标时若发生我单位和其他投标人的单位负责人为同一人或者存在直接控股、管理关系的不同单位同时参与投标的，将自动放弃投标或中标资格。</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pPr>
        <w:widowControl/>
        <w:adjustRightInd w:val="0"/>
        <w:snapToGrid w:val="0"/>
        <w:spacing w:line="360" w:lineRule="auto"/>
        <w:ind w:firstLine="420"/>
        <w:jc w:val="left"/>
        <w:rPr>
          <w:rFonts w:hint="eastAsia" w:ascii="宋体" w:hAnsi="宋体" w:eastAsia="宋体" w:cs="宋体"/>
          <w:color w:val="auto"/>
          <w:kern w:val="0"/>
          <w:szCs w:val="21"/>
          <w:highlight w:val="none"/>
        </w:rPr>
      </w:pP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pStyle w:val="26"/>
        <w:spacing w:after="0" w:line="360" w:lineRule="auto"/>
        <w:ind w:firstLine="211"/>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3"/>
        <w:ind w:firstLine="42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（8）法定代表人资格声明书（适用所有标项）</w:t>
      </w:r>
    </w:p>
    <w:p>
      <w:pPr>
        <w:pStyle w:val="3"/>
        <w:ind w:firstLine="0"/>
        <w:rPr>
          <w:rFonts w:hint="eastAsia" w:ascii="宋体" w:hAnsi="宋体" w:eastAsia="宋体" w:cs="宋体"/>
          <w:snapToGrid w:val="0"/>
          <w:color w:val="auto"/>
          <w:kern w:val="0"/>
          <w:sz w:val="21"/>
          <w:szCs w:val="21"/>
          <w:highlight w:val="none"/>
        </w:rPr>
      </w:pPr>
    </w:p>
    <w:p>
      <w:pPr>
        <w:pStyle w:val="3"/>
        <w:ind w:firstLine="0"/>
        <w:rPr>
          <w:rFonts w:hint="eastAsia" w:ascii="宋体" w:hAnsi="宋体" w:eastAsia="宋体" w:cs="宋体"/>
          <w:snapToGrid w:val="0"/>
          <w:color w:val="auto"/>
          <w:kern w:val="0"/>
          <w:sz w:val="21"/>
          <w:szCs w:val="21"/>
          <w:highlight w:val="none"/>
          <w:u w:val="none"/>
          <w:lang w:eastAsia="zh-CN"/>
        </w:rPr>
      </w:pPr>
      <w:r>
        <w:rPr>
          <w:rFonts w:hint="eastAsia" w:ascii="宋体" w:hAnsi="宋体" w:eastAsia="宋体" w:cs="宋体"/>
          <w:snapToGrid w:val="0"/>
          <w:color w:val="auto"/>
          <w:kern w:val="0"/>
          <w:sz w:val="21"/>
          <w:szCs w:val="21"/>
          <w:highlight w:val="none"/>
          <w:u w:val="single"/>
          <w:lang w:eastAsia="zh-CN"/>
        </w:rPr>
        <w:t>温州市鹿城区综合行政执法局</w:t>
      </w:r>
      <w:r>
        <w:rPr>
          <w:rFonts w:hint="eastAsia" w:eastAsia="宋体" w:cs="宋体"/>
          <w:snapToGrid w:val="0"/>
          <w:color w:val="auto"/>
          <w:kern w:val="0"/>
          <w:sz w:val="21"/>
          <w:szCs w:val="21"/>
          <w:highlight w:val="none"/>
          <w:u w:val="none"/>
          <w:lang w:eastAsia="zh-CN"/>
        </w:rPr>
        <w:t>：</w:t>
      </w:r>
    </w:p>
    <w:p>
      <w:pPr>
        <w:pStyle w:val="3"/>
        <w:ind w:firstLine="0"/>
        <w:rPr>
          <w:rFonts w:hint="eastAsia" w:ascii="宋体" w:hAnsi="宋体" w:eastAsia="宋体" w:cs="宋体"/>
          <w:b/>
          <w:bCs/>
          <w:snapToGrid w:val="0"/>
          <w:color w:val="auto"/>
          <w:kern w:val="0"/>
          <w:sz w:val="21"/>
          <w:szCs w:val="21"/>
          <w:highlight w:val="none"/>
          <w:lang w:eastAsia="zh-CN"/>
        </w:rPr>
      </w:pPr>
      <w:r>
        <w:rPr>
          <w:rFonts w:hint="eastAsia" w:eastAsia="宋体" w:cs="宋体"/>
          <w:snapToGrid w:val="0"/>
          <w:color w:val="auto"/>
          <w:kern w:val="0"/>
          <w:sz w:val="21"/>
          <w:szCs w:val="21"/>
          <w:highlight w:val="none"/>
          <w:u w:val="single"/>
          <w:lang w:eastAsia="zh-CN"/>
        </w:rPr>
        <w:t>宁波国咨工程造价咨询有限公司</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lang w:eastAsia="zh-CN"/>
        </w:rPr>
        <w:t>：</w:t>
      </w:r>
    </w:p>
    <w:p>
      <w:pPr>
        <w:pStyle w:val="3"/>
        <w:ind w:firstLine="630" w:firstLineChars="3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我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（姓名）系</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eastAsia="zh-CN"/>
        </w:rPr>
        <w:t>投标人</w:t>
      </w:r>
      <w:r>
        <w:rPr>
          <w:rFonts w:hint="eastAsia" w:ascii="宋体" w:hAnsi="宋体" w:eastAsia="宋体" w:cs="宋体"/>
          <w:snapToGrid w:val="0"/>
          <w:color w:val="auto"/>
          <w:kern w:val="0"/>
          <w:sz w:val="21"/>
          <w:szCs w:val="21"/>
          <w:highlight w:val="none"/>
        </w:rPr>
        <w:t>名称）的法定代表人</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身份证号：</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 xml:space="preserve">联系电话：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lang w:val="en-US" w:eastAsia="zh-CN"/>
        </w:rPr>
        <w:t>，电子邮箱</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w:t>
      </w:r>
    </w:p>
    <w:p>
      <w:pPr>
        <w:pStyle w:val="3"/>
        <w:ind w:firstLine="42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特此证明！</w:t>
      </w:r>
    </w:p>
    <w:p>
      <w:pPr>
        <w:pStyle w:val="3"/>
        <w:ind w:firstLine="420"/>
        <w:rPr>
          <w:rFonts w:hint="eastAsia" w:ascii="宋体" w:hAnsi="宋体" w:eastAsia="宋体" w:cs="宋体"/>
          <w:snapToGrid w:val="0"/>
          <w:color w:val="auto"/>
          <w:kern w:val="0"/>
          <w:sz w:val="21"/>
          <w:szCs w:val="21"/>
          <w:highlight w:val="none"/>
          <w:lang w:eastAsia="zh-CN"/>
        </w:rPr>
      </w:pPr>
    </w:p>
    <w:p>
      <w:pPr>
        <w:pStyle w:val="3"/>
        <w:ind w:firstLine="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投标人全称</w:t>
      </w:r>
      <w:r>
        <w:rPr>
          <w:rFonts w:hint="eastAsia" w:ascii="宋体" w:hAnsi="宋体" w:eastAsia="宋体" w:cs="宋体"/>
          <w:snapToGrid w:val="0"/>
          <w:color w:val="auto"/>
          <w:kern w:val="0"/>
          <w:sz w:val="21"/>
          <w:szCs w:val="21"/>
          <w:highlight w:val="none"/>
        </w:rPr>
        <w:t>：(盖章)</w:t>
      </w:r>
    </w:p>
    <w:p>
      <w:pPr>
        <w:pStyle w:val="3"/>
        <w:ind w:firstLine="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pPr>
        <w:adjustRightInd w:val="0"/>
        <w:spacing w:line="360" w:lineRule="auto"/>
        <w:rPr>
          <w:rFonts w:hint="eastAsia" w:ascii="宋体" w:hAnsi="宋体" w:eastAsia="宋体" w:cs="宋体"/>
          <w:snapToGrid w:val="0"/>
          <w:color w:val="auto"/>
          <w:kern w:val="0"/>
          <w:szCs w:val="21"/>
          <w:highlight w:val="none"/>
        </w:rPr>
      </w:pPr>
    </w:p>
    <w:p>
      <w:pPr>
        <w:adjustRightIn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b/>
          <w:bCs/>
          <w:color w:val="auto"/>
          <w:szCs w:val="21"/>
          <w:highlight w:val="none"/>
        </w:rPr>
        <w:t>特别提醒：投标人应保证法定代表人的联系方式（如手机号码、电子邮箱等）正确并保持畅通</w:t>
      </w:r>
    </w:p>
    <w:p>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58"/>
        <w:tblpPr w:leftFromText="180" w:rightFromText="180" w:vertAnchor="text" w:horzAnchor="page" w:tblpXSpec="center" w:tblpY="49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000" w:type="pct"/>
            <w:noWrap w:val="0"/>
            <w:vAlign w:val="center"/>
          </w:tcPr>
          <w:p>
            <w:pPr>
              <w:spacing w:line="360" w:lineRule="auto"/>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法定代表人身份证复印件</w:t>
            </w:r>
          </w:p>
          <w:p>
            <w:pPr>
              <w:spacing w:line="360" w:lineRule="auto"/>
              <w:ind w:firstLine="422"/>
              <w:jc w:val="center"/>
              <w:rPr>
                <w:rFonts w:hint="eastAsia" w:ascii="宋体" w:hAnsi="宋体" w:eastAsia="宋体" w:cs="宋体"/>
                <w:b/>
                <w:bCs/>
                <w:color w:val="auto"/>
                <w:szCs w:val="21"/>
                <w:highlight w:val="none"/>
              </w:rPr>
            </w:pPr>
          </w:p>
        </w:tc>
      </w:tr>
    </w:tbl>
    <w:p>
      <w:pPr>
        <w:pStyle w:val="26"/>
        <w:spacing w:after="0" w:line="360" w:lineRule="auto"/>
        <w:ind w:firstLine="211"/>
        <w:rPr>
          <w:rFonts w:hint="eastAsia" w:ascii="宋体" w:hAnsi="宋体" w:eastAsia="宋体" w:cs="宋体"/>
          <w:color w:val="auto"/>
          <w:sz w:val="21"/>
          <w:szCs w:val="21"/>
          <w:highlight w:val="none"/>
          <w:lang w:val="en-US" w:eastAsia="zh-CN"/>
        </w:rPr>
      </w:pPr>
    </w:p>
    <w:p>
      <w:pPr>
        <w:pStyle w:val="3"/>
        <w:ind w:firstLine="422"/>
        <w:jc w:val="center"/>
        <w:rPr>
          <w:rFonts w:hint="eastAsia" w:ascii="宋体" w:hAnsi="宋体" w:eastAsia="宋体" w:cs="宋体"/>
          <w:b/>
          <w:bCs/>
          <w:color w:val="auto"/>
          <w:sz w:val="21"/>
          <w:szCs w:val="21"/>
          <w:highlight w:val="none"/>
          <w:lang w:val="en-US" w:eastAsia="zh-CN"/>
        </w:rPr>
      </w:pPr>
    </w:p>
    <w:p>
      <w:pPr>
        <w:pStyle w:val="26"/>
        <w:spacing w:after="0" w:line="360" w:lineRule="auto"/>
        <w:ind w:firstLine="211"/>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授权委托</w:t>
      </w:r>
      <w:r>
        <w:rPr>
          <w:rFonts w:hint="eastAsia" w:ascii="宋体" w:hAnsi="宋体" w:eastAsia="宋体" w:cs="宋体"/>
          <w:color w:val="auto"/>
          <w:sz w:val="21"/>
          <w:szCs w:val="21"/>
          <w:highlight w:val="none"/>
        </w:rPr>
        <w:t>书</w:t>
      </w:r>
      <w:r>
        <w:rPr>
          <w:rFonts w:hint="eastAsia" w:ascii="宋体" w:hAnsi="宋体" w:eastAsia="宋体" w:cs="宋体"/>
          <w:color w:val="auto"/>
          <w:sz w:val="21"/>
          <w:szCs w:val="21"/>
          <w:highlight w:val="none"/>
          <w:lang w:val="en-US" w:eastAsia="zh-CN"/>
        </w:rPr>
        <w:t>（法定代表人为投标人代表时，可不提供）（适用所有标项）</w:t>
      </w:r>
    </w:p>
    <w:p>
      <w:pPr>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snapToGrid w:val="0"/>
          <w:color w:val="auto"/>
          <w:kern w:val="0"/>
          <w:sz w:val="21"/>
          <w:szCs w:val="21"/>
          <w:highlight w:val="none"/>
          <w:u w:val="single"/>
          <w:lang w:eastAsia="zh-CN"/>
        </w:rPr>
        <w:t>温州市鹿城区综合行政执法局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宁波国咨工程造价咨询有限公司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rPr>
          <w:rFonts w:hint="eastAsia" w:ascii="宋体" w:hAnsi="宋体" w:eastAsia="宋体" w:cs="宋体"/>
          <w:color w:val="auto"/>
          <w:szCs w:val="21"/>
          <w:highlight w:val="none"/>
          <w:u w:val="single"/>
        </w:rPr>
      </w:pP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（投标人全称）法定代表人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（全权代表姓名）为全权代表，参加贵处组织的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val="en-US" w:eastAsia="zh-CN"/>
        </w:rPr>
        <w:t>标项</w:t>
      </w:r>
      <w:r>
        <w:rPr>
          <w:rFonts w:hint="eastAsia" w:ascii="宋体" w:hAnsi="宋体" w:eastAsia="宋体" w:cs="宋体"/>
          <w:b/>
          <w:bCs/>
          <w:color w:val="auto"/>
          <w:szCs w:val="21"/>
          <w:highlight w:val="none"/>
        </w:rPr>
        <w:t>名称</w:t>
      </w:r>
      <w:r>
        <w:rPr>
          <w:rFonts w:hint="eastAsia" w:ascii="宋体" w:hAnsi="宋体" w:eastAsia="宋体" w:cs="宋体"/>
          <w:color w:val="auto"/>
          <w:szCs w:val="21"/>
          <w:highlight w:val="none"/>
        </w:rPr>
        <w:t>、项目编号）的采购活动，全权代表我方处理采购活动中的一切事宜。</w:t>
      </w:r>
    </w:p>
    <w:p>
      <w:pPr>
        <w:spacing w:line="360" w:lineRule="auto"/>
        <w:ind w:firstLine="420"/>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法定代表人(签字或盖章)：</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   年    月   日</w:t>
      </w:r>
    </w:p>
    <w:p>
      <w:pPr>
        <w:pStyle w:val="26"/>
        <w:spacing w:after="0" w:line="360" w:lineRule="auto"/>
        <w:ind w:firstLine="211"/>
        <w:rPr>
          <w:rFonts w:hint="eastAsia" w:ascii="宋体" w:hAnsi="宋体" w:eastAsia="宋体" w:cs="宋体"/>
          <w:color w:val="auto"/>
          <w:sz w:val="21"/>
          <w:szCs w:val="21"/>
          <w:highlight w:val="none"/>
          <w:lang w:val="en-US" w:eastAsia="zh-CN"/>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tbl>
      <w:tblPr>
        <w:tblStyle w:val="5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2459"/>
        <w:gridCol w:w="245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授权代表姓名</w:t>
            </w:r>
          </w:p>
        </w:tc>
        <w:tc>
          <w:tcPr>
            <w:tcW w:w="1248" w:type="pct"/>
            <w:noWrap w:val="0"/>
            <w:vAlign w:val="center"/>
          </w:tcPr>
          <w:p>
            <w:pPr>
              <w:spacing w:line="360" w:lineRule="auto"/>
              <w:jc w:val="center"/>
              <w:rPr>
                <w:rFonts w:hint="eastAsia" w:ascii="宋体" w:hAnsi="宋体" w:eastAsia="宋体" w:cs="宋体"/>
                <w:color w:val="auto"/>
                <w:szCs w:val="21"/>
                <w:highlight w:val="none"/>
              </w:rPr>
            </w:pPr>
          </w:p>
        </w:tc>
        <w:tc>
          <w:tcPr>
            <w:tcW w:w="124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手机号码</w:t>
            </w:r>
          </w:p>
        </w:tc>
        <w:tc>
          <w:tcPr>
            <w:tcW w:w="1253" w:type="pct"/>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248" w:type="pct"/>
            <w:noWrap w:val="0"/>
            <w:vAlign w:val="center"/>
          </w:tcPr>
          <w:p>
            <w:pPr>
              <w:spacing w:line="360" w:lineRule="auto"/>
              <w:jc w:val="center"/>
              <w:rPr>
                <w:rFonts w:hint="eastAsia" w:ascii="宋体" w:hAnsi="宋体" w:eastAsia="宋体" w:cs="宋体"/>
                <w:color w:val="auto"/>
                <w:szCs w:val="21"/>
                <w:highlight w:val="none"/>
              </w:rPr>
            </w:pPr>
          </w:p>
        </w:tc>
        <w:tc>
          <w:tcPr>
            <w:tcW w:w="124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tc>
        <w:tc>
          <w:tcPr>
            <w:tcW w:w="1253" w:type="pct"/>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48" w:type="pct"/>
            <w:noWrap w:val="0"/>
            <w:vAlign w:val="center"/>
          </w:tcPr>
          <w:p>
            <w:pPr>
              <w:spacing w:line="360" w:lineRule="auto"/>
              <w:jc w:val="center"/>
              <w:rPr>
                <w:rFonts w:hint="eastAsia" w:ascii="宋体" w:hAnsi="宋体" w:eastAsia="宋体" w:cs="宋体"/>
                <w:color w:val="auto"/>
                <w:szCs w:val="21"/>
                <w:highlight w:val="none"/>
              </w:rPr>
            </w:pPr>
          </w:p>
        </w:tc>
        <w:tc>
          <w:tcPr>
            <w:tcW w:w="1248" w:type="pct"/>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253" w:type="pct"/>
            <w:noWrap w:val="0"/>
            <w:vAlign w:val="center"/>
          </w:tcPr>
          <w:p>
            <w:pPr>
              <w:spacing w:line="360" w:lineRule="auto"/>
              <w:jc w:val="center"/>
              <w:rPr>
                <w:rFonts w:hint="eastAsia" w:ascii="宋体" w:hAnsi="宋体" w:eastAsia="宋体" w:cs="宋体"/>
                <w:color w:val="auto"/>
                <w:szCs w:val="21"/>
                <w:highlight w:val="none"/>
              </w:rPr>
            </w:pPr>
          </w:p>
        </w:tc>
      </w:tr>
    </w:tbl>
    <w:p>
      <w:pPr>
        <w:spacing w:line="360" w:lineRule="auto"/>
        <w:ind w:firstLine="211" w:firstLineChars="1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特别提醒：投标人应保证授权代表的联系方式（如手机号码、电子邮箱等）正确并保持畅通；</w:t>
      </w:r>
    </w:p>
    <w:tbl>
      <w:tblPr>
        <w:tblStyle w:val="58"/>
        <w:tblpPr w:leftFromText="180" w:rightFromText="180" w:vertAnchor="text" w:horzAnchor="page" w:tblpXSpec="center" w:tblpY="49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000" w:type="pct"/>
            <w:noWrap w:val="0"/>
            <w:vAlign w:val="center"/>
          </w:tcPr>
          <w:p>
            <w:pPr>
              <w:spacing w:line="360" w:lineRule="auto"/>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授权代表身份证复印件</w:t>
            </w:r>
          </w:p>
          <w:p>
            <w:pPr>
              <w:spacing w:line="360" w:lineRule="auto"/>
              <w:ind w:firstLine="422"/>
              <w:jc w:val="center"/>
              <w:rPr>
                <w:rFonts w:hint="eastAsia" w:ascii="宋体" w:hAnsi="宋体" w:eastAsia="宋体" w:cs="宋体"/>
                <w:b/>
                <w:bCs/>
                <w:color w:val="auto"/>
                <w:szCs w:val="21"/>
                <w:highlight w:val="none"/>
              </w:rPr>
            </w:pPr>
          </w:p>
        </w:tc>
      </w:tr>
    </w:tbl>
    <w:p>
      <w:pPr>
        <w:pStyle w:val="26"/>
        <w:spacing w:after="0" w:line="360" w:lineRule="auto"/>
        <w:ind w:firstLine="211"/>
        <w:rPr>
          <w:rFonts w:hint="eastAsia" w:ascii="宋体" w:hAnsi="宋体" w:eastAsia="宋体" w:cs="宋体"/>
          <w:color w:val="auto"/>
          <w:sz w:val="21"/>
          <w:szCs w:val="21"/>
          <w:highlight w:val="none"/>
          <w:lang w:val="en-US" w:eastAsia="zh-CN"/>
        </w:rPr>
      </w:pPr>
    </w:p>
    <w:p>
      <w:pPr>
        <w:pStyle w:val="26"/>
        <w:spacing w:after="0" w:line="360" w:lineRule="auto"/>
        <w:ind w:firstLine="211"/>
        <w:rPr>
          <w:rFonts w:hint="eastAsia" w:ascii="宋体" w:hAnsi="宋体" w:eastAsia="宋体" w:cs="宋体"/>
          <w:color w:val="auto"/>
          <w:sz w:val="21"/>
          <w:szCs w:val="21"/>
          <w:highlight w:val="none"/>
          <w:lang w:val="en-US" w:eastAsia="zh-CN"/>
        </w:rPr>
      </w:pPr>
    </w:p>
    <w:p>
      <w:pPr>
        <w:overflowPunct w:val="0"/>
        <w:spacing w:line="4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8"/>
          <w:szCs w:val="28"/>
          <w:highlight w:val="none"/>
        </w:rPr>
        <w:t>附件二：商务技术文件</w:t>
      </w:r>
    </w:p>
    <w:p>
      <w:pPr>
        <w:spacing w:line="460" w:lineRule="exact"/>
        <w:ind w:left="22" w:hanging="22" w:hangingChars="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（1）投 标 函（适用所有标项）</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温州市鹿城区综合行政执法局：</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宁波国咨工程造价咨询有限公司</w:t>
      </w:r>
      <w:r>
        <w:rPr>
          <w:rFonts w:hint="eastAsia" w:ascii="宋体" w:hAnsi="宋体" w:eastAsia="宋体" w:cs="宋体"/>
          <w:color w:val="auto"/>
          <w:sz w:val="22"/>
          <w:szCs w:val="22"/>
          <w:highlight w:val="none"/>
        </w:rPr>
        <w:t>：</w:t>
      </w:r>
    </w:p>
    <w:p>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标项名称</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（授权代表全名，职务）代表我方处理有关本项目投标的一切事宜。</w:t>
      </w:r>
    </w:p>
    <w:p>
      <w:pPr>
        <w:pStyle w:val="17"/>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在此提交的投标文件中，包括如下内</w:t>
      </w:r>
      <w:r>
        <w:rPr>
          <w:rFonts w:hint="eastAsia" w:ascii="宋体" w:hAnsi="宋体" w:eastAsia="宋体" w:cs="宋体"/>
          <w:color w:val="auto"/>
          <w:sz w:val="22"/>
          <w:highlight w:val="none"/>
        </w:rPr>
        <w:t>容：</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1、按“投标人须知”要求编制的投标文件资格文件；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2、按“投标人须知”要求编制的投标文件商务技术文件；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3、按“投标人须知”要求编制的投标文件报价文件；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我方己完全明白招标文件的所有条款要求，并重申以下几点：</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本投标文件的有效期自投标截止日起90天内有效，如中标，有效期将延至合同终止日为止；</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我方已详细研究了招标文件的所有内容包括修改书（如有）和所有已提供的参考资料以及有关附件，我方完全理解并同意放弃在此方面提出含糊意见或误解的一切权力；</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我方郑重承诺所提供的“信用中国网站”、“中国政府采购网”信用查询证明文件真实有效；</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我方在参加本项目前三年内</w:t>
      </w:r>
      <w:r>
        <w:rPr>
          <w:rFonts w:hint="eastAsia" w:ascii="宋体" w:hAnsi="宋体" w:eastAsia="宋体" w:cs="宋体"/>
          <w:color w:val="auto"/>
          <w:sz w:val="22"/>
          <w:highlight w:val="none"/>
          <w:u w:val="single"/>
        </w:rPr>
        <w:t>（被通报或者处罚的违法行为有：               ）</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（在  至  期间禁止参加政府采购活动但是期限届满，须附相关证明文件）</w:t>
      </w:r>
      <w:r>
        <w:rPr>
          <w:rFonts w:hint="eastAsia" w:ascii="宋体" w:hAnsi="宋体" w:eastAsia="宋体" w:cs="宋体"/>
          <w:color w:val="auto"/>
          <w:sz w:val="22"/>
          <w:highlight w:val="none"/>
        </w:rPr>
        <w:t>；</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我方同意提供按照贵方可能要求的与投标有关的一切数据或资料；</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我方理解贵方不一定接受最低报价。</w:t>
      </w:r>
      <w:r>
        <w:rPr>
          <w:rFonts w:hint="eastAsia" w:ascii="宋体" w:hAnsi="宋体" w:eastAsia="宋体" w:cs="宋体"/>
          <w:color w:val="auto"/>
          <w:sz w:val="22"/>
          <w:highlight w:val="none"/>
        </w:rPr>
        <w:tab/>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我方如果中标，将保证履行招标文件以及招标文件修改书（如有）中的全部责任和义务，按质、按量、按期完成《合同书》中的全部任务。</w:t>
      </w:r>
    </w:p>
    <w:p>
      <w:pPr>
        <w:pStyle w:val="470"/>
        <w:numPr>
          <w:ilvl w:val="1"/>
          <w:numId w:val="31"/>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所有与本投标有关的函件请发往下列地址：</w:t>
      </w:r>
    </w:p>
    <w:p>
      <w:pPr>
        <w:spacing w:line="4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xml:space="preserve">                        </w:t>
      </w:r>
    </w:p>
    <w:p>
      <w:pPr>
        <w:spacing w:line="4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p>
    <w:p>
      <w:pPr>
        <w:pStyle w:val="470"/>
        <w:spacing w:line="36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电子邮件:</w:t>
      </w:r>
      <w:r>
        <w:rPr>
          <w:rFonts w:hint="eastAsia" w:ascii="宋体" w:hAnsi="宋体" w:eastAsia="宋体" w:cs="宋体"/>
          <w:color w:val="auto"/>
          <w:sz w:val="22"/>
          <w:highlight w:val="none"/>
          <w:u w:val="single"/>
        </w:rPr>
        <w:t xml:space="preserve">                       </w:t>
      </w:r>
    </w:p>
    <w:p>
      <w:pPr>
        <w:spacing w:line="42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p>
      <w:pPr>
        <w:spacing w:line="420" w:lineRule="exact"/>
        <w:ind w:firstLine="46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sz w:val="22"/>
          <w:szCs w:val="22"/>
          <w:highlight w:val="none"/>
          <w:u w:val="single"/>
        </w:rPr>
        <w:t xml:space="preserve">                   </w:t>
      </w:r>
    </w:p>
    <w:p>
      <w:pPr>
        <w:spacing w:line="420" w:lineRule="exact"/>
        <w:ind w:firstLine="462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w:t>
      </w:r>
      <w:r>
        <w:rPr>
          <w:rFonts w:hint="eastAsia" w:ascii="宋体" w:hAnsi="宋体" w:eastAsia="宋体" w:cs="宋体"/>
          <w:color w:val="auto"/>
          <w:sz w:val="22"/>
          <w:szCs w:val="22"/>
          <w:highlight w:val="none"/>
        </w:rPr>
        <w:t>或授权代表（签字或盖章）：</w:t>
      </w:r>
      <w:r>
        <w:rPr>
          <w:rFonts w:hint="eastAsia" w:ascii="宋体" w:hAnsi="宋体" w:eastAsia="宋体" w:cs="宋体"/>
          <w:color w:val="auto"/>
          <w:sz w:val="22"/>
          <w:szCs w:val="22"/>
          <w:highlight w:val="none"/>
          <w:u w:val="single"/>
        </w:rPr>
        <w:t xml:space="preserve">                              </w:t>
      </w:r>
    </w:p>
    <w:p>
      <w:pPr>
        <w:spacing w:line="460" w:lineRule="exact"/>
        <w:ind w:firstLine="462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     年     月    日</w:t>
      </w:r>
      <w:r>
        <w:rPr>
          <w:rFonts w:hint="eastAsia" w:ascii="宋体" w:hAnsi="宋体" w:eastAsia="宋体" w:cs="宋体"/>
          <w:color w:val="auto"/>
          <w:sz w:val="22"/>
          <w:szCs w:val="22"/>
          <w:highlight w:val="none"/>
          <w:u w:val="single"/>
        </w:rPr>
        <w:t xml:space="preserve">           </w:t>
      </w:r>
    </w:p>
    <w:p>
      <w:pPr>
        <w:spacing w:line="460" w:lineRule="exact"/>
        <w:ind w:firstLine="4620"/>
        <w:rPr>
          <w:rFonts w:hint="eastAsia" w:ascii="宋体" w:hAnsi="宋体" w:eastAsia="宋体" w:cs="宋体"/>
          <w:color w:val="auto"/>
          <w:sz w:val="22"/>
          <w:szCs w:val="22"/>
          <w:highlight w:val="none"/>
          <w:u w:val="single"/>
        </w:rPr>
      </w:pPr>
    </w:p>
    <w:p>
      <w:pPr>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不提供投标函的投标文件将被视为未实质性响应招标文件。</w:t>
      </w:r>
    </w:p>
    <w:p>
      <w:pPr>
        <w:pStyle w:val="26"/>
        <w:ind w:firstLine="32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eastAsia="zh-CN"/>
        </w:rPr>
        <w:t>技术规格、商务条款偏离表</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适用所有标项</w:t>
      </w:r>
      <w:r>
        <w:rPr>
          <w:rFonts w:hint="eastAsia" w:ascii="宋体" w:hAnsi="宋体" w:eastAsia="宋体" w:cs="宋体"/>
          <w:b/>
          <w:color w:val="auto"/>
          <w:sz w:val="28"/>
          <w:szCs w:val="28"/>
          <w:highlight w:val="none"/>
          <w:lang w:eastAsia="zh-CN"/>
        </w:rPr>
        <w:t>）</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标项名称：                                          项目编号：</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条目号</w:t>
            </w: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规范要求</w:t>
            </w: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对应规范</w:t>
            </w: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术</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w:t>
            </w: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ind w:firstLine="220" w:firstLineChars="100"/>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w:t>
            </w: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pPr>
              <w:spacing w:line="380" w:lineRule="exact"/>
              <w:jc w:val="center"/>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highlight w:val="none"/>
        </w:rPr>
        <w:t>不填写此表视为完全响应招标文件内容。</w:t>
      </w:r>
    </w:p>
    <w:p>
      <w:pPr>
        <w:spacing w:line="380" w:lineRule="exact"/>
        <w:ind w:firstLine="4417" w:firstLineChars="2000"/>
        <w:rPr>
          <w:rFonts w:hint="eastAsia" w:ascii="宋体" w:hAnsi="宋体" w:eastAsia="宋体" w:cs="宋体"/>
          <w:b/>
          <w:color w:val="auto"/>
          <w:sz w:val="22"/>
          <w:szCs w:val="22"/>
          <w:highlight w:val="none"/>
        </w:rPr>
      </w:pP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ind w:firstLine="4400" w:firstLineChars="20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日期：  年   月  日</w:t>
      </w: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pStyle w:val="2"/>
        <w:rPr>
          <w:rFonts w:hint="eastAsia"/>
          <w:color w:val="auto"/>
          <w:highlight w:val="none"/>
        </w:rPr>
      </w:pPr>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（3）投标人基本情况表</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适用所有标项</w:t>
      </w:r>
      <w:r>
        <w:rPr>
          <w:rFonts w:hint="eastAsia" w:ascii="宋体" w:hAnsi="宋体" w:eastAsia="宋体" w:cs="宋体"/>
          <w:b/>
          <w:color w:val="auto"/>
          <w:sz w:val="28"/>
          <w:szCs w:val="28"/>
          <w:highlight w:val="none"/>
          <w:lang w:eastAsia="zh-CN"/>
        </w:rPr>
        <w:t>）</w:t>
      </w:r>
    </w:p>
    <w:p>
      <w:pPr>
        <w:pStyle w:val="25"/>
        <w:rPr>
          <w:rFonts w:hint="eastAsia" w:ascii="宋体" w:hAnsi="宋体" w:eastAsia="宋体" w:cs="宋体"/>
          <w:color w:val="auto"/>
          <w:highlight w:val="none"/>
          <w:lang w:val="en-US" w:eastAsia="zh-CN"/>
        </w:rPr>
      </w:pPr>
    </w:p>
    <w:tbl>
      <w:tblPr>
        <w:tblStyle w:val="58"/>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3906"/>
        <w:gridCol w:w="151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shd w:val="clear" w:color="auto" w:fill="FFFFFF"/>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单位名称</w:t>
            </w:r>
          </w:p>
        </w:tc>
        <w:tc>
          <w:tcPr>
            <w:tcW w:w="1997" w:type="pct"/>
            <w:shd w:val="clear" w:color="auto" w:fill="FFFFFF"/>
            <w:noWrap w:val="0"/>
            <w:vAlign w:val="center"/>
          </w:tcPr>
          <w:p>
            <w:pPr>
              <w:jc w:val="center"/>
              <w:rPr>
                <w:rFonts w:hint="eastAsia" w:ascii="宋体" w:hAnsi="宋体" w:eastAsia="宋体" w:cs="宋体"/>
                <w:bCs/>
                <w:color w:val="auto"/>
                <w:sz w:val="22"/>
                <w:szCs w:val="22"/>
                <w:highlight w:val="none"/>
              </w:rPr>
            </w:pPr>
          </w:p>
        </w:tc>
        <w:tc>
          <w:tcPr>
            <w:tcW w:w="775" w:type="pct"/>
            <w:shd w:val="clear" w:color="auto" w:fill="FFFFFF"/>
            <w:noWrap w:val="0"/>
            <w:vAlign w:val="center"/>
          </w:tcPr>
          <w:p>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成立时间</w:t>
            </w:r>
          </w:p>
        </w:tc>
        <w:tc>
          <w:tcPr>
            <w:tcW w:w="1310" w:type="pct"/>
            <w:shd w:val="clear" w:color="auto" w:fill="FFFFFF"/>
            <w:noWrap w:val="0"/>
            <w:vAlign w:val="center"/>
          </w:tcPr>
          <w:p>
            <w:pPr>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注册地址</w:t>
            </w:r>
          </w:p>
        </w:tc>
        <w:tc>
          <w:tcPr>
            <w:tcW w:w="1997" w:type="pct"/>
            <w:noWrap w:val="0"/>
            <w:vAlign w:val="center"/>
          </w:tcPr>
          <w:p>
            <w:pPr>
              <w:spacing w:line="380" w:lineRule="exact"/>
              <w:ind w:firstLine="422"/>
              <w:jc w:val="center"/>
              <w:rPr>
                <w:rFonts w:hint="eastAsia" w:ascii="宋体" w:hAnsi="宋体" w:eastAsia="宋体" w:cs="宋体"/>
                <w:bCs/>
                <w:color w:val="auto"/>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统一社会信用代码</w:t>
            </w:r>
          </w:p>
        </w:tc>
        <w:tc>
          <w:tcPr>
            <w:tcW w:w="1310" w:type="pct"/>
            <w:noWrap w:val="0"/>
            <w:vAlign w:val="center"/>
          </w:tcPr>
          <w:p>
            <w:pPr>
              <w:spacing w:line="380" w:lineRule="exact"/>
              <w:ind w:firstLine="422"/>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经营场所</w:t>
            </w:r>
          </w:p>
        </w:tc>
        <w:tc>
          <w:tcPr>
            <w:tcW w:w="1997" w:type="pct"/>
            <w:noWrap w:val="0"/>
            <w:vAlign w:val="center"/>
          </w:tcPr>
          <w:p>
            <w:pPr>
              <w:spacing w:line="380" w:lineRule="exact"/>
              <w:ind w:firstLine="422"/>
              <w:jc w:val="center"/>
              <w:rPr>
                <w:rFonts w:hint="eastAsia" w:ascii="宋体" w:hAnsi="宋体" w:eastAsia="宋体" w:cs="宋体"/>
                <w:bCs/>
                <w:color w:val="auto"/>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法定代表人姓名</w:t>
            </w:r>
          </w:p>
        </w:tc>
        <w:tc>
          <w:tcPr>
            <w:tcW w:w="1310" w:type="pct"/>
            <w:noWrap w:val="0"/>
            <w:vAlign w:val="center"/>
          </w:tcPr>
          <w:p>
            <w:pPr>
              <w:spacing w:line="380" w:lineRule="exact"/>
              <w:ind w:firstLine="422"/>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主要负责人姓名</w:t>
            </w:r>
          </w:p>
        </w:tc>
        <w:tc>
          <w:tcPr>
            <w:tcW w:w="1997" w:type="pct"/>
            <w:noWrap w:val="0"/>
            <w:vAlign w:val="center"/>
          </w:tcPr>
          <w:p>
            <w:pPr>
              <w:spacing w:line="380" w:lineRule="exact"/>
              <w:ind w:firstLine="422"/>
              <w:jc w:val="center"/>
              <w:rPr>
                <w:rFonts w:hint="eastAsia" w:ascii="宋体" w:hAnsi="宋体" w:eastAsia="宋体" w:cs="宋体"/>
                <w:bCs/>
                <w:color w:val="auto"/>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auto"/>
                <w:sz w:val="22"/>
                <w:szCs w:val="22"/>
                <w:highlight w:val="none"/>
              </w:rPr>
            </w:pPr>
          </w:p>
        </w:tc>
        <w:tc>
          <w:tcPr>
            <w:tcW w:w="1310" w:type="pct"/>
            <w:noWrap w:val="0"/>
            <w:vAlign w:val="center"/>
          </w:tcPr>
          <w:p>
            <w:pPr>
              <w:spacing w:line="380" w:lineRule="exact"/>
              <w:ind w:firstLine="422"/>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股东信息</w:t>
            </w:r>
          </w:p>
        </w:tc>
        <w:tc>
          <w:tcPr>
            <w:tcW w:w="4083" w:type="pct"/>
            <w:gridSpan w:val="3"/>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（股东姓名、持股比例、任职情况）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注册资本</w:t>
            </w:r>
          </w:p>
        </w:tc>
        <w:tc>
          <w:tcPr>
            <w:tcW w:w="1997" w:type="pct"/>
            <w:noWrap w:val="0"/>
            <w:vAlign w:val="center"/>
          </w:tcPr>
          <w:p>
            <w:pPr>
              <w:spacing w:line="380" w:lineRule="exact"/>
              <w:jc w:val="center"/>
              <w:rPr>
                <w:rFonts w:hint="eastAsia" w:ascii="宋体" w:hAnsi="宋体" w:eastAsia="宋体" w:cs="宋体"/>
                <w:bCs/>
                <w:color w:val="auto"/>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企业信用等级</w:t>
            </w:r>
          </w:p>
        </w:tc>
        <w:tc>
          <w:tcPr>
            <w:tcW w:w="1310" w:type="pct"/>
            <w:noWrap w:val="0"/>
            <w:vAlign w:val="center"/>
          </w:tcPr>
          <w:p>
            <w:pPr>
              <w:spacing w:line="380" w:lineRule="exact"/>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专业技术力量</w:t>
            </w:r>
          </w:p>
        </w:tc>
        <w:tc>
          <w:tcPr>
            <w:tcW w:w="4083" w:type="pct"/>
            <w:gridSpan w:val="3"/>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（与本项目合同履约有关的专业技术力量情况说明）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专业设备</w:t>
            </w:r>
          </w:p>
        </w:tc>
        <w:tc>
          <w:tcPr>
            <w:tcW w:w="4083" w:type="pct"/>
            <w:gridSpan w:val="3"/>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（与本项目合同履约有关的专业设备情况说明）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其他说明</w:t>
            </w:r>
          </w:p>
        </w:tc>
        <w:tc>
          <w:tcPr>
            <w:tcW w:w="4083" w:type="pct"/>
            <w:gridSpan w:val="3"/>
            <w:noWrap w:val="0"/>
            <w:vAlign w:val="center"/>
          </w:tcPr>
          <w:p>
            <w:pPr>
              <w:spacing w:line="380" w:lineRule="exact"/>
              <w:jc w:val="center"/>
              <w:rPr>
                <w:rFonts w:hint="eastAsia" w:ascii="宋体" w:hAnsi="宋体" w:eastAsia="宋体" w:cs="宋体"/>
                <w:bCs/>
                <w:color w:val="auto"/>
                <w:sz w:val="22"/>
                <w:szCs w:val="22"/>
                <w:highlight w:val="none"/>
              </w:rPr>
            </w:pPr>
          </w:p>
        </w:tc>
      </w:tr>
    </w:tbl>
    <w:p>
      <w:pPr>
        <w:spacing w:line="38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注：附</w:t>
      </w:r>
      <w:r>
        <w:rPr>
          <w:rFonts w:hint="eastAsia" w:ascii="宋体" w:hAnsi="宋体" w:eastAsia="宋体" w:cs="宋体"/>
          <w:color w:val="auto"/>
          <w:kern w:val="0"/>
          <w:sz w:val="22"/>
          <w:szCs w:val="22"/>
          <w:highlight w:val="none"/>
        </w:rPr>
        <w:t>评分内容条件所要求的投标人相关证书、证明等的扫描件。</w:t>
      </w:r>
    </w:p>
    <w:p>
      <w:pPr>
        <w:rPr>
          <w:rFonts w:hint="eastAsia" w:ascii="宋体" w:hAnsi="宋体" w:eastAsia="宋体" w:cs="宋体"/>
          <w:color w:val="auto"/>
          <w:highlight w:val="none"/>
        </w:rPr>
      </w:pP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（4）项目负责人及主要管理团队情况表</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适用所有标项</w:t>
      </w:r>
      <w:r>
        <w:rPr>
          <w:rFonts w:hint="eastAsia" w:ascii="宋体" w:hAnsi="宋体" w:eastAsia="宋体" w:cs="宋体"/>
          <w:b/>
          <w:color w:val="auto"/>
          <w:sz w:val="28"/>
          <w:szCs w:val="28"/>
          <w:highlight w:val="none"/>
          <w:lang w:eastAsia="zh-CN"/>
        </w:rPr>
        <w:t>）</w:t>
      </w:r>
    </w:p>
    <w:p>
      <w:pPr>
        <w:pStyle w:val="33"/>
        <w:spacing w:line="360" w:lineRule="auto"/>
        <w:ind w:left="661" w:leftChars="315" w:firstLine="1960" w:firstLineChars="700"/>
        <w:rPr>
          <w:rFonts w:hint="eastAsia" w:ascii="宋体" w:hAnsi="宋体" w:eastAsia="宋体" w:cs="宋体"/>
          <w:color w:val="auto"/>
          <w:sz w:val="28"/>
          <w:szCs w:val="28"/>
          <w:highlight w:val="none"/>
        </w:rPr>
      </w:pPr>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082"/>
        <w:gridCol w:w="2845"/>
        <w:gridCol w:w="1625"/>
        <w:gridCol w:w="1625"/>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46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549"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44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c>
          <w:tcPr>
            <w:tcW w:w="824" w:type="pct"/>
            <w:noWrap w:val="0"/>
            <w:vAlign w:val="top"/>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824" w:type="pct"/>
            <w:noWrap w:val="0"/>
            <w:vAlign w:val="top"/>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w:t>
            </w:r>
          </w:p>
        </w:tc>
        <w:tc>
          <w:tcPr>
            <w:tcW w:w="89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auto"/>
                <w:szCs w:val="21"/>
                <w:highlight w:val="none"/>
              </w:rPr>
            </w:pPr>
          </w:p>
        </w:tc>
        <w:tc>
          <w:tcPr>
            <w:tcW w:w="549" w:type="pct"/>
            <w:noWrap w:val="0"/>
            <w:vAlign w:val="top"/>
          </w:tcPr>
          <w:p>
            <w:pPr>
              <w:spacing w:line="360" w:lineRule="auto"/>
              <w:rPr>
                <w:rFonts w:hint="eastAsia" w:ascii="宋体" w:hAnsi="宋体" w:eastAsia="宋体" w:cs="宋体"/>
                <w:color w:val="auto"/>
                <w:szCs w:val="21"/>
                <w:highlight w:val="none"/>
              </w:rPr>
            </w:pPr>
          </w:p>
        </w:tc>
        <w:tc>
          <w:tcPr>
            <w:tcW w:w="1443"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24" w:type="pct"/>
            <w:noWrap w:val="0"/>
            <w:vAlign w:val="top"/>
          </w:tcPr>
          <w:p>
            <w:pPr>
              <w:spacing w:line="360" w:lineRule="auto"/>
              <w:rPr>
                <w:rFonts w:hint="eastAsia" w:ascii="宋体" w:hAnsi="宋体" w:eastAsia="宋体" w:cs="宋体"/>
                <w:color w:val="auto"/>
                <w:szCs w:val="21"/>
                <w:highlight w:val="none"/>
              </w:rPr>
            </w:pPr>
          </w:p>
        </w:tc>
        <w:tc>
          <w:tcPr>
            <w:tcW w:w="892" w:type="pct"/>
            <w:noWrap w:val="0"/>
            <w:vAlign w:val="top"/>
          </w:tcPr>
          <w:p>
            <w:pPr>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w:t>
      </w:r>
      <w:r>
        <w:rPr>
          <w:rFonts w:hint="eastAsia" w:ascii="宋体" w:hAnsi="宋体" w:eastAsia="宋体" w:cs="宋体"/>
          <w:color w:val="auto"/>
          <w:sz w:val="22"/>
          <w:szCs w:val="22"/>
          <w:highlight w:val="none"/>
          <w:lang w:val="en-US" w:eastAsia="zh-CN"/>
        </w:rPr>
        <w:t>附评分细则所要求的相关证明等的扫描件加盖公章，否则评分不予认可</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可按以上表格形式进行复制，附在商务技术文件内。</w:t>
      </w:r>
    </w:p>
    <w:p>
      <w:pPr>
        <w:spacing w:line="380" w:lineRule="exact"/>
        <w:rPr>
          <w:rFonts w:hint="eastAsia" w:ascii="宋体" w:hAnsi="宋体" w:eastAsia="宋体" w:cs="宋体"/>
          <w:color w:val="auto"/>
          <w:kern w:val="0"/>
          <w:sz w:val="22"/>
          <w:szCs w:val="22"/>
          <w:highlight w:val="none"/>
        </w:rPr>
      </w:pPr>
    </w:p>
    <w:p>
      <w:pPr>
        <w:spacing w:line="380" w:lineRule="exact"/>
        <w:ind w:firstLine="4400" w:firstLineChars="2000"/>
        <w:rPr>
          <w:rFonts w:hint="eastAsia" w:ascii="宋体" w:hAnsi="宋体" w:eastAsia="宋体" w:cs="宋体"/>
          <w:color w:val="auto"/>
          <w:sz w:val="22"/>
          <w:szCs w:val="22"/>
          <w:highlight w:val="none"/>
        </w:rPr>
      </w:pP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spacing w:line="380" w:lineRule="exact"/>
        <w:ind w:firstLine="689" w:firstLineChars="245"/>
        <w:jc w:val="center"/>
        <w:rPr>
          <w:rFonts w:hint="eastAsia" w:ascii="宋体" w:hAnsi="宋体" w:eastAsia="宋体" w:cs="宋体"/>
          <w:b/>
          <w:bCs/>
          <w:color w:val="auto"/>
          <w:sz w:val="28"/>
          <w:szCs w:val="28"/>
          <w:highlight w:val="none"/>
        </w:rPr>
      </w:pPr>
      <w:bookmarkStart w:id="225" w:name="_Toc313092397"/>
    </w:p>
    <w:p>
      <w:pPr>
        <w:spacing w:line="40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投标人近三年内（20</w:t>
      </w:r>
      <w:r>
        <w:rPr>
          <w:rFonts w:hint="eastAsia" w:ascii="宋体" w:hAnsi="宋体" w:eastAsia="宋体" w:cs="宋体"/>
          <w:b/>
          <w:color w:val="auto"/>
          <w:sz w:val="28"/>
          <w:szCs w:val="28"/>
          <w:highlight w:val="none"/>
          <w:lang w:val="en-US" w:eastAsia="zh-CN"/>
        </w:rPr>
        <w:t>20</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月1日至今）城市道路保洁服务业绩表</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适用所有标项</w:t>
      </w:r>
      <w:r>
        <w:rPr>
          <w:rFonts w:hint="eastAsia" w:ascii="宋体" w:hAnsi="宋体" w:eastAsia="宋体" w:cs="宋体"/>
          <w:b/>
          <w:color w:val="auto"/>
          <w:sz w:val="28"/>
          <w:szCs w:val="28"/>
          <w:highlight w:val="none"/>
          <w:lang w:eastAsia="zh-CN"/>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2274"/>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0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27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采购单位名称/项目所在地</w:t>
            </w:r>
          </w:p>
        </w:tc>
        <w:tc>
          <w:tcPr>
            <w:tcW w:w="158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合同时间</w:t>
            </w:r>
          </w:p>
        </w:tc>
        <w:tc>
          <w:tcPr>
            <w:tcW w:w="158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w:t>
            </w:r>
          </w:p>
        </w:tc>
        <w:tc>
          <w:tcPr>
            <w:tcW w:w="158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rPr>
                <w:rFonts w:hint="eastAsia" w:ascii="宋体" w:hAnsi="宋体" w:eastAsia="宋体" w:cs="宋体"/>
                <w:color w:val="auto"/>
                <w:sz w:val="22"/>
                <w:szCs w:val="22"/>
                <w:highlight w:val="none"/>
              </w:rPr>
            </w:pPr>
          </w:p>
        </w:tc>
        <w:tc>
          <w:tcPr>
            <w:tcW w:w="1800" w:type="dxa"/>
            <w:noWrap w:val="0"/>
            <w:vAlign w:val="center"/>
          </w:tcPr>
          <w:p>
            <w:pPr>
              <w:jc w:val="center"/>
              <w:rPr>
                <w:rFonts w:hint="eastAsia" w:ascii="宋体" w:hAnsi="宋体" w:eastAsia="宋体" w:cs="宋体"/>
                <w:color w:val="auto"/>
                <w:sz w:val="22"/>
                <w:szCs w:val="22"/>
                <w:highlight w:val="none"/>
              </w:rPr>
            </w:pPr>
          </w:p>
        </w:tc>
        <w:tc>
          <w:tcPr>
            <w:tcW w:w="227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c>
          <w:tcPr>
            <w:tcW w:w="1584" w:type="dxa"/>
            <w:noWrap w:val="0"/>
            <w:vAlign w:val="center"/>
          </w:tcPr>
          <w:p>
            <w:pPr>
              <w:jc w:val="center"/>
              <w:rPr>
                <w:rFonts w:hint="eastAsia" w:ascii="宋体" w:hAnsi="宋体" w:eastAsia="宋体" w:cs="宋体"/>
                <w:color w:val="auto"/>
                <w:sz w:val="22"/>
                <w:szCs w:val="22"/>
                <w:highlight w:val="none"/>
              </w:rPr>
            </w:pPr>
          </w:p>
        </w:tc>
      </w:tr>
    </w:tbl>
    <w:p>
      <w:pPr>
        <w:tabs>
          <w:tab w:val="left" w:pos="840"/>
          <w:tab w:val="left" w:pos="5355"/>
        </w:tabs>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1、表格后附中标（成交）通知书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w:t>
      </w:r>
      <w:r>
        <w:rPr>
          <w:rFonts w:hint="eastAsia" w:ascii="宋体" w:hAnsi="宋体" w:eastAsia="宋体" w:cs="宋体"/>
          <w:color w:val="auto"/>
          <w:sz w:val="22"/>
          <w:szCs w:val="22"/>
          <w:highlight w:val="none"/>
          <w:lang w:val="en-US" w:eastAsia="zh-CN"/>
        </w:rPr>
        <w:t>文本</w:t>
      </w:r>
      <w:r>
        <w:rPr>
          <w:rFonts w:hint="eastAsia" w:ascii="宋体" w:hAnsi="宋体" w:eastAsia="宋体" w:cs="宋体"/>
          <w:color w:val="auto"/>
          <w:sz w:val="22"/>
          <w:szCs w:val="22"/>
          <w:highlight w:val="none"/>
          <w:lang w:eastAsia="zh-CN"/>
        </w:rPr>
        <w:t>、合同履行业主评价书</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确认函（提供</w:t>
      </w:r>
      <w:r>
        <w:rPr>
          <w:rFonts w:hint="eastAsia" w:ascii="宋体" w:hAnsi="宋体" w:eastAsia="宋体" w:cs="宋体"/>
          <w:color w:val="auto"/>
          <w:sz w:val="22"/>
          <w:szCs w:val="22"/>
          <w:highlight w:val="none"/>
          <w:lang w:val="en-US" w:eastAsia="zh-CN"/>
        </w:rPr>
        <w:t>原件扫描件</w:t>
      </w:r>
      <w:r>
        <w:rPr>
          <w:rFonts w:hint="eastAsia" w:ascii="宋体" w:hAnsi="宋体" w:eastAsia="宋体" w:cs="宋体"/>
          <w:color w:val="auto"/>
          <w:sz w:val="22"/>
          <w:szCs w:val="22"/>
          <w:highlight w:val="none"/>
        </w:rPr>
        <w:t>）</w:t>
      </w:r>
    </w:p>
    <w:p>
      <w:pPr>
        <w:tabs>
          <w:tab w:val="left" w:pos="840"/>
          <w:tab w:val="left" w:pos="5355"/>
        </w:tabs>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2、投标人近三年内（20</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月1日至今）城市道路保洁服务业绩须同时满足以下所有条件方为有效业绩，否则评分时不予认可：</w:t>
      </w:r>
    </w:p>
    <w:p>
      <w:pPr>
        <w:numPr>
          <w:ilvl w:val="0"/>
          <w:numId w:val="32"/>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业绩为城市道路保洁，不包括高速，小区和单位内部保洁；</w:t>
      </w:r>
    </w:p>
    <w:p>
      <w:pPr>
        <w:numPr>
          <w:ilvl w:val="0"/>
          <w:numId w:val="32"/>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每一业绩须提供合同文本结合业主单位提供的确认函（</w:t>
      </w:r>
      <w:r>
        <w:rPr>
          <w:rFonts w:hint="eastAsia" w:ascii="宋体" w:hAnsi="宋体" w:eastAsia="宋体" w:cs="宋体"/>
          <w:color w:val="auto"/>
          <w:sz w:val="22"/>
          <w:szCs w:val="22"/>
          <w:highlight w:val="none"/>
        </w:rPr>
        <w:t>具体格式见招标文件</w:t>
      </w:r>
      <w:r>
        <w:rPr>
          <w:rFonts w:hint="eastAsia" w:ascii="宋体" w:hAnsi="宋体" w:eastAsia="宋体" w:cs="宋体"/>
          <w:color w:val="auto"/>
          <w:sz w:val="21"/>
          <w:szCs w:val="21"/>
          <w:highlight w:val="none"/>
          <w:lang w:val="en-US" w:eastAsia="zh-CN"/>
        </w:rPr>
        <w:t>第四部分附件中</w:t>
      </w:r>
      <w:r>
        <w:rPr>
          <w:rFonts w:hint="eastAsia" w:ascii="宋体" w:hAnsi="宋体" w:eastAsia="宋体" w:cs="宋体"/>
          <w:color w:val="auto"/>
          <w:sz w:val="21"/>
          <w:szCs w:val="21"/>
          <w:highlight w:val="none"/>
          <w:u w:val="single"/>
          <w:lang w:val="en-US" w:eastAsia="zh-CN"/>
        </w:rPr>
        <w:t>附件二：商务技术文件</w:t>
      </w:r>
      <w:r>
        <w:rPr>
          <w:rFonts w:hint="eastAsia" w:ascii="宋体" w:hAnsi="宋体" w:eastAsia="宋体" w:cs="宋体"/>
          <w:color w:val="auto"/>
          <w:sz w:val="21"/>
          <w:szCs w:val="21"/>
          <w:highlight w:val="none"/>
          <w:lang w:val="en-US" w:eastAsia="zh-CN"/>
        </w:rPr>
        <w:t>中（6）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lang w:eastAsia="zh-CN"/>
        </w:rPr>
        <w:t>合同履行业主评价书（</w:t>
      </w:r>
      <w:r>
        <w:rPr>
          <w:rFonts w:hint="eastAsia" w:ascii="宋体" w:hAnsi="宋体" w:eastAsia="宋体" w:cs="宋体"/>
          <w:color w:val="auto"/>
          <w:sz w:val="22"/>
          <w:szCs w:val="22"/>
          <w:highlight w:val="none"/>
        </w:rPr>
        <w:t>具体格式见招标文件</w:t>
      </w:r>
      <w:r>
        <w:rPr>
          <w:rFonts w:hint="eastAsia" w:ascii="宋体" w:hAnsi="宋体" w:eastAsia="宋体" w:cs="宋体"/>
          <w:color w:val="auto"/>
          <w:sz w:val="21"/>
          <w:szCs w:val="21"/>
          <w:highlight w:val="none"/>
          <w:lang w:val="en-US" w:eastAsia="zh-CN"/>
        </w:rPr>
        <w:t>第四部分附件中</w:t>
      </w:r>
      <w:r>
        <w:rPr>
          <w:rFonts w:hint="eastAsia" w:ascii="宋体" w:hAnsi="宋体" w:eastAsia="宋体" w:cs="宋体"/>
          <w:color w:val="auto"/>
          <w:sz w:val="21"/>
          <w:szCs w:val="21"/>
          <w:highlight w:val="none"/>
          <w:u w:val="single"/>
          <w:lang w:val="en-US" w:eastAsia="zh-CN"/>
        </w:rPr>
        <w:t>附件二：商务技术文件</w:t>
      </w:r>
      <w:r>
        <w:rPr>
          <w:rFonts w:hint="eastAsia" w:ascii="宋体" w:hAnsi="宋体" w:eastAsia="宋体" w:cs="宋体"/>
          <w:color w:val="auto"/>
          <w:sz w:val="21"/>
          <w:szCs w:val="21"/>
          <w:highlight w:val="none"/>
          <w:lang w:val="en-US" w:eastAsia="zh-CN"/>
        </w:rPr>
        <w:t>中（7），评价结果为良及以上才予以认可。</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，二者缺一不可，证明清扫保洁服务内容为城市道路保洁，非高速，小区和单位内部保洁。</w:t>
      </w:r>
    </w:p>
    <w:p>
      <w:pPr>
        <w:numPr>
          <w:ilvl w:val="0"/>
          <w:numId w:val="32"/>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合同指20</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月1日以后签订的合同，合同签订时间至本项目投标截止时间不少于180天。 </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3、本表可在不改变格式的情况下根据具体需要自行增减。</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确  认  函（适用所有标项）</w:t>
      </w:r>
    </w:p>
    <w:p>
      <w:pPr>
        <w:spacing w:line="600" w:lineRule="exact"/>
        <w:ind w:firstLine="435"/>
        <w:rPr>
          <w:rFonts w:hint="eastAsia" w:ascii="宋体" w:hAnsi="宋体" w:eastAsia="宋体" w:cs="宋体"/>
          <w:color w:val="auto"/>
          <w:sz w:val="22"/>
          <w:highlight w:val="none"/>
        </w:rPr>
      </w:pPr>
    </w:p>
    <w:p>
      <w:pPr>
        <w:spacing w:line="6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（投标人全称）于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日至</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日对</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（服务项目全称）提供道路清扫保洁服务。</w:t>
      </w:r>
    </w:p>
    <w:p>
      <w:pPr>
        <w:spacing w:line="60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项目清扫保洁服务内容为城市道路保洁</w:t>
      </w:r>
      <w:r>
        <w:rPr>
          <w:rFonts w:hint="eastAsia" w:ascii="宋体" w:hAnsi="宋体" w:eastAsia="宋体" w:cs="宋体"/>
          <w:color w:val="auto"/>
          <w:sz w:val="22"/>
          <w:szCs w:val="22"/>
          <w:highlight w:val="none"/>
        </w:rPr>
        <w:t>，指城市建成区的车行道、人行道、街巷、桥梁（立交桥、高加桥、隧道、人行过街天桥等）、地下通道、广场、停车场、公共绿地等活动场所的保洁，非高速，小区和单位内部保洁。</w:t>
      </w:r>
    </w:p>
    <w:p>
      <w:pPr>
        <w:spacing w:line="600" w:lineRule="exact"/>
        <w:ind w:firstLine="435"/>
        <w:rPr>
          <w:rFonts w:hint="eastAsia" w:ascii="宋体" w:hAnsi="宋体" w:eastAsia="宋体" w:cs="宋体"/>
          <w:color w:val="auto"/>
          <w:sz w:val="22"/>
          <w:highlight w:val="none"/>
          <w:lang w:val="en-US" w:eastAsia="zh-CN"/>
        </w:rPr>
      </w:pPr>
    </w:p>
    <w:p>
      <w:pPr>
        <w:spacing w:line="600" w:lineRule="exact"/>
        <w:ind w:firstLine="435"/>
        <w:rPr>
          <w:rFonts w:hint="eastAsia" w:ascii="宋体" w:hAnsi="宋体" w:eastAsia="宋体" w:cs="宋体"/>
          <w:color w:val="auto"/>
          <w:sz w:val="22"/>
          <w:highlight w:val="none"/>
        </w:rPr>
      </w:pPr>
    </w:p>
    <w:p>
      <w:pPr>
        <w:spacing w:line="600" w:lineRule="exact"/>
        <w:ind w:firstLine="5940"/>
        <w:rPr>
          <w:rFonts w:hint="eastAsia" w:ascii="宋体" w:hAnsi="宋体" w:eastAsia="宋体" w:cs="宋体"/>
          <w:color w:val="auto"/>
          <w:sz w:val="22"/>
          <w:highlight w:val="none"/>
        </w:rPr>
      </w:pPr>
      <w:r>
        <w:rPr>
          <w:rFonts w:hint="eastAsia" w:ascii="宋体" w:hAnsi="宋体" w:eastAsia="宋体" w:cs="宋体"/>
          <w:color w:val="auto"/>
          <w:sz w:val="22"/>
          <w:highlight w:val="none"/>
        </w:rPr>
        <w:t>业主单位全称（加盖公章）</w:t>
      </w:r>
    </w:p>
    <w:p>
      <w:pPr>
        <w:spacing w:line="600" w:lineRule="exact"/>
        <w:ind w:firstLine="5940"/>
        <w:rPr>
          <w:rFonts w:hint="eastAsia" w:ascii="宋体" w:hAnsi="宋体" w:eastAsia="宋体" w:cs="宋体"/>
          <w:color w:val="auto"/>
          <w:sz w:val="22"/>
          <w:highlight w:val="none"/>
        </w:rPr>
      </w:pPr>
      <w:r>
        <w:rPr>
          <w:rFonts w:hint="eastAsia" w:ascii="宋体" w:hAnsi="宋体" w:eastAsia="宋体" w:cs="宋体"/>
          <w:color w:val="auto"/>
          <w:sz w:val="22"/>
          <w:highlight w:val="none"/>
        </w:rPr>
        <w:t>联系人：</w:t>
      </w:r>
    </w:p>
    <w:p>
      <w:pPr>
        <w:spacing w:line="600" w:lineRule="exact"/>
        <w:ind w:firstLine="5940"/>
        <w:rPr>
          <w:rFonts w:hint="eastAsia" w:ascii="宋体" w:hAnsi="宋体" w:eastAsia="宋体" w:cs="宋体"/>
          <w:b/>
          <w:color w:val="auto"/>
          <w:sz w:val="22"/>
          <w:highlight w:val="none"/>
        </w:rPr>
      </w:pPr>
      <w:r>
        <w:rPr>
          <w:rFonts w:hint="eastAsia" w:ascii="宋体" w:hAnsi="宋体" w:eastAsia="宋体" w:cs="宋体"/>
          <w:color w:val="auto"/>
          <w:sz w:val="22"/>
          <w:highlight w:val="none"/>
        </w:rPr>
        <w:t>联系电话（固定电话及移动电话）：</w:t>
      </w:r>
    </w:p>
    <w:p>
      <w:pPr>
        <w:spacing w:line="400" w:lineRule="exact"/>
        <w:jc w:val="center"/>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合同履行业主评价书</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适用所有标项</w:t>
      </w:r>
      <w:r>
        <w:rPr>
          <w:rFonts w:hint="eastAsia" w:ascii="宋体" w:hAnsi="宋体" w:eastAsia="宋体" w:cs="宋体"/>
          <w:b/>
          <w:color w:val="auto"/>
          <w:sz w:val="28"/>
          <w:szCs w:val="28"/>
          <w:highlight w:val="none"/>
          <w:lang w:eastAsia="zh-CN"/>
        </w:rPr>
        <w:t>）</w:t>
      </w:r>
    </w:p>
    <w:p>
      <w:pPr>
        <w:jc w:val="center"/>
        <w:rPr>
          <w:rFonts w:hint="eastAsia" w:ascii="宋体" w:hAnsi="宋体" w:eastAsia="宋体" w:cs="宋体"/>
          <w:b/>
          <w:color w:val="auto"/>
          <w:sz w:val="28"/>
          <w:szCs w:val="28"/>
          <w:highlight w:val="none"/>
        </w:rPr>
      </w:pPr>
    </w:p>
    <w:p>
      <w:pPr>
        <w:autoSpaceDE w:val="0"/>
        <w:autoSpaceDN w:val="0"/>
        <w:adjustRightIn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2123"/>
        <w:gridCol w:w="7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业主名称</w:t>
            </w:r>
          </w:p>
        </w:tc>
        <w:tc>
          <w:tcPr>
            <w:tcW w:w="7207"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项目地址</w:t>
            </w:r>
          </w:p>
        </w:tc>
        <w:tc>
          <w:tcPr>
            <w:tcW w:w="7207"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合同内容</w:t>
            </w:r>
          </w:p>
        </w:tc>
        <w:tc>
          <w:tcPr>
            <w:tcW w:w="7207"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合同履行时间</w:t>
            </w:r>
          </w:p>
        </w:tc>
        <w:tc>
          <w:tcPr>
            <w:tcW w:w="7207" w:type="dxa"/>
            <w:noWrap w:val="0"/>
            <w:vAlign w:val="center"/>
          </w:tcPr>
          <w:p>
            <w:pPr>
              <w:autoSpaceDE w:val="0"/>
              <w:autoSpaceDN w:val="0"/>
              <w:adjustRightInd w:val="0"/>
              <w:jc w:val="center"/>
              <w:rPr>
                <w:rFonts w:hint="eastAsia" w:ascii="宋体" w:hAnsi="宋体" w:eastAsia="宋体" w:cs="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553" w:hRule="atLeast"/>
        </w:trPr>
        <w:tc>
          <w:tcPr>
            <w:tcW w:w="9330" w:type="dxa"/>
            <w:gridSpan w:val="2"/>
            <w:noWrap w:val="0"/>
            <w:vAlign w:val="top"/>
          </w:tcPr>
          <w:p>
            <w:pPr>
              <w:autoSpaceDE w:val="0"/>
              <w:autoSpaceDN w:val="0"/>
              <w:adjustRightIn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评定结论:</w:t>
            </w:r>
          </w:p>
          <w:p>
            <w:pPr>
              <w:autoSpaceDE w:val="0"/>
              <w:autoSpaceDN w:val="0"/>
              <w:adjustRightInd w:val="0"/>
              <w:rPr>
                <w:rFonts w:hint="eastAsia" w:ascii="宋体" w:hAnsi="宋体" w:eastAsia="宋体" w:cs="宋体"/>
                <w:b/>
                <w:color w:val="auto"/>
                <w:sz w:val="22"/>
                <w:szCs w:val="22"/>
                <w:highlight w:val="none"/>
              </w:rPr>
            </w:pPr>
          </w:p>
          <w:p>
            <w:pPr>
              <w:autoSpaceDE w:val="0"/>
              <w:autoSpaceDN w:val="0"/>
              <w:adjustRightInd w:val="0"/>
              <w:rPr>
                <w:rFonts w:hint="eastAsia" w:ascii="宋体" w:hAnsi="宋体" w:eastAsia="宋体" w:cs="宋体"/>
                <w:b/>
                <w:color w:val="auto"/>
                <w:sz w:val="22"/>
                <w:szCs w:val="22"/>
                <w:highlight w:val="none"/>
              </w:rPr>
            </w:pPr>
          </w:p>
          <w:p>
            <w:pPr>
              <w:autoSpaceDE w:val="0"/>
              <w:autoSpaceDN w:val="0"/>
              <w:adjustRightInd w:val="0"/>
              <w:rPr>
                <w:rFonts w:hint="eastAsia" w:ascii="宋体" w:hAnsi="宋体" w:eastAsia="宋体" w:cs="宋体"/>
                <w:b/>
                <w:color w:val="auto"/>
                <w:sz w:val="22"/>
                <w:szCs w:val="22"/>
                <w:highlight w:val="none"/>
              </w:rPr>
            </w:pPr>
          </w:p>
          <w:p>
            <w:pPr>
              <w:autoSpaceDE w:val="0"/>
              <w:autoSpaceDN w:val="0"/>
              <w:adjustRightInd w:val="0"/>
              <w:rPr>
                <w:rFonts w:hint="eastAsia" w:ascii="宋体" w:hAnsi="宋体" w:eastAsia="宋体" w:cs="宋体"/>
                <w:b/>
                <w:color w:val="auto"/>
                <w:sz w:val="22"/>
                <w:szCs w:val="22"/>
                <w:highlight w:val="none"/>
              </w:rPr>
            </w:pPr>
          </w:p>
          <w:p>
            <w:pPr>
              <w:autoSpaceDE w:val="0"/>
              <w:autoSpaceDN w:val="0"/>
              <w:adjustRightInd w:val="0"/>
              <w:rPr>
                <w:rFonts w:hint="eastAsia" w:ascii="宋体" w:hAnsi="宋体" w:eastAsia="宋体" w:cs="宋体"/>
                <w:b/>
                <w:color w:val="auto"/>
                <w:sz w:val="22"/>
                <w:szCs w:val="22"/>
                <w:highlight w:val="none"/>
              </w:rPr>
            </w:pPr>
          </w:p>
        </w:tc>
      </w:tr>
    </w:tbl>
    <w:p>
      <w:pPr>
        <w:spacing w:line="43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注：1、评定结论请填写：优、良、中、差。</w:t>
      </w:r>
    </w:p>
    <w:p>
      <w:pPr>
        <w:autoSpaceDE w:val="0"/>
        <w:autoSpaceDN w:val="0"/>
        <w:adjustRightIn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p>
    <w:p>
      <w:pPr>
        <w:autoSpaceDE w:val="0"/>
        <w:autoSpaceDN w:val="0"/>
        <w:adjustRightInd w:val="0"/>
        <w:spacing w:line="480" w:lineRule="auto"/>
        <w:rPr>
          <w:rFonts w:hint="eastAsia" w:ascii="宋体" w:hAnsi="宋体" w:eastAsia="宋体" w:cs="宋体"/>
          <w:b/>
          <w:color w:val="auto"/>
          <w:sz w:val="22"/>
          <w:szCs w:val="22"/>
          <w:highlight w:val="none"/>
        </w:rPr>
      </w:pPr>
    </w:p>
    <w:p>
      <w:pPr>
        <w:autoSpaceDE w:val="0"/>
        <w:autoSpaceDN w:val="0"/>
        <w:adjustRightInd w:val="0"/>
        <w:spacing w:line="48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业主单位名称（盖章）：</w:t>
      </w:r>
    </w:p>
    <w:p>
      <w:pPr>
        <w:autoSpaceDE w:val="0"/>
        <w:autoSpaceDN w:val="0"/>
        <w:adjustRightInd w:val="0"/>
        <w:spacing w:line="48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代表（签字）：</w:t>
      </w:r>
    </w:p>
    <w:p>
      <w:pPr>
        <w:autoSpaceDE w:val="0"/>
        <w:autoSpaceDN w:val="0"/>
        <w:adjustRightInd w:val="0"/>
        <w:spacing w:line="48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联系电话:</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                                           日    期：    年   月   日</w:t>
      </w: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bookmarkEnd w:id="225"/>
    <w:p>
      <w:pPr>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bCs/>
          <w:color w:val="auto"/>
          <w:kern w:val="2"/>
          <w:sz w:val="28"/>
          <w:szCs w:val="28"/>
          <w:highlight w:val="none"/>
          <w:lang w:val="en-US" w:eastAsia="zh-CN" w:bidi="ar-SA"/>
        </w:rPr>
        <w:t>（8）法定代表人诚信投标承诺书</w:t>
      </w:r>
      <w:r>
        <w:rPr>
          <w:rFonts w:hint="eastAsia" w:ascii="宋体" w:hAnsi="宋体" w:eastAsia="宋体" w:cs="宋体"/>
          <w:b/>
          <w:color w:val="auto"/>
          <w:sz w:val="28"/>
          <w:szCs w:val="28"/>
          <w:highlight w:val="none"/>
        </w:rPr>
        <w:t>（适用所有标项）</w:t>
      </w:r>
    </w:p>
    <w:p>
      <w:pPr>
        <w:pStyle w:val="6"/>
        <w:pageBreakBefore w:val="0"/>
        <w:widowControl/>
        <w:numPr>
          <w:ilvl w:val="1"/>
          <w:numId w:val="0"/>
        </w:numPr>
        <w:tabs>
          <w:tab w:val="left" w:pos="840"/>
        </w:tabs>
        <w:kinsoku/>
        <w:wordWrap/>
        <w:overflowPunct/>
        <w:topLinePunct w:val="0"/>
        <w:autoSpaceDE/>
        <w:autoSpaceDN/>
        <w:bidi w:val="0"/>
        <w:adjustRightInd/>
        <w:snapToGrid/>
        <w:spacing w:before="0" w:after="0" w:line="360" w:lineRule="auto"/>
        <w:ind w:left="0" w:leftChars="0" w:right="0"/>
        <w:jc w:val="center"/>
        <w:textAlignment w:val="auto"/>
        <w:rPr>
          <w:rFonts w:hint="eastAsia" w:ascii="宋体" w:hAnsi="宋体" w:eastAsia="宋体" w:cs="宋体"/>
          <w:b/>
          <w:bCs/>
          <w:color w:val="auto"/>
          <w:kern w:val="2"/>
          <w:sz w:val="28"/>
          <w:szCs w:val="28"/>
          <w:highlight w:val="none"/>
          <w:lang w:val="zh-CN" w:eastAsia="zh-CN" w:bidi="ar-SA"/>
        </w:rPr>
      </w:pPr>
    </w:p>
    <w:p>
      <w:pPr>
        <w:pageBreakBefore w:val="0"/>
        <w:widowControl/>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本人以企业法定代表人的身份郑重承诺：</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将遵循公开、公平、公正和诚信信用的原则参加</w:t>
      </w: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标项</w:t>
      </w:r>
      <w:r>
        <w:rPr>
          <w:rFonts w:hint="eastAsia" w:ascii="宋体" w:hAnsi="宋体" w:eastAsia="宋体" w:cs="宋体"/>
          <w:b/>
          <w:bCs/>
          <w:color w:val="auto"/>
          <w:sz w:val="22"/>
          <w:szCs w:val="22"/>
          <w:highlight w:val="none"/>
          <w:u w:val="single"/>
        </w:rPr>
        <w:t>名称</w:t>
      </w:r>
      <w:r>
        <w:rPr>
          <w:rFonts w:hint="eastAsia" w:ascii="宋体" w:hAnsi="宋体" w:eastAsia="宋体" w:cs="宋体"/>
          <w:color w:val="auto"/>
          <w:sz w:val="22"/>
          <w:szCs w:val="22"/>
          <w:highlight w:val="none"/>
          <w:u w:val="single"/>
        </w:rPr>
        <w:t>：       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的投标：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一、杜绝以收取管理费等形式的一切挂靠、违法转包、分包行为；并选派有丰富经验、无不良行为记录的在项目管理人员、技术人员，严格按采购文件、投标文件及合同等要求保证拟派人员的到岗率。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二、投标文件所提供的一切材料都是真实、有效、合法的。</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三、不与其他供应商相互串通投标报价，不排挤其他供应商的公平竞争，不损害采购人或其他供应商的合法权益。</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四、不与采购人或采购代理机构串通投标，不损害国家利益，社会公共利益或其他人的合法权益。</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五、不向采购人或者评标委员会成员行贿以牟取中标。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六、不以其他人名义投标或者以其他方式弄虚作假，骗取中标。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七、不在开标后进行虚假恶意投诉。</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八、我单位没有被政府机关列入失信被执行人名单、重大税收违法案件当事人名单、政府采购严重违法失信行为记录名单的情形。</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九、没有被各地、各级财政部门禁止参加政府采购活动且在限制期限内。</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本公司若有违反本承诺内容的行为，愿意承担法律责任，包括不限于：取消中标资格；愿意接受相关行政主管部门作出的处罚；给采购人造成损失的，依法承担相应的赔偿责任。</w:t>
      </w:r>
    </w:p>
    <w:p>
      <w:pPr>
        <w:pageBreakBefore w:val="0"/>
        <w:widowControl/>
        <w:kinsoku/>
        <w:wordWrap/>
        <w:overflowPunct/>
        <w:topLinePunct w:val="0"/>
        <w:autoSpaceDE/>
        <w:autoSpaceDN/>
        <w:bidi w:val="0"/>
        <w:adjustRightInd/>
        <w:snapToGrid/>
        <w:spacing w:line="360" w:lineRule="auto"/>
        <w:ind w:left="0" w:leftChars="0" w:right="0" w:firstLine="2970" w:firstLineChars="1350"/>
        <w:textAlignment w:val="auto"/>
        <w:rPr>
          <w:rFonts w:hint="eastAsia" w:ascii="宋体" w:hAnsi="宋体" w:eastAsia="宋体" w:cs="宋体"/>
          <w:color w:val="auto"/>
          <w:sz w:val="22"/>
          <w:szCs w:val="22"/>
          <w:highlight w:val="none"/>
        </w:rPr>
      </w:pPr>
    </w:p>
    <w:p>
      <w:pPr>
        <w:spacing w:line="380" w:lineRule="exact"/>
        <w:ind w:firstLine="41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ind w:firstLine="41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ageBreakBefore w:val="0"/>
        <w:widowControl/>
        <w:kinsoku/>
        <w:wordWrap/>
        <w:overflowPunct/>
        <w:topLinePunct w:val="0"/>
        <w:autoSpaceDE/>
        <w:autoSpaceDN/>
        <w:bidi w:val="0"/>
        <w:adjustRightInd/>
        <w:snapToGrid/>
        <w:spacing w:line="360" w:lineRule="auto"/>
        <w:ind w:left="0" w:leftChars="0" w:right="0" w:firstLine="3403" w:firstLineChars="1547"/>
        <w:jc w:val="center"/>
        <w:textAlignment w:val="auto"/>
        <w:rPr>
          <w:rFonts w:hint="eastAsia" w:ascii="宋体" w:hAnsi="宋体" w:eastAsia="宋体" w:cs="宋体"/>
          <w:color w:val="auto"/>
          <w:sz w:val="22"/>
          <w:szCs w:val="22"/>
          <w:highlight w:val="none"/>
        </w:rPr>
      </w:pPr>
    </w:p>
    <w:p>
      <w:pPr>
        <w:pageBreakBefore w:val="0"/>
        <w:widowControl/>
        <w:kinsoku/>
        <w:wordWrap/>
        <w:overflowPunct/>
        <w:topLinePunct w:val="0"/>
        <w:autoSpaceDE/>
        <w:autoSpaceDN/>
        <w:bidi w:val="0"/>
        <w:adjustRightInd/>
        <w:snapToGrid/>
        <w:spacing w:line="360" w:lineRule="auto"/>
        <w:ind w:left="0" w:leftChars="0" w:right="0"/>
        <w:jc w:val="both"/>
        <w:textAlignment w:val="auto"/>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▲注：供应商必须提供本承诺书，不提供按无效投标处理。</w:t>
      </w:r>
    </w:p>
    <w:p>
      <w:pPr>
        <w:pStyle w:val="6"/>
        <w:pageBreakBefore w:val="0"/>
        <w:widowControl/>
        <w:numPr>
          <w:ilvl w:val="1"/>
          <w:numId w:val="0"/>
        </w:numPr>
        <w:tabs>
          <w:tab w:val="left" w:pos="840"/>
        </w:tabs>
        <w:kinsoku/>
        <w:wordWrap/>
        <w:overflowPunct/>
        <w:topLinePunct w:val="0"/>
        <w:autoSpaceDE/>
        <w:autoSpaceDN/>
        <w:bidi w:val="0"/>
        <w:adjustRightInd/>
        <w:snapToGrid/>
        <w:spacing w:before="0" w:after="0" w:line="360" w:lineRule="auto"/>
        <w:ind w:left="0" w:leftChars="0" w:right="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2"/>
          <w:szCs w:val="22"/>
          <w:highlight w:val="none"/>
        </w:rPr>
        <w:br w:type="page"/>
      </w:r>
      <w:bookmarkStart w:id="226" w:name="_Toc72407453"/>
      <w:bookmarkStart w:id="227" w:name="_Toc14578"/>
      <w:bookmarkStart w:id="228" w:name="_Toc338075726"/>
      <w:bookmarkStart w:id="229" w:name="_Toc5784"/>
      <w:r>
        <w:rPr>
          <w:rFonts w:hint="eastAsia" w:ascii="宋体" w:hAnsi="宋体" w:eastAsia="宋体" w:cs="宋体"/>
          <w:b/>
          <w:bCs/>
          <w:color w:val="auto"/>
          <w:kern w:val="2"/>
          <w:sz w:val="28"/>
          <w:szCs w:val="28"/>
          <w:highlight w:val="none"/>
          <w:lang w:val="en-US" w:eastAsia="zh-CN" w:bidi="ar-SA"/>
        </w:rPr>
        <w:t>（9）环卫保洁承诺书</w:t>
      </w:r>
      <w:bookmarkEnd w:id="226"/>
      <w:bookmarkEnd w:id="227"/>
      <w:bookmarkEnd w:id="228"/>
      <w:bookmarkEnd w:id="229"/>
      <w:r>
        <w:rPr>
          <w:rFonts w:hint="eastAsia" w:ascii="宋体" w:hAnsi="宋体" w:eastAsia="宋体" w:cs="宋体"/>
          <w:b/>
          <w:color w:val="auto"/>
          <w:sz w:val="28"/>
          <w:szCs w:val="28"/>
          <w:highlight w:val="none"/>
        </w:rPr>
        <w:t>（适用所有标项）</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bookmarkStart w:id="230" w:name="_附件八___建议与少量偏离表"/>
      <w:bookmarkEnd w:id="230"/>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我方全面阅读和研究了</w:t>
      </w: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标项</w:t>
      </w:r>
      <w:r>
        <w:rPr>
          <w:rFonts w:hint="eastAsia" w:ascii="宋体" w:hAnsi="宋体" w:eastAsia="宋体" w:cs="宋体"/>
          <w:b/>
          <w:bCs/>
          <w:color w:val="auto"/>
          <w:sz w:val="22"/>
          <w:szCs w:val="22"/>
          <w:highlight w:val="none"/>
          <w:u w:val="single"/>
        </w:rPr>
        <w:t>名称</w:t>
      </w:r>
      <w:r>
        <w:rPr>
          <w:rFonts w:hint="eastAsia" w:ascii="宋体" w:hAnsi="宋体" w:eastAsia="宋体" w:cs="宋体"/>
          <w:color w:val="auto"/>
          <w:sz w:val="22"/>
          <w:szCs w:val="22"/>
          <w:highlight w:val="none"/>
          <w:u w:val="single"/>
        </w:rPr>
        <w:t>：       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已充分理解和掌握本次招标的全部有关情况，充分理解</w:t>
      </w:r>
      <w:r>
        <w:rPr>
          <w:rFonts w:hint="eastAsia" w:ascii="宋体" w:hAnsi="宋体" w:eastAsia="宋体" w:cs="宋体"/>
          <w:color w:val="auto"/>
          <w:sz w:val="22"/>
          <w:szCs w:val="22"/>
          <w:highlight w:val="none"/>
          <w:lang w:val="en-US" w:eastAsia="zh-CN"/>
        </w:rPr>
        <w:t>本项目</w:t>
      </w:r>
      <w:r>
        <w:rPr>
          <w:rFonts w:hint="eastAsia" w:ascii="宋体" w:hAnsi="宋体" w:eastAsia="宋体" w:cs="宋体"/>
          <w:color w:val="auto"/>
          <w:sz w:val="22"/>
          <w:szCs w:val="22"/>
          <w:highlight w:val="none"/>
        </w:rPr>
        <w:t>的重要性，同意接受采购文件的全部内容和条件，如果我公司中标，承诺如下：</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1、按采购文件要求做好清扫保洁工作。</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2、对员工做好安全教育，消除事故隐患，并承担安全责任及发生的费用。</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3、自行解决员工食宿、机械车辆停车、洗车场地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大件垃圾临时堆放场地</w:t>
      </w:r>
      <w:r>
        <w:rPr>
          <w:rFonts w:hint="eastAsia" w:ascii="宋体" w:hAnsi="宋体" w:eastAsia="宋体" w:cs="宋体"/>
          <w:color w:val="auto"/>
          <w:sz w:val="22"/>
          <w:szCs w:val="22"/>
          <w:highlight w:val="none"/>
        </w:rPr>
        <w:t>。</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4、在合同期内，同意因市政建设需要征用、临时占用需要调整清扫保洁面积时，采购人可根据占用的时间和面积数，扣除相应的清扫保洁费。</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5、在合同期内，出现新增道路，新增小区或因改造、改建新增清扫保洁面积时，采购人可根据实际情况做出调整，或增加清扫保洁费的决定。</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6、本清扫保洁作业除在招投标文件中列明并经采购人同意外，同意不得将本项目分包与转包，一经发现立即取消承包资格，并承担由此引起的法律责任及一切经济损失。</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7、按采购文件的要求和承诺配备人员。擅自减少清扫保洁人员的，采购人有权根据考核结</w:t>
      </w:r>
      <w:r>
        <w:rPr>
          <w:rFonts w:hint="eastAsia" w:ascii="宋体" w:hAnsi="宋体" w:eastAsia="宋体" w:cs="宋体"/>
          <w:color w:val="auto"/>
          <w:sz w:val="22"/>
          <w:szCs w:val="22"/>
          <w:highlight w:val="none"/>
          <w:lang w:val="en-US" w:eastAsia="zh-CN"/>
        </w:rPr>
        <w:t>果</w:t>
      </w:r>
      <w:r>
        <w:rPr>
          <w:rFonts w:hint="eastAsia" w:ascii="宋体" w:hAnsi="宋体" w:eastAsia="宋体" w:cs="宋体"/>
          <w:color w:val="auto"/>
          <w:sz w:val="22"/>
          <w:szCs w:val="22"/>
          <w:highlight w:val="none"/>
        </w:rPr>
        <w:t>进行处罚，并保留向违规供应商进一步索赔的权利，将违规供应商列入不诚信供应商黑名单。</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8、作业机械车辆（含增配）弄虚作假没有实际作业的，一经发现，扣除作业机械车辆全年清扫费用，并有权终止采购合同，保留向违规供应商进一步索赔的权利，将违规供应商列入不诚信供应商黑名单。</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9、提供用于本项目的机动车辆如出安全事故，则由我公司自行负责处理并承担相应责任和费用，并根据驾驶员责任大小处以500元-2000元的罚款，罚款从承包费中扣除。</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10、本项目专用的机械设备（车辆）建立使用台账，做好使用记录。采购人有权进行检查</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11、如果我公司不遵守承诺，采购人有权履约保证金不予退还，并接受政府采购有关法规处罚，我们没有异议。</w:t>
      </w:r>
    </w:p>
    <w:p>
      <w:pPr>
        <w:pageBreakBefore w:val="0"/>
        <w:widowControl/>
        <w:kinsoku/>
        <w:wordWrap/>
        <w:overflowPunct/>
        <w:topLinePunct w:val="0"/>
        <w:autoSpaceDE/>
        <w:autoSpaceDN/>
        <w:bidi w:val="0"/>
        <w:adjustRightInd/>
        <w:snapToGrid/>
        <w:spacing w:line="360" w:lineRule="auto"/>
        <w:ind w:left="0" w:leftChars="0" w:right="0" w:firstLine="3524" w:firstLineChars="1602"/>
        <w:jc w:val="right"/>
        <w:textAlignment w:val="auto"/>
        <w:rPr>
          <w:rFonts w:hint="eastAsia" w:ascii="宋体" w:hAnsi="宋体" w:eastAsia="宋体" w:cs="宋体"/>
          <w:color w:val="auto"/>
          <w:sz w:val="22"/>
          <w:szCs w:val="22"/>
          <w:highlight w:val="none"/>
        </w:rPr>
      </w:pPr>
    </w:p>
    <w:p>
      <w:pPr>
        <w:spacing w:line="380" w:lineRule="exact"/>
        <w:ind w:firstLine="41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ind w:firstLine="41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849"/>
        <w:pageBreakBefore w:val="0"/>
        <w:widowControl/>
        <w:numPr>
          <w:ilvl w:val="0"/>
          <w:numId w:val="0"/>
        </w:numPr>
        <w:kinsoku/>
        <w:wordWrap/>
        <w:overflowPunct/>
        <w:topLinePunct w:val="0"/>
        <w:autoSpaceDE/>
        <w:autoSpaceDN/>
        <w:bidi w:val="0"/>
        <w:adjustRightInd/>
        <w:snapToGrid/>
        <w:spacing w:line="360" w:lineRule="auto"/>
        <w:ind w:left="-420" w:leftChars="0" w:right="0" w:rightChars="0"/>
        <w:textAlignment w:val="auto"/>
        <w:rPr>
          <w:rFonts w:hint="eastAsia" w:ascii="宋体" w:hAnsi="宋体" w:eastAsia="宋体" w:cs="宋体"/>
          <w:color w:val="auto"/>
          <w:sz w:val="22"/>
          <w:szCs w:val="22"/>
          <w:highlight w:val="none"/>
        </w:rPr>
      </w:pPr>
    </w:p>
    <w:p>
      <w:pPr>
        <w:pageBreakBefore w:val="0"/>
        <w:widowControl/>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▲注：供应商必须提供本承诺书，不提供按无效投标处理。</w:t>
      </w:r>
    </w:p>
    <w:p>
      <w:pPr>
        <w:ind w:right="-10"/>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kern w:val="2"/>
          <w:sz w:val="28"/>
          <w:szCs w:val="28"/>
          <w:highlight w:val="none"/>
          <w:lang w:val="en-US" w:eastAsia="zh-CN" w:bidi="ar-SA"/>
        </w:rPr>
        <w:t>（10）拟投入本项目最低配置数量要求的设备一览表</w:t>
      </w:r>
      <w:r>
        <w:rPr>
          <w:rFonts w:hint="eastAsia" w:ascii="宋体" w:hAnsi="宋体" w:eastAsia="宋体" w:cs="宋体"/>
          <w:b/>
          <w:color w:val="auto"/>
          <w:sz w:val="28"/>
          <w:szCs w:val="28"/>
          <w:highlight w:val="none"/>
        </w:rPr>
        <w:t>（适用所有标项）</w:t>
      </w:r>
    </w:p>
    <w:p>
      <w:pPr>
        <w:spacing w:after="120" w:afterLines="50"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r>
        <w:rPr>
          <w:rFonts w:hint="eastAsia" w:ascii="宋体" w:hAnsi="宋体" w:eastAsia="宋体" w:cs="宋体"/>
          <w:color w:val="auto"/>
          <w:sz w:val="22"/>
          <w:szCs w:val="22"/>
          <w:highlight w:val="none"/>
        </w:rPr>
        <w:t xml:space="preserve">                                                  采购编号：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864"/>
        <w:gridCol w:w="1061"/>
        <w:gridCol w:w="1061"/>
        <w:gridCol w:w="1061"/>
        <w:gridCol w:w="1061"/>
        <w:gridCol w:w="702"/>
        <w:gridCol w:w="660"/>
        <w:gridCol w:w="760"/>
        <w:gridCol w:w="1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3" w:hRule="atLeast"/>
        </w:trPr>
        <w:tc>
          <w:tcPr>
            <w:tcW w:w="537"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64"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设备名称</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使用时间</w:t>
            </w:r>
            <w:r>
              <w:rPr>
                <w:rFonts w:hint="eastAsia" w:ascii="宋体" w:hAnsi="宋体" w:eastAsia="宋体" w:cs="宋体"/>
                <w:b/>
                <w:color w:val="auto"/>
                <w:sz w:val="22"/>
                <w:szCs w:val="22"/>
                <w:highlight w:val="none"/>
                <w:lang w:val="en-US" w:eastAsia="zh-CN"/>
              </w:rPr>
              <w:t>（使用时间以行驶证为准；如为承诺购买车辆，此项不填写</w:t>
            </w:r>
            <w:r>
              <w:rPr>
                <w:rFonts w:hint="eastAsia" w:ascii="宋体" w:hAnsi="宋体" w:eastAsia="宋体" w:cs="宋体"/>
                <w:b/>
                <w:color w:val="auto"/>
                <w:sz w:val="22"/>
                <w:szCs w:val="22"/>
                <w:highlight w:val="none"/>
                <w:lang w:eastAsia="zh-CN"/>
              </w:rPr>
              <w:t>）</w:t>
            </w: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规格型号、总质量</w:t>
            </w:r>
          </w:p>
        </w:tc>
        <w:tc>
          <w:tcPr>
            <w:tcW w:w="106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品牌/产地</w:t>
            </w: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车牌号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如为承诺购买车辆，此项不填写</w:t>
            </w:r>
            <w:r>
              <w:rPr>
                <w:rFonts w:hint="eastAsia" w:ascii="宋体" w:hAnsi="宋体" w:eastAsia="宋体" w:cs="宋体"/>
                <w:b/>
                <w:color w:val="auto"/>
                <w:sz w:val="22"/>
                <w:szCs w:val="22"/>
                <w:highlight w:val="none"/>
                <w:lang w:eastAsia="zh-CN"/>
              </w:rPr>
              <w:t>）</w:t>
            </w:r>
          </w:p>
        </w:tc>
        <w:tc>
          <w:tcPr>
            <w:tcW w:w="660" w:type="dxa"/>
            <w:tcBorders>
              <w:left w:val="single" w:color="auto" w:sz="4" w:space="0"/>
            </w:tcBorders>
            <w:noWrap w:val="0"/>
            <w:vAlign w:val="center"/>
          </w:tcPr>
          <w:p>
            <w:pPr>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车辆单价（元）</w:t>
            </w:r>
          </w:p>
        </w:tc>
        <w:tc>
          <w:tcPr>
            <w:tcW w:w="760" w:type="dxa"/>
            <w:noWrap w:val="0"/>
            <w:vAlign w:val="center"/>
          </w:tcPr>
          <w:p>
            <w:pPr>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现服务项目名称、地点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如为承诺购买车辆，此项不填写</w:t>
            </w:r>
            <w:r>
              <w:rPr>
                <w:rFonts w:hint="eastAsia" w:ascii="宋体" w:hAnsi="宋体" w:eastAsia="宋体" w:cs="宋体"/>
                <w:b/>
                <w:color w:val="auto"/>
                <w:sz w:val="22"/>
                <w:szCs w:val="22"/>
                <w:highlight w:val="none"/>
                <w:lang w:eastAsia="zh-CN"/>
              </w:rPr>
              <w:t>）</w:t>
            </w:r>
          </w:p>
        </w:tc>
        <w:tc>
          <w:tcPr>
            <w:tcW w:w="1061" w:type="dxa"/>
            <w:noWrap w:val="0"/>
            <w:vAlign w:val="center"/>
          </w:tcPr>
          <w:p>
            <w:pPr>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备注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注明是已有自有车辆或承诺中标后购买车辆</w:t>
            </w:r>
            <w:r>
              <w:rPr>
                <w:rFonts w:hint="eastAsia" w:ascii="宋体" w:hAnsi="宋体" w:eastAsia="宋体" w:cs="宋体"/>
                <w:b/>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64" w:type="dxa"/>
            <w:noWrap w:val="0"/>
            <w:vAlign w:val="center"/>
          </w:tcPr>
          <w:p>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多功能清扫车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64" w:type="dxa"/>
            <w:noWrap w:val="0"/>
            <w:vAlign w:val="center"/>
          </w:tcPr>
          <w:p>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高压冲洗（洒水）车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64" w:type="dxa"/>
            <w:noWrap w:val="0"/>
            <w:vAlign w:val="center"/>
          </w:tcPr>
          <w:p>
            <w:pPr>
              <w:tabs>
                <w:tab w:val="left" w:pos="93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多功能抑尘车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64" w:type="dxa"/>
            <w:noWrap w:val="0"/>
            <w:vAlign w:val="center"/>
          </w:tcPr>
          <w:p>
            <w:pPr>
              <w:tabs>
                <w:tab w:val="left" w:pos="93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护栏清洗车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bl>
    <w:p>
      <w:pPr>
        <w:pStyle w:val="17"/>
        <w:spacing w:line="360" w:lineRule="auto"/>
        <w:ind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注：  </w:t>
      </w:r>
    </w:p>
    <w:p>
      <w:pPr>
        <w:pStyle w:val="17"/>
        <w:spacing w:line="360" w:lineRule="auto"/>
        <w:ind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t>本表</w:t>
      </w:r>
      <w:r>
        <w:rPr>
          <w:rFonts w:hint="eastAsia" w:ascii="宋体" w:hAnsi="宋体" w:eastAsia="宋体" w:cs="宋体"/>
          <w:color w:val="auto"/>
          <w:sz w:val="22"/>
          <w:szCs w:val="22"/>
          <w:highlight w:val="none"/>
          <w:lang w:val="en-US" w:eastAsia="zh-CN"/>
        </w:rPr>
        <w:t>中</w:t>
      </w:r>
      <w:r>
        <w:rPr>
          <w:rFonts w:hint="eastAsia" w:ascii="宋体" w:hAnsi="宋体" w:eastAsia="宋体" w:cs="宋体"/>
          <w:color w:val="auto"/>
          <w:sz w:val="22"/>
          <w:szCs w:val="22"/>
          <w:highlight w:val="none"/>
        </w:rPr>
        <w:t>供应商拟投入的已有自有的保洁机械化作业机具（如</w:t>
      </w:r>
      <w:r>
        <w:rPr>
          <w:rFonts w:hint="eastAsia" w:ascii="宋体" w:hAnsi="宋体" w:eastAsia="宋体" w:cs="宋体"/>
          <w:color w:val="auto"/>
          <w:sz w:val="22"/>
          <w:highlight w:val="none"/>
        </w:rPr>
        <w:t>多功能清扫车、高压冲洗（洒水）车</w:t>
      </w:r>
      <w:r>
        <w:rPr>
          <w:rFonts w:hint="eastAsia" w:ascii="宋体" w:hAnsi="宋体" w:eastAsia="宋体" w:cs="宋体"/>
          <w:color w:val="auto"/>
          <w:sz w:val="22"/>
          <w:highlight w:val="none"/>
          <w:lang w:eastAsia="zh-CN"/>
        </w:rPr>
        <w:t>、</w:t>
      </w:r>
      <w:r>
        <w:rPr>
          <w:rFonts w:hint="eastAsia" w:ascii="宋体" w:hAnsi="宋体" w:eastAsia="宋体" w:cs="宋体"/>
          <w:color w:val="auto"/>
          <w:sz w:val="22"/>
          <w:szCs w:val="22"/>
          <w:highlight w:val="none"/>
          <w:lang w:val="en-US" w:eastAsia="zh-CN"/>
        </w:rPr>
        <w:t>多功能抑尘车、护栏清洗车</w:t>
      </w:r>
      <w:r>
        <w:rPr>
          <w:rFonts w:hint="eastAsia" w:ascii="宋体" w:hAnsi="宋体" w:eastAsia="宋体" w:cs="宋体"/>
          <w:color w:val="auto"/>
          <w:sz w:val="22"/>
          <w:highlight w:val="none"/>
        </w:rPr>
        <w:t>等</w:t>
      </w:r>
      <w:r>
        <w:rPr>
          <w:rFonts w:hint="eastAsia" w:ascii="宋体" w:hAnsi="宋体" w:eastAsia="宋体" w:cs="宋体"/>
          <w:color w:val="auto"/>
          <w:sz w:val="22"/>
          <w:szCs w:val="22"/>
          <w:highlight w:val="none"/>
        </w:rPr>
        <w:t>，附车辆行驶证等证明材料，提交原件</w:t>
      </w:r>
      <w:r>
        <w:rPr>
          <w:rFonts w:hint="eastAsia" w:ascii="宋体" w:hAnsi="宋体" w:eastAsia="宋体" w:cs="宋体"/>
          <w:color w:val="auto"/>
          <w:sz w:val="22"/>
          <w:szCs w:val="22"/>
          <w:highlight w:val="none"/>
          <w:lang w:val="en-US" w:eastAsia="zh-CN"/>
        </w:rPr>
        <w:t>扫描件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w:t>
      </w:r>
    </w:p>
    <w:p>
      <w:pPr>
        <w:pStyle w:val="17"/>
        <w:spacing w:line="360" w:lineRule="auto"/>
        <w:ind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2、如车辆现没有服务项目的，在“现服务项目名称、地点”栏填写“无”。</w:t>
      </w:r>
    </w:p>
    <w:p>
      <w:pPr>
        <w:pStyle w:val="17"/>
        <w:spacing w:line="360" w:lineRule="auto"/>
        <w:ind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3、此表仅提供了表格形式，供应商应根据需要准备足够数量的表格来填写。</w:t>
      </w:r>
    </w:p>
    <w:p>
      <w:pPr>
        <w:pStyle w:val="17"/>
        <w:spacing w:line="360" w:lineRule="auto"/>
        <w:ind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4、中标后必须按要求时间全部到位。</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38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kern w:val="2"/>
          <w:sz w:val="28"/>
          <w:szCs w:val="28"/>
          <w:highlight w:val="none"/>
          <w:lang w:val="en-US" w:eastAsia="zh-CN" w:bidi="ar-SA"/>
        </w:rPr>
        <w:t>（11）拟投入本项目</w:t>
      </w:r>
      <w:r>
        <w:rPr>
          <w:rFonts w:hint="eastAsia" w:ascii="宋体" w:hAnsi="宋体" w:eastAsia="宋体" w:cs="宋体"/>
          <w:b/>
          <w:bCs/>
          <w:color w:val="auto"/>
          <w:kern w:val="2"/>
          <w:sz w:val="28"/>
          <w:szCs w:val="28"/>
          <w:highlight w:val="none"/>
          <w:lang w:val="en-US" w:eastAsia="zh-CN" w:bidi="ar-SA"/>
        </w:rPr>
        <w:t>最低配置数量要求后增加</w:t>
      </w:r>
      <w:r>
        <w:rPr>
          <w:rFonts w:hint="eastAsia" w:ascii="宋体" w:hAnsi="宋体" w:eastAsia="宋体" w:cs="宋体"/>
          <w:b/>
          <w:bCs/>
          <w:color w:val="auto"/>
          <w:kern w:val="2"/>
          <w:sz w:val="28"/>
          <w:szCs w:val="28"/>
          <w:highlight w:val="none"/>
          <w:lang w:val="en-US" w:eastAsia="zh-CN" w:bidi="ar-SA"/>
        </w:rPr>
        <w:t>的设备一览表</w:t>
      </w:r>
      <w:r>
        <w:rPr>
          <w:rFonts w:hint="eastAsia" w:ascii="宋体" w:hAnsi="宋体" w:eastAsia="宋体" w:cs="宋体"/>
          <w:b/>
          <w:color w:val="auto"/>
          <w:sz w:val="28"/>
          <w:szCs w:val="28"/>
          <w:highlight w:val="none"/>
        </w:rPr>
        <w:t>（适用所有标项）</w:t>
      </w:r>
    </w:p>
    <w:p>
      <w:pPr>
        <w:spacing w:after="120" w:afterLines="50"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864"/>
        <w:gridCol w:w="1061"/>
        <w:gridCol w:w="1061"/>
        <w:gridCol w:w="1061"/>
        <w:gridCol w:w="1061"/>
        <w:gridCol w:w="702"/>
        <w:gridCol w:w="660"/>
        <w:gridCol w:w="760"/>
        <w:gridCol w:w="1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3" w:hRule="atLeast"/>
        </w:trPr>
        <w:tc>
          <w:tcPr>
            <w:tcW w:w="537"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64"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设备名称</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使用时间</w:t>
            </w:r>
            <w:r>
              <w:rPr>
                <w:rFonts w:hint="eastAsia" w:ascii="宋体" w:hAnsi="宋体" w:eastAsia="宋体" w:cs="宋体"/>
                <w:b/>
                <w:color w:val="auto"/>
                <w:sz w:val="22"/>
                <w:szCs w:val="22"/>
                <w:highlight w:val="none"/>
                <w:lang w:val="en-US" w:eastAsia="zh-CN"/>
              </w:rPr>
              <w:t>（使用时间以行驶证为准；如为承诺购买车辆，此项不填写</w:t>
            </w:r>
            <w:r>
              <w:rPr>
                <w:rFonts w:hint="eastAsia" w:ascii="宋体" w:hAnsi="宋体" w:eastAsia="宋体" w:cs="宋体"/>
                <w:b/>
                <w:color w:val="auto"/>
                <w:sz w:val="22"/>
                <w:szCs w:val="22"/>
                <w:highlight w:val="none"/>
                <w:lang w:eastAsia="zh-CN"/>
              </w:rPr>
              <w:t>）</w:t>
            </w: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规格型号、总质量</w:t>
            </w:r>
          </w:p>
        </w:tc>
        <w:tc>
          <w:tcPr>
            <w:tcW w:w="106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品牌/产地</w:t>
            </w: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车牌号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如为承诺购买车辆，此项不填写</w:t>
            </w:r>
            <w:r>
              <w:rPr>
                <w:rFonts w:hint="eastAsia" w:ascii="宋体" w:hAnsi="宋体" w:eastAsia="宋体" w:cs="宋体"/>
                <w:b/>
                <w:color w:val="auto"/>
                <w:sz w:val="22"/>
                <w:szCs w:val="22"/>
                <w:highlight w:val="none"/>
                <w:lang w:eastAsia="zh-CN"/>
              </w:rPr>
              <w:t>）</w:t>
            </w:r>
          </w:p>
        </w:tc>
        <w:tc>
          <w:tcPr>
            <w:tcW w:w="660" w:type="dxa"/>
            <w:tcBorders>
              <w:left w:val="single" w:color="auto" w:sz="4" w:space="0"/>
            </w:tcBorders>
            <w:noWrap w:val="0"/>
            <w:vAlign w:val="center"/>
          </w:tcPr>
          <w:p>
            <w:pPr>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车辆单价（元）</w:t>
            </w:r>
          </w:p>
        </w:tc>
        <w:tc>
          <w:tcPr>
            <w:tcW w:w="760" w:type="dxa"/>
            <w:noWrap w:val="0"/>
            <w:vAlign w:val="center"/>
          </w:tcPr>
          <w:p>
            <w:pPr>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现服务项目名称、地点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如为承诺购买车辆，此项不填写</w:t>
            </w:r>
            <w:r>
              <w:rPr>
                <w:rFonts w:hint="eastAsia" w:ascii="宋体" w:hAnsi="宋体" w:eastAsia="宋体" w:cs="宋体"/>
                <w:b/>
                <w:color w:val="auto"/>
                <w:sz w:val="22"/>
                <w:szCs w:val="22"/>
                <w:highlight w:val="none"/>
                <w:lang w:eastAsia="zh-CN"/>
              </w:rPr>
              <w:t>）</w:t>
            </w:r>
          </w:p>
        </w:tc>
        <w:tc>
          <w:tcPr>
            <w:tcW w:w="1061" w:type="dxa"/>
            <w:noWrap w:val="0"/>
            <w:vAlign w:val="center"/>
          </w:tcPr>
          <w:p>
            <w:pPr>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备注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注明是已有自有车辆或承诺中标后购买车辆</w:t>
            </w:r>
            <w:r>
              <w:rPr>
                <w:rFonts w:hint="eastAsia" w:ascii="宋体" w:hAnsi="宋体" w:eastAsia="宋体" w:cs="宋体"/>
                <w:b/>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64" w:type="dxa"/>
            <w:noWrap w:val="0"/>
            <w:vAlign w:val="center"/>
          </w:tcPr>
          <w:p>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多功能清扫车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64" w:type="dxa"/>
            <w:noWrap w:val="0"/>
            <w:vAlign w:val="center"/>
          </w:tcPr>
          <w:p>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高压冲洗（洒水）车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64" w:type="dxa"/>
            <w:noWrap w:val="0"/>
            <w:vAlign w:val="center"/>
          </w:tcPr>
          <w:p>
            <w:pPr>
              <w:tabs>
                <w:tab w:val="left" w:pos="93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多功能抑尘车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64" w:type="dxa"/>
            <w:noWrap w:val="0"/>
            <w:vAlign w:val="center"/>
          </w:tcPr>
          <w:p>
            <w:pPr>
              <w:tabs>
                <w:tab w:val="left" w:pos="930"/>
              </w:tabs>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护栏清洗车</w:t>
            </w:r>
          </w:p>
        </w:tc>
        <w:tc>
          <w:tcPr>
            <w:tcW w:w="1061"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b/>
                <w:color w:val="auto"/>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auto"/>
                <w:sz w:val="22"/>
                <w:szCs w:val="22"/>
                <w:highlight w:val="none"/>
              </w:rPr>
            </w:pPr>
          </w:p>
        </w:tc>
        <w:tc>
          <w:tcPr>
            <w:tcW w:w="760" w:type="dxa"/>
            <w:noWrap w:val="0"/>
            <w:vAlign w:val="center"/>
          </w:tcPr>
          <w:p>
            <w:pPr>
              <w:jc w:val="center"/>
              <w:rPr>
                <w:rFonts w:hint="eastAsia" w:ascii="宋体" w:hAnsi="宋体" w:eastAsia="宋体" w:cs="宋体"/>
                <w:b/>
                <w:color w:val="auto"/>
                <w:sz w:val="22"/>
                <w:szCs w:val="22"/>
                <w:highlight w:val="none"/>
              </w:rPr>
            </w:pPr>
          </w:p>
        </w:tc>
        <w:tc>
          <w:tcPr>
            <w:tcW w:w="1061" w:type="dxa"/>
            <w:noWrap w:val="0"/>
            <w:vAlign w:val="center"/>
          </w:tcPr>
          <w:p>
            <w:pPr>
              <w:jc w:val="center"/>
              <w:rPr>
                <w:rFonts w:hint="eastAsia" w:ascii="宋体" w:hAnsi="宋体" w:eastAsia="宋体" w:cs="宋体"/>
                <w:color w:val="auto"/>
                <w:sz w:val="22"/>
                <w:szCs w:val="22"/>
                <w:highlight w:val="none"/>
              </w:rPr>
            </w:pPr>
          </w:p>
        </w:tc>
      </w:tr>
    </w:tbl>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注：</w:t>
      </w:r>
    </w:p>
    <w:p>
      <w:pPr>
        <w:pStyle w:val="33"/>
        <w:spacing w:line="32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szCs w:val="22"/>
          <w:highlight w:val="none"/>
        </w:rPr>
        <w:t>本表</w:t>
      </w:r>
      <w:r>
        <w:rPr>
          <w:rFonts w:hint="eastAsia" w:ascii="宋体" w:hAnsi="宋体" w:eastAsia="宋体" w:cs="宋体"/>
          <w:color w:val="auto"/>
          <w:sz w:val="22"/>
          <w:szCs w:val="22"/>
          <w:highlight w:val="none"/>
          <w:lang w:val="en-US" w:eastAsia="zh-CN"/>
        </w:rPr>
        <w:t>中</w:t>
      </w:r>
      <w:r>
        <w:rPr>
          <w:rFonts w:hint="eastAsia" w:ascii="宋体" w:hAnsi="宋体" w:eastAsia="宋体" w:cs="宋体"/>
          <w:color w:val="auto"/>
          <w:sz w:val="22"/>
          <w:szCs w:val="22"/>
          <w:highlight w:val="none"/>
        </w:rPr>
        <w:t>供应商拟投入的已有自有的保洁机械化作业机具（如</w:t>
      </w:r>
      <w:r>
        <w:rPr>
          <w:rFonts w:hint="eastAsia" w:ascii="宋体" w:hAnsi="宋体" w:eastAsia="宋体" w:cs="宋体"/>
          <w:color w:val="auto"/>
          <w:sz w:val="22"/>
          <w:highlight w:val="none"/>
        </w:rPr>
        <w:t>多功能清扫车、高压冲洗（洒水）车</w:t>
      </w:r>
      <w:r>
        <w:rPr>
          <w:rFonts w:hint="eastAsia" w:ascii="宋体" w:hAnsi="宋体" w:eastAsia="宋体" w:cs="宋体"/>
          <w:color w:val="auto"/>
          <w:sz w:val="22"/>
          <w:highlight w:val="none"/>
          <w:lang w:eastAsia="zh-CN"/>
        </w:rPr>
        <w:t>、</w:t>
      </w:r>
      <w:r>
        <w:rPr>
          <w:rFonts w:hint="eastAsia" w:ascii="宋体" w:hAnsi="宋体" w:eastAsia="宋体" w:cs="宋体"/>
          <w:color w:val="auto"/>
          <w:sz w:val="22"/>
          <w:szCs w:val="22"/>
          <w:highlight w:val="none"/>
          <w:lang w:val="en-US" w:eastAsia="zh-CN"/>
        </w:rPr>
        <w:t>多功能抑尘车、护栏清洗车</w:t>
      </w:r>
      <w:r>
        <w:rPr>
          <w:rFonts w:hint="eastAsia" w:ascii="宋体" w:hAnsi="宋体" w:eastAsia="宋体" w:cs="宋体"/>
          <w:color w:val="auto"/>
          <w:sz w:val="22"/>
          <w:highlight w:val="none"/>
        </w:rPr>
        <w:t>等</w:t>
      </w:r>
      <w:r>
        <w:rPr>
          <w:rFonts w:hint="eastAsia" w:ascii="宋体" w:hAnsi="宋体" w:eastAsia="宋体" w:cs="宋体"/>
          <w:color w:val="auto"/>
          <w:sz w:val="22"/>
          <w:szCs w:val="22"/>
          <w:highlight w:val="none"/>
        </w:rPr>
        <w:t>，附车辆行驶证等证明材料，提交原件</w:t>
      </w:r>
      <w:r>
        <w:rPr>
          <w:rFonts w:hint="eastAsia" w:ascii="宋体" w:hAnsi="宋体" w:eastAsia="宋体" w:cs="宋体"/>
          <w:color w:val="auto"/>
          <w:sz w:val="22"/>
          <w:szCs w:val="22"/>
          <w:highlight w:val="none"/>
          <w:lang w:val="en-US" w:eastAsia="zh-CN"/>
        </w:rPr>
        <w:t>扫描件</w:t>
      </w:r>
      <w:r>
        <w:rPr>
          <w:rFonts w:hint="eastAsia" w:ascii="宋体" w:hAnsi="宋体" w:eastAsia="宋体" w:cs="宋体"/>
          <w:color w:val="auto"/>
          <w:sz w:val="22"/>
          <w:szCs w:val="22"/>
          <w:highlight w:val="none"/>
        </w:rPr>
        <w:t>）及项目实施所需要的设备及工具</w:t>
      </w:r>
      <w:r>
        <w:rPr>
          <w:rFonts w:hint="eastAsia" w:ascii="宋体" w:hAnsi="宋体" w:eastAsia="宋体" w:cs="宋体"/>
          <w:color w:val="auto"/>
          <w:sz w:val="22"/>
          <w:highlight w:val="none"/>
        </w:rPr>
        <w:t>。</w:t>
      </w:r>
    </w:p>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2、此表仅提供了表格形式，投标人可按此表格复制。</w:t>
      </w:r>
    </w:p>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3、此表为</w:t>
      </w:r>
      <w:r>
        <w:rPr>
          <w:rFonts w:hint="eastAsia" w:ascii="宋体" w:hAnsi="宋体" w:eastAsia="宋体" w:cs="宋体"/>
          <w:color w:val="auto"/>
          <w:sz w:val="22"/>
          <w:szCs w:val="22"/>
          <w:highlight w:val="none"/>
        </w:rPr>
        <w:t>商务技术文件</w:t>
      </w:r>
      <w:r>
        <w:rPr>
          <w:rFonts w:hint="eastAsia" w:ascii="宋体" w:hAnsi="宋体" w:eastAsia="宋体" w:cs="宋体"/>
          <w:color w:val="auto"/>
          <w:sz w:val="22"/>
          <w:highlight w:val="none"/>
        </w:rPr>
        <w:t>有关内容的评审依据。</w:t>
      </w:r>
    </w:p>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4、中标后必须按要求时间全部到位。</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投标人权代表（签字）：</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2"/>
        <w:rPr>
          <w:rFonts w:hint="eastAsia"/>
          <w:color w:val="auto"/>
          <w:highlight w:val="none"/>
        </w:rPr>
      </w:pPr>
    </w:p>
    <w:p>
      <w:pPr>
        <w:spacing w:line="500" w:lineRule="exact"/>
        <w:ind w:firstLine="3233" w:firstLineChars="1150"/>
        <w:rPr>
          <w:rFonts w:hint="eastAsia" w:ascii="宋体" w:hAnsi="宋体" w:eastAsia="宋体" w:cs="宋体"/>
          <w:b/>
          <w:bCs/>
          <w:color w:val="auto"/>
          <w:kern w:val="2"/>
          <w:sz w:val="28"/>
          <w:szCs w:val="28"/>
          <w:highlight w:val="none"/>
          <w:lang w:val="en-US" w:eastAsia="zh-CN" w:bidi="ar-SA"/>
        </w:rPr>
      </w:pPr>
    </w:p>
    <w:p>
      <w:pPr>
        <w:spacing w:line="500" w:lineRule="exact"/>
        <w:ind w:firstLine="3233" w:firstLineChars="1150"/>
        <w:rPr>
          <w:rFonts w:hint="eastAsia" w:ascii="宋体" w:hAnsi="宋体" w:eastAsia="宋体" w:cs="宋体"/>
          <w:b/>
          <w:bCs/>
          <w:color w:val="auto"/>
          <w:kern w:val="2"/>
          <w:sz w:val="28"/>
          <w:szCs w:val="28"/>
          <w:highlight w:val="none"/>
          <w:lang w:val="en-US" w:eastAsia="zh-CN" w:bidi="ar-SA"/>
        </w:rPr>
      </w:pPr>
    </w:p>
    <w:p>
      <w:pPr>
        <w:spacing w:line="500" w:lineRule="exact"/>
        <w:ind w:firstLine="3233" w:firstLineChars="1150"/>
        <w:rPr>
          <w:rFonts w:hint="eastAsia" w:ascii="宋体" w:hAnsi="宋体" w:eastAsia="宋体" w:cs="宋体"/>
          <w:b/>
          <w:bCs/>
          <w:color w:val="auto"/>
          <w:kern w:val="2"/>
          <w:sz w:val="28"/>
          <w:szCs w:val="28"/>
          <w:highlight w:val="none"/>
          <w:lang w:val="en-US" w:eastAsia="zh-CN" w:bidi="ar-SA"/>
        </w:rPr>
      </w:pPr>
    </w:p>
    <w:p>
      <w:pPr>
        <w:spacing w:line="500" w:lineRule="exact"/>
        <w:ind w:firstLine="3233" w:firstLineChars="1150"/>
        <w:rPr>
          <w:rFonts w:hint="eastAsia" w:ascii="宋体" w:hAnsi="宋体" w:eastAsia="宋体" w:cs="宋体"/>
          <w:b/>
          <w:bCs/>
          <w:color w:val="auto"/>
          <w:kern w:val="2"/>
          <w:sz w:val="28"/>
          <w:szCs w:val="28"/>
          <w:highlight w:val="none"/>
          <w:lang w:val="en-US" w:eastAsia="zh-CN" w:bidi="ar-SA"/>
        </w:rPr>
      </w:pPr>
    </w:p>
    <w:p>
      <w:pPr>
        <w:spacing w:line="38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28"/>
          <w:szCs w:val="28"/>
          <w:highlight w:val="none"/>
          <w:lang w:val="en-US" w:eastAsia="zh-CN" w:bidi="ar-SA"/>
        </w:rPr>
        <w:t>（12）拟投入本项目其他设备（工具）一览表</w:t>
      </w:r>
      <w:r>
        <w:rPr>
          <w:rFonts w:hint="eastAsia" w:ascii="宋体" w:hAnsi="宋体" w:eastAsia="宋体" w:cs="宋体"/>
          <w:b/>
          <w:color w:val="auto"/>
          <w:sz w:val="28"/>
          <w:szCs w:val="28"/>
          <w:highlight w:val="none"/>
        </w:rPr>
        <w:t>（适用所有标项）</w:t>
      </w:r>
    </w:p>
    <w:p>
      <w:pPr>
        <w:spacing w:after="120" w:afterLines="50"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p>
    <w:tbl>
      <w:tblPr>
        <w:tblStyle w:val="58"/>
        <w:tblW w:w="0" w:type="auto"/>
        <w:tblInd w:w="0" w:type="dxa"/>
        <w:tblLayout w:type="fixed"/>
        <w:tblCellMar>
          <w:top w:w="0" w:type="dxa"/>
          <w:left w:w="108" w:type="dxa"/>
          <w:bottom w:w="0" w:type="dxa"/>
          <w:right w:w="108" w:type="dxa"/>
        </w:tblCellMar>
      </w:tblPr>
      <w:tblGrid>
        <w:gridCol w:w="881"/>
        <w:gridCol w:w="2467"/>
        <w:gridCol w:w="1080"/>
        <w:gridCol w:w="1080"/>
        <w:gridCol w:w="1080"/>
        <w:gridCol w:w="1080"/>
        <w:gridCol w:w="1080"/>
        <w:gridCol w:w="1080"/>
      </w:tblGrid>
      <w:tr>
        <w:tblPrEx>
          <w:tblCellMar>
            <w:top w:w="0" w:type="dxa"/>
            <w:left w:w="108" w:type="dxa"/>
            <w:bottom w:w="0" w:type="dxa"/>
            <w:right w:w="108" w:type="dxa"/>
          </w:tblCellMar>
        </w:tblPrEx>
        <w:trPr>
          <w:trHeight w:val="567"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24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设备工具名称</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品牌/产地</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车辆</w:t>
            </w:r>
            <w:r>
              <w:rPr>
                <w:rFonts w:hint="eastAsia" w:ascii="宋体" w:hAnsi="宋体" w:eastAsia="宋体" w:cs="宋体"/>
                <w:color w:val="auto"/>
                <w:kern w:val="0"/>
                <w:sz w:val="22"/>
                <w:szCs w:val="22"/>
                <w:highlight w:val="none"/>
              </w:rPr>
              <w:t>单价(元)</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合价</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电动高压冲洗车</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电动小型清扫保洁车</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电动小型垃圾收集车</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val="en-US"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val="en-US"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r>
    </w:tbl>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注：</w:t>
      </w:r>
    </w:p>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、此表仅提供了表格形式，投标人可按此表格复制。</w:t>
      </w:r>
    </w:p>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、此表为</w:t>
      </w:r>
      <w:r>
        <w:rPr>
          <w:rFonts w:hint="eastAsia" w:ascii="宋体" w:hAnsi="宋体" w:eastAsia="宋体" w:cs="宋体"/>
          <w:color w:val="auto"/>
          <w:sz w:val="22"/>
          <w:szCs w:val="22"/>
          <w:highlight w:val="none"/>
        </w:rPr>
        <w:t>商务技术文件</w:t>
      </w:r>
      <w:r>
        <w:rPr>
          <w:rFonts w:hint="eastAsia" w:ascii="宋体" w:hAnsi="宋体" w:eastAsia="宋体" w:cs="宋体"/>
          <w:color w:val="auto"/>
          <w:sz w:val="22"/>
          <w:highlight w:val="none"/>
        </w:rPr>
        <w:t>有关内容的评审依据。</w:t>
      </w:r>
    </w:p>
    <w:p>
      <w:pPr>
        <w:pStyle w:val="33"/>
        <w:spacing w:line="320" w:lineRule="exact"/>
        <w:ind w:left="988" w:leftChars="104"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、中标后必须按要求时间全部到位。</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投标人权代表（签字）：</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500" w:lineRule="exact"/>
        <w:ind w:firstLine="3233" w:firstLineChars="1150"/>
        <w:rPr>
          <w:rFonts w:hint="eastAsia" w:ascii="宋体" w:hAnsi="宋体" w:eastAsia="宋体" w:cs="宋体"/>
          <w:b/>
          <w:color w:val="auto"/>
          <w:sz w:val="32"/>
          <w:szCs w:val="32"/>
          <w:highlight w:val="none"/>
        </w:rPr>
      </w:pPr>
      <w:r>
        <w:rPr>
          <w:rFonts w:hint="eastAsia" w:ascii="宋体" w:hAnsi="宋体" w:eastAsia="宋体" w:cs="宋体"/>
          <w:b/>
          <w:bCs/>
          <w:color w:val="auto"/>
          <w:kern w:val="2"/>
          <w:sz w:val="28"/>
          <w:szCs w:val="28"/>
          <w:highlight w:val="none"/>
          <w:lang w:val="en-US" w:eastAsia="zh-CN" w:bidi="ar-SA"/>
        </w:rPr>
        <w:br w:type="page"/>
      </w:r>
      <w:r>
        <w:rPr>
          <w:rFonts w:hint="eastAsia" w:ascii="宋体" w:hAnsi="宋体" w:eastAsia="宋体" w:cs="宋体"/>
          <w:b/>
          <w:bCs/>
          <w:color w:val="auto"/>
          <w:kern w:val="2"/>
          <w:sz w:val="28"/>
          <w:szCs w:val="28"/>
          <w:highlight w:val="none"/>
          <w:lang w:val="en-US" w:eastAsia="zh-CN" w:bidi="ar-SA"/>
        </w:rPr>
        <w:t>（13）专车专用承诺书</w:t>
      </w:r>
      <w:r>
        <w:rPr>
          <w:rFonts w:hint="eastAsia" w:ascii="宋体" w:hAnsi="宋体" w:eastAsia="宋体" w:cs="宋体"/>
          <w:b/>
          <w:color w:val="auto"/>
          <w:sz w:val="28"/>
          <w:szCs w:val="28"/>
          <w:highlight w:val="none"/>
        </w:rPr>
        <w:t>（适用所有标项）</w:t>
      </w:r>
    </w:p>
    <w:p>
      <w:pPr>
        <w:spacing w:line="500" w:lineRule="exact"/>
        <w:rPr>
          <w:rFonts w:hint="eastAsia" w:ascii="宋体" w:hAnsi="宋体" w:eastAsia="宋体" w:cs="宋体"/>
          <w:color w:val="auto"/>
          <w:sz w:val="22"/>
          <w:szCs w:val="22"/>
          <w:highlight w:val="none"/>
        </w:rPr>
      </w:pPr>
    </w:p>
    <w:p>
      <w:pPr>
        <w:spacing w:line="3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我公司就</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标项名称</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项目编号）的投标作如下承诺：</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若我公司在本项目中标，所投入本项目的机械车辆实行专车专用，未经招标人许可，不再用于其它项目的道路保洁清扫中，如不能履行上述承诺，招标人可以无责任取消合同，我公司对此无异议。</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ind w:right="-1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kern w:val="2"/>
          <w:sz w:val="28"/>
          <w:szCs w:val="28"/>
          <w:highlight w:val="none"/>
          <w:lang w:val="en-US" w:eastAsia="zh-CN" w:bidi="ar-SA"/>
        </w:rPr>
        <w:t>（14）</w:t>
      </w:r>
      <w:r>
        <w:rPr>
          <w:rFonts w:hint="eastAsia" w:ascii="宋体" w:hAnsi="宋体" w:eastAsia="宋体" w:cs="宋体"/>
          <w:b/>
          <w:bCs/>
          <w:color w:val="auto"/>
          <w:sz w:val="30"/>
          <w:szCs w:val="30"/>
          <w:highlight w:val="none"/>
        </w:rPr>
        <w:t>拟投入消耗品一览表</w:t>
      </w:r>
      <w:r>
        <w:rPr>
          <w:rFonts w:hint="eastAsia" w:ascii="宋体" w:hAnsi="宋体" w:eastAsia="宋体" w:cs="宋体"/>
          <w:b/>
          <w:color w:val="auto"/>
          <w:sz w:val="28"/>
          <w:szCs w:val="28"/>
          <w:highlight w:val="none"/>
        </w:rPr>
        <w:t>（适用所有标项）</w:t>
      </w:r>
    </w:p>
    <w:p>
      <w:pPr>
        <w:spacing w:after="120" w:afterLines="50"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r>
        <w:rPr>
          <w:rFonts w:hint="eastAsia" w:ascii="宋体" w:hAnsi="宋体" w:eastAsia="宋体" w:cs="宋体"/>
          <w:color w:val="auto"/>
          <w:sz w:val="22"/>
          <w:szCs w:val="22"/>
          <w:highlight w:val="none"/>
        </w:rPr>
        <w:t xml:space="preserve">                                               招标编号： </w:t>
      </w:r>
    </w:p>
    <w:tbl>
      <w:tblPr>
        <w:tblStyle w:val="5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
      <w:tblGrid>
        <w:gridCol w:w="719"/>
        <w:gridCol w:w="2148"/>
        <w:gridCol w:w="2387"/>
        <w:gridCol w:w="1431"/>
        <w:gridCol w:w="1003"/>
        <w:gridCol w:w="1179"/>
        <w:gridCol w:w="9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831" w:hRule="atLeast"/>
        </w:trPr>
        <w:tc>
          <w:tcPr>
            <w:tcW w:w="719"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148"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耗材名称</w:t>
            </w:r>
          </w:p>
        </w:tc>
        <w:tc>
          <w:tcPr>
            <w:tcW w:w="2387"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型号规格</w:t>
            </w:r>
          </w:p>
        </w:tc>
        <w:tc>
          <w:tcPr>
            <w:tcW w:w="1431"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品牌/产地</w:t>
            </w:r>
          </w:p>
        </w:tc>
        <w:tc>
          <w:tcPr>
            <w:tcW w:w="1003"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179"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价格（元）</w:t>
            </w:r>
          </w:p>
        </w:tc>
        <w:tc>
          <w:tcPr>
            <w:tcW w:w="987"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auto"/>
                <w:sz w:val="22"/>
                <w:szCs w:val="22"/>
                <w:highlight w:val="none"/>
              </w:rPr>
            </w:pPr>
          </w:p>
        </w:tc>
        <w:tc>
          <w:tcPr>
            <w:tcW w:w="2148" w:type="dxa"/>
            <w:noWrap w:val="0"/>
            <w:vAlign w:val="center"/>
          </w:tcPr>
          <w:p>
            <w:pPr>
              <w:ind w:firstLine="592"/>
              <w:jc w:val="center"/>
              <w:rPr>
                <w:rFonts w:hint="eastAsia" w:ascii="宋体" w:hAnsi="宋体" w:eastAsia="宋体" w:cs="宋体"/>
                <w:color w:val="auto"/>
                <w:sz w:val="22"/>
                <w:szCs w:val="22"/>
                <w:highlight w:val="none"/>
              </w:rPr>
            </w:pPr>
          </w:p>
        </w:tc>
        <w:tc>
          <w:tcPr>
            <w:tcW w:w="2387" w:type="dxa"/>
            <w:noWrap w:val="0"/>
            <w:vAlign w:val="center"/>
          </w:tcPr>
          <w:p>
            <w:pPr>
              <w:ind w:firstLine="592"/>
              <w:jc w:val="center"/>
              <w:rPr>
                <w:rFonts w:hint="eastAsia" w:ascii="宋体" w:hAnsi="宋体" w:eastAsia="宋体" w:cs="宋体"/>
                <w:color w:val="auto"/>
                <w:sz w:val="22"/>
                <w:szCs w:val="22"/>
                <w:highlight w:val="none"/>
              </w:rPr>
            </w:pPr>
          </w:p>
        </w:tc>
        <w:tc>
          <w:tcPr>
            <w:tcW w:w="1431" w:type="dxa"/>
            <w:noWrap w:val="0"/>
            <w:vAlign w:val="center"/>
          </w:tcPr>
          <w:p>
            <w:pPr>
              <w:ind w:firstLine="592"/>
              <w:jc w:val="center"/>
              <w:rPr>
                <w:rFonts w:hint="eastAsia" w:ascii="宋体" w:hAnsi="宋体" w:eastAsia="宋体" w:cs="宋体"/>
                <w:color w:val="auto"/>
                <w:sz w:val="22"/>
                <w:szCs w:val="22"/>
                <w:highlight w:val="none"/>
              </w:rPr>
            </w:pPr>
          </w:p>
        </w:tc>
        <w:tc>
          <w:tcPr>
            <w:tcW w:w="1003" w:type="dxa"/>
            <w:noWrap w:val="0"/>
            <w:vAlign w:val="center"/>
          </w:tcPr>
          <w:p>
            <w:pPr>
              <w:ind w:firstLine="592"/>
              <w:jc w:val="center"/>
              <w:rPr>
                <w:rFonts w:hint="eastAsia" w:ascii="宋体" w:hAnsi="宋体" w:eastAsia="宋体" w:cs="宋体"/>
                <w:color w:val="auto"/>
                <w:sz w:val="22"/>
                <w:szCs w:val="22"/>
                <w:highlight w:val="none"/>
              </w:rPr>
            </w:pPr>
          </w:p>
        </w:tc>
        <w:tc>
          <w:tcPr>
            <w:tcW w:w="1179" w:type="dxa"/>
            <w:noWrap w:val="0"/>
            <w:vAlign w:val="center"/>
          </w:tcPr>
          <w:p>
            <w:pPr>
              <w:ind w:firstLine="592"/>
              <w:jc w:val="center"/>
              <w:rPr>
                <w:rFonts w:hint="eastAsia" w:ascii="宋体" w:hAnsi="宋体" w:eastAsia="宋体" w:cs="宋体"/>
                <w:color w:val="auto"/>
                <w:sz w:val="22"/>
                <w:szCs w:val="22"/>
                <w:highlight w:val="none"/>
              </w:rPr>
            </w:pPr>
          </w:p>
        </w:tc>
        <w:tc>
          <w:tcPr>
            <w:tcW w:w="987" w:type="dxa"/>
            <w:noWrap w:val="0"/>
            <w:vAlign w:val="center"/>
          </w:tcPr>
          <w:p>
            <w:pPr>
              <w:ind w:firstLine="592"/>
              <w:jc w:val="center"/>
              <w:rPr>
                <w:rFonts w:hint="eastAsia" w:ascii="宋体" w:hAnsi="宋体" w:eastAsia="宋体" w:cs="宋体"/>
                <w:color w:val="auto"/>
                <w:sz w:val="22"/>
                <w:szCs w:val="22"/>
                <w:highlight w:val="none"/>
              </w:rPr>
            </w:pPr>
          </w:p>
        </w:tc>
      </w:tr>
    </w:tbl>
    <w:p>
      <w:pPr>
        <w:ind w:firstLine="592"/>
        <w:rPr>
          <w:rFonts w:hint="eastAsia" w:ascii="宋体" w:hAnsi="宋体" w:eastAsia="宋体" w:cs="宋体"/>
          <w:color w:val="auto"/>
          <w:sz w:val="22"/>
          <w:szCs w:val="22"/>
          <w:highlight w:val="none"/>
        </w:rPr>
      </w:pPr>
    </w:p>
    <w:p>
      <w:pPr>
        <w:pStyle w:val="17"/>
        <w:spacing w:line="360" w:lineRule="auto"/>
        <w:ind w:firstLine="51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pStyle w:val="17"/>
        <w:spacing w:line="360" w:lineRule="auto"/>
        <w:ind w:firstLine="51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 本表所列为投标人拟投入的消耗材料清单。</w:t>
      </w:r>
    </w:p>
    <w:p>
      <w:pPr>
        <w:pStyle w:val="17"/>
        <w:spacing w:line="360" w:lineRule="auto"/>
        <w:ind w:firstLine="596" w:firstLineChars="27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本表中所列耗材价格应计入投标总价。</w:t>
      </w:r>
    </w:p>
    <w:p>
      <w:pPr>
        <w:pStyle w:val="17"/>
        <w:spacing w:line="360" w:lineRule="auto"/>
        <w:ind w:firstLine="600" w:firstLineChars="27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此表仅提供了表格形式，投标人应根据需要准备足够数量的表格来填写。</w:t>
      </w:r>
    </w:p>
    <w:p>
      <w:pPr>
        <w:pStyle w:val="644"/>
        <w:widowControl w:val="0"/>
        <w:pBdr>
          <w:left w:val="none" w:color="auto" w:sz="0" w:space="0"/>
          <w:bottom w:val="none" w:color="auto" w:sz="0" w:space="0"/>
          <w:right w:val="none" w:color="auto" w:sz="0" w:space="0"/>
        </w:pBdr>
        <w:spacing w:before="0" w:beforeAutospacing="0" w:after="0" w:afterAutospacing="0" w:line="360" w:lineRule="auto"/>
        <w:ind w:left="447" w:hanging="447"/>
        <w:rPr>
          <w:rFonts w:hint="eastAsia" w:ascii="宋体" w:hAnsi="宋体" w:eastAsia="宋体" w:cs="宋体"/>
          <w:color w:val="auto"/>
          <w:kern w:val="2"/>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380" w:lineRule="exact"/>
        <w:rPr>
          <w:rFonts w:hint="eastAsia" w:ascii="宋体" w:hAnsi="宋体" w:eastAsia="宋体" w:cs="宋体"/>
          <w:b/>
          <w:bCs/>
          <w:color w:val="auto"/>
          <w:sz w:val="22"/>
          <w:szCs w:val="22"/>
          <w:highlight w:val="none"/>
        </w:rPr>
      </w:pPr>
    </w:p>
    <w:p>
      <w:pPr>
        <w:spacing w:line="380" w:lineRule="exact"/>
        <w:rPr>
          <w:rFonts w:hint="eastAsia" w:ascii="宋体" w:hAnsi="宋体" w:eastAsia="宋体" w:cs="宋体"/>
          <w:b/>
          <w:bCs/>
          <w:color w:val="auto"/>
          <w:sz w:val="22"/>
          <w:szCs w:val="22"/>
          <w:highlight w:val="none"/>
        </w:rPr>
      </w:pPr>
    </w:p>
    <w:p>
      <w:pPr>
        <w:spacing w:line="380" w:lineRule="exact"/>
        <w:rPr>
          <w:rFonts w:hint="eastAsia" w:ascii="宋体" w:hAnsi="宋体" w:eastAsia="宋体" w:cs="宋体"/>
          <w:b/>
          <w:bCs/>
          <w:color w:val="auto"/>
          <w:sz w:val="22"/>
          <w:szCs w:val="22"/>
          <w:highlight w:val="none"/>
        </w:rPr>
      </w:pPr>
    </w:p>
    <w:p>
      <w:pPr>
        <w:spacing w:line="380" w:lineRule="exact"/>
        <w:rPr>
          <w:rFonts w:hint="eastAsia" w:ascii="宋体" w:hAnsi="宋体" w:eastAsia="宋体" w:cs="宋体"/>
          <w:b/>
          <w:bCs/>
          <w:color w:val="auto"/>
          <w:sz w:val="22"/>
          <w:szCs w:val="22"/>
          <w:highlight w:val="none"/>
        </w:rPr>
      </w:pPr>
    </w:p>
    <w:p>
      <w:pPr>
        <w:pStyle w:val="2"/>
        <w:rPr>
          <w:rFonts w:hint="eastAsia"/>
          <w:color w:val="auto"/>
          <w:highlight w:val="none"/>
        </w:rPr>
      </w:pPr>
    </w:p>
    <w:p>
      <w:pPr>
        <w:ind w:right="-10"/>
        <w:jc w:val="center"/>
        <w:rPr>
          <w:rFonts w:hint="eastAsia" w:ascii="宋体" w:hAnsi="宋体" w:eastAsia="宋体" w:cs="宋体"/>
          <w:b/>
          <w:bCs/>
          <w:color w:val="auto"/>
          <w:sz w:val="28"/>
          <w:szCs w:val="28"/>
          <w:highlight w:val="none"/>
        </w:rPr>
      </w:pPr>
    </w:p>
    <w:p>
      <w:pPr>
        <w:ind w:right="-10"/>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2"/>
          <w:sz w:val="28"/>
          <w:szCs w:val="28"/>
          <w:highlight w:val="none"/>
          <w:lang w:val="en-US" w:eastAsia="zh-CN" w:bidi="ar-SA"/>
        </w:rPr>
        <w:t>（15）拟投入本项目管理人员一览表</w:t>
      </w:r>
      <w:r>
        <w:rPr>
          <w:rFonts w:hint="eastAsia" w:ascii="宋体" w:hAnsi="宋体" w:eastAsia="宋体" w:cs="宋体"/>
          <w:b/>
          <w:color w:val="auto"/>
          <w:sz w:val="28"/>
          <w:szCs w:val="28"/>
          <w:highlight w:val="none"/>
        </w:rPr>
        <w:t>（适用所有标项）</w:t>
      </w:r>
    </w:p>
    <w:p>
      <w:pPr>
        <w:pStyle w:val="2"/>
        <w:rPr>
          <w:rFonts w:hint="eastAsia"/>
          <w:color w:val="auto"/>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360" w:type="dxa"/>
            <w:gridSpan w:val="2"/>
            <w:noWrap w:val="0"/>
            <w:vAlign w:val="center"/>
          </w:tcPr>
          <w:p>
            <w:pPr>
              <w:jc w:val="both"/>
              <w:rPr>
                <w:rFonts w:hint="eastAsia" w:ascii="宋体" w:hAnsi="宋体" w:eastAsia="宋体" w:cs="宋体"/>
                <w:bCs/>
                <w:color w:val="auto"/>
                <w:sz w:val="24"/>
                <w:highlight w:val="none"/>
                <w:lang w:eastAsia="zh-CN"/>
              </w:rPr>
            </w:pPr>
            <w:r>
              <w:rPr>
                <w:rFonts w:hint="eastAsia" w:ascii="宋体" w:hAnsi="宋体" w:eastAsia="宋体" w:cs="宋体"/>
                <w:b/>
                <w:bCs w:val="0"/>
                <w:color w:val="auto"/>
                <w:sz w:val="24"/>
                <w:highlight w:val="none"/>
                <w:lang w:val="en-US" w:eastAsia="zh-CN"/>
              </w:rPr>
              <w:t>标项</w:t>
            </w:r>
            <w:r>
              <w:rPr>
                <w:rFonts w:hint="eastAsia" w:ascii="宋体" w:hAnsi="宋体" w:eastAsia="宋体" w:cs="宋体"/>
                <w:b/>
                <w:bCs w:val="0"/>
                <w:color w:val="auto"/>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888" w:type="dxa"/>
            <w:noWrap w:val="0"/>
            <w:vAlign w:val="center"/>
          </w:tcPr>
          <w:p>
            <w:pPr>
              <w:spacing w:line="240" w:lineRule="exact"/>
              <w:jc w:val="left"/>
              <w:rPr>
                <w:rFonts w:hint="eastAsia" w:ascii="宋体" w:hAnsi="宋体" w:eastAsia="宋体" w:cs="宋体"/>
                <w:bCs/>
                <w:color w:val="auto"/>
                <w:sz w:val="24"/>
                <w:highlight w:val="none"/>
              </w:rPr>
            </w:pPr>
            <w:r>
              <w:rPr>
                <w:rFonts w:hint="eastAsia" w:ascii="宋体" w:hAnsi="宋体" w:eastAsia="宋体" w:cs="宋体"/>
                <w:color w:val="auto"/>
                <w:sz w:val="21"/>
                <w:szCs w:val="21"/>
                <w:highlight w:val="none"/>
              </w:rPr>
              <w:t>投入</w:t>
            </w:r>
            <w:r>
              <w:rPr>
                <w:rFonts w:hint="eastAsia" w:ascii="宋体" w:hAnsi="宋体" w:eastAsia="宋体" w:cs="宋体"/>
                <w:color w:val="auto"/>
                <w:sz w:val="21"/>
                <w:szCs w:val="21"/>
                <w:highlight w:val="none"/>
                <w:lang w:val="en-US" w:eastAsia="zh-CN"/>
              </w:rPr>
              <w:t>本项目现场</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人数</w:t>
            </w:r>
          </w:p>
        </w:tc>
        <w:tc>
          <w:tcPr>
            <w:tcW w:w="4472" w:type="dxa"/>
            <w:noWrap w:val="0"/>
            <w:vAlign w:val="center"/>
          </w:tcPr>
          <w:p>
            <w:pPr>
              <w:jc w:val="center"/>
              <w:rPr>
                <w:rFonts w:hint="eastAsia" w:ascii="宋体" w:hAnsi="宋体" w:eastAsia="宋体" w:cs="宋体"/>
                <w:bCs/>
                <w:color w:val="auto"/>
                <w:sz w:val="24"/>
                <w:highlight w:val="none"/>
              </w:rPr>
            </w:pPr>
          </w:p>
        </w:tc>
      </w:tr>
    </w:tbl>
    <w:p>
      <w:pPr>
        <w:tabs>
          <w:tab w:val="left" w:pos="840"/>
        </w:tabs>
        <w:adjustRightInd w:val="0"/>
        <w:snapToGrid w:val="0"/>
        <w:spacing w:line="360" w:lineRule="auto"/>
        <w:ind w:left="420" w:leftChars="200" w:firstLine="330" w:firstLineChars="15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注：合同签订前，须将人员名册提供给采购人和项目业主单位。</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2"/>
        <w:rPr>
          <w:rFonts w:hint="eastAsia" w:ascii="宋体" w:hAnsi="宋体" w:eastAsia="宋体" w:cs="宋体"/>
          <w:color w:val="auto"/>
          <w:sz w:val="22"/>
          <w:szCs w:val="22"/>
          <w:highlight w:val="none"/>
        </w:rPr>
      </w:pPr>
    </w:p>
    <w:p>
      <w:pPr>
        <w:ind w:right="-1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pPr>
        <w:tabs>
          <w:tab w:val="left" w:pos="840"/>
        </w:tabs>
        <w:adjustRightInd w:val="0"/>
        <w:snapToGrid w:val="0"/>
        <w:spacing w:line="360" w:lineRule="auto"/>
        <w:ind w:left="420" w:leftChars="200" w:firstLine="422" w:firstLineChars="150"/>
        <w:jc w:val="center"/>
        <w:rPr>
          <w:rFonts w:hint="eastAsia" w:ascii="楷体_GB2312" w:eastAsia="楷体_GB2312"/>
          <w:b/>
          <w:bCs/>
          <w:color w:val="auto"/>
          <w:sz w:val="22"/>
          <w:szCs w:val="22"/>
          <w:highlight w:val="none"/>
          <w:lang w:val="en-US" w:eastAsia="zh-CN"/>
        </w:rPr>
      </w:pPr>
      <w:r>
        <w:rPr>
          <w:rFonts w:hint="eastAsia" w:ascii="宋体" w:hAnsi="宋体" w:eastAsia="宋体" w:cs="宋体"/>
          <w:b/>
          <w:bCs/>
          <w:color w:val="auto"/>
          <w:kern w:val="2"/>
          <w:sz w:val="28"/>
          <w:szCs w:val="28"/>
          <w:highlight w:val="none"/>
          <w:lang w:val="en-US" w:eastAsia="zh-CN" w:bidi="ar-SA"/>
        </w:rPr>
        <w:t>（1</w:t>
      </w:r>
      <w:r>
        <w:rPr>
          <w:rFonts w:hint="eastAsia" w:eastAsia="宋体" w:cs="宋体"/>
          <w:b/>
          <w:bCs/>
          <w:color w:val="auto"/>
          <w:kern w:val="2"/>
          <w:sz w:val="28"/>
          <w:szCs w:val="28"/>
          <w:highlight w:val="none"/>
          <w:lang w:val="en-US" w:eastAsia="zh-CN" w:bidi="ar-SA"/>
        </w:rPr>
        <w:t>6</w:t>
      </w:r>
      <w:r>
        <w:rPr>
          <w:rFonts w:hint="eastAsia" w:ascii="宋体" w:hAnsi="宋体" w:eastAsia="宋体" w:cs="宋体"/>
          <w:b/>
          <w:bCs/>
          <w:color w:val="auto"/>
          <w:kern w:val="2"/>
          <w:sz w:val="28"/>
          <w:szCs w:val="28"/>
          <w:highlight w:val="none"/>
          <w:lang w:val="en-US" w:eastAsia="zh-CN" w:bidi="ar-SA"/>
        </w:rPr>
        <w:t>）无条件承接跨标段任务承诺书（适用所有标项）</w:t>
      </w:r>
    </w:p>
    <w:p>
      <w:pPr>
        <w:pStyle w:val="849"/>
        <w:numPr>
          <w:ilvl w:val="0"/>
          <w:numId w:val="0"/>
        </w:numPr>
        <w:ind w:left="0" w:leftChars="0" w:firstLine="0" w:firstLineChars="0"/>
        <w:jc w:val="both"/>
        <w:rPr>
          <w:rFonts w:hint="eastAsia" w:ascii="宋体" w:hAnsi="宋体" w:eastAsia="宋体" w:cs="宋体"/>
          <w:b w:val="0"/>
          <w:bCs w:val="0"/>
          <w:color w:val="auto"/>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p>
    <w:p>
      <w:pPr>
        <w:pStyle w:val="849"/>
        <w:numPr>
          <w:ilvl w:val="0"/>
          <w:numId w:val="0"/>
        </w:numPr>
        <w:ind w:left="420" w:leftChars="200"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如我公司中标</w:t>
      </w:r>
      <w:r>
        <w:rPr>
          <w:rFonts w:hint="eastAsia" w:eastAsia="宋体" w:cs="宋体"/>
          <w:b w:val="0"/>
          <w:bCs w:val="0"/>
          <w:color w:val="auto"/>
          <w:sz w:val="21"/>
          <w:szCs w:val="21"/>
          <w:highlight w:val="none"/>
          <w:lang w:val="en-US" w:eastAsia="zh-CN"/>
        </w:rPr>
        <w:t>鹿城区环卫一体化项目二期（重）</w:t>
      </w:r>
      <w:r>
        <w:rPr>
          <w:rFonts w:hint="eastAsia" w:ascii="宋体" w:hAnsi="宋体" w:eastAsia="宋体" w:cs="宋体"/>
          <w:b w:val="0"/>
          <w:bCs w:val="0"/>
          <w:color w:val="auto"/>
          <w:sz w:val="21"/>
          <w:szCs w:val="21"/>
          <w:highlight w:val="none"/>
          <w:lang w:val="en-US" w:eastAsia="zh-CN"/>
        </w:rPr>
        <w:t>中的任一标段，因特殊原因，需要我公司跨标段承接指派作业任务的，我公司承诺无条件承接。</w:t>
      </w:r>
    </w:p>
    <w:p>
      <w:pPr>
        <w:pStyle w:val="849"/>
        <w:numPr>
          <w:ilvl w:val="0"/>
          <w:numId w:val="0"/>
        </w:numPr>
        <w:ind w:left="0" w:leftChars="0" w:firstLine="0" w:firstLineChars="0"/>
        <w:jc w:val="both"/>
        <w:rPr>
          <w:rFonts w:hint="eastAsia" w:ascii="宋体" w:hAnsi="宋体" w:eastAsia="宋体" w:cs="宋体"/>
          <w:b/>
          <w:bCs/>
          <w:color w:val="auto"/>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bCs/>
          <w:color w:val="auto"/>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bCs/>
          <w:color w:val="auto"/>
          <w:sz w:val="21"/>
          <w:szCs w:val="21"/>
          <w:highlight w:val="none"/>
          <w:lang w:val="en-US" w:eastAsia="zh-CN"/>
        </w:rPr>
      </w:pP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投标人全称（盖章）：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法定代表人或授权代表（签字或盖章）：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          期：  年  月  日</w:t>
      </w:r>
    </w:p>
    <w:p>
      <w:pPr>
        <w:pStyle w:val="849"/>
        <w:ind w:left="0" w:leftChars="0" w:firstLine="0" w:firstLineChars="0"/>
        <w:jc w:val="center"/>
        <w:rPr>
          <w:rFonts w:hint="eastAsia" w:ascii="宋体" w:hAnsi="宋体" w:eastAsia="宋体" w:cs="宋体"/>
          <w:b/>
          <w:bCs/>
          <w:color w:val="auto"/>
          <w:sz w:val="21"/>
          <w:szCs w:val="21"/>
          <w:highlight w:val="none"/>
          <w:lang w:val="en-US" w:eastAsia="zh-CN"/>
        </w:rPr>
        <w:sectPr>
          <w:headerReference r:id="rId8" w:type="default"/>
          <w:footerReference r:id="rId9" w:type="default"/>
          <w:type w:val="nextColumn"/>
          <w:pgSz w:w="11906" w:h="16838"/>
          <w:pgMar w:top="1134" w:right="1134" w:bottom="1134" w:left="1134" w:header="851" w:footer="851" w:gutter="0"/>
          <w:cols w:space="720" w:num="1"/>
          <w:docGrid w:linePitch="312" w:charSpace="0"/>
        </w:sectPr>
      </w:pPr>
    </w:p>
    <w:p>
      <w:pPr>
        <w:pStyle w:val="849"/>
        <w:numPr>
          <w:ilvl w:val="0"/>
          <w:numId w:val="0"/>
        </w:numPr>
        <w:ind w:left="0" w:firstLine="0"/>
        <w:jc w:val="center"/>
        <w:rPr>
          <w:rFonts w:hint="eastAsia" w:ascii="楷体_GB2312" w:eastAsia="楷体_GB2312"/>
          <w:b/>
          <w:bCs/>
          <w:color w:val="auto"/>
          <w:sz w:val="22"/>
          <w:szCs w:val="22"/>
          <w:highlight w:val="none"/>
          <w:lang w:val="en-US" w:eastAsia="zh-CN"/>
        </w:rPr>
      </w:pPr>
      <w:r>
        <w:rPr>
          <w:rFonts w:hint="eastAsia" w:ascii="宋体" w:hAnsi="宋体" w:eastAsia="宋体" w:cs="宋体"/>
          <w:b/>
          <w:bCs/>
          <w:color w:val="auto"/>
          <w:kern w:val="2"/>
          <w:sz w:val="28"/>
          <w:szCs w:val="28"/>
          <w:highlight w:val="none"/>
          <w:lang w:val="en-US" w:eastAsia="zh-CN" w:bidi="ar-SA"/>
        </w:rPr>
        <w:t>（17）整改到位承诺书（如有）（适用所有标项）</w:t>
      </w:r>
    </w:p>
    <w:p>
      <w:pPr>
        <w:pStyle w:val="849"/>
        <w:numPr>
          <w:ilvl w:val="0"/>
          <w:numId w:val="0"/>
        </w:numPr>
        <w:ind w:left="0" w:leftChars="0" w:firstLine="0" w:firstLineChars="0"/>
        <w:jc w:val="both"/>
        <w:rPr>
          <w:rFonts w:hint="eastAsia" w:ascii="宋体" w:hAnsi="宋体" w:eastAsia="宋体" w:cs="宋体"/>
          <w:b w:val="0"/>
          <w:bCs w:val="0"/>
          <w:color w:val="auto"/>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p>
    <w:p>
      <w:pPr>
        <w:pStyle w:val="849"/>
        <w:numPr>
          <w:ilvl w:val="0"/>
          <w:numId w:val="0"/>
        </w:numPr>
        <w:ind w:left="420" w:leftChars="200"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我公司承诺在温州市鹿城区审计的所有环卫保洁项目均已整改到位，且业主单位已签字。</w:t>
      </w:r>
    </w:p>
    <w:p>
      <w:pPr>
        <w:pStyle w:val="849"/>
        <w:numPr>
          <w:ilvl w:val="0"/>
          <w:numId w:val="0"/>
        </w:numPr>
        <w:ind w:left="420" w:leftChars="20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w:t>
      </w:r>
    </w:p>
    <w:p>
      <w:pPr>
        <w:pStyle w:val="849"/>
        <w:numPr>
          <w:ilvl w:val="0"/>
          <w:numId w:val="0"/>
        </w:numPr>
        <w:ind w:left="420" w:leftChars="20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，业主联系方式：</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w:t>
      </w:r>
    </w:p>
    <w:p>
      <w:pPr>
        <w:pStyle w:val="849"/>
        <w:numPr>
          <w:ilvl w:val="0"/>
          <w:numId w:val="0"/>
        </w:numPr>
        <w:ind w:left="0" w:leftChars="0"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p>
    <w:p>
      <w:pPr>
        <w:pStyle w:val="849"/>
        <w:numPr>
          <w:ilvl w:val="0"/>
          <w:numId w:val="0"/>
        </w:numPr>
        <w:ind w:left="0" w:leftChars="0" w:firstLine="0" w:firstLineChars="0"/>
        <w:jc w:val="both"/>
        <w:rPr>
          <w:rFonts w:hint="eastAsia" w:ascii="宋体" w:hAnsi="宋体" w:eastAsia="宋体" w:cs="宋体"/>
          <w:b/>
          <w:bCs/>
          <w:color w:val="auto"/>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bCs/>
          <w:color w:val="auto"/>
          <w:sz w:val="21"/>
          <w:szCs w:val="21"/>
          <w:highlight w:val="none"/>
          <w:lang w:val="en-US" w:eastAsia="zh-CN"/>
        </w:rPr>
      </w:pP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投标人全称（盖章）：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法定代表人或授权代表（签字或盖章）：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          期：  年  月  日</w:t>
      </w:r>
    </w:p>
    <w:p>
      <w:pPr>
        <w:pStyle w:val="849"/>
        <w:ind w:left="0" w:leftChars="0" w:firstLine="0" w:firstLineChars="0"/>
        <w:jc w:val="center"/>
        <w:rPr>
          <w:rFonts w:hint="eastAsia" w:ascii="宋体" w:hAnsi="宋体" w:eastAsia="宋体" w:cs="宋体"/>
          <w:b/>
          <w:bCs/>
          <w:color w:val="auto"/>
          <w:sz w:val="21"/>
          <w:szCs w:val="21"/>
          <w:highlight w:val="none"/>
          <w:lang w:val="en-US" w:eastAsia="zh-CN"/>
        </w:rPr>
        <w:sectPr>
          <w:headerReference r:id="rId10" w:type="default"/>
          <w:footerReference r:id="rId11" w:type="default"/>
          <w:pgSz w:w="11906" w:h="16838"/>
          <w:pgMar w:top="1134" w:right="1134" w:bottom="1134" w:left="1134" w:header="851" w:footer="851" w:gutter="0"/>
          <w:cols w:space="720" w:num="1"/>
          <w:docGrid w:linePitch="312" w:charSpace="0"/>
        </w:sectPr>
      </w:pPr>
    </w:p>
    <w:p>
      <w:pPr>
        <w:ind w:right="-10"/>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2"/>
          <w:sz w:val="28"/>
          <w:szCs w:val="28"/>
          <w:highlight w:val="none"/>
          <w:lang w:val="en-US" w:eastAsia="zh-CN" w:bidi="ar-SA"/>
        </w:rPr>
        <w:t>（18）拟投入本项目保洁排班数一览表</w:t>
      </w:r>
      <w:r>
        <w:rPr>
          <w:rFonts w:hint="eastAsia" w:ascii="宋体" w:hAnsi="宋体" w:eastAsia="宋体" w:cs="宋体"/>
          <w:b/>
          <w:color w:val="auto"/>
          <w:sz w:val="28"/>
          <w:szCs w:val="28"/>
          <w:highlight w:val="none"/>
        </w:rPr>
        <w:t>（适用所有标项）</w:t>
      </w:r>
    </w:p>
    <w:p>
      <w:pPr>
        <w:pStyle w:val="2"/>
        <w:rPr>
          <w:rFonts w:hint="eastAsia"/>
          <w:color w:val="auto"/>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300" w:type="dxa"/>
            <w:gridSpan w:val="2"/>
            <w:noWrap w:val="0"/>
            <w:vAlign w:val="center"/>
          </w:tcPr>
          <w:p>
            <w:pPr>
              <w:jc w:val="both"/>
              <w:rPr>
                <w:rFonts w:hint="eastAsia" w:ascii="宋体" w:hAnsi="宋体" w:eastAsia="宋体" w:cs="宋体"/>
                <w:bCs/>
                <w:color w:val="auto"/>
                <w:sz w:val="24"/>
                <w:highlight w:val="none"/>
                <w:lang w:eastAsia="zh-CN"/>
              </w:rPr>
            </w:pPr>
            <w:r>
              <w:rPr>
                <w:rFonts w:hint="eastAsia" w:ascii="宋体" w:hAnsi="宋体" w:eastAsia="宋体" w:cs="宋体"/>
                <w:b/>
                <w:bCs w:val="0"/>
                <w:color w:val="auto"/>
                <w:sz w:val="24"/>
                <w:highlight w:val="none"/>
                <w:lang w:val="en-US" w:eastAsia="zh-CN"/>
              </w:rPr>
              <w:t>标项</w:t>
            </w:r>
            <w:r>
              <w:rPr>
                <w:rFonts w:hint="eastAsia" w:ascii="宋体" w:hAnsi="宋体" w:eastAsia="宋体" w:cs="宋体"/>
                <w:b/>
                <w:bCs w:val="0"/>
                <w:color w:val="auto"/>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860" w:type="dxa"/>
            <w:noWrap w:val="0"/>
            <w:vAlign w:val="center"/>
          </w:tcPr>
          <w:p>
            <w:pPr>
              <w:spacing w:line="240" w:lineRule="exact"/>
              <w:jc w:val="left"/>
              <w:rPr>
                <w:rFonts w:hint="default" w:ascii="宋体" w:hAnsi="宋体" w:eastAsia="宋体" w:cs="宋体"/>
                <w:bCs/>
                <w:color w:val="auto"/>
                <w:sz w:val="24"/>
                <w:highlight w:val="none"/>
                <w:lang w:val="en-US" w:eastAsia="zh-CN"/>
              </w:rPr>
            </w:pPr>
            <w:r>
              <w:rPr>
                <w:rFonts w:hint="eastAsia"/>
                <w:color w:val="auto"/>
                <w:highlight w:val="none"/>
                <w:lang w:val="en-US" w:eastAsia="zh-CN"/>
              </w:rPr>
              <w:t>每日</w:t>
            </w:r>
            <w:r>
              <w:rPr>
                <w:rFonts w:hint="eastAsia" w:ascii="宋体" w:hAnsi="宋体" w:eastAsia="宋体" w:cs="宋体"/>
                <w:bCs/>
                <w:color w:val="auto"/>
                <w:sz w:val="24"/>
                <w:highlight w:val="none"/>
                <w:lang w:eastAsia="zh-CN"/>
              </w:rPr>
              <w:t>投入全部道路（包括开放式小区、绿化带）人工清扫保洁排班数</w:t>
            </w:r>
            <w:r>
              <w:rPr>
                <w:rFonts w:hint="eastAsia" w:ascii="宋体" w:hAnsi="宋体" w:eastAsia="宋体" w:cs="宋体"/>
                <w:bCs/>
                <w:color w:val="auto"/>
                <w:sz w:val="24"/>
                <w:highlight w:val="none"/>
                <w:lang w:val="en-US" w:eastAsia="zh-CN"/>
              </w:rPr>
              <w:t>总数</w:t>
            </w:r>
          </w:p>
        </w:tc>
        <w:tc>
          <w:tcPr>
            <w:tcW w:w="4440" w:type="dxa"/>
            <w:noWrap w:val="0"/>
            <w:vAlign w:val="center"/>
          </w:tcPr>
          <w:p>
            <w:pPr>
              <w:jc w:val="center"/>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860" w:type="dxa"/>
            <w:noWrap w:val="0"/>
            <w:vAlign w:val="center"/>
          </w:tcPr>
          <w:p>
            <w:pPr>
              <w:spacing w:line="240" w:lineRule="exact"/>
              <w:jc w:val="left"/>
              <w:rPr>
                <w:rFonts w:hint="eastAsia" w:ascii="宋体" w:hAnsi="宋体" w:eastAsia="宋体" w:cs="宋体"/>
                <w:bCs/>
                <w:color w:val="auto"/>
                <w:sz w:val="24"/>
                <w:highlight w:val="none"/>
              </w:rPr>
            </w:pPr>
            <w:r>
              <w:rPr>
                <w:rFonts w:hint="eastAsia"/>
                <w:color w:val="auto"/>
                <w:highlight w:val="none"/>
                <w:lang w:val="en-US" w:eastAsia="zh-CN"/>
              </w:rPr>
              <w:t>每日</w:t>
            </w:r>
            <w:r>
              <w:rPr>
                <w:rFonts w:hint="eastAsia" w:ascii="宋体" w:hAnsi="宋体" w:eastAsia="宋体" w:cs="宋体"/>
                <w:bCs/>
                <w:color w:val="auto"/>
                <w:sz w:val="24"/>
                <w:highlight w:val="none"/>
              </w:rPr>
              <w:t>投入全部道路机械化保洁（包括清扫、洒水、冲洗，不包括人工清扫、洒水、冲洗。）排班数</w:t>
            </w:r>
            <w:r>
              <w:rPr>
                <w:rFonts w:hint="eastAsia" w:ascii="宋体" w:hAnsi="宋体" w:eastAsia="宋体" w:cs="宋体"/>
                <w:bCs/>
                <w:color w:val="auto"/>
                <w:sz w:val="24"/>
                <w:highlight w:val="none"/>
                <w:lang w:val="en-US" w:eastAsia="zh-CN"/>
              </w:rPr>
              <w:t>总数</w:t>
            </w:r>
          </w:p>
        </w:tc>
        <w:tc>
          <w:tcPr>
            <w:tcW w:w="4440" w:type="dxa"/>
            <w:noWrap w:val="0"/>
            <w:vAlign w:val="center"/>
          </w:tcPr>
          <w:p>
            <w:pPr>
              <w:jc w:val="center"/>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860" w:type="dxa"/>
            <w:noWrap w:val="0"/>
            <w:vAlign w:val="center"/>
          </w:tcPr>
          <w:p>
            <w:pPr>
              <w:spacing w:line="240" w:lineRule="exact"/>
              <w:jc w:val="left"/>
              <w:rPr>
                <w:rFonts w:hint="eastAsia" w:ascii="宋体" w:hAnsi="宋体" w:eastAsia="宋体" w:cs="宋体"/>
                <w:bCs/>
                <w:color w:val="auto"/>
                <w:sz w:val="24"/>
                <w:highlight w:val="none"/>
              </w:rPr>
            </w:pPr>
            <w:r>
              <w:rPr>
                <w:rFonts w:hint="eastAsia"/>
                <w:color w:val="auto"/>
                <w:highlight w:val="none"/>
                <w:lang w:val="en-US" w:eastAsia="zh-CN"/>
              </w:rPr>
              <w:t>每日</w:t>
            </w:r>
            <w:r>
              <w:rPr>
                <w:rFonts w:hint="eastAsia" w:ascii="宋体" w:hAnsi="宋体" w:eastAsia="宋体" w:cs="宋体"/>
                <w:color w:val="auto"/>
                <w:szCs w:val="21"/>
                <w:highlight w:val="none"/>
                <w:lang w:val="en-US" w:eastAsia="zh-CN"/>
              </w:rPr>
              <w:t>投入全部环卫设施（包括果壳箱、分类垃圾桶、分类收集点、灭烟柱、垃圾收集车、多功能垃圾房）清洁和小广告清除排班数</w:t>
            </w:r>
            <w:r>
              <w:rPr>
                <w:rFonts w:hint="eastAsia" w:ascii="宋体" w:hAnsi="宋体" w:eastAsia="宋体" w:cs="宋体"/>
                <w:bCs/>
                <w:color w:val="auto"/>
                <w:sz w:val="24"/>
                <w:highlight w:val="none"/>
                <w:lang w:val="en-US" w:eastAsia="zh-CN"/>
              </w:rPr>
              <w:t>总数</w:t>
            </w:r>
          </w:p>
        </w:tc>
        <w:tc>
          <w:tcPr>
            <w:tcW w:w="4440" w:type="dxa"/>
            <w:noWrap w:val="0"/>
            <w:vAlign w:val="center"/>
          </w:tcPr>
          <w:p>
            <w:pPr>
              <w:jc w:val="center"/>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860" w:type="dxa"/>
            <w:noWrap w:val="0"/>
            <w:vAlign w:val="center"/>
          </w:tcPr>
          <w:p>
            <w:pPr>
              <w:spacing w:line="240" w:lineRule="exact"/>
              <w:jc w:val="left"/>
              <w:rPr>
                <w:rFonts w:hint="eastAsia" w:ascii="宋体" w:hAnsi="宋体" w:eastAsia="宋体" w:cs="宋体"/>
                <w:color w:val="auto"/>
                <w:szCs w:val="21"/>
                <w:highlight w:val="none"/>
                <w:lang w:val="en-US" w:eastAsia="zh-CN"/>
              </w:rPr>
            </w:pPr>
            <w:r>
              <w:rPr>
                <w:rFonts w:hint="eastAsia"/>
                <w:color w:val="auto"/>
                <w:highlight w:val="none"/>
                <w:lang w:val="en-US" w:eastAsia="zh-CN"/>
              </w:rPr>
              <w:t>每日</w:t>
            </w:r>
            <w:r>
              <w:rPr>
                <w:rFonts w:hint="eastAsia" w:ascii="宋体" w:hAnsi="宋体" w:eastAsia="宋体" w:cs="宋体"/>
                <w:color w:val="auto"/>
                <w:szCs w:val="21"/>
                <w:highlight w:val="none"/>
                <w:lang w:val="en-US" w:eastAsia="zh-CN"/>
              </w:rPr>
              <w:t>投入全部垃圾分类收集、运输排班数</w:t>
            </w:r>
            <w:r>
              <w:rPr>
                <w:rFonts w:hint="eastAsia" w:ascii="宋体" w:hAnsi="宋体" w:eastAsia="宋体" w:cs="宋体"/>
                <w:bCs/>
                <w:color w:val="auto"/>
                <w:sz w:val="24"/>
                <w:highlight w:val="none"/>
                <w:lang w:val="en-US" w:eastAsia="zh-CN"/>
              </w:rPr>
              <w:t>总数</w:t>
            </w:r>
          </w:p>
        </w:tc>
        <w:tc>
          <w:tcPr>
            <w:tcW w:w="4440" w:type="dxa"/>
            <w:noWrap w:val="0"/>
            <w:vAlign w:val="center"/>
          </w:tcPr>
          <w:p>
            <w:pPr>
              <w:jc w:val="center"/>
              <w:rPr>
                <w:rFonts w:hint="eastAsia" w:ascii="宋体" w:hAnsi="宋体" w:eastAsia="宋体" w:cs="宋体"/>
                <w:bCs/>
                <w:color w:val="auto"/>
                <w:sz w:val="24"/>
                <w:highlight w:val="none"/>
              </w:rPr>
            </w:pPr>
          </w:p>
        </w:tc>
      </w:tr>
    </w:tbl>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380" w:lineRule="exact"/>
        <w:rPr>
          <w:rFonts w:hint="eastAsia" w:ascii="宋体" w:hAnsi="宋体" w:eastAsia="宋体" w:cs="宋体"/>
          <w:b/>
          <w:bCs/>
          <w:color w:val="auto"/>
          <w:sz w:val="28"/>
          <w:szCs w:val="28"/>
          <w:highlight w:val="none"/>
        </w:rPr>
      </w:pPr>
    </w:p>
    <w:p>
      <w:pPr>
        <w:spacing w:line="380" w:lineRule="exact"/>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附件三 ：报价文件</w:t>
      </w:r>
    </w:p>
    <w:p>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28"/>
          <w:szCs w:val="28"/>
          <w:highlight w:val="none"/>
        </w:rPr>
        <w:t>开标一览表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标项1</w:t>
      </w:r>
      <w:r>
        <w:rPr>
          <w:rFonts w:hint="eastAsia" w:ascii="宋体" w:hAnsi="宋体" w:eastAsia="宋体" w:cs="宋体"/>
          <w:b/>
          <w:bCs/>
          <w:color w:val="auto"/>
          <w:sz w:val="28"/>
          <w:szCs w:val="28"/>
          <w:highlight w:val="none"/>
          <w:lang w:eastAsia="zh-CN"/>
        </w:rPr>
        <w:t>）</w:t>
      </w:r>
    </w:p>
    <w:p>
      <w:pPr>
        <w:spacing w:line="380" w:lineRule="exact"/>
        <w:jc w:val="center"/>
        <w:rPr>
          <w:rFonts w:hint="eastAsia" w:ascii="宋体" w:hAnsi="宋体" w:eastAsia="宋体" w:cs="宋体"/>
          <w:b/>
          <w:bCs/>
          <w:color w:val="auto"/>
          <w:sz w:val="28"/>
          <w:highlight w:val="none"/>
        </w:rPr>
      </w:pPr>
    </w:p>
    <w:p>
      <w:pPr>
        <w:spacing w:line="380" w:lineRule="exact"/>
        <w:ind w:right="349" w:rightChars="166"/>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单位：人民币元</w:t>
      </w:r>
    </w:p>
    <w:tbl>
      <w:tblPr>
        <w:tblStyle w:val="58"/>
        <w:tblpPr w:leftFromText="180" w:rightFromText="180" w:vertAnchor="text" w:horzAnchor="page" w:tblpX="1107" w:tblpY="38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28"/>
        <w:gridCol w:w="4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4732" w:type="dxa"/>
            <w:gridSpan w:val="2"/>
            <w:noWrap w:val="0"/>
            <w:vAlign w:val="center"/>
          </w:tcPr>
          <w:p>
            <w:pPr>
              <w:pStyle w:val="33"/>
              <w:jc w:val="center"/>
              <w:rPr>
                <w:rFonts w:hint="eastAsia" w:ascii="宋体" w:hAnsi="宋体" w:eastAsia="宋体" w:cs="宋体"/>
                <w:color w:val="auto"/>
                <w:sz w:val="22"/>
                <w:szCs w:val="22"/>
                <w:highlight w:val="none"/>
              </w:rPr>
            </w:pPr>
            <w:r>
              <w:rPr>
                <w:rFonts w:hint="eastAsia"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p>
        </w:tc>
        <w:tc>
          <w:tcPr>
            <w:tcW w:w="4732" w:type="dxa"/>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732" w:type="dxa"/>
            <w:gridSpan w:val="2"/>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p>
        </w:tc>
        <w:tc>
          <w:tcPr>
            <w:tcW w:w="4732" w:type="dxa"/>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7760" w:type="dxa"/>
            <w:gridSpan w:val="2"/>
            <w:noWrap w:val="0"/>
            <w:vAlign w:val="center"/>
          </w:tcPr>
          <w:p>
            <w:pPr>
              <w:pStyle w:val="33"/>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33"/>
              <w:spacing w:line="460" w:lineRule="atLeast"/>
              <w:rPr>
                <w:rFonts w:hint="eastAsia" w:ascii="宋体" w:hAnsi="宋体" w:eastAsia="宋体" w:cs="宋体"/>
                <w:color w:val="auto"/>
                <w:sz w:val="22"/>
                <w:szCs w:val="22"/>
                <w:highlight w:val="none"/>
              </w:rPr>
            </w:pPr>
          </w:p>
        </w:tc>
        <w:tc>
          <w:tcPr>
            <w:tcW w:w="7760" w:type="dxa"/>
            <w:gridSpan w:val="2"/>
            <w:noWrap w:val="0"/>
            <w:vAlign w:val="center"/>
          </w:tcPr>
          <w:p>
            <w:pPr>
              <w:pStyle w:val="33"/>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p>
        </w:tc>
      </w:tr>
    </w:tbl>
    <w:p>
      <w:pPr>
        <w:spacing w:line="460" w:lineRule="exact"/>
        <w:rPr>
          <w:rFonts w:hint="eastAsia" w:ascii="宋体" w:hAnsi="宋体" w:eastAsia="宋体" w:cs="宋体"/>
          <w:color w:val="auto"/>
          <w:sz w:val="22"/>
          <w:szCs w:val="22"/>
          <w:highlight w:val="none"/>
        </w:rPr>
      </w:pPr>
    </w:p>
    <w:p>
      <w:pPr>
        <w:spacing w:line="380" w:lineRule="exact"/>
        <w:ind w:right="349" w:rightChars="166" w:firstLine="331" w:firstLineChars="150"/>
        <w:rPr>
          <w:rFonts w:hint="eastAsia" w:ascii="宋体" w:hAnsi="宋体" w:eastAsia="宋体" w:cs="宋体"/>
          <w:b/>
          <w:color w:val="auto"/>
          <w:sz w:val="22"/>
          <w:highlight w:val="none"/>
        </w:rPr>
      </w:pPr>
    </w:p>
    <w:p>
      <w:pPr>
        <w:spacing w:line="380" w:lineRule="exact"/>
        <w:ind w:left="528" w:leftChars="-15" w:hanging="559" w:hangingChars="253"/>
        <w:rPr>
          <w:rFonts w:hint="eastAsia" w:ascii="宋体" w:hAnsi="宋体" w:eastAsia="宋体" w:cs="宋体"/>
          <w:b/>
          <w:bCs/>
          <w:color w:val="auto"/>
          <w:sz w:val="22"/>
          <w:szCs w:val="22"/>
          <w:highlight w:val="none"/>
        </w:rPr>
      </w:pPr>
      <w:r>
        <w:rPr>
          <w:rFonts w:hint="eastAsia" w:ascii="宋体" w:hAnsi="宋体" w:eastAsia="宋体" w:cs="宋体"/>
          <w:b/>
          <w:color w:val="auto"/>
          <w:sz w:val="22"/>
          <w:highlight w:val="none"/>
        </w:rPr>
        <w:t>说明：</w:t>
      </w:r>
      <w:r>
        <w:rPr>
          <w:rFonts w:hint="eastAsia" w:ascii="宋体" w:hAnsi="宋体" w:eastAsia="宋体" w:cs="宋体"/>
          <w:b/>
          <w:bCs/>
          <w:color w:val="auto"/>
          <w:sz w:val="22"/>
          <w:szCs w:val="22"/>
          <w:highlight w:val="none"/>
        </w:rPr>
        <w:t>1、《开标一览表》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标项1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中“投标报价”应与</w:t>
      </w:r>
      <w:r>
        <w:rPr>
          <w:rFonts w:hint="eastAsia" w:ascii="宋体" w:hAnsi="宋体" w:eastAsia="宋体" w:cs="宋体"/>
          <w:b/>
          <w:color w:val="auto"/>
          <w:sz w:val="22"/>
          <w:highlight w:val="none"/>
        </w:rPr>
        <w:t>附件三（2）《投标分项报价表》（标项1）中“投标总价”相一致</w:t>
      </w:r>
      <w:r>
        <w:rPr>
          <w:rFonts w:hint="eastAsia" w:ascii="宋体" w:hAnsi="宋体" w:eastAsia="宋体" w:cs="宋体"/>
          <w:b/>
          <w:bCs/>
          <w:color w:val="auto"/>
          <w:sz w:val="22"/>
          <w:szCs w:val="22"/>
          <w:highlight w:val="none"/>
        </w:rPr>
        <w:t xml:space="preserve">。 </w:t>
      </w:r>
    </w:p>
    <w:p>
      <w:pPr>
        <w:spacing w:line="380" w:lineRule="exact"/>
        <w:ind w:left="518" w:leftChars="193" w:hanging="113" w:hangingChars="51"/>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不按要求提供开标一览表的投标文件将被视为未实质性响应招标文件</w:t>
      </w:r>
      <w:r>
        <w:rPr>
          <w:rFonts w:hint="eastAsia" w:ascii="宋体" w:hAnsi="宋体" w:eastAsia="宋体" w:cs="宋体"/>
          <w:b/>
          <w:color w:val="auto"/>
          <w:sz w:val="22"/>
          <w:szCs w:val="22"/>
          <w:highlight w:val="none"/>
          <w:u w:val="single"/>
          <w:lang w:eastAsia="zh-CN"/>
        </w:rPr>
        <w:t>。</w:t>
      </w:r>
    </w:p>
    <w:p>
      <w:pPr>
        <w:numPr>
          <w:ilvl w:val="0"/>
          <w:numId w:val="0"/>
        </w:numPr>
        <w:spacing w:line="380" w:lineRule="exact"/>
        <w:ind w:leftChars="0"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highlight w:val="none"/>
          <w:u w:val="single"/>
        </w:rPr>
        <w:t>按三年服务期报价</w:t>
      </w:r>
      <w:r>
        <w:rPr>
          <w:rFonts w:hint="eastAsia" w:ascii="宋体" w:hAnsi="宋体" w:eastAsia="宋体" w:cs="宋体"/>
          <w:b/>
          <w:color w:val="auto"/>
          <w:sz w:val="22"/>
          <w:highlight w:val="none"/>
          <w:u w:val="single"/>
          <w:lang w:eastAsia="zh-CN"/>
        </w:rPr>
        <w:t>，</w:t>
      </w:r>
      <w:r>
        <w:rPr>
          <w:rFonts w:hint="eastAsia" w:ascii="宋体" w:hAnsi="宋体" w:eastAsia="宋体" w:cs="宋体"/>
          <w:b/>
          <w:color w:val="auto"/>
          <w:sz w:val="22"/>
          <w:highlight w:val="none"/>
          <w:u w:val="single"/>
        </w:rPr>
        <w:t>以上投标总价已包含</w:t>
      </w:r>
      <w:r>
        <w:rPr>
          <w:rFonts w:hint="eastAsia" w:ascii="宋体" w:hAnsi="宋体" w:eastAsia="宋体" w:cs="宋体"/>
          <w:b/>
          <w:color w:val="auto"/>
          <w:sz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color w:val="auto"/>
          <w:sz w:val="22"/>
          <w:highlight w:val="none"/>
          <w:u w:val="single"/>
          <w:lang w:val="en-US" w:eastAsia="zh-CN"/>
        </w:rPr>
        <w:t>含</w:t>
      </w:r>
      <w:r>
        <w:rPr>
          <w:rFonts w:hint="eastAsia" w:ascii="宋体" w:hAnsi="宋体" w:eastAsia="宋体" w:cs="宋体"/>
          <w:b/>
          <w:color w:val="auto"/>
          <w:sz w:val="22"/>
          <w:highlight w:val="none"/>
          <w:u w:val="single"/>
          <w:lang w:eastAsia="zh-CN"/>
        </w:rPr>
        <w:t>化粪池抽运）；环卫驿站维养、无主装潢垃圾清运、生活垃圾分类收运等项目、</w:t>
      </w:r>
      <w:r>
        <w:rPr>
          <w:rFonts w:hint="eastAsia" w:ascii="宋体" w:hAnsi="宋体" w:eastAsia="宋体" w:cs="宋体"/>
          <w:b/>
          <w:color w:val="auto"/>
          <w:sz w:val="22"/>
          <w:highlight w:val="none"/>
          <w:u w:val="single"/>
          <w:lang w:val="en-US" w:eastAsia="zh-CN"/>
        </w:rPr>
        <w:t>采购代理服务费</w:t>
      </w:r>
      <w:r>
        <w:rPr>
          <w:rFonts w:hint="eastAsia" w:ascii="宋体" w:hAnsi="宋体" w:eastAsia="宋体" w:cs="宋体"/>
          <w:b/>
          <w:color w:val="auto"/>
          <w:sz w:val="22"/>
          <w:highlight w:val="none"/>
          <w:u w:val="single"/>
        </w:rPr>
        <w:t>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pStyle w:val="849"/>
        <w:numPr>
          <w:ilvl w:val="0"/>
          <w:numId w:val="0"/>
        </w:numPr>
        <w:ind w:leftChars="0"/>
        <w:rPr>
          <w:rFonts w:hint="eastAsia" w:ascii="宋体" w:hAnsi="宋体" w:eastAsia="宋体" w:cs="宋体"/>
          <w:color w:val="auto"/>
          <w:highlight w:val="none"/>
        </w:rPr>
      </w:pPr>
    </w:p>
    <w:p>
      <w:pPr>
        <w:spacing w:line="380" w:lineRule="exact"/>
        <w:ind w:firstLine="660" w:firstLineChars="300"/>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tabs>
          <w:tab w:val="left" w:pos="6480"/>
        </w:tabs>
        <w:spacing w:line="360" w:lineRule="auto"/>
        <w:ind w:right="69" w:rightChars="33" w:firstLine="4125" w:firstLineChars="1875"/>
        <w:rPr>
          <w:rFonts w:hint="eastAsia" w:ascii="宋体" w:hAnsi="宋体" w:eastAsia="宋体" w:cs="宋体"/>
          <w:color w:val="auto"/>
          <w:kern w:val="0"/>
          <w:sz w:val="22"/>
          <w:szCs w:val="22"/>
          <w:highlight w:val="none"/>
        </w:rPr>
      </w:pPr>
    </w:p>
    <w:p>
      <w:pPr>
        <w:pStyle w:val="26"/>
        <w:ind w:firstLine="321"/>
        <w:rPr>
          <w:rFonts w:hint="eastAsia" w:ascii="宋体" w:hAnsi="宋体" w:eastAsia="宋体" w:cs="宋体"/>
          <w:color w:val="auto"/>
          <w:highlight w:val="none"/>
          <w:lang w:val="en-US" w:eastAsia="zh-CN"/>
        </w:rPr>
      </w:pPr>
    </w:p>
    <w:p>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开标一览表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标项2</w:t>
      </w:r>
      <w:r>
        <w:rPr>
          <w:rFonts w:hint="eastAsia" w:ascii="宋体" w:hAnsi="宋体" w:eastAsia="宋体" w:cs="宋体"/>
          <w:b/>
          <w:bCs/>
          <w:color w:val="auto"/>
          <w:sz w:val="28"/>
          <w:szCs w:val="28"/>
          <w:highlight w:val="none"/>
          <w:lang w:eastAsia="zh-CN"/>
        </w:rPr>
        <w:t>）</w:t>
      </w:r>
    </w:p>
    <w:p>
      <w:pPr>
        <w:spacing w:line="380" w:lineRule="exact"/>
        <w:jc w:val="center"/>
        <w:rPr>
          <w:rFonts w:hint="eastAsia" w:ascii="宋体" w:hAnsi="宋体" w:eastAsia="宋体" w:cs="宋体"/>
          <w:b/>
          <w:bCs/>
          <w:color w:val="auto"/>
          <w:sz w:val="28"/>
          <w:highlight w:val="none"/>
        </w:rPr>
      </w:pPr>
    </w:p>
    <w:p>
      <w:pPr>
        <w:spacing w:line="380" w:lineRule="exact"/>
        <w:ind w:right="349" w:rightChars="166"/>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单位：人民币元</w:t>
      </w:r>
    </w:p>
    <w:tbl>
      <w:tblPr>
        <w:tblStyle w:val="58"/>
        <w:tblpPr w:leftFromText="180" w:rightFromText="180" w:vertAnchor="text" w:horzAnchor="page" w:tblpX="1107" w:tblpY="38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28"/>
        <w:gridCol w:w="4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4732" w:type="dxa"/>
            <w:gridSpan w:val="2"/>
            <w:noWrap w:val="0"/>
            <w:vAlign w:val="center"/>
          </w:tcPr>
          <w:p>
            <w:pPr>
              <w:pStyle w:val="33"/>
              <w:jc w:val="center"/>
              <w:rPr>
                <w:rFonts w:hint="eastAsia" w:ascii="宋体" w:hAnsi="宋体" w:eastAsia="宋体" w:cs="宋体"/>
                <w:color w:val="auto"/>
                <w:sz w:val="22"/>
                <w:szCs w:val="22"/>
                <w:highlight w:val="none"/>
              </w:rPr>
            </w:pPr>
            <w:r>
              <w:rPr>
                <w:rFonts w:hint="eastAsia"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p>
        </w:tc>
        <w:tc>
          <w:tcPr>
            <w:tcW w:w="4732" w:type="dxa"/>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732" w:type="dxa"/>
            <w:gridSpan w:val="2"/>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p>
        </w:tc>
        <w:tc>
          <w:tcPr>
            <w:tcW w:w="4732" w:type="dxa"/>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7760" w:type="dxa"/>
            <w:gridSpan w:val="2"/>
            <w:noWrap w:val="0"/>
            <w:vAlign w:val="center"/>
          </w:tcPr>
          <w:p>
            <w:pPr>
              <w:pStyle w:val="33"/>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33"/>
              <w:spacing w:line="460" w:lineRule="atLeast"/>
              <w:rPr>
                <w:rFonts w:hint="eastAsia" w:ascii="宋体" w:hAnsi="宋体" w:eastAsia="宋体" w:cs="宋体"/>
                <w:color w:val="auto"/>
                <w:sz w:val="22"/>
                <w:szCs w:val="22"/>
                <w:highlight w:val="none"/>
              </w:rPr>
            </w:pPr>
          </w:p>
        </w:tc>
        <w:tc>
          <w:tcPr>
            <w:tcW w:w="7760" w:type="dxa"/>
            <w:gridSpan w:val="2"/>
            <w:noWrap w:val="0"/>
            <w:vAlign w:val="center"/>
          </w:tcPr>
          <w:p>
            <w:pPr>
              <w:pStyle w:val="33"/>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p>
        </w:tc>
      </w:tr>
    </w:tbl>
    <w:p>
      <w:pPr>
        <w:spacing w:line="460" w:lineRule="exact"/>
        <w:rPr>
          <w:rFonts w:hint="eastAsia" w:ascii="宋体" w:hAnsi="宋体" w:eastAsia="宋体" w:cs="宋体"/>
          <w:color w:val="auto"/>
          <w:sz w:val="22"/>
          <w:szCs w:val="22"/>
          <w:highlight w:val="none"/>
        </w:rPr>
      </w:pPr>
    </w:p>
    <w:p>
      <w:pPr>
        <w:spacing w:line="380" w:lineRule="exact"/>
        <w:ind w:right="349" w:rightChars="166" w:firstLine="331" w:firstLineChars="150"/>
        <w:rPr>
          <w:rFonts w:hint="eastAsia" w:ascii="宋体" w:hAnsi="宋体" w:eastAsia="宋体" w:cs="宋体"/>
          <w:b/>
          <w:color w:val="auto"/>
          <w:sz w:val="22"/>
          <w:highlight w:val="none"/>
        </w:rPr>
      </w:pPr>
    </w:p>
    <w:p>
      <w:pPr>
        <w:spacing w:line="380" w:lineRule="exact"/>
        <w:ind w:left="528" w:leftChars="-15" w:hanging="559" w:hangingChars="253"/>
        <w:rPr>
          <w:rFonts w:hint="eastAsia" w:ascii="宋体" w:hAnsi="宋体" w:eastAsia="宋体" w:cs="宋体"/>
          <w:b/>
          <w:bCs/>
          <w:color w:val="auto"/>
          <w:sz w:val="22"/>
          <w:szCs w:val="22"/>
          <w:highlight w:val="none"/>
        </w:rPr>
      </w:pPr>
      <w:r>
        <w:rPr>
          <w:rFonts w:hint="eastAsia" w:ascii="宋体" w:hAnsi="宋体" w:eastAsia="宋体" w:cs="宋体"/>
          <w:b/>
          <w:color w:val="auto"/>
          <w:sz w:val="22"/>
          <w:highlight w:val="none"/>
        </w:rPr>
        <w:t>说明：</w:t>
      </w:r>
      <w:r>
        <w:rPr>
          <w:rFonts w:hint="eastAsia" w:ascii="宋体" w:hAnsi="宋体" w:eastAsia="宋体" w:cs="宋体"/>
          <w:b/>
          <w:bCs/>
          <w:color w:val="auto"/>
          <w:sz w:val="22"/>
          <w:szCs w:val="22"/>
          <w:highlight w:val="none"/>
        </w:rPr>
        <w:t>1、《开标一览表》（标项2）中“投标报价”应与</w:t>
      </w:r>
      <w:r>
        <w:rPr>
          <w:rFonts w:hint="eastAsia" w:ascii="宋体" w:hAnsi="宋体" w:eastAsia="宋体" w:cs="宋体"/>
          <w:b/>
          <w:color w:val="auto"/>
          <w:sz w:val="22"/>
          <w:highlight w:val="none"/>
        </w:rPr>
        <w:t>附件三（2）《投标分项报价表》（标项2）中“投标总价”相一致</w:t>
      </w:r>
      <w:r>
        <w:rPr>
          <w:rFonts w:hint="eastAsia" w:ascii="宋体" w:hAnsi="宋体" w:eastAsia="宋体" w:cs="宋体"/>
          <w:b/>
          <w:bCs/>
          <w:color w:val="auto"/>
          <w:sz w:val="22"/>
          <w:szCs w:val="22"/>
          <w:highlight w:val="none"/>
        </w:rPr>
        <w:t xml:space="preserve">。 </w:t>
      </w:r>
    </w:p>
    <w:p>
      <w:pPr>
        <w:spacing w:line="380" w:lineRule="exact"/>
        <w:ind w:left="518" w:leftChars="193" w:hanging="113" w:hangingChars="51"/>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不按要求提供开标一览表的投标文件将被视为未实质性响应招标文件</w:t>
      </w:r>
      <w:r>
        <w:rPr>
          <w:rFonts w:hint="eastAsia" w:ascii="宋体" w:hAnsi="宋体" w:eastAsia="宋体" w:cs="宋体"/>
          <w:b/>
          <w:color w:val="auto"/>
          <w:sz w:val="22"/>
          <w:szCs w:val="22"/>
          <w:highlight w:val="none"/>
          <w:u w:val="single"/>
          <w:lang w:eastAsia="zh-CN"/>
        </w:rPr>
        <w:t>。</w:t>
      </w:r>
    </w:p>
    <w:p>
      <w:pPr>
        <w:numPr>
          <w:ilvl w:val="0"/>
          <w:numId w:val="0"/>
        </w:numPr>
        <w:spacing w:line="380" w:lineRule="exact"/>
        <w:ind w:leftChars="0"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highlight w:val="none"/>
          <w:u w:val="single"/>
        </w:rPr>
        <w:t>按三年服务期报价</w:t>
      </w:r>
      <w:r>
        <w:rPr>
          <w:rFonts w:hint="eastAsia" w:ascii="宋体" w:hAnsi="宋体" w:eastAsia="宋体" w:cs="宋体"/>
          <w:b/>
          <w:color w:val="auto"/>
          <w:sz w:val="22"/>
          <w:highlight w:val="none"/>
          <w:u w:val="single"/>
          <w:lang w:eastAsia="zh-CN"/>
        </w:rPr>
        <w:t>，</w:t>
      </w:r>
      <w:r>
        <w:rPr>
          <w:rFonts w:hint="eastAsia" w:ascii="宋体" w:hAnsi="宋体" w:eastAsia="宋体" w:cs="宋体"/>
          <w:b/>
          <w:color w:val="auto"/>
          <w:sz w:val="22"/>
          <w:highlight w:val="none"/>
          <w:u w:val="single"/>
        </w:rPr>
        <w:t>以上投标总价已包含</w:t>
      </w:r>
      <w:r>
        <w:rPr>
          <w:rFonts w:hint="eastAsia" w:ascii="宋体" w:hAnsi="宋体" w:eastAsia="宋体" w:cs="宋体"/>
          <w:b/>
          <w:color w:val="auto"/>
          <w:sz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color w:val="auto"/>
          <w:sz w:val="22"/>
          <w:highlight w:val="none"/>
          <w:u w:val="single"/>
          <w:lang w:val="en-US" w:eastAsia="zh-CN"/>
        </w:rPr>
        <w:t>含</w:t>
      </w:r>
      <w:r>
        <w:rPr>
          <w:rFonts w:hint="eastAsia" w:ascii="宋体" w:hAnsi="宋体" w:eastAsia="宋体" w:cs="宋体"/>
          <w:b/>
          <w:color w:val="auto"/>
          <w:sz w:val="22"/>
          <w:highlight w:val="none"/>
          <w:u w:val="single"/>
          <w:lang w:eastAsia="zh-CN"/>
        </w:rPr>
        <w:t>化粪池抽运）；环卫驿站维养、无主装潢垃圾清运、生活垃圾分类收运等项目、</w:t>
      </w:r>
      <w:r>
        <w:rPr>
          <w:rFonts w:hint="eastAsia" w:ascii="宋体" w:hAnsi="宋体" w:eastAsia="宋体" w:cs="宋体"/>
          <w:b/>
          <w:color w:val="auto"/>
          <w:sz w:val="22"/>
          <w:highlight w:val="none"/>
          <w:u w:val="single"/>
          <w:lang w:val="en-US" w:eastAsia="zh-CN"/>
        </w:rPr>
        <w:t>采购代理服务费</w:t>
      </w:r>
      <w:r>
        <w:rPr>
          <w:rFonts w:hint="eastAsia" w:ascii="宋体" w:hAnsi="宋体" w:eastAsia="宋体" w:cs="宋体"/>
          <w:b/>
          <w:color w:val="auto"/>
          <w:sz w:val="22"/>
          <w:highlight w:val="none"/>
          <w:u w:val="single"/>
        </w:rPr>
        <w:t>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pStyle w:val="849"/>
        <w:numPr>
          <w:ilvl w:val="0"/>
          <w:numId w:val="0"/>
        </w:numPr>
        <w:ind w:leftChars="0"/>
        <w:rPr>
          <w:rFonts w:hint="eastAsia" w:ascii="宋体" w:hAnsi="宋体" w:eastAsia="宋体" w:cs="宋体"/>
          <w:color w:val="auto"/>
          <w:highlight w:val="none"/>
        </w:rPr>
      </w:pPr>
    </w:p>
    <w:p>
      <w:pPr>
        <w:spacing w:line="380" w:lineRule="exact"/>
        <w:ind w:firstLine="660" w:firstLineChars="300"/>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460" w:lineRule="exact"/>
        <w:jc w:val="center"/>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开标一览表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标项3</w:t>
      </w:r>
      <w:r>
        <w:rPr>
          <w:rFonts w:hint="eastAsia" w:ascii="宋体" w:hAnsi="宋体" w:eastAsia="宋体" w:cs="宋体"/>
          <w:b/>
          <w:bCs/>
          <w:color w:val="auto"/>
          <w:sz w:val="28"/>
          <w:szCs w:val="28"/>
          <w:highlight w:val="none"/>
          <w:lang w:eastAsia="zh-CN"/>
        </w:rPr>
        <w:t>）</w:t>
      </w:r>
    </w:p>
    <w:p>
      <w:pPr>
        <w:spacing w:line="380" w:lineRule="exact"/>
        <w:jc w:val="center"/>
        <w:rPr>
          <w:rFonts w:hint="eastAsia" w:ascii="宋体" w:hAnsi="宋体" w:eastAsia="宋体" w:cs="宋体"/>
          <w:b/>
          <w:bCs/>
          <w:color w:val="auto"/>
          <w:sz w:val="28"/>
          <w:highlight w:val="none"/>
        </w:rPr>
      </w:pPr>
    </w:p>
    <w:p>
      <w:pPr>
        <w:spacing w:line="380" w:lineRule="exact"/>
        <w:ind w:right="349" w:rightChars="166"/>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单位：人民币元</w:t>
      </w:r>
    </w:p>
    <w:tbl>
      <w:tblPr>
        <w:tblStyle w:val="58"/>
        <w:tblpPr w:leftFromText="180" w:rightFromText="180" w:vertAnchor="text" w:horzAnchor="page" w:tblpX="1107" w:tblpY="38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28"/>
        <w:gridCol w:w="4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4732" w:type="dxa"/>
            <w:gridSpan w:val="2"/>
            <w:noWrap w:val="0"/>
            <w:vAlign w:val="center"/>
          </w:tcPr>
          <w:p>
            <w:pPr>
              <w:pStyle w:val="33"/>
              <w:jc w:val="center"/>
              <w:rPr>
                <w:rFonts w:hint="eastAsia" w:ascii="宋体" w:hAnsi="宋体" w:eastAsia="宋体" w:cs="宋体"/>
                <w:color w:val="auto"/>
                <w:sz w:val="22"/>
                <w:szCs w:val="22"/>
                <w:highlight w:val="none"/>
              </w:rPr>
            </w:pPr>
            <w:r>
              <w:rPr>
                <w:rFonts w:hint="eastAsia" w:hAnsi="宋体" w:eastAsia="宋体" w:cs="宋体"/>
                <w:b/>
                <w:bCs/>
                <w:color w:val="auto"/>
                <w:sz w:val="22"/>
                <w:szCs w:val="22"/>
                <w:highlight w:val="none"/>
                <w:lang w:val="en-US" w:eastAsia="zh-CN"/>
              </w:rPr>
              <w:t>标项</w:t>
            </w:r>
            <w:r>
              <w:rPr>
                <w:rFonts w:hint="eastAsia" w:ascii="宋体" w:hAnsi="宋体" w:eastAsia="宋体" w:cs="宋体"/>
                <w:b/>
                <w:bCs/>
                <w:color w:val="auto"/>
                <w:sz w:val="22"/>
                <w:szCs w:val="22"/>
                <w:highlight w:val="none"/>
              </w:rPr>
              <w:t>名称</w:t>
            </w:r>
          </w:p>
        </w:tc>
        <w:tc>
          <w:tcPr>
            <w:tcW w:w="4732" w:type="dxa"/>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732" w:type="dxa"/>
            <w:gridSpan w:val="2"/>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p>
        </w:tc>
        <w:tc>
          <w:tcPr>
            <w:tcW w:w="4732" w:type="dxa"/>
            <w:noWrap w:val="0"/>
            <w:vAlign w:val="center"/>
          </w:tcPr>
          <w:p>
            <w:pPr>
              <w:pStyle w:val="33"/>
              <w:spacing w:line="4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7760" w:type="dxa"/>
            <w:gridSpan w:val="2"/>
            <w:noWrap w:val="0"/>
            <w:vAlign w:val="center"/>
          </w:tcPr>
          <w:p>
            <w:pPr>
              <w:pStyle w:val="33"/>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33"/>
              <w:spacing w:line="460" w:lineRule="atLeast"/>
              <w:rPr>
                <w:rFonts w:hint="eastAsia" w:ascii="宋体" w:hAnsi="宋体" w:eastAsia="宋体" w:cs="宋体"/>
                <w:color w:val="auto"/>
                <w:sz w:val="22"/>
                <w:szCs w:val="22"/>
                <w:highlight w:val="none"/>
              </w:rPr>
            </w:pPr>
          </w:p>
        </w:tc>
        <w:tc>
          <w:tcPr>
            <w:tcW w:w="7760" w:type="dxa"/>
            <w:gridSpan w:val="2"/>
            <w:noWrap w:val="0"/>
            <w:vAlign w:val="center"/>
          </w:tcPr>
          <w:p>
            <w:pPr>
              <w:pStyle w:val="33"/>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p>
        </w:tc>
      </w:tr>
    </w:tbl>
    <w:p>
      <w:pPr>
        <w:spacing w:line="460" w:lineRule="exact"/>
        <w:rPr>
          <w:rFonts w:hint="eastAsia" w:ascii="宋体" w:hAnsi="宋体" w:eastAsia="宋体" w:cs="宋体"/>
          <w:color w:val="auto"/>
          <w:sz w:val="22"/>
          <w:szCs w:val="22"/>
          <w:highlight w:val="none"/>
        </w:rPr>
      </w:pPr>
    </w:p>
    <w:p>
      <w:pPr>
        <w:spacing w:line="380" w:lineRule="exact"/>
        <w:ind w:right="349" w:rightChars="166" w:firstLine="331" w:firstLineChars="150"/>
        <w:rPr>
          <w:rFonts w:hint="eastAsia" w:ascii="宋体" w:hAnsi="宋体" w:eastAsia="宋体" w:cs="宋体"/>
          <w:b/>
          <w:color w:val="auto"/>
          <w:sz w:val="22"/>
          <w:highlight w:val="none"/>
        </w:rPr>
      </w:pPr>
    </w:p>
    <w:p>
      <w:pPr>
        <w:spacing w:line="380" w:lineRule="exact"/>
        <w:ind w:left="528" w:leftChars="-15" w:hanging="559" w:hangingChars="253"/>
        <w:rPr>
          <w:rFonts w:hint="eastAsia" w:ascii="宋体" w:hAnsi="宋体" w:eastAsia="宋体" w:cs="宋体"/>
          <w:b/>
          <w:bCs/>
          <w:color w:val="auto"/>
          <w:sz w:val="22"/>
          <w:szCs w:val="22"/>
          <w:highlight w:val="none"/>
        </w:rPr>
      </w:pPr>
      <w:r>
        <w:rPr>
          <w:rFonts w:hint="eastAsia" w:ascii="宋体" w:hAnsi="宋体" w:eastAsia="宋体" w:cs="宋体"/>
          <w:b/>
          <w:color w:val="auto"/>
          <w:sz w:val="22"/>
          <w:highlight w:val="none"/>
        </w:rPr>
        <w:t>说明：</w:t>
      </w:r>
      <w:r>
        <w:rPr>
          <w:rFonts w:hint="eastAsia" w:ascii="宋体" w:hAnsi="宋体" w:eastAsia="宋体" w:cs="宋体"/>
          <w:b/>
          <w:bCs/>
          <w:color w:val="auto"/>
          <w:sz w:val="22"/>
          <w:szCs w:val="22"/>
          <w:highlight w:val="none"/>
        </w:rPr>
        <w:t>1、《开标一览表》（标项3）中“投标报价”应与</w:t>
      </w:r>
      <w:r>
        <w:rPr>
          <w:rFonts w:hint="eastAsia" w:ascii="宋体" w:hAnsi="宋体" w:eastAsia="宋体" w:cs="宋体"/>
          <w:b/>
          <w:color w:val="auto"/>
          <w:sz w:val="22"/>
          <w:highlight w:val="none"/>
        </w:rPr>
        <w:t>附件三（2）《投标分项报价表》（标项3）中“投标总价”相一致</w:t>
      </w:r>
      <w:r>
        <w:rPr>
          <w:rFonts w:hint="eastAsia" w:ascii="宋体" w:hAnsi="宋体" w:eastAsia="宋体" w:cs="宋体"/>
          <w:b/>
          <w:bCs/>
          <w:color w:val="auto"/>
          <w:sz w:val="22"/>
          <w:szCs w:val="22"/>
          <w:highlight w:val="none"/>
        </w:rPr>
        <w:t xml:space="preserve">。 </w:t>
      </w:r>
    </w:p>
    <w:p>
      <w:pPr>
        <w:spacing w:line="380" w:lineRule="exact"/>
        <w:ind w:left="518" w:leftChars="193" w:hanging="113" w:hangingChars="51"/>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不按要求提供开标一览表的投标文件将被视为未实质性响应招标文件</w:t>
      </w:r>
      <w:r>
        <w:rPr>
          <w:rFonts w:hint="eastAsia" w:ascii="宋体" w:hAnsi="宋体" w:eastAsia="宋体" w:cs="宋体"/>
          <w:b/>
          <w:color w:val="auto"/>
          <w:sz w:val="22"/>
          <w:szCs w:val="22"/>
          <w:highlight w:val="none"/>
          <w:u w:val="single"/>
          <w:lang w:eastAsia="zh-CN"/>
        </w:rPr>
        <w:t>。</w:t>
      </w:r>
    </w:p>
    <w:p>
      <w:pPr>
        <w:numPr>
          <w:ilvl w:val="0"/>
          <w:numId w:val="0"/>
        </w:numPr>
        <w:spacing w:line="380" w:lineRule="exact"/>
        <w:ind w:leftChars="0"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highlight w:val="none"/>
          <w:u w:val="single"/>
        </w:rPr>
        <w:t>按三年服务期报价</w:t>
      </w:r>
      <w:r>
        <w:rPr>
          <w:rFonts w:hint="eastAsia" w:ascii="宋体" w:hAnsi="宋体" w:eastAsia="宋体" w:cs="宋体"/>
          <w:b/>
          <w:color w:val="auto"/>
          <w:sz w:val="22"/>
          <w:highlight w:val="none"/>
          <w:u w:val="single"/>
          <w:lang w:eastAsia="zh-CN"/>
        </w:rPr>
        <w:t>，</w:t>
      </w:r>
      <w:r>
        <w:rPr>
          <w:rFonts w:hint="eastAsia" w:ascii="宋体" w:hAnsi="宋体" w:eastAsia="宋体" w:cs="宋体"/>
          <w:b/>
          <w:color w:val="auto"/>
          <w:sz w:val="22"/>
          <w:highlight w:val="none"/>
          <w:u w:val="single"/>
        </w:rPr>
        <w:t>以上投标总价已包含</w:t>
      </w:r>
      <w:r>
        <w:rPr>
          <w:rFonts w:hint="eastAsia" w:ascii="宋体" w:hAnsi="宋体" w:eastAsia="宋体" w:cs="宋体"/>
          <w:b/>
          <w:color w:val="auto"/>
          <w:sz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color w:val="auto"/>
          <w:sz w:val="22"/>
          <w:highlight w:val="none"/>
          <w:u w:val="single"/>
          <w:lang w:val="en-US" w:eastAsia="zh-CN"/>
        </w:rPr>
        <w:t>含</w:t>
      </w:r>
      <w:r>
        <w:rPr>
          <w:rFonts w:hint="eastAsia" w:ascii="宋体" w:hAnsi="宋体" w:eastAsia="宋体" w:cs="宋体"/>
          <w:b/>
          <w:color w:val="auto"/>
          <w:sz w:val="22"/>
          <w:highlight w:val="none"/>
          <w:u w:val="single"/>
          <w:lang w:eastAsia="zh-CN"/>
        </w:rPr>
        <w:t>化粪池抽运）；环卫驿站维养、无主装潢垃圾清运、生活垃圾分类收运等项目、</w:t>
      </w:r>
      <w:r>
        <w:rPr>
          <w:rFonts w:hint="eastAsia" w:ascii="宋体" w:hAnsi="宋体" w:eastAsia="宋体" w:cs="宋体"/>
          <w:b/>
          <w:color w:val="auto"/>
          <w:sz w:val="22"/>
          <w:highlight w:val="none"/>
          <w:u w:val="single"/>
          <w:lang w:val="en-US" w:eastAsia="zh-CN"/>
        </w:rPr>
        <w:t>采购代理服务费</w:t>
      </w:r>
      <w:r>
        <w:rPr>
          <w:rFonts w:hint="eastAsia" w:ascii="宋体" w:hAnsi="宋体" w:eastAsia="宋体" w:cs="宋体"/>
          <w:b/>
          <w:color w:val="auto"/>
          <w:sz w:val="22"/>
          <w:highlight w:val="none"/>
          <w:u w:val="single"/>
        </w:rPr>
        <w:t>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pStyle w:val="849"/>
        <w:numPr>
          <w:ilvl w:val="0"/>
          <w:numId w:val="0"/>
        </w:numPr>
        <w:ind w:leftChars="0"/>
        <w:rPr>
          <w:rFonts w:hint="eastAsia" w:ascii="宋体" w:hAnsi="宋体" w:eastAsia="宋体" w:cs="宋体"/>
          <w:color w:val="auto"/>
          <w:highlight w:val="none"/>
        </w:rPr>
      </w:pPr>
    </w:p>
    <w:p>
      <w:pPr>
        <w:spacing w:line="380" w:lineRule="exact"/>
        <w:ind w:firstLine="660" w:firstLineChars="300"/>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597137.05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522194.43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1458283.03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1092049.01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469794.24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62</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说明：</w:t>
      </w:r>
      <w:r>
        <w:rPr>
          <w:rFonts w:hint="eastAsia" w:ascii="宋体" w:hAnsi="宋体" w:eastAsia="宋体" w:cs="宋体"/>
          <w:b/>
          <w:color w:val="auto"/>
          <w:sz w:val="22"/>
          <w:szCs w:val="22"/>
          <w:highlight w:val="none"/>
        </w:rPr>
        <w:t>1、此表内投标总价应与附件三（1）《开标一览表》（标项1）投标报价相一致。</w:t>
      </w:r>
    </w:p>
    <w:p>
      <w:pPr>
        <w:numPr>
          <w:ilvl w:val="0"/>
          <w:numId w:val="0"/>
        </w:numPr>
        <w:spacing w:line="360" w:lineRule="exact"/>
        <w:ind w:firstLine="442"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3、如果免费请在该备注栏内注明“免”，如果含在产品价格中则填“含”，如无此项内容则填“无”，不留空白。</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4、本表所列费用为该分项的全部费用，未列费用【包括，但不限于：城市道路、域内国、省道、社区(村）道路、沿河游步道、绿化带、街头绿地和开放式物业小区的人工精细化保洁作业（含</w:t>
      </w:r>
      <w:r>
        <w:rPr>
          <w:rFonts w:hint="eastAsia" w:ascii="宋体" w:hAnsi="宋体" w:eastAsia="宋体" w:cs="宋体"/>
          <w:b/>
          <w:color w:val="auto"/>
          <w:sz w:val="22"/>
          <w:szCs w:val="22"/>
          <w:highlight w:val="none"/>
          <w:lang w:val="en-US" w:eastAsia="zh-CN"/>
        </w:rPr>
        <w:t>生活垃圾分类收运</w:t>
      </w:r>
      <w:r>
        <w:rPr>
          <w:rFonts w:hint="eastAsia" w:ascii="宋体" w:hAnsi="宋体" w:eastAsia="宋体" w:cs="宋体"/>
          <w:b/>
          <w:color w:val="auto"/>
          <w:sz w:val="22"/>
          <w:szCs w:val="22"/>
          <w:highlight w:val="none"/>
          <w:lang w:val="en-US" w:eastAsia="zh-CN"/>
        </w:rPr>
        <w:t>）；主要道路机械化清扫作业、道路洒水和冲洗；环卫设施（果壳箱、垃圾桶）、中转站垃圾桶、城市家具（道路护栏、隔离带、路灯杆、信号灯等）、垃圾分类收集点的清洗；</w:t>
      </w:r>
      <w:r>
        <w:rPr>
          <w:rFonts w:hint="eastAsia" w:ascii="宋体" w:hAnsi="宋体" w:eastAsia="宋体" w:cs="宋体"/>
          <w:b/>
          <w:color w:val="auto"/>
          <w:sz w:val="22"/>
          <w:szCs w:val="22"/>
          <w:highlight w:val="none"/>
          <w:lang w:val="en-US" w:eastAsia="zh-CN"/>
        </w:rPr>
        <w:t>环卫驿站维养；</w:t>
      </w:r>
      <w:r>
        <w:rPr>
          <w:rFonts w:hint="eastAsia" w:ascii="宋体" w:hAnsi="宋体" w:eastAsia="宋体" w:cs="宋体"/>
          <w:b/>
          <w:color w:val="auto"/>
          <w:sz w:val="22"/>
          <w:szCs w:val="22"/>
          <w:highlight w:val="none"/>
          <w:lang w:val="en-US" w:eastAsia="zh-CN"/>
        </w:rPr>
        <w:t>城镇公厕维养；</w:t>
      </w:r>
      <w:r>
        <w:rPr>
          <w:rFonts w:hint="eastAsia" w:ascii="宋体" w:hAnsi="宋体" w:eastAsia="宋体" w:cs="宋体"/>
          <w:b/>
          <w:color w:val="auto"/>
          <w:sz w:val="22"/>
          <w:szCs w:val="22"/>
          <w:highlight w:val="none"/>
          <w:lang w:val="en-US" w:eastAsia="zh-CN"/>
        </w:rPr>
        <w:t>公厕化粪池抽运、</w:t>
      </w:r>
      <w:r>
        <w:rPr>
          <w:rFonts w:hint="eastAsia" w:ascii="宋体" w:hAnsi="宋体" w:eastAsia="宋体" w:cs="宋体"/>
          <w:b/>
          <w:color w:val="auto"/>
          <w:sz w:val="22"/>
          <w:szCs w:val="22"/>
          <w:highlight w:val="none"/>
          <w:lang w:val="en-US" w:eastAsia="zh-CN"/>
        </w:rPr>
        <w:t>无主装潢垃圾清运、</w:t>
      </w:r>
      <w:r>
        <w:rPr>
          <w:rFonts w:hint="eastAsia" w:ascii="宋体" w:hAnsi="宋体" w:eastAsia="宋体" w:cs="宋体"/>
          <w:b/>
          <w:i w:val="0"/>
          <w:iCs w:val="0"/>
          <w:color w:val="auto"/>
          <w:sz w:val="22"/>
          <w:szCs w:val="22"/>
          <w:highlight w:val="none"/>
          <w:u w:val="none"/>
        </w:rPr>
        <w:t>小广告清理</w:t>
      </w:r>
      <w:r>
        <w:rPr>
          <w:rFonts w:hint="eastAsia" w:ascii="宋体" w:hAnsi="宋体" w:eastAsia="宋体" w:cs="宋体"/>
          <w:b/>
          <w:i w:val="0"/>
          <w:iCs w:val="0"/>
          <w:color w:val="auto"/>
          <w:sz w:val="22"/>
          <w:szCs w:val="22"/>
          <w:highlight w:val="none"/>
          <w:u w:val="none"/>
          <w:lang w:eastAsia="zh-CN"/>
        </w:rPr>
        <w:t>（</w:t>
      </w:r>
      <w:r>
        <w:rPr>
          <w:rFonts w:hint="eastAsia" w:ascii="宋体" w:hAnsi="宋体" w:eastAsia="宋体" w:cs="宋体"/>
          <w:b/>
          <w:i w:val="0"/>
          <w:iCs w:val="0"/>
          <w:color w:val="auto"/>
          <w:sz w:val="22"/>
          <w:szCs w:val="22"/>
          <w:highlight w:val="none"/>
          <w:u w:val="none"/>
          <w:lang w:val="en-US" w:eastAsia="zh-CN"/>
        </w:rPr>
        <w:t>含</w:t>
      </w:r>
      <w:r>
        <w:rPr>
          <w:rFonts w:hint="eastAsia" w:ascii="宋体" w:hAnsi="宋体" w:eastAsia="宋体" w:cs="宋体"/>
          <w:b/>
          <w:color w:val="auto"/>
          <w:sz w:val="22"/>
          <w:szCs w:val="22"/>
          <w:highlight w:val="none"/>
          <w:lang w:val="en-US" w:eastAsia="zh-CN"/>
        </w:rPr>
        <w:t>乱张贴清除、乱涂写覆盖）</w:t>
      </w:r>
      <w:r>
        <w:rPr>
          <w:rFonts w:hint="eastAsia" w:ascii="宋体" w:hAnsi="宋体" w:eastAsia="宋体" w:cs="宋体"/>
          <w:b/>
          <w:color w:val="auto"/>
          <w:sz w:val="22"/>
          <w:szCs w:val="22"/>
          <w:highlight w:val="none"/>
          <w:lang w:val="en-US" w:eastAsia="zh-CN"/>
        </w:rPr>
        <w:t>等项目费用、采购代理服务费等】均由投标人考虑在相应项目报价中。</w:t>
      </w:r>
    </w:p>
    <w:p>
      <w:pPr>
        <w:spacing w:line="360" w:lineRule="exact"/>
        <w:ind w:left="439" w:leftChars="209" w:firstLine="109" w:firstLineChars="52"/>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ind w:right="69" w:rightChars="33" w:firstLine="4345" w:firstLineChars="1975"/>
        <w:rPr>
          <w:rFonts w:hint="eastAsia"/>
          <w:color w:val="auto"/>
          <w:highlight w:val="none"/>
        </w:rPr>
      </w:pPr>
      <w:r>
        <w:rPr>
          <w:rFonts w:hint="eastAsia" w:ascii="宋体" w:hAnsi="宋体" w:eastAsia="宋体" w:cs="宋体"/>
          <w:color w:val="auto"/>
          <w:sz w:val="22"/>
          <w:szCs w:val="22"/>
          <w:highlight w:val="none"/>
        </w:rPr>
        <w:t>日期：</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78000</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334288.31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890111.09</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default" w:ascii="宋体" w:hAnsi="宋体" w:eastAsia="宋体" w:cs="宋体"/>
                <w:i w:val="0"/>
                <w:iCs w:val="0"/>
                <w:color w:val="auto"/>
                <w:kern w:val="2"/>
                <w:sz w:val="22"/>
                <w:szCs w:val="22"/>
                <w:highlight w:val="none"/>
                <w:u w:val="none"/>
                <w:lang w:val="en-US" w:eastAsia="zh-CN" w:bidi="ar-SA"/>
              </w:rPr>
              <w:t>1037169.22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69239</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4"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说明：</w:t>
      </w:r>
      <w:r>
        <w:rPr>
          <w:rFonts w:hint="eastAsia" w:ascii="宋体" w:hAnsi="宋体" w:eastAsia="宋体" w:cs="宋体"/>
          <w:b/>
          <w:color w:val="auto"/>
          <w:sz w:val="22"/>
          <w:szCs w:val="22"/>
          <w:highlight w:val="none"/>
        </w:rPr>
        <w:t>1、此表内投标总价应与附件三（1）《开标一览表》（标项2）投标报价相一致。</w:t>
      </w:r>
    </w:p>
    <w:p>
      <w:pPr>
        <w:numPr>
          <w:ilvl w:val="0"/>
          <w:numId w:val="0"/>
        </w:numPr>
        <w:spacing w:line="360" w:lineRule="exact"/>
        <w:ind w:firstLine="442"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3、如果免费请在该备注栏内注明“免”，如果含在产品价格中则填“含”，如无此项内容则填“无”，不留空白。</w:t>
      </w:r>
    </w:p>
    <w:p>
      <w:pPr>
        <w:spacing w:line="360" w:lineRule="exact"/>
        <w:ind w:left="0" w:leftChars="0"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本表所列费用为该分项的全部费用，未列费用【包括，但不限于：城市道路、域内国、省道、社区(村）道路、沿河游步道、绿化带、街头绿地和开放式物业小区的人工精细化保洁作业（含生活垃圾分类收运）；主要道路机械化清扫作业、道路洒水和冲洗；环卫设施（果壳箱、垃圾桶）、中转站垃圾桶、城市家具（道路护栏、隔离带、路灯杆、信号灯等）、垃圾分类收集点的清洗；环卫驿站维养；城镇公厕维养；公厕化粪池抽运、无主装潢垃圾清运、小广告清理（含乱张贴清除、乱涂写覆盖）等项目费用、采购代理服务费等】均由投标人考虑在相应项目报价中。</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ind w:right="69" w:rightChars="33" w:firstLine="4345" w:firstLineChars="1975"/>
        <w:rPr>
          <w:rFonts w:hint="eastAsia"/>
          <w:color w:val="auto"/>
          <w:highlight w:val="none"/>
        </w:rPr>
      </w:pPr>
      <w:r>
        <w:rPr>
          <w:rFonts w:hint="eastAsia" w:ascii="宋体" w:hAnsi="宋体" w:eastAsia="宋体" w:cs="宋体"/>
          <w:color w:val="auto"/>
          <w:sz w:val="22"/>
          <w:szCs w:val="22"/>
          <w:highlight w:val="none"/>
        </w:rPr>
        <w:t>日期：</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85104.00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63192.57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495560.83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46266.00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说明：</w:t>
      </w:r>
      <w:r>
        <w:rPr>
          <w:rFonts w:hint="eastAsia" w:ascii="宋体" w:hAnsi="宋体" w:eastAsia="宋体" w:cs="宋体"/>
          <w:b/>
          <w:color w:val="auto"/>
          <w:sz w:val="22"/>
          <w:szCs w:val="22"/>
          <w:highlight w:val="none"/>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此表内投标总价应与附件三（1）《开标一览表》（标项3）投标报价相一致。</w:t>
      </w:r>
    </w:p>
    <w:p>
      <w:pPr>
        <w:numPr>
          <w:ilvl w:val="0"/>
          <w:numId w:val="0"/>
        </w:numPr>
        <w:spacing w:line="360" w:lineRule="exact"/>
        <w:ind w:firstLine="442"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3、如果免费请在该备注栏内注明“免”，如果含在产品价格中则填“含”，如无此项内容则填“无”，不留空白。</w:t>
      </w:r>
    </w:p>
    <w:p>
      <w:pPr>
        <w:spacing w:line="360" w:lineRule="exact"/>
        <w:ind w:left="0" w:leftChars="0" w:firstLine="442" w:firstLineChars="200"/>
        <w:rPr>
          <w:rFonts w:hint="eastAsia" w:ascii="宋体" w:hAnsi="宋体" w:eastAsia="宋体" w:cs="宋体"/>
          <w:color w:val="auto"/>
          <w:szCs w:val="21"/>
          <w:highlight w:val="none"/>
        </w:rPr>
      </w:pPr>
      <w:r>
        <w:rPr>
          <w:rFonts w:hint="eastAsia" w:ascii="宋体" w:hAnsi="宋体" w:eastAsia="宋体" w:cs="宋体"/>
          <w:b/>
          <w:color w:val="auto"/>
          <w:sz w:val="22"/>
          <w:szCs w:val="22"/>
          <w:highlight w:val="none"/>
          <w:lang w:val="en-US" w:eastAsia="zh-CN"/>
        </w:rPr>
        <w:t>4、本表所列费用为该分项的全部费用，未列费用【包括，但不限于：城市道路、域内国、省道、社区(村）道路、沿河游步道、绿化带、街头绿地和开放式物业小区的人工精细化保洁作业（含生活垃圾分类收运）；主要道路机械化清扫作业、道路洒水和冲洗；环卫设施（果壳箱、垃圾桶）、中转站垃圾桶、城市家具（道路护栏、隔离带、路灯杆、信号灯等）、垃圾分类收集点的清洗；环卫驿站维养；城镇公厕维养；公厕化粪池抽运、无主装潢垃圾清运、小广告清理（含乱张贴清除、乱涂写覆盖）等项目费用、采购代理服务费等】均由投标人考虑在相应项目报价中。</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各街镇</w:t>
      </w:r>
      <w:r>
        <w:rPr>
          <w:rFonts w:hint="eastAsia" w:ascii="宋体" w:hAnsi="宋体" w:eastAsia="宋体" w:cs="宋体"/>
          <w:b/>
          <w:bCs/>
          <w:color w:val="auto"/>
          <w:sz w:val="28"/>
          <w:szCs w:val="28"/>
          <w:highlight w:val="none"/>
        </w:rPr>
        <w:t>投标分项报价表</w:t>
      </w:r>
    </w:p>
    <w:p>
      <w:pPr>
        <w:pStyle w:val="2"/>
        <w:jc w:val="center"/>
        <w:rPr>
          <w:rFonts w:hint="eastAsia" w:ascii="宋体" w:hAnsi="宋体" w:eastAsia="宋体" w:cs="宋体"/>
          <w:b/>
          <w:bCs/>
          <w:color w:val="auto"/>
          <w:sz w:val="28"/>
          <w:szCs w:val="28"/>
          <w:highlight w:val="none"/>
        </w:rPr>
      </w:pPr>
    </w:p>
    <w:p>
      <w:pPr>
        <w:pStyle w:val="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双屿街道投标分项报价表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452237.05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264217.00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243866.20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highlight w:val="none"/>
                <w:u w:val="none"/>
                <w:lang w:val="en-US" w:eastAsia="zh-CN" w:bidi="ar"/>
              </w:rPr>
              <w:t xml:space="preserve">583116.75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116274.00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7"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不提供详细“各</w:t>
      </w:r>
      <w:r>
        <w:rPr>
          <w:rFonts w:hint="eastAsia" w:ascii="宋体" w:hAnsi="宋体" w:eastAsia="宋体" w:cs="宋体"/>
          <w:b/>
          <w:color w:val="auto"/>
          <w:sz w:val="22"/>
          <w:szCs w:val="22"/>
          <w:highlight w:val="none"/>
          <w:u w:val="single"/>
          <w:lang w:eastAsia="zh-CN"/>
        </w:rPr>
        <w:t>街镇</w:t>
      </w:r>
      <w:r>
        <w:rPr>
          <w:rFonts w:hint="eastAsia" w:ascii="宋体" w:hAnsi="宋体" w:eastAsia="宋体" w:cs="宋体"/>
          <w:b/>
          <w:color w:val="auto"/>
          <w:sz w:val="22"/>
          <w:szCs w:val="22"/>
          <w:highlight w:val="none"/>
          <w:u w:val="single"/>
        </w:rPr>
        <w:t>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投标供应商按上述要求填报此表，作为今后与各街镇的结算依据。</w:t>
      </w:r>
    </w:p>
    <w:p>
      <w:pPr>
        <w:pStyle w:val="2"/>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双屿街道</w:t>
      </w:r>
      <w:r>
        <w:rPr>
          <w:rFonts w:hint="eastAsia" w:ascii="宋体" w:hAnsi="宋体" w:eastAsia="宋体" w:cs="宋体"/>
          <w:b/>
          <w:bCs/>
          <w:color w:val="auto"/>
          <w:sz w:val="22"/>
          <w:szCs w:val="22"/>
          <w:highlight w:val="none"/>
          <w:u w:val="single"/>
          <w:lang w:eastAsia="zh-CN"/>
        </w:rPr>
        <w:t>、丰门街道、仰义街道投标分项报价表”</w:t>
      </w:r>
      <w:r>
        <w:rPr>
          <w:rFonts w:hint="eastAsia" w:ascii="宋体" w:hAnsi="宋体" w:eastAsia="宋体" w:cs="宋体"/>
          <w:b/>
          <w:bCs/>
          <w:color w:val="auto"/>
          <w:sz w:val="22"/>
          <w:szCs w:val="22"/>
          <w:highlight w:val="none"/>
          <w:u w:val="single"/>
          <w:lang w:val="en-US" w:eastAsia="zh-CN"/>
        </w:rPr>
        <w:t>中的投标总价之和应与“投标分项报价表（标项1）”中的投标总价一致。</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spacing w:line="380" w:lineRule="exact"/>
        <w:rPr>
          <w:rFonts w:hint="eastAsia" w:ascii="宋体" w:hAnsi="宋体" w:eastAsia="宋体" w:cs="宋体"/>
          <w:color w:val="auto"/>
          <w:sz w:val="22"/>
          <w:szCs w:val="22"/>
          <w:highlight w:val="none"/>
        </w:rPr>
      </w:pPr>
    </w:p>
    <w:p>
      <w:pPr>
        <w:pStyle w:val="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丰门街道投标分项报价表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144900.00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74925.00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668269.00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highlight w:val="none"/>
                <w:u w:val="none"/>
                <w:lang w:val="en-US" w:eastAsia="zh-CN" w:bidi="ar"/>
              </w:rPr>
              <w:t xml:space="preserve">169493.81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highlight w:val="none"/>
                <w:u w:val="none"/>
                <w:lang w:val="en-US" w:eastAsia="zh-CN" w:bidi="ar"/>
              </w:rPr>
              <w:t xml:space="preserve">132646.84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10</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不提供详细“各</w:t>
      </w:r>
      <w:r>
        <w:rPr>
          <w:rFonts w:hint="eastAsia" w:ascii="宋体" w:hAnsi="宋体" w:eastAsia="宋体" w:cs="宋体"/>
          <w:b/>
          <w:color w:val="auto"/>
          <w:sz w:val="22"/>
          <w:szCs w:val="22"/>
          <w:highlight w:val="none"/>
          <w:u w:val="single"/>
          <w:lang w:eastAsia="zh-CN"/>
        </w:rPr>
        <w:t>街镇</w:t>
      </w:r>
      <w:r>
        <w:rPr>
          <w:rFonts w:hint="eastAsia" w:ascii="宋体" w:hAnsi="宋体" w:eastAsia="宋体" w:cs="宋体"/>
          <w:b/>
          <w:color w:val="auto"/>
          <w:sz w:val="22"/>
          <w:szCs w:val="22"/>
          <w:highlight w:val="none"/>
          <w:u w:val="single"/>
        </w:rPr>
        <w:t>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双屿街道</w:t>
      </w:r>
      <w:r>
        <w:rPr>
          <w:rFonts w:hint="eastAsia" w:ascii="宋体" w:hAnsi="宋体" w:eastAsia="宋体" w:cs="宋体"/>
          <w:b/>
          <w:bCs/>
          <w:color w:val="auto"/>
          <w:sz w:val="22"/>
          <w:szCs w:val="22"/>
          <w:highlight w:val="none"/>
          <w:u w:val="single"/>
          <w:lang w:eastAsia="zh-CN"/>
        </w:rPr>
        <w:t>、丰门街道、仰义街道投标分项报价表”</w:t>
      </w:r>
      <w:r>
        <w:rPr>
          <w:rFonts w:hint="eastAsia" w:ascii="宋体" w:hAnsi="宋体" w:eastAsia="宋体" w:cs="宋体"/>
          <w:b/>
          <w:bCs/>
          <w:color w:val="auto"/>
          <w:sz w:val="22"/>
          <w:szCs w:val="22"/>
          <w:highlight w:val="none"/>
          <w:u w:val="single"/>
          <w:lang w:val="en-US" w:eastAsia="zh-CN"/>
        </w:rPr>
        <w:t>中的投标总价之和应与“投标分项报价表（标项1）”中的投标总价一致。</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仰义街道投标分项报价表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183052.43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546147.83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339438.45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220873.40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不提供详细“各</w:t>
      </w:r>
      <w:r>
        <w:rPr>
          <w:rFonts w:hint="eastAsia" w:ascii="宋体" w:hAnsi="宋体" w:eastAsia="宋体" w:cs="宋体"/>
          <w:b/>
          <w:color w:val="auto"/>
          <w:sz w:val="22"/>
          <w:szCs w:val="22"/>
          <w:highlight w:val="none"/>
          <w:u w:val="single"/>
          <w:lang w:eastAsia="zh-CN"/>
        </w:rPr>
        <w:t>街镇</w:t>
      </w:r>
      <w:r>
        <w:rPr>
          <w:rFonts w:hint="eastAsia" w:ascii="宋体" w:hAnsi="宋体" w:eastAsia="宋体" w:cs="宋体"/>
          <w:b/>
          <w:color w:val="auto"/>
          <w:sz w:val="22"/>
          <w:szCs w:val="22"/>
          <w:highlight w:val="none"/>
          <w:u w:val="single"/>
        </w:rPr>
        <w:t>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双屿街道</w:t>
      </w:r>
      <w:r>
        <w:rPr>
          <w:rFonts w:hint="eastAsia" w:ascii="宋体" w:hAnsi="宋体" w:eastAsia="宋体" w:cs="宋体"/>
          <w:b/>
          <w:bCs/>
          <w:color w:val="auto"/>
          <w:sz w:val="22"/>
          <w:szCs w:val="22"/>
          <w:highlight w:val="none"/>
          <w:u w:val="single"/>
          <w:lang w:eastAsia="zh-CN"/>
        </w:rPr>
        <w:t>、丰门街道、仰义街道投标分项报价表”</w:t>
      </w:r>
      <w:r>
        <w:rPr>
          <w:rFonts w:hint="eastAsia" w:ascii="宋体" w:hAnsi="宋体" w:eastAsia="宋体" w:cs="宋体"/>
          <w:b/>
          <w:bCs/>
          <w:color w:val="auto"/>
          <w:sz w:val="22"/>
          <w:szCs w:val="22"/>
          <w:highlight w:val="none"/>
          <w:u w:val="single"/>
          <w:lang w:val="en-US" w:eastAsia="zh-CN"/>
        </w:rPr>
        <w:t>中的投标总价之和应与“投标分项报价表（标项1）”中的投标总价一致。</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藤桥镇投标分项报价表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78000.00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334288.31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569364.88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2"/>
                <w:sz w:val="24"/>
                <w:szCs w:val="24"/>
                <w:highlight w:val="none"/>
                <w:u w:val="none"/>
                <w:lang w:val="en-US" w:eastAsia="zh-CN" w:bidi="ar-SA"/>
              </w:rPr>
              <w:t>635755.72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highlight w:val="none"/>
                <w:u w:val="none"/>
                <w:lang w:val="en-US" w:eastAsia="zh-CN" w:bidi="ar"/>
              </w:rPr>
              <w:t xml:space="preserve">23377.00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不提供详细“各</w:t>
      </w:r>
      <w:r>
        <w:rPr>
          <w:rFonts w:hint="eastAsia" w:ascii="宋体" w:hAnsi="宋体" w:eastAsia="宋体" w:cs="宋体"/>
          <w:b/>
          <w:color w:val="auto"/>
          <w:sz w:val="22"/>
          <w:szCs w:val="22"/>
          <w:highlight w:val="none"/>
          <w:u w:val="single"/>
          <w:lang w:eastAsia="zh-CN"/>
        </w:rPr>
        <w:t>街镇</w:t>
      </w:r>
      <w:r>
        <w:rPr>
          <w:rFonts w:hint="eastAsia" w:ascii="宋体" w:hAnsi="宋体" w:eastAsia="宋体" w:cs="宋体"/>
          <w:b/>
          <w:color w:val="auto"/>
          <w:sz w:val="22"/>
          <w:szCs w:val="22"/>
          <w:highlight w:val="none"/>
          <w:u w:val="single"/>
        </w:rPr>
        <w:t>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“藤桥镇</w:t>
      </w:r>
      <w:r>
        <w:rPr>
          <w:rFonts w:hint="eastAsia" w:ascii="宋体" w:hAnsi="宋体" w:eastAsia="宋体" w:cs="宋体"/>
          <w:b/>
          <w:bCs/>
          <w:color w:val="auto"/>
          <w:sz w:val="22"/>
          <w:szCs w:val="22"/>
          <w:highlight w:val="none"/>
          <w:u w:val="single"/>
          <w:lang w:eastAsia="zh-CN"/>
        </w:rPr>
        <w:t>、山福镇投标分项报价表”</w:t>
      </w:r>
      <w:r>
        <w:rPr>
          <w:rFonts w:hint="eastAsia" w:ascii="宋体" w:hAnsi="宋体" w:eastAsia="宋体" w:cs="宋体"/>
          <w:b/>
          <w:bCs/>
          <w:color w:val="auto"/>
          <w:sz w:val="22"/>
          <w:szCs w:val="22"/>
          <w:highlight w:val="none"/>
          <w:u w:val="single"/>
          <w:lang w:val="en-US" w:eastAsia="zh-CN"/>
        </w:rPr>
        <w:t>中的投标总价之和应与“投标分项报价表（标项2）”中的投标总价一致。</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pStyle w:val="2"/>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8"/>
          <w:szCs w:val="28"/>
          <w:highlight w:val="none"/>
        </w:rPr>
        <w:t>山福镇投标分项报价表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auto"/>
              <w:rPr>
                <w:rFonts w:hint="eastAsia" w:ascii="宋体" w:hAnsi="宋体" w:eastAsia="宋体" w:cs="宋体"/>
                <w:bCs/>
                <w:i w:val="0"/>
                <w:iCs w:val="0"/>
                <w:color w:val="auto"/>
                <w:kern w:val="2"/>
                <w:sz w:val="22"/>
                <w:szCs w:val="22"/>
                <w:highlight w:val="none"/>
                <w:u w:val="none"/>
                <w:lang w:val="en-US" w:eastAsia="zh-CN" w:bidi="ar-SA"/>
              </w:rPr>
            </w:pPr>
            <w:r>
              <w:rPr>
                <w:rFonts w:hint="eastAsia" w:ascii="宋体" w:hAnsi="宋体" w:eastAsia="宋体" w:cs="宋体"/>
                <w:bCs/>
                <w:i w:val="0"/>
                <w:iCs w:val="0"/>
                <w:color w:val="auto"/>
                <w:kern w:val="2"/>
                <w:sz w:val="22"/>
                <w:szCs w:val="22"/>
                <w:highlight w:val="none"/>
                <w:u w:val="none"/>
                <w:lang w:val="en-US" w:eastAsia="zh-CN" w:bidi="ar"/>
              </w:rPr>
              <w:t xml:space="preserve">320746.21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auto"/>
              <w:rPr>
                <w:rFonts w:hint="default" w:ascii="宋体" w:hAnsi="宋体" w:eastAsia="宋体" w:cs="宋体"/>
                <w:bCs/>
                <w:i w:val="0"/>
                <w:iCs w:val="0"/>
                <w:color w:val="auto"/>
                <w:kern w:val="2"/>
                <w:sz w:val="22"/>
                <w:szCs w:val="22"/>
                <w:highlight w:val="none"/>
                <w:u w:val="none"/>
                <w:lang w:val="en-US" w:eastAsia="zh-CN" w:bidi="ar-SA"/>
              </w:rPr>
            </w:pPr>
            <w:r>
              <w:rPr>
                <w:rFonts w:hint="default" w:ascii="宋体" w:hAnsi="宋体" w:eastAsia="宋体" w:cs="宋体"/>
                <w:bCs/>
                <w:i w:val="0"/>
                <w:iCs w:val="0"/>
                <w:color w:val="auto"/>
                <w:kern w:val="2"/>
                <w:sz w:val="22"/>
                <w:szCs w:val="22"/>
                <w:highlight w:val="none"/>
                <w:u w:val="none"/>
                <w:lang w:val="en-US" w:eastAsia="zh-CN" w:bidi="ar-SA"/>
              </w:rPr>
              <w:t>401413.5</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spacing w:line="360" w:lineRule="exact"/>
              <w:jc w:val="center"/>
              <w:textAlignment w:val="auto"/>
              <w:rPr>
                <w:rFonts w:hint="default" w:ascii="宋体" w:hAnsi="宋体" w:eastAsia="宋体" w:cs="宋体"/>
                <w:bCs/>
                <w:i w:val="0"/>
                <w:iCs w:val="0"/>
                <w:color w:val="auto"/>
                <w:kern w:val="2"/>
                <w:sz w:val="22"/>
                <w:szCs w:val="22"/>
                <w:highlight w:val="none"/>
                <w:u w:val="none"/>
                <w:lang w:val="en-US" w:eastAsia="zh-CN" w:bidi="ar-SA"/>
              </w:rPr>
            </w:pPr>
            <w:r>
              <w:rPr>
                <w:rFonts w:hint="eastAsia" w:ascii="宋体" w:hAnsi="宋体" w:eastAsia="宋体" w:cs="宋体"/>
                <w:bCs/>
                <w:i w:val="0"/>
                <w:iCs w:val="0"/>
                <w:color w:val="auto"/>
                <w:kern w:val="2"/>
                <w:sz w:val="22"/>
                <w:szCs w:val="22"/>
                <w:highlight w:val="none"/>
                <w:u w:val="none"/>
                <w:lang w:val="en-US" w:eastAsia="zh-CN" w:bidi="ar"/>
              </w:rPr>
              <w:t xml:space="preserve">45862.00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不提供详细“各</w:t>
      </w:r>
      <w:r>
        <w:rPr>
          <w:rFonts w:hint="eastAsia" w:ascii="宋体" w:hAnsi="宋体" w:eastAsia="宋体" w:cs="宋体"/>
          <w:b/>
          <w:color w:val="auto"/>
          <w:sz w:val="22"/>
          <w:szCs w:val="22"/>
          <w:highlight w:val="none"/>
          <w:u w:val="single"/>
          <w:lang w:eastAsia="zh-CN"/>
        </w:rPr>
        <w:t>街镇</w:t>
      </w:r>
      <w:r>
        <w:rPr>
          <w:rFonts w:hint="eastAsia" w:ascii="宋体" w:hAnsi="宋体" w:eastAsia="宋体" w:cs="宋体"/>
          <w:b/>
          <w:color w:val="auto"/>
          <w:sz w:val="22"/>
          <w:szCs w:val="22"/>
          <w:highlight w:val="none"/>
          <w:u w:val="single"/>
        </w:rPr>
        <w:t>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“藤桥镇</w:t>
      </w:r>
      <w:r>
        <w:rPr>
          <w:rFonts w:hint="eastAsia" w:ascii="宋体" w:hAnsi="宋体" w:eastAsia="宋体" w:cs="宋体"/>
          <w:b/>
          <w:bCs/>
          <w:color w:val="auto"/>
          <w:sz w:val="22"/>
          <w:szCs w:val="22"/>
          <w:highlight w:val="none"/>
          <w:u w:val="single"/>
          <w:lang w:eastAsia="zh-CN"/>
        </w:rPr>
        <w:t>、山福镇投标分项报价表”</w:t>
      </w:r>
      <w:r>
        <w:rPr>
          <w:rFonts w:hint="eastAsia" w:ascii="宋体" w:hAnsi="宋体" w:eastAsia="宋体" w:cs="宋体"/>
          <w:b/>
          <w:bCs/>
          <w:color w:val="auto"/>
          <w:sz w:val="22"/>
          <w:szCs w:val="22"/>
          <w:highlight w:val="none"/>
          <w:u w:val="single"/>
          <w:lang w:val="en-US" w:eastAsia="zh-CN"/>
        </w:rPr>
        <w:t>中的投标总价之和应与“投标分项报价表（标项2）”中的投标总价一致。</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spacing w:line="380" w:lineRule="exact"/>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ind w:left="0" w:leftChars="0" w:firstLine="0" w:firstLineChars="0"/>
        <w:rPr>
          <w:rFonts w:hint="eastAsia" w:ascii="宋体" w:hAnsi="宋体" w:eastAsia="宋体" w:cs="宋体"/>
          <w:color w:val="auto"/>
          <w:sz w:val="22"/>
          <w:szCs w:val="22"/>
          <w:highlight w:val="none"/>
        </w:rPr>
      </w:pPr>
    </w:p>
    <w:p>
      <w:pPr>
        <w:pStyle w:val="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七都街道投标分项报价表</w:t>
      </w:r>
      <w:r>
        <w:rPr>
          <w:rFonts w:hint="eastAsia" w:ascii="宋体" w:hAnsi="宋体" w:eastAsia="宋体" w:cs="宋体"/>
          <w:b/>
          <w:bCs/>
          <w:color w:val="auto"/>
          <w:sz w:val="28"/>
          <w:szCs w:val="28"/>
          <w:highlight w:val="none"/>
          <w:lang w:eastAsia="zh-CN"/>
        </w:rPr>
        <w:t>（标项</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单价最高限价</w:t>
            </w:r>
            <w:r>
              <w:rPr>
                <w:rFonts w:hint="eastAsia" w:ascii="宋体" w:hAnsi="宋体" w:eastAsia="宋体" w:cs="宋体"/>
                <w:bCs/>
                <w:color w:val="auto"/>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85104.00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auto"/>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63192.57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495560.83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46266.00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其他（包括</w:t>
            </w:r>
            <w:r>
              <w:rPr>
                <w:rFonts w:hint="eastAsia" w:ascii="宋体" w:hAnsi="宋体" w:eastAsia="宋体" w:cs="宋体"/>
                <w:bCs/>
                <w:color w:val="auto"/>
                <w:sz w:val="22"/>
                <w:szCs w:val="22"/>
                <w:highlight w:val="none"/>
              </w:rPr>
              <w:t>化粪池抽运</w:t>
            </w:r>
            <w:r>
              <w:rPr>
                <w:rFonts w:hint="eastAsia" w:ascii="宋体" w:hAnsi="宋体" w:eastAsia="宋体" w:cs="宋体"/>
                <w:bCs/>
                <w:color w:val="auto"/>
                <w:sz w:val="22"/>
                <w:szCs w:val="22"/>
                <w:highlight w:val="none"/>
                <w:lang w:eastAsia="zh-CN"/>
              </w:rPr>
              <w:t>、</w:t>
            </w:r>
            <w:r>
              <w:rPr>
                <w:rFonts w:hint="eastAsia" w:ascii="宋体" w:hAnsi="宋体" w:eastAsia="宋体" w:cs="宋体"/>
                <w:b/>
                <w:color w:val="auto"/>
                <w:sz w:val="22"/>
                <w:szCs w:val="22"/>
                <w:highlight w:val="none"/>
                <w:lang w:val="en-US" w:eastAsia="zh-CN"/>
              </w:rPr>
              <w:t>无主</w:t>
            </w:r>
            <w:r>
              <w:rPr>
                <w:rFonts w:hint="eastAsia" w:ascii="宋体" w:hAnsi="宋体" w:eastAsia="宋体" w:cs="宋体"/>
                <w:i w:val="0"/>
                <w:iCs w:val="0"/>
                <w:color w:val="auto"/>
                <w:kern w:val="0"/>
                <w:sz w:val="22"/>
                <w:szCs w:val="22"/>
                <w:highlight w:val="none"/>
                <w:u w:val="none"/>
                <w:lang w:val="en-US" w:eastAsia="zh-CN" w:bidi="ar"/>
              </w:rPr>
              <w:t>装潢垃圾清运费、</w:t>
            </w:r>
            <w:r>
              <w:rPr>
                <w:rFonts w:hint="eastAsia" w:ascii="宋体" w:hAnsi="宋体" w:eastAsia="宋体" w:cs="宋体"/>
                <w:i w:val="0"/>
                <w:iCs w:val="0"/>
                <w:color w:val="auto"/>
                <w:sz w:val="22"/>
                <w:szCs w:val="22"/>
                <w:highlight w:val="none"/>
                <w:u w:val="none"/>
              </w:rPr>
              <w:t>小广告清理费</w:t>
            </w:r>
            <w:r>
              <w:rPr>
                <w:rFonts w:hint="eastAsia" w:ascii="宋体" w:hAnsi="宋体" w:eastAsia="宋体" w:cs="宋体"/>
                <w:i w:val="0"/>
                <w:iCs w:val="0"/>
                <w:color w:val="auto"/>
                <w:sz w:val="22"/>
                <w:szCs w:val="22"/>
                <w:highlight w:val="none"/>
                <w:u w:val="none"/>
                <w:lang w:val="en-US" w:eastAsia="zh-CN"/>
              </w:rPr>
              <w:t>等其他所有费用</w:t>
            </w:r>
            <w:r>
              <w:rPr>
                <w:rFonts w:hint="eastAsia" w:ascii="宋体" w:hAnsi="宋体" w:eastAsia="宋体" w:cs="宋体"/>
                <w:i w:val="0"/>
                <w:iCs w:val="0"/>
                <w:color w:val="auto"/>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b/>
          <w:bCs/>
          <w:color w:val="auto"/>
          <w:sz w:val="22"/>
          <w:szCs w:val="22"/>
          <w:highlight w:val="none"/>
        </w:rPr>
      </w:pPr>
    </w:p>
    <w:p>
      <w:pPr>
        <w:spacing w:line="360" w:lineRule="exact"/>
        <w:rPr>
          <w:rFonts w:hint="eastAsia" w:ascii="宋体" w:hAnsi="宋体" w:eastAsia="宋体" w:cs="宋体"/>
          <w:b/>
          <w:color w:val="auto"/>
          <w:sz w:val="22"/>
          <w:szCs w:val="22"/>
          <w:highlight w:val="none"/>
          <w:u w:val="single"/>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不提供详细“各</w:t>
      </w:r>
      <w:r>
        <w:rPr>
          <w:rFonts w:hint="eastAsia" w:ascii="宋体" w:hAnsi="宋体" w:eastAsia="宋体" w:cs="宋体"/>
          <w:b/>
          <w:color w:val="auto"/>
          <w:sz w:val="22"/>
          <w:szCs w:val="22"/>
          <w:highlight w:val="none"/>
          <w:u w:val="single"/>
          <w:lang w:eastAsia="zh-CN"/>
        </w:rPr>
        <w:t>街镇</w:t>
      </w:r>
      <w:r>
        <w:rPr>
          <w:rFonts w:hint="eastAsia" w:ascii="宋体" w:hAnsi="宋体" w:eastAsia="宋体" w:cs="宋体"/>
          <w:b/>
          <w:color w:val="auto"/>
          <w:sz w:val="22"/>
          <w:szCs w:val="22"/>
          <w:highlight w:val="none"/>
          <w:u w:val="single"/>
        </w:rPr>
        <w:t>投标分项报价表”</w:t>
      </w:r>
      <w:r>
        <w:rPr>
          <w:rFonts w:hint="eastAsia" w:ascii="宋体" w:hAnsi="宋体" w:eastAsia="宋体" w:cs="宋体"/>
          <w:b/>
          <w:color w:val="auto"/>
          <w:sz w:val="22"/>
          <w:szCs w:val="22"/>
          <w:highlight w:val="none"/>
          <w:u w:val="single"/>
          <w:lang w:val="en-US" w:eastAsia="zh-CN"/>
        </w:rPr>
        <w:t>的，</w:t>
      </w:r>
      <w:r>
        <w:rPr>
          <w:rFonts w:hint="eastAsia" w:ascii="宋体" w:hAnsi="宋体" w:eastAsia="宋体" w:cs="宋体"/>
          <w:b/>
          <w:color w:val="auto"/>
          <w:sz w:val="22"/>
          <w:szCs w:val="22"/>
          <w:highlight w:val="none"/>
          <w:u w:val="single"/>
        </w:rPr>
        <w:t>将视为没有实质性响应招标文件</w:t>
      </w:r>
      <w:r>
        <w:rPr>
          <w:rFonts w:hint="eastAsia" w:ascii="宋体" w:hAnsi="宋体" w:eastAsia="宋体" w:cs="宋体"/>
          <w:b/>
          <w:color w:val="auto"/>
          <w:sz w:val="22"/>
          <w:szCs w:val="22"/>
          <w:highlight w:val="none"/>
          <w:u w:val="single"/>
          <w:lang w:val="en-US" w:eastAsia="zh-CN"/>
        </w:rPr>
        <w:t>要求</w:t>
      </w:r>
      <w:r>
        <w:rPr>
          <w:rFonts w:hint="eastAsia" w:ascii="宋体" w:hAnsi="宋体" w:eastAsia="宋体" w:cs="宋体"/>
          <w:b/>
          <w:color w:val="auto"/>
          <w:sz w:val="22"/>
          <w:szCs w:val="22"/>
          <w:highlight w:val="none"/>
          <w:u w:val="single"/>
          <w:lang w:eastAsia="zh-CN"/>
        </w:rPr>
        <w:t>。</w:t>
      </w:r>
    </w:p>
    <w:p>
      <w:pPr>
        <w:spacing w:line="3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“七都街道</w:t>
      </w:r>
      <w:r>
        <w:rPr>
          <w:rFonts w:hint="eastAsia" w:ascii="宋体" w:hAnsi="宋体" w:eastAsia="宋体" w:cs="宋体"/>
          <w:b/>
          <w:bCs/>
          <w:color w:val="auto"/>
          <w:sz w:val="22"/>
          <w:szCs w:val="22"/>
          <w:highlight w:val="none"/>
          <w:u w:val="single"/>
          <w:lang w:eastAsia="zh-CN"/>
        </w:rPr>
        <w:t>投标分项报价表”</w:t>
      </w:r>
      <w:r>
        <w:rPr>
          <w:rFonts w:hint="eastAsia" w:ascii="宋体" w:hAnsi="宋体" w:eastAsia="宋体" w:cs="宋体"/>
          <w:b/>
          <w:bCs/>
          <w:color w:val="auto"/>
          <w:sz w:val="22"/>
          <w:szCs w:val="22"/>
          <w:highlight w:val="none"/>
          <w:u w:val="single"/>
          <w:lang w:val="en-US" w:eastAsia="zh-CN"/>
        </w:rPr>
        <w:t>中的投标总价之和应与“投标分项报价表（标项3）”中的投标总价一致。</w:t>
      </w:r>
    </w:p>
    <w:p>
      <w:pPr>
        <w:spacing w:line="360" w:lineRule="auto"/>
        <w:ind w:firstLine="420" w:firstLineChars="200"/>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ind w:firstLine="4180" w:firstLineChars="1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ind w:left="0" w:leftChars="0" w:firstLine="0" w:firstLineChars="0"/>
        <w:rPr>
          <w:rFonts w:hint="eastAsia" w:ascii="宋体" w:hAnsi="宋体" w:eastAsia="宋体" w:cs="宋体"/>
          <w:color w:val="auto"/>
          <w:sz w:val="22"/>
          <w:szCs w:val="22"/>
          <w:highlight w:val="none"/>
        </w:rPr>
      </w:pPr>
    </w:p>
    <w:p>
      <w:pPr>
        <w:spacing w:line="3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附件四</w:t>
      </w:r>
    </w:p>
    <w:p>
      <w:pPr>
        <w:pStyle w:val="910"/>
        <w:spacing w:line="500" w:lineRule="exact"/>
        <w:ind w:firstLine="482"/>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政府采购活动现场确认声明书（适用所有标项）</w:t>
      </w:r>
    </w:p>
    <w:p>
      <w:pPr>
        <w:pStyle w:val="910"/>
        <w:spacing w:line="500" w:lineRule="exact"/>
        <w:ind w:firstLine="181" w:firstLineChars="82"/>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温州市鹿城区综合行政执法局：</w:t>
      </w:r>
    </w:p>
    <w:p>
      <w:pPr>
        <w:pStyle w:val="910"/>
        <w:spacing w:line="500" w:lineRule="exact"/>
        <w:ind w:firstLine="181" w:firstLineChars="82"/>
        <w:rPr>
          <w:rFonts w:hint="eastAsia" w:ascii="宋体" w:hAnsi="宋体" w:eastAsia="宋体" w:cs="宋体"/>
          <w:b/>
          <w:color w:val="auto"/>
          <w:sz w:val="22"/>
          <w:szCs w:val="22"/>
          <w:highlight w:val="none"/>
          <w:u w:val="single"/>
        </w:rPr>
      </w:pPr>
      <w:r>
        <w:rPr>
          <w:rFonts w:hint="eastAsia" w:hAnsi="宋体" w:eastAsia="宋体" w:cs="宋体"/>
          <w:b/>
          <w:bCs/>
          <w:color w:val="auto"/>
          <w:sz w:val="22"/>
          <w:szCs w:val="22"/>
          <w:highlight w:val="none"/>
          <w:u w:val="single"/>
          <w:lang w:eastAsia="zh-CN"/>
        </w:rPr>
        <w:t>宁波国咨工程造价咨询有限公司</w:t>
      </w:r>
      <w:r>
        <w:rPr>
          <w:rFonts w:hint="eastAsia" w:ascii="宋体" w:hAnsi="宋体" w:eastAsia="宋体" w:cs="宋体"/>
          <w:b/>
          <w:color w:val="auto"/>
          <w:kern w:val="0"/>
          <w:sz w:val="22"/>
          <w:szCs w:val="22"/>
          <w:highlight w:val="none"/>
          <w:u w:val="single"/>
        </w:rPr>
        <w:t>：</w:t>
      </w:r>
    </w:p>
    <w:p>
      <w:pPr>
        <w:pStyle w:val="910"/>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（单位名称）</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w:t>
      </w:r>
      <w:r>
        <w:rPr>
          <w:rFonts w:hint="eastAsia" w:hAnsi="宋体" w:eastAsia="宋体" w:cs="宋体"/>
          <w:color w:val="auto"/>
          <w:spacing w:val="6"/>
          <w:sz w:val="22"/>
          <w:szCs w:val="22"/>
          <w:highlight w:val="none"/>
          <w:u w:val="single"/>
          <w:lang w:val="en-US" w:eastAsia="zh-CN"/>
        </w:rPr>
        <w:t xml:space="preserve">   </w:t>
      </w:r>
      <w:r>
        <w:rPr>
          <w:rFonts w:hint="eastAsia" w:hAnsi="宋体" w:eastAsia="宋体" w:cs="宋体"/>
          <w:b/>
          <w:bCs/>
          <w:color w:val="auto"/>
          <w:spacing w:val="6"/>
          <w:sz w:val="22"/>
          <w:szCs w:val="22"/>
          <w:highlight w:val="none"/>
          <w:u w:val="single"/>
          <w:lang w:eastAsia="zh-CN"/>
        </w:rPr>
        <w:t>（</w:t>
      </w:r>
      <w:r>
        <w:rPr>
          <w:rFonts w:hint="eastAsia" w:hAnsi="宋体" w:eastAsia="宋体" w:cs="宋体"/>
          <w:b/>
          <w:bCs/>
          <w:color w:val="auto"/>
          <w:spacing w:val="6"/>
          <w:sz w:val="22"/>
          <w:szCs w:val="22"/>
          <w:highlight w:val="none"/>
          <w:u w:val="single"/>
          <w:lang w:val="en-US" w:eastAsia="zh-CN"/>
        </w:rPr>
        <w:t>标项名称</w:t>
      </w:r>
      <w:r>
        <w:rPr>
          <w:rFonts w:hint="eastAsia" w:hAnsi="宋体" w:eastAsia="宋体" w:cs="宋体"/>
          <w:b/>
          <w:bCs/>
          <w:color w:val="auto"/>
          <w:spacing w:val="6"/>
          <w:sz w:val="22"/>
          <w:szCs w:val="22"/>
          <w:highlight w:val="none"/>
          <w:u w:val="single"/>
          <w:lang w:eastAsia="zh-CN"/>
        </w:rPr>
        <w:t>）</w:t>
      </w:r>
      <w:r>
        <w:rPr>
          <w:rFonts w:hint="eastAsia" w:ascii="宋体" w:hAnsi="宋体" w:eastAsia="宋体" w:cs="宋体"/>
          <w:color w:val="auto"/>
          <w:spacing w:val="6"/>
          <w:sz w:val="22"/>
          <w:szCs w:val="22"/>
          <w:highlight w:val="none"/>
        </w:rPr>
        <w:t>（项目编号：</w:t>
      </w:r>
      <w:r>
        <w:rPr>
          <w:rFonts w:hint="eastAsia"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pPr>
        <w:pStyle w:val="683"/>
        <w:widowControl/>
        <w:numPr>
          <w:ilvl w:val="0"/>
          <w:numId w:val="33"/>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pPr>
        <w:pStyle w:val="683"/>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pPr>
        <w:pStyle w:val="683"/>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pPr>
        <w:pStyle w:val="683"/>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现已清楚知道参加本项目采购活动的其他所有投标人名称，本单位 □与其他所有投标人之间均不存在利害关系 □与</w:t>
      </w:r>
      <w:r>
        <w:rPr>
          <w:rFonts w:hint="eastAsia" w:ascii="宋体" w:hAnsi="宋体" w:eastAsia="宋体" w:cs="宋体"/>
          <w:color w:val="auto"/>
          <w:kern w:val="0"/>
          <w:sz w:val="22"/>
          <w:szCs w:val="22"/>
          <w:highlight w:val="none"/>
          <w:u w:val="single"/>
        </w:rPr>
        <w:t xml:space="preserve">           （投标人名称）</w:t>
      </w:r>
      <w:r>
        <w:rPr>
          <w:rFonts w:hint="eastAsia" w:ascii="宋体" w:hAnsi="宋体" w:eastAsia="宋体" w:cs="宋体"/>
          <w:color w:val="auto"/>
          <w:kern w:val="0"/>
          <w:sz w:val="22"/>
          <w:szCs w:val="22"/>
          <w:highlight w:val="none"/>
        </w:rPr>
        <w:t>之间存在下列利害关系：</w:t>
      </w:r>
    </w:p>
    <w:p>
      <w:pPr>
        <w:pStyle w:val="910"/>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pStyle w:val="910"/>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pStyle w:val="910"/>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pStyle w:val="910"/>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pStyle w:val="910"/>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pStyle w:val="910"/>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pStyle w:val="910"/>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pStyle w:val="910"/>
        <w:spacing w:line="4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pPr>
        <w:pStyle w:val="910"/>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pPr>
        <w:pStyle w:val="683"/>
        <w:widowControl/>
        <w:numPr>
          <w:ilvl w:val="0"/>
          <w:numId w:val="34"/>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pPr>
        <w:pStyle w:val="683"/>
        <w:widowControl/>
        <w:numPr>
          <w:ilvl w:val="0"/>
          <w:numId w:val="34"/>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我发现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pPr>
        <w:pStyle w:val="910"/>
        <w:spacing w:line="500" w:lineRule="exact"/>
        <w:ind w:firstLine="440"/>
        <w:rPr>
          <w:rFonts w:hint="eastAsia" w:ascii="宋体" w:hAnsi="宋体" w:eastAsia="宋体" w:cs="宋体"/>
          <w:color w:val="auto"/>
          <w:sz w:val="22"/>
          <w:szCs w:val="22"/>
          <w:highlight w:val="none"/>
        </w:rPr>
      </w:pPr>
    </w:p>
    <w:p>
      <w:pPr>
        <w:pStyle w:val="910"/>
        <w:spacing w:line="500" w:lineRule="exact"/>
        <w:ind w:right="880" w:firstLine="440"/>
        <w:jc w:val="cente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法定代表人或授权代表签字：</w:t>
      </w:r>
    </w:p>
    <w:p>
      <w:pPr>
        <w:spacing w:line="440" w:lineRule="exact"/>
        <w:ind w:right="440" w:firstLine="5500" w:firstLineChars="2500"/>
        <w:jc w:val="left"/>
        <w:rPr>
          <w:rFonts w:hint="eastAsia" w:ascii="宋体" w:hAnsi="宋体" w:eastAsia="宋体" w:cs="宋体"/>
          <w:color w:val="auto"/>
          <w:highlight w:val="none"/>
        </w:rPr>
      </w:pPr>
      <w:r>
        <w:rPr>
          <w:rFonts w:hint="eastAsia" w:ascii="宋体" w:hAnsi="宋体" w:eastAsia="宋体" w:cs="宋体"/>
          <w:color w:val="auto"/>
          <w:sz w:val="22"/>
          <w:szCs w:val="22"/>
          <w:highlight w:val="none"/>
        </w:rPr>
        <w:t xml:space="preserve">     年  月  日</w:t>
      </w:r>
    </w:p>
    <w:p>
      <w:pPr>
        <w:pStyle w:val="26"/>
        <w:ind w:firstLine="321"/>
        <w:rPr>
          <w:rFonts w:hint="eastAsia" w:ascii="宋体" w:hAnsi="宋体" w:eastAsia="宋体" w:cs="宋体"/>
          <w:color w:val="auto"/>
          <w:highlight w:val="none"/>
          <w:lang w:val="en-US" w:eastAsia="zh-CN"/>
        </w:rPr>
      </w:pPr>
    </w:p>
    <w:p>
      <w:pPr>
        <w:spacing w:line="380" w:lineRule="exact"/>
        <w:rPr>
          <w:rFonts w:hint="eastAsia" w:ascii="宋体" w:hAnsi="宋体" w:eastAsia="宋体" w:cs="宋体"/>
          <w:b/>
          <w:bCs/>
          <w:color w:val="auto"/>
          <w:sz w:val="28"/>
          <w:szCs w:val="28"/>
          <w:highlight w:val="none"/>
        </w:rPr>
      </w:pPr>
    </w:p>
    <w:p>
      <w:pPr>
        <w:spacing w:line="380" w:lineRule="exact"/>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附件五</w:t>
      </w:r>
    </w:p>
    <w:p>
      <w:pPr>
        <w:widowControl/>
        <w:spacing w:before="100" w:beforeAutospacing="1" w:after="100" w:afterAutospacing="1" w:line="440" w:lineRule="atLeast"/>
        <w:jc w:val="center"/>
        <w:rPr>
          <w:rFonts w:hint="eastAsia" w:ascii="宋体" w:hAnsi="宋体" w:eastAsia="宋体" w:cs="宋体"/>
          <w:b/>
          <w:color w:val="auto"/>
          <w:sz w:val="24"/>
          <w:highlight w:val="none"/>
          <w:lang w:eastAsia="zh-CN"/>
        </w:rPr>
      </w:pPr>
      <w:r>
        <w:rPr>
          <w:rFonts w:hint="eastAsia" w:ascii="宋体" w:hAnsi="宋体" w:eastAsia="宋体" w:cs="宋体"/>
          <w:b/>
          <w:bCs/>
          <w:color w:val="auto"/>
          <w:sz w:val="24"/>
          <w:highlight w:val="none"/>
        </w:rPr>
        <w:t>（1)中小企业声明函（货物）</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适用所有标项</w:t>
      </w:r>
      <w:r>
        <w:rPr>
          <w:rFonts w:hint="eastAsia" w:ascii="宋体" w:hAnsi="宋体" w:eastAsia="宋体" w:cs="宋体"/>
          <w:b/>
          <w:bCs/>
          <w:color w:val="auto"/>
          <w:sz w:val="24"/>
          <w:highlight w:val="none"/>
          <w:lang w:eastAsia="zh-CN"/>
        </w:rPr>
        <w:t>）</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eastAsia="宋体" w:cs="宋体"/>
          <w:bCs/>
          <w:color w:val="auto"/>
          <w:sz w:val="22"/>
          <w:szCs w:val="22"/>
          <w:highlight w:val="none"/>
          <w:u w:val="single"/>
        </w:rPr>
        <w:t>（单位名称）</w:t>
      </w:r>
      <w:r>
        <w:rPr>
          <w:rFonts w:hint="eastAsia" w:ascii="宋体" w:hAnsi="宋体" w:eastAsia="宋体" w:cs="宋体"/>
          <w:bCs/>
          <w:color w:val="auto"/>
          <w:sz w:val="22"/>
          <w:szCs w:val="22"/>
          <w:highlight w:val="none"/>
        </w:rPr>
        <w:t xml:space="preserve"> 的</w:t>
      </w:r>
      <w:r>
        <w:rPr>
          <w:rFonts w:hint="eastAsia" w:ascii="宋体" w:hAnsi="宋体" w:eastAsia="宋体" w:cs="宋体"/>
          <w:bCs/>
          <w:color w:val="auto"/>
          <w:sz w:val="22"/>
          <w:szCs w:val="22"/>
          <w:highlight w:val="none"/>
          <w:u w:val="single"/>
        </w:rPr>
        <w:t xml:space="preserve"> （项目名称） </w:t>
      </w:r>
      <w:r>
        <w:rPr>
          <w:rFonts w:hint="eastAsia" w:ascii="宋体" w:hAnsi="宋体" w:eastAsia="宋体" w:cs="宋体"/>
          <w:bCs/>
          <w:color w:val="auto"/>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 </w:t>
      </w:r>
      <w:r>
        <w:rPr>
          <w:rFonts w:hint="eastAsia" w:ascii="宋体" w:hAnsi="宋体" w:eastAsia="宋体" w:cs="宋体"/>
          <w:bCs/>
          <w:color w:val="auto"/>
          <w:sz w:val="22"/>
          <w:szCs w:val="22"/>
          <w:highlight w:val="none"/>
          <w:u w:val="single"/>
        </w:rPr>
        <w:t>（标的名称）</w:t>
      </w:r>
      <w:r>
        <w:rPr>
          <w:rFonts w:hint="eastAsia" w:ascii="宋体" w:hAnsi="宋体" w:eastAsia="宋体" w:cs="宋体"/>
          <w:bCs/>
          <w:color w:val="auto"/>
          <w:sz w:val="22"/>
          <w:szCs w:val="22"/>
          <w:highlight w:val="none"/>
        </w:rPr>
        <w:t xml:space="preserve"> ，属于</w:t>
      </w:r>
      <w:r>
        <w:rPr>
          <w:rFonts w:hint="eastAsia" w:ascii="宋体" w:hAnsi="宋体" w:eastAsia="宋体" w:cs="宋体"/>
          <w:bCs/>
          <w:color w:val="auto"/>
          <w:sz w:val="22"/>
          <w:szCs w:val="22"/>
          <w:highlight w:val="none"/>
          <w:u w:val="single"/>
        </w:rPr>
        <w:t xml:space="preserve"> （采购文件中明确的所属行业）</w:t>
      </w:r>
      <w:r>
        <w:rPr>
          <w:rFonts w:hint="eastAsia" w:ascii="宋体" w:hAnsi="宋体" w:eastAsia="宋体" w:cs="宋体"/>
          <w:bCs/>
          <w:color w:val="auto"/>
          <w:sz w:val="22"/>
          <w:szCs w:val="22"/>
          <w:highlight w:val="none"/>
        </w:rPr>
        <w:t>行业 ；制造商为</w:t>
      </w:r>
      <w:r>
        <w:rPr>
          <w:rFonts w:hint="eastAsia" w:ascii="宋体" w:hAnsi="宋体" w:eastAsia="宋体" w:cs="宋体"/>
          <w:bCs/>
          <w:color w:val="auto"/>
          <w:sz w:val="22"/>
          <w:szCs w:val="22"/>
          <w:highlight w:val="none"/>
          <w:u w:val="single"/>
        </w:rPr>
        <w:t xml:space="preserve"> （企业名称） </w:t>
      </w:r>
      <w:r>
        <w:rPr>
          <w:rFonts w:hint="eastAsia" w:ascii="宋体" w:hAnsi="宋体" w:eastAsia="宋体" w:cs="宋体"/>
          <w:bCs/>
          <w:color w:val="auto"/>
          <w:sz w:val="22"/>
          <w:szCs w:val="22"/>
          <w:highlight w:val="none"/>
        </w:rPr>
        <w:t>，从业人员</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人，营业收入为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万元，资产总额为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w:t>
      </w:r>
      <w:r>
        <w:rPr>
          <w:rFonts w:hint="eastAsia" w:ascii="宋体" w:hAnsi="宋体" w:eastAsia="宋体" w:cs="宋体"/>
          <w:bCs/>
          <w:color w:val="auto"/>
          <w:sz w:val="22"/>
          <w:szCs w:val="22"/>
          <w:highlight w:val="none"/>
          <w:vertAlign w:val="superscript"/>
        </w:rPr>
        <w:t>1</w:t>
      </w:r>
      <w:r>
        <w:rPr>
          <w:rFonts w:hint="eastAsia" w:ascii="宋体" w:hAnsi="宋体" w:eastAsia="宋体" w:cs="宋体"/>
          <w:bCs/>
          <w:color w:val="auto"/>
          <w:sz w:val="22"/>
          <w:szCs w:val="22"/>
          <w:highlight w:val="none"/>
        </w:rPr>
        <w:t>，属于</w:t>
      </w:r>
      <w:r>
        <w:rPr>
          <w:rFonts w:hint="eastAsia" w:ascii="宋体" w:hAnsi="宋体" w:eastAsia="宋体" w:cs="宋体"/>
          <w:bCs/>
          <w:color w:val="auto"/>
          <w:sz w:val="22"/>
          <w:szCs w:val="22"/>
          <w:highlight w:val="none"/>
          <w:u w:val="single"/>
        </w:rPr>
        <w:t>（中型企业、小型企业、微型企业）</w:t>
      </w:r>
      <w:r>
        <w:rPr>
          <w:rFonts w:hint="eastAsia" w:ascii="宋体" w:hAnsi="宋体" w:eastAsia="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 </w:t>
      </w:r>
      <w:r>
        <w:rPr>
          <w:rFonts w:hint="eastAsia" w:ascii="宋体" w:hAnsi="宋体" w:eastAsia="宋体" w:cs="宋体"/>
          <w:bCs/>
          <w:color w:val="auto"/>
          <w:sz w:val="22"/>
          <w:szCs w:val="22"/>
          <w:highlight w:val="none"/>
          <w:u w:val="single"/>
        </w:rPr>
        <w:t xml:space="preserve">（标的名称） </w:t>
      </w:r>
      <w:r>
        <w:rPr>
          <w:rFonts w:hint="eastAsia" w:ascii="宋体" w:hAnsi="宋体" w:eastAsia="宋体" w:cs="宋体"/>
          <w:bCs/>
          <w:color w:val="auto"/>
          <w:sz w:val="22"/>
          <w:szCs w:val="22"/>
          <w:highlight w:val="none"/>
        </w:rPr>
        <w:t>，属于</w:t>
      </w:r>
      <w:r>
        <w:rPr>
          <w:rFonts w:hint="eastAsia" w:ascii="宋体" w:hAnsi="宋体" w:eastAsia="宋体" w:cs="宋体"/>
          <w:bCs/>
          <w:color w:val="auto"/>
          <w:sz w:val="22"/>
          <w:szCs w:val="22"/>
          <w:highlight w:val="none"/>
          <w:u w:val="single"/>
        </w:rPr>
        <w:t xml:space="preserve"> （采购文件中明确的所属行业）</w:t>
      </w:r>
      <w:r>
        <w:rPr>
          <w:rFonts w:hint="eastAsia" w:ascii="宋体" w:hAnsi="宋体" w:eastAsia="宋体" w:cs="宋体"/>
          <w:bCs/>
          <w:color w:val="auto"/>
          <w:sz w:val="22"/>
          <w:szCs w:val="22"/>
          <w:highlight w:val="none"/>
        </w:rPr>
        <w:t>行业 ；制造商为</w:t>
      </w:r>
      <w:r>
        <w:rPr>
          <w:rFonts w:hint="eastAsia" w:ascii="宋体" w:hAnsi="宋体" w:eastAsia="宋体" w:cs="宋体"/>
          <w:bCs/>
          <w:color w:val="auto"/>
          <w:sz w:val="22"/>
          <w:szCs w:val="22"/>
          <w:highlight w:val="none"/>
          <w:u w:val="single"/>
        </w:rPr>
        <w:t xml:space="preserve"> （企业名称） </w:t>
      </w:r>
      <w:r>
        <w:rPr>
          <w:rFonts w:hint="eastAsia" w:ascii="宋体" w:hAnsi="宋体" w:eastAsia="宋体" w:cs="宋体"/>
          <w:bCs/>
          <w:color w:val="auto"/>
          <w:sz w:val="22"/>
          <w:szCs w:val="22"/>
          <w:highlight w:val="none"/>
        </w:rPr>
        <w:t>，从业人员</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人，营业收入为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万元，资产总额为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企业名称（盖章）：</w:t>
      </w:r>
    </w:p>
    <w:p>
      <w:pPr>
        <w:widowControl/>
        <w:spacing w:before="100" w:beforeAutospacing="1" w:after="100" w:afterAutospacing="1" w:line="440" w:lineRule="atLeast"/>
        <w:ind w:firstLine="5669" w:firstLineChars="2577"/>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w:t>
      </w:r>
    </w:p>
    <w:p>
      <w:pPr>
        <w:tabs>
          <w:tab w:val="left" w:pos="4860"/>
        </w:tabs>
        <w:spacing w:line="360" w:lineRule="exact"/>
        <w:ind w:right="113" w:firstLine="420"/>
        <w:jc w:val="left"/>
        <w:rPr>
          <w:rFonts w:hint="eastAsia" w:ascii="宋体" w:hAnsi="宋体" w:eastAsia="宋体" w:cs="宋体"/>
          <w:b/>
          <w:color w:val="auto"/>
          <w:highlight w:val="none"/>
        </w:rPr>
      </w:pPr>
    </w:p>
    <w:p>
      <w:pPr>
        <w:pStyle w:val="26"/>
        <w:ind w:firstLine="321"/>
        <w:rPr>
          <w:rFonts w:hint="eastAsia" w:ascii="宋体" w:hAnsi="宋体" w:eastAsia="宋体" w:cs="宋体"/>
          <w:color w:val="auto"/>
          <w:highlight w:val="none"/>
          <w:lang w:val="en-US" w:eastAsia="zh-CN"/>
        </w:rPr>
      </w:pPr>
    </w:p>
    <w:p>
      <w:pPr>
        <w:pStyle w:val="26"/>
        <w:ind w:firstLine="321"/>
        <w:rPr>
          <w:rFonts w:hint="eastAsia" w:ascii="宋体" w:hAnsi="宋体" w:eastAsia="宋体" w:cs="宋体"/>
          <w:color w:val="auto"/>
          <w:highlight w:val="none"/>
          <w:lang w:val="en-US" w:eastAsia="zh-CN"/>
        </w:rPr>
      </w:pPr>
    </w:p>
    <w:p>
      <w:pPr>
        <w:widowControl/>
        <w:tabs>
          <w:tab w:val="left" w:pos="312"/>
        </w:tabs>
        <w:spacing w:line="500" w:lineRule="atLeast"/>
        <w:jc w:val="left"/>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注1.从业人员、营业收入、资产总额填报上一年度数据，无上一年度数据的新成立企业可不填报。</w:t>
      </w:r>
    </w:p>
    <w:p>
      <w:pPr>
        <w:pStyle w:val="26"/>
        <w:ind w:firstLine="321"/>
        <w:rPr>
          <w:rFonts w:hint="eastAsia" w:ascii="宋体" w:hAnsi="宋体" w:eastAsia="宋体" w:cs="宋体"/>
          <w:color w:val="auto"/>
          <w:highlight w:val="none"/>
          <w:lang w:val="en-US" w:eastAsia="zh-CN"/>
        </w:rPr>
      </w:pPr>
    </w:p>
    <w:p>
      <w:pPr>
        <w:widowControl/>
        <w:spacing w:before="100" w:beforeAutospacing="1" w:after="100" w:afterAutospacing="1" w:line="440" w:lineRule="atLeast"/>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（2）中小企业声明函（工程、服务）</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适用所有标项</w:t>
      </w:r>
      <w:r>
        <w:rPr>
          <w:rFonts w:hint="eastAsia" w:ascii="宋体" w:hAnsi="宋体" w:eastAsia="宋体" w:cs="宋体"/>
          <w:b/>
          <w:bCs/>
          <w:color w:val="auto"/>
          <w:sz w:val="24"/>
          <w:highlight w:val="none"/>
          <w:lang w:eastAsia="zh-CN"/>
        </w:rPr>
        <w:t>）</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eastAsia="宋体" w:cs="宋体"/>
          <w:bCs/>
          <w:color w:val="auto"/>
          <w:sz w:val="22"/>
          <w:szCs w:val="22"/>
          <w:highlight w:val="none"/>
          <w:u w:val="single"/>
        </w:rPr>
        <w:t>（单位名称）</w:t>
      </w:r>
      <w:r>
        <w:rPr>
          <w:rFonts w:hint="eastAsia" w:ascii="宋体" w:hAnsi="宋体" w:eastAsia="宋体" w:cs="宋体"/>
          <w:bCs/>
          <w:color w:val="auto"/>
          <w:sz w:val="22"/>
          <w:szCs w:val="22"/>
          <w:highlight w:val="none"/>
        </w:rPr>
        <w:t xml:space="preserve"> 的</w:t>
      </w:r>
      <w:r>
        <w:rPr>
          <w:rFonts w:hint="eastAsia" w:ascii="宋体" w:hAnsi="宋体" w:eastAsia="宋体" w:cs="宋体"/>
          <w:bCs/>
          <w:color w:val="auto"/>
          <w:sz w:val="22"/>
          <w:szCs w:val="22"/>
          <w:highlight w:val="none"/>
          <w:u w:val="single"/>
        </w:rPr>
        <w:t xml:space="preserve"> （项目名称） </w:t>
      </w:r>
      <w:r>
        <w:rPr>
          <w:rFonts w:hint="eastAsia" w:ascii="宋体" w:hAnsi="宋体" w:eastAsia="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 </w:t>
      </w:r>
      <w:r>
        <w:rPr>
          <w:rFonts w:hint="eastAsia" w:ascii="宋体" w:hAnsi="宋体" w:eastAsia="宋体" w:cs="宋体"/>
          <w:bCs/>
          <w:color w:val="auto"/>
          <w:sz w:val="22"/>
          <w:szCs w:val="22"/>
          <w:highlight w:val="none"/>
          <w:u w:val="single"/>
        </w:rPr>
        <w:t>（标的名称）</w:t>
      </w:r>
      <w:r>
        <w:rPr>
          <w:rFonts w:hint="eastAsia" w:ascii="宋体" w:hAnsi="宋体" w:eastAsia="宋体" w:cs="宋体"/>
          <w:bCs/>
          <w:color w:val="auto"/>
          <w:sz w:val="22"/>
          <w:szCs w:val="22"/>
          <w:highlight w:val="none"/>
        </w:rPr>
        <w:t xml:space="preserve"> ，属于</w:t>
      </w:r>
      <w:r>
        <w:rPr>
          <w:rFonts w:hint="eastAsia" w:ascii="宋体" w:hAnsi="宋体" w:eastAsia="宋体" w:cs="宋体"/>
          <w:bCs/>
          <w:color w:val="auto"/>
          <w:sz w:val="22"/>
          <w:szCs w:val="22"/>
          <w:highlight w:val="none"/>
          <w:u w:val="single"/>
        </w:rPr>
        <w:t xml:space="preserve"> （采购文件中明确的所属行业）</w:t>
      </w:r>
      <w:r>
        <w:rPr>
          <w:rFonts w:hint="eastAsia" w:ascii="宋体" w:hAnsi="宋体" w:eastAsia="宋体" w:cs="宋体"/>
          <w:bCs/>
          <w:color w:val="auto"/>
          <w:sz w:val="22"/>
          <w:szCs w:val="22"/>
          <w:highlight w:val="none"/>
        </w:rPr>
        <w:t>行业 ；承建（承接）企业为</w:t>
      </w:r>
      <w:r>
        <w:rPr>
          <w:rFonts w:hint="eastAsia" w:ascii="宋体" w:hAnsi="宋体" w:eastAsia="宋体" w:cs="宋体"/>
          <w:bCs/>
          <w:color w:val="auto"/>
          <w:sz w:val="22"/>
          <w:szCs w:val="22"/>
          <w:highlight w:val="none"/>
          <w:u w:val="single"/>
        </w:rPr>
        <w:t xml:space="preserve"> （企业名称） </w:t>
      </w:r>
      <w:r>
        <w:rPr>
          <w:rFonts w:hint="eastAsia" w:ascii="宋体" w:hAnsi="宋体" w:eastAsia="宋体" w:cs="宋体"/>
          <w:bCs/>
          <w:color w:val="auto"/>
          <w:sz w:val="22"/>
          <w:szCs w:val="22"/>
          <w:highlight w:val="none"/>
        </w:rPr>
        <w:t>，从业人员</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人，营业收入为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万元，资产总额为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w:t>
      </w:r>
      <w:r>
        <w:rPr>
          <w:rFonts w:hint="eastAsia" w:ascii="宋体" w:hAnsi="宋体" w:eastAsia="宋体" w:cs="宋体"/>
          <w:bCs/>
          <w:color w:val="auto"/>
          <w:sz w:val="22"/>
          <w:szCs w:val="22"/>
          <w:highlight w:val="none"/>
          <w:vertAlign w:val="superscript"/>
        </w:rPr>
        <w:t>1</w:t>
      </w:r>
      <w:r>
        <w:rPr>
          <w:rFonts w:hint="eastAsia" w:ascii="宋体" w:hAnsi="宋体" w:eastAsia="宋体" w:cs="宋体"/>
          <w:bCs/>
          <w:color w:val="auto"/>
          <w:sz w:val="22"/>
          <w:szCs w:val="22"/>
          <w:highlight w:val="none"/>
        </w:rPr>
        <w:t>，属于</w:t>
      </w:r>
      <w:r>
        <w:rPr>
          <w:rFonts w:hint="eastAsia" w:ascii="宋体" w:hAnsi="宋体" w:eastAsia="宋体" w:cs="宋体"/>
          <w:bCs/>
          <w:color w:val="auto"/>
          <w:sz w:val="22"/>
          <w:szCs w:val="22"/>
          <w:highlight w:val="none"/>
          <w:u w:val="single"/>
        </w:rPr>
        <w:t>（中型企业、小型企业、微型企业）</w:t>
      </w:r>
      <w:r>
        <w:rPr>
          <w:rFonts w:hint="eastAsia" w:ascii="宋体" w:hAnsi="宋体" w:eastAsia="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 </w:t>
      </w:r>
      <w:r>
        <w:rPr>
          <w:rFonts w:hint="eastAsia" w:ascii="宋体" w:hAnsi="宋体" w:eastAsia="宋体" w:cs="宋体"/>
          <w:bCs/>
          <w:color w:val="auto"/>
          <w:sz w:val="22"/>
          <w:szCs w:val="22"/>
          <w:highlight w:val="none"/>
          <w:u w:val="single"/>
        </w:rPr>
        <w:t xml:space="preserve">（标的名称） </w:t>
      </w:r>
      <w:r>
        <w:rPr>
          <w:rFonts w:hint="eastAsia" w:ascii="宋体" w:hAnsi="宋体" w:eastAsia="宋体" w:cs="宋体"/>
          <w:bCs/>
          <w:color w:val="auto"/>
          <w:sz w:val="22"/>
          <w:szCs w:val="22"/>
          <w:highlight w:val="none"/>
        </w:rPr>
        <w:t>，属于</w:t>
      </w:r>
      <w:r>
        <w:rPr>
          <w:rFonts w:hint="eastAsia" w:ascii="宋体" w:hAnsi="宋体" w:eastAsia="宋体" w:cs="宋体"/>
          <w:bCs/>
          <w:color w:val="auto"/>
          <w:sz w:val="22"/>
          <w:szCs w:val="22"/>
          <w:highlight w:val="none"/>
          <w:u w:val="single"/>
        </w:rPr>
        <w:t xml:space="preserve"> （采购文件中明确的所属行业）</w:t>
      </w:r>
      <w:r>
        <w:rPr>
          <w:rFonts w:hint="eastAsia" w:ascii="宋体" w:hAnsi="宋体" w:eastAsia="宋体" w:cs="宋体"/>
          <w:bCs/>
          <w:color w:val="auto"/>
          <w:sz w:val="22"/>
          <w:szCs w:val="22"/>
          <w:highlight w:val="none"/>
        </w:rPr>
        <w:t>行业 ；承建（承接）企业为</w:t>
      </w:r>
      <w:r>
        <w:rPr>
          <w:rFonts w:hint="eastAsia" w:ascii="宋体" w:hAnsi="宋体" w:eastAsia="宋体" w:cs="宋体"/>
          <w:bCs/>
          <w:color w:val="auto"/>
          <w:sz w:val="22"/>
          <w:szCs w:val="22"/>
          <w:highlight w:val="none"/>
          <w:u w:val="single"/>
        </w:rPr>
        <w:t xml:space="preserve">（企业名称） </w:t>
      </w:r>
      <w:r>
        <w:rPr>
          <w:rFonts w:hint="eastAsia" w:ascii="宋体" w:hAnsi="宋体" w:eastAsia="宋体" w:cs="宋体"/>
          <w:bCs/>
          <w:color w:val="auto"/>
          <w:sz w:val="22"/>
          <w:szCs w:val="22"/>
          <w:highlight w:val="none"/>
        </w:rPr>
        <w:t>，从业人员</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人，营业收入为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万元，资产总额为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本企业对上述声明内容的真实性负责。如有虚假，将依法承担相应责任。</w:t>
      </w:r>
    </w:p>
    <w:p>
      <w:pPr>
        <w:widowControl/>
        <w:spacing w:line="500" w:lineRule="atLeast"/>
        <w:ind w:firstLine="5669" w:firstLineChars="2577"/>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企业名称（盖章）：</w:t>
      </w:r>
    </w:p>
    <w:p>
      <w:pPr>
        <w:widowControl/>
        <w:spacing w:line="500" w:lineRule="atLeast"/>
        <w:ind w:firstLine="5669" w:firstLineChars="2577"/>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hint="eastAsia" w:ascii="宋体" w:hAnsi="宋体" w:eastAsia="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eastAsia="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eastAsia="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eastAsia="宋体" w:cs="宋体"/>
          <w:bCs/>
          <w:color w:val="auto"/>
          <w:sz w:val="18"/>
          <w:szCs w:val="18"/>
          <w:highlight w:val="none"/>
        </w:rPr>
      </w:pPr>
    </w:p>
    <w:p>
      <w:pPr>
        <w:widowControl/>
        <w:tabs>
          <w:tab w:val="left" w:pos="312"/>
        </w:tabs>
        <w:spacing w:line="500" w:lineRule="atLeas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注1.从业人员、营业收入、资产总额填报上一年度数据，无上一年度数据的新成立企业可不填报。</w:t>
      </w:r>
    </w:p>
    <w:p>
      <w:pPr>
        <w:spacing w:line="500" w:lineRule="exact"/>
        <w:ind w:firstLine="586"/>
        <w:jc w:val="center"/>
        <w:rPr>
          <w:rFonts w:hint="eastAsia" w:ascii="宋体" w:hAnsi="宋体" w:eastAsia="宋体" w:cs="宋体"/>
          <w:b/>
          <w:color w:val="auto"/>
          <w:spacing w:val="6"/>
          <w:sz w:val="28"/>
          <w:szCs w:val="28"/>
          <w:highlight w:val="none"/>
        </w:rPr>
      </w:pPr>
    </w:p>
    <w:p>
      <w:pPr>
        <w:spacing w:line="500" w:lineRule="exact"/>
        <w:ind w:firstLine="586"/>
        <w:jc w:val="center"/>
        <w:rPr>
          <w:rFonts w:hint="eastAsia" w:ascii="宋体" w:hAnsi="宋体" w:eastAsia="宋体" w:cs="宋体"/>
          <w:b/>
          <w:color w:val="auto"/>
          <w:spacing w:val="6"/>
          <w:sz w:val="28"/>
          <w:szCs w:val="28"/>
          <w:highlight w:val="none"/>
        </w:rPr>
      </w:pPr>
    </w:p>
    <w:p>
      <w:pPr>
        <w:spacing w:line="500" w:lineRule="exact"/>
        <w:ind w:firstLine="586"/>
        <w:jc w:val="center"/>
        <w:rPr>
          <w:rFonts w:hint="eastAsia" w:ascii="宋体" w:hAnsi="宋体" w:eastAsia="宋体" w:cs="宋体"/>
          <w:color w:val="auto"/>
          <w:spacing w:val="6"/>
          <w:sz w:val="28"/>
          <w:szCs w:val="28"/>
          <w:highlight w:val="none"/>
        </w:rPr>
      </w:pPr>
      <w:r>
        <w:rPr>
          <w:rFonts w:hint="eastAsia" w:ascii="宋体" w:hAnsi="宋体" w:eastAsia="宋体" w:cs="宋体"/>
          <w:b/>
          <w:color w:val="auto"/>
          <w:spacing w:val="6"/>
          <w:sz w:val="28"/>
          <w:szCs w:val="28"/>
          <w:highlight w:val="none"/>
        </w:rPr>
        <w:br w:type="page"/>
      </w:r>
      <w:r>
        <w:rPr>
          <w:rFonts w:hint="eastAsia" w:ascii="宋体" w:hAnsi="宋体" w:eastAsia="宋体" w:cs="宋体"/>
          <w:b/>
          <w:color w:val="auto"/>
          <w:spacing w:val="6"/>
          <w:sz w:val="28"/>
          <w:szCs w:val="28"/>
          <w:highlight w:val="none"/>
        </w:rPr>
        <w:t>（3）残疾人福利性单位声明函</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适用所有标项</w:t>
      </w:r>
      <w:r>
        <w:rPr>
          <w:rFonts w:hint="eastAsia" w:ascii="宋体" w:hAnsi="宋体" w:eastAsia="宋体" w:cs="宋体"/>
          <w:b/>
          <w:bCs/>
          <w:color w:val="auto"/>
          <w:sz w:val="24"/>
          <w:highlight w:val="none"/>
          <w:lang w:eastAsia="zh-CN"/>
        </w:rPr>
        <w:t>）</w:t>
      </w:r>
    </w:p>
    <w:p>
      <w:pPr>
        <w:widowControl/>
        <w:adjustRightInd w:val="0"/>
        <w:snapToGrid w:val="0"/>
        <w:spacing w:line="500" w:lineRule="exact"/>
        <w:ind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【不属于残疾人福利性单位的无需填写、递交】</w:t>
      </w:r>
    </w:p>
    <w:p>
      <w:pPr>
        <w:snapToGrid w:val="0"/>
        <w:spacing w:line="500" w:lineRule="exact"/>
        <w:ind w:firstLine="422"/>
        <w:jc w:val="center"/>
        <w:rPr>
          <w:rFonts w:hint="eastAsia" w:ascii="宋体" w:hAnsi="宋体" w:eastAsia="宋体" w:cs="宋体"/>
          <w:b/>
          <w:bCs/>
          <w:color w:val="auto"/>
          <w:szCs w:val="21"/>
          <w:highlight w:val="none"/>
        </w:rPr>
      </w:pPr>
    </w:p>
    <w:p>
      <w:pPr>
        <w:snapToGrid w:val="0"/>
        <w:spacing w:line="500" w:lineRule="exact"/>
        <w:ind w:firstLine="444"/>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（采购人名称）</w:t>
      </w:r>
      <w:r>
        <w:rPr>
          <w:rFonts w:hint="eastAsia" w:ascii="宋体" w:hAnsi="宋体" w:eastAsia="宋体" w:cs="宋体"/>
          <w:color w:val="auto"/>
          <w:spacing w:val="6"/>
          <w:szCs w:val="21"/>
          <w:highlight w:val="none"/>
        </w:rPr>
        <w:t>单位的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44"/>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napToGrid w:val="0"/>
        <w:spacing w:line="500" w:lineRule="exact"/>
        <w:ind w:firstLine="444"/>
        <w:rPr>
          <w:rFonts w:hint="eastAsia" w:ascii="宋体" w:hAnsi="宋体" w:eastAsia="宋体" w:cs="宋体"/>
          <w:color w:val="auto"/>
          <w:spacing w:val="6"/>
          <w:szCs w:val="21"/>
          <w:highlight w:val="none"/>
        </w:rPr>
      </w:pPr>
    </w:p>
    <w:p>
      <w:pPr>
        <w:snapToGrid w:val="0"/>
        <w:spacing w:line="500" w:lineRule="exact"/>
        <w:ind w:firstLine="444"/>
        <w:rPr>
          <w:rFonts w:hint="eastAsia" w:ascii="宋体" w:hAnsi="宋体" w:eastAsia="宋体" w:cs="宋体"/>
          <w:color w:val="auto"/>
          <w:spacing w:val="6"/>
          <w:szCs w:val="21"/>
          <w:highlight w:val="none"/>
        </w:rPr>
      </w:pPr>
    </w:p>
    <w:p>
      <w:pPr>
        <w:adjustRightInd w:val="0"/>
        <w:snapToGrid w:val="0"/>
        <w:spacing w:line="500" w:lineRule="exact"/>
        <w:ind w:firstLine="42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投标人全称（盖章）：</w:t>
      </w:r>
      <w:r>
        <w:rPr>
          <w:rFonts w:hint="eastAsia" w:ascii="宋体" w:hAnsi="宋体" w:eastAsia="宋体" w:cs="宋体"/>
          <w:color w:val="auto"/>
          <w:kern w:val="0"/>
          <w:szCs w:val="21"/>
          <w:highlight w:val="none"/>
          <w:u w:val="single"/>
        </w:rPr>
        <w:t xml:space="preserve">                    </w:t>
      </w:r>
    </w:p>
    <w:p>
      <w:pPr>
        <w:adjustRightInd w:val="0"/>
        <w:snapToGrid w:val="0"/>
        <w:spacing w:line="5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00" w:lineRule="auto"/>
        <w:ind w:firstLine="420"/>
        <w:rPr>
          <w:rFonts w:hint="eastAsia" w:ascii="宋体" w:hAnsi="宋体" w:eastAsia="宋体" w:cs="宋体"/>
          <w:color w:val="auto"/>
          <w:kern w:val="0"/>
          <w:szCs w:val="21"/>
          <w:highlight w:val="none"/>
        </w:rPr>
      </w:pPr>
    </w:p>
    <w:p>
      <w:pPr>
        <w:spacing w:before="240" w:beforeLines="100" w:line="440" w:lineRule="atLeast"/>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tabs>
          <w:tab w:val="left" w:pos="4860"/>
        </w:tabs>
        <w:spacing w:line="588" w:lineRule="exact"/>
        <w:ind w:right="114" w:firstLine="42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1、如中标，将在中标公示中将此</w:t>
      </w:r>
      <w:r>
        <w:rPr>
          <w:rFonts w:hint="eastAsia" w:ascii="宋体" w:hAnsi="宋体" w:eastAsia="宋体" w:cs="宋体"/>
          <w:b/>
          <w:color w:val="auto"/>
          <w:spacing w:val="6"/>
          <w:szCs w:val="21"/>
          <w:highlight w:val="none"/>
        </w:rPr>
        <w:t>残疾人福利性单位声明函</w:t>
      </w:r>
      <w:r>
        <w:rPr>
          <w:rFonts w:hint="eastAsia" w:ascii="宋体" w:hAnsi="宋体" w:eastAsia="宋体" w:cs="宋体"/>
          <w:b/>
          <w:color w:val="auto"/>
          <w:szCs w:val="21"/>
          <w:highlight w:val="none"/>
        </w:rPr>
        <w:t>予以公示，接受社会监督；</w:t>
      </w:r>
    </w:p>
    <w:p>
      <w:pPr>
        <w:tabs>
          <w:tab w:val="left" w:pos="4860"/>
        </w:tabs>
        <w:spacing w:line="588" w:lineRule="exact"/>
        <w:ind w:right="114" w:firstLine="42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2、投标人提供的《残疾人福利性单位声明函》与事实不符的，依照《中华人民共和国政府采购法》第七十七条第一款的规定追究法律责任。</w:t>
      </w:r>
    </w:p>
    <w:p>
      <w:pPr>
        <w:adjustRightInd w:val="0"/>
        <w:snapToGrid w:val="0"/>
        <w:spacing w:line="300" w:lineRule="auto"/>
        <w:ind w:firstLine="420"/>
        <w:rPr>
          <w:rFonts w:hint="eastAsia" w:ascii="宋体" w:hAnsi="宋体" w:eastAsia="宋体" w:cs="宋体"/>
          <w:color w:val="auto"/>
          <w:kern w:val="0"/>
          <w:szCs w:val="21"/>
          <w:highlight w:val="none"/>
        </w:rPr>
      </w:pPr>
    </w:p>
    <w:p>
      <w:pPr>
        <w:pStyle w:val="25"/>
        <w:rPr>
          <w:rFonts w:hint="eastAsia" w:ascii="宋体" w:hAnsi="宋体" w:eastAsia="宋体" w:cs="宋体"/>
          <w:color w:val="auto"/>
          <w:highlight w:val="none"/>
          <w:lang w:val="en-US" w:eastAsia="zh-CN"/>
        </w:rPr>
      </w:pPr>
    </w:p>
    <w:p>
      <w:pPr>
        <w:pStyle w:val="26"/>
        <w:ind w:firstLine="321"/>
        <w:rPr>
          <w:rFonts w:hint="eastAsia" w:ascii="宋体" w:hAnsi="宋体" w:eastAsia="宋体" w:cs="宋体"/>
          <w:color w:val="auto"/>
          <w:highlight w:val="none"/>
          <w:lang w:val="en-US" w:eastAsia="zh-CN"/>
        </w:rPr>
      </w:pPr>
    </w:p>
    <w:p>
      <w:pPr>
        <w:pStyle w:val="26"/>
        <w:ind w:firstLine="321"/>
        <w:rPr>
          <w:rFonts w:hint="eastAsia" w:ascii="宋体" w:hAnsi="宋体" w:eastAsia="宋体" w:cs="宋体"/>
          <w:color w:val="auto"/>
          <w:highlight w:val="none"/>
          <w:lang w:eastAsia="zh-CN"/>
        </w:rPr>
      </w:pPr>
      <w:bookmarkStart w:id="231" w:name="_Toc15843"/>
    </w:p>
    <w:p>
      <w:pPr>
        <w:pStyle w:val="5"/>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36"/>
          <w:szCs w:val="36"/>
          <w:highlight w:val="none"/>
        </w:rPr>
        <w:br w:type="page"/>
      </w:r>
      <w:bookmarkStart w:id="232" w:name="_Toc8072"/>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eastAsia="zh-CN"/>
        </w:rPr>
        <w:t>五</w:t>
      </w:r>
      <w:r>
        <w:rPr>
          <w:rFonts w:hint="eastAsia" w:ascii="宋体" w:hAnsi="宋体" w:eastAsia="宋体" w:cs="宋体"/>
          <w:color w:val="auto"/>
          <w:sz w:val="36"/>
          <w:szCs w:val="36"/>
          <w:highlight w:val="none"/>
        </w:rPr>
        <w:t>部分   招标内容及要求</w:t>
      </w:r>
      <w:bookmarkEnd w:id="231"/>
      <w:bookmarkEnd w:id="232"/>
      <w:bookmarkStart w:id="233" w:name="_Toc262105510"/>
      <w:bookmarkStart w:id="234" w:name="_Toc249758871"/>
      <w:bookmarkStart w:id="235" w:name="_Toc249758721"/>
      <w:bookmarkStart w:id="236" w:name="_Toc422225262"/>
      <w:bookmarkStart w:id="237" w:name="_Toc262049425"/>
      <w:bookmarkStart w:id="238" w:name="_Toc7368"/>
    </w:p>
    <w:p>
      <w:pPr>
        <w:pStyle w:val="3"/>
        <w:spacing w:line="400" w:lineRule="exact"/>
        <w:ind w:left="316" w:hanging="316" w:hangingChars="1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一、说明</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1、为了适应市场经济的城市道路保洁管理机制，加快推进城市道路管理市场化的进程，本项目进行公开招标。</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2、根据招标要求，本项目分为</w:t>
      </w:r>
      <w:r>
        <w:rPr>
          <w:rFonts w:hint="eastAsia" w:ascii="宋体" w:hAnsi="宋体" w:eastAsia="宋体" w:cs="宋体"/>
          <w:color w:val="auto"/>
          <w:sz w:val="22"/>
          <w:szCs w:val="22"/>
          <w:highlight w:val="none"/>
          <w:lang w:eastAsia="zh-CN"/>
        </w:rPr>
        <w:t>三</w:t>
      </w:r>
      <w:r>
        <w:rPr>
          <w:rFonts w:hint="eastAsia" w:ascii="宋体" w:hAnsi="宋体" w:eastAsia="宋体" w:cs="宋体"/>
          <w:color w:val="auto"/>
          <w:sz w:val="22"/>
          <w:szCs w:val="22"/>
          <w:highlight w:val="none"/>
        </w:rPr>
        <w:t>个标</w:t>
      </w:r>
      <w:r>
        <w:rPr>
          <w:rFonts w:hint="eastAsia" w:ascii="宋体" w:hAnsi="宋体" w:eastAsia="宋体" w:cs="宋体"/>
          <w:color w:val="auto"/>
          <w:sz w:val="22"/>
          <w:szCs w:val="22"/>
          <w:highlight w:val="none"/>
          <w:lang w:val="en-US" w:eastAsia="zh-CN"/>
        </w:rPr>
        <w:t>项</w:t>
      </w:r>
      <w:r>
        <w:rPr>
          <w:rFonts w:hint="eastAsia" w:ascii="宋体" w:hAnsi="宋体" w:eastAsia="宋体" w:cs="宋体"/>
          <w:color w:val="auto"/>
          <w:sz w:val="22"/>
          <w:szCs w:val="22"/>
          <w:highlight w:val="none"/>
        </w:rPr>
        <w:t>，投标人必须同时投</w:t>
      </w:r>
      <w:r>
        <w:rPr>
          <w:rFonts w:hint="eastAsia" w:ascii="宋体" w:hAnsi="宋体" w:eastAsia="宋体" w:cs="宋体"/>
          <w:color w:val="auto"/>
          <w:sz w:val="22"/>
          <w:szCs w:val="22"/>
          <w:highlight w:val="none"/>
          <w:lang w:eastAsia="zh-CN"/>
        </w:rPr>
        <w:t>三</w:t>
      </w:r>
      <w:r>
        <w:rPr>
          <w:rFonts w:hint="eastAsia" w:ascii="宋体" w:hAnsi="宋体" w:eastAsia="宋体" w:cs="宋体"/>
          <w:color w:val="auto"/>
          <w:sz w:val="22"/>
          <w:szCs w:val="22"/>
          <w:highlight w:val="none"/>
        </w:rPr>
        <w:t>个标</w:t>
      </w:r>
      <w:r>
        <w:rPr>
          <w:rFonts w:hint="eastAsia" w:ascii="宋体" w:hAnsi="宋体" w:eastAsia="宋体" w:cs="宋体"/>
          <w:color w:val="auto"/>
          <w:sz w:val="22"/>
          <w:szCs w:val="22"/>
          <w:highlight w:val="none"/>
          <w:lang w:val="en-US" w:eastAsia="zh-CN"/>
        </w:rPr>
        <w:t>项</w:t>
      </w:r>
      <w:r>
        <w:rPr>
          <w:rFonts w:hint="eastAsia" w:ascii="宋体" w:hAnsi="宋体" w:eastAsia="宋体" w:cs="宋体"/>
          <w:color w:val="auto"/>
          <w:sz w:val="22"/>
          <w:szCs w:val="22"/>
          <w:highlight w:val="none"/>
        </w:rPr>
        <w:t>。</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3、投标人须在投标文件</w:t>
      </w:r>
      <w:r>
        <w:rPr>
          <w:rFonts w:hint="eastAsia" w:ascii="宋体" w:hAnsi="宋体" w:eastAsia="宋体" w:cs="宋体"/>
          <w:color w:val="auto"/>
          <w:sz w:val="22"/>
          <w:szCs w:val="22"/>
          <w:highlight w:val="none"/>
        </w:rPr>
        <w:t>商务技术文件</w:t>
      </w:r>
      <w:r>
        <w:rPr>
          <w:rFonts w:hint="eastAsia" w:ascii="宋体" w:hAnsi="宋体" w:eastAsia="宋体" w:cs="宋体"/>
          <w:color w:val="auto"/>
          <w:sz w:val="22"/>
          <w:szCs w:val="22"/>
          <w:highlight w:val="none"/>
        </w:rPr>
        <w:t>中承诺投入的清扫保洁人员及清扫保洁车辆必须只用</w:t>
      </w:r>
      <w:r>
        <w:rPr>
          <w:rFonts w:hint="eastAsia" w:ascii="宋体" w:hAnsi="宋体" w:eastAsia="宋体" w:cs="宋体"/>
          <w:color w:val="auto"/>
          <w:sz w:val="22"/>
          <w:szCs w:val="22"/>
          <w:highlight w:val="none"/>
          <w:lang w:val="en-US" w:eastAsia="zh-CN"/>
        </w:rPr>
        <w:t>于</w:t>
      </w:r>
      <w:r>
        <w:rPr>
          <w:rFonts w:hint="eastAsia" w:ascii="宋体" w:hAnsi="宋体" w:eastAsia="宋体" w:cs="宋体"/>
          <w:color w:val="auto"/>
          <w:sz w:val="22"/>
          <w:szCs w:val="22"/>
          <w:highlight w:val="none"/>
        </w:rPr>
        <w:t>所投标段，未经采购人同意不得自行变更或另用他处。</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4、本项目投入配备人员由投标单位按照温州地区的实际情况与浙江省城市环境卫生劳动定额自行科学、合理测算，须列入投标文件中并作出具体的说明。</w:t>
      </w:r>
    </w:p>
    <w:p>
      <w:pPr>
        <w:pStyle w:val="3"/>
        <w:spacing w:line="400" w:lineRule="exact"/>
        <w:ind w:left="316" w:hanging="316" w:hangingChars="1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二、招标内容</w:t>
      </w:r>
    </w:p>
    <w:p>
      <w:pPr>
        <w:spacing w:line="400" w:lineRule="exact"/>
        <w:ind w:firstLine="221" w:firstLineChars="1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1、道路清扫保洁服务面积</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详见招标文件附件</w:t>
      </w:r>
      <w:r>
        <w:rPr>
          <w:rFonts w:hint="eastAsia" w:ascii="宋体" w:hAnsi="宋体" w:eastAsia="宋体" w:cs="宋体"/>
          <w:b/>
          <w:color w:val="auto"/>
          <w:sz w:val="22"/>
          <w:szCs w:val="22"/>
          <w:highlight w:val="none"/>
          <w:lang w:eastAsia="zh-CN"/>
        </w:rPr>
        <w:t>）</w:t>
      </w:r>
    </w:p>
    <w:p>
      <w:pPr>
        <w:spacing w:line="400" w:lineRule="exact"/>
        <w:ind w:left="551" w:leftChars="105" w:hanging="331" w:hanging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eastAsia="zh-CN"/>
        </w:rPr>
        <w:t>道路</w:t>
      </w:r>
      <w:r>
        <w:rPr>
          <w:rFonts w:hint="eastAsia" w:ascii="宋体" w:hAnsi="宋体" w:eastAsia="宋体" w:cs="宋体"/>
          <w:b/>
          <w:color w:val="auto"/>
          <w:sz w:val="22"/>
          <w:szCs w:val="22"/>
          <w:highlight w:val="none"/>
        </w:rPr>
        <w:t>清扫保洁服务内容</w:t>
      </w:r>
    </w:p>
    <w:p>
      <w:pPr>
        <w:tabs>
          <w:tab w:val="left" w:pos="284"/>
          <w:tab w:val="left" w:pos="720"/>
          <w:tab w:val="left" w:pos="780"/>
        </w:tabs>
        <w:spacing w:line="400" w:lineRule="exact"/>
        <w:ind w:left="284"/>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none"/>
        </w:rPr>
        <w:t>具体涵盖：</w:t>
      </w:r>
      <w:r>
        <w:rPr>
          <w:rFonts w:hint="eastAsia" w:ascii="宋体" w:hAnsi="宋体" w:eastAsia="宋体" w:cs="宋体"/>
          <w:b w:val="0"/>
          <w:bCs w:val="0"/>
          <w:color w:val="auto"/>
          <w:sz w:val="22"/>
          <w:szCs w:val="22"/>
          <w:highlight w:val="none"/>
          <w:u w:val="non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含化粪池抽运）；环卫驿站维养、无主装潢垃圾清运、生活垃圾分类收运等项目。</w:t>
      </w:r>
    </w:p>
    <w:p>
      <w:pPr>
        <w:spacing w:line="400" w:lineRule="exact"/>
        <w:ind w:firstLine="211" w:firstLineChars="100"/>
        <w:rPr>
          <w:rFonts w:hint="default"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highlight w:val="none"/>
          <w:lang w:val="en-US" w:eastAsia="zh-CN"/>
        </w:rPr>
        <w:t>3.</w:t>
      </w:r>
      <w:r>
        <w:rPr>
          <w:rFonts w:hint="eastAsia" w:ascii="宋体" w:hAnsi="宋体" w:eastAsia="宋体" w:cs="宋体"/>
          <w:color w:val="auto"/>
          <w:sz w:val="22"/>
          <w:szCs w:val="22"/>
          <w:highlight w:val="none"/>
        </w:rPr>
        <w:t>本项目提供的城市道路、域内国、省道、社区(村）道路、沿河游步道、绿化带、街头绿地和开放式物业小区等保洁</w:t>
      </w:r>
      <w:r>
        <w:rPr>
          <w:rFonts w:hint="eastAsia" w:hAnsi="宋体" w:eastAsia="宋体" w:cs="宋体"/>
          <w:color w:val="auto"/>
          <w:sz w:val="22"/>
          <w:szCs w:val="22"/>
          <w:highlight w:val="none"/>
          <w:lang w:val="en-US" w:eastAsia="zh-CN"/>
        </w:rPr>
        <w:t>内容清单</w:t>
      </w:r>
      <w:r>
        <w:rPr>
          <w:rFonts w:hint="eastAsia" w:ascii="宋体" w:hAnsi="宋体" w:eastAsia="宋体" w:cs="宋体"/>
          <w:color w:val="auto"/>
          <w:sz w:val="22"/>
          <w:szCs w:val="22"/>
          <w:highlight w:val="none"/>
        </w:rPr>
        <w:t>为参考数据，合同执行过程保洁</w:t>
      </w:r>
      <w:r>
        <w:rPr>
          <w:rFonts w:hint="eastAsia"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以实际为准，乙方须现场踏勘，以求得准确的报价依据，并自行承担投标报价风险，具体按采购文件要求执行。</w:t>
      </w:r>
      <w:r>
        <w:rPr>
          <w:rFonts w:hint="eastAsia" w:ascii="宋体" w:hAnsi="宋体" w:eastAsia="宋体" w:cs="宋体"/>
          <w:b w:val="0"/>
          <w:bCs w:val="0"/>
          <w:color w:val="auto"/>
          <w:szCs w:val="21"/>
          <w:highlight w:val="none"/>
          <w:lang w:val="en-US" w:eastAsia="zh-CN"/>
        </w:rPr>
        <w:t>本项目社区、村内道路、开放式物业小区道路（不包括一层以上的平台和楼栋内面积）均按四级道路计入。</w:t>
      </w:r>
    </w:p>
    <w:p>
      <w:pPr>
        <w:spacing w:line="400" w:lineRule="exact"/>
        <w:ind w:firstLine="211" w:firstLineChars="1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4.未移交道路的后续移交办法</w:t>
      </w:r>
    </w:p>
    <w:p>
      <w:pPr>
        <w:spacing w:line="400" w:lineRule="exact"/>
        <w:ind w:firstLine="210" w:firstLineChars="1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本项目范围内未移交道路，清扫保洁经费从移交之日起，根据中标单位的的中标单价进行结算。招标人从落实清扫保洁经费之日起，即将所移交的道路纳入相应的中标标段。</w:t>
      </w:r>
    </w:p>
    <w:p>
      <w:pPr>
        <w:spacing w:line="400" w:lineRule="exact"/>
        <w:ind w:firstLine="211" w:firstLineChars="1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5.新建项目移交办法</w:t>
      </w:r>
    </w:p>
    <w:p>
      <w:pPr>
        <w:spacing w:line="400" w:lineRule="exact"/>
        <w:ind w:firstLine="210" w:firstLineChars="1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本项目招标完成后，如有新建的道路、绿化、公厕需要移交的，清扫保洁（维养）经费从移交之日起，根据中标单价进行结算。</w:t>
      </w:r>
    </w:p>
    <w:p>
      <w:pPr>
        <w:spacing w:line="400" w:lineRule="exact"/>
        <w:ind w:firstLine="211" w:firstLineChars="10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w:t>
      </w:r>
      <w:r>
        <w:rPr>
          <w:rFonts w:hint="eastAsia" w:ascii="宋体" w:hAnsi="宋体" w:eastAsia="宋体" w:cs="宋体"/>
          <w:color w:val="auto"/>
          <w:sz w:val="22"/>
          <w:szCs w:val="22"/>
          <w:highlight w:val="none"/>
        </w:rPr>
        <w:t>本项目考核标准及处罚办法、付款方式、承包期限详见第二部分“合同主要条款”。</w:t>
      </w:r>
    </w:p>
    <w:p>
      <w:pPr>
        <w:spacing w:line="400" w:lineRule="exact"/>
        <w:ind w:firstLine="211" w:firstLineChars="1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甲方如需要中标单位配合考核检查的，中标单位须予以配合。</w:t>
      </w:r>
    </w:p>
    <w:p>
      <w:pPr>
        <w:pStyle w:val="25"/>
        <w:keepNext w:val="0"/>
        <w:keepLines w:val="0"/>
        <w:pageBreakBefore w:val="0"/>
        <w:widowControl w:val="0"/>
        <w:kinsoku/>
        <w:wordWrap/>
        <w:overflowPunct/>
        <w:topLinePunct w:val="0"/>
        <w:autoSpaceDE/>
        <w:autoSpaceDN/>
        <w:bidi w:val="0"/>
        <w:adjustRightInd/>
        <w:snapToGrid/>
        <w:spacing w:line="400" w:lineRule="atLeast"/>
        <w:ind w:firstLine="211" w:firstLineChars="1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8.中标单位要和属地街道（镇）、有业务承接的清扫企业等单位做好清洁工宿舍等后方设施以及清洁工具、车辆、一次性用品等环卫设施的移交工作。现有的宿舍、车辆、相关设施的明细清单详见附件。属于政府固定资产项目的租金，中标单位自行与权属方进行协商，大型车辆8年以上的车辆免租金，8年以内的车辆产权方可以收取租金；小型车辆4年以上的车辆免租金，4年以内的车辆产权方可以收取租金。                 </w:t>
      </w:r>
    </w:p>
    <w:p>
      <w:pPr>
        <w:pStyle w:val="25"/>
        <w:ind w:firstLine="211" w:firstLineChars="1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9.突发情况应对措施</w:t>
      </w:r>
    </w:p>
    <w:p>
      <w:pPr>
        <w:pStyle w:val="25"/>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1）投标单位根据突发事件的不同性质和等级，制定应急预案，并报招标人备案。</w:t>
      </w:r>
    </w:p>
    <w:p>
      <w:pPr>
        <w:pStyle w:val="25"/>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中标单位须成立应急队伍，明确其工作职责和应急任务，并落实专人负责，做好与各街道工作对接，应对重大活动如国家卫生城市复检、国家文明城市复评、抢险救灾等突发应急任务及承接各街道环卫任务的指派等。</w:t>
      </w:r>
    </w:p>
    <w:p>
      <w:pPr>
        <w:pStyle w:val="25"/>
        <w:ind w:firstLine="210" w:firstLineChars="1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3）投标单位中标后要签订《无条件承接跨标段任务承诺书》，承诺承接跨标段的任务指派，以应对各类突发事件。</w:t>
      </w:r>
    </w:p>
    <w:p>
      <w:pPr>
        <w:pStyle w:val="3"/>
        <w:spacing w:line="360" w:lineRule="exact"/>
        <w:ind w:left="316" w:hanging="316" w:hangingChars="1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三、投标要求：</w:t>
      </w:r>
    </w:p>
    <w:p>
      <w:pPr>
        <w:pStyle w:val="3"/>
        <w:spacing w:line="36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中标单位</w:t>
      </w:r>
      <w:r>
        <w:rPr>
          <w:rFonts w:hint="eastAsia" w:ascii="宋体" w:hAnsi="宋体" w:eastAsia="宋体" w:cs="宋体"/>
          <w:color w:val="auto"/>
          <w:sz w:val="22"/>
          <w:szCs w:val="22"/>
          <w:highlight w:val="none"/>
        </w:rPr>
        <w:t>必须向招标人提供作业车辆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人员的</w:t>
      </w:r>
      <w:r>
        <w:rPr>
          <w:rFonts w:hint="eastAsia" w:ascii="宋体" w:hAnsi="宋体" w:eastAsia="宋体" w:cs="宋体"/>
          <w:color w:val="auto"/>
          <w:sz w:val="22"/>
          <w:szCs w:val="22"/>
          <w:highlight w:val="none"/>
          <w:u w:val="single"/>
        </w:rPr>
        <w:t>GPS定位、</w:t>
      </w:r>
      <w:r>
        <w:rPr>
          <w:rFonts w:hint="eastAsia" w:ascii="宋体" w:hAnsi="宋体" w:eastAsia="宋体" w:cs="宋体"/>
          <w:color w:val="auto"/>
          <w:sz w:val="22"/>
          <w:szCs w:val="22"/>
          <w:highlight w:val="none"/>
        </w:rPr>
        <w:t>作业视频监控查询功能系统，</w:t>
      </w:r>
      <w:r>
        <w:rPr>
          <w:rFonts w:hint="eastAsia" w:ascii="宋体" w:hAnsi="宋体" w:eastAsia="宋体" w:cs="宋体"/>
          <w:color w:val="auto"/>
          <w:sz w:val="22"/>
          <w:szCs w:val="22"/>
          <w:highlight w:val="none"/>
          <w:lang w:val="en-US" w:eastAsia="zh-CN"/>
        </w:rPr>
        <w:t>技术应与鹿城区的环卫监管系统相匹配，</w:t>
      </w:r>
      <w:r>
        <w:rPr>
          <w:rFonts w:hint="eastAsia" w:ascii="宋体" w:hAnsi="宋体" w:eastAsia="宋体" w:cs="宋体"/>
          <w:color w:val="auto"/>
          <w:sz w:val="22"/>
          <w:szCs w:val="22"/>
          <w:highlight w:val="none"/>
        </w:rPr>
        <w:t>可供招标人随时检查车辆位置及工作情况。</w:t>
      </w:r>
    </w:p>
    <w:p>
      <w:pPr>
        <w:pStyle w:val="3"/>
        <w:spacing w:line="360" w:lineRule="exact"/>
        <w:ind w:left="-300" w:leftChars="-143"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)清扫保洁作业车辆必须安装车辆定位、超速的预警、跨区域作业预警、作业视频</w:t>
      </w:r>
      <w:r>
        <w:rPr>
          <w:rFonts w:hint="eastAsia" w:ascii="宋体" w:hAnsi="宋体" w:eastAsia="宋体" w:cs="宋体"/>
          <w:color w:val="auto"/>
          <w:sz w:val="22"/>
          <w:szCs w:val="22"/>
          <w:highlight w:val="none"/>
          <w:lang w:val="en-US" w:eastAsia="zh-CN"/>
        </w:rPr>
        <w:t>系统</w:t>
      </w:r>
      <w:r>
        <w:rPr>
          <w:rFonts w:hint="eastAsia" w:ascii="宋体" w:hAnsi="宋体" w:eastAsia="宋体" w:cs="宋体"/>
          <w:color w:val="auto"/>
          <w:sz w:val="22"/>
          <w:szCs w:val="22"/>
          <w:highlight w:val="none"/>
        </w:rPr>
        <w:t>。</w:t>
      </w:r>
    </w:p>
    <w:p>
      <w:pPr>
        <w:pStyle w:val="3"/>
        <w:spacing w:line="360" w:lineRule="exact"/>
        <w:ind w:left="-300" w:leftChars="-143"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)中标单位必须在中标通知书发出后1个月内建成环卫作业GPS管理平台和视频管理硬软件，并符合</w:t>
      </w:r>
      <w:r>
        <w:rPr>
          <w:rFonts w:hint="eastAsia" w:ascii="宋体" w:hAnsi="宋体" w:eastAsia="宋体" w:cs="宋体"/>
          <w:color w:val="auto"/>
          <w:sz w:val="22"/>
          <w:szCs w:val="22"/>
          <w:highlight w:val="none"/>
          <w:lang w:val="en-US" w:eastAsia="zh-CN"/>
        </w:rPr>
        <w:t>区</w:t>
      </w:r>
      <w:r>
        <w:rPr>
          <w:rFonts w:hint="eastAsia" w:ascii="宋体" w:hAnsi="宋体" w:eastAsia="宋体" w:cs="宋体"/>
          <w:color w:val="auto"/>
          <w:sz w:val="22"/>
          <w:szCs w:val="22"/>
          <w:highlight w:val="none"/>
        </w:rPr>
        <w:t>级环卫主管部门监管平台的技术要求，并纳入区级环卫信息化管理平台。</w:t>
      </w:r>
    </w:p>
    <w:p>
      <w:pPr>
        <w:pStyle w:val="3"/>
        <w:spacing w:line="360" w:lineRule="exact"/>
        <w:ind w:left="-300" w:leftChars="-143"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)以上环卫作业GPS管理平台和视频管理软、硬件建设资金由中标单位出资建设，投标单位在标书制作时应考虑其成本与维护费用。</w:t>
      </w:r>
    </w:p>
    <w:p>
      <w:pPr>
        <w:pStyle w:val="3"/>
        <w:spacing w:line="360" w:lineRule="exact"/>
        <w:ind w:left="-300" w:leftChars="-143"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)为了保障环卫工人的安全，建议提高安全质量保洁标准。</w:t>
      </w:r>
    </w:p>
    <w:p>
      <w:pPr>
        <w:pStyle w:val="3"/>
        <w:spacing w:line="400" w:lineRule="exact"/>
        <w:ind w:left="316" w:hanging="316" w:hangingChars="143"/>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val="0"/>
          <w:bCs/>
          <w:color w:val="auto"/>
          <w:sz w:val="22"/>
          <w:szCs w:val="22"/>
          <w:highlight w:val="none"/>
          <w:lang w:val="en-US" w:eastAsia="zh-CN"/>
        </w:rPr>
        <w:t>（6）涉及到未列明的边角、沿河游步道、未明确的小型绿地和无名弄巷等，原则上参照原作业单位的作业范围，最终工作范围以中标后甲乙双方现场确认为准。</w:t>
      </w:r>
    </w:p>
    <w:p>
      <w:pPr>
        <w:pStyle w:val="3"/>
        <w:spacing w:line="400" w:lineRule="exact"/>
        <w:ind w:left="316" w:hanging="316" w:hangingChars="143"/>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eastAsia="zh-CN"/>
        </w:rPr>
        <w:t>四、</w:t>
      </w:r>
      <w:r>
        <w:rPr>
          <w:rFonts w:hint="eastAsia" w:ascii="宋体" w:hAnsi="宋体" w:eastAsia="宋体" w:cs="宋体"/>
          <w:b/>
          <w:color w:val="auto"/>
          <w:sz w:val="22"/>
          <w:szCs w:val="22"/>
          <w:highlight w:val="none"/>
          <w:lang w:val="en-US" w:eastAsia="zh-CN"/>
        </w:rPr>
        <w:t>原保洁人员的的接受及移交</w:t>
      </w:r>
    </w:p>
    <w:p>
      <w:pPr>
        <w:pStyle w:val="3"/>
        <w:spacing w:line="400" w:lineRule="exact"/>
        <w:ind w:left="313" w:leftChars="105" w:hanging="93" w:hangingChars="42"/>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lang w:eastAsia="zh-CN"/>
        </w:rPr>
        <w:t>）各街道（镇）原有</w:t>
      </w:r>
      <w:r>
        <w:rPr>
          <w:rFonts w:hint="eastAsia" w:ascii="宋体" w:hAnsi="宋体" w:eastAsia="宋体" w:cs="宋体"/>
          <w:b/>
          <w:color w:val="auto"/>
          <w:sz w:val="22"/>
          <w:szCs w:val="22"/>
          <w:highlight w:val="none"/>
          <w:lang w:val="en-US" w:eastAsia="zh-CN"/>
        </w:rPr>
        <w:t>环卫工人</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在环卫工人自愿入职的情况下，中标单位应无条件接受。</w:t>
      </w:r>
    </w:p>
    <w:p>
      <w:pPr>
        <w:pStyle w:val="3"/>
        <w:spacing w:line="400" w:lineRule="exact"/>
        <w:ind w:left="441" w:leftChars="105" w:hanging="221" w:hangingChars="1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（2）中标单位须</w:t>
      </w:r>
      <w:r>
        <w:rPr>
          <w:rFonts w:hint="eastAsia" w:ascii="宋体" w:hAnsi="宋体" w:eastAsia="宋体" w:cs="宋体"/>
          <w:b/>
          <w:color w:val="auto"/>
          <w:sz w:val="22"/>
          <w:szCs w:val="22"/>
          <w:highlight w:val="none"/>
          <w:lang w:eastAsia="zh-CN"/>
        </w:rPr>
        <w:t>无条件接收原保洁人员，在中标通知书发出之日起（以中标通知书落款日期为准）</w:t>
      </w:r>
      <w:r>
        <w:rPr>
          <w:rFonts w:hint="eastAsia" w:ascii="宋体" w:hAnsi="宋体" w:eastAsia="宋体" w:cs="宋体"/>
          <w:b/>
          <w:color w:val="auto"/>
          <w:sz w:val="22"/>
          <w:szCs w:val="22"/>
          <w:highlight w:val="none"/>
          <w:lang w:val="en-US" w:eastAsia="zh-CN"/>
        </w:rPr>
        <w:t>20日历天内</w:t>
      </w:r>
      <w:r>
        <w:rPr>
          <w:rFonts w:hint="eastAsia" w:ascii="宋体" w:hAnsi="宋体" w:eastAsia="宋体" w:cs="宋体"/>
          <w:b/>
          <w:color w:val="auto"/>
          <w:sz w:val="22"/>
          <w:szCs w:val="22"/>
          <w:highlight w:val="none"/>
          <w:lang w:eastAsia="zh-CN"/>
        </w:rPr>
        <w:t>完成所有原保洁人员的</w:t>
      </w:r>
      <w:r>
        <w:rPr>
          <w:rFonts w:hint="eastAsia" w:ascii="宋体" w:hAnsi="宋体" w:eastAsia="宋体" w:cs="宋体"/>
          <w:b/>
          <w:color w:val="auto"/>
          <w:sz w:val="22"/>
          <w:szCs w:val="22"/>
          <w:highlight w:val="none"/>
          <w:lang w:val="en-US" w:eastAsia="zh-CN"/>
        </w:rPr>
        <w:t>入职手续</w:t>
      </w:r>
      <w:r>
        <w:rPr>
          <w:rFonts w:hint="eastAsia" w:ascii="宋体" w:hAnsi="宋体" w:eastAsia="宋体" w:cs="宋体"/>
          <w:b/>
          <w:color w:val="auto"/>
          <w:sz w:val="22"/>
          <w:szCs w:val="22"/>
          <w:highlight w:val="none"/>
          <w:lang w:eastAsia="zh-CN"/>
        </w:rPr>
        <w:t>。</w:t>
      </w:r>
    </w:p>
    <w:p>
      <w:pPr>
        <w:pStyle w:val="3"/>
        <w:spacing w:line="400" w:lineRule="exact"/>
        <w:ind w:left="441" w:leftChars="105" w:hanging="221" w:hangingChars="1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 xml:space="preserve"> （3）在人员移交过程中，由于中标单位原因引起工人群体事件的，招标人</w:t>
      </w:r>
      <w:r>
        <w:rPr>
          <w:rFonts w:hint="eastAsia" w:ascii="宋体" w:hAnsi="宋体" w:eastAsia="宋体" w:cs="宋体"/>
          <w:b/>
          <w:color w:val="auto"/>
          <w:sz w:val="22"/>
          <w:szCs w:val="22"/>
          <w:highlight w:val="none"/>
          <w:lang w:eastAsia="zh-CN"/>
        </w:rPr>
        <w:t>有权单方面解除合同。</w:t>
      </w:r>
    </w:p>
    <w:p>
      <w:pPr>
        <w:pStyle w:val="3"/>
        <w:spacing w:line="400" w:lineRule="exact"/>
        <w:ind w:left="316" w:hanging="316" w:hangingChars="143"/>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五、涉及到街道公开发包合同未到期的，按原有合同方式进行结算，经费来源由招标单位根据原补助金额补助到相关街道，待其合同到期后，纳入到相应的标段，承包经费从纳入之日起开始计算。</w:t>
      </w:r>
    </w:p>
    <w:p>
      <w:pPr>
        <w:pStyle w:val="3"/>
        <w:spacing w:line="400" w:lineRule="exact"/>
        <w:ind w:left="316" w:hanging="316" w:hangingChars="1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rPr>
        <w:t>、服务和质量要求</w:t>
      </w:r>
    </w:p>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一二级道路作业质量标准</w:t>
      </w:r>
    </w:p>
    <w:p>
      <w:pPr>
        <w:numPr>
          <w:ilvl w:val="0"/>
          <w:numId w:val="35"/>
        </w:numPr>
        <w:spacing w:line="440" w:lineRule="exact"/>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普扫质量作业标准：</w:t>
      </w:r>
      <w:r>
        <w:rPr>
          <w:rFonts w:hint="eastAsia" w:ascii="宋体" w:hAnsi="宋体" w:eastAsia="宋体" w:cs="宋体"/>
          <w:color w:val="auto"/>
          <w:sz w:val="22"/>
          <w:szCs w:val="22"/>
          <w:highlight w:val="none"/>
          <w:lang w:eastAsia="zh-CN"/>
        </w:rPr>
        <w:t>一级道路</w:t>
      </w:r>
      <w:r>
        <w:rPr>
          <w:rFonts w:hint="eastAsia" w:ascii="宋体" w:hAnsi="宋体" w:eastAsia="宋体" w:cs="宋体"/>
          <w:color w:val="auto"/>
          <w:sz w:val="22"/>
          <w:szCs w:val="22"/>
          <w:highlight w:val="none"/>
        </w:rPr>
        <w:t>保洁时间</w:t>
      </w:r>
      <w:r>
        <w:rPr>
          <w:rFonts w:hint="eastAsia" w:ascii="宋体" w:hAnsi="宋体" w:eastAsia="宋体" w:cs="宋体"/>
          <w:color w:val="auto"/>
          <w:kern w:val="0"/>
          <w:sz w:val="22"/>
          <w:szCs w:val="22"/>
          <w:highlight w:val="none"/>
        </w:rPr>
        <w:t>每日不少于18小时（5：00～23：00）</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eastAsia="zh-CN"/>
        </w:rPr>
        <w:t>二级</w:t>
      </w:r>
      <w:r>
        <w:rPr>
          <w:rFonts w:hint="eastAsia" w:ascii="宋体" w:hAnsi="宋体" w:eastAsia="宋体" w:cs="宋体"/>
          <w:color w:val="auto"/>
          <w:sz w:val="22"/>
          <w:szCs w:val="22"/>
          <w:highlight w:val="none"/>
          <w:lang w:eastAsia="zh-CN"/>
        </w:rPr>
        <w:t>道路</w:t>
      </w:r>
      <w:r>
        <w:rPr>
          <w:rFonts w:hint="eastAsia" w:ascii="宋体" w:hAnsi="宋体" w:eastAsia="宋体" w:cs="宋体"/>
          <w:color w:val="auto"/>
          <w:sz w:val="22"/>
          <w:szCs w:val="22"/>
          <w:highlight w:val="none"/>
        </w:rPr>
        <w:t>保洁时间</w:t>
      </w:r>
      <w:r>
        <w:rPr>
          <w:rFonts w:hint="eastAsia" w:ascii="宋体" w:hAnsi="宋体" w:eastAsia="宋体" w:cs="宋体"/>
          <w:color w:val="auto"/>
          <w:kern w:val="0"/>
          <w:sz w:val="22"/>
          <w:szCs w:val="22"/>
          <w:highlight w:val="none"/>
        </w:rPr>
        <w:t>每日不少于1</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小时（5：00～2</w:t>
      </w:r>
      <w:r>
        <w:rPr>
          <w:rFonts w:hint="eastAsia" w:ascii="宋体" w:hAnsi="宋体" w:eastAsia="宋体" w:cs="宋体"/>
          <w:color w:val="auto"/>
          <w:kern w:val="0"/>
          <w:sz w:val="22"/>
          <w:szCs w:val="22"/>
          <w:highlight w:val="none"/>
          <w:lang w:val="en-US"/>
        </w:rPr>
        <w:t>1</w:t>
      </w:r>
      <w:r>
        <w:rPr>
          <w:rFonts w:hint="eastAsia" w:ascii="宋体" w:hAnsi="宋体" w:eastAsia="宋体" w:cs="宋体"/>
          <w:color w:val="auto"/>
          <w:kern w:val="0"/>
          <w:sz w:val="22"/>
          <w:szCs w:val="22"/>
          <w:highlight w:val="none"/>
        </w:rPr>
        <w:t>：00），</w:t>
      </w:r>
      <w:r>
        <w:rPr>
          <w:rFonts w:hint="eastAsia" w:ascii="宋体" w:hAnsi="宋体" w:eastAsia="宋体" w:cs="宋体"/>
          <w:color w:val="auto"/>
          <w:kern w:val="0"/>
          <w:sz w:val="22"/>
          <w:szCs w:val="22"/>
          <w:highlight w:val="none"/>
          <w:lang w:val="en-US" w:eastAsia="zh-CN"/>
        </w:rPr>
        <w:t>部分重点道路实行24小时保洁（道路明细表中标“▲”的为24小时保洁道路），</w:t>
      </w:r>
      <w:r>
        <w:rPr>
          <w:rFonts w:hint="eastAsia" w:ascii="宋体" w:hAnsi="宋体" w:eastAsia="宋体" w:cs="宋体"/>
          <w:color w:val="auto"/>
          <w:sz w:val="22"/>
          <w:szCs w:val="22"/>
          <w:highlight w:val="none"/>
        </w:rPr>
        <w:t>普扫作业</w:t>
      </w:r>
      <w:r>
        <w:rPr>
          <w:rFonts w:hint="eastAsia" w:ascii="宋体" w:hAnsi="宋体" w:eastAsia="宋体" w:cs="宋体"/>
          <w:color w:val="auto"/>
          <w:kern w:val="0"/>
          <w:sz w:val="22"/>
          <w:szCs w:val="22"/>
          <w:highlight w:val="none"/>
        </w:rPr>
        <w:t>每日不少于3次，第一次普扫应在6：00前完成，第二次普扫在13：00前完成，第三次普扫在17：00前完成。</w:t>
      </w:r>
    </w:p>
    <w:p>
      <w:pPr>
        <w:numPr>
          <w:ilvl w:val="0"/>
          <w:numId w:val="35"/>
        </w:numPr>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动态保洁作业标准：路面见本色，达到“七无六净”标准，即无瓜果皮、纸屑，无土石杂草，无积泥（沙），无痰迹、烟蒂，无污水，无堆积物，无普扫盲点及死角；路面净，绿地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含街头绿地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树穴净，边角侧石净，窨井盖沟槽净、果壳箱等环卫设施及市政设施净。果皮果壳、纸屑、痰迹，烟蒂等（包括绿地、绿化带等）应控制在每1000米（不足1000米取附近路段凑足，并按一条道路进行考核）少于15处的指标之内</w:t>
      </w:r>
      <w:r>
        <w:rPr>
          <w:rFonts w:hint="eastAsia" w:ascii="宋体" w:hAnsi="宋体" w:eastAsia="宋体" w:cs="宋体"/>
          <w:color w:val="auto"/>
          <w:sz w:val="22"/>
          <w:szCs w:val="22"/>
          <w:highlight w:val="none"/>
          <w:lang w:val="en-US" w:eastAsia="zh-CN"/>
        </w:rPr>
        <w:t>,滞留时间小于20分钟</w:t>
      </w:r>
      <w:r>
        <w:rPr>
          <w:rFonts w:hint="eastAsia" w:ascii="宋体" w:hAnsi="宋体" w:eastAsia="宋体" w:cs="宋体"/>
          <w:color w:val="auto"/>
          <w:sz w:val="22"/>
          <w:szCs w:val="22"/>
          <w:highlight w:val="none"/>
        </w:rPr>
        <w:t>。</w:t>
      </w:r>
    </w:p>
    <w:p>
      <w:pPr>
        <w:numPr>
          <w:ilvl w:val="0"/>
          <w:numId w:val="35"/>
        </w:numPr>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卫设施维护标准：废物箱（果壳箱、垃圾桶）垃圾收集车辆（含机动车和非机动车）垃圾坞一日一洗；果壳箱、垃圾坞等环卫设施无破损，无积垢，垃圾无外溢，废物箱及时清空，保证距垃圾分类收集容器0.5m外无臭味且周围2-3米内应无散落、存留垃圾及污水；垃圾容器封闭，无四害孳生，管理规范，做到日产日清。</w:t>
      </w:r>
    </w:p>
    <w:p>
      <w:pPr>
        <w:pStyle w:val="26"/>
        <w:spacing w:after="0" w:line="44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规范作业标准：保洁作业人员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5米；不得焚烧垃圾；垃圾运输实行密闭，不得超高运输和吊挂杂物；严禁作业人员擅自向责任区内单位收取各种费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及时处理各类交办件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上门收集一日三次、摇铃提示；及时处理各类交办件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已开展定时定点垃圾收运的道路，保洁人员应在规定时间内按规定分类收集，禁止混装混运。</w:t>
      </w:r>
    </w:p>
    <w:p>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机械清扫作业标准：道路路面应每天清洗和洒水，机扫3次/天，30℃以上洒水应不少于3次/天，冲洗1次/天。（气温低于3度以下要停止清洗和洒水）。机扫到边、到位效果明显，路面无垃圾、无积泥、无沙石；作业期间基本无扬尘、清扫途中无垃圾撒落；垃圾在指定地点倾倒，不得随意倾倒、偷到、乱到垃圾；严格按照范围、路线、时间进行机扫作业，不得随意变更。</w:t>
      </w:r>
    </w:p>
    <w:p>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道路冲洗作业标准：人行道包括侧石、花岗岩路面，平石实行人工冲刷，路面无积垢、无灰尘、无烟蒂、无果壳散落、无乱张贴乱涂写；机动车道为冲水路段，要求冲水后无灰尘、无烟蒂、无果壳等杂物散落；冲洗路面时如发现路面有垃圾应及时清理，洒水、冲洗等作业不少于标准要求。</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内部管理标准：一二级道路保洁单位要严格按照有关招投标文件、合同与相关承诺履行合同，切实保障标段道路环卫工人如实配置，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p>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八）应急工作标准：遇法定节假日、重大活动或突发事件，一二级道路保洁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（九）无主装潢垃圾清运标准：一二级道路要严格按照装潢垃圾处置管理规定，及时清理堆放的无主装潢垃圾。发现后须在24小时内进行清理。</w:t>
      </w:r>
    </w:p>
    <w:p>
      <w:pPr>
        <w:spacing w:line="440" w:lineRule="exact"/>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（十）垃圾分类收集清运标准：一二级道路要严格按照垃圾分类工作管理要求，对生活垃圾做到</w:t>
      </w:r>
      <w:r>
        <w:rPr>
          <w:rFonts w:hint="eastAsia" w:ascii="宋体" w:hAnsi="宋体" w:eastAsia="宋体" w:cs="宋体"/>
          <w:color w:val="auto"/>
          <w:kern w:val="0"/>
          <w:sz w:val="22"/>
          <w:szCs w:val="22"/>
          <w:highlight w:val="none"/>
          <w:lang w:val="en-US" w:eastAsia="zh-CN"/>
        </w:rPr>
        <w:t>定时定点、上门收集、分类运输（每天不少于3次）</w:t>
      </w:r>
      <w:r>
        <w:rPr>
          <w:rFonts w:hint="eastAsia" w:ascii="宋体" w:hAnsi="宋体" w:eastAsia="宋体" w:cs="宋体"/>
          <w:color w:val="auto"/>
          <w:kern w:val="0"/>
          <w:sz w:val="22"/>
          <w:szCs w:val="22"/>
          <w:highlight w:val="none"/>
        </w:rPr>
        <w:t>。</w:t>
      </w:r>
    </w:p>
    <w:p>
      <w:pPr>
        <w:pStyle w:val="2"/>
        <w:ind w:left="0" w:lef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（十一）交通护栏清洗不少于2次/周。要求隔离护栏下无明显淤（积）泥，没有成片垃圾和积水。</w:t>
      </w:r>
    </w:p>
    <w:p>
      <w:pPr>
        <w:spacing w:line="5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三四级道路（小区、</w:t>
      </w:r>
      <w:r>
        <w:rPr>
          <w:rFonts w:hint="eastAsia" w:ascii="宋体" w:hAnsi="宋体" w:eastAsia="宋体" w:cs="宋体"/>
          <w:b/>
          <w:bCs/>
          <w:color w:val="auto"/>
          <w:sz w:val="22"/>
          <w:szCs w:val="22"/>
          <w:highlight w:val="none"/>
          <w:lang w:val="en-US" w:eastAsia="zh-CN"/>
        </w:rPr>
        <w:t>社区、村</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作业质量标准</w:t>
      </w:r>
    </w:p>
    <w:p>
      <w:pPr>
        <w:numPr>
          <w:ilvl w:val="0"/>
          <w:numId w:val="36"/>
        </w:numPr>
        <w:spacing w:line="440" w:lineRule="exact"/>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绿化带作业标准：</w:t>
      </w:r>
      <w:r>
        <w:rPr>
          <w:rFonts w:hint="eastAsia" w:ascii="宋体" w:hAnsi="宋体" w:eastAsia="宋体" w:cs="宋体"/>
          <w:color w:val="auto"/>
          <w:kern w:val="0"/>
          <w:sz w:val="22"/>
          <w:szCs w:val="22"/>
          <w:highlight w:val="none"/>
          <w:lang w:eastAsia="zh-CN"/>
        </w:rPr>
        <w:t>三四级道路（小区）</w:t>
      </w:r>
      <w:r>
        <w:rPr>
          <w:rFonts w:hint="eastAsia" w:ascii="宋体" w:hAnsi="宋体" w:eastAsia="宋体" w:cs="宋体"/>
          <w:color w:val="auto"/>
          <w:kern w:val="0"/>
          <w:sz w:val="22"/>
          <w:szCs w:val="22"/>
          <w:highlight w:val="none"/>
        </w:rPr>
        <w:t>沿线绿化带（</w:t>
      </w:r>
      <w:r>
        <w:rPr>
          <w:rFonts w:hint="eastAsia" w:ascii="宋体" w:hAnsi="宋体" w:eastAsia="宋体" w:cs="宋体"/>
          <w:color w:val="auto"/>
          <w:kern w:val="0"/>
          <w:sz w:val="22"/>
          <w:szCs w:val="22"/>
          <w:highlight w:val="none"/>
          <w:lang w:val="en-US" w:eastAsia="zh-CN"/>
        </w:rPr>
        <w:t>含小区绿地</w:t>
      </w:r>
      <w:r>
        <w:rPr>
          <w:rFonts w:hint="eastAsia" w:ascii="宋体" w:hAnsi="宋体" w:eastAsia="宋体" w:cs="宋体"/>
          <w:color w:val="auto"/>
          <w:kern w:val="0"/>
          <w:sz w:val="22"/>
          <w:szCs w:val="22"/>
          <w:highlight w:val="none"/>
        </w:rPr>
        <w:t>）无垃圾堆放、无垃圾散落。</w:t>
      </w:r>
    </w:p>
    <w:p>
      <w:pPr>
        <w:numPr>
          <w:ilvl w:val="0"/>
          <w:numId w:val="36"/>
        </w:numPr>
        <w:spacing w:line="440" w:lineRule="exact"/>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普扫质量作业标准：</w:t>
      </w:r>
      <w:r>
        <w:rPr>
          <w:rFonts w:hint="eastAsia" w:ascii="宋体" w:hAnsi="宋体" w:eastAsia="宋体" w:cs="宋体"/>
          <w:color w:val="auto"/>
          <w:sz w:val="22"/>
          <w:szCs w:val="22"/>
          <w:highlight w:val="none"/>
          <w:lang w:eastAsia="zh-CN"/>
        </w:rPr>
        <w:t>三级道路</w:t>
      </w:r>
      <w:r>
        <w:rPr>
          <w:rFonts w:hint="eastAsia" w:ascii="宋体" w:hAnsi="宋体" w:eastAsia="宋体" w:cs="宋体"/>
          <w:color w:val="auto"/>
          <w:sz w:val="22"/>
          <w:szCs w:val="22"/>
          <w:highlight w:val="none"/>
        </w:rPr>
        <w:t>保洁时间</w:t>
      </w:r>
      <w:r>
        <w:rPr>
          <w:rFonts w:hint="eastAsia" w:ascii="宋体" w:hAnsi="宋体" w:eastAsia="宋体" w:cs="宋体"/>
          <w:color w:val="auto"/>
          <w:kern w:val="0"/>
          <w:sz w:val="22"/>
          <w:szCs w:val="22"/>
          <w:highlight w:val="none"/>
        </w:rPr>
        <w:t>每日不少于1</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小时（5：00～</w:t>
      </w:r>
      <w:r>
        <w:rPr>
          <w:rFonts w:hint="eastAsia" w:ascii="宋体" w:hAnsi="宋体" w:eastAsia="宋体" w:cs="宋体"/>
          <w:color w:val="auto"/>
          <w:kern w:val="0"/>
          <w:sz w:val="22"/>
          <w:szCs w:val="22"/>
          <w:highlight w:val="none"/>
          <w:lang w:val="en-US"/>
        </w:rPr>
        <w:t>19</w:t>
      </w:r>
      <w:r>
        <w:rPr>
          <w:rFonts w:hint="eastAsia" w:ascii="宋体" w:hAnsi="宋体" w:eastAsia="宋体" w:cs="宋体"/>
          <w:color w:val="auto"/>
          <w:kern w:val="0"/>
          <w:sz w:val="22"/>
          <w:szCs w:val="22"/>
          <w:highlight w:val="none"/>
        </w:rPr>
        <w:t>：00）</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sz w:val="22"/>
          <w:szCs w:val="22"/>
          <w:highlight w:val="none"/>
          <w:lang w:eastAsia="zh-CN"/>
        </w:rPr>
        <w:t>四级道路（小区）</w:t>
      </w:r>
      <w:r>
        <w:rPr>
          <w:rFonts w:hint="eastAsia" w:ascii="宋体" w:hAnsi="宋体" w:eastAsia="宋体" w:cs="宋体"/>
          <w:color w:val="auto"/>
          <w:sz w:val="22"/>
          <w:szCs w:val="22"/>
          <w:highlight w:val="none"/>
        </w:rPr>
        <w:t>保洁时间</w:t>
      </w:r>
      <w:r>
        <w:rPr>
          <w:rFonts w:hint="eastAsia" w:ascii="宋体" w:hAnsi="宋体" w:eastAsia="宋体" w:cs="宋体"/>
          <w:color w:val="auto"/>
          <w:kern w:val="0"/>
          <w:sz w:val="22"/>
          <w:szCs w:val="22"/>
          <w:highlight w:val="none"/>
        </w:rPr>
        <w:t>每日不少于1</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小时（5：00～</w:t>
      </w:r>
      <w:r>
        <w:rPr>
          <w:rFonts w:hint="eastAsia" w:ascii="宋体" w:hAnsi="宋体" w:eastAsia="宋体" w:cs="宋体"/>
          <w:color w:val="auto"/>
          <w:kern w:val="0"/>
          <w:sz w:val="22"/>
          <w:szCs w:val="22"/>
          <w:highlight w:val="none"/>
          <w:lang w:val="en-US"/>
        </w:rPr>
        <w:t>17</w:t>
      </w:r>
      <w:r>
        <w:rPr>
          <w:rFonts w:hint="eastAsia" w:ascii="宋体" w:hAnsi="宋体" w:eastAsia="宋体" w:cs="宋体"/>
          <w:color w:val="auto"/>
          <w:kern w:val="0"/>
          <w:sz w:val="22"/>
          <w:szCs w:val="22"/>
          <w:highlight w:val="none"/>
        </w:rPr>
        <w:t>：00），</w:t>
      </w:r>
      <w:r>
        <w:rPr>
          <w:rFonts w:hint="eastAsia" w:ascii="宋体" w:hAnsi="宋体" w:eastAsia="宋体" w:cs="宋体"/>
          <w:color w:val="auto"/>
          <w:sz w:val="22"/>
          <w:szCs w:val="22"/>
          <w:highlight w:val="none"/>
        </w:rPr>
        <w:t>普扫作业</w:t>
      </w:r>
      <w:r>
        <w:rPr>
          <w:rFonts w:hint="eastAsia" w:ascii="宋体" w:hAnsi="宋体" w:eastAsia="宋体" w:cs="宋体"/>
          <w:color w:val="auto"/>
          <w:kern w:val="0"/>
          <w:sz w:val="22"/>
          <w:szCs w:val="22"/>
          <w:highlight w:val="none"/>
        </w:rPr>
        <w:t>每日不少于3次，第一次普扫应在6：00前完成，第二次普扫在13：00前完成，第三次普扫在17：00前完成。</w:t>
      </w:r>
    </w:p>
    <w:p>
      <w:pPr>
        <w:numPr>
          <w:ilvl w:val="0"/>
          <w:numId w:val="36"/>
        </w:numPr>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态保洁作业标准：路面见本色，达到无积泥沙、无积污水、边角侧石干净、无垃圾堆、无明显杂草、无袋装垃圾、无乱涂写乱张贴等。在动态保洁时间内，果皮果壳、纸屑、痰迹，烟蒂等（包括绿地、绿化带等）应控制在每500米（少于500取附近路段凑足，并按一条道路进行考核）少于7处的指标之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滞留时间小于25分钟</w:t>
      </w:r>
      <w:r>
        <w:rPr>
          <w:rFonts w:hint="eastAsia" w:ascii="宋体" w:hAnsi="宋体" w:eastAsia="宋体" w:cs="宋体"/>
          <w:color w:val="auto"/>
          <w:sz w:val="22"/>
          <w:szCs w:val="22"/>
          <w:highlight w:val="none"/>
        </w:rPr>
        <w:t>。</w:t>
      </w:r>
    </w:p>
    <w:p>
      <w:pPr>
        <w:numPr>
          <w:ilvl w:val="0"/>
          <w:numId w:val="36"/>
        </w:numPr>
        <w:spacing w:line="44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卫设施维护标准：废物箱（果壳箱、垃圾桶）、垃圾收集车辆（含机动车和非机动车）、垃圾坞一日一洗；环卫设施无破损，垃圾无外溢，及时清空；分类收集容器0.5m外无臭味且周围2-3米内应无散落、存留垃圾及污水。垃圾容器封闭无四害孳生，管理规范，做到日产日清。分类容器按规定正确摆放。</w:t>
      </w:r>
    </w:p>
    <w:p>
      <w:pPr>
        <w:numPr>
          <w:ilvl w:val="0"/>
          <w:numId w:val="36"/>
        </w:numPr>
        <w:spacing w:line="440" w:lineRule="exact"/>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规范作业标准：保洁作业人员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5米；不得焚烧垃圾；垃圾运输实行密闭，不得超高运输和吊挂杂物；严禁作业人员擅自向责任区内单位收取各种费用；及时处理各类交办件；保洁作业人员应按规定进行分类收集、运输，禁止混装混运，同时确保保洁车无污水滴洒漏。</w:t>
      </w:r>
    </w:p>
    <w:p>
      <w:pPr>
        <w:numPr>
          <w:ilvl w:val="0"/>
          <w:numId w:val="36"/>
        </w:numPr>
        <w:spacing w:line="440" w:lineRule="exact"/>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内部管理标准：</w:t>
      </w:r>
      <w:r>
        <w:rPr>
          <w:rFonts w:hint="eastAsia" w:ascii="宋体" w:hAnsi="宋体" w:eastAsia="宋体" w:cs="宋体"/>
          <w:color w:val="auto"/>
          <w:kern w:val="0"/>
          <w:sz w:val="22"/>
          <w:szCs w:val="22"/>
          <w:highlight w:val="none"/>
          <w:lang w:eastAsia="zh-CN"/>
        </w:rPr>
        <w:t>三四级道路（小区）</w:t>
      </w:r>
      <w:r>
        <w:rPr>
          <w:rFonts w:hint="eastAsia" w:ascii="宋体" w:hAnsi="宋体" w:eastAsia="宋体" w:cs="宋体"/>
          <w:color w:val="auto"/>
          <w:kern w:val="0"/>
          <w:sz w:val="22"/>
          <w:szCs w:val="22"/>
          <w:highlight w:val="none"/>
        </w:rPr>
        <w:t>保洁单位要严格按照有关招投标文件、合同与相关承诺履行合同，切实保障标段道路环卫工人如实配置，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p>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（七）应急工作标准：遇法定节假日、重大活动或突发事件，</w:t>
      </w:r>
      <w:r>
        <w:rPr>
          <w:rFonts w:hint="eastAsia" w:ascii="宋体" w:hAnsi="宋体" w:eastAsia="宋体" w:cs="宋体"/>
          <w:color w:val="auto"/>
          <w:kern w:val="0"/>
          <w:sz w:val="22"/>
          <w:szCs w:val="22"/>
          <w:highlight w:val="none"/>
          <w:lang w:eastAsia="zh-CN"/>
        </w:rPr>
        <w:t>三四级道路（小区）</w:t>
      </w:r>
      <w:r>
        <w:rPr>
          <w:rFonts w:hint="eastAsia" w:ascii="宋体" w:hAnsi="宋体" w:eastAsia="宋体" w:cs="宋体"/>
          <w:color w:val="auto"/>
          <w:kern w:val="0"/>
          <w:sz w:val="22"/>
          <w:szCs w:val="22"/>
          <w:highlight w:val="none"/>
        </w:rPr>
        <w:t>保洁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（八）无主装潢垃圾清运标准：</w:t>
      </w:r>
      <w:r>
        <w:rPr>
          <w:rFonts w:hint="eastAsia" w:ascii="宋体" w:hAnsi="宋体" w:eastAsia="宋体" w:cs="宋体"/>
          <w:color w:val="auto"/>
          <w:kern w:val="0"/>
          <w:sz w:val="22"/>
          <w:szCs w:val="22"/>
          <w:highlight w:val="none"/>
          <w:lang w:eastAsia="zh-CN"/>
        </w:rPr>
        <w:t>三四级道路（小区）</w:t>
      </w:r>
      <w:r>
        <w:rPr>
          <w:rFonts w:hint="eastAsia" w:ascii="宋体" w:hAnsi="宋体" w:eastAsia="宋体" w:cs="宋体"/>
          <w:color w:val="auto"/>
          <w:kern w:val="0"/>
          <w:sz w:val="22"/>
          <w:szCs w:val="22"/>
          <w:highlight w:val="none"/>
        </w:rPr>
        <w:t>要严格按照装潢垃圾处置管理规定，及时清理堆放的无主装潢垃圾。发现后须在24小时内进行清理。</w:t>
      </w:r>
    </w:p>
    <w:p>
      <w:pPr>
        <w:spacing w:line="440" w:lineRule="exact"/>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（九）垃圾分类收集清运标准：</w:t>
      </w:r>
      <w:r>
        <w:rPr>
          <w:rFonts w:hint="eastAsia" w:ascii="宋体" w:hAnsi="宋体" w:eastAsia="宋体" w:cs="宋体"/>
          <w:color w:val="auto"/>
          <w:kern w:val="0"/>
          <w:sz w:val="22"/>
          <w:szCs w:val="22"/>
          <w:highlight w:val="none"/>
          <w:lang w:eastAsia="zh-CN"/>
        </w:rPr>
        <w:t>三四级道路（小区）</w:t>
      </w:r>
      <w:r>
        <w:rPr>
          <w:rFonts w:hint="eastAsia" w:ascii="宋体" w:hAnsi="宋体" w:eastAsia="宋体" w:cs="宋体"/>
          <w:color w:val="auto"/>
          <w:kern w:val="0"/>
          <w:sz w:val="22"/>
          <w:szCs w:val="22"/>
          <w:highlight w:val="none"/>
        </w:rPr>
        <w:t>要严格按照垃圾分类工作管理要求，对生活垃圾做到分类收集、分类运输</w:t>
      </w:r>
      <w:r>
        <w:rPr>
          <w:rFonts w:hint="eastAsia" w:ascii="宋体" w:hAnsi="宋体" w:eastAsia="宋体" w:cs="宋体"/>
          <w:color w:val="auto"/>
          <w:kern w:val="0"/>
          <w:sz w:val="22"/>
          <w:szCs w:val="22"/>
          <w:highlight w:val="none"/>
          <w:lang w:val="en-US" w:eastAsia="zh-CN"/>
        </w:rPr>
        <w:t>（每天不少于2次）</w:t>
      </w:r>
      <w:r>
        <w:rPr>
          <w:rFonts w:hint="eastAsia" w:ascii="宋体" w:hAnsi="宋体" w:eastAsia="宋体" w:cs="宋体"/>
          <w:color w:val="auto"/>
          <w:kern w:val="0"/>
          <w:sz w:val="22"/>
          <w:szCs w:val="22"/>
          <w:highlight w:val="none"/>
        </w:rPr>
        <w:t>。</w:t>
      </w:r>
    </w:p>
    <w:p>
      <w:pPr>
        <w:pStyle w:val="2"/>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（十）交通护栏清洗不少于2次/周。要求隔离护栏下无明显淤（积）泥，没有成片垃圾和积水。</w:t>
      </w:r>
    </w:p>
    <w:p>
      <w:pPr>
        <w:spacing w:line="5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道路机械清扫保洁作业质量标准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（一）作业人员按规定着装、文明行车；作业时使用文明礼貌用语；作业时经过人行道、公交车站、学校或医院门口等人口密集的地方需注意避让行人。</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（二）作业人员需严格遵守交通法规，不闯红灯、不随意变更车道、系好安全带等；不得酒驾醉驾；发现车辆故障应及时报修；发生交通事故或车辆故障，应及时开启双跳警示灯，并放置三角警示牌。</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（三）作业人员工作时间内应认真完成所属作业路线的清扫，不得从事与本岗位无关的事，不得中途擅自脱岗、离岗；接到上级主管部门下达的临时性道路清扫保洁作业任务时需在1小时内到达指定路段作业。</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道路清扫保洁作业方式为“一日三扫”：保洁作业时间为每日4：00—7：00；8：00—13：00；13:00—16:00；作业时确保机扫到边、到位效果明显、路面无垃圾、无积泥、无沙石；作业时车速不超过15KM/h（以GPS数据为准）；在非作业路段行驶时作业人员需遵守城市道路交通限速规定。</w:t>
      </w:r>
      <w:r>
        <w:rPr>
          <w:rFonts w:hint="eastAsia" w:ascii="宋体" w:hAnsi="宋体" w:eastAsia="宋体" w:cs="宋体"/>
          <w:color w:val="auto"/>
          <w:sz w:val="22"/>
          <w:szCs w:val="22"/>
          <w:highlight w:val="none"/>
        </w:rPr>
        <w:t>严格按照范围、路线、时间、次数进行机扫作业，不得随意变更。结合防尘、降尘需求，可适当将洒水调整为雾炮作业。</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（五）出车前需做好车辆检查工作，禁止带故障运行。检查内容包括轮胎气压是否正常,水箱水是否足够,前后发动机机油液面、液压油液面、制动油液面是否在标准区域等。</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（六）清扫车作业时应喷水压尘，扫盘应下放到位清扫；作业期间基本无扬尘，清扫途中无垃圾撒落；垃圾在指定地点倾倒，不得随意倾倒、偷倒、乱倒垃圾。</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（七）清扫车需严格按照范围、路线、时间进行机扫作业，不得随意变更；安装全球卫星定位系统（GPS），上路作业时，必须打开全球卫星定位系统（GPS）。</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（八）道路清扫车需要在指定上水点上水，加水时关闭发动机、副机；上水后，水箱饱满、无盈溢；清扫车主刷、边刷长度小于10厘米时须及时更换。</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（九）作业车辆需保持车容整洁，专用标志清晰完整，专用设备、警示灯和指示板齐全灵敏有效、无残缺；作业时应开启警示灯和提示音乐（早7点前、晚10点后只开警示灯，禁放提示音乐）。</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（十）归队后应及时关闭电源总开关以及车辆的所有灯光。</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（十一）出现以下天气情况暂停道路清扫保洁作业：五级（含）以上大风天气；中雨（含）以上降水天气。以当日开始作业时天气情况为准。</w:t>
      </w:r>
    </w:p>
    <w:p>
      <w:pPr>
        <w:rPr>
          <w:rFonts w:hint="eastAsia" w:ascii="宋体" w:hAnsi="宋体" w:eastAsia="宋体" w:cs="宋体"/>
          <w:color w:val="auto"/>
          <w:sz w:val="22"/>
          <w:szCs w:val="22"/>
          <w:highlight w:val="none"/>
        </w:rPr>
      </w:pPr>
    </w:p>
    <w:p>
      <w:pPr>
        <w:spacing w:line="5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道路冲洗作业质量标准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（一）作业车辆出车前要对车辆进行全面检查，确认车辆无故障后方可上路，禁止带故障运行。</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（二）作业车辆必须安装全球卫星定位系统（GPS），上路作业时，必须打开全球卫星定位系统（GPS）和警示灯</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环卫作业车辆车尾应设置荧光示宽标识（或警示灯）。夜间作业时或雨雾天气等能见度较低时，必须启用警 示灯光。环卫电动作业车辆、保洁车等小型作业车辆车身设 置荧光条，车后部或车顶设置警示灯。</w:t>
      </w:r>
      <w:r>
        <w:rPr>
          <w:rFonts w:hint="eastAsia" w:ascii="宋体" w:hAnsi="宋体" w:eastAsia="宋体" w:cs="宋体"/>
          <w:color w:val="auto"/>
          <w:kern w:val="0"/>
          <w:sz w:val="22"/>
          <w:szCs w:val="22"/>
          <w:highlight w:val="none"/>
        </w:rPr>
        <w:t>要遵守道路交通安全法规，礼让行车，注意行人安全</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环卫作业车辆禁止停放在消防通道、公交车站、 盲道等影响车辆和行人通行的公共通道。</w:t>
      </w:r>
      <w:r>
        <w:rPr>
          <w:rFonts w:hint="eastAsia" w:ascii="宋体" w:hAnsi="宋体" w:eastAsia="宋体" w:cs="宋体"/>
          <w:color w:val="auto"/>
          <w:kern w:val="0"/>
          <w:sz w:val="22"/>
          <w:szCs w:val="22"/>
          <w:highlight w:val="none"/>
        </w:rPr>
        <w:t>严格按照范围、路线、时间、次数、车速进行作业，不得随意变更。</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（三）作业时应开启警示灯和提示音乐（早7点前、晚10点后只开警示灯，禁放提示音乐）。</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作业时应适当控制水压，人行道侧喷嘴需采用鸭嘴式喷头。作业区域内行车速度不得超过15公里/小时，非作业区域内应遵守城市道路交通限速规定，经过公交车站头、学校、医院等人流密集的地方需降低车速，避免将水溅到行人。机动车道为冲水路段，要求作业后无积水、无灰尘、无烟蒂、无果壳散落；人行道 (包括侧石、花岗岩路面)实行人工药水冲刷，彩砖地面不得使用破坏釉面的药水。</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道路冲洗时间一般安排在晚上或清晨（村主要道路每周最少1次冲洗），避开道路早晚高峰。气温3-30℃，路面冲洗每周不少于3次，路面洒水每天不少于3次；气温30℃以上时，路面洒水每天不少于4次；气温低于3℃停止冲洗和洒水。</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根据不同作业需要，按规定使用前后警示灯。在系统运转时，水位报警开关必须打开，以便及时报警。加水时要到指定地点加水，严禁浪费水源，加水后必须关闭阀门。司机在倒车时要照顾前后车辆，保证安全。</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作业完毕后将前喷机构收回原始位置，对车辆进行清洗和日常保养、加油、填路单，有故障及时报修，保证次日的正常用车。冬季作业完毕后，把全车各截门打开放净水，防止冻裂截门。当出现白天最高气温低于3摄氏度或雨水天气时，停止道路冲洗、喷雾压尘作业。</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（八）各地各标段投入项目的机械车辆需实行专车专 用，未经许可，不可用于其它项目的道路保洁清扫。</w:t>
      </w:r>
    </w:p>
    <w:p>
      <w:pPr>
        <w:rPr>
          <w:rFonts w:hint="eastAsia" w:ascii="宋体" w:hAnsi="宋体" w:eastAsia="宋体" w:cs="宋体"/>
          <w:color w:val="auto"/>
          <w:sz w:val="22"/>
          <w:szCs w:val="22"/>
          <w:highlight w:val="none"/>
        </w:rPr>
      </w:pPr>
    </w:p>
    <w:p>
      <w:pPr>
        <w:spacing w:line="5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公厕管养作业质量标准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一、公厕面向社会实行</w:t>
      </w:r>
      <w:r>
        <w:rPr>
          <w:rFonts w:hint="eastAsia" w:ascii="宋体" w:hAnsi="宋体" w:eastAsia="宋体" w:cs="宋体"/>
          <w:color w:val="auto"/>
          <w:kern w:val="0"/>
          <w:sz w:val="22"/>
          <w:szCs w:val="22"/>
          <w:highlight w:val="none"/>
          <w:lang w:val="en-US" w:eastAsia="zh-CN"/>
        </w:rPr>
        <w:t>全天24小时</w:t>
      </w:r>
      <w:r>
        <w:rPr>
          <w:rFonts w:hint="eastAsia" w:ascii="宋体" w:hAnsi="宋体" w:eastAsia="宋体" w:cs="宋体"/>
          <w:color w:val="auto"/>
          <w:kern w:val="0"/>
          <w:sz w:val="22"/>
          <w:szCs w:val="22"/>
          <w:highlight w:val="none"/>
        </w:rPr>
        <w:t>免费开放，</w:t>
      </w:r>
      <w:r>
        <w:rPr>
          <w:rFonts w:hint="eastAsia" w:ascii="宋体" w:hAnsi="宋体" w:eastAsia="宋体" w:cs="宋体"/>
          <w:color w:val="auto"/>
          <w:kern w:val="0"/>
          <w:sz w:val="22"/>
          <w:szCs w:val="22"/>
          <w:highlight w:val="none"/>
          <w:lang w:val="en-US" w:eastAsia="zh-CN"/>
        </w:rPr>
        <w:t>保洁时间每日不少于16小时，</w:t>
      </w:r>
      <w:r>
        <w:rPr>
          <w:rFonts w:hint="eastAsia" w:ascii="宋体" w:hAnsi="宋体" w:eastAsia="宋体" w:cs="宋体"/>
          <w:color w:val="auto"/>
          <w:kern w:val="0"/>
          <w:sz w:val="22"/>
          <w:szCs w:val="22"/>
          <w:highlight w:val="none"/>
        </w:rPr>
        <w:t>不得销售任何商品。</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二、公厕实行专人管理负责制，管理人员做到统一着装，佩证上岗，文明服务，严禁从事与公厕管理无关的经营活动。</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三、公厕管理的各项规章制度、服务承诺开放时间和监督电话等应上墙，公厕标牌、男女标识牌、无障碍设施标识牌等各类标识牌设置规范、醒目，保持标识牌整洁和完好。</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四、按照规定时间开放，管理人员需按时到岗，定时清洗，不间断保洁，在规定保洁时间内严禁出现脱岗现象及从事与工作无关的事项。</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五、公厕保洁要达到“十净、六无、一整洁”标准：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十净：地面净、墙壁净、蹲位净、门窗净、隔板净、便池净、洁具净、灯具净、天花板净、周围环境净；</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六无：蹲坑便斗无杂物，厕内外无乱写、乱画、乱堆乱放，定期消毒无蝇蛆，厕内无明显臭味，上水通畅、下水无堵塞，厕内无灰网；</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一整洁：管理间、工具间保持干净整洁，保洁工具有序摆放在规定位置。</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六、公厕内采光、用水、照明和通风良好，感观舒适，无恶臭气味，夜间照明应正常使用。严禁在公厕内寄养宠物、种植蔬菜。</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七、公厕外环境（有绿化带的以绿化带外围为界限，无绿化带的外墙起4米范围内）整洁有序，无垃圾、无粪便、无晾晒衣物、无杂物堆放，外墙干净，保洁工具放置整齐。</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公厕排污管道保持畅通，不堵塞，不破损，不满溢；化粪池通风口不堵塞，通风口处无杂物堆放；排污设施性能良好，无破损、无渗漏、无外溢。管理人员做好公厕化粪池清理、疏通记录，防止发生满溢现象。</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九、做好公厕消杀工作，消杀期内（4—10月）定时对公厕内外进行消杀，非消杀期内视情况做好消杀工作，有效控制蚊、蝇、蛆等孳生。</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十、公厕开放时间内用水、用电系统应正常启用。做好用水、用电安全和节约工作，严禁私拉、外接电线、水管。严禁在公厕内使用明火灶具或电炉等具有安全隐患的高功率电器。</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十一、做好公厕内设备和设施的使用、维护和管理，确保水通、灯明、设施完好。管理人员要经常清洁，及时报修，修复后方能使用。</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十二、无障碍通道须保持畅通，扶手完好、牢固。无障碍专用间按时间正常开放使用，不得摆放杂物，卫生洁具及辅助设施完好。</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十三、做好防火、防盗、防电以及人身意外安全事故的防范措施，如发现故意破坏公共设施者，及时向有关领导或当地公安部门报告处理。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十四、入厕人员应遵守社会公德，爱护公共设施，保持公厕整洁卫生，严禁随地吐痰、便溺，乱扔烟头、纸屑，更不得乱刻乱画，张贴非法广告。管理人员要加强责任心，及时纠正入厕人员各种不文明行为。</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十五、公厕管理人员应规范管理、文明服务，接受社会各界监督，不得阻扰检查监督人员正常工作。</w:t>
      </w:r>
    </w:p>
    <w:p>
      <w:pPr>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小广告清除作业标准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（一）标准适用道路、社区和村内地面、墙壁、卷帘门、楼道和公配设施，按照各级道路和各类区域作业时间要求做好小广告清除覆盖工作。</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永久层光面类基底例样有：光面类大理石面（立墙面、台阶、立柱）；釉面（光、亚光）瓷砖（立墙面、台阶）；玻璃立面（落地玻璃门窗）；无漆面铁板面、不锈钢板面（卷闸门、车站台）；塑料板面（广告灯箱、候车厅、商厅）；光面水泥墙面（围墙等）。清除后的基底表面及勾缝处均无任何附着油漆、色彩痕迹及残留物，表面无划痕，不失原有光泽，与周边基底基本一致。</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油漆表面类基底例样有：塑铝板面（门面、外墙装饰面、广告招牌）；油漆面（城市家具、油漆面卷闸门、围挡）。清除后的基底表面及勾缝处均无任何附着油漆、色彩痕迹及残留物，表面无划痕，漆面无脱落，不失原有光泽，与周边基底完全一致。</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粗糙（毛）面类基底例样有：毛面大理石（墙面）；毛面花岗岩（路基面）；不规则文化石、青石面（墙面）；易渗入光面大理石面及抛光瓷砖面（墙面）；毛面外墙砖面（墙面）；红（黄）毛砖面（墙面、地面）。清除后的基底表面及勾缝处均无任何附着油漆、色彩痕迹及残留物，表面无划痕，不失原有光泽，新旧程度与周边基底顺应。</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涂料面类基底例样主要以各种颜色外墙乳胶为主的墙面。清除后基底表面无任何附着油漆、色彩痕迹及残留物，如采用覆盖物，其膜层厚不得大于0.3mm，且色彩及新旧程度与周边基底一致，色彩偏差伟±2°。</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（六）水刷石面类基底例样有：水刷石墙面；真实漆喷涂墙面。清除后的基底表面及勾缝处均无任何附着油漆、色彩痕迹及残留物，原覆盖物应清除彻底，突出体现保持原色，新旧程度与周边基底一致。</w:t>
      </w:r>
    </w:p>
    <w:p>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（七）广告布类基底上小广告清除后的基底无附着油漆及色彩基底画面不被破坏，应保持原状，露白处理时花型应与整体配套、和谐。</w:t>
      </w:r>
    </w:p>
    <w:p>
      <w:pPr>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绿化带</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绿地</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作业质量标准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（一）绿化带保洁一般进行人工保洁，作业时间与道路巡扫时间一致。</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（二）保洁人员进行保洁作业时需穿环卫工作服，进行国道、省道等公路绿化带保洁作业时还需穿反光服，并做好警示标志。</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（三）清理过程中需面向来车方方向并注意过往车辆，作业时不得践踏绿化带内植被。</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（四）仔细清扫草地上的果皮、纸屑、石块等垃圾；仔细清理路旁绿地、绿化隔高带、行道树穴、井内的积存垃圾和人畜粪便等。</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（五）对烟头、棉签、小石子、纸屑等无法打扫的小杂物，需用手或小夹子检到垃圾斗内。</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（六）清理绿篱下的枯枝落叶时注意不要破坏绿化植物。</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（七）注意卫生死角、垃圾散落等问题，部分绿化地段所存在的卫生死角及管理难点应作为严管对象，作业时可适当增派人手，加强巡回保洁，确保责任区卫生状况良好。</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（八）在进行清扫作业中，所带的工具必须跟人走，不得将工具遗留在一边无人看管。</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治理污染源头，发现市民有乱抛垃圾、随地吐痰等不文明行为时，应予以劝阻；发现市民有乱张贴、乱涂画行为时应及时制止并向上级报告；发现有工程车洒漏淤泥、偷倒淤泥时应首先记下车牌号码并立即向有关部门报告。</w:t>
      </w:r>
    </w:p>
    <w:p>
      <w:pPr>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定时定点、</w:t>
      </w:r>
      <w:r>
        <w:rPr>
          <w:rFonts w:hint="eastAsia" w:ascii="宋体" w:hAnsi="宋体" w:eastAsia="宋体" w:cs="宋体"/>
          <w:b/>
          <w:color w:val="auto"/>
          <w:sz w:val="22"/>
          <w:szCs w:val="22"/>
          <w:highlight w:val="none"/>
        </w:rPr>
        <w:t>分类收集、</w:t>
      </w:r>
      <w:r>
        <w:rPr>
          <w:rFonts w:hint="eastAsia" w:ascii="宋体" w:hAnsi="宋体" w:eastAsia="宋体" w:cs="宋体"/>
          <w:b/>
          <w:color w:val="auto"/>
          <w:sz w:val="22"/>
          <w:szCs w:val="22"/>
          <w:highlight w:val="none"/>
          <w:lang w:val="en-US" w:eastAsia="zh-CN"/>
        </w:rPr>
        <w:t>分类</w:t>
      </w:r>
      <w:r>
        <w:rPr>
          <w:rFonts w:hint="eastAsia" w:ascii="宋体" w:hAnsi="宋体" w:eastAsia="宋体" w:cs="宋体"/>
          <w:b/>
          <w:color w:val="auto"/>
          <w:sz w:val="22"/>
          <w:szCs w:val="22"/>
          <w:highlight w:val="none"/>
        </w:rPr>
        <w:t>运输作业质量标准</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（一）根据《浙江省生活垃圾分类标准》要求，生活垃圾中不同的类别应当进行分类收集、运输。</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（二）按照CJJ205《生活垃圾收集运输技术规程》的规定分类配置生活垃圾收集、运输车辆（含备用车辆），并按照规定进行涂装，在明显位置标明装载垃圾的对应分类标志和颜色；</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w:t>
      </w:r>
      <w:r>
        <w:rPr>
          <w:rFonts w:hint="eastAsia" w:ascii="宋体" w:hAnsi="宋体" w:eastAsia="宋体" w:cs="宋体"/>
          <w:color w:val="auto"/>
          <w:kern w:val="0"/>
          <w:sz w:val="22"/>
          <w:szCs w:val="22"/>
          <w:highlight w:val="none"/>
          <w:lang w:val="en-US" w:eastAsia="zh-CN"/>
        </w:rPr>
        <w:t>有害垃圾、</w:t>
      </w:r>
      <w:r>
        <w:rPr>
          <w:rFonts w:hint="eastAsia" w:ascii="宋体" w:hAnsi="宋体" w:eastAsia="宋体" w:cs="宋体"/>
          <w:color w:val="auto"/>
          <w:kern w:val="0"/>
          <w:sz w:val="22"/>
          <w:szCs w:val="22"/>
          <w:highlight w:val="none"/>
        </w:rPr>
        <w:t>大件垃圾、园林垃圾和装修垃圾应</w:t>
      </w:r>
      <w:r>
        <w:rPr>
          <w:rFonts w:hint="eastAsia" w:ascii="宋体" w:hAnsi="宋体" w:eastAsia="宋体" w:cs="宋体"/>
          <w:color w:val="auto"/>
          <w:kern w:val="0"/>
          <w:sz w:val="22"/>
          <w:szCs w:val="22"/>
          <w:highlight w:val="none"/>
          <w:lang w:val="en-US" w:eastAsia="zh-CN"/>
        </w:rPr>
        <w:t>根据相关规定进行分类运输</w:t>
      </w:r>
      <w:r>
        <w:rPr>
          <w:rFonts w:hint="eastAsia" w:ascii="宋体" w:hAnsi="宋体" w:eastAsia="宋体" w:cs="宋体"/>
          <w:color w:val="auto"/>
          <w:kern w:val="0"/>
          <w:sz w:val="22"/>
          <w:szCs w:val="22"/>
          <w:highlight w:val="none"/>
        </w:rPr>
        <w:t>。</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）分类收集、运输车辆应确保车身整洁、标志与车牌完整清晰，车体外部无污物、灰垢，不得拖挂、遗撒、丢弃生活垃圾和滴漏污水；每天应对车辆进行全面清洗。</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五</w:t>
      </w:r>
      <w:r>
        <w:rPr>
          <w:rFonts w:hint="eastAsia" w:ascii="宋体" w:hAnsi="宋体" w:eastAsia="宋体" w:cs="宋体"/>
          <w:color w:val="auto"/>
          <w:kern w:val="0"/>
          <w:sz w:val="22"/>
          <w:szCs w:val="22"/>
          <w:highlight w:val="none"/>
        </w:rPr>
        <w:t>）分类收集、运输车辆须严格遵守交通法规；确保行车安全，行经居住区等人员集中区域是，应当减速通行，非特殊情况不得鸣笛。</w:t>
      </w:r>
    </w:p>
    <w:p>
      <w:pPr>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六</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居民小区的大件垃圾要实行上门收集或预约服务。垃圾分类运输频次要根据垃圾产生的量以及投放时间科学合理安排，不得出现垃圾满溢、垃圾落地。</w:t>
      </w:r>
    </w:p>
    <w:p>
      <w:pPr>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（七）分类容器、分类收集车、分类收集点、多功能垃圾房要实行一日一洗。</w:t>
      </w:r>
    </w:p>
    <w:p>
      <w:pPr>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（八）主要道路的店铺，必须摇铃提示，定时上门分类收集。</w:t>
      </w:r>
    </w:p>
    <w:p>
      <w:pPr>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（九）小区垃圾按照分类运输要求，运输至指定的转运点进行转运。</w:t>
      </w:r>
      <w:r>
        <w:rPr>
          <w:rFonts w:hint="eastAsia" w:ascii="宋体" w:hAnsi="宋体" w:eastAsia="宋体" w:cs="宋体"/>
          <w:color w:val="auto"/>
          <w:kern w:val="0"/>
          <w:sz w:val="22"/>
          <w:szCs w:val="22"/>
          <w:highlight w:val="none"/>
          <w:lang w:val="en-US" w:eastAsia="zh-CN" w:bidi="ar-SA"/>
        </w:rPr>
        <w:t>如小区实行直运或以桶换桶的运输模式的，根据有关规定执行。</w:t>
      </w:r>
    </w:p>
    <w:p>
      <w:pPr>
        <w:pStyle w:val="849"/>
        <w:numPr>
          <w:ilvl w:val="0"/>
          <w:numId w:val="0"/>
        </w:numPr>
        <w:ind w:left="0"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（十）在垃圾分类的过程中，由于工作原因需要调整收集、运输模式的，中标单位必须无条件接受配合。</w:t>
      </w:r>
    </w:p>
    <w:p>
      <w:pPr>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其他要求</w:t>
      </w:r>
    </w:p>
    <w:p>
      <w:pPr>
        <w:pStyle w:val="849"/>
        <w:numPr>
          <w:ilvl w:val="0"/>
          <w:numId w:val="0"/>
        </w:numPr>
        <w:spacing w:line="440" w:lineRule="exact"/>
        <w:ind w:left="0"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（一）遇法定节假日、重大活动或突发事件，及时组织力量做好清扫保洁等保障工作并制定应急预案。</w:t>
      </w:r>
    </w:p>
    <w:p>
      <w:pPr>
        <w:pStyle w:val="849"/>
        <w:numPr>
          <w:ilvl w:val="0"/>
          <w:numId w:val="0"/>
        </w:numPr>
        <w:spacing w:line="440" w:lineRule="exact"/>
        <w:ind w:left="0"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特殊情况下遇有重大活动或抗台、暴雨等突发事件，乙方除应及时做好管辖地段清扫保洁保障工作外，还应服从甲方的统一指挥和调动参加抢险救灾工作，人员必须及时到位（需要集中时的具体位置另行通知）并根据应急命令决定早到和离岗。</w:t>
      </w:r>
    </w:p>
    <w:p>
      <w:pPr>
        <w:pStyle w:val="849"/>
        <w:numPr>
          <w:ilvl w:val="0"/>
          <w:numId w:val="0"/>
        </w:numPr>
        <w:spacing w:line="440" w:lineRule="exact"/>
        <w:ind w:left="0"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(二) 环卫工人配置、工人工资、福利待遇等保障和机具配置工作。</w:t>
      </w:r>
    </w:p>
    <w:p>
      <w:pPr>
        <w:pStyle w:val="849"/>
        <w:numPr>
          <w:ilvl w:val="0"/>
          <w:numId w:val="0"/>
        </w:numPr>
        <w:spacing w:line="440" w:lineRule="exact"/>
        <w:ind w:left="0"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供应商要严格按照招投标文件、合同、相关承诺，对道路环卫工人进行配置，保证环卫工人的工资、福利和待遇，确保环卫工人的各类合法权益不受侵害。同时要确保规定或承诺的机具配置方案，足额到位。采购人将通过随机抽查、政策询问、查看企业相关台账等途径，进行监管，如发现有违反合同承诺要求或违反相关规定的，经查实的，根据规定进行处罚，情节特别严重的采购人有权终止合同。</w:t>
      </w:r>
    </w:p>
    <w:p>
      <w:pPr>
        <w:pStyle w:val="3"/>
        <w:spacing w:line="400" w:lineRule="exact"/>
        <w:ind w:left="316" w:hanging="316" w:hangingChars="1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七</w:t>
      </w:r>
      <w:r>
        <w:rPr>
          <w:rFonts w:hint="eastAsia" w:ascii="宋体" w:hAnsi="宋体" w:eastAsia="宋体" w:cs="宋体"/>
          <w:b/>
          <w:color w:val="auto"/>
          <w:sz w:val="22"/>
          <w:szCs w:val="22"/>
          <w:highlight w:val="none"/>
        </w:rPr>
        <w:t>、现场条件</w:t>
      </w:r>
    </w:p>
    <w:p>
      <w:pPr>
        <w:spacing w:line="400" w:lineRule="exact"/>
        <w:ind w:left="310" w:leftChars="104" w:hanging="92" w:hangingChars="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1、此次招标所涉及的人员住房</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停车场地</w:t>
      </w:r>
      <w:r>
        <w:rPr>
          <w:rFonts w:hint="eastAsia" w:ascii="宋体" w:hAnsi="宋体" w:eastAsia="宋体" w:cs="宋体"/>
          <w:color w:val="auto"/>
          <w:sz w:val="22"/>
          <w:szCs w:val="22"/>
          <w:highlight w:val="none"/>
        </w:rPr>
        <w:t>和作业工具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除招标人提供以外的不足部分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均由承包单位自行负责解决，如承包单位存在困难可与发包方进行协商租赁。</w:t>
      </w:r>
    </w:p>
    <w:p>
      <w:pPr>
        <w:spacing w:line="400" w:lineRule="exact"/>
        <w:ind w:left="310" w:leftChars="104" w:hanging="92" w:hangingChars="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2、作业</w:t>
      </w:r>
      <w:r>
        <w:rPr>
          <w:rFonts w:hint="eastAsia" w:ascii="宋体" w:hAnsi="宋体" w:eastAsia="宋体" w:cs="宋体"/>
          <w:color w:val="auto"/>
          <w:sz w:val="22"/>
          <w:szCs w:val="22"/>
          <w:highlight w:val="none"/>
          <w:lang w:val="en-US" w:eastAsia="zh-CN"/>
        </w:rPr>
        <w:t>机</w:t>
      </w:r>
      <w:r>
        <w:rPr>
          <w:rFonts w:hint="eastAsia" w:ascii="宋体" w:hAnsi="宋体" w:eastAsia="宋体" w:cs="宋体"/>
          <w:color w:val="auto"/>
          <w:sz w:val="22"/>
          <w:szCs w:val="22"/>
          <w:highlight w:val="none"/>
        </w:rPr>
        <w:t>具的停放由承包单位负责。</w:t>
      </w:r>
    </w:p>
    <w:p>
      <w:pPr>
        <w:spacing w:line="400" w:lineRule="exact"/>
        <w:ind w:left="420" w:leftChars="104" w:hanging="202" w:hangingChars="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、投标人应承诺中标后在承包区域内设</w:t>
      </w:r>
      <w:r>
        <w:rPr>
          <w:rFonts w:hint="eastAsia" w:ascii="宋体" w:hAnsi="宋体" w:eastAsia="宋体" w:cs="宋体"/>
          <w:color w:val="auto"/>
          <w:sz w:val="22"/>
          <w:szCs w:val="22"/>
          <w:highlight w:val="none"/>
          <w:lang w:val="en-US" w:eastAsia="zh-CN"/>
        </w:rPr>
        <w:t>实质性</w:t>
      </w:r>
      <w:r>
        <w:rPr>
          <w:rFonts w:hint="eastAsia" w:ascii="宋体" w:hAnsi="宋体" w:eastAsia="宋体" w:cs="宋体"/>
          <w:color w:val="auto"/>
          <w:sz w:val="22"/>
          <w:szCs w:val="22"/>
          <w:highlight w:val="none"/>
        </w:rPr>
        <w:t>办公管理场所，并于中标后向采购单位提供场所租赁证明。</w:t>
      </w:r>
    </w:p>
    <w:p>
      <w:pPr>
        <w:pStyle w:val="849"/>
        <w:numPr>
          <w:ilvl w:val="0"/>
          <w:numId w:val="0"/>
        </w:numPr>
        <w:ind w:leftChars="0" w:firstLine="220" w:firstLineChars="100"/>
        <w:rPr>
          <w:rFonts w:hint="eastAsia" w:ascii="宋体" w:hAnsi="宋体" w:eastAsia="宋体" w:cs="宋体"/>
          <w:color w:val="auto"/>
          <w:highlight w:val="none"/>
          <w:lang w:val="en-US" w:eastAsia="zh-CN"/>
        </w:rPr>
      </w:pPr>
      <w:r>
        <w:rPr>
          <w:rFonts w:hint="eastAsia" w:ascii="宋体" w:hAnsi="宋体" w:eastAsia="宋体" w:cs="宋体"/>
          <w:color w:val="auto"/>
          <w:sz w:val="22"/>
          <w:szCs w:val="22"/>
          <w:highlight w:val="none"/>
          <w:lang w:val="en-US" w:eastAsia="zh-CN"/>
        </w:rPr>
        <w:t>4、公厕的电费、水费、人工费、劳保和保洁用品、制度牌、水电设施维养及基建维修（包括化粪池、管道、洁具更换等改建及局部修缮）、人员制服、消杀经费、公厕外立面维护，标识标志正常工作，生态公厕的所有维养以及创卫、创文等迎检时期的突击性任务由承包单位负责。公厕承包范围以现场确认为准。</w:t>
      </w:r>
    </w:p>
    <w:p>
      <w:pPr>
        <w:spacing w:line="400" w:lineRule="exact"/>
        <w:ind w:left="426" w:hanging="426" w:hangingChars="193"/>
        <w:rPr>
          <w:rFonts w:hint="eastAsia" w:ascii="宋体" w:hAnsi="宋体" w:eastAsia="宋体" w:cs="宋体"/>
          <w:b/>
          <w:color w:val="auto"/>
          <w:sz w:val="22"/>
          <w:szCs w:val="22"/>
          <w:highlight w:val="none"/>
          <w:lang w:val="en-US" w:eastAsia="zh-CN"/>
        </w:rPr>
      </w:pPr>
    </w:p>
    <w:p>
      <w:pPr>
        <w:spacing w:line="400" w:lineRule="exact"/>
        <w:ind w:left="426" w:hanging="426" w:hangingChars="193"/>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八</w:t>
      </w:r>
      <w:r>
        <w:rPr>
          <w:rFonts w:hint="eastAsia" w:ascii="宋体" w:hAnsi="宋体" w:eastAsia="宋体" w:cs="宋体"/>
          <w:b/>
          <w:color w:val="auto"/>
          <w:sz w:val="22"/>
          <w:szCs w:val="22"/>
          <w:highlight w:val="none"/>
        </w:rPr>
        <w:t>、</w:t>
      </w:r>
      <w:r>
        <w:rPr>
          <w:rFonts w:hint="eastAsia" w:ascii="宋体" w:hAnsi="宋体" w:eastAsia="宋体" w:cs="宋体"/>
          <w:b/>
          <w:bCs w:val="0"/>
          <w:color w:val="auto"/>
          <w:sz w:val="22"/>
          <w:szCs w:val="22"/>
          <w:highlight w:val="none"/>
          <w:u w:val="single"/>
        </w:rPr>
        <w:t>▲</w:t>
      </w:r>
      <w:r>
        <w:rPr>
          <w:rFonts w:hint="eastAsia" w:ascii="宋体" w:hAnsi="宋体" w:eastAsia="宋体" w:cs="宋体"/>
          <w:b/>
          <w:color w:val="auto"/>
          <w:sz w:val="22"/>
          <w:szCs w:val="22"/>
          <w:highlight w:val="none"/>
          <w:u w:val="single"/>
        </w:rPr>
        <w:t>拟投入清扫保洁作业车辆</w:t>
      </w:r>
      <w:r>
        <w:rPr>
          <w:rFonts w:hint="eastAsia" w:ascii="宋体" w:hAnsi="宋体" w:eastAsia="宋体" w:cs="宋体"/>
          <w:b/>
          <w:color w:val="auto"/>
          <w:sz w:val="22"/>
          <w:szCs w:val="22"/>
          <w:highlight w:val="none"/>
          <w:u w:val="single"/>
          <w:lang w:eastAsia="zh-CN"/>
        </w:rPr>
        <w:t>要求</w:t>
      </w:r>
    </w:p>
    <w:p>
      <w:pPr>
        <w:pStyle w:val="25"/>
        <w:rPr>
          <w:rFonts w:hint="eastAsia" w:ascii="宋体" w:hAnsi="宋体" w:eastAsia="宋体" w:cs="宋体"/>
          <w:color w:val="auto"/>
          <w:highlight w:val="none"/>
          <w:lang w:val="en-US" w:eastAsia="zh-CN"/>
        </w:rPr>
      </w:pPr>
      <w:r>
        <w:rPr>
          <w:rFonts w:hint="eastAsia" w:ascii="宋体" w:hAnsi="宋体" w:eastAsia="宋体" w:cs="宋体"/>
          <w:b/>
          <w:color w:val="auto"/>
          <w:sz w:val="22"/>
          <w:szCs w:val="22"/>
          <w:highlight w:val="none"/>
          <w:lang w:val="en-US" w:eastAsia="zh-CN"/>
        </w:rPr>
        <w:t>通用标项一、二、三</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30"/>
        <w:gridCol w:w="831"/>
        <w:gridCol w:w="4745"/>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7" w:type="dxa"/>
            <w:noWrap w:val="0"/>
            <w:vAlign w:val="center"/>
          </w:tcPr>
          <w:p>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561" w:type="dxa"/>
            <w:gridSpan w:val="2"/>
            <w:noWrap w:val="0"/>
            <w:vAlign w:val="center"/>
          </w:tcPr>
          <w:p>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车辆名称</w:t>
            </w:r>
          </w:p>
        </w:tc>
        <w:tc>
          <w:tcPr>
            <w:tcW w:w="4745" w:type="dxa"/>
            <w:noWrap w:val="0"/>
            <w:vAlign w:val="center"/>
          </w:tcPr>
          <w:p>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功能及用途</w:t>
            </w:r>
          </w:p>
        </w:tc>
        <w:tc>
          <w:tcPr>
            <w:tcW w:w="2721" w:type="dxa"/>
            <w:noWrap w:val="0"/>
            <w:vAlign w:val="center"/>
          </w:tcPr>
          <w:p>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7" w:type="dxa"/>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61" w:type="dxa"/>
            <w:gridSpan w:val="2"/>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多功能清扫车</w:t>
            </w:r>
          </w:p>
        </w:tc>
        <w:tc>
          <w:tcPr>
            <w:tcW w:w="4745" w:type="dxa"/>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总质量≥15吨（带车载GPS、作业视频）</w:t>
            </w:r>
          </w:p>
        </w:tc>
        <w:tc>
          <w:tcPr>
            <w:tcW w:w="2721" w:type="dxa"/>
            <w:noWrap w:val="0"/>
            <w:vAlign w:val="center"/>
          </w:tcPr>
          <w:p>
            <w:pPr>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标段一至少配置</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辆；标段二至少配置</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辆；标段三至少配置</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61" w:type="dxa"/>
            <w:gridSpan w:val="2"/>
            <w:noWrap w:val="0"/>
            <w:vAlign w:val="center"/>
          </w:tcPr>
          <w:p>
            <w:pPr>
              <w:tabs>
                <w:tab w:val="left" w:pos="93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高压冲洗（洒水）车</w:t>
            </w:r>
          </w:p>
        </w:tc>
        <w:tc>
          <w:tcPr>
            <w:tcW w:w="4745" w:type="dxa"/>
            <w:noWrap w:val="0"/>
            <w:vAlign w:val="center"/>
          </w:tcPr>
          <w:p>
            <w:pPr>
              <w:spacing w:line="400" w:lineRule="exact"/>
              <w:ind w:left="315" w:hanging="314" w:hangingChars="14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总质量≥15吨（带车载GPS、作业视频）</w:t>
            </w:r>
          </w:p>
        </w:tc>
        <w:tc>
          <w:tcPr>
            <w:tcW w:w="2721" w:type="dxa"/>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标段一至少配置</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辆；标段二至少配置</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辆；标段三至少配置</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561" w:type="dxa"/>
            <w:gridSpan w:val="2"/>
            <w:noWrap w:val="0"/>
            <w:vAlign w:val="center"/>
          </w:tcPr>
          <w:p>
            <w:pPr>
              <w:tabs>
                <w:tab w:val="left" w:pos="930"/>
              </w:tabs>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多功能抑尘车</w:t>
            </w:r>
          </w:p>
        </w:tc>
        <w:tc>
          <w:tcPr>
            <w:tcW w:w="4745" w:type="dxa"/>
            <w:noWrap w:val="0"/>
            <w:vAlign w:val="center"/>
          </w:tcPr>
          <w:p>
            <w:pPr>
              <w:spacing w:line="400" w:lineRule="exact"/>
              <w:ind w:left="315" w:hanging="314" w:hangingChars="14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具有洒水、冲洗、喷雾功能；配风炮</w:t>
            </w:r>
            <w:r>
              <w:rPr>
                <w:rFonts w:hint="eastAsia" w:ascii="宋体" w:hAnsi="宋体" w:eastAsia="宋体" w:cs="宋体"/>
                <w:color w:val="auto"/>
                <w:sz w:val="22"/>
                <w:szCs w:val="22"/>
                <w:highlight w:val="none"/>
                <w:lang w:eastAsia="zh-CN"/>
              </w:rPr>
              <w:t>。</w:t>
            </w:r>
          </w:p>
        </w:tc>
        <w:tc>
          <w:tcPr>
            <w:tcW w:w="2721" w:type="dxa"/>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标段一至少配置</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辆；标段二至少配置</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辆；标段三至少配置</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561" w:type="dxa"/>
            <w:gridSpan w:val="2"/>
            <w:noWrap w:val="0"/>
            <w:vAlign w:val="center"/>
          </w:tcPr>
          <w:p>
            <w:pPr>
              <w:tabs>
                <w:tab w:val="left" w:pos="930"/>
              </w:tabs>
              <w:spacing w:line="40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护栏清洗车</w:t>
            </w:r>
          </w:p>
        </w:tc>
        <w:tc>
          <w:tcPr>
            <w:tcW w:w="4745" w:type="dxa"/>
            <w:noWrap w:val="0"/>
            <w:vAlign w:val="center"/>
          </w:tcPr>
          <w:p>
            <w:pPr>
              <w:tabs>
                <w:tab w:val="left" w:pos="930"/>
              </w:tabs>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（1）盘型刷清洗，实现360度无死角，清洗效果显著</w:t>
            </w:r>
          </w:p>
          <w:p>
            <w:pPr>
              <w:tabs>
                <w:tab w:val="left" w:pos="930"/>
              </w:tabs>
              <w:spacing w:line="400" w:lineRule="exact"/>
              <w:rPr>
                <w:rFonts w:hint="default"/>
                <w:color w:val="auto"/>
                <w:highlight w:val="none"/>
                <w:lang w:val="en-US" w:eastAsia="zh-CN"/>
              </w:rPr>
            </w:pPr>
            <w:r>
              <w:rPr>
                <w:rFonts w:hint="eastAsia" w:ascii="宋体" w:hAnsi="宋体" w:eastAsia="宋体" w:cs="宋体"/>
                <w:color w:val="auto"/>
                <w:sz w:val="22"/>
                <w:szCs w:val="22"/>
                <w:highlight w:val="none"/>
                <w:lang w:val="en-US" w:eastAsia="zh-CN"/>
              </w:rPr>
              <w:t>（2）刷体可以左右旋转，来完成护栏的清洗</w:t>
            </w:r>
          </w:p>
        </w:tc>
        <w:tc>
          <w:tcPr>
            <w:tcW w:w="2721" w:type="dxa"/>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标段一至少配置</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辆；标段二至少配置</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辆；标段三至少配置</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27" w:type="dxa"/>
            <w:noWrap w:val="0"/>
            <w:vAlign w:val="center"/>
          </w:tcPr>
          <w:p>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561" w:type="dxa"/>
            <w:gridSpan w:val="2"/>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电动高压冲洗车</w:t>
            </w:r>
          </w:p>
        </w:tc>
        <w:tc>
          <w:tcPr>
            <w:tcW w:w="4745" w:type="dxa"/>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（1）水泵最高压力≥150bar</w:t>
            </w:r>
          </w:p>
          <w:p>
            <w:pPr>
              <w:spacing w:line="40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t>最大载重（kg)≥</w:t>
            </w:r>
            <w:r>
              <w:rPr>
                <w:rFonts w:hint="eastAsia" w:ascii="宋体" w:hAnsi="宋体" w:eastAsia="宋体" w:cs="宋体"/>
                <w:color w:val="auto"/>
                <w:sz w:val="22"/>
                <w:szCs w:val="22"/>
                <w:highlight w:val="none"/>
                <w:lang w:val="en-US" w:eastAsia="zh-CN"/>
              </w:rPr>
              <w:t>500</w:t>
            </w:r>
          </w:p>
          <w:p>
            <w:pPr>
              <w:spacing w:line="400" w:lineRule="exact"/>
              <w:ind w:left="-300" w:leftChars="-14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 </w:t>
            </w:r>
            <w:r>
              <w:rPr>
                <w:rFonts w:hint="eastAsia" w:ascii="宋体" w:hAnsi="宋体" w:eastAsia="宋体" w:cs="宋体"/>
                <w:color w:val="auto"/>
                <w:sz w:val="22"/>
                <w:szCs w:val="22"/>
                <w:highlight w:val="none"/>
              </w:rPr>
              <w:t>配备喷水枪，有效清除城市中“牛皮癣”、 小广告、道人行步道、各类公共设施</w:t>
            </w:r>
          </w:p>
        </w:tc>
        <w:tc>
          <w:tcPr>
            <w:tcW w:w="2721" w:type="dxa"/>
            <w:noWrap w:val="0"/>
            <w:vAlign w:val="center"/>
          </w:tcPr>
          <w:p>
            <w:pPr>
              <w:spacing w:line="400" w:lineRule="exact"/>
              <w:rPr>
                <w:rFonts w:hint="default"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827" w:type="dxa"/>
            <w:vMerge w:val="restart"/>
            <w:noWrap w:val="0"/>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p>
            <w:pPr>
              <w:spacing w:line="400" w:lineRule="exact"/>
              <w:jc w:val="center"/>
              <w:rPr>
                <w:rFonts w:hint="eastAsia" w:ascii="宋体" w:hAnsi="宋体" w:eastAsia="宋体" w:cs="宋体"/>
                <w:color w:val="auto"/>
                <w:sz w:val="22"/>
                <w:szCs w:val="22"/>
                <w:highlight w:val="none"/>
                <w:lang w:val="en-US" w:eastAsia="zh-CN"/>
              </w:rPr>
            </w:pPr>
          </w:p>
        </w:tc>
        <w:tc>
          <w:tcPr>
            <w:tcW w:w="730" w:type="dxa"/>
            <w:vMerge w:val="restart"/>
            <w:noWrap w:val="0"/>
            <w:vAlign w:val="center"/>
          </w:tcPr>
          <w:p>
            <w:pPr>
              <w:tabs>
                <w:tab w:val="left" w:pos="93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电动小型</w:t>
            </w:r>
            <w:r>
              <w:rPr>
                <w:rFonts w:hint="eastAsia" w:ascii="宋体" w:hAnsi="宋体" w:eastAsia="宋体" w:cs="宋体"/>
                <w:color w:val="auto"/>
                <w:sz w:val="22"/>
                <w:szCs w:val="22"/>
                <w:highlight w:val="none"/>
                <w:lang w:val="en-US" w:eastAsia="zh-CN"/>
              </w:rPr>
              <w:t>快速</w:t>
            </w:r>
            <w:r>
              <w:rPr>
                <w:rFonts w:hint="eastAsia" w:ascii="宋体" w:hAnsi="宋体" w:eastAsia="宋体" w:cs="宋体"/>
                <w:color w:val="auto"/>
                <w:sz w:val="22"/>
                <w:szCs w:val="22"/>
                <w:highlight w:val="none"/>
                <w:lang w:eastAsia="zh-CN"/>
              </w:rPr>
              <w:t>保洁车</w:t>
            </w:r>
          </w:p>
          <w:p>
            <w:pPr>
              <w:tabs>
                <w:tab w:val="left" w:pos="930"/>
              </w:tabs>
              <w:spacing w:line="400" w:lineRule="exact"/>
              <w:rPr>
                <w:rFonts w:hint="default" w:ascii="宋体" w:hAnsi="宋体" w:eastAsia="宋体" w:cs="宋体"/>
                <w:color w:val="auto"/>
                <w:sz w:val="22"/>
                <w:szCs w:val="22"/>
                <w:highlight w:val="none"/>
                <w:lang w:val="en-US" w:eastAsia="zh-CN"/>
              </w:rPr>
            </w:pPr>
          </w:p>
        </w:tc>
        <w:tc>
          <w:tcPr>
            <w:tcW w:w="831" w:type="dxa"/>
            <w:noWrap w:val="0"/>
            <w:vAlign w:val="center"/>
          </w:tcPr>
          <w:p>
            <w:pPr>
              <w:tabs>
                <w:tab w:val="left" w:pos="93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电动小型清扫保洁车</w:t>
            </w:r>
          </w:p>
        </w:tc>
        <w:tc>
          <w:tcPr>
            <w:tcW w:w="4745" w:type="dxa"/>
            <w:noWrap w:val="0"/>
            <w:vAlign w:val="center"/>
          </w:tcPr>
          <w:p>
            <w:pPr>
              <w:numPr>
                <w:ilvl w:val="0"/>
                <w:numId w:val="37"/>
              </w:numPr>
              <w:spacing w:line="400" w:lineRule="exact"/>
              <w:ind w:left="315" w:hanging="300" w:hangingChars="143"/>
              <w:rPr>
                <w:rFonts w:hint="eastAsia"/>
                <w:color w:val="auto"/>
                <w:highlight w:val="none"/>
              </w:rPr>
            </w:pPr>
            <w:r>
              <w:rPr>
                <w:rFonts w:hint="eastAsia"/>
                <w:color w:val="auto"/>
                <w:highlight w:val="none"/>
              </w:rPr>
              <w:t>一次性成型的密闭车型</w:t>
            </w:r>
          </w:p>
          <w:p>
            <w:pPr>
              <w:numPr>
                <w:ilvl w:val="0"/>
                <w:numId w:val="37"/>
              </w:numPr>
              <w:spacing w:line="400" w:lineRule="exact"/>
              <w:ind w:left="315" w:hanging="300" w:hangingChars="143"/>
              <w:rPr>
                <w:rFonts w:hint="eastAsia"/>
                <w:color w:val="auto"/>
                <w:highlight w:val="none"/>
              </w:rPr>
            </w:pPr>
            <w:r>
              <w:rPr>
                <w:rFonts w:hint="eastAsia"/>
                <w:color w:val="auto"/>
                <w:highlight w:val="none"/>
              </w:rPr>
              <w:t>最大载重（kg) ≥150</w:t>
            </w:r>
          </w:p>
          <w:p>
            <w:pPr>
              <w:spacing w:line="400" w:lineRule="exact"/>
              <w:ind w:left="535" w:hanging="510" w:hangingChars="243"/>
              <w:rPr>
                <w:rFonts w:hint="eastAsia"/>
                <w:color w:val="auto"/>
                <w:highlight w:val="none"/>
              </w:rPr>
            </w:pPr>
            <w:r>
              <w:rPr>
                <w:rFonts w:hint="eastAsia"/>
                <w:color w:val="auto"/>
                <w:highlight w:val="none"/>
              </w:rPr>
              <w:t>（3）前后双刹车设计，安全可靠。</w:t>
            </w:r>
          </w:p>
          <w:p>
            <w:pPr>
              <w:spacing w:line="400" w:lineRule="exact"/>
              <w:ind w:left="315" w:hanging="300" w:hangingChars="143"/>
              <w:rPr>
                <w:rFonts w:hint="eastAsia"/>
                <w:color w:val="auto"/>
                <w:highlight w:val="none"/>
              </w:rPr>
            </w:pPr>
            <w:r>
              <w:rPr>
                <w:rFonts w:hint="eastAsia"/>
                <w:color w:val="auto"/>
                <w:highlight w:val="none"/>
              </w:rPr>
              <w:t>（4）杜绝垃圾二次污染。</w:t>
            </w:r>
          </w:p>
          <w:p>
            <w:pPr>
              <w:spacing w:line="400" w:lineRule="exact"/>
              <w:ind w:left="315" w:hanging="300" w:hangingChars="143"/>
              <w:rPr>
                <w:rFonts w:hint="eastAsia"/>
                <w:color w:val="auto"/>
                <w:highlight w:val="none"/>
              </w:rPr>
            </w:pPr>
            <w:r>
              <w:rPr>
                <w:rFonts w:hint="eastAsia"/>
                <w:color w:val="auto"/>
                <w:highlight w:val="none"/>
              </w:rPr>
              <w:t>（5）工具箱可放各种清扫保洁工具。</w:t>
            </w:r>
          </w:p>
          <w:p>
            <w:pPr>
              <w:spacing w:line="400" w:lineRule="exact"/>
              <w:ind w:left="535" w:hanging="510" w:hangingChars="243"/>
              <w:rPr>
                <w:rFonts w:hint="default" w:eastAsia="宋体"/>
                <w:color w:val="auto"/>
                <w:highlight w:val="none"/>
                <w:lang w:val="en-US" w:eastAsia="zh-CN"/>
              </w:rPr>
            </w:pPr>
            <w:r>
              <w:rPr>
                <w:rFonts w:hint="eastAsia"/>
                <w:color w:val="auto"/>
                <w:highlight w:val="none"/>
              </w:rPr>
              <w:t>（6）整车体积小，适于在中心城区、小区、广场、小巷、人行道等路段巡回保洁使用。</w:t>
            </w:r>
            <w:r>
              <w:rPr>
                <w:rFonts w:hint="eastAsia"/>
                <w:color w:val="auto"/>
                <w:highlight w:val="none"/>
                <w:lang w:val="en-US" w:eastAsia="zh-CN"/>
              </w:rPr>
              <w:t>具有清扫功能。</w:t>
            </w:r>
          </w:p>
          <w:p>
            <w:pPr>
              <w:spacing w:line="400" w:lineRule="exact"/>
              <w:ind w:left="315" w:hanging="300" w:hangingChars="143"/>
              <w:rPr>
                <w:rFonts w:hint="eastAsia"/>
                <w:color w:val="auto"/>
                <w:highlight w:val="none"/>
              </w:rPr>
            </w:pPr>
            <w:r>
              <w:rPr>
                <w:rFonts w:hint="eastAsia"/>
                <w:color w:val="auto"/>
                <w:highlight w:val="none"/>
              </w:rPr>
              <w:t>（7）外形美观。</w:t>
            </w:r>
          </w:p>
          <w:p>
            <w:pPr>
              <w:pStyle w:val="2"/>
              <w:ind w:left="0" w:leftChars="0" w:firstLine="0" w:firstLineChars="0"/>
              <w:rPr>
                <w:rFonts w:hint="default" w:eastAsia="宋体"/>
                <w:color w:val="auto"/>
                <w:highlight w:val="none"/>
                <w:lang w:val="en-US" w:eastAsia="zh-CN"/>
              </w:rPr>
            </w:pPr>
            <w:r>
              <w:rPr>
                <w:rFonts w:hint="eastAsia" w:eastAsia="宋体" w:cs="宋体"/>
                <w:color w:val="auto"/>
                <w:sz w:val="22"/>
                <w:szCs w:val="22"/>
                <w:highlight w:val="none"/>
                <w:lang w:eastAsia="zh-CN"/>
              </w:rPr>
              <w:t>（</w:t>
            </w:r>
            <w:r>
              <w:rPr>
                <w:rFonts w:hint="eastAsia" w:eastAsia="宋体" w:cs="宋体"/>
                <w:color w:val="auto"/>
                <w:sz w:val="22"/>
                <w:szCs w:val="22"/>
                <w:highlight w:val="none"/>
                <w:lang w:val="en-US" w:eastAsia="zh-CN"/>
              </w:rPr>
              <w:t>8</w:t>
            </w:r>
            <w:r>
              <w:rPr>
                <w:rFonts w:hint="eastAsia" w:eastAsia="宋体" w:cs="宋体"/>
                <w:color w:val="auto"/>
                <w:sz w:val="22"/>
                <w:szCs w:val="22"/>
                <w:highlight w:val="none"/>
                <w:lang w:eastAsia="zh-CN"/>
              </w:rPr>
              <w:t>）</w:t>
            </w:r>
            <w:r>
              <w:rPr>
                <w:rFonts w:hint="eastAsia" w:eastAsia="宋体" w:cs="宋体"/>
                <w:color w:val="auto"/>
                <w:sz w:val="22"/>
                <w:szCs w:val="22"/>
                <w:highlight w:val="none"/>
                <w:lang w:val="en-US" w:eastAsia="zh-CN"/>
              </w:rPr>
              <w:t>符合垃圾分类的要求。</w:t>
            </w:r>
          </w:p>
        </w:tc>
        <w:tc>
          <w:tcPr>
            <w:tcW w:w="2721" w:type="dxa"/>
            <w:noWrap w:val="0"/>
            <w:vAlign w:val="center"/>
          </w:tcPr>
          <w:p>
            <w:pPr>
              <w:spacing w:line="400" w:lineRule="exact"/>
              <w:rPr>
                <w:rFonts w:hint="default"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7" w:type="dxa"/>
            <w:vMerge w:val="continue"/>
            <w:noWrap w:val="0"/>
            <w:vAlign w:val="center"/>
          </w:tcPr>
          <w:p>
            <w:pPr>
              <w:spacing w:line="400" w:lineRule="exact"/>
              <w:jc w:val="center"/>
              <w:rPr>
                <w:rFonts w:hint="eastAsia" w:ascii="宋体" w:hAnsi="宋体" w:eastAsia="宋体" w:cs="宋体"/>
                <w:color w:val="auto"/>
                <w:sz w:val="22"/>
                <w:szCs w:val="22"/>
                <w:highlight w:val="none"/>
                <w:lang w:val="en-US" w:eastAsia="zh-CN"/>
              </w:rPr>
            </w:pPr>
          </w:p>
        </w:tc>
        <w:tc>
          <w:tcPr>
            <w:tcW w:w="730" w:type="dxa"/>
            <w:vMerge w:val="continue"/>
            <w:noWrap w:val="0"/>
            <w:vAlign w:val="center"/>
          </w:tcPr>
          <w:p>
            <w:pPr>
              <w:tabs>
                <w:tab w:val="left" w:pos="930"/>
              </w:tabs>
              <w:spacing w:line="400" w:lineRule="exact"/>
              <w:rPr>
                <w:rFonts w:hint="default" w:ascii="宋体" w:hAnsi="宋体" w:eastAsia="宋体" w:cs="宋体"/>
                <w:color w:val="auto"/>
                <w:sz w:val="22"/>
                <w:szCs w:val="22"/>
                <w:highlight w:val="none"/>
                <w:lang w:val="en-US" w:eastAsia="zh-CN"/>
              </w:rPr>
            </w:pPr>
          </w:p>
        </w:tc>
        <w:tc>
          <w:tcPr>
            <w:tcW w:w="831" w:type="dxa"/>
            <w:noWrap w:val="0"/>
            <w:vAlign w:val="center"/>
          </w:tcPr>
          <w:p>
            <w:pPr>
              <w:tabs>
                <w:tab w:val="left" w:pos="930"/>
              </w:tabs>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电动小型垃圾收集车</w:t>
            </w:r>
          </w:p>
        </w:tc>
        <w:tc>
          <w:tcPr>
            <w:tcW w:w="4745" w:type="dxa"/>
            <w:noWrap w:val="0"/>
            <w:vAlign w:val="center"/>
          </w:tcPr>
          <w:p>
            <w:pPr>
              <w:pStyle w:val="2"/>
              <w:numPr>
                <w:ilvl w:val="0"/>
                <w:numId w:val="38"/>
              </w:numPr>
              <w:ind w:left="0" w:leftChars="0" w:firstLine="0" w:firstLineChars="0"/>
              <w:rPr>
                <w:rFonts w:hint="eastAsia" w:eastAsia="宋体" w:cs="宋体"/>
                <w:color w:val="auto"/>
                <w:sz w:val="22"/>
                <w:szCs w:val="22"/>
                <w:highlight w:val="none"/>
                <w:lang w:val="en-US" w:eastAsia="zh-CN"/>
              </w:rPr>
            </w:pPr>
            <w:r>
              <w:rPr>
                <w:rFonts w:hint="eastAsia" w:eastAsia="宋体" w:cs="宋体"/>
                <w:color w:val="auto"/>
                <w:sz w:val="22"/>
                <w:szCs w:val="22"/>
                <w:highlight w:val="none"/>
                <w:lang w:val="en-US" w:eastAsia="zh-CN"/>
              </w:rPr>
              <w:t>载桶式</w:t>
            </w:r>
          </w:p>
          <w:p>
            <w:pPr>
              <w:pStyle w:val="2"/>
              <w:numPr>
                <w:ilvl w:val="0"/>
                <w:numId w:val="38"/>
              </w:numPr>
              <w:tabs>
                <w:tab w:val="clear" w:pos="312"/>
              </w:tabs>
              <w:ind w:left="0" w:leftChars="0" w:firstLine="0" w:firstLineChars="0"/>
              <w:rPr>
                <w:rFonts w:hint="default" w:eastAsia="宋体" w:cs="宋体"/>
                <w:color w:val="auto"/>
                <w:sz w:val="22"/>
                <w:szCs w:val="22"/>
                <w:highlight w:val="none"/>
                <w:lang w:val="en-US" w:eastAsia="zh-CN"/>
              </w:rPr>
            </w:pPr>
            <w:r>
              <w:rPr>
                <w:rFonts w:hint="eastAsia" w:eastAsia="宋体" w:cs="宋体"/>
                <w:color w:val="auto"/>
                <w:sz w:val="22"/>
                <w:szCs w:val="22"/>
                <w:highlight w:val="none"/>
                <w:lang w:val="en-US" w:eastAsia="zh-CN"/>
              </w:rPr>
              <w:t>生活垃圾分类标识以及车身颜色应与收集的垃圾类别对。</w:t>
            </w:r>
          </w:p>
          <w:p>
            <w:pPr>
              <w:pStyle w:val="2"/>
              <w:numPr>
                <w:ilvl w:val="0"/>
                <w:numId w:val="38"/>
              </w:numPr>
              <w:ind w:left="0" w:leftChars="0" w:firstLine="0" w:firstLineChars="0"/>
              <w:rPr>
                <w:rFonts w:hint="default" w:eastAsia="宋体" w:cs="宋体"/>
                <w:color w:val="auto"/>
                <w:sz w:val="22"/>
                <w:szCs w:val="22"/>
                <w:highlight w:val="none"/>
                <w:lang w:val="en-US" w:eastAsia="zh-CN"/>
              </w:rPr>
            </w:pPr>
            <w:r>
              <w:rPr>
                <w:rFonts w:hint="eastAsia" w:eastAsia="宋体" w:cs="宋体"/>
                <w:color w:val="auto"/>
                <w:sz w:val="22"/>
                <w:szCs w:val="22"/>
                <w:highlight w:val="none"/>
                <w:lang w:val="en-US" w:eastAsia="zh-CN"/>
              </w:rPr>
              <w:t>外形美观</w:t>
            </w:r>
          </w:p>
        </w:tc>
        <w:tc>
          <w:tcPr>
            <w:tcW w:w="2721" w:type="dxa"/>
            <w:noWrap w:val="0"/>
            <w:vAlign w:val="center"/>
          </w:tcPr>
          <w:p>
            <w:pPr>
              <w:spacing w:line="40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根据易腐垃圾、其他垃圾收集量、频次以及载重，配置车辆数量</w:t>
            </w:r>
          </w:p>
        </w:tc>
      </w:tr>
    </w:tbl>
    <w:p>
      <w:pPr>
        <w:spacing w:line="400" w:lineRule="exact"/>
        <w:ind w:left="425" w:hanging="424" w:hanging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spacing w:line="400" w:lineRule="exact"/>
        <w:ind w:firstLine="220" w:firstLineChars="1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投标人应对本项目的道路情况情进行测算，并结合本项目的实际需求情况投入相应的保洁机械机具数量，投入本项目的多功能清扫车、高压冲洗（洒水）车、多功能抑尘车</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护栏清洗车</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电动高压冲洗车</w:t>
      </w:r>
      <w:r>
        <w:rPr>
          <w:rFonts w:hint="eastAsia" w:ascii="宋体" w:hAnsi="宋体" w:eastAsia="宋体" w:cs="宋体"/>
          <w:color w:val="auto"/>
          <w:sz w:val="22"/>
          <w:szCs w:val="22"/>
          <w:highlight w:val="none"/>
          <w:u w:val="single"/>
          <w:lang w:val="en-US" w:eastAsia="zh-CN"/>
        </w:rPr>
        <w:t>等</w:t>
      </w:r>
      <w:r>
        <w:rPr>
          <w:rFonts w:hint="eastAsia" w:ascii="宋体" w:hAnsi="宋体" w:eastAsia="宋体" w:cs="宋体"/>
          <w:color w:val="auto"/>
          <w:sz w:val="22"/>
          <w:szCs w:val="22"/>
          <w:highlight w:val="none"/>
          <w:u w:val="single"/>
        </w:rPr>
        <w:t>应为投标人自有车辆，若自有车辆不能满足清扫保洁服务实际需要，须承诺中标后购买，并按照招标文件要求提交相应车辆的购车履约保证金。</w:t>
      </w:r>
    </w:p>
    <w:p>
      <w:pPr>
        <w:spacing w:line="400" w:lineRule="exact"/>
        <w:ind w:firstLine="220" w:firstLineChars="1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在</w:t>
      </w:r>
      <w:r>
        <w:rPr>
          <w:rFonts w:hint="eastAsia" w:ascii="宋体" w:hAnsi="宋体" w:eastAsia="宋体" w:cs="宋体"/>
          <w:color w:val="auto"/>
          <w:sz w:val="22"/>
          <w:szCs w:val="22"/>
          <w:highlight w:val="none"/>
          <w:u w:val="single"/>
          <w:lang w:val="en-US" w:eastAsia="zh-CN"/>
        </w:rPr>
        <w:t>中标通知书发布之日起20日历天内，</w:t>
      </w:r>
      <w:r>
        <w:rPr>
          <w:rFonts w:hint="eastAsia" w:ascii="宋体" w:hAnsi="宋体" w:eastAsia="宋体" w:cs="宋体"/>
          <w:color w:val="auto"/>
          <w:sz w:val="22"/>
          <w:szCs w:val="22"/>
          <w:highlight w:val="none"/>
          <w:u w:val="single"/>
        </w:rPr>
        <w:t>专用车辆因意外客观原因修理或不能使用的原因情况下，投标人承诺提供等于或优于已承诺投入的车辆（使用年份、吨位、配置）进行作业</w:t>
      </w:r>
      <w:r>
        <w:rPr>
          <w:rFonts w:hint="eastAsia" w:ascii="宋体" w:hAnsi="宋体" w:eastAsia="宋体" w:cs="宋体"/>
          <w:color w:val="auto"/>
          <w:sz w:val="22"/>
          <w:szCs w:val="22"/>
          <w:highlight w:val="none"/>
        </w:rPr>
        <w:t>。</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b/>
          <w:bCs/>
          <w:color w:val="auto"/>
          <w:szCs w:val="21"/>
          <w:highlight w:val="none"/>
        </w:rPr>
        <w:t>▲</w:t>
      </w:r>
      <w:r>
        <w:rPr>
          <w:rFonts w:hint="eastAsia" w:ascii="宋体" w:hAnsi="宋体" w:eastAsia="宋体" w:cs="宋体"/>
          <w:color w:val="auto"/>
          <w:sz w:val="22"/>
          <w:szCs w:val="22"/>
          <w:highlight w:val="none"/>
          <w:u w:val="single"/>
        </w:rPr>
        <w:t>投入本项目标段内的车辆中标后必须到场，如投标人不能保证投入本项目的车辆在标段内正常作业的，</w:t>
      </w:r>
      <w:r>
        <w:rPr>
          <w:rFonts w:hint="eastAsia" w:ascii="宋体" w:hAnsi="宋体" w:eastAsia="宋体" w:cs="宋体"/>
          <w:bCs/>
          <w:color w:val="auto"/>
          <w:sz w:val="22"/>
          <w:szCs w:val="22"/>
          <w:highlight w:val="none"/>
          <w:u w:val="single"/>
        </w:rPr>
        <w:t>以违约处理，采购单位可单方终止合同，并没收全额履约保证金</w:t>
      </w:r>
      <w:r>
        <w:rPr>
          <w:rFonts w:hint="eastAsia" w:ascii="宋体" w:hAnsi="宋体" w:eastAsia="宋体" w:cs="宋体"/>
          <w:color w:val="auto"/>
          <w:sz w:val="22"/>
          <w:szCs w:val="22"/>
          <w:highlight w:val="none"/>
        </w:rPr>
        <w:t>。</w:t>
      </w:r>
    </w:p>
    <w:p>
      <w:pPr>
        <w:spacing w:line="400" w:lineRule="exact"/>
        <w:ind w:firstLine="220" w:firstLineChars="100"/>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none"/>
        </w:rPr>
        <w:t xml:space="preserve"> 以上表格仅对车辆提出基本功能要求，投标人须在投标文件</w:t>
      </w:r>
      <w:r>
        <w:rPr>
          <w:rFonts w:hint="eastAsia" w:ascii="宋体" w:hAnsi="宋体" w:eastAsia="宋体" w:cs="宋体"/>
          <w:color w:val="auto"/>
          <w:sz w:val="22"/>
          <w:szCs w:val="22"/>
          <w:highlight w:val="none"/>
          <w:u w:val="none"/>
        </w:rPr>
        <w:t>商务技术文件</w:t>
      </w:r>
      <w:r>
        <w:rPr>
          <w:rFonts w:hint="eastAsia" w:ascii="宋体" w:hAnsi="宋体" w:eastAsia="宋体" w:cs="宋体"/>
          <w:color w:val="auto"/>
          <w:sz w:val="22"/>
          <w:szCs w:val="22"/>
          <w:highlight w:val="none"/>
          <w:u w:val="none"/>
        </w:rPr>
        <w:t>中给出详细车辆参数及图样，可以以车辆产品图册代替</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电动小型垃圾收集车：载重240升垃圾桶，分2桶、4桶、6桶、8桶等车型，每种车型数量可根据采购人或街镇的实际要求进行调整，但车辆桶装能力总数量不得低于投标承诺数量。</w:t>
      </w:r>
    </w:p>
    <w:p>
      <w:pPr>
        <w:spacing w:line="400" w:lineRule="exact"/>
        <w:ind w:firstLine="220" w:firstLineChars="1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各投标单位应自行了解温州市交警部门对外地牌照车辆的政策规定（包括在温州市区限行的规定），有关风险均自行考虑；</w:t>
      </w:r>
    </w:p>
    <w:p>
      <w:pPr>
        <w:spacing w:line="400" w:lineRule="exact"/>
        <w:ind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6、</w:t>
      </w:r>
      <w:r>
        <w:rPr>
          <w:rFonts w:hint="eastAsia" w:ascii="宋体" w:hAnsi="宋体" w:eastAsia="宋体" w:cs="宋体"/>
          <w:b/>
          <w:color w:val="auto"/>
          <w:sz w:val="22"/>
          <w:szCs w:val="22"/>
          <w:highlight w:val="none"/>
        </w:rPr>
        <w:t>本项目供应商可以采用“新技术、新设备”，以提高机械化程度的“机械换人”等措施在保证保洁质量的前提下，合理降低成本。鼓励供应商采用“机械换人”的情况下，增加保洁服务时间，道路清扫、清洗、洒水、降尘等保洁措施的频次。</w:t>
      </w:r>
    </w:p>
    <w:p>
      <w:pPr>
        <w:spacing w:line="400" w:lineRule="exact"/>
        <w:ind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rPr>
        <w:t>中标后实施保洁过程中，如中标人提出机械化替代人工作业方案或优化方案结构（减少作业人数），可达到相当于或优于人工作业的保洁效果，须经</w:t>
      </w:r>
      <w:r>
        <w:rPr>
          <w:rFonts w:hint="eastAsia" w:ascii="宋体" w:hAnsi="宋体" w:eastAsia="宋体" w:cs="宋体"/>
          <w:b/>
          <w:color w:val="auto"/>
          <w:sz w:val="22"/>
          <w:szCs w:val="22"/>
          <w:highlight w:val="none"/>
          <w:lang w:val="en-US" w:eastAsia="zh-CN"/>
        </w:rPr>
        <w:t>采购人（指</w:t>
      </w:r>
      <w:r>
        <w:rPr>
          <w:rFonts w:hint="eastAsia" w:ascii="宋体" w:hAnsi="宋体" w:eastAsia="宋体" w:cs="宋体"/>
          <w:b/>
          <w:color w:val="auto"/>
          <w:sz w:val="22"/>
          <w:szCs w:val="22"/>
          <w:highlight w:val="none"/>
          <w:lang w:val="en-US" w:eastAsia="zh-CN"/>
        </w:rPr>
        <w:t>街道或镇</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同意后方可实施。</w:t>
      </w:r>
    </w:p>
    <w:p>
      <w:pPr>
        <w:pStyle w:val="2"/>
        <w:ind w:left="0" w:leftChars="0" w:firstLine="0" w:firstLineChars="0"/>
        <w:rPr>
          <w:rFonts w:hint="eastAsia" w:eastAsia="宋体" w:cs="宋体"/>
          <w:b/>
          <w:color w:val="auto"/>
          <w:sz w:val="22"/>
          <w:szCs w:val="22"/>
          <w:highlight w:val="none"/>
          <w:lang w:val="en-US" w:eastAsia="zh-CN"/>
        </w:rPr>
      </w:pPr>
      <w:r>
        <w:rPr>
          <w:rFonts w:hint="eastAsia" w:eastAsia="宋体" w:cs="宋体"/>
          <w:b/>
          <w:color w:val="auto"/>
          <w:sz w:val="22"/>
          <w:szCs w:val="22"/>
          <w:highlight w:val="none"/>
          <w:lang w:val="en-US" w:eastAsia="zh-CN"/>
        </w:rPr>
        <w:t xml:space="preserve">  8、根据相关文件要求鼓励中标供应商采用新能源车辆。</w:t>
      </w:r>
    </w:p>
    <w:p>
      <w:pPr>
        <w:pStyle w:val="2"/>
        <w:ind w:left="0" w:leftChars="0" w:firstLine="0" w:firstLineChars="0"/>
        <w:rPr>
          <w:rFonts w:hint="default" w:eastAsia="宋体" w:cs="宋体"/>
          <w:b/>
          <w:color w:val="auto"/>
          <w:sz w:val="22"/>
          <w:szCs w:val="22"/>
          <w:highlight w:val="none"/>
          <w:lang w:val="en-US" w:eastAsia="zh-CN"/>
        </w:rPr>
      </w:pPr>
      <w:r>
        <w:rPr>
          <w:rFonts w:hint="eastAsia" w:eastAsia="宋体" w:cs="宋体"/>
          <w:b/>
          <w:color w:val="auto"/>
          <w:sz w:val="22"/>
          <w:szCs w:val="22"/>
          <w:highlight w:val="none"/>
          <w:lang w:val="en-US" w:eastAsia="zh-CN"/>
        </w:rPr>
        <w:t xml:space="preserve">  9、</w:t>
      </w:r>
      <w:r>
        <w:rPr>
          <w:rFonts w:hint="eastAsia" w:eastAsia="宋体" w:cs="宋体"/>
          <w:b/>
          <w:color w:val="auto"/>
          <w:sz w:val="22"/>
          <w:szCs w:val="22"/>
          <w:highlight w:val="none"/>
          <w:lang w:val="en-US" w:eastAsia="zh-CN"/>
        </w:rPr>
        <w:t>根据工作需要或省市级工作要求需要对环卫车辆进行更新换代的，经属地街道（镇）同意，中标供应商对实际投入本项目车辆可以进行提升，档次不得低于原车辆档次要求。</w:t>
      </w:r>
    </w:p>
    <w:p>
      <w:pPr>
        <w:spacing w:line="400" w:lineRule="exact"/>
        <w:ind w:left="426" w:hanging="426" w:hangingChars="19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九</w:t>
      </w:r>
      <w:r>
        <w:rPr>
          <w:rFonts w:hint="eastAsia" w:ascii="宋体" w:hAnsi="宋体" w:eastAsia="宋体" w:cs="宋体"/>
          <w:b/>
          <w:color w:val="auto"/>
          <w:sz w:val="22"/>
          <w:szCs w:val="22"/>
          <w:highlight w:val="none"/>
        </w:rPr>
        <w:t>、其他说明</w:t>
      </w:r>
    </w:p>
    <w:p>
      <w:pPr>
        <w:spacing w:line="400" w:lineRule="exact"/>
        <w:ind w:firstLine="211" w:firstLineChars="10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rPr>
        <w:t>1. ▲</w:t>
      </w:r>
      <w:r>
        <w:rPr>
          <w:rFonts w:hint="eastAsia" w:ascii="宋体" w:hAnsi="宋体" w:eastAsia="宋体" w:cs="宋体"/>
          <w:color w:val="auto"/>
          <w:sz w:val="22"/>
          <w:szCs w:val="22"/>
          <w:highlight w:val="none"/>
          <w:u w:val="single"/>
        </w:rPr>
        <w:t>投标人的项目负责人应具有道路保洁实际工作一年以上经验，</w:t>
      </w:r>
      <w:r>
        <w:rPr>
          <w:rFonts w:hint="eastAsia" w:ascii="宋体" w:hAnsi="宋体" w:eastAsia="宋体" w:cs="宋体"/>
          <w:color w:val="auto"/>
          <w:sz w:val="22"/>
          <w:szCs w:val="22"/>
          <w:highlight w:val="none"/>
          <w:u w:val="single"/>
          <w:lang w:eastAsia="zh-CN"/>
        </w:rPr>
        <w:t>中标单位</w:t>
      </w:r>
      <w:r>
        <w:rPr>
          <w:rFonts w:hint="eastAsia" w:ascii="宋体" w:hAnsi="宋体" w:eastAsia="宋体" w:cs="宋体"/>
          <w:color w:val="auto"/>
          <w:sz w:val="22"/>
          <w:szCs w:val="22"/>
          <w:highlight w:val="none"/>
          <w:u w:val="single"/>
        </w:rPr>
        <w:t>在承包期内，未经采购单位的同意，不得变换项目负责人，如若不能兑现，视同违约处理</w:t>
      </w:r>
      <w:r>
        <w:rPr>
          <w:rFonts w:hint="eastAsia" w:ascii="宋体" w:hAnsi="宋体" w:eastAsia="宋体" w:cs="宋体"/>
          <w:color w:val="auto"/>
          <w:sz w:val="22"/>
          <w:szCs w:val="22"/>
          <w:highlight w:val="none"/>
        </w:rPr>
        <w:t>。</w:t>
      </w:r>
    </w:p>
    <w:p>
      <w:pPr>
        <w:spacing w:line="400" w:lineRule="exact"/>
        <w:ind w:firstLine="211" w:firstLineChars="10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rPr>
        <w:t>2. ▲</w:t>
      </w:r>
      <w:r>
        <w:rPr>
          <w:rFonts w:hint="eastAsia" w:ascii="宋体" w:hAnsi="宋体" w:eastAsia="宋体" w:cs="宋体"/>
          <w:color w:val="auto"/>
          <w:sz w:val="22"/>
          <w:szCs w:val="22"/>
          <w:highlight w:val="none"/>
          <w:u w:val="single"/>
        </w:rPr>
        <w:t xml:space="preserve">员工劳动保障 </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（1）与所有职工依法签订劳动合同，优先聘用在本项目所在地具有实际工作经验的作业人员，以保证工作交接顺利；</w:t>
      </w:r>
    </w:p>
    <w:p>
      <w:pPr>
        <w:spacing w:line="400" w:lineRule="exact"/>
        <w:ind w:left="420" w:leftChars="104" w:hanging="202" w:hangingChars="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）其他未尽事宜，各投标人应参照各项法律法规的规定进行。</w:t>
      </w:r>
    </w:p>
    <w:p>
      <w:pPr>
        <w:spacing w:line="400" w:lineRule="exact"/>
        <w:ind w:firstLine="211" w:firstLineChars="10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rPr>
        <w:t>3. ▲</w:t>
      </w:r>
      <w:r>
        <w:rPr>
          <w:rFonts w:hint="eastAsia" w:ascii="宋体" w:hAnsi="宋体" w:eastAsia="宋体" w:cs="宋体"/>
          <w:color w:val="auto"/>
          <w:sz w:val="22"/>
          <w:szCs w:val="22"/>
          <w:highlight w:val="none"/>
          <w:u w:val="single"/>
        </w:rPr>
        <w:t>投标人若为温州市鹿城区注册单位，若中标，按照要求的进场时间内必须所有人员及机具现场到位并能投入清扫工作（采购单位将对其检查核实通过），如不能按此要求现场到位的，将取消中标资格</w:t>
      </w:r>
      <w:r>
        <w:rPr>
          <w:rFonts w:hint="eastAsia" w:ascii="宋体" w:hAnsi="宋体" w:eastAsia="宋体" w:cs="宋体"/>
          <w:color w:val="auto"/>
          <w:sz w:val="22"/>
          <w:szCs w:val="22"/>
          <w:highlight w:val="none"/>
        </w:rPr>
        <w:t>。</w:t>
      </w:r>
    </w:p>
    <w:p>
      <w:pPr>
        <w:spacing w:line="400" w:lineRule="exact"/>
        <w:ind w:firstLine="211" w:firstLineChars="10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rPr>
        <w:t>4. ▲</w:t>
      </w:r>
      <w:r>
        <w:rPr>
          <w:rFonts w:hint="eastAsia" w:ascii="宋体" w:hAnsi="宋体" w:eastAsia="宋体" w:cs="宋体"/>
          <w:color w:val="auto"/>
          <w:sz w:val="22"/>
          <w:szCs w:val="22"/>
          <w:highlight w:val="none"/>
          <w:u w:val="single"/>
        </w:rPr>
        <w:t>投标人若非温州市鹿城区注册单位：</w:t>
      </w:r>
    </w:p>
    <w:p>
      <w:pPr>
        <w:spacing w:line="40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1)可按照招标文件的格式提供承诺书，若提供承诺书，则必须按照投标时书面承诺的时间内在温州市鹿城区范围内设立分公司</w:t>
      </w:r>
      <w:r>
        <w:rPr>
          <w:rFonts w:hint="eastAsia" w:ascii="宋体" w:hAnsi="宋体" w:eastAsia="宋体" w:cs="宋体"/>
          <w:color w:val="auto"/>
          <w:sz w:val="22"/>
          <w:szCs w:val="22"/>
          <w:highlight w:val="none"/>
          <w:lang w:val="en-US" w:eastAsia="zh-CN"/>
        </w:rPr>
        <w:t>或子公司</w:t>
      </w:r>
      <w:r>
        <w:rPr>
          <w:rFonts w:hint="eastAsia" w:ascii="宋体" w:hAnsi="宋体" w:eastAsia="宋体" w:cs="宋体"/>
          <w:color w:val="auto"/>
          <w:sz w:val="22"/>
          <w:szCs w:val="22"/>
          <w:highlight w:val="none"/>
        </w:rPr>
        <w:t>（以工商主管部门登记为准），</w:t>
      </w:r>
    </w:p>
    <w:p>
      <w:pPr>
        <w:spacing w:line="40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)按照要求的进场时间内所有人员及机具现场到位并能投入清扫工作（采购单位将对其检查核实通过），如不能按此要求现场到位的，将取消中标资格。</w:t>
      </w:r>
    </w:p>
    <w:p>
      <w:pPr>
        <w:spacing w:line="400" w:lineRule="exact"/>
        <w:ind w:firstLine="211" w:firstLineChars="10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rPr>
        <w:t xml:space="preserve">5. </w:t>
      </w:r>
      <w:r>
        <w:rPr>
          <w:rFonts w:hint="eastAsia" w:ascii="宋体" w:hAnsi="宋体" w:eastAsia="宋体" w:cs="宋体"/>
          <w:color w:val="auto"/>
          <w:szCs w:val="21"/>
          <w:highlight w:val="none"/>
          <w:u w:val="none"/>
        </w:rPr>
        <w:t>为体现对环卫工人的关爱，</w:t>
      </w:r>
      <w:r>
        <w:rPr>
          <w:rFonts w:hint="eastAsia" w:ascii="宋体" w:hAnsi="宋体" w:eastAsia="宋体" w:cs="宋体"/>
          <w:color w:val="auto"/>
          <w:szCs w:val="21"/>
          <w:highlight w:val="none"/>
          <w:u w:val="none"/>
          <w:lang w:eastAsia="zh-CN"/>
        </w:rPr>
        <w:t>本项目</w:t>
      </w:r>
      <w:r>
        <w:rPr>
          <w:rFonts w:hint="eastAsia" w:ascii="宋体" w:hAnsi="宋体" w:eastAsia="宋体" w:cs="宋体"/>
          <w:color w:val="auto"/>
          <w:szCs w:val="21"/>
          <w:highlight w:val="none"/>
          <w:u w:val="none"/>
        </w:rPr>
        <w:t>每个标段内</w:t>
      </w:r>
      <w:r>
        <w:rPr>
          <w:rFonts w:hint="eastAsia" w:ascii="宋体" w:hAnsi="宋体" w:eastAsia="宋体" w:cs="宋体"/>
          <w:color w:val="auto"/>
          <w:szCs w:val="21"/>
          <w:highlight w:val="none"/>
          <w:u w:val="none"/>
          <w:lang w:eastAsia="zh-CN"/>
        </w:rPr>
        <w:t>均</w:t>
      </w:r>
      <w:r>
        <w:rPr>
          <w:rFonts w:hint="eastAsia" w:ascii="宋体" w:hAnsi="宋体" w:eastAsia="宋体" w:cs="宋体"/>
          <w:color w:val="auto"/>
          <w:szCs w:val="21"/>
          <w:highlight w:val="none"/>
          <w:u w:val="none"/>
        </w:rPr>
        <w:t>设置</w:t>
      </w:r>
      <w:r>
        <w:rPr>
          <w:rFonts w:hint="eastAsia" w:ascii="宋体" w:hAnsi="宋体" w:eastAsia="宋体" w:cs="宋体"/>
          <w:color w:val="auto"/>
          <w:szCs w:val="21"/>
          <w:highlight w:val="none"/>
          <w:u w:val="none"/>
          <w:lang w:eastAsia="zh-CN"/>
        </w:rPr>
        <w:t>了</w:t>
      </w:r>
      <w:r>
        <w:rPr>
          <w:rFonts w:hint="eastAsia" w:ascii="宋体" w:hAnsi="宋体" w:eastAsia="宋体" w:cs="宋体"/>
          <w:color w:val="auto"/>
          <w:szCs w:val="21"/>
          <w:highlight w:val="none"/>
          <w:u w:val="none"/>
        </w:rPr>
        <w:t>个环卫驿站</w:t>
      </w:r>
      <w:r>
        <w:rPr>
          <w:rFonts w:hint="eastAsia" w:ascii="宋体" w:hAnsi="宋体" w:eastAsia="宋体" w:cs="宋体"/>
          <w:color w:val="auto"/>
          <w:szCs w:val="21"/>
          <w:highlight w:val="none"/>
          <w:u w:val="none"/>
          <w:lang w:eastAsia="zh-CN"/>
        </w:rPr>
        <w:t>，详见附件</w:t>
      </w:r>
      <w:r>
        <w:rPr>
          <w:rFonts w:hint="eastAsia" w:ascii="宋体" w:hAnsi="宋体" w:eastAsia="宋体" w:cs="宋体"/>
          <w:color w:val="auto"/>
          <w:szCs w:val="21"/>
          <w:highlight w:val="none"/>
        </w:rPr>
        <w:t>。</w:t>
      </w:r>
    </w:p>
    <w:p>
      <w:pPr>
        <w:spacing w:line="400" w:lineRule="exact"/>
        <w:ind w:firstLine="211" w:firstLineChars="100"/>
        <w:rPr>
          <w:rFonts w:hint="eastAsia" w:ascii="宋体" w:hAnsi="宋体" w:eastAsia="宋体" w:cs="宋体"/>
          <w:color w:val="auto"/>
          <w:sz w:val="22"/>
          <w:szCs w:val="22"/>
          <w:highlight w:val="none"/>
          <w:u w:val="none"/>
        </w:rPr>
      </w:pPr>
      <w:r>
        <w:rPr>
          <w:rFonts w:hint="eastAsia" w:ascii="宋体" w:hAnsi="宋体" w:eastAsia="宋体" w:cs="宋体"/>
          <w:b/>
          <w:bCs/>
          <w:color w:val="auto"/>
          <w:szCs w:val="21"/>
          <w:highlight w:val="none"/>
        </w:rPr>
        <w:t xml:space="preserve">6. </w:t>
      </w:r>
      <w:r>
        <w:rPr>
          <w:rFonts w:hint="eastAsia" w:ascii="宋体" w:hAnsi="宋体" w:eastAsia="宋体" w:cs="宋体"/>
          <w:b/>
          <w:bCs/>
          <w:color w:val="auto"/>
          <w:szCs w:val="21"/>
          <w:highlight w:val="none"/>
        </w:rPr>
        <w:t>▲</w:t>
      </w:r>
      <w:r>
        <w:rPr>
          <w:rFonts w:hint="eastAsia" w:ascii="宋体" w:hAnsi="宋体" w:eastAsia="宋体" w:cs="宋体"/>
          <w:b/>
          <w:bCs/>
          <w:color w:val="auto"/>
          <w:sz w:val="22"/>
          <w:szCs w:val="22"/>
          <w:highlight w:val="none"/>
          <w:u w:val="single"/>
        </w:rPr>
        <w:t>本项目清扫保洁</w:t>
      </w:r>
      <w:r>
        <w:rPr>
          <w:rFonts w:hint="eastAsia" w:ascii="宋体" w:hAnsi="宋体" w:eastAsia="宋体" w:cs="宋体"/>
          <w:b/>
          <w:bCs/>
          <w:color w:val="auto"/>
          <w:sz w:val="22"/>
          <w:szCs w:val="22"/>
          <w:highlight w:val="none"/>
          <w:u w:val="single"/>
          <w:lang w:val="en-US" w:eastAsia="zh-CN"/>
        </w:rPr>
        <w:t>班次</w:t>
      </w:r>
      <w:r>
        <w:rPr>
          <w:rFonts w:hint="eastAsia" w:ascii="宋体" w:hAnsi="宋体" w:eastAsia="宋体" w:cs="宋体"/>
          <w:b/>
          <w:bCs/>
          <w:color w:val="auto"/>
          <w:sz w:val="22"/>
          <w:szCs w:val="22"/>
          <w:highlight w:val="none"/>
          <w:u w:val="single"/>
        </w:rPr>
        <w:t>必须按分项【</w:t>
      </w:r>
      <w:r>
        <w:rPr>
          <w:rFonts w:hint="eastAsia" w:ascii="宋体" w:hAnsi="宋体" w:eastAsia="宋体" w:cs="宋体"/>
          <w:b/>
          <w:bCs/>
          <w:color w:val="auto"/>
          <w:sz w:val="22"/>
          <w:szCs w:val="22"/>
          <w:highlight w:val="none"/>
          <w:u w:val="single"/>
          <w:lang w:val="en-US" w:eastAsia="zh-CN"/>
        </w:rPr>
        <w:t>全部</w:t>
      </w:r>
      <w:r>
        <w:rPr>
          <w:rFonts w:hint="eastAsia" w:ascii="宋体" w:hAnsi="宋体" w:eastAsia="宋体" w:cs="宋体"/>
          <w:b/>
          <w:bCs/>
          <w:color w:val="auto"/>
          <w:sz w:val="22"/>
          <w:szCs w:val="22"/>
          <w:highlight w:val="none"/>
          <w:u w:val="single"/>
        </w:rPr>
        <w:t>道路（包括开放式小区</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绿化带</w:t>
      </w:r>
      <w:r>
        <w:rPr>
          <w:rFonts w:hint="eastAsia" w:ascii="宋体" w:hAnsi="宋体" w:eastAsia="宋体" w:cs="宋体"/>
          <w:b/>
          <w:bCs/>
          <w:color w:val="auto"/>
          <w:sz w:val="22"/>
          <w:szCs w:val="22"/>
          <w:highlight w:val="none"/>
          <w:u w:val="single"/>
        </w:rPr>
        <w:t>）清扫保洁，</w:t>
      </w:r>
      <w:r>
        <w:rPr>
          <w:rFonts w:hint="eastAsia" w:ascii="宋体" w:hAnsi="宋体" w:eastAsia="宋体" w:cs="宋体"/>
          <w:b/>
          <w:bCs/>
          <w:color w:val="auto"/>
          <w:sz w:val="22"/>
          <w:szCs w:val="22"/>
          <w:highlight w:val="none"/>
          <w:u w:val="single"/>
          <w:lang w:val="en-US" w:eastAsia="zh-CN"/>
        </w:rPr>
        <w:t>机械化保洁</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包括清扫、洒水、冲洗</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，环卫设施（包括果壳箱、</w:t>
      </w:r>
      <w:r>
        <w:rPr>
          <w:rFonts w:hint="eastAsia" w:ascii="宋体" w:hAnsi="宋体" w:eastAsia="宋体" w:cs="宋体"/>
          <w:b/>
          <w:bCs/>
          <w:color w:val="auto"/>
          <w:sz w:val="22"/>
          <w:szCs w:val="22"/>
          <w:highlight w:val="none"/>
          <w:u w:val="single"/>
          <w:lang w:val="en-US" w:eastAsia="zh-CN"/>
        </w:rPr>
        <w:t>分类</w:t>
      </w:r>
      <w:r>
        <w:rPr>
          <w:rFonts w:hint="eastAsia" w:ascii="宋体" w:hAnsi="宋体" w:eastAsia="宋体" w:cs="宋体"/>
          <w:b/>
          <w:bCs/>
          <w:color w:val="auto"/>
          <w:sz w:val="22"/>
          <w:szCs w:val="22"/>
          <w:highlight w:val="none"/>
          <w:u w:val="single"/>
        </w:rPr>
        <w:t>垃圾桶、</w:t>
      </w:r>
      <w:r>
        <w:rPr>
          <w:rFonts w:hint="eastAsia" w:ascii="宋体" w:hAnsi="宋体" w:eastAsia="宋体" w:cs="宋体"/>
          <w:b/>
          <w:bCs/>
          <w:color w:val="auto"/>
          <w:sz w:val="22"/>
          <w:szCs w:val="22"/>
          <w:highlight w:val="none"/>
          <w:u w:val="single"/>
          <w:lang w:val="en-US" w:eastAsia="zh-CN"/>
        </w:rPr>
        <w:t>分类收集点、</w:t>
      </w:r>
      <w:r>
        <w:rPr>
          <w:rFonts w:hint="eastAsia" w:ascii="宋体" w:hAnsi="宋体" w:eastAsia="宋体" w:cs="宋体"/>
          <w:b/>
          <w:bCs/>
          <w:color w:val="auto"/>
          <w:sz w:val="22"/>
          <w:szCs w:val="22"/>
          <w:highlight w:val="none"/>
          <w:u w:val="single"/>
        </w:rPr>
        <w:t>灭烟柱、垃圾收集车、</w:t>
      </w:r>
      <w:r>
        <w:rPr>
          <w:rFonts w:hint="eastAsia" w:ascii="宋体" w:hAnsi="宋体" w:eastAsia="宋体" w:cs="宋体"/>
          <w:b/>
          <w:bCs/>
          <w:color w:val="auto"/>
          <w:sz w:val="22"/>
          <w:szCs w:val="22"/>
          <w:highlight w:val="none"/>
          <w:u w:val="single"/>
          <w:lang w:val="en-US" w:eastAsia="zh-CN"/>
        </w:rPr>
        <w:t>多功能垃圾房</w:t>
      </w:r>
      <w:r>
        <w:rPr>
          <w:rFonts w:hint="eastAsia" w:ascii="宋体" w:hAnsi="宋体" w:eastAsia="宋体" w:cs="宋体"/>
          <w:b/>
          <w:bCs/>
          <w:color w:val="auto"/>
          <w:sz w:val="22"/>
          <w:szCs w:val="22"/>
          <w:highlight w:val="none"/>
          <w:u w:val="single"/>
        </w:rPr>
        <w:t>）清洁</w:t>
      </w:r>
      <w:r>
        <w:rPr>
          <w:rFonts w:hint="eastAsia" w:ascii="宋体" w:hAnsi="宋体" w:eastAsia="宋体" w:cs="宋体"/>
          <w:b/>
          <w:bCs/>
          <w:color w:val="auto"/>
          <w:sz w:val="22"/>
          <w:szCs w:val="22"/>
          <w:highlight w:val="none"/>
          <w:u w:val="single"/>
          <w:lang w:val="en-US" w:eastAsia="zh-CN"/>
        </w:rPr>
        <w:t>和</w:t>
      </w:r>
      <w:r>
        <w:rPr>
          <w:rFonts w:hint="eastAsia" w:ascii="宋体" w:hAnsi="宋体" w:eastAsia="宋体" w:cs="宋体"/>
          <w:b/>
          <w:bCs/>
          <w:color w:val="auto"/>
          <w:sz w:val="22"/>
          <w:szCs w:val="22"/>
          <w:highlight w:val="none"/>
          <w:u w:val="single"/>
        </w:rPr>
        <w:t>小广告清除</w:t>
      </w:r>
      <w:r>
        <w:rPr>
          <w:rFonts w:hint="eastAsia" w:ascii="宋体" w:hAnsi="宋体" w:eastAsia="宋体" w:cs="宋体"/>
          <w:b/>
          <w:bCs/>
          <w:color w:val="auto"/>
          <w:sz w:val="22"/>
          <w:szCs w:val="22"/>
          <w:highlight w:val="none"/>
          <w:u w:val="single"/>
          <w:lang w:eastAsia="zh-CN"/>
        </w:rPr>
        <w:t>，垃圾分类收集、运输（垃圾分类要求</w:t>
      </w:r>
      <w:r>
        <w:rPr>
          <w:rFonts w:hint="eastAsia" w:ascii="宋体" w:hAnsi="宋体" w:eastAsia="宋体" w:cs="宋体"/>
          <w:b/>
          <w:bCs/>
          <w:color w:val="auto"/>
          <w:sz w:val="22"/>
          <w:szCs w:val="22"/>
          <w:highlight w:val="none"/>
          <w:u w:val="single"/>
          <w:lang w:val="en-US" w:eastAsia="zh-CN"/>
        </w:rPr>
        <w:t>及</w:t>
      </w:r>
      <w:r>
        <w:rPr>
          <w:rFonts w:hint="eastAsia" w:ascii="宋体" w:hAnsi="宋体" w:eastAsia="宋体" w:cs="宋体"/>
          <w:b/>
          <w:bCs/>
          <w:color w:val="auto"/>
          <w:sz w:val="22"/>
          <w:szCs w:val="22"/>
          <w:highlight w:val="none"/>
          <w:u w:val="single"/>
          <w:lang w:eastAsia="zh-CN"/>
        </w:rPr>
        <w:t>大件垃圾），环卫驿站维养、</w:t>
      </w:r>
      <w:r>
        <w:rPr>
          <w:rFonts w:hint="eastAsia" w:ascii="宋体" w:hAnsi="宋体" w:eastAsia="宋体" w:cs="宋体"/>
          <w:b/>
          <w:bCs/>
          <w:color w:val="auto"/>
          <w:sz w:val="22"/>
          <w:szCs w:val="22"/>
          <w:highlight w:val="none"/>
          <w:u w:val="single"/>
        </w:rPr>
        <w:t>公厕管养</w:t>
      </w:r>
      <w:r>
        <w:rPr>
          <w:rFonts w:hint="eastAsia" w:ascii="宋体" w:hAnsi="宋体" w:eastAsia="宋体" w:cs="宋体"/>
          <w:b/>
          <w:bCs/>
          <w:color w:val="auto"/>
          <w:sz w:val="22"/>
          <w:szCs w:val="22"/>
          <w:highlight w:val="none"/>
          <w:u w:val="single"/>
          <w:lang w:eastAsia="zh-CN"/>
        </w:rPr>
        <w:t>、化粪池抽运】</w:t>
      </w:r>
      <w:r>
        <w:rPr>
          <w:rFonts w:hint="eastAsia" w:ascii="宋体" w:hAnsi="宋体" w:eastAsia="宋体" w:cs="宋体"/>
          <w:b/>
          <w:bCs/>
          <w:color w:val="auto"/>
          <w:sz w:val="22"/>
          <w:szCs w:val="22"/>
          <w:highlight w:val="none"/>
          <w:u w:val="single"/>
        </w:rPr>
        <w:t>进行独立</w:t>
      </w:r>
      <w:r>
        <w:rPr>
          <w:rFonts w:hint="eastAsia" w:ascii="宋体" w:hAnsi="宋体" w:eastAsia="宋体" w:cs="宋体"/>
          <w:b/>
          <w:bCs/>
          <w:color w:val="auto"/>
          <w:sz w:val="22"/>
          <w:szCs w:val="22"/>
          <w:highlight w:val="none"/>
          <w:u w:val="single"/>
          <w:lang w:val="en-US" w:eastAsia="zh-CN"/>
        </w:rPr>
        <w:t>计算</w:t>
      </w:r>
      <w:r>
        <w:rPr>
          <w:rFonts w:hint="eastAsia" w:ascii="宋体" w:hAnsi="宋体" w:eastAsia="宋体" w:cs="宋体"/>
          <w:b/>
          <w:bCs/>
          <w:color w:val="auto"/>
          <w:sz w:val="22"/>
          <w:szCs w:val="22"/>
          <w:highlight w:val="none"/>
          <w:u w:val="single"/>
        </w:rPr>
        <w:t>。</w:t>
      </w:r>
    </w:p>
    <w:p>
      <w:pPr>
        <w:spacing w:line="400" w:lineRule="exact"/>
        <w:ind w:firstLine="660" w:firstLineChars="300"/>
        <w:rPr>
          <w:rFonts w:hint="default"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u w:val="none"/>
          <w:lang w:val="en-US" w:eastAsia="zh-CN"/>
        </w:rPr>
        <w:t>以上编制依据可参照2006版《浙江省城市环境卫生劳动定额》。</w:t>
      </w:r>
    </w:p>
    <w:p>
      <w:pPr>
        <w:spacing w:line="400" w:lineRule="exact"/>
        <w:ind w:firstLine="221" w:firstLineChars="100"/>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Cs w:val="21"/>
          <w:highlight w:val="none"/>
        </w:rPr>
        <w:t>▲</w:t>
      </w:r>
      <w:r>
        <w:rPr>
          <w:rFonts w:hint="eastAsia" w:ascii="宋体" w:hAnsi="宋体" w:eastAsia="宋体" w:cs="宋体"/>
          <w:color w:val="auto"/>
          <w:sz w:val="22"/>
          <w:szCs w:val="22"/>
          <w:highlight w:val="none"/>
          <w:u w:val="single"/>
          <w:lang w:val="en-US" w:eastAsia="zh-CN"/>
        </w:rPr>
        <w:t>本项目单价报价设置最高限价</w:t>
      </w:r>
      <w:r>
        <w:rPr>
          <w:rFonts w:hint="eastAsia" w:ascii="宋体" w:hAnsi="宋体" w:eastAsia="宋体" w:cs="宋体"/>
          <w:b/>
          <w:color w:val="auto"/>
          <w:sz w:val="22"/>
          <w:szCs w:val="22"/>
          <w:highlight w:val="none"/>
        </w:rPr>
        <w:t>：</w:t>
      </w:r>
    </w:p>
    <w:tbl>
      <w:tblPr>
        <w:tblStyle w:val="58"/>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3"/>
        <w:gridCol w:w="2416"/>
        <w:gridCol w:w="2303"/>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类型</w:t>
            </w:r>
          </w:p>
        </w:tc>
        <w:tc>
          <w:tcPr>
            <w:tcW w:w="122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每年单价（最高限价）</w:t>
            </w:r>
          </w:p>
        </w:tc>
        <w:tc>
          <w:tcPr>
            <w:tcW w:w="1170"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147" w:type="pct"/>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19.89</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15.89</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12.23</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9.08</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绿化单价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公厕单价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60000</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（元∕座）</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环卫驿站维养</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（元∕座）</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auto"/>
                <w:sz w:val="22"/>
                <w:szCs w:val="22"/>
                <w:highlight w:val="none"/>
                <w:u w:val="none"/>
              </w:rPr>
            </w:pPr>
          </w:p>
        </w:tc>
      </w:tr>
    </w:tbl>
    <w:p>
      <w:pPr>
        <w:pStyle w:val="79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注：同一标项内的同一类型的道路（或绿化或公厕管养或</w:t>
      </w:r>
      <w:r>
        <w:rPr>
          <w:rFonts w:hint="eastAsia" w:ascii="宋体" w:hAnsi="宋体" w:eastAsia="宋体" w:cs="宋体"/>
          <w:b/>
          <w:bCs/>
          <w:i w:val="0"/>
          <w:iCs w:val="0"/>
          <w:color w:val="auto"/>
          <w:kern w:val="0"/>
          <w:sz w:val="22"/>
          <w:szCs w:val="22"/>
          <w:highlight w:val="none"/>
          <w:u w:val="single"/>
          <w:lang w:val="en-US" w:eastAsia="zh-CN" w:bidi="ar"/>
        </w:rPr>
        <w:t>环卫驿站维养</w:t>
      </w:r>
      <w:r>
        <w:rPr>
          <w:rFonts w:hint="eastAsia" w:ascii="宋体" w:hAnsi="宋体" w:eastAsia="宋体" w:cs="宋体"/>
          <w:b/>
          <w:bCs/>
          <w:color w:val="auto"/>
          <w:kern w:val="2"/>
          <w:sz w:val="22"/>
          <w:szCs w:val="22"/>
          <w:highlight w:val="none"/>
          <w:u w:val="single"/>
          <w:lang w:val="en-US" w:eastAsia="zh-CN" w:bidi="ar-SA"/>
        </w:rPr>
        <w:t>）填报单价必须一致。</w:t>
      </w:r>
    </w:p>
    <w:p>
      <w:pPr>
        <w:pStyle w:val="799"/>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u w:val="single"/>
          <w:lang w:val="en-US" w:eastAsia="zh-CN" w:bidi="ar-SA"/>
        </w:rPr>
        <w:t>中标供应商在签订合同后进场前需提供排班表格给属地街道（镇）和采购人，并于每月25日前（遇节假日顺延）上报下个月的排班人员表格，如中标供应商</w:t>
      </w:r>
      <w:r>
        <w:rPr>
          <w:rFonts w:hint="eastAsia" w:ascii="宋体" w:hAnsi="宋体" w:eastAsia="宋体" w:cs="宋体"/>
          <w:color w:val="auto"/>
          <w:sz w:val="22"/>
          <w:szCs w:val="22"/>
          <w:highlight w:val="none"/>
          <w:lang w:eastAsia="zh-CN"/>
        </w:rPr>
        <w:t>连续2个月或年累计3个月</w:t>
      </w:r>
      <w:r>
        <w:rPr>
          <w:rFonts w:hint="eastAsia" w:ascii="宋体" w:hAnsi="宋体" w:eastAsia="宋体" w:cs="宋体"/>
          <w:color w:val="auto"/>
          <w:sz w:val="22"/>
          <w:szCs w:val="22"/>
          <w:highlight w:val="none"/>
          <w:lang w:val="en-US" w:eastAsia="zh-CN"/>
        </w:rPr>
        <w:t>不上报排班人员表格</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采购人有权解除合同。</w:t>
      </w: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sz w:val="22"/>
          <w:szCs w:val="22"/>
          <w:highlight w:val="none"/>
          <w:lang w:val="en-US" w:eastAsia="zh-CN"/>
        </w:rPr>
      </w:pP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sz w:val="22"/>
          <w:szCs w:val="22"/>
          <w:highlight w:val="none"/>
          <w:lang w:val="en-US" w:eastAsia="zh-CN"/>
        </w:rPr>
      </w:pP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sz w:val="22"/>
          <w:szCs w:val="22"/>
          <w:highlight w:val="none"/>
          <w:lang w:val="en-US" w:eastAsia="zh-CN"/>
        </w:rPr>
      </w:pP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sz w:val="22"/>
          <w:szCs w:val="22"/>
          <w:highlight w:val="none"/>
          <w:lang w:val="en-US" w:eastAsia="zh-CN"/>
        </w:rPr>
      </w:pP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sz w:val="22"/>
          <w:szCs w:val="22"/>
          <w:highlight w:val="none"/>
          <w:lang w:val="en-US" w:eastAsia="zh-CN"/>
        </w:rPr>
      </w:pP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sz w:val="22"/>
          <w:szCs w:val="22"/>
          <w:highlight w:val="none"/>
          <w:lang w:val="en-US" w:eastAsia="zh-CN"/>
        </w:rPr>
        <w:sectPr>
          <w:headerReference r:id="rId13" w:type="first"/>
          <w:footerReference r:id="rId15" w:type="first"/>
          <w:headerReference r:id="rId12" w:type="default"/>
          <w:footerReference r:id="rId14" w:type="default"/>
          <w:pgSz w:w="11906" w:h="16838"/>
          <w:pgMar w:top="1134" w:right="1134" w:bottom="1134" w:left="1134" w:header="851" w:footer="851" w:gutter="0"/>
          <w:pgNumType w:fmt="decimal"/>
          <w:cols w:space="720" w:num="1"/>
          <w:titlePg/>
          <w:docGrid w:linePitch="312" w:charSpace="0"/>
        </w:sectPr>
      </w:pPr>
    </w:p>
    <w:p>
      <w:pPr>
        <w:pStyle w:val="7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9、中标后中标供应商需提供的排班人员表格（不少于投标时承诺的排班数）：</w:t>
      </w:r>
    </w:p>
    <w:tbl>
      <w:tblPr>
        <w:tblStyle w:val="58"/>
        <w:tblW w:w="14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335"/>
        <w:gridCol w:w="1335"/>
        <w:gridCol w:w="1335"/>
        <w:gridCol w:w="1335"/>
        <w:gridCol w:w="1335"/>
        <w:gridCol w:w="690"/>
        <w:gridCol w:w="1737"/>
        <w:gridCol w:w="1443"/>
        <w:gridCol w:w="102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13725"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楷体" w:hAnsi="楷体" w:eastAsia="楷体" w:cs="楷体"/>
                <w:i w:val="0"/>
                <w:iCs w:val="0"/>
                <w:color w:val="auto"/>
                <w:sz w:val="48"/>
                <w:szCs w:val="48"/>
                <w:highlight w:val="none"/>
                <w:u w:val="none"/>
              </w:rPr>
            </w:pPr>
            <w:r>
              <w:rPr>
                <w:rFonts w:hint="eastAsia" w:ascii="宋体" w:hAnsi="宋体" w:eastAsia="宋体" w:cs="宋体"/>
                <w:i w:val="0"/>
                <w:iCs w:val="0"/>
                <w:color w:val="auto"/>
                <w:kern w:val="0"/>
                <w:sz w:val="32"/>
                <w:szCs w:val="32"/>
                <w:highlight w:val="none"/>
                <w:u w:val="none"/>
                <w:lang w:val="en-US" w:eastAsia="zh-CN" w:bidi="ar"/>
              </w:rPr>
              <w:t>年  月道路清扫排班人员表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85" w:type="dxa"/>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Cs w:val="21"/>
                <w:highlight w:val="none"/>
                <w:lang w:val="en-US" w:eastAsia="zh-CN"/>
              </w:rPr>
              <w:t>投入全部</w:t>
            </w:r>
            <w:r>
              <w:rPr>
                <w:rFonts w:hint="eastAsia" w:ascii="宋体" w:hAnsi="宋体" w:eastAsia="宋体" w:cs="宋体"/>
                <w:color w:val="auto"/>
                <w:szCs w:val="21"/>
                <w:highlight w:val="none"/>
              </w:rPr>
              <w:t>道路</w:t>
            </w:r>
            <w:r>
              <w:rPr>
                <w:rFonts w:hint="eastAsia" w:ascii="宋体" w:hAnsi="宋体" w:eastAsia="宋体" w:cs="宋体"/>
                <w:color w:val="auto"/>
                <w:szCs w:val="21"/>
                <w:highlight w:val="none"/>
                <w:lang w:val="en-US" w:eastAsia="zh-CN"/>
              </w:rPr>
              <w:t>（包括开放式小区、</w:t>
            </w:r>
            <w:r>
              <w:rPr>
                <w:rFonts w:hint="eastAsia" w:ascii="宋体" w:hAnsi="宋体" w:eastAsia="宋体" w:cs="宋体"/>
                <w:color w:val="auto"/>
                <w:szCs w:val="21"/>
                <w:highlight w:val="none"/>
              </w:rPr>
              <w:t>绿化带</w:t>
            </w:r>
            <w:r>
              <w:rPr>
                <w:rFonts w:hint="eastAsia" w:ascii="宋体" w:hAnsi="宋体" w:eastAsia="宋体" w:cs="宋体"/>
                <w:color w:val="auto"/>
                <w:szCs w:val="21"/>
                <w:highlight w:val="none"/>
                <w:lang w:val="en-US" w:eastAsia="zh-CN"/>
              </w:rPr>
              <w:t>）人工</w:t>
            </w:r>
            <w:r>
              <w:rPr>
                <w:rFonts w:hint="eastAsia" w:ascii="宋体" w:hAnsi="宋体" w:eastAsia="宋体" w:cs="宋体"/>
                <w:color w:val="auto"/>
                <w:szCs w:val="21"/>
                <w:highlight w:val="none"/>
              </w:rPr>
              <w:t>清扫保洁</w:t>
            </w:r>
            <w:r>
              <w:rPr>
                <w:rFonts w:hint="eastAsia" w:ascii="宋体" w:hAnsi="宋体" w:eastAsia="宋体" w:cs="宋体"/>
                <w:color w:val="auto"/>
                <w:szCs w:val="21"/>
                <w:highlight w:val="none"/>
                <w:lang w:val="en-US" w:eastAsia="zh-CN"/>
              </w:rPr>
              <w:t>排班数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道路名称（或开放式小区名称）</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道路等级</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作业类别</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工作时间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人员姓名</w:t>
            </w:r>
          </w:p>
        </w:tc>
        <w:tc>
          <w:tcPr>
            <w:tcW w:w="69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性别</w:t>
            </w:r>
          </w:p>
        </w:tc>
        <w:tc>
          <w:tcPr>
            <w:tcW w:w="173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身份证号</w:t>
            </w:r>
          </w:p>
        </w:tc>
        <w:tc>
          <w:tcPr>
            <w:tcW w:w="144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联系电话</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排班数</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5" w:type="dxa"/>
            <w:gridSpan w:val="9"/>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汇总（排班数）</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85"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投入全部道路机械化保洁（包括清扫、洒水、冲洗，不包括人工清扫、洒水、冲洗。）排班数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道路名称</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道路等级</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作业类别</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工作时间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人员姓名</w:t>
            </w:r>
          </w:p>
        </w:tc>
        <w:tc>
          <w:tcPr>
            <w:tcW w:w="69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性别</w:t>
            </w:r>
          </w:p>
        </w:tc>
        <w:tc>
          <w:tcPr>
            <w:tcW w:w="173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身份证号</w:t>
            </w:r>
          </w:p>
        </w:tc>
        <w:tc>
          <w:tcPr>
            <w:tcW w:w="144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联系电话</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排班数</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5" w:type="dxa"/>
            <w:gridSpan w:val="9"/>
            <w:tcBorders>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汇总（排班数）</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85"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投入全部环卫设施（包括果壳箱、分类垃圾桶、分类收集点、灭烟柱、垃圾收集车、多功能垃圾房）清洁和小广告清除排班数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道路名称</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道路等级</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作业类别</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工作时间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人员姓名</w:t>
            </w:r>
          </w:p>
        </w:tc>
        <w:tc>
          <w:tcPr>
            <w:tcW w:w="69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性别</w:t>
            </w:r>
          </w:p>
        </w:tc>
        <w:tc>
          <w:tcPr>
            <w:tcW w:w="173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身份证号</w:t>
            </w:r>
          </w:p>
        </w:tc>
        <w:tc>
          <w:tcPr>
            <w:tcW w:w="144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联系电话</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排班数</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w:t>
            </w: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5" w:type="dxa"/>
            <w:gridSpan w:val="9"/>
            <w:tcBorders>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汇总（排班数）</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85" w:type="dxa"/>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投入全部垃圾分类收集、运输排班数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道路名称</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道路等级</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作业类别</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工作时间</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人员姓名</w:t>
            </w:r>
          </w:p>
        </w:tc>
        <w:tc>
          <w:tcPr>
            <w:tcW w:w="69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性别</w:t>
            </w:r>
          </w:p>
        </w:tc>
        <w:tc>
          <w:tcPr>
            <w:tcW w:w="173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身份证号</w:t>
            </w:r>
          </w:p>
        </w:tc>
        <w:tc>
          <w:tcPr>
            <w:tcW w:w="144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联系电话</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排班数</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p>
            <w:pPr>
              <w:jc w:val="center"/>
              <w:rPr>
                <w:rFonts w:hint="eastAsia" w:ascii="宋体" w:hAnsi="宋体" w:eastAsia="宋体" w:cs="宋体"/>
                <w:i w:val="0"/>
                <w:iCs w:val="0"/>
                <w:color w:val="auto"/>
                <w:kern w:val="2"/>
                <w:sz w:val="22"/>
                <w:szCs w:val="22"/>
                <w:highlight w:val="none"/>
                <w:u w:val="none"/>
                <w:lang w:val="en-US" w:eastAsia="zh-CN" w:bidi="ar-SA"/>
              </w:rPr>
            </w:pPr>
          </w:p>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p>
            <w:pPr>
              <w:jc w:val="center"/>
              <w:rPr>
                <w:rFonts w:hint="eastAsia" w:ascii="宋体" w:hAnsi="宋体" w:eastAsia="宋体" w:cs="宋体"/>
                <w:i w:val="0"/>
                <w:iCs w:val="0"/>
                <w:color w:val="auto"/>
                <w:kern w:val="2"/>
                <w:sz w:val="22"/>
                <w:szCs w:val="22"/>
                <w:highlight w:val="none"/>
                <w:u w:val="none"/>
                <w:lang w:val="en-US" w:eastAsia="zh-CN" w:bidi="ar-SA"/>
              </w:rPr>
            </w:pPr>
          </w:p>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335" w:type="dxa"/>
            <w:vMerge w:val="restart"/>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rPr>
              <w:t>......</w:t>
            </w:r>
          </w:p>
        </w:tc>
        <w:tc>
          <w:tcPr>
            <w:tcW w:w="1335" w:type="dxa"/>
            <w:vMerge w:val="restart"/>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restart"/>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6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737"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443"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5" w:type="dxa"/>
            <w:gridSpan w:val="9"/>
            <w:tcBorders>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汇总（排班数）</w:t>
            </w:r>
          </w:p>
        </w:tc>
        <w:tc>
          <w:tcPr>
            <w:tcW w:w="1020" w:type="dxa"/>
            <w:tcBorders>
              <w:top w:val="single" w:color="000000" w:sz="4" w:space="0"/>
              <w:left w:val="single" w:color="auto"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bl>
    <w:p>
      <w:pPr>
        <w:spacing w:line="380" w:lineRule="exact"/>
        <w:jc w:val="center"/>
        <w:rPr>
          <w:rFonts w:hint="eastAsia" w:ascii="宋体" w:hAnsi="宋体" w:eastAsia="宋体" w:cs="宋体"/>
          <w:b/>
          <w:bCs/>
          <w:color w:val="auto"/>
          <w:sz w:val="28"/>
          <w:szCs w:val="28"/>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采购内容相关资料</w:t>
      </w:r>
      <w:r>
        <w:rPr>
          <w:rFonts w:hint="eastAsia" w:ascii="宋体" w:hAnsi="宋体" w:eastAsia="宋体" w:cs="宋体"/>
          <w:b/>
          <w:bCs/>
          <w:color w:val="auto"/>
          <w:sz w:val="22"/>
          <w:szCs w:val="22"/>
          <w:highlight w:val="none"/>
        </w:rPr>
        <w:t xml:space="preserve">（通用 </w:t>
      </w:r>
      <w:r>
        <w:rPr>
          <w:rFonts w:hint="eastAsia" w:ascii="宋体" w:hAnsi="宋体" w:eastAsia="宋体" w:cs="宋体"/>
          <w:b/>
          <w:bCs/>
          <w:color w:val="auto"/>
          <w:sz w:val="22"/>
          <w:szCs w:val="22"/>
          <w:highlight w:val="none"/>
          <w:lang w:eastAsia="zh-CN"/>
        </w:rPr>
        <w:t>标项一、二、三</w:t>
      </w:r>
      <w:r>
        <w:rPr>
          <w:rFonts w:hint="eastAsia" w:ascii="宋体" w:hAnsi="宋体" w:eastAsia="宋体" w:cs="宋体"/>
          <w:b/>
          <w:bCs/>
          <w:color w:val="auto"/>
          <w:sz w:val="22"/>
          <w:szCs w:val="22"/>
          <w:highlight w:val="none"/>
        </w:rPr>
        <w:t>）</w:t>
      </w:r>
    </w:p>
    <w:p>
      <w:pPr>
        <w:spacing w:line="380" w:lineRule="exact"/>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 鹿城区市场化道路清扫保洁质量考核评分细则（本考核标准若与最新政策文件规定不一致的，应按最新政策文件规定进行调整）</w:t>
      </w:r>
    </w:p>
    <w:p>
      <w:pPr>
        <w:pStyle w:val="5"/>
        <w:rPr>
          <w:rFonts w:hint="eastAsia" w:ascii="宋体" w:hAnsi="宋体" w:eastAsia="宋体" w:cs="宋体"/>
          <w:color w:val="auto"/>
          <w:sz w:val="22"/>
          <w:szCs w:val="22"/>
          <w:highlight w:val="none"/>
        </w:rPr>
      </w:pPr>
    </w:p>
    <w:p>
      <w:pPr>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一、鹿城区一、二级道路精细化作业评分细则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对中标供应商的考核</w:t>
      </w:r>
      <w:r>
        <w:rPr>
          <w:rFonts w:hint="eastAsia" w:ascii="宋体" w:hAnsi="宋体" w:eastAsia="宋体" w:cs="宋体"/>
          <w:b/>
          <w:color w:val="auto"/>
          <w:sz w:val="22"/>
          <w:szCs w:val="22"/>
          <w:highlight w:val="none"/>
          <w:lang w:eastAsia="zh-CN"/>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772"/>
        <w:gridCol w:w="679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35"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5772"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质量（工作）标准</w:t>
            </w:r>
          </w:p>
        </w:tc>
        <w:tc>
          <w:tcPr>
            <w:tcW w:w="6790"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089"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r>
              <w:rPr>
                <w:rFonts w:hint="eastAsia" w:ascii="宋体" w:hAnsi="宋体" w:eastAsia="宋体" w:cs="宋体"/>
                <w:b/>
                <w:color w:val="auto"/>
                <w:sz w:val="22"/>
                <w:szCs w:val="22"/>
                <w:highlight w:val="none"/>
              </w:rPr>
              <w:br w:type="textWrapping"/>
            </w:r>
            <w:r>
              <w:rPr>
                <w:rFonts w:hint="eastAsia" w:ascii="宋体" w:hAnsi="宋体" w:eastAsia="宋体" w:cs="宋体"/>
                <w:b/>
                <w:color w:val="auto"/>
                <w:sz w:val="22"/>
                <w:szCs w:val="22"/>
                <w:highlight w:val="none"/>
              </w:rPr>
              <w:t>（100</w:t>
            </w:r>
            <w:r>
              <w:rPr>
                <w:rFonts w:hint="eastAsia" w:ascii="宋体" w:hAnsi="宋体" w:eastAsia="宋体" w:cs="宋体"/>
                <w:b/>
                <w:color w:val="auto"/>
                <w:sz w:val="22"/>
                <w:szCs w:val="22"/>
                <w:highlight w:val="none"/>
                <w:lang w:eastAsia="zh-CN"/>
              </w:rPr>
              <w:t>分</w:t>
            </w:r>
            <w:r>
              <w:rPr>
                <w:rFonts w:hint="eastAsia" w:ascii="宋体" w:hAnsi="宋体" w:eastAsia="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普扫质量考核标准</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一日三次普扫，第一次在6：00前完成，第二次在13：00前完成，第三次在17:00前完成。</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未开展普扫扣10分；普查工作未完成扣5分；垃圾未及时清理的，每处扣3分；普扫盲点和卫生死角每处扣5分。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动态保洁质量考核标准</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动态保洁时间内，果皮果壳、纸屑、痰迹，烟蒂等（包括绿地、绿化带等）应控制在每1000米（不足1000米取附近路段凑足，并按一条道路进行考核）少于15处的指标之内。无积泥沙、无积污水、边角侧石干净、无垃圾堆、无绿化带垃圾、无明显杂草、无树穴不洁、无袋装垃圾等。</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果皮果壳、纸屑、痰迹，烟蒂等（包括绿地、绿化带等）1000米长度内超过15处，每处扣2分；</w:t>
            </w:r>
            <w:r>
              <w:rPr>
                <w:rFonts w:hint="eastAsia" w:ascii="宋体" w:hAnsi="宋体" w:eastAsia="宋体" w:cs="宋体"/>
                <w:color w:val="auto"/>
                <w:sz w:val="22"/>
                <w:szCs w:val="22"/>
                <w:highlight w:val="none"/>
                <w:lang w:val="en-US" w:eastAsia="zh-CN"/>
              </w:rPr>
              <w:t>路两旁及隔离护栏下</w:t>
            </w:r>
            <w:r>
              <w:rPr>
                <w:rFonts w:hint="eastAsia" w:ascii="宋体" w:hAnsi="宋体" w:eastAsia="宋体" w:cs="宋体"/>
                <w:color w:val="auto"/>
                <w:sz w:val="22"/>
                <w:szCs w:val="22"/>
                <w:highlight w:val="none"/>
              </w:rPr>
              <w:t>积泥沙、积污水、边角侧石不洁、垃圾堆放等大于1㎡每处扣2分；杂草每处扣0.5分；袋装垃圾每处扣2分；绿化带不洁每处扣1分；窨井盖沟槽不洁每处扣1分；乱张贴乱涂写每处3分；</w:t>
            </w:r>
            <w:r>
              <w:rPr>
                <w:rFonts w:hint="eastAsia" w:ascii="宋体" w:hAnsi="宋体" w:eastAsia="宋体" w:cs="宋体"/>
                <w:color w:val="auto"/>
                <w:sz w:val="22"/>
                <w:szCs w:val="22"/>
                <w:highlight w:val="none"/>
                <w:lang w:val="en-US" w:eastAsia="zh-CN"/>
              </w:rPr>
              <w:t>伸缩缝未清理，</w:t>
            </w:r>
            <w:r>
              <w:rPr>
                <w:rFonts w:hint="eastAsia" w:ascii="宋体" w:hAnsi="宋体" w:eastAsia="宋体" w:cs="宋体"/>
                <w:color w:val="auto"/>
                <w:sz w:val="22"/>
                <w:szCs w:val="22"/>
                <w:highlight w:val="none"/>
              </w:rPr>
              <w:t>树穴不洁、绿地内停放共享单车，每处扣1分。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环卫设施维护标准</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废物箱（果壳箱、垃圾桶）垃圾收集车辆（含机动车和非机动车）垃圾坞一日一洗；果壳箱、垃圾坞等环卫设施</w:t>
            </w:r>
            <w:r>
              <w:rPr>
                <w:rFonts w:hint="eastAsia" w:ascii="宋体" w:hAnsi="宋体" w:eastAsia="宋体" w:cs="宋体"/>
                <w:color w:val="auto"/>
                <w:sz w:val="22"/>
                <w:szCs w:val="22"/>
                <w:highlight w:val="none"/>
                <w:lang w:val="en-US" w:eastAsia="zh-CN"/>
              </w:rPr>
              <w:t>和城市家具保持清洁</w:t>
            </w:r>
            <w:r>
              <w:rPr>
                <w:rFonts w:hint="eastAsia" w:ascii="宋体" w:hAnsi="宋体" w:eastAsia="宋体" w:cs="宋体"/>
                <w:color w:val="auto"/>
                <w:sz w:val="22"/>
                <w:szCs w:val="22"/>
                <w:highlight w:val="none"/>
              </w:rPr>
              <w:t>无破损，无积垢，垃圾无外溢；及时清空，保证距垃圾分类收集容器0.5m外无臭味且周围2-3米内应无散落、存留垃圾及污水。垃圾容器封闭，无四害孳生，管理规范，做到日产日清。</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果壳箱、垃圾收集车等设施不洁的，每只（辆）扣2分；设施破损的每只（辆）扣3分；未“一日一洗”的每只（辆）扣3分；果壳箱未按规定设置的每处扣5分；未及时关门、加盖的每处扣2分；设施四害孳生的每处扣10分；垃圾坞垃圾外溢未及时清理的，每处扣3分；垃圾桶垃圾外溢未及时清理每处扣3分，违规摆放垃圾桶每处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垃圾坞、路灯杆、护栏、交通隔离栏等城市家具未清洗的，每处扣 1 分；清洗不到位的，每处扣 0.5 分</w:t>
            </w:r>
            <w:r>
              <w:rPr>
                <w:rFonts w:hint="eastAsia" w:ascii="宋体" w:hAnsi="宋体" w:eastAsia="宋体" w:cs="宋体"/>
                <w:color w:val="auto"/>
                <w:sz w:val="22"/>
                <w:szCs w:val="22"/>
                <w:highlight w:val="none"/>
              </w:rPr>
              <w:t>。</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规范作业考核标准</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作业人员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5米；不得焚烧垃圾；垃圾运输实行密闭，不得超高运输和吊挂杂物；严禁作业人员擅自向责任区内单位收取各种费用；上门收集一日三次、摇铃提示；及时处理各类交办件；已开展定时定点垃圾收运的道路，保洁人员应在规定时间内按规定分类收集，禁止混装混运。</w:t>
            </w:r>
          </w:p>
        </w:tc>
        <w:tc>
          <w:tcPr>
            <w:tcW w:w="6790" w:type="dxa"/>
            <w:noWrap w:val="0"/>
            <w:vAlign w:val="center"/>
          </w:tcPr>
          <w:p>
            <w:pPr>
              <w:ind w:firstLine="440" w:firstLineChars="200"/>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根据排班人员表格检查到人员不在岗的或者排班班数少于投标承诺数，发现一次扣10分；</w:t>
            </w:r>
            <w:r>
              <w:rPr>
                <w:rFonts w:hint="eastAsia" w:ascii="宋体" w:hAnsi="宋体" w:eastAsia="宋体" w:cs="宋体"/>
                <w:color w:val="auto"/>
                <w:sz w:val="22"/>
                <w:szCs w:val="22"/>
                <w:highlight w:val="none"/>
              </w:rPr>
              <w:t>发现违反劳动纪律的，每人每次扣2分；未穿着工作服或反光安全服的，每人每次扣2分；垃圾扫入窨井、花坛、绿化带的每次扣3分；作业中出现漏扫、甩扫的每次扣2分；交接班出现空档的每次扣3分；未过界5米双方各扣5分；焚烧垃圾的每次扣5分；垃圾未实行密闭运输的每辆车扣2分；拖挂杂物的每次扣2分；擅自收费的每次扣5分；动态保洁时间未按规定要求作业的每次扣3分；未实行上门收集、摇铃提示的每次扣5分，次数达不到标准的每次扣1分；未及时处理交办件的每件扣5分；保洁人员未在规定时间内做好分类收集、混装混运的每次扣5分。</w:t>
            </w:r>
            <w:r>
              <w:rPr>
                <w:rFonts w:hint="eastAsia" w:ascii="宋体" w:hAnsi="宋体" w:eastAsia="宋体" w:cs="宋体"/>
                <w:color w:val="auto"/>
                <w:sz w:val="22"/>
                <w:szCs w:val="22"/>
                <w:highlight w:val="none"/>
                <w:lang w:val="en-US" w:eastAsia="zh-CN"/>
              </w:rPr>
              <w:t>保洁人员乱穿、乱闯交通信号灯，攀爬隔离护栏的，每次扣 1 分。人员出勤率低于90%的，每下降1%扣1分。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机械清扫考核标准</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扫到边、到位效果明显，路面无垃圾、无积泥、无沙石；作业期间基本无扬尘、清扫途中无垃圾撒落；垃圾在指定地点倾倒，不得随意倾倒、偷倒、乱倒垃圾；严格按照范围、路线、时间进行机扫作业，不得随意变更。机械化作业其他要求参照市《城市道路机械化清扫保洁考核细则》执行。</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未按规定机扫到边等现象，每处扣2分（5米为1处）。</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保洁车辆未设置明显反光标识的，每辆扣2分。</w:t>
            </w:r>
          </w:p>
          <w:p>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扫路面发现垃圾、积泥、沙石的一次扣3分；作业时扬尘或清扫途中垃圾撒落的一次扣3分；发现机械清扫车随意倾倒、偷倒、乱倒垃圾的一次扣10分；随意变更机扫范围、路线、时间的一次扣1.5分。清扫保洁作业不规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未沿车行道侧石进行全路段清扫、刷盘未到位、未实行喷水压尘、</w:t>
            </w:r>
            <w:r>
              <w:rPr>
                <w:rFonts w:hint="eastAsia" w:ascii="宋体" w:hAnsi="宋体" w:eastAsia="宋体" w:cs="宋体"/>
                <w:color w:val="auto"/>
                <w:sz w:val="22"/>
                <w:szCs w:val="22"/>
                <w:highlight w:val="none"/>
              </w:rPr>
              <w:t>导致路面扬尘的每次扣1分。机扫车清扫时车速超过10公里/小时的，每发生一次扣2分。未喷水压尘的每发生一次扣2分。车辆未安装、运行车载GPS系统的，每发现一次，一辆车扣2分。未按《城市道路机械化清扫保洁考核细则》规定的参照该细则扣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道路冲洗考核标准</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行道包括侧石、花岗岩路面，平石实行人工冲刷，路面无积垢、无灰尘、无烟蒂、无果壳散落、无乱张贴乱涂写；机动车道为冲水路段，要求水冲后无灰尘、无烟蒂、无果壳等杂物散落；冲洗路面时如发现路面有垃圾应及时清理，洒水、冲洗等作业不少于标准要求。</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人行道积泥积尘每处扣3分；未按规定次数标准冲洗、洒水路面，冲洗路面时路面有垃圾未及时清理的每次扣5分。</w:t>
            </w:r>
            <w:r>
              <w:rPr>
                <w:rFonts w:hint="eastAsia" w:ascii="宋体" w:hAnsi="宋体" w:eastAsia="宋体" w:cs="宋体"/>
                <w:color w:val="auto"/>
                <w:kern w:val="0"/>
                <w:sz w:val="22"/>
                <w:szCs w:val="22"/>
                <w:highlight w:val="none"/>
                <w:lang w:val="en-US" w:eastAsia="zh-CN" w:bidi="ar-SA"/>
              </w:rPr>
              <w:t>交通护栏清洗一周少于2次的，发现一次扣3分。交通护栏隔离护栏下有明显淤（积）泥、成片垃圾和积水，发现一次扣3分。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平台管控（车辆 GPS）</w:t>
            </w:r>
          </w:p>
          <w:p>
            <w:pPr>
              <w:jc w:val="center"/>
              <w:rPr>
                <w:rFonts w:hint="eastAsia" w:ascii="宋体" w:hAnsi="宋体" w:eastAsia="宋体" w:cs="宋体"/>
                <w:color w:val="auto"/>
                <w:kern w:val="2"/>
                <w:sz w:val="22"/>
                <w:szCs w:val="22"/>
                <w:highlight w:val="none"/>
                <w:lang w:val="en-US" w:eastAsia="zh-CN" w:bidi="ar-SA"/>
              </w:rPr>
            </w:pP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1、各级道路需按《温州市道路清扫保洁质量要求与作业规范》要求，落实洒水、冲洗、机扫频次。每月度合理做好车辆排班安排，设定机械化作业里程数。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2、机械化作业时确保车辆 GPS 正常开启、按照规定路线、时间、频次作业，不得随意变更。 </w:t>
            </w:r>
          </w:p>
          <w:p>
            <w:pPr>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3、洒水车车速不宜超过 25Km/h，高压冲洗车和机械清扫车车速不宜超过 15Km/h。</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1、月度机动车道机械冲洗、洒水、清扫等作业里程数不达标 </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的，按未完成比例扣分，每少1%扣1分。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2、车辆 GPS 出现问题未及时报备、维修的，每次扣1分。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3、作业车辆随意变更洒水、冲洗范围、路线、时间的，每次扣1分。 </w:t>
            </w:r>
          </w:p>
          <w:p>
            <w:pPr>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4、车辆设备日常维养、安全检查不到位，作业时故障等，每次扣2分。</w:t>
            </w:r>
          </w:p>
        </w:tc>
        <w:tc>
          <w:tcPr>
            <w:tcW w:w="1089" w:type="dxa"/>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5772"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质量（工作）标准</w:t>
            </w:r>
          </w:p>
        </w:tc>
        <w:tc>
          <w:tcPr>
            <w:tcW w:w="6790"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089"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r>
              <w:rPr>
                <w:rFonts w:hint="eastAsia" w:ascii="宋体" w:hAnsi="宋体" w:eastAsia="宋体" w:cs="宋体"/>
                <w:b/>
                <w:color w:val="auto"/>
                <w:sz w:val="22"/>
                <w:szCs w:val="22"/>
                <w:highlight w:val="none"/>
              </w:rPr>
              <w:br w:type="textWrapping"/>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eastAsia="zh-CN"/>
              </w:rPr>
              <w:t>分</w:t>
            </w:r>
            <w:r>
              <w:rPr>
                <w:rFonts w:hint="eastAsia" w:ascii="宋体" w:hAnsi="宋体" w:eastAsia="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135"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额外减分项</w:t>
            </w: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内部管理。中标单位要严格按照有关招投标文件、合同与相关承诺履行合同，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tc>
        <w:tc>
          <w:tcPr>
            <w:tcW w:w="6790" w:type="dxa"/>
            <w:noWrap w:val="0"/>
            <w:vAlign w:val="center"/>
          </w:tcPr>
          <w:p>
            <w:pPr>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发现未达标的每例扣1分。</w:t>
            </w:r>
            <w:r>
              <w:rPr>
                <w:rFonts w:hint="eastAsia" w:ascii="宋体" w:hAnsi="宋体" w:eastAsia="宋体" w:cs="宋体"/>
                <w:color w:val="auto"/>
                <w:sz w:val="22"/>
                <w:szCs w:val="22"/>
                <w:highlight w:val="none"/>
                <w:lang w:val="en-US" w:eastAsia="zh-CN"/>
              </w:rPr>
              <w:t>不配合业主单位进行检查的，一次扣5分。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35" w:type="dxa"/>
            <w:vMerge w:val="continue"/>
            <w:noWrap w:val="0"/>
            <w:vAlign w:val="center"/>
          </w:tcPr>
          <w:p>
            <w:pPr>
              <w:jc w:val="center"/>
              <w:rPr>
                <w:rFonts w:hint="eastAsia" w:ascii="宋体" w:hAnsi="宋体" w:eastAsia="宋体" w:cs="宋体"/>
                <w:color w:val="auto"/>
                <w:sz w:val="22"/>
                <w:szCs w:val="22"/>
                <w:highlight w:val="none"/>
              </w:rPr>
            </w:pP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应急预案。遇法定节假日、重大活动或突发事件，中标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遇到遇法定节假日、重大活动或突发事件，未制定应急预案的，发现一次扣2分。特殊情况下遇有重大活动或抗台、暴雨等突发事件，不服从甲方统一指挥和调动参加抢险救灾工作或人员未及时到位，发现一次扣3分。无故拒绝街道应急指派任务的，一次扣10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35" w:type="dxa"/>
            <w:vMerge w:val="continue"/>
            <w:noWrap w:val="0"/>
            <w:vAlign w:val="center"/>
          </w:tcPr>
          <w:p>
            <w:pPr>
              <w:jc w:val="center"/>
              <w:rPr>
                <w:rFonts w:hint="eastAsia" w:ascii="宋体" w:hAnsi="宋体" w:eastAsia="宋体" w:cs="宋体"/>
                <w:color w:val="auto"/>
                <w:sz w:val="22"/>
                <w:szCs w:val="22"/>
                <w:highlight w:val="none"/>
              </w:rPr>
            </w:pP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3、无主装潢垃圾清运。中标单位要严格按照</w:t>
            </w:r>
            <w:r>
              <w:rPr>
                <w:rFonts w:hint="eastAsia" w:ascii="宋体" w:hAnsi="宋体" w:eastAsia="宋体" w:cs="宋体"/>
                <w:color w:val="auto"/>
                <w:kern w:val="0"/>
                <w:sz w:val="22"/>
                <w:szCs w:val="22"/>
                <w:highlight w:val="none"/>
              </w:rPr>
              <w:t>装潢</w:t>
            </w:r>
            <w:r>
              <w:rPr>
                <w:rFonts w:hint="eastAsia" w:ascii="宋体" w:hAnsi="宋体" w:eastAsia="宋体" w:cs="宋体"/>
                <w:color w:val="auto"/>
                <w:sz w:val="22"/>
                <w:szCs w:val="22"/>
                <w:highlight w:val="none"/>
              </w:rPr>
              <w:t>垃圾处置管理规定，及时清理堆放的无主装潢垃圾。发现后须在24小时内进行清理。</w:t>
            </w:r>
          </w:p>
        </w:tc>
        <w:tc>
          <w:tcPr>
            <w:tcW w:w="6790" w:type="dxa"/>
            <w:noWrap w:val="0"/>
            <w:vAlign w:val="center"/>
          </w:tcPr>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体积不超过0.5立方米的无主装潢垃圾堆放未及时清理，每发现一处扣0.1分。体积超过0.5立方米的无主装潢垃圾堆放未及时清理，每发现一处扣0.5分。体积超过0.5立方米的单个无主装潢垃圾，每发现一处扣0.2分。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5" w:type="dxa"/>
            <w:vMerge w:val="continue"/>
            <w:noWrap w:val="0"/>
            <w:vAlign w:val="center"/>
          </w:tcPr>
          <w:p>
            <w:pPr>
              <w:jc w:val="center"/>
              <w:rPr>
                <w:rFonts w:hint="eastAsia" w:ascii="宋体" w:hAnsi="宋体" w:eastAsia="宋体" w:cs="宋体"/>
                <w:color w:val="auto"/>
                <w:sz w:val="22"/>
                <w:szCs w:val="22"/>
                <w:highlight w:val="none"/>
              </w:rPr>
            </w:pP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4、垃圾分类收集清运。中标单位要严格按照垃圾分类工作管理要求，对生活垃圾进行分类收集、分类运输，并及时清运。</w:t>
            </w:r>
          </w:p>
        </w:tc>
        <w:tc>
          <w:tcPr>
            <w:tcW w:w="6790" w:type="dxa"/>
            <w:noWrap w:val="0"/>
            <w:vAlign w:val="center"/>
          </w:tcPr>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中标单位未按要求做到生活垃圾分类收集、分类运输或及时清运的，每发现一次扣5分。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5" w:type="dxa"/>
            <w:vMerge w:val="continue"/>
            <w:noWrap w:val="0"/>
            <w:vAlign w:val="center"/>
          </w:tcPr>
          <w:p>
            <w:pPr>
              <w:jc w:val="center"/>
              <w:rPr>
                <w:rFonts w:hint="eastAsia" w:ascii="宋体" w:hAnsi="宋体" w:eastAsia="宋体" w:cs="宋体"/>
                <w:color w:val="auto"/>
                <w:sz w:val="22"/>
                <w:szCs w:val="22"/>
                <w:highlight w:val="none"/>
              </w:rPr>
            </w:pPr>
          </w:p>
        </w:tc>
        <w:tc>
          <w:tcPr>
            <w:tcW w:w="5772" w:type="dxa"/>
            <w:noWrap w:val="0"/>
            <w:vAlign w:val="center"/>
          </w:tcPr>
          <w:p>
            <w:pPr>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5、重点工作。完成省、市、区级重点工作，做好创文、创文、两会等重大工作期间的环境卫生保障以及疫情防控、三防工作等其他上级领导布置的重点工作任务。</w:t>
            </w:r>
          </w:p>
        </w:tc>
        <w:tc>
          <w:tcPr>
            <w:tcW w:w="6790" w:type="dxa"/>
            <w:noWrap w:val="0"/>
            <w:vAlign w:val="center"/>
          </w:tcPr>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未做好相应重点工作的，按照实际情况进行扣分，最多扣10分。</w:t>
            </w:r>
          </w:p>
        </w:tc>
        <w:tc>
          <w:tcPr>
            <w:tcW w:w="1089"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35" w:type="dxa"/>
            <w:vMerge w:val="continue"/>
            <w:noWrap w:val="0"/>
            <w:vAlign w:val="center"/>
          </w:tcPr>
          <w:p>
            <w:pPr>
              <w:jc w:val="center"/>
              <w:rPr>
                <w:rFonts w:hint="eastAsia" w:ascii="宋体" w:hAnsi="宋体" w:eastAsia="宋体" w:cs="宋体"/>
                <w:color w:val="auto"/>
                <w:sz w:val="22"/>
                <w:szCs w:val="22"/>
                <w:highlight w:val="none"/>
              </w:rPr>
            </w:pPr>
          </w:p>
        </w:tc>
        <w:tc>
          <w:tcPr>
            <w:tcW w:w="5772"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6、社情舆论（交办督办）。及时处理各类交办件。无市民投诉、媒体反映或曝光的环境卫生等问题发生。</w:t>
            </w:r>
          </w:p>
          <w:p>
            <w:pPr>
              <w:jc w:val="both"/>
              <w:rPr>
                <w:rFonts w:hint="eastAsia" w:ascii="宋体" w:hAnsi="宋体" w:eastAsia="宋体" w:cs="宋体"/>
                <w:color w:val="auto"/>
                <w:sz w:val="22"/>
                <w:szCs w:val="22"/>
                <w:highlight w:val="none"/>
              </w:rPr>
            </w:pPr>
          </w:p>
          <w:p>
            <w:pPr>
              <w:ind w:firstLine="440" w:firstLineChars="200"/>
              <w:rPr>
                <w:rFonts w:hint="eastAsia" w:ascii="宋体" w:hAnsi="宋体" w:eastAsia="宋体" w:cs="宋体"/>
                <w:color w:val="auto"/>
                <w:sz w:val="22"/>
                <w:szCs w:val="22"/>
                <w:highlight w:val="none"/>
                <w:lang w:val="en-US" w:eastAsia="zh-CN"/>
              </w:rPr>
            </w:pPr>
          </w:p>
        </w:tc>
        <w:tc>
          <w:tcPr>
            <w:tcW w:w="6790"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1、指挥中心、智慧城管、12345 热线等交办问题未处置（办理）的，每次扣 2 分；未按期处置（办理）或处置（办理）不到位 的，每次扣 1 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2、社会反映的热点、焦点问题和市政府阶段重点工作保障任务、领导重要批示要求、市局巡查督办等重点督办件办理、回复不及时、不到位的，每件扣 5 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3、对因管理不当被媒体曝光并造成社会恶劣影响的，每次扣 10 分。 </w:t>
            </w:r>
          </w:p>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4、如有市民投诉、媒体曝光的重大环境卫生负面影响事件,经核实是由承包单位或作业人员责任引起的，扣 10 分 ；由于日常保洁作业、管理不到位造成市民投诉、媒体反映的环境卫生 问题（如车辆高峰作业、未避让行人等），经核实的，每次扣5分。</w:t>
            </w:r>
          </w:p>
        </w:tc>
        <w:tc>
          <w:tcPr>
            <w:tcW w:w="1089"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5772"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质量（工作）标准</w:t>
            </w:r>
          </w:p>
        </w:tc>
        <w:tc>
          <w:tcPr>
            <w:tcW w:w="6790"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089"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r>
              <w:rPr>
                <w:rFonts w:hint="eastAsia" w:ascii="宋体" w:hAnsi="宋体" w:eastAsia="宋体" w:cs="宋体"/>
                <w:b/>
                <w:color w:val="auto"/>
                <w:sz w:val="22"/>
                <w:szCs w:val="22"/>
                <w:highlight w:val="none"/>
              </w:rPr>
              <w:br w:type="textWrapping"/>
            </w: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eastAsia="zh-CN"/>
              </w:rPr>
              <w:t>分</w:t>
            </w:r>
            <w:r>
              <w:rPr>
                <w:rFonts w:hint="eastAsia" w:ascii="宋体" w:hAnsi="宋体" w:eastAsia="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额外加分项</w:t>
            </w:r>
          </w:p>
        </w:tc>
        <w:tc>
          <w:tcPr>
            <w:tcW w:w="5772" w:type="dxa"/>
            <w:noWrap w:val="0"/>
            <w:vAlign w:val="center"/>
          </w:tcPr>
          <w:p>
            <w:pPr>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受市委、市政府主要领导表扬批示；受区委、区政府主要领导表扬批示；受媒体表扬报道；做出亮点工作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完成额外重点指派任务。</w:t>
            </w:r>
          </w:p>
        </w:tc>
        <w:tc>
          <w:tcPr>
            <w:tcW w:w="6790" w:type="dxa"/>
            <w:noWrap w:val="0"/>
            <w:vAlign w:val="center"/>
          </w:tcPr>
          <w:p>
            <w:pPr>
              <w:ind w:firstLine="420" w:firstLineChars="200"/>
              <w:rPr>
                <w:rFonts w:hint="eastAsia"/>
                <w:color w:val="auto"/>
                <w:highlight w:val="none"/>
              </w:rPr>
            </w:pPr>
            <w:r>
              <w:rPr>
                <w:rFonts w:hint="eastAsia"/>
                <w:color w:val="auto"/>
                <w:highlight w:val="none"/>
              </w:rPr>
              <w:t>受市委、市政府主要领导表扬批示的，每次加3分。受区委、区政府表扬批示的，每次加2分。</w:t>
            </w:r>
          </w:p>
          <w:p>
            <w:pPr>
              <w:ind w:firstLine="420" w:firstLineChars="200"/>
              <w:rPr>
                <w:rFonts w:hint="eastAsia"/>
                <w:color w:val="auto"/>
                <w:highlight w:val="none"/>
              </w:rPr>
            </w:pPr>
            <w:r>
              <w:rPr>
                <w:rFonts w:hint="eastAsia"/>
                <w:color w:val="auto"/>
                <w:highlight w:val="none"/>
              </w:rPr>
              <w:t>被市级以上媒体表扬的，每次加2分。</w:t>
            </w:r>
          </w:p>
          <w:p>
            <w:pPr>
              <w:ind w:firstLine="420" w:firstLineChars="200"/>
              <w:rPr>
                <w:rFonts w:hint="eastAsia"/>
                <w:color w:val="auto"/>
                <w:highlight w:val="none"/>
              </w:rPr>
            </w:pPr>
            <w:r>
              <w:rPr>
                <w:rFonts w:hint="eastAsia"/>
                <w:color w:val="auto"/>
                <w:highlight w:val="none"/>
              </w:rPr>
              <w:t>以街镇为单位，形成国家级亮点工作的每次加5分，省级亮点工作每次加3分，市级亮点工作每次加1分。</w:t>
            </w:r>
          </w:p>
          <w:p>
            <w:pPr>
              <w:pStyle w:val="2"/>
              <w:ind w:left="0" w:leftChars="0" w:firstLine="440" w:firstLineChars="200"/>
              <w:rPr>
                <w:rFonts w:hint="default"/>
                <w:color w:val="auto"/>
                <w:highlight w:val="none"/>
                <w:lang w:val="en-US"/>
              </w:rPr>
            </w:pPr>
            <w:r>
              <w:rPr>
                <w:rFonts w:hint="eastAsia" w:ascii="宋体" w:hAnsi="宋体" w:eastAsia="宋体" w:cs="宋体"/>
                <w:color w:val="auto"/>
                <w:sz w:val="22"/>
                <w:szCs w:val="22"/>
                <w:highlight w:val="none"/>
                <w:lang w:val="en-US" w:eastAsia="zh-CN"/>
              </w:rPr>
              <w:t>完成额外重点指派任务每次加1分，完成任务表现优秀受到上级领导肯定的，加2分。</w:t>
            </w:r>
          </w:p>
        </w:tc>
        <w:tc>
          <w:tcPr>
            <w:tcW w:w="108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bl>
    <w:p>
      <w:pPr>
        <w:tabs>
          <w:tab w:val="left" w:pos="624"/>
          <w:tab w:val="left" w:pos="5760"/>
          <w:tab w:val="center" w:pos="6979"/>
        </w:tabs>
        <w:spacing w:before="120" w:beforeLines="50" w:after="120" w:afterLines="50" w:line="5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二、鹿城区三、四级道路（包括社区道路）精细化作业评分细则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对中标供应商的考核</w:t>
      </w:r>
      <w:r>
        <w:rPr>
          <w:rFonts w:hint="eastAsia" w:ascii="宋体" w:hAnsi="宋体" w:eastAsia="宋体" w:cs="宋体"/>
          <w:b/>
          <w:color w:val="auto"/>
          <w:sz w:val="22"/>
          <w:szCs w:val="22"/>
          <w:highlight w:val="none"/>
          <w:lang w:eastAsia="zh-CN"/>
        </w:rPr>
        <w:t>）</w:t>
      </w:r>
    </w:p>
    <w:p>
      <w:pPr>
        <w:tabs>
          <w:tab w:val="left" w:pos="5760"/>
        </w:tabs>
        <w:jc w:val="center"/>
        <w:rPr>
          <w:rFonts w:hint="eastAsia" w:ascii="宋体" w:hAnsi="宋体" w:eastAsia="宋体" w:cs="宋体"/>
          <w:color w:val="auto"/>
          <w:sz w:val="22"/>
          <w:szCs w:val="22"/>
          <w:highlight w:val="none"/>
        </w:rPr>
      </w:pPr>
    </w:p>
    <w:tbl>
      <w:tblPr>
        <w:tblStyle w:val="58"/>
        <w:tblW w:w="14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396"/>
        <w:gridCol w:w="627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jc w:val="center"/>
        </w:trPr>
        <w:tc>
          <w:tcPr>
            <w:tcW w:w="107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6396"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质量（工作）标准</w:t>
            </w:r>
          </w:p>
        </w:tc>
        <w:tc>
          <w:tcPr>
            <w:tcW w:w="6278"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186"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（100</w:t>
            </w:r>
            <w:r>
              <w:rPr>
                <w:rFonts w:hint="eastAsia" w:ascii="宋体" w:hAnsi="宋体" w:eastAsia="宋体" w:cs="宋体"/>
                <w:b/>
                <w:color w:val="auto"/>
                <w:sz w:val="22"/>
                <w:szCs w:val="22"/>
                <w:highlight w:val="none"/>
                <w:lang w:eastAsia="zh-CN"/>
              </w:rPr>
              <w:t>分</w:t>
            </w:r>
            <w:r>
              <w:rPr>
                <w:rFonts w:hint="eastAsia" w:ascii="宋体" w:hAnsi="宋体" w:eastAsia="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jc w:val="center"/>
        </w:trPr>
        <w:tc>
          <w:tcPr>
            <w:tcW w:w="1071" w:type="dxa"/>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绿化带考核</w:t>
            </w:r>
          </w:p>
        </w:tc>
        <w:tc>
          <w:tcPr>
            <w:tcW w:w="6396" w:type="dxa"/>
            <w:noWrap w:val="0"/>
            <w:vAlign w:val="center"/>
          </w:tcPr>
          <w:p>
            <w:pPr>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绿化带（绿地、小绿坪）无垃圾堆放、无垃圾散落</w:t>
            </w:r>
          </w:p>
        </w:tc>
        <w:tc>
          <w:tcPr>
            <w:tcW w:w="6278" w:type="dxa"/>
            <w:noWrap w:val="0"/>
            <w:vAlign w:val="center"/>
          </w:tcPr>
          <w:p>
            <w:pPr>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垃圾堆放每处扣5分，垃圾散落每处扣1分。</w:t>
            </w:r>
          </w:p>
        </w:tc>
        <w:tc>
          <w:tcPr>
            <w:tcW w:w="1186" w:type="dxa"/>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107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普扫质量考核标  准</w:t>
            </w: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一日三次普扫，第一次在6：00前完成，第二次在13：00前完成，第三次在17:00前完成。</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未开展普扫扣15分；普查工作未完成扣5分；垃圾未及时清理每处扣3分；普扫盲点和卫生死角每处扣5分。</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blHeader/>
          <w:jc w:val="center"/>
        </w:trPr>
        <w:tc>
          <w:tcPr>
            <w:tcW w:w="107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动态保洁质量考标准</w:t>
            </w: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动态保洁时间内，果皮果壳、纸屑、痰迹，烟蒂等（包括绿地、绿化带等）应控制在每500米（少于500取附近路段凑足，并按一条道路进行考核）少于7处的指标之内。无积泥沙、无积污水、边角侧石干净、无垃圾堆、无明显杂草、无袋装垃圾、无乱涂写乱张贴等</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果皮果壳、纸屑、痰迹，烟蒂等（包括绿地、绿化带等）500米长度内超过7处，超出范围的每处扣2分；</w:t>
            </w:r>
            <w:r>
              <w:rPr>
                <w:rFonts w:hint="eastAsia" w:ascii="宋体" w:hAnsi="宋体" w:eastAsia="宋体" w:cs="宋体"/>
                <w:color w:val="auto"/>
                <w:sz w:val="22"/>
                <w:szCs w:val="22"/>
                <w:highlight w:val="none"/>
                <w:lang w:val="en-US" w:eastAsia="zh-CN"/>
              </w:rPr>
              <w:t>路两旁及隔离护栏下</w:t>
            </w:r>
            <w:r>
              <w:rPr>
                <w:rFonts w:hint="eastAsia" w:ascii="宋体" w:hAnsi="宋体" w:eastAsia="宋体" w:cs="宋体"/>
                <w:color w:val="auto"/>
                <w:sz w:val="22"/>
                <w:szCs w:val="22"/>
                <w:highlight w:val="none"/>
              </w:rPr>
              <w:t>积泥沙、积污水、边角侧石不洁、垃圾堆放等大于1㎡每处扣2分；杂草每处扣0.5分；袋装垃圾每处扣2分；乱涂写乱张贴每处扣2分；</w:t>
            </w:r>
            <w:r>
              <w:rPr>
                <w:rFonts w:hint="eastAsia" w:ascii="宋体" w:hAnsi="宋体" w:eastAsia="宋体" w:cs="宋体"/>
                <w:color w:val="auto"/>
                <w:sz w:val="22"/>
                <w:szCs w:val="22"/>
                <w:highlight w:val="none"/>
                <w:lang w:val="en-US" w:eastAsia="zh-CN"/>
              </w:rPr>
              <w:t>伸缩缝未清理，</w:t>
            </w:r>
            <w:r>
              <w:rPr>
                <w:rFonts w:hint="eastAsia" w:ascii="宋体" w:hAnsi="宋体" w:eastAsia="宋体" w:cs="宋体"/>
                <w:color w:val="auto"/>
                <w:sz w:val="22"/>
                <w:szCs w:val="22"/>
                <w:highlight w:val="none"/>
              </w:rPr>
              <w:t>树穴不洁每处扣2分；绿地内停放共享单车，每处扣1分。</w:t>
            </w:r>
            <w:r>
              <w:rPr>
                <w:rFonts w:hint="eastAsia" w:ascii="宋体" w:hAnsi="宋体" w:eastAsia="宋体" w:cs="宋体"/>
                <w:color w:val="auto"/>
                <w:kern w:val="0"/>
                <w:sz w:val="22"/>
                <w:szCs w:val="22"/>
                <w:highlight w:val="none"/>
                <w:lang w:val="en-US" w:eastAsia="zh-CN" w:bidi="ar-SA"/>
              </w:rPr>
              <w:t>交通护栏清洗一周少于2次的，发现一次扣3分。交通护栏隔离护栏下有明显淤（积）泥、成片垃圾和积水，发现一次扣3分。</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blHeader/>
          <w:jc w:val="center"/>
        </w:trPr>
        <w:tc>
          <w:tcPr>
            <w:tcW w:w="107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环卫设施维护标  准</w:t>
            </w: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废物箱（果壳箱、垃圾桶）、垃圾收集车辆（含机动车和非机动车）、垃圾坞一日一洗；环卫设施</w:t>
            </w:r>
            <w:r>
              <w:rPr>
                <w:rFonts w:hint="eastAsia" w:ascii="宋体" w:hAnsi="宋体" w:eastAsia="宋体" w:cs="宋体"/>
                <w:color w:val="auto"/>
                <w:sz w:val="22"/>
                <w:szCs w:val="22"/>
                <w:highlight w:val="none"/>
                <w:lang w:val="en-US" w:eastAsia="zh-CN"/>
              </w:rPr>
              <w:t>和城市家具保持清洁</w:t>
            </w:r>
            <w:r>
              <w:rPr>
                <w:rFonts w:hint="eastAsia" w:ascii="宋体" w:hAnsi="宋体" w:eastAsia="宋体" w:cs="宋体"/>
                <w:color w:val="auto"/>
                <w:sz w:val="22"/>
                <w:szCs w:val="22"/>
                <w:highlight w:val="none"/>
              </w:rPr>
              <w:t>无破损</w:t>
            </w:r>
            <w:r>
              <w:rPr>
                <w:rFonts w:hint="eastAsia" w:ascii="宋体" w:hAnsi="宋体" w:eastAsia="宋体" w:cs="宋体"/>
                <w:color w:val="auto"/>
                <w:sz w:val="22"/>
                <w:szCs w:val="22"/>
                <w:highlight w:val="none"/>
              </w:rPr>
              <w:t>，垃圾无外溢，及时清空；分类收集容器0.5m外无臭味且周围2-3米内应无散落、存留垃圾及污水。垃圾容器封闭无四害孳生，管理规范，做到日产日清。分类容器需按规定正确摆放。</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果壳箱、垃圾收集车等设施不洁的，每只（辆）扣1.5分；设施破损的，每只（辆）扣1分；未“一日一洗”的，每只（辆）扣2分；果壳箱未按规定设置的，每处扣4分；未及时关门、加盖的每处扣2分；设施四害孳生的每处扣4分；垃圾坞垃圾外溢未及时清理每处扣3分；垃圾桶垃圾外溢未及时清理每处扣3分。分类容器未按规定正确摆放的每处扣2分。</w:t>
            </w:r>
            <w:r>
              <w:rPr>
                <w:rFonts w:hint="eastAsia" w:ascii="宋体" w:hAnsi="宋体" w:eastAsia="宋体" w:cs="宋体"/>
                <w:color w:val="auto"/>
                <w:sz w:val="22"/>
                <w:szCs w:val="22"/>
                <w:highlight w:val="none"/>
                <w:lang w:val="en-US" w:eastAsia="zh-CN"/>
              </w:rPr>
              <w:t>垃圾坞、路灯杆、护栏、交通隔离栏等城市家具未清洗的，每处扣 1 分；清洗不到位的，每处扣 0.5 分</w:t>
            </w:r>
            <w:r>
              <w:rPr>
                <w:rFonts w:hint="eastAsia" w:ascii="宋体" w:hAnsi="宋体" w:eastAsia="宋体" w:cs="宋体"/>
                <w:color w:val="auto"/>
                <w:sz w:val="22"/>
                <w:szCs w:val="22"/>
                <w:highlight w:val="none"/>
              </w:rPr>
              <w:t>。</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blHeader/>
          <w:jc w:val="center"/>
        </w:trPr>
        <w:tc>
          <w:tcPr>
            <w:tcW w:w="107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规范作业考核标  准</w:t>
            </w: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作业人员不擅自离（脱）岗，不与人闲谈、工间休息时间不得超过15分钟；保洁作业人员按规定穿着工作服或反光安全服，保持衣冠整齐；清扫过程中要控制扬尘，避免妨碍行人；垃圾不得扫入窨井、花坛、绿化带；清扫作业中不得漏扫、甩扫；交接班不得出现空档，责任区交界处清扫保洁各过界5米；不得焚烧垃圾；垃圾运输实行密闭，不得超高运输和吊挂杂物；严禁作业人员擅自向责任区内单位收取各种费用；及时处理各类交办件。保洁作业人员应按规定进行分类收集、运输，禁止混装混运，同时确保保洁车无污水、无滴洒漏。</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根据排班人员表格检查到人员不在岗的或者排班班数少于投标承诺数，发现一次扣10分；</w:t>
            </w:r>
            <w:r>
              <w:rPr>
                <w:rFonts w:hint="eastAsia" w:ascii="宋体" w:hAnsi="宋体" w:eastAsia="宋体" w:cs="宋体"/>
                <w:color w:val="auto"/>
                <w:sz w:val="22"/>
                <w:szCs w:val="22"/>
                <w:highlight w:val="none"/>
              </w:rPr>
              <w:t>发现违反劳动纪律每人每次扣2分；未穿着工作服或反光安全服的每人每次扣2分；垃圾扫入窨井、花坛、绿化带的每次扣3分；作业中出现漏扫、甩扫的每次扣2分；交接班出现空档的每次扣3分；未过界5米双方各扣5分；焚烧垃圾每次扣5分；垃圾未实行密闭运输的每次扣1分；拖挂杂物的每次扣1分，擅自收费的每次扣5分；动态保洁时间未按规定要求的每次扣3分；未实行上门收集、摇铃提示的每次扣5分，次数达不到的每次扣1分；未及时处理交办件的每件扣5分。未按规范分类收集、运输的每次扣5分；保洁车出现滴洒漏现象的每次扣2分。</w:t>
            </w:r>
            <w:r>
              <w:rPr>
                <w:rFonts w:hint="eastAsia" w:ascii="宋体" w:hAnsi="宋体" w:eastAsia="宋体" w:cs="宋体"/>
                <w:color w:val="auto"/>
                <w:sz w:val="22"/>
                <w:szCs w:val="22"/>
                <w:highlight w:val="none"/>
                <w:lang w:val="en-US" w:eastAsia="zh-CN"/>
              </w:rPr>
              <w:t>保洁人员乱穿、乱闯交通信号灯，攀爬隔离护栏的，每次扣 1 分。</w:t>
            </w:r>
            <w:r>
              <w:rPr>
                <w:rFonts w:hint="eastAsia" w:ascii="宋体" w:hAnsi="宋体" w:eastAsia="宋体" w:cs="宋体"/>
                <w:color w:val="auto"/>
                <w:sz w:val="22"/>
                <w:szCs w:val="22"/>
                <w:highlight w:val="none"/>
                <w:lang w:val="en-US" w:eastAsia="zh-CN"/>
              </w:rPr>
              <w:t>人员出勤率低于90%的，每下降1%扣1分。</w:t>
            </w:r>
          </w:p>
          <w:p>
            <w:pPr>
              <w:ind w:firstLine="440" w:firstLineChars="200"/>
              <w:rPr>
                <w:rFonts w:hint="eastAsia" w:ascii="宋体" w:hAnsi="宋体" w:eastAsia="宋体" w:cs="宋体"/>
                <w:color w:val="auto"/>
                <w:sz w:val="22"/>
                <w:szCs w:val="22"/>
                <w:highlight w:val="none"/>
              </w:rPr>
            </w:pP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blHeader/>
          <w:jc w:val="center"/>
        </w:trPr>
        <w:tc>
          <w:tcPr>
            <w:tcW w:w="107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平台管控（车辆 GPS）</w:t>
            </w:r>
          </w:p>
          <w:p>
            <w:pPr>
              <w:jc w:val="center"/>
              <w:rPr>
                <w:rFonts w:hint="eastAsia" w:ascii="宋体" w:hAnsi="宋体" w:eastAsia="宋体" w:cs="宋体"/>
                <w:color w:val="auto"/>
                <w:sz w:val="22"/>
                <w:szCs w:val="22"/>
                <w:highlight w:val="none"/>
              </w:rPr>
            </w:pP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1、各级道路需按《温州市道路清扫保洁质量要求与作业规范》 </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要求，落实洒水、冲洗、机扫频次。每月度合理做好车辆排班安排，设定机械化作业里程数。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2、机械化作业时确保车辆 GPS 正常开启、按照规定路线、时 间、频次作业，不得随意变更。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3、洒水车车速不宜超过 25Km/h，高压冲洗车和机械清扫车车速不宜超过 15Km/h。</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1、月度机动车道机械冲洗、洒水、清扫等作业里程数不达标的，按未完成比例扣分，每少1%扣1分。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2、车辆 GPS 出现问题未及时报备、维修的，每次扣1分。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3、作业车辆随意变更洒水、冲洗范围、路线、时间的，每次扣1分。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4、车辆设备日常维养、安全检查不到位，作业时故障等，每次扣2分。</w:t>
            </w:r>
          </w:p>
          <w:p>
            <w:pPr>
              <w:ind w:firstLine="440" w:firstLineChars="200"/>
              <w:rPr>
                <w:rFonts w:hint="eastAsia" w:ascii="宋体" w:hAnsi="宋体" w:eastAsia="宋体" w:cs="宋体"/>
                <w:color w:val="auto"/>
                <w:sz w:val="22"/>
                <w:szCs w:val="22"/>
                <w:highlight w:val="none"/>
              </w:rPr>
            </w:pPr>
          </w:p>
        </w:tc>
        <w:tc>
          <w:tcPr>
            <w:tcW w:w="1186"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7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6396"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质量（工作）标准</w:t>
            </w:r>
          </w:p>
        </w:tc>
        <w:tc>
          <w:tcPr>
            <w:tcW w:w="6278"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186"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r>
              <w:rPr>
                <w:rFonts w:hint="eastAsia" w:ascii="宋体" w:hAnsi="宋体" w:eastAsia="宋体" w:cs="宋体"/>
                <w:b/>
                <w:color w:val="auto"/>
                <w:sz w:val="22"/>
                <w:szCs w:val="22"/>
                <w:highlight w:val="none"/>
              </w:rPr>
              <w:br w:type="textWrapping"/>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eastAsia="zh-CN"/>
              </w:rPr>
              <w:t>分</w:t>
            </w:r>
            <w:r>
              <w:rPr>
                <w:rFonts w:hint="eastAsia" w:ascii="宋体" w:hAnsi="宋体" w:eastAsia="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blHeader/>
          <w:jc w:val="center"/>
        </w:trPr>
        <w:tc>
          <w:tcPr>
            <w:tcW w:w="1071"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额外减分项</w:t>
            </w: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内部管理。中标单位要严格按照有关招投标文件、合同与相关承诺履行合同，切实保障标段道路环卫工人如实配置，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发现未达标的扣1分例。</w:t>
            </w:r>
            <w:r>
              <w:rPr>
                <w:rFonts w:hint="eastAsia" w:ascii="宋体" w:hAnsi="宋体" w:eastAsia="宋体" w:cs="宋体"/>
                <w:color w:val="auto"/>
                <w:sz w:val="22"/>
                <w:szCs w:val="22"/>
                <w:highlight w:val="none"/>
                <w:lang w:val="en-US" w:eastAsia="zh-CN"/>
              </w:rPr>
              <w:t>不配合业主单位进行检查的，一次扣5分。</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blHeader/>
          <w:jc w:val="center"/>
        </w:trPr>
        <w:tc>
          <w:tcPr>
            <w:tcW w:w="1071" w:type="dxa"/>
            <w:vMerge w:val="continue"/>
            <w:noWrap w:val="0"/>
            <w:vAlign w:val="center"/>
          </w:tcPr>
          <w:p>
            <w:pPr>
              <w:jc w:val="center"/>
              <w:rPr>
                <w:rFonts w:hint="eastAsia" w:ascii="宋体" w:hAnsi="宋体" w:eastAsia="宋体" w:cs="宋体"/>
                <w:color w:val="auto"/>
                <w:sz w:val="22"/>
                <w:szCs w:val="22"/>
                <w:highlight w:val="none"/>
              </w:rPr>
            </w:pP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应急预案。遇法定节假日、重大活动或突发事件，中标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遇到遇法定节假日、重大活动或突发事件，未制定应急预案的，发现一次扣2分。特殊情况下遇有重大活动或抗台、暴雨等突发事件，不服从甲方统一指挥和调动参加抢险救灾工作或人员未及时到位，发现一次扣3分。无故拒绝街道应急指派任务的，一次扣10分。</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1071" w:type="dxa"/>
            <w:vMerge w:val="continue"/>
            <w:noWrap w:val="0"/>
            <w:vAlign w:val="center"/>
          </w:tcPr>
          <w:p>
            <w:pPr>
              <w:jc w:val="center"/>
              <w:rPr>
                <w:rFonts w:hint="eastAsia" w:ascii="宋体" w:hAnsi="宋体" w:eastAsia="宋体" w:cs="宋体"/>
                <w:color w:val="auto"/>
                <w:sz w:val="22"/>
                <w:szCs w:val="22"/>
                <w:highlight w:val="none"/>
              </w:rPr>
            </w:pP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3、无主装潢垃圾清运。中标单位要严格按照</w:t>
            </w:r>
            <w:r>
              <w:rPr>
                <w:rFonts w:hint="eastAsia" w:ascii="宋体" w:hAnsi="宋体" w:eastAsia="宋体" w:cs="宋体"/>
                <w:color w:val="auto"/>
                <w:kern w:val="0"/>
                <w:sz w:val="22"/>
                <w:szCs w:val="22"/>
                <w:highlight w:val="none"/>
              </w:rPr>
              <w:t>装潢</w:t>
            </w:r>
            <w:r>
              <w:rPr>
                <w:rFonts w:hint="eastAsia" w:ascii="宋体" w:hAnsi="宋体" w:eastAsia="宋体" w:cs="宋体"/>
                <w:color w:val="auto"/>
                <w:sz w:val="22"/>
                <w:szCs w:val="22"/>
                <w:highlight w:val="none"/>
              </w:rPr>
              <w:t>垃圾处置管理规定，及时清理堆放的无主装潢垃圾。发现后须在24小时内进行清理。</w:t>
            </w:r>
          </w:p>
        </w:tc>
        <w:tc>
          <w:tcPr>
            <w:tcW w:w="6278" w:type="dxa"/>
            <w:noWrap w:val="0"/>
            <w:vAlign w:val="center"/>
          </w:tcPr>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体积不超过0.5立方米的无主装潢垃圾堆放未及时清理，每发现一处扣0.1分。体积超过0.5立方米的无主装潢垃圾堆放未及时清理，每发现一处扣0.5分。体积超过0.5立方米的单个无主装潢垃圾，每发现一处扣0.2分。</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1071" w:type="dxa"/>
            <w:vMerge w:val="continue"/>
            <w:noWrap w:val="0"/>
            <w:vAlign w:val="center"/>
          </w:tcPr>
          <w:p>
            <w:pPr>
              <w:jc w:val="center"/>
              <w:rPr>
                <w:rFonts w:hint="eastAsia" w:ascii="宋体" w:hAnsi="宋体" w:eastAsia="宋体" w:cs="宋体"/>
                <w:color w:val="auto"/>
                <w:sz w:val="22"/>
                <w:szCs w:val="22"/>
                <w:highlight w:val="none"/>
              </w:rPr>
            </w:pP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4、垃圾分类收集清运。中标单位要严格按照垃圾分类工作管理要求，对生活垃圾进行分类收集、分类运输，并及时清运。</w:t>
            </w:r>
          </w:p>
        </w:tc>
        <w:tc>
          <w:tcPr>
            <w:tcW w:w="6278" w:type="dxa"/>
            <w:noWrap w:val="0"/>
            <w:vAlign w:val="center"/>
          </w:tcPr>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中标单位未按要求做到生活垃圾分类收集、分类运输或及时清运的，每发现一次扣5分。</w:t>
            </w:r>
          </w:p>
        </w:tc>
        <w:tc>
          <w:tcPr>
            <w:tcW w:w="118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1071" w:type="dxa"/>
            <w:vMerge w:val="continue"/>
            <w:noWrap w:val="0"/>
            <w:vAlign w:val="center"/>
          </w:tcPr>
          <w:p>
            <w:pPr>
              <w:jc w:val="center"/>
              <w:rPr>
                <w:rFonts w:hint="eastAsia" w:ascii="宋体" w:hAnsi="宋体" w:eastAsia="宋体" w:cs="宋体"/>
                <w:color w:val="auto"/>
                <w:sz w:val="22"/>
                <w:szCs w:val="22"/>
                <w:highlight w:val="none"/>
              </w:rPr>
            </w:pP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5、重点工作。完成省、市、区级重点工作，做好创文、创文、两会等重大工作期间的环境卫生保障以及疫情防控、三防工作等其他上级领导布置的重点工作任务。</w:t>
            </w:r>
          </w:p>
        </w:tc>
        <w:tc>
          <w:tcPr>
            <w:tcW w:w="6278" w:type="dxa"/>
            <w:noWrap w:val="0"/>
            <w:vAlign w:val="center"/>
          </w:tcPr>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未做好相应重点工作的，按照实际情况进行扣分，最多扣10分。</w:t>
            </w:r>
          </w:p>
        </w:tc>
        <w:tc>
          <w:tcPr>
            <w:tcW w:w="1186"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1071" w:type="dxa"/>
            <w:vMerge w:val="continue"/>
            <w:noWrap w:val="0"/>
            <w:vAlign w:val="center"/>
          </w:tcPr>
          <w:p>
            <w:pPr>
              <w:jc w:val="center"/>
              <w:rPr>
                <w:rFonts w:hint="eastAsia" w:ascii="宋体" w:hAnsi="宋体" w:eastAsia="宋体" w:cs="宋体"/>
                <w:color w:val="auto"/>
                <w:sz w:val="22"/>
                <w:szCs w:val="22"/>
                <w:highlight w:val="none"/>
              </w:rPr>
            </w:pPr>
          </w:p>
        </w:tc>
        <w:tc>
          <w:tcPr>
            <w:tcW w:w="6396" w:type="dxa"/>
            <w:noWrap w:val="0"/>
            <w:vAlign w:val="center"/>
          </w:tcPr>
          <w:p>
            <w:pPr>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6、社情舆论（交办督办）。及时处理各类交办件。无市民投诉、媒体反映或曝光的环境卫生等问题发生。</w:t>
            </w:r>
          </w:p>
        </w:tc>
        <w:tc>
          <w:tcPr>
            <w:tcW w:w="6278"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1、指挥中心、智慧城管、12345 热线等交办问题未处置（办理）的，每次扣 2 分；未按期处置（办理）或处置（办理）不到位 的，每次扣 1 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2、社会反映的热点、焦点问题和市政府阶段重点工作保障任务、领导重要批示要求、市局巡查督办等重点督办件办理、回复不及时、不到位的，每件扣 5 分。 </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3、对因管理不当被媒体曝光并造成社会恶劣影响的，每次扣 10 分。 </w:t>
            </w:r>
          </w:p>
          <w:p>
            <w:pPr>
              <w:widowControl/>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4、如有市民投诉、媒体曝光的重大环境卫生负面影响事件,经核实是由承包单位或作业人员责任引起的，扣 10 分 ；由于日常保洁作业、管理不到位造成市民投诉、媒体反映的环境卫生 问题（如车辆高峰作业、未避让行人等），经核实的，每次扣5分。</w:t>
            </w:r>
          </w:p>
        </w:tc>
        <w:tc>
          <w:tcPr>
            <w:tcW w:w="1186"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1071"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6396"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质量（工作）标准</w:t>
            </w:r>
          </w:p>
        </w:tc>
        <w:tc>
          <w:tcPr>
            <w:tcW w:w="6278"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186" w:type="dxa"/>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r>
              <w:rPr>
                <w:rFonts w:hint="eastAsia" w:ascii="宋体" w:hAnsi="宋体" w:eastAsia="宋体" w:cs="宋体"/>
                <w:b/>
                <w:color w:val="auto"/>
                <w:sz w:val="22"/>
                <w:szCs w:val="22"/>
                <w:highlight w:val="none"/>
              </w:rPr>
              <w:br w:type="textWrapping"/>
            </w: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eastAsia="zh-CN"/>
              </w:rPr>
              <w:t>分</w:t>
            </w:r>
            <w:r>
              <w:rPr>
                <w:rFonts w:hint="eastAsia" w:ascii="宋体" w:hAnsi="宋体" w:eastAsia="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blHeader/>
          <w:jc w:val="center"/>
        </w:trPr>
        <w:tc>
          <w:tcPr>
            <w:tcW w:w="107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额外加分项</w:t>
            </w:r>
          </w:p>
        </w:tc>
        <w:tc>
          <w:tcPr>
            <w:tcW w:w="639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受市委、市政府主要领导表扬批示；受区委、区政府主要领导表扬批示；受媒体表扬报道；做出亮点工作。</w:t>
            </w:r>
            <w:r>
              <w:rPr>
                <w:rFonts w:hint="eastAsia" w:ascii="宋体" w:hAnsi="宋体" w:eastAsia="宋体" w:cs="宋体"/>
                <w:color w:val="auto"/>
                <w:sz w:val="22"/>
                <w:szCs w:val="22"/>
                <w:highlight w:val="none"/>
                <w:lang w:val="en-US" w:eastAsia="zh-CN"/>
              </w:rPr>
              <w:t>完成额外重点指派任务。</w:t>
            </w:r>
          </w:p>
        </w:tc>
        <w:tc>
          <w:tcPr>
            <w:tcW w:w="6278" w:type="dxa"/>
            <w:noWrap w:val="0"/>
            <w:vAlign w:val="center"/>
          </w:tcPr>
          <w:p>
            <w:pPr>
              <w:ind w:firstLine="420" w:firstLineChars="200"/>
              <w:rPr>
                <w:rFonts w:hint="eastAsia"/>
                <w:color w:val="auto"/>
                <w:highlight w:val="none"/>
              </w:rPr>
            </w:pPr>
            <w:r>
              <w:rPr>
                <w:rFonts w:hint="eastAsia"/>
                <w:color w:val="auto"/>
                <w:highlight w:val="none"/>
              </w:rPr>
              <w:t>受市委、市政府主要领导表扬批示的，每次加3分。受区委、区政府表扬批示的，每次加2分。</w:t>
            </w:r>
          </w:p>
          <w:p>
            <w:pPr>
              <w:ind w:firstLine="420" w:firstLineChars="200"/>
              <w:rPr>
                <w:rFonts w:hint="eastAsia"/>
                <w:color w:val="auto"/>
                <w:highlight w:val="none"/>
              </w:rPr>
            </w:pPr>
            <w:r>
              <w:rPr>
                <w:rFonts w:hint="eastAsia"/>
                <w:color w:val="auto"/>
                <w:highlight w:val="none"/>
              </w:rPr>
              <w:t>被市级以上媒体表扬的，每次加2分。</w:t>
            </w:r>
          </w:p>
          <w:p>
            <w:pPr>
              <w:ind w:firstLine="420" w:firstLineChars="200"/>
              <w:rPr>
                <w:rFonts w:hint="eastAsia"/>
                <w:color w:val="auto"/>
                <w:highlight w:val="none"/>
              </w:rPr>
            </w:pPr>
            <w:r>
              <w:rPr>
                <w:rFonts w:hint="eastAsia"/>
                <w:color w:val="auto"/>
                <w:highlight w:val="none"/>
              </w:rPr>
              <w:t>以街镇为单位，形成国家级亮点工作的每次加5分，省级亮点工作每次加3分，市级亮点工作每次加1分。</w:t>
            </w:r>
          </w:p>
          <w:p>
            <w:pPr>
              <w:pStyle w:val="2"/>
              <w:rPr>
                <w:rFonts w:hint="eastAsia"/>
                <w:color w:val="auto"/>
                <w:highlight w:val="none"/>
              </w:rPr>
            </w:pPr>
            <w:r>
              <w:rPr>
                <w:rFonts w:hint="eastAsia" w:ascii="宋体" w:hAnsi="宋体" w:eastAsia="宋体" w:cs="宋体"/>
                <w:color w:val="auto"/>
                <w:sz w:val="22"/>
                <w:szCs w:val="22"/>
                <w:highlight w:val="none"/>
                <w:lang w:val="en-US" w:eastAsia="zh-CN"/>
              </w:rPr>
              <w:t>完成额外重点指派任务每次加1分，完成任务表现优秀受到上级领导肯定的，加2分。</w:t>
            </w:r>
          </w:p>
        </w:tc>
        <w:tc>
          <w:tcPr>
            <w:tcW w:w="1186"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5分</w:t>
            </w:r>
          </w:p>
        </w:tc>
      </w:tr>
    </w:tbl>
    <w:p>
      <w:pPr>
        <w:jc w:val="center"/>
        <w:rPr>
          <w:rFonts w:hint="eastAsia" w:ascii="宋体" w:hAnsi="宋体" w:eastAsia="宋体" w:cs="宋体"/>
          <w:color w:val="auto"/>
          <w:kern w:val="0"/>
          <w:sz w:val="21"/>
          <w:szCs w:val="21"/>
          <w:highlight w:val="none"/>
        </w:rPr>
      </w:pPr>
    </w:p>
    <w:p>
      <w:pPr>
        <w:jc w:val="center"/>
        <w:rPr>
          <w:rFonts w:hint="eastAsia" w:ascii="宋体" w:hAnsi="宋体" w:eastAsia="宋体" w:cs="宋体"/>
          <w:color w:val="auto"/>
          <w:kern w:val="0"/>
          <w:sz w:val="21"/>
          <w:szCs w:val="21"/>
          <w:highlight w:val="none"/>
        </w:rPr>
      </w:pPr>
    </w:p>
    <w:p>
      <w:pPr>
        <w:jc w:val="both"/>
        <w:rPr>
          <w:rFonts w:hint="eastAsia" w:ascii="宋体" w:hAnsi="宋体" w:eastAsia="宋体" w:cs="宋体"/>
          <w:color w:val="auto"/>
          <w:kern w:val="0"/>
          <w:sz w:val="21"/>
          <w:szCs w:val="21"/>
          <w:highlight w:val="none"/>
        </w:rPr>
      </w:pPr>
    </w:p>
    <w:p>
      <w:pPr>
        <w:jc w:val="center"/>
        <w:rPr>
          <w:rFonts w:hint="eastAsia" w:ascii="宋体" w:hAnsi="宋体" w:eastAsia="宋体" w:cs="宋体"/>
          <w:color w:val="auto"/>
          <w:kern w:val="0"/>
          <w:sz w:val="21"/>
          <w:szCs w:val="21"/>
          <w:highlight w:val="none"/>
        </w:rPr>
      </w:pPr>
    </w:p>
    <w:p>
      <w:pPr>
        <w:jc w:val="center"/>
        <w:rPr>
          <w:rFonts w:hint="eastAsia" w:ascii="宋体" w:hAnsi="宋体" w:eastAsia="宋体" w:cs="宋体"/>
          <w:color w:val="auto"/>
          <w:kern w:val="0"/>
          <w:sz w:val="21"/>
          <w:szCs w:val="21"/>
          <w:highlight w:val="none"/>
        </w:rPr>
      </w:pPr>
    </w:p>
    <w:p>
      <w:pPr>
        <w:jc w:val="center"/>
        <w:rPr>
          <w:rFonts w:hint="eastAsia" w:ascii="宋体" w:hAnsi="宋体" w:eastAsia="宋体" w:cs="宋体"/>
          <w:color w:val="auto"/>
          <w:kern w:val="0"/>
          <w:sz w:val="21"/>
          <w:szCs w:val="21"/>
          <w:highlight w:val="none"/>
        </w:rPr>
      </w:pPr>
    </w:p>
    <w:p>
      <w:pPr>
        <w:jc w:val="center"/>
        <w:rPr>
          <w:rFonts w:hint="eastAsia" w:ascii="宋体" w:hAnsi="宋体" w:eastAsia="宋体" w:cs="宋体"/>
          <w:color w:val="auto"/>
          <w:kern w:val="0"/>
          <w:sz w:val="21"/>
          <w:szCs w:val="21"/>
          <w:highlight w:val="none"/>
        </w:rPr>
      </w:pPr>
    </w:p>
    <w:p>
      <w:pPr>
        <w:pStyle w:val="799"/>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center"/>
        <w:textAlignment w:val="auto"/>
        <w:outlineLvl w:val="0"/>
        <w:rPr>
          <w:rFonts w:hint="eastAsia" w:ascii="宋体" w:hAnsi="宋体" w:eastAsia="宋体" w:cs="宋体"/>
          <w:color w:val="auto"/>
          <w:kern w:val="2"/>
          <w:sz w:val="22"/>
          <w:szCs w:val="22"/>
          <w:highlight w:val="none"/>
          <w:lang w:val="en-US" w:eastAsia="zh-CN" w:bidi="ar-SA"/>
        </w:rPr>
        <w:sectPr>
          <w:pgSz w:w="16838" w:h="11906" w:orient="landscape"/>
          <w:pgMar w:top="1134" w:right="1134" w:bottom="1134" w:left="1134" w:header="851" w:footer="851" w:gutter="0"/>
          <w:pgNumType w:fmt="decimal"/>
          <w:cols w:space="720" w:num="1"/>
          <w:titlePg/>
          <w:docGrid w:linePitch="312" w:charSpace="0"/>
        </w:sectPr>
      </w:pPr>
    </w:p>
    <w:p>
      <w:pPr>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、鹿城区市场化</w:t>
      </w:r>
      <w:r>
        <w:rPr>
          <w:rFonts w:hint="eastAsia" w:ascii="宋体" w:hAnsi="宋体" w:eastAsia="宋体" w:cs="宋体"/>
          <w:b/>
          <w:color w:val="auto"/>
          <w:spacing w:val="8"/>
          <w:sz w:val="22"/>
          <w:szCs w:val="22"/>
          <w:highlight w:val="none"/>
        </w:rPr>
        <w:t>免费公厕</w:t>
      </w:r>
      <w:r>
        <w:rPr>
          <w:rFonts w:hint="eastAsia" w:ascii="宋体" w:hAnsi="宋体" w:eastAsia="宋体" w:cs="宋体"/>
          <w:b/>
          <w:color w:val="auto"/>
          <w:sz w:val="22"/>
          <w:szCs w:val="22"/>
          <w:highlight w:val="none"/>
        </w:rPr>
        <w:t>考核评分标准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对中标供应商的考核</w:t>
      </w:r>
      <w:r>
        <w:rPr>
          <w:rFonts w:hint="eastAsia" w:ascii="宋体" w:hAnsi="宋体" w:eastAsia="宋体" w:cs="宋体"/>
          <w:b/>
          <w:color w:val="auto"/>
          <w:sz w:val="22"/>
          <w:szCs w:val="22"/>
          <w:highlight w:val="none"/>
          <w:lang w:eastAsia="zh-CN"/>
        </w:rPr>
        <w:t>）</w:t>
      </w:r>
    </w:p>
    <w:tbl>
      <w:tblPr>
        <w:tblStyle w:val="58"/>
        <w:tblpPr w:leftFromText="180" w:rightFromText="180" w:vertAnchor="text" w:horzAnchor="page" w:tblpX="1215"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54"/>
        <w:gridCol w:w="403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1068" w:type="dxa"/>
            <w:gridSpan w:val="2"/>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考核</w:t>
            </w:r>
          </w:p>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w:t>
            </w:r>
          </w:p>
        </w:tc>
        <w:tc>
          <w:tcPr>
            <w:tcW w:w="4030"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质量（工作）标准</w:t>
            </w:r>
          </w:p>
        </w:tc>
        <w:tc>
          <w:tcPr>
            <w:tcW w:w="4756"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1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度</w:t>
            </w:r>
          </w:p>
        </w:tc>
        <w:tc>
          <w:tcPr>
            <w:tcW w:w="55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1．免费公厕面向社会实行免费开放，不得销售任何商品。</w:t>
            </w:r>
          </w:p>
        </w:tc>
        <w:tc>
          <w:tcPr>
            <w:tcW w:w="4756"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有收费或变相收费行为（出售商品等）的扣5分。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4" w:type="dxa"/>
            <w:vMerge w:val="continue"/>
            <w:noWrap w:val="0"/>
            <w:vAlign w:val="center"/>
          </w:tcPr>
          <w:p>
            <w:pPr>
              <w:rPr>
                <w:rFonts w:hint="eastAsia" w:ascii="宋体" w:hAnsi="宋体" w:eastAsia="宋体" w:cs="宋体"/>
                <w:color w:val="auto"/>
                <w:sz w:val="22"/>
                <w:szCs w:val="22"/>
                <w:highlight w:val="none"/>
              </w:rPr>
            </w:pPr>
          </w:p>
        </w:tc>
        <w:tc>
          <w:tcPr>
            <w:tcW w:w="554" w:type="dxa"/>
            <w:vMerge w:val="continue"/>
            <w:noWrap w:val="0"/>
            <w:vAlign w:val="center"/>
          </w:tcPr>
          <w:p>
            <w:pP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2．免费公厕按照规定时间开放，实行专人管理负责制，文明服务，管理人员在规定保洁时间内严禁出现脱岗现象。</w:t>
            </w:r>
          </w:p>
        </w:tc>
        <w:tc>
          <w:tcPr>
            <w:tcW w:w="4756"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公厕未按规定时间开放、未实行专人管理、规定保洁时间内管理员脱岗的各扣5分。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14" w:type="dxa"/>
            <w:vMerge w:val="continue"/>
            <w:noWrap w:val="0"/>
            <w:vAlign w:val="center"/>
          </w:tcPr>
          <w:p>
            <w:pPr>
              <w:rPr>
                <w:rFonts w:hint="eastAsia" w:ascii="宋体" w:hAnsi="宋体" w:eastAsia="宋体" w:cs="宋体"/>
                <w:color w:val="auto"/>
                <w:sz w:val="22"/>
                <w:szCs w:val="22"/>
                <w:highlight w:val="none"/>
              </w:rPr>
            </w:pPr>
          </w:p>
        </w:tc>
        <w:tc>
          <w:tcPr>
            <w:tcW w:w="554" w:type="dxa"/>
            <w:vMerge w:val="continue"/>
            <w:noWrap w:val="0"/>
            <w:vAlign w:val="center"/>
          </w:tcPr>
          <w:p>
            <w:pP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3．免费公厕的导向牌、各项规章制度、服务承诺开放时间和监督电话等信息应上墙，免费公厕标牌、男女标识牌、无障碍设施标识牌等各类标识牌设置规范、醒目，保持标识牌整洁和完好。</w:t>
            </w:r>
          </w:p>
        </w:tc>
        <w:tc>
          <w:tcPr>
            <w:tcW w:w="475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导向牌缺失，规章制度、公厕信息未按规定上墙的各扣2分；标识牌设置不规范、重复设置或未保持整洁完好的各扣1分。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trPr>
        <w:tc>
          <w:tcPr>
            <w:tcW w:w="51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洁</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量</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p>
        </w:tc>
        <w:tc>
          <w:tcPr>
            <w:tcW w:w="55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40分</w:t>
            </w:r>
          </w:p>
        </w:tc>
        <w:tc>
          <w:tcPr>
            <w:tcW w:w="4030" w:type="dxa"/>
            <w:noWrap w:val="0"/>
            <w:vAlign w:val="center"/>
          </w:tcPr>
          <w:p>
            <w:pPr>
              <w:numPr>
                <w:ilvl w:val="0"/>
                <w:numId w:val="40"/>
              </w:numPr>
              <w:ind w:left="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定时清洗，不间断保洁。免费公厕保洁要达到“十净、六无、一整洁”：</w:t>
            </w:r>
          </w:p>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十净</w:t>
            </w:r>
            <w:r>
              <w:rPr>
                <w:rFonts w:hint="eastAsia" w:ascii="宋体" w:hAnsi="宋体" w:eastAsia="宋体" w:cs="宋体"/>
                <w:color w:val="auto"/>
                <w:sz w:val="22"/>
                <w:szCs w:val="22"/>
                <w:highlight w:val="none"/>
              </w:rPr>
              <w:t>：地面净、墙壁净、蹲位净、门窗净、隔板净、便池净、洁具净、灯具净、天花板净、周围环境净；</w:t>
            </w:r>
          </w:p>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六无</w:t>
            </w:r>
            <w:r>
              <w:rPr>
                <w:rFonts w:hint="eastAsia" w:ascii="宋体" w:hAnsi="宋体" w:eastAsia="宋体" w:cs="宋体"/>
                <w:color w:val="auto"/>
                <w:sz w:val="22"/>
                <w:szCs w:val="22"/>
                <w:highlight w:val="none"/>
              </w:rPr>
              <w:t>：蹲坑便斗无杂物，公厕内外无乱写、乱画、乱堆乱放，定期消杀无蝇蛆，免费公厕无明显臭味，上水通畅、下水无堵塞，厕内无灰网；</w:t>
            </w:r>
            <w:r>
              <w:rPr>
                <w:rFonts w:hint="eastAsia" w:ascii="宋体" w:hAnsi="宋体" w:eastAsia="宋体" w:cs="宋体"/>
                <w:b/>
                <w:bCs/>
                <w:color w:val="auto"/>
                <w:sz w:val="22"/>
                <w:szCs w:val="22"/>
                <w:highlight w:val="none"/>
              </w:rPr>
              <w:t>一整洁</w:t>
            </w:r>
            <w:r>
              <w:rPr>
                <w:rFonts w:hint="eastAsia" w:ascii="宋体" w:hAnsi="宋体" w:eastAsia="宋体" w:cs="宋体"/>
                <w:color w:val="auto"/>
                <w:sz w:val="22"/>
                <w:szCs w:val="22"/>
                <w:highlight w:val="none"/>
              </w:rPr>
              <w:t>：管理间、工具间保持干净整洁，保洁工具有序摆放；</w:t>
            </w:r>
          </w:p>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定期开展消杀四害工作要求：</w:t>
            </w:r>
            <w:r>
              <w:rPr>
                <w:rFonts w:hint="eastAsia" w:ascii="宋体" w:hAnsi="宋体" w:eastAsia="宋体" w:cs="宋体"/>
                <w:color w:val="auto"/>
                <w:sz w:val="22"/>
                <w:szCs w:val="22"/>
                <w:highlight w:val="none"/>
              </w:rPr>
              <w:t>合理使用灭蚊灯，合理投放老鼠药、灭蟑药、灭蝇药等药物，消杀期（4-10月）每日定时对公厕内外进行消杀，非消杀期内视情况做好消杀工作，有效控制四害孳生。</w:t>
            </w:r>
          </w:p>
        </w:tc>
        <w:tc>
          <w:tcPr>
            <w:tcW w:w="475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未达到“十净”的各扣1分，包括公厕内设施不洁（厕位门、隔断板、小便斗及香球、大便器及周边地面、废纸篓、门窗、地面、灯具、天花板、墙壁、防滑毯、烘干机、喷香机、取液器、洗手台、镜面等），乱写乱画未及时处理，上水无通畅，下水有堵塞，有蜘蛛网，管理间、工具间杂乱不洁，保洁工具乱摆放等；</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蹲坑便斗、免费公厕内外有杂物堆放的各扣2分；</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消杀设备破损，未定期消杀，有蝇蛆、四害孳生等情况的各扣1分；</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公厕内有明显臭味的扣3分；</w:t>
            </w:r>
          </w:p>
          <w:p>
            <w:pP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14" w:type="dxa"/>
            <w:vMerge w:val="continue"/>
            <w:noWrap w:val="0"/>
            <w:vAlign w:val="center"/>
          </w:tcPr>
          <w:p>
            <w:pPr>
              <w:jc w:val="center"/>
              <w:rPr>
                <w:rFonts w:hint="eastAsia" w:ascii="宋体" w:hAnsi="宋体" w:eastAsia="宋体" w:cs="宋体"/>
                <w:color w:val="auto"/>
                <w:sz w:val="22"/>
                <w:szCs w:val="22"/>
                <w:highlight w:val="none"/>
              </w:rPr>
            </w:pPr>
          </w:p>
        </w:tc>
        <w:tc>
          <w:tcPr>
            <w:tcW w:w="554" w:type="dxa"/>
            <w:vMerge w:val="continue"/>
            <w:noWrap w:val="0"/>
            <w:vAlign w:val="center"/>
          </w:tcPr>
          <w:p>
            <w:pPr>
              <w:jc w:val="cente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5．免费公厕外环境（有绿化带的以绿化带外围为界限，无绿化带的外墙起4米范围内）整洁有序，无垃圾、无粪便、无晾晒衣物、无杂物堆放，严禁在公厕内擅自寄养动物、种蔬菜。</w:t>
            </w:r>
          </w:p>
        </w:tc>
        <w:tc>
          <w:tcPr>
            <w:tcW w:w="4756" w:type="dxa"/>
            <w:noWrap w:val="0"/>
            <w:vAlign w:val="center"/>
          </w:tcPr>
          <w:p>
            <w:pPr>
              <w:ind w:firstLine="42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公厕外环境有垃圾堆放、粪便的扣5分，有污水的扣1分；</w:t>
            </w:r>
          </w:p>
          <w:p>
            <w:pPr>
              <w:ind w:firstLine="42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在绿化带、公厕外明显位置晾晒衣物的各扣2分；</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有饲养/寄养动物、种蔬菜的扣5分。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4" w:type="dxa"/>
            <w:vMerge w:val="restart"/>
            <w:noWrap w:val="0"/>
            <w:vAlign w:val="center"/>
          </w:tcPr>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w:t>
            </w: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p>
        </w:tc>
        <w:tc>
          <w:tcPr>
            <w:tcW w:w="554"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6．公厕开放时间内用水、用电系统应正常启用。做好用水、用电安全工作，严禁私拉、外接电线、水管。严禁在公厕内使用明火灶具或电炉等具有安全隐患的高功率电器。</w:t>
            </w:r>
          </w:p>
        </w:tc>
        <w:tc>
          <w:tcPr>
            <w:tcW w:w="4756" w:type="dxa"/>
            <w:noWrap w:val="0"/>
            <w:vAlign w:val="center"/>
          </w:tcPr>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公厕开放时间内用水、用电系统未正常启用的各扣2分；</w:t>
            </w:r>
          </w:p>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擅自私拉、外接电线或水管的各扣5分；</w:t>
            </w:r>
          </w:p>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使用明火灶具或电炉等高功率电器的扣5分。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14" w:type="dxa"/>
            <w:vMerge w:val="continue"/>
            <w:noWrap w:val="0"/>
            <w:vAlign w:val="center"/>
          </w:tcPr>
          <w:p>
            <w:pPr>
              <w:jc w:val="center"/>
              <w:rPr>
                <w:rFonts w:hint="eastAsia" w:ascii="宋体" w:hAnsi="宋体" w:eastAsia="宋体" w:cs="宋体"/>
                <w:color w:val="auto"/>
                <w:sz w:val="22"/>
                <w:szCs w:val="22"/>
                <w:highlight w:val="none"/>
              </w:rPr>
            </w:pPr>
          </w:p>
        </w:tc>
        <w:tc>
          <w:tcPr>
            <w:tcW w:w="554" w:type="dxa"/>
            <w:vMerge w:val="continue"/>
            <w:noWrap w:val="0"/>
            <w:vAlign w:val="center"/>
          </w:tcPr>
          <w:p>
            <w:pPr>
              <w:jc w:val="cente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7．做好公厕内设备和设施的使用、维护和管理，确保采光、用水、照明、通风良好，感官舒适。</w:t>
            </w:r>
          </w:p>
        </w:tc>
        <w:tc>
          <w:tcPr>
            <w:tcW w:w="4756" w:type="dxa"/>
            <w:noWrap w:val="0"/>
            <w:vAlign w:val="center"/>
          </w:tcPr>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施设备应完好，发现破损、渗漏、无法正常使用的各扣1分（包括公厕内墙面、地面、天花板、预埋管线等基建设施，照明、通风、洁具、厕位门、门锁、镜子、挂衣钩、扶手、应叫器、喷香机、烘手机、取液器、防滑毯等辅助设施）；</w:t>
            </w:r>
          </w:p>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未按规定铺设防滑毯的扣1分。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14" w:type="dxa"/>
            <w:vMerge w:val="continue"/>
            <w:noWrap w:val="0"/>
            <w:vAlign w:val="center"/>
          </w:tcPr>
          <w:p>
            <w:pPr>
              <w:jc w:val="center"/>
              <w:rPr>
                <w:rFonts w:hint="eastAsia" w:ascii="宋体" w:hAnsi="宋体" w:eastAsia="宋体" w:cs="宋体"/>
                <w:color w:val="auto"/>
                <w:sz w:val="22"/>
                <w:szCs w:val="22"/>
                <w:highlight w:val="none"/>
              </w:rPr>
            </w:pPr>
          </w:p>
        </w:tc>
        <w:tc>
          <w:tcPr>
            <w:tcW w:w="554" w:type="dxa"/>
            <w:vMerge w:val="continue"/>
            <w:noWrap w:val="0"/>
            <w:vAlign w:val="center"/>
          </w:tcPr>
          <w:p>
            <w:pPr>
              <w:jc w:val="cente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8．无障碍通道畅通，扶手完好、牢固，应叫器正常使用，无障碍间按时间正常开放使用。</w:t>
            </w:r>
          </w:p>
        </w:tc>
        <w:tc>
          <w:tcPr>
            <w:tcW w:w="4756"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无障碍通道不畅通的扣1分；无障碍间未正常开放使用的扣2分。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14" w:type="dxa"/>
            <w:vMerge w:val="continue"/>
            <w:noWrap w:val="0"/>
            <w:vAlign w:val="center"/>
          </w:tcPr>
          <w:p>
            <w:pPr>
              <w:jc w:val="center"/>
              <w:rPr>
                <w:rFonts w:hint="eastAsia" w:ascii="宋体" w:hAnsi="宋体" w:eastAsia="宋体" w:cs="宋体"/>
                <w:color w:val="auto"/>
                <w:sz w:val="22"/>
                <w:szCs w:val="22"/>
                <w:highlight w:val="none"/>
              </w:rPr>
            </w:pPr>
          </w:p>
        </w:tc>
        <w:tc>
          <w:tcPr>
            <w:tcW w:w="554" w:type="dxa"/>
            <w:vMerge w:val="continue"/>
            <w:noWrap w:val="0"/>
            <w:vAlign w:val="center"/>
          </w:tcPr>
          <w:p>
            <w:pPr>
              <w:jc w:val="cente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9．化粪池通风口不堵塞，通风口处无杂物堆放；排污设施性能良好，无破损、无渗漏、无外溢。</w:t>
            </w:r>
          </w:p>
        </w:tc>
        <w:tc>
          <w:tcPr>
            <w:tcW w:w="4756" w:type="dxa"/>
            <w:noWrap w:val="0"/>
            <w:vAlign w:val="center"/>
          </w:tcPr>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化粪池通风口堵塞的扣5分。</w:t>
            </w:r>
          </w:p>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排污管道等排污设施缺失、破损的各扣1分；</w:t>
            </w:r>
          </w:p>
          <w:p>
            <w:pPr>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出现渗漏、满溢等不良后果的扣3分。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督</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w:t>
            </w:r>
          </w:p>
        </w:tc>
        <w:tc>
          <w:tcPr>
            <w:tcW w:w="55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w:t>
            </w:r>
          </w:p>
          <w:p>
            <w:pPr>
              <w:jc w:val="center"/>
              <w:rPr>
                <w:rFonts w:hint="eastAsia" w:ascii="宋体" w:hAnsi="宋体" w:eastAsia="宋体" w:cs="宋体"/>
                <w:color w:val="auto"/>
                <w:sz w:val="22"/>
                <w:szCs w:val="22"/>
                <w:highlight w:val="none"/>
              </w:rPr>
            </w:pPr>
          </w:p>
        </w:tc>
        <w:tc>
          <w:tcPr>
            <w:tcW w:w="4030"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10．规范管理、文明服务，接受社会各界监督，不得阻扰检查监督人员正常工作。认真完成上级部门交办的任务。</w:t>
            </w:r>
          </w:p>
        </w:tc>
        <w:tc>
          <w:tcPr>
            <w:tcW w:w="4756" w:type="dxa"/>
            <w:noWrap w:val="0"/>
            <w:vAlign w:val="center"/>
          </w:tcPr>
          <w:p>
            <w:pPr>
              <w:ind w:firstLine="4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被投诉或被媒体曝光，经调查属实的扣5分/次；</w:t>
            </w:r>
          </w:p>
          <w:p>
            <w:pPr>
              <w:ind w:firstLine="4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未做到文明服务，阻扰、谩骂、影响检查监督人员正常工作的扣5分/次。</w:t>
            </w:r>
          </w:p>
          <w:p>
            <w:pPr>
              <w:ind w:firstLine="4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未认真完成上级部门交办的任务扣5分。</w:t>
            </w:r>
          </w:p>
        </w:tc>
      </w:tr>
    </w:tbl>
    <w:p>
      <w:pPr>
        <w:spacing w:line="460" w:lineRule="exact"/>
        <w:jc w:val="center"/>
        <w:rPr>
          <w:rFonts w:hint="eastAsia" w:ascii="宋体" w:hAnsi="宋体" w:eastAsia="宋体" w:cs="宋体"/>
          <w:b/>
          <w:color w:val="auto"/>
          <w:sz w:val="22"/>
          <w:szCs w:val="22"/>
          <w:highlight w:val="none"/>
          <w:lang w:eastAsia="zh-CN"/>
        </w:rPr>
      </w:pPr>
    </w:p>
    <w:p>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rPr>
        <w:t>、考核方式及结果运用（甲方有权根据实际情况进行适当调整）。</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（一）考核方式</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本项目依照鹿城区道路环卫保洁作业《鹿城区市场化道路清扫保洁质量考核评分细则》、《鹿城区公厕考核办法》评分标准进行考评。</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标段清扫保洁作业质量考核和人员配置、人员福利保障、机具配置监管等主体为相关辖区</w:t>
      </w:r>
      <w:r>
        <w:rPr>
          <w:rFonts w:hint="eastAsia" w:ascii="宋体" w:hAnsi="宋体" w:eastAsia="宋体" w:cs="宋体"/>
          <w:color w:val="auto"/>
          <w:sz w:val="22"/>
          <w:szCs w:val="22"/>
          <w:highlight w:val="none"/>
          <w:lang w:eastAsia="zh-CN"/>
        </w:rPr>
        <w:t>街镇</w:t>
      </w:r>
      <w:r>
        <w:rPr>
          <w:rFonts w:hint="eastAsia" w:ascii="宋体" w:hAnsi="宋体" w:eastAsia="宋体" w:cs="宋体"/>
          <w:color w:val="auto"/>
          <w:sz w:val="22"/>
          <w:szCs w:val="22"/>
          <w:highlight w:val="none"/>
        </w:rPr>
        <w:t>，如需承包单位配合的将提前一小时通知该单位派员参加。</w:t>
      </w:r>
    </w:p>
    <w:p>
      <w:pPr>
        <w:keepNext w:val="0"/>
        <w:keepLines w:val="0"/>
        <w:pageBreakBefore w:val="0"/>
        <w:widowControl w:val="0"/>
        <w:kinsoku/>
        <w:wordWrap/>
        <w:overflowPunct/>
        <w:topLinePunct w:val="0"/>
        <w:autoSpaceDE/>
        <w:autoSpaceDN/>
        <w:bidi w:val="0"/>
        <w:adjustRightInd/>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lang w:eastAsia="zh-CN"/>
        </w:rPr>
        <w:t>．</w:t>
      </w:r>
      <w:r>
        <w:rPr>
          <w:rFonts w:hint="eastAsia" w:eastAsia="宋体" w:cs="宋体"/>
          <w:b w:val="0"/>
          <w:bCs w:val="0"/>
          <w:color w:val="auto"/>
          <w:sz w:val="22"/>
          <w:szCs w:val="22"/>
          <w:highlight w:val="none"/>
          <w:lang w:val="en-US" w:eastAsia="zh-CN"/>
        </w:rPr>
        <w:t>本项目清扫保洁质量考核由相关辖区街镇为考核主体，辖区街镇对中标保洁公司进行普查考核，鹿城区综合行政执法局对各辖区街镇的监督情况及保洁情况进行抽查考核，鹿城区综合行政执法局抽查考核工单，纳入街镇考核工单中一起计算考核分数</w:t>
      </w:r>
      <w:r>
        <w:rPr>
          <w:rFonts w:hint="eastAsia" w:ascii="宋体" w:hAnsi="宋体" w:eastAsia="宋体" w:cs="宋体"/>
          <w:b/>
          <w:bCs/>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考核时间：</w:t>
      </w:r>
      <w:r>
        <w:rPr>
          <w:rFonts w:hint="eastAsia" w:ascii="宋体" w:hAnsi="宋体" w:eastAsia="宋体" w:cs="宋体"/>
          <w:color w:val="auto"/>
          <w:sz w:val="22"/>
          <w:szCs w:val="22"/>
          <w:highlight w:val="none"/>
          <w:lang w:val="en-US" w:eastAsia="zh-CN"/>
        </w:rPr>
        <w:t>在合同承包期内，考核部门可以随时对中标单位进行考核，中标单位需无条件配合</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对考核有异议的，</w:t>
      </w:r>
      <w:r>
        <w:rPr>
          <w:rFonts w:hint="eastAsia" w:ascii="宋体" w:hAnsi="宋体" w:eastAsia="宋体" w:cs="宋体"/>
          <w:color w:val="auto"/>
          <w:sz w:val="22"/>
          <w:szCs w:val="22"/>
          <w:highlight w:val="none"/>
          <w:lang w:val="en-US" w:eastAsia="zh-CN"/>
        </w:rPr>
        <w:t>保洁公司书面提交异议单，</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val="en-US" w:eastAsia="zh-CN"/>
        </w:rPr>
        <w:t>街镇</w:t>
      </w:r>
      <w:r>
        <w:rPr>
          <w:rFonts w:hint="eastAsia" w:ascii="宋体" w:hAnsi="宋体" w:eastAsia="宋体" w:cs="宋体"/>
          <w:color w:val="auto"/>
          <w:sz w:val="22"/>
          <w:szCs w:val="22"/>
          <w:highlight w:val="none"/>
        </w:rPr>
        <w:t xml:space="preserve">考核人员作出解释，照片或视频保留时间为1年。 </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如有需要区主管部门有权对承包方人员配备、福利保障、机具配置等进行检查。</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．各评分采取百分制，</w:t>
      </w:r>
      <w:r>
        <w:rPr>
          <w:rFonts w:hint="eastAsia" w:ascii="宋体" w:hAnsi="宋体" w:eastAsia="宋体" w:cs="宋体"/>
          <w:color w:val="auto"/>
          <w:sz w:val="22"/>
          <w:szCs w:val="22"/>
          <w:highlight w:val="none"/>
          <w:lang w:val="en-US" w:eastAsia="zh-CN"/>
        </w:rPr>
        <w:t>各街道（或镇）</w:t>
      </w:r>
      <w:r>
        <w:rPr>
          <w:rFonts w:hint="eastAsia" w:ascii="宋体" w:hAnsi="宋体" w:eastAsia="宋体" w:cs="宋体"/>
          <w:color w:val="auto"/>
          <w:sz w:val="22"/>
          <w:szCs w:val="22"/>
          <w:highlight w:val="none"/>
          <w:lang w:eastAsia="zh-CN"/>
        </w:rPr>
        <w:t>考核得分为各部分的加权分总和，其中道路保洁总分值占比9</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%（道路清扫保洁中，一级道路权重为20%，二级道路权重为20%、三级道路权重为30%、四级道路权重为30%，以上四类道路评分各自以百分制打分，然后按照权重纳入道路保洁总分值）、公厕管理分值占比</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因标项2中山福镇没有公厕，藤桥镇只有一座公厕，故标项2山福镇和藤桥镇考核得分按道路100%进行评分。</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各街镇在检查时应使用鹿城智慧环卫平台（手机端安装鹿城环卫app）进行实时考核，完成考核后工单当场上传系统平台。</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（二）结果运用</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根据每月清扫保洁质量考核结果，将考核成绩分为三个档次，按照考核分数所在档次发放清扫经费。第一档次为优秀（</w:t>
      </w:r>
      <w:r>
        <w:rPr>
          <w:rFonts w:hint="eastAsia" w:ascii="宋体" w:hAnsi="宋体" w:eastAsia="宋体" w:cs="宋体"/>
          <w:color w:val="auto"/>
          <w:sz w:val="22"/>
          <w:szCs w:val="22"/>
          <w:highlight w:val="none"/>
          <w:lang w:val="en-US" w:eastAsia="zh-CN"/>
        </w:rPr>
        <w:t>得分</w:t>
      </w:r>
      <w:r>
        <w:rPr>
          <w:rFonts w:hint="default" w:ascii="Arial" w:hAnsi="Arial" w:eastAsia="宋体" w:cs="Arial"/>
          <w:color w:val="auto"/>
          <w:sz w:val="22"/>
          <w:szCs w:val="22"/>
          <w:highlight w:val="none"/>
          <w:lang w:val="en-US" w:eastAsia="zh-CN"/>
        </w:rPr>
        <w:t>≥</w:t>
      </w:r>
      <w:r>
        <w:rPr>
          <w:rFonts w:hint="eastAsia" w:ascii="宋体" w:hAnsi="宋体" w:eastAsia="宋体" w:cs="宋体"/>
          <w:color w:val="auto"/>
          <w:sz w:val="22"/>
          <w:szCs w:val="22"/>
          <w:highlight w:val="none"/>
        </w:rPr>
        <w:t>90分），发放当月全额清扫经费，</w:t>
      </w:r>
      <w:r>
        <w:rPr>
          <w:rFonts w:hint="eastAsia" w:ascii="宋体" w:hAnsi="宋体" w:eastAsia="宋体" w:cs="宋体"/>
          <w:color w:val="auto"/>
          <w:sz w:val="22"/>
          <w:szCs w:val="22"/>
          <w:highlight w:val="none"/>
          <w:lang w:val="en-US" w:eastAsia="zh-CN"/>
        </w:rPr>
        <w:t>可纳入红榜</w:t>
      </w:r>
      <w:r>
        <w:rPr>
          <w:rFonts w:hint="eastAsia" w:ascii="宋体" w:hAnsi="宋体" w:eastAsia="宋体" w:cs="宋体"/>
          <w:color w:val="auto"/>
          <w:sz w:val="22"/>
          <w:szCs w:val="22"/>
          <w:highlight w:val="none"/>
        </w:rPr>
        <w:t>。第二档次为良好（</w:t>
      </w:r>
      <w:r>
        <w:rPr>
          <w:rFonts w:hint="eastAsia" w:ascii="宋体" w:hAnsi="宋体" w:eastAsia="宋体" w:cs="宋体"/>
          <w:color w:val="auto"/>
          <w:sz w:val="22"/>
          <w:szCs w:val="22"/>
          <w:highlight w:val="none"/>
          <w:lang w:val="en-US" w:eastAsia="zh-CN"/>
        </w:rPr>
        <w:t>90</w:t>
      </w:r>
      <w:r>
        <w:rPr>
          <w:rFonts w:hint="eastAsia" w:ascii="微软雅黑" w:hAnsi="微软雅黑" w:eastAsia="微软雅黑" w:cs="微软雅黑"/>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得分</w:t>
      </w:r>
      <w:r>
        <w:rPr>
          <w:rFonts w:hint="default" w:ascii="Arial" w:hAnsi="Arial" w:eastAsia="宋体" w:cs="Arial"/>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分），全额发放当月清扫经费。第三档次为合格(</w:t>
      </w:r>
      <w:r>
        <w:rPr>
          <w:rFonts w:hint="eastAsia" w:ascii="宋体" w:hAnsi="宋体" w:eastAsia="宋体" w:cs="宋体"/>
          <w:color w:val="auto"/>
          <w:sz w:val="22"/>
          <w:szCs w:val="22"/>
          <w:highlight w:val="none"/>
          <w:lang w:val="en-US" w:eastAsia="zh-CN"/>
        </w:rPr>
        <w:t>85</w:t>
      </w:r>
      <w:r>
        <w:rPr>
          <w:rFonts w:hint="eastAsia" w:ascii="微软雅黑" w:hAnsi="微软雅黑" w:eastAsia="微软雅黑" w:cs="微软雅黑"/>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得分</w:t>
      </w:r>
      <w:r>
        <w:rPr>
          <w:rFonts w:hint="default" w:ascii="Arial" w:hAnsi="Arial" w:eastAsia="宋体" w:cs="Arial"/>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rPr>
        <w:t>），扣除当月部分清扫经费</w:t>
      </w:r>
      <w:r>
        <w:rPr>
          <w:rFonts w:hint="eastAsia" w:ascii="宋体" w:hAnsi="宋体" w:eastAsia="宋体" w:cs="宋体"/>
          <w:color w:val="auto"/>
          <w:sz w:val="22"/>
          <w:szCs w:val="22"/>
          <w:highlight w:val="none"/>
          <w:lang w:val="en-US" w:eastAsia="zh-CN"/>
        </w:rPr>
        <w:t>，比85分每下降一分，</w:t>
      </w:r>
      <w:r>
        <w:rPr>
          <w:rFonts w:hint="eastAsia" w:ascii="宋体" w:hAnsi="宋体" w:eastAsia="宋体" w:cs="宋体"/>
          <w:color w:val="auto"/>
          <w:sz w:val="22"/>
          <w:szCs w:val="22"/>
          <w:highlight w:val="none"/>
        </w:rPr>
        <w:t>扣除</w:t>
      </w:r>
      <w:r>
        <w:rPr>
          <w:rFonts w:hint="eastAsia" w:ascii="宋体" w:hAnsi="宋体" w:eastAsia="宋体" w:cs="宋体"/>
          <w:color w:val="auto"/>
          <w:sz w:val="22"/>
          <w:szCs w:val="22"/>
          <w:highlight w:val="none"/>
          <w:lang w:val="en-US" w:eastAsia="zh-CN"/>
        </w:rPr>
        <w:t>1%的月清扫经费，分数精确到小数点后两位</w:t>
      </w:r>
      <w:r>
        <w:rPr>
          <w:rFonts w:hint="eastAsia" w:ascii="宋体" w:hAnsi="宋体" w:eastAsia="宋体" w:cs="宋体"/>
          <w:color w:val="auto"/>
          <w:sz w:val="22"/>
          <w:szCs w:val="22"/>
          <w:highlight w:val="none"/>
        </w:rPr>
        <w:t>）。如当月考核成绩未达到</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0分的，</w:t>
      </w:r>
      <w:r>
        <w:rPr>
          <w:rFonts w:hint="eastAsia" w:ascii="宋体" w:hAnsi="宋体" w:eastAsia="宋体" w:cs="宋体"/>
          <w:color w:val="auto"/>
          <w:sz w:val="22"/>
          <w:szCs w:val="22"/>
          <w:highlight w:val="none"/>
          <w:lang w:val="en-US" w:eastAsia="zh-CN"/>
        </w:rPr>
        <w:t>当月成绩列为不合格</w:t>
      </w:r>
      <w:r>
        <w:rPr>
          <w:rFonts w:hint="eastAsia" w:ascii="宋体" w:hAnsi="宋体" w:eastAsia="宋体" w:cs="宋体"/>
          <w:color w:val="auto"/>
          <w:sz w:val="22"/>
          <w:szCs w:val="22"/>
          <w:highlight w:val="none"/>
        </w:rPr>
        <w:t>。如</w:t>
      </w:r>
      <w:r>
        <w:rPr>
          <w:rFonts w:hint="eastAsia" w:ascii="宋体" w:hAnsi="宋体" w:eastAsia="宋体" w:cs="宋体"/>
          <w:color w:val="auto"/>
          <w:sz w:val="22"/>
          <w:szCs w:val="22"/>
          <w:highlight w:val="none"/>
          <w:lang w:val="en-US" w:eastAsia="zh-CN"/>
        </w:rPr>
        <w:t>各街道（或镇）</w:t>
      </w:r>
      <w:r>
        <w:rPr>
          <w:rFonts w:hint="eastAsia" w:ascii="宋体" w:hAnsi="宋体" w:eastAsia="宋体" w:cs="宋体"/>
          <w:color w:val="auto"/>
          <w:sz w:val="22"/>
          <w:szCs w:val="22"/>
          <w:highlight w:val="none"/>
        </w:rPr>
        <w:t>连续两月或一年内累计三月考核成绩不足</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0分，</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人有权单方面解除合同</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2．排班数配置，福利保障监管结果达不到规定或承诺要求的，每发现排班数配置不到位或福利发放不到位，扣回相应的工资、福利。中标单位标段内作业排班数与机具配置达不到规定或承诺要求，未能提出替代办法，经查证无正当理由，是主观因素造成的，招标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3.出现跨区域偷倒无主装潢垃圾的，</w:t>
      </w:r>
      <w:r>
        <w:rPr>
          <w:rFonts w:hint="eastAsia" w:ascii="宋体" w:hAnsi="宋体" w:eastAsia="宋体" w:cs="宋体"/>
          <w:color w:val="auto"/>
          <w:sz w:val="22"/>
          <w:szCs w:val="22"/>
          <w:highlight w:val="none"/>
          <w:lang w:eastAsia="zh-CN"/>
        </w:rPr>
        <w:t>招标人有权单方面解除合同</w:t>
      </w:r>
      <w:r>
        <w:rPr>
          <w:rFonts w:hint="eastAsia" w:ascii="宋体" w:hAnsi="宋体" w:eastAsia="宋体" w:cs="宋体"/>
          <w:color w:val="auto"/>
          <w:sz w:val="22"/>
          <w:szCs w:val="22"/>
          <w:highlight w:val="none"/>
          <w:lang w:val="en-US" w:eastAsia="zh-CN"/>
        </w:rPr>
        <w:t>。连续2个月、或年累计3个月发现装潢垃圾堆放，未在24小时内及时清理，造成恶劣社会影响的，</w:t>
      </w:r>
      <w:r>
        <w:rPr>
          <w:rFonts w:hint="eastAsia" w:ascii="宋体" w:hAnsi="宋体" w:eastAsia="宋体" w:cs="宋体"/>
          <w:color w:val="auto"/>
          <w:sz w:val="22"/>
          <w:szCs w:val="22"/>
          <w:highlight w:val="none"/>
          <w:lang w:eastAsia="zh-CN"/>
        </w:rPr>
        <w:t>招标人有权单方面解除合同。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4.中标单位发生员工群体性事件，处置不利造成重大影响的，招标人有权单方面解除合同。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5.因应急处置不当造成严重环境污染、重大公共事件或者被上级政府追责的其他事项的，招标人有权单方面解除合同，并上报相关主管部门。</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6.发现挂靠、转包的，招标人将没收其履约保证金，并解除合同。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机械化清扫保洁作业及机具配置监管结果达不到规定或承诺要求的，故意隐瞒人员和机具配置数量，与承包合同不符，查证属实的取消承包合同。（除人力不可抗拒的特殊情况外），同时要做好机械清扫保洁相关台账建设工作，每月交区主管局备案。（注：机械化作业考核标准参照市政府有关《城市道路机械化清扫保洁考核细则》）相应规定执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有市民投诉、媒体曝光的影响环境卫生事件,经核实是由承包方或作业人员责任引起的将予以处罚,处罚额度为每发现并核实一次扣月规定罚金的30%。</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w:t>
      </w:r>
      <w:r>
        <w:rPr>
          <w:rFonts w:hint="eastAsia" w:ascii="宋体" w:hAnsi="宋体" w:eastAsia="宋体" w:cs="宋体"/>
          <w:color w:val="auto"/>
          <w:sz w:val="22"/>
          <w:szCs w:val="22"/>
          <w:highlight w:val="none"/>
          <w:lang w:val="en-US" w:eastAsia="zh-CN"/>
        </w:rPr>
        <w:t>清扫保洁</w:t>
      </w:r>
      <w:r>
        <w:rPr>
          <w:rFonts w:hint="eastAsia" w:ascii="宋体" w:hAnsi="宋体" w:eastAsia="宋体" w:cs="宋体"/>
          <w:color w:val="auto"/>
          <w:sz w:val="22"/>
          <w:szCs w:val="22"/>
          <w:highlight w:val="none"/>
        </w:rPr>
        <w:t>不到位而出现不良影响的，除给予通报批评外，将予以扣款。国家级检查发现的，每处扣</w:t>
      </w:r>
      <w:r>
        <w:rPr>
          <w:rFonts w:hint="eastAsia" w:ascii="宋体" w:hAnsi="宋体" w:eastAsia="宋体" w:cs="宋体"/>
          <w:color w:val="auto"/>
          <w:sz w:val="22"/>
          <w:szCs w:val="22"/>
          <w:highlight w:val="none"/>
          <w:lang w:val="en-US" w:eastAsia="zh-CN"/>
        </w:rPr>
        <w:t>10000</w:t>
      </w:r>
      <w:r>
        <w:rPr>
          <w:rFonts w:hint="eastAsia" w:ascii="宋体" w:hAnsi="宋体" w:eastAsia="宋体" w:cs="宋体"/>
          <w:color w:val="auto"/>
          <w:sz w:val="22"/>
          <w:szCs w:val="22"/>
          <w:highlight w:val="none"/>
        </w:rPr>
        <w:t>元；省级检查发现的，每处扣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000元；市</w:t>
      </w:r>
      <w:r>
        <w:rPr>
          <w:rFonts w:hint="eastAsia" w:ascii="宋体" w:hAnsi="宋体" w:eastAsia="宋体" w:cs="宋体"/>
          <w:color w:val="auto"/>
          <w:sz w:val="22"/>
          <w:szCs w:val="22"/>
          <w:highlight w:val="none"/>
          <w:lang w:val="en-US" w:eastAsia="zh-CN"/>
        </w:rPr>
        <w:t>级</w:t>
      </w:r>
      <w:r>
        <w:rPr>
          <w:rFonts w:hint="eastAsia" w:ascii="宋体" w:hAnsi="宋体" w:eastAsia="宋体" w:cs="宋体"/>
          <w:color w:val="auto"/>
          <w:sz w:val="22"/>
          <w:szCs w:val="22"/>
          <w:highlight w:val="none"/>
        </w:rPr>
        <w:t>检查发现的，每处扣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000元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区级</w:t>
      </w:r>
      <w:r>
        <w:rPr>
          <w:rFonts w:hint="eastAsia" w:ascii="宋体" w:hAnsi="宋体" w:eastAsia="宋体" w:cs="宋体"/>
          <w:color w:val="auto"/>
          <w:sz w:val="22"/>
          <w:szCs w:val="22"/>
          <w:highlight w:val="none"/>
        </w:rPr>
        <w:t>检查发现的，每处扣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000元。</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罚款从每月承包经费中扣除。</w:t>
      </w:r>
      <w:r>
        <w:rPr>
          <w:rFonts w:hint="eastAsia" w:hAnsi="宋体" w:eastAsia="宋体" w:cs="宋体"/>
          <w:color w:val="auto"/>
          <w:sz w:val="22"/>
          <w:szCs w:val="22"/>
          <w:highlight w:val="none"/>
          <w:lang w:val="en-US" w:eastAsia="zh-CN"/>
        </w:rPr>
        <w:t>扣回金额留在街镇账户中，可以用于保洁相关支出。</w:t>
      </w:r>
    </w:p>
    <w:p>
      <w:pPr>
        <w:pStyle w:val="799"/>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center"/>
        <w:textAlignment w:val="auto"/>
        <w:outlineLvl w:val="0"/>
        <w:rPr>
          <w:rFonts w:hint="eastAsia" w:ascii="宋体" w:hAnsi="宋体" w:eastAsia="宋体" w:cs="宋体"/>
          <w:color w:val="auto"/>
          <w:sz w:val="36"/>
          <w:szCs w:val="36"/>
          <w:highlight w:val="none"/>
        </w:rPr>
      </w:pPr>
      <w:r>
        <w:rPr>
          <w:rFonts w:hint="eastAsia" w:ascii="宋体" w:hAnsi="宋体" w:eastAsia="宋体" w:cs="宋体"/>
          <w:color w:val="auto"/>
          <w:kern w:val="2"/>
          <w:sz w:val="22"/>
          <w:szCs w:val="22"/>
          <w:highlight w:val="none"/>
          <w:lang w:val="en-US" w:eastAsia="zh-CN" w:bidi="ar-SA"/>
        </w:rPr>
        <w:br w:type="page"/>
      </w:r>
      <w:bookmarkStart w:id="239" w:name="_Toc15632"/>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eastAsia="zh-CN"/>
        </w:rPr>
        <w:t>六</w:t>
      </w:r>
      <w:r>
        <w:rPr>
          <w:rFonts w:hint="eastAsia" w:ascii="宋体" w:hAnsi="宋体" w:eastAsia="宋体" w:cs="宋体"/>
          <w:color w:val="auto"/>
          <w:sz w:val="36"/>
          <w:szCs w:val="36"/>
          <w:highlight w:val="none"/>
        </w:rPr>
        <w:t>部分</w:t>
      </w:r>
      <w:bookmarkEnd w:id="233"/>
      <w:bookmarkEnd w:id="234"/>
      <w:bookmarkEnd w:id="235"/>
      <w:bookmarkEnd w:id="236"/>
      <w:bookmarkEnd w:id="237"/>
      <w:r>
        <w:rPr>
          <w:rFonts w:hint="eastAsia" w:ascii="宋体" w:hAnsi="宋体" w:eastAsia="宋体" w:cs="宋体"/>
          <w:color w:val="auto"/>
          <w:sz w:val="36"/>
          <w:szCs w:val="36"/>
          <w:highlight w:val="none"/>
        </w:rPr>
        <w:t xml:space="preserve">   评标原则及方法</w:t>
      </w:r>
      <w:bookmarkEnd w:id="238"/>
      <w:bookmarkEnd w:id="239"/>
    </w:p>
    <w:bookmarkEnd w:id="2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pStyle w:val="25"/>
        <w:overflowPunct w:val="0"/>
        <w:spacing w:after="0" w:line="360" w:lineRule="auto"/>
        <w:rPr>
          <w:rFonts w:hint="eastAsia" w:ascii="宋体" w:hAnsi="宋体" w:eastAsia="宋体" w:cs="宋体"/>
          <w:b/>
          <w:color w:val="auto"/>
          <w:sz w:val="22"/>
          <w:szCs w:val="22"/>
          <w:highlight w:val="none"/>
        </w:rPr>
      </w:pPr>
      <w:bookmarkStart w:id="240" w:name="_Toc221356961"/>
      <w:bookmarkStart w:id="241" w:name="_Toc221356898"/>
      <w:r>
        <w:rPr>
          <w:rFonts w:hint="eastAsia" w:ascii="宋体" w:hAnsi="宋体" w:eastAsia="宋体" w:cs="宋体"/>
          <w:b/>
          <w:color w:val="auto"/>
          <w:sz w:val="22"/>
          <w:szCs w:val="22"/>
          <w:highlight w:val="none"/>
        </w:rPr>
        <w:t>一. 总  则</w:t>
      </w:r>
      <w:bookmarkEnd w:id="240"/>
      <w:bookmarkEnd w:id="241"/>
    </w:p>
    <w:p>
      <w:pPr>
        <w:overflowPunct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25"/>
        <w:overflowPunct w:val="0"/>
        <w:spacing w:after="0" w:line="360" w:lineRule="auto"/>
        <w:rPr>
          <w:rFonts w:hint="eastAsia" w:ascii="宋体" w:hAnsi="宋体" w:eastAsia="宋体" w:cs="宋体"/>
          <w:b/>
          <w:color w:val="auto"/>
          <w:sz w:val="22"/>
          <w:szCs w:val="22"/>
          <w:highlight w:val="none"/>
        </w:rPr>
      </w:pPr>
      <w:bookmarkStart w:id="242" w:name="_Toc221356899"/>
      <w:bookmarkStart w:id="243" w:name="_Toc221356962"/>
      <w:r>
        <w:rPr>
          <w:rFonts w:hint="eastAsia" w:ascii="宋体" w:hAnsi="宋体" w:eastAsia="宋体" w:cs="宋体"/>
          <w:b/>
          <w:color w:val="auto"/>
          <w:sz w:val="22"/>
          <w:szCs w:val="22"/>
          <w:highlight w:val="none"/>
        </w:rPr>
        <w:t>二、评标组织</w:t>
      </w:r>
      <w:bookmarkEnd w:id="242"/>
      <w:bookmarkEnd w:id="243"/>
    </w:p>
    <w:p>
      <w:pPr>
        <w:overflowPunct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评标工作由采购人依法组建的评标委员会负责，评标全过程由有关部门指导监督。</w:t>
      </w:r>
    </w:p>
    <w:p>
      <w:pPr>
        <w:autoSpaceDE w:val="0"/>
        <w:autoSpaceDN w:val="0"/>
        <w:adjustRightInd w:val="0"/>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三、评标程序</w:t>
      </w:r>
    </w:p>
    <w:p>
      <w:pPr>
        <w:overflowPunct w:val="0"/>
        <w:spacing w:line="360" w:lineRule="auto"/>
        <w:ind w:firstLine="442"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本项目</w:t>
      </w:r>
      <w:r>
        <w:rPr>
          <w:rFonts w:hint="eastAsia" w:ascii="宋体" w:hAnsi="宋体" w:eastAsia="宋体" w:cs="宋体"/>
          <w:b/>
          <w:color w:val="auto"/>
          <w:sz w:val="22"/>
          <w:szCs w:val="22"/>
          <w:highlight w:val="none"/>
          <w:lang w:val="en-US" w:eastAsia="zh-CN"/>
        </w:rPr>
        <w:t>标项</w:t>
      </w: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val="en-US" w:eastAsia="zh-CN"/>
        </w:rPr>
        <w:t>标项</w:t>
      </w:r>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lang w:val="en-US" w:eastAsia="zh-CN"/>
        </w:rPr>
        <w:t>标项</w:t>
      </w:r>
      <w:r>
        <w:rPr>
          <w:rFonts w:hint="eastAsia" w:ascii="宋体" w:hAnsi="宋体" w:eastAsia="宋体" w:cs="宋体"/>
          <w:b/>
          <w:color w:val="auto"/>
          <w:sz w:val="22"/>
          <w:szCs w:val="22"/>
          <w:highlight w:val="none"/>
        </w:rPr>
        <w:t>三按照先后顺序逐一进行评审，上一个</w:t>
      </w:r>
      <w:r>
        <w:rPr>
          <w:rFonts w:hint="eastAsia" w:ascii="宋体" w:hAnsi="宋体" w:eastAsia="宋体" w:cs="宋体"/>
          <w:b/>
          <w:color w:val="auto"/>
          <w:sz w:val="22"/>
          <w:szCs w:val="22"/>
          <w:highlight w:val="none"/>
          <w:lang w:val="en-US" w:eastAsia="zh-CN"/>
        </w:rPr>
        <w:t>标项</w:t>
      </w:r>
      <w:r>
        <w:rPr>
          <w:rFonts w:hint="eastAsia" w:ascii="宋体" w:hAnsi="宋体" w:eastAsia="宋体" w:cs="宋体"/>
          <w:b/>
          <w:color w:val="auto"/>
          <w:sz w:val="22"/>
          <w:szCs w:val="22"/>
          <w:highlight w:val="none"/>
        </w:rPr>
        <w:t>评审完成后，再评审下一个</w:t>
      </w:r>
      <w:r>
        <w:rPr>
          <w:rFonts w:hint="eastAsia" w:ascii="宋体" w:hAnsi="宋体" w:eastAsia="宋体" w:cs="宋体"/>
          <w:b/>
          <w:color w:val="auto"/>
          <w:sz w:val="22"/>
          <w:szCs w:val="22"/>
          <w:highlight w:val="none"/>
          <w:lang w:val="en-US" w:eastAsia="zh-CN"/>
        </w:rPr>
        <w:t>标项</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每个供应商最多只能中标一个标项，如供应商已被推荐为标项一的第一中标候选人，则取消其推荐标项二和标项三的中标候选人的资格；如中标供应商</w:t>
      </w:r>
      <w:r>
        <w:rPr>
          <w:rFonts w:hint="eastAsia" w:ascii="宋体" w:hAnsi="宋体" w:eastAsia="宋体" w:cs="宋体"/>
          <w:b/>
          <w:color w:val="auto"/>
          <w:sz w:val="22"/>
          <w:szCs w:val="22"/>
          <w:highlight w:val="none"/>
          <w:lang w:val="en-US" w:eastAsia="zh-CN"/>
        </w:rPr>
        <w:t>已被推荐为</w:t>
      </w:r>
      <w:r>
        <w:rPr>
          <w:rFonts w:hint="eastAsia" w:ascii="宋体" w:hAnsi="宋体" w:eastAsia="宋体" w:cs="宋体"/>
          <w:b/>
          <w:color w:val="auto"/>
          <w:sz w:val="22"/>
          <w:szCs w:val="22"/>
          <w:highlight w:val="none"/>
          <w:lang w:val="en-US" w:eastAsia="zh-CN"/>
        </w:rPr>
        <w:t>标项二的第一</w:t>
      </w:r>
      <w:r>
        <w:rPr>
          <w:rFonts w:hint="eastAsia" w:ascii="宋体" w:hAnsi="宋体" w:eastAsia="宋体" w:cs="宋体"/>
          <w:b/>
          <w:color w:val="auto"/>
          <w:sz w:val="22"/>
          <w:szCs w:val="22"/>
          <w:highlight w:val="none"/>
          <w:lang w:val="en-US" w:eastAsia="zh-CN"/>
        </w:rPr>
        <w:t>中标候选人</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en-US" w:eastAsia="zh-CN"/>
        </w:rPr>
        <w:t>则取消其推荐</w:t>
      </w:r>
      <w:r>
        <w:rPr>
          <w:rFonts w:hint="eastAsia" w:ascii="宋体" w:hAnsi="宋体" w:eastAsia="宋体" w:cs="宋体"/>
          <w:b/>
          <w:color w:val="auto"/>
          <w:sz w:val="22"/>
          <w:szCs w:val="22"/>
          <w:highlight w:val="none"/>
          <w:lang w:val="en-US" w:eastAsia="zh-CN"/>
        </w:rPr>
        <w:t>标项三</w:t>
      </w:r>
      <w:r>
        <w:rPr>
          <w:rFonts w:hint="eastAsia" w:ascii="宋体" w:hAnsi="宋体" w:eastAsia="宋体" w:cs="宋体"/>
          <w:b/>
          <w:color w:val="auto"/>
          <w:sz w:val="22"/>
          <w:szCs w:val="22"/>
          <w:highlight w:val="none"/>
          <w:lang w:val="en-US" w:eastAsia="zh-CN"/>
        </w:rPr>
        <w:t>的中标候选人的资格</w:t>
      </w:r>
      <w:r>
        <w:rPr>
          <w:rFonts w:hint="eastAsia" w:ascii="宋体" w:hAnsi="宋体" w:eastAsia="宋体" w:cs="宋体"/>
          <w:b/>
          <w:color w:val="auto"/>
          <w:sz w:val="22"/>
          <w:szCs w:val="22"/>
          <w:highlight w:val="none"/>
        </w:rPr>
        <w:t>。</w:t>
      </w:r>
    </w:p>
    <w:p>
      <w:pPr>
        <w:pStyle w:val="25"/>
        <w:adjustRightInd w:val="0"/>
        <w:snapToGrid w:val="0"/>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 评标办法</w:t>
      </w:r>
    </w:p>
    <w:p>
      <w:pPr>
        <w:pStyle w:val="3"/>
        <w:adjustRightInd/>
        <w:ind w:firstLine="442" w:firstLineChars="2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本项目评标办法采取百分制综合评分法</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其中</w:t>
      </w:r>
      <w:r>
        <w:rPr>
          <w:rFonts w:hint="eastAsia" w:ascii="宋体" w:hAnsi="宋体" w:eastAsia="宋体" w:cs="宋体"/>
          <w:b/>
          <w:bCs/>
          <w:color w:val="auto"/>
          <w:sz w:val="22"/>
          <w:szCs w:val="22"/>
          <w:highlight w:val="none"/>
        </w:rPr>
        <w:t>商务技术</w:t>
      </w:r>
      <w:r>
        <w:rPr>
          <w:rFonts w:hint="eastAsia" w:ascii="宋体" w:hAnsi="宋体" w:eastAsia="宋体" w:cs="宋体"/>
          <w:b/>
          <w:color w:val="auto"/>
          <w:sz w:val="22"/>
          <w:szCs w:val="22"/>
          <w:highlight w:val="none"/>
          <w:lang w:val="en-US" w:eastAsia="zh-CN"/>
        </w:rPr>
        <w:t>90</w:t>
      </w:r>
      <w:r>
        <w:rPr>
          <w:rFonts w:hint="eastAsia" w:ascii="宋体" w:hAnsi="宋体" w:eastAsia="宋体" w:cs="宋体"/>
          <w:b/>
          <w:color w:val="auto"/>
          <w:sz w:val="22"/>
          <w:szCs w:val="22"/>
          <w:highlight w:val="none"/>
        </w:rPr>
        <w:t>分（</w:t>
      </w:r>
      <w:r>
        <w:rPr>
          <w:rFonts w:hint="eastAsia" w:ascii="宋体" w:hAnsi="宋体" w:eastAsia="宋体" w:cs="宋体"/>
          <w:b/>
          <w:color w:val="auto"/>
          <w:sz w:val="22"/>
          <w:szCs w:val="22"/>
          <w:highlight w:val="none"/>
          <w:lang w:eastAsia="zh-CN"/>
        </w:rPr>
        <w:t>商务</w:t>
      </w:r>
      <w:r>
        <w:rPr>
          <w:rFonts w:hint="eastAsia" w:ascii="宋体" w:hAnsi="宋体" w:eastAsia="宋体" w:cs="宋体"/>
          <w:b/>
          <w:color w:val="auto"/>
          <w:sz w:val="22"/>
          <w:szCs w:val="22"/>
          <w:highlight w:val="none"/>
        </w:rPr>
        <w:t>技术权值为</w:t>
      </w:r>
      <w:r>
        <w:rPr>
          <w:rFonts w:hint="eastAsia" w:ascii="宋体" w:hAnsi="宋体" w:eastAsia="宋体" w:cs="宋体"/>
          <w:b/>
          <w:color w:val="auto"/>
          <w:sz w:val="22"/>
          <w:szCs w:val="22"/>
          <w:highlight w:val="none"/>
          <w:lang w:val="en-US" w:eastAsia="zh-CN"/>
        </w:rPr>
        <w:t>90</w:t>
      </w:r>
      <w:r>
        <w:rPr>
          <w:rFonts w:hint="eastAsia" w:ascii="宋体" w:hAnsi="宋体" w:eastAsia="宋体" w:cs="宋体"/>
          <w:b/>
          <w:color w:val="auto"/>
          <w:sz w:val="22"/>
          <w:szCs w:val="22"/>
          <w:highlight w:val="none"/>
        </w:rPr>
        <w:t>%），投标报价</w:t>
      </w:r>
      <w:r>
        <w:rPr>
          <w:rFonts w:hint="eastAsia" w:ascii="宋体" w:hAnsi="宋体" w:eastAsia="宋体" w:cs="宋体"/>
          <w:b/>
          <w:color w:val="auto"/>
          <w:sz w:val="22"/>
          <w:szCs w:val="22"/>
          <w:highlight w:val="none"/>
          <w:lang w:val="en-US" w:eastAsia="zh-CN"/>
        </w:rPr>
        <w:t>10</w:t>
      </w:r>
      <w:r>
        <w:rPr>
          <w:rFonts w:hint="eastAsia" w:ascii="宋体" w:hAnsi="宋体" w:eastAsia="宋体" w:cs="宋体"/>
          <w:b/>
          <w:color w:val="auto"/>
          <w:sz w:val="22"/>
          <w:szCs w:val="22"/>
          <w:highlight w:val="none"/>
        </w:rPr>
        <w:t>分（报价权值为</w:t>
      </w:r>
      <w:r>
        <w:rPr>
          <w:rFonts w:hint="eastAsia" w:ascii="宋体" w:hAnsi="宋体" w:eastAsia="宋体" w:cs="宋体"/>
          <w:b/>
          <w:color w:val="auto"/>
          <w:sz w:val="22"/>
          <w:szCs w:val="22"/>
          <w:highlight w:val="none"/>
          <w:lang w:val="en-US" w:eastAsia="zh-CN"/>
        </w:rPr>
        <w:t>10</w:t>
      </w:r>
      <w:r>
        <w:rPr>
          <w:rFonts w:hint="eastAsia" w:ascii="宋体" w:hAnsi="宋体" w:eastAsia="宋体" w:cs="宋体"/>
          <w:b/>
          <w:color w:val="auto"/>
          <w:sz w:val="22"/>
          <w:szCs w:val="22"/>
          <w:highlight w:val="none"/>
        </w:rPr>
        <w:t>%）。</w:t>
      </w:r>
      <w:r>
        <w:rPr>
          <w:rFonts w:hint="eastAsia" w:ascii="宋体" w:hAnsi="宋体" w:eastAsia="宋体" w:cs="宋体"/>
          <w:color w:val="auto"/>
          <w:sz w:val="22"/>
          <w:szCs w:val="22"/>
          <w:highlight w:val="none"/>
        </w:rPr>
        <w:t>即最大限度地满足招标文件实质性要求前提下，按照招标文件中规定的各项评分内容进行综合评审。</w:t>
      </w:r>
      <w:r>
        <w:rPr>
          <w:rFonts w:hint="eastAsia" w:ascii="宋体" w:hAnsi="宋体" w:eastAsia="宋体" w:cs="宋体"/>
          <w:color w:val="auto"/>
          <w:sz w:val="22"/>
          <w:szCs w:val="22"/>
          <w:highlight w:val="none"/>
          <w:lang w:val="en-US" w:eastAsia="zh-CN"/>
        </w:rPr>
        <w:t>每个标项</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lang w:eastAsia="zh-CN"/>
        </w:rPr>
        <w:t>综</w:t>
      </w:r>
      <w:r>
        <w:rPr>
          <w:rFonts w:hint="eastAsia" w:ascii="宋体" w:hAnsi="宋体" w:eastAsia="宋体" w:cs="宋体"/>
          <w:color w:val="auto"/>
          <w:sz w:val="22"/>
          <w:szCs w:val="22"/>
          <w:highlight w:val="none"/>
        </w:rPr>
        <w:t>合得分（即商务技术得分与投标报价得分之和）高低进行排序，</w:t>
      </w:r>
      <w:r>
        <w:rPr>
          <w:rFonts w:hint="eastAsia" w:ascii="宋体" w:hAnsi="宋体" w:eastAsia="宋体" w:cs="宋体"/>
          <w:color w:val="auto"/>
          <w:kern w:val="0"/>
          <w:sz w:val="22"/>
          <w:szCs w:val="22"/>
          <w:highlight w:val="none"/>
        </w:rPr>
        <w:t>综合得分前</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rPr>
        <w:t>名的投标人推荐为第一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第二</w:t>
      </w:r>
      <w:r>
        <w:rPr>
          <w:rFonts w:hint="eastAsia" w:ascii="宋体" w:hAnsi="宋体" w:eastAsia="宋体" w:cs="宋体"/>
          <w:color w:val="auto"/>
          <w:kern w:val="0"/>
          <w:sz w:val="22"/>
          <w:szCs w:val="22"/>
          <w:highlight w:val="none"/>
          <w:lang w:val="en-US" w:eastAsia="zh-CN"/>
        </w:rPr>
        <w:t>和第三</w:t>
      </w:r>
      <w:r>
        <w:rPr>
          <w:rFonts w:hint="eastAsia" w:ascii="宋体" w:hAnsi="宋体" w:eastAsia="宋体" w:cs="宋体"/>
          <w:color w:val="auto"/>
          <w:kern w:val="0"/>
          <w:sz w:val="22"/>
          <w:szCs w:val="22"/>
          <w:highlight w:val="none"/>
        </w:rPr>
        <w:t>中标候选人（综合</w:t>
      </w:r>
      <w:r>
        <w:rPr>
          <w:rFonts w:hint="eastAsia" w:ascii="宋体" w:hAnsi="宋体" w:eastAsia="宋体" w:cs="宋体"/>
          <w:color w:val="auto"/>
          <w:sz w:val="22"/>
          <w:szCs w:val="22"/>
          <w:highlight w:val="none"/>
        </w:rPr>
        <w:t>得分相同的，按投标报价得分由高到底顺序排列。综合得分且投标报价得分相同的，由评标委员会随机抽取决定排名顺序。</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w:t>
      </w:r>
    </w:p>
    <w:p>
      <w:pPr>
        <w:pStyle w:val="3"/>
        <w:adjustRightInd/>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2．评标过程中遇到特殊情况，由评标委员会遵循公平、公正原则，采取记名投票方式按照少数服从多数原则决定。</w:t>
      </w:r>
    </w:p>
    <w:p>
      <w:pPr>
        <w:pStyle w:val="25"/>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五、评分细则</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1.商务技术文件的评定（</w:t>
      </w:r>
      <w:r>
        <w:rPr>
          <w:rFonts w:hint="eastAsia" w:ascii="宋体" w:hAnsi="宋体" w:eastAsia="宋体" w:cs="宋体"/>
          <w:b/>
          <w:bCs/>
          <w:color w:val="auto"/>
          <w:sz w:val="22"/>
          <w:szCs w:val="22"/>
          <w:highlight w:val="none"/>
          <w:lang w:val="en-US" w:eastAsia="zh-CN"/>
        </w:rPr>
        <w:t>9</w:t>
      </w:r>
      <w:r>
        <w:rPr>
          <w:rFonts w:hint="eastAsia" w:ascii="宋体" w:hAnsi="宋体" w:eastAsia="宋体" w:cs="宋体"/>
          <w:b/>
          <w:bCs/>
          <w:color w:val="auto"/>
          <w:sz w:val="22"/>
          <w:szCs w:val="22"/>
          <w:highlight w:val="none"/>
          <w:lang w:val="en-US" w:eastAsia="zh-CN"/>
        </w:rPr>
        <w:t>0</w:t>
      </w:r>
      <w:r>
        <w:rPr>
          <w:rFonts w:hint="eastAsia" w:ascii="宋体" w:hAnsi="宋体" w:eastAsia="宋体" w:cs="宋体"/>
          <w:b/>
          <w:bCs/>
          <w:color w:val="auto"/>
          <w:sz w:val="22"/>
          <w:szCs w:val="22"/>
          <w:highlight w:val="none"/>
        </w:rPr>
        <w:t>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各评委成员按下列评分项目进行评定，每人一张评分计算表，由评标委员会成员各自评定打分并记实名。</w:t>
      </w:r>
      <w:r>
        <w:rPr>
          <w:rFonts w:hint="eastAsia" w:ascii="宋体" w:hAnsi="宋体" w:eastAsia="宋体" w:cs="宋体"/>
          <w:b/>
          <w:color w:val="auto"/>
          <w:sz w:val="22"/>
          <w:szCs w:val="22"/>
          <w:highlight w:val="none"/>
        </w:rPr>
        <w:t>如任何一张表的一项评分内容分值超过规定的范围，则该张表无效。</w:t>
      </w:r>
      <w:r>
        <w:rPr>
          <w:rFonts w:hint="eastAsia" w:ascii="宋体" w:hAnsi="宋体" w:eastAsia="宋体" w:cs="宋体"/>
          <w:color w:val="auto"/>
          <w:sz w:val="22"/>
          <w:szCs w:val="22"/>
          <w:highlight w:val="none"/>
        </w:rPr>
        <w:t>评标委员会成员对各投标人的各项评分内容评分合计值的算术平均值为该投标人商务技术文件的最终得分（四舍五入，保留小数点后二位）。</w:t>
      </w:r>
    </w:p>
    <w:p>
      <w:pPr>
        <w:pStyle w:val="2"/>
        <w:jc w:val="center"/>
        <w:rPr>
          <w:rFonts w:hint="eastAsia" w:eastAsia="宋体" w:cs="宋体"/>
          <w:color w:val="auto"/>
          <w:sz w:val="22"/>
          <w:szCs w:val="22"/>
          <w:highlight w:val="none"/>
          <w:lang w:eastAsia="zh-CN"/>
        </w:rPr>
      </w:pPr>
      <w:r>
        <w:rPr>
          <w:rFonts w:hint="eastAsia" w:eastAsia="宋体" w:cs="宋体"/>
          <w:color w:val="auto"/>
          <w:sz w:val="22"/>
          <w:szCs w:val="22"/>
          <w:highlight w:val="none"/>
          <w:lang w:eastAsia="zh-CN"/>
        </w:rPr>
        <w:t>通用标项一、二、三</w:t>
      </w:r>
    </w:p>
    <w:p>
      <w:pPr>
        <w:pStyle w:val="2"/>
        <w:jc w:val="center"/>
        <w:rPr>
          <w:rFonts w:hint="eastAsia" w:eastAsia="宋体" w:cs="宋体"/>
          <w:color w:val="auto"/>
          <w:sz w:val="22"/>
          <w:szCs w:val="22"/>
          <w:highlight w:val="none"/>
          <w:lang w:eastAsia="zh-CN"/>
        </w:rPr>
      </w:pPr>
      <w:r>
        <w:rPr>
          <w:rFonts w:hint="eastAsia" w:eastAsia="宋体" w:cs="宋体"/>
          <w:color w:val="auto"/>
          <w:sz w:val="22"/>
          <w:szCs w:val="22"/>
          <w:highlight w:val="none"/>
          <w:lang w:eastAsia="zh-CN"/>
        </w:rPr>
        <w:br w:type="page"/>
      </w:r>
    </w:p>
    <w:tbl>
      <w:tblPr>
        <w:tblStyle w:val="58"/>
        <w:tblW w:w="898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5"/>
        <w:gridCol w:w="1965"/>
        <w:gridCol w:w="1146"/>
        <w:gridCol w:w="51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695" w:type="dxa"/>
            <w:noWrap w:val="0"/>
            <w:vAlign w:val="center"/>
          </w:tcPr>
          <w:p>
            <w:pPr>
              <w:ind w:left="-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65" w:type="dxa"/>
            <w:noWrap w:val="0"/>
            <w:vAlign w:val="center"/>
          </w:tcPr>
          <w:p>
            <w:pPr>
              <w:ind w:left="-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评分内容</w:t>
            </w:r>
          </w:p>
        </w:tc>
        <w:tc>
          <w:tcPr>
            <w:tcW w:w="1146"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分值范围</w:t>
            </w:r>
          </w:p>
        </w:tc>
        <w:tc>
          <w:tcPr>
            <w:tcW w:w="5180" w:type="dxa"/>
            <w:noWrap w:val="0"/>
            <w:vAlign w:val="center"/>
          </w:tcPr>
          <w:p>
            <w:pPr>
              <w:ind w:left="-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695" w:type="dxa"/>
            <w:noWrap w:val="0"/>
            <w:vAlign w:val="center"/>
          </w:tcPr>
          <w:p>
            <w:pPr>
              <w:ind w:left="-5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965" w:type="dxa"/>
            <w:noWrap w:val="0"/>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对本</w:t>
            </w:r>
            <w:r>
              <w:rPr>
                <w:rFonts w:hint="eastAsia" w:ascii="宋体" w:hAnsi="宋体" w:eastAsia="宋体" w:cs="宋体"/>
                <w:color w:val="auto"/>
                <w:szCs w:val="21"/>
                <w:highlight w:val="none"/>
              </w:rPr>
              <w:t>道路清扫保洁</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的现状调查与问题剖析</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参与投标的单位与</w:t>
            </w:r>
            <w:r>
              <w:rPr>
                <w:rFonts w:hint="eastAsia" w:ascii="宋体" w:hAnsi="宋体" w:eastAsia="宋体" w:cs="宋体"/>
                <w:color w:val="auto"/>
                <w:szCs w:val="21"/>
                <w:highlight w:val="none"/>
                <w:lang w:val="en-US" w:eastAsia="zh-CN"/>
              </w:rPr>
              <w:t>原</w:t>
            </w:r>
            <w:r>
              <w:rPr>
                <w:rFonts w:hint="eastAsia" w:ascii="宋体" w:hAnsi="宋体" w:eastAsia="宋体" w:cs="宋体"/>
                <w:color w:val="auto"/>
                <w:szCs w:val="21"/>
                <w:highlight w:val="none"/>
              </w:rPr>
              <w:t>有清扫保洁服务单位对接(过渡)方案</w:t>
            </w:r>
          </w:p>
        </w:tc>
        <w:tc>
          <w:tcPr>
            <w:tcW w:w="1146"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5180" w:type="dxa"/>
            <w:noWrap w:val="0"/>
            <w:vAlign w:val="center"/>
          </w:tcPr>
          <w:p>
            <w:pPr>
              <w:jc w:val="left"/>
              <w:rPr>
                <w:rFonts w:hint="eastAsia"/>
                <w:color w:val="auto"/>
                <w:szCs w:val="21"/>
                <w:highlight w:val="none"/>
              </w:rPr>
            </w:pPr>
            <w:r>
              <w:rPr>
                <w:rFonts w:hint="eastAsia"/>
                <w:color w:val="auto"/>
                <w:highlight w:val="none"/>
                <w:lang w:eastAsia="zh-CN"/>
              </w:rPr>
              <w:t>据对本</w:t>
            </w:r>
            <w:r>
              <w:rPr>
                <w:rFonts w:hint="eastAsia"/>
                <w:color w:val="auto"/>
                <w:highlight w:val="none"/>
              </w:rPr>
              <w:t>道路清扫保洁</w:t>
            </w:r>
            <w:r>
              <w:rPr>
                <w:rFonts w:hint="eastAsia"/>
                <w:color w:val="auto"/>
                <w:highlight w:val="none"/>
                <w:lang w:val="en-US" w:eastAsia="zh-CN"/>
              </w:rPr>
              <w:t>项目</w:t>
            </w:r>
            <w:r>
              <w:rPr>
                <w:rFonts w:hint="eastAsia"/>
                <w:color w:val="auto"/>
                <w:highlight w:val="none"/>
              </w:rPr>
              <w:t>的现状调查与问题剖析</w:t>
            </w:r>
            <w:r>
              <w:rPr>
                <w:rFonts w:hint="eastAsia"/>
                <w:color w:val="auto"/>
                <w:highlight w:val="none"/>
                <w:lang w:eastAsia="zh-CN"/>
              </w:rPr>
              <w:t>方案，</w:t>
            </w:r>
            <w:r>
              <w:rPr>
                <w:rFonts w:hint="eastAsia"/>
                <w:color w:val="auto"/>
                <w:highlight w:val="none"/>
                <w:lang w:val="en-US" w:eastAsia="zh-CN"/>
              </w:rPr>
              <w:t>以及现在存在的问题，环卫一体化单项作业内容予以改进的方案；以及</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rPr>
              <w:t>参与投标的单位与</w:t>
            </w:r>
            <w:r>
              <w:rPr>
                <w:rFonts w:hint="eastAsia" w:ascii="宋体" w:hAnsi="宋体" w:eastAsia="宋体" w:cs="宋体"/>
                <w:color w:val="auto"/>
                <w:szCs w:val="21"/>
                <w:highlight w:val="none"/>
                <w:lang w:val="en-US" w:eastAsia="zh-CN"/>
              </w:rPr>
              <w:t>原</w:t>
            </w:r>
            <w:r>
              <w:rPr>
                <w:rFonts w:hint="eastAsia" w:ascii="宋体" w:hAnsi="宋体" w:eastAsia="宋体" w:cs="宋体"/>
                <w:color w:val="auto"/>
                <w:szCs w:val="21"/>
                <w:highlight w:val="none"/>
              </w:rPr>
              <w:t>有清扫保洁服务单位对接(过渡)方案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综合考虑本次的相关对接单位，明确列明各单位的对接过渡移交方案，</w:t>
            </w:r>
            <w:r>
              <w:rPr>
                <w:rFonts w:hint="eastAsia"/>
                <w:color w:val="auto"/>
                <w:highlight w:val="none"/>
              </w:rPr>
              <w:t>由评委结合本</w:t>
            </w:r>
            <w:r>
              <w:rPr>
                <w:rFonts w:hint="eastAsia"/>
                <w:color w:val="auto"/>
                <w:szCs w:val="21"/>
                <w:highlight w:val="none"/>
              </w:rPr>
              <w:t>项目情况综合打分。</w:t>
            </w:r>
          </w:p>
          <w:p>
            <w:pPr>
              <w:keepNext w:val="0"/>
              <w:keepLines w:val="0"/>
              <w:pageBreakBefore w:val="0"/>
              <w:widowControl/>
              <w:numPr>
                <w:ilvl w:val="0"/>
                <w:numId w:val="41"/>
              </w:numPr>
              <w:kinsoku/>
              <w:wordWrap/>
              <w:topLinePunct w:val="0"/>
              <w:bidi w:val="0"/>
              <w:spacing w:line="360" w:lineRule="exact"/>
              <w:ind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现状调查详细、充分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问题剖析切合实际</w:t>
            </w:r>
            <w:r>
              <w:rPr>
                <w:rFonts w:hint="eastAsia" w:ascii="宋体" w:hAnsi="宋体" w:eastAsia="宋体" w:cs="宋体"/>
                <w:color w:val="auto"/>
                <w:sz w:val="21"/>
                <w:szCs w:val="21"/>
                <w:highlight w:val="none"/>
                <w:lang w:eastAsia="zh-CN"/>
              </w:rPr>
              <w:t>，对接(过渡)方案</w:t>
            </w:r>
            <w:r>
              <w:rPr>
                <w:rFonts w:hint="eastAsia" w:ascii="宋体" w:hAnsi="宋体" w:eastAsia="宋体" w:cs="宋体"/>
                <w:color w:val="auto"/>
                <w:sz w:val="21"/>
                <w:szCs w:val="21"/>
                <w:highlight w:val="none"/>
              </w:rPr>
              <w:t>详细、充分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切合实际：得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41"/>
              </w:numPr>
              <w:kinsoku/>
              <w:wordWrap/>
              <w:topLinePunct w:val="0"/>
              <w:bidi w:val="0"/>
              <w:spacing w:line="360" w:lineRule="exact"/>
              <w:ind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现状调查较详细，问题剖析较全面</w:t>
            </w:r>
            <w:r>
              <w:rPr>
                <w:rFonts w:hint="eastAsia" w:ascii="宋体" w:hAnsi="宋体" w:eastAsia="宋体" w:cs="宋体"/>
                <w:color w:val="auto"/>
                <w:sz w:val="21"/>
                <w:szCs w:val="21"/>
                <w:highlight w:val="none"/>
                <w:lang w:eastAsia="zh-CN"/>
              </w:rPr>
              <w:t>，对接(过渡)方案</w:t>
            </w:r>
            <w:r>
              <w:rPr>
                <w:rFonts w:hint="eastAsia" w:ascii="宋体" w:hAnsi="宋体" w:eastAsia="宋体" w:cs="宋体"/>
                <w:color w:val="auto"/>
                <w:sz w:val="21"/>
                <w:szCs w:val="21"/>
                <w:highlight w:val="none"/>
              </w:rPr>
              <w:t>较详细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较全面：得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41"/>
              </w:numPr>
              <w:kinsoku/>
              <w:wordWrap/>
              <w:topLinePunct w:val="0"/>
              <w:bidi w:val="0"/>
              <w:spacing w:line="360" w:lineRule="exact"/>
              <w:ind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现状调查不详细，问题剖析不到位</w:t>
            </w:r>
            <w:r>
              <w:rPr>
                <w:rFonts w:hint="eastAsia" w:ascii="宋体" w:hAnsi="宋体" w:eastAsia="宋体" w:cs="宋体"/>
                <w:color w:val="auto"/>
                <w:sz w:val="21"/>
                <w:szCs w:val="21"/>
                <w:highlight w:val="none"/>
                <w:lang w:eastAsia="zh-CN"/>
              </w:rPr>
              <w:t>，对接(过渡)方案</w:t>
            </w:r>
            <w:r>
              <w:rPr>
                <w:rFonts w:hint="eastAsia" w:ascii="宋体" w:hAnsi="宋体" w:eastAsia="宋体" w:cs="宋体"/>
                <w:color w:val="auto"/>
                <w:sz w:val="21"/>
                <w:szCs w:val="21"/>
                <w:highlight w:val="none"/>
                <w:lang w:val="en-US" w:eastAsia="zh-CN"/>
              </w:rPr>
              <w:t>不全面</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ind w:left="0" w:leftChars="0" w:firstLine="0" w:firstLineChars="0"/>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未提供现状调查、问题剖析</w:t>
            </w:r>
            <w:r>
              <w:rPr>
                <w:rFonts w:hint="eastAsia"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对接(过渡)方案</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695" w:type="dxa"/>
            <w:tcBorders>
              <w:bottom w:val="single" w:color="auto" w:sz="4" w:space="0"/>
            </w:tcBorders>
            <w:noWrap w:val="0"/>
            <w:vAlign w:val="center"/>
          </w:tcPr>
          <w:p>
            <w:pPr>
              <w:ind w:left="-5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965" w:type="dxa"/>
            <w:tcBorders>
              <w:bottom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投入本项目服务的</w:t>
            </w:r>
            <w:r>
              <w:rPr>
                <w:rFonts w:hint="eastAsia" w:ascii="宋体" w:hAnsi="宋体" w:eastAsia="宋体" w:cs="宋体"/>
                <w:color w:val="auto"/>
                <w:szCs w:val="21"/>
                <w:highlight w:val="none"/>
                <w:lang w:val="en-US" w:eastAsia="zh-CN"/>
              </w:rPr>
              <w:t>环卫工人宿舍</w:t>
            </w:r>
            <w:r>
              <w:rPr>
                <w:rFonts w:hint="eastAsia" w:ascii="宋体" w:hAnsi="宋体" w:eastAsia="宋体" w:cs="宋体"/>
                <w:color w:val="auto"/>
                <w:szCs w:val="21"/>
                <w:highlight w:val="none"/>
              </w:rPr>
              <w:t>等落实情况及保障措施</w:t>
            </w:r>
            <w:r>
              <w:rPr>
                <w:rFonts w:hint="eastAsia" w:ascii="宋体" w:hAnsi="宋体" w:eastAsia="宋体" w:cs="宋体"/>
                <w:color w:val="auto"/>
                <w:szCs w:val="21"/>
                <w:highlight w:val="none"/>
                <w:lang w:eastAsia="zh-CN"/>
              </w:rPr>
              <w:t>方案</w:t>
            </w:r>
          </w:p>
        </w:tc>
        <w:tc>
          <w:tcPr>
            <w:tcW w:w="1146" w:type="dxa"/>
            <w:tcBorders>
              <w:bottom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5180" w:type="dxa"/>
            <w:tcBorders>
              <w:bottom w:val="single" w:color="auto" w:sz="4" w:space="0"/>
            </w:tcBorders>
            <w:noWrap w:val="0"/>
            <w:vAlign w:val="center"/>
          </w:tcPr>
          <w:p>
            <w:pPr>
              <w:numPr>
                <w:ilvl w:val="0"/>
                <w:numId w:val="0"/>
              </w:numPr>
              <w:jc w:val="left"/>
              <w:rPr>
                <w:rFonts w:hint="eastAsia"/>
                <w:color w:val="auto"/>
                <w:szCs w:val="21"/>
                <w:highlight w:val="none"/>
                <w:lang w:val="en-US" w:eastAsia="zh-CN"/>
              </w:rPr>
            </w:pPr>
            <w:r>
              <w:rPr>
                <w:rFonts w:hint="eastAsia"/>
                <w:color w:val="auto"/>
                <w:szCs w:val="21"/>
                <w:highlight w:val="none"/>
                <w:lang w:eastAsia="zh-CN"/>
              </w:rPr>
              <w:t>根据</w:t>
            </w:r>
            <w:r>
              <w:rPr>
                <w:rFonts w:hint="eastAsia"/>
                <w:color w:val="auto"/>
                <w:szCs w:val="21"/>
                <w:highlight w:val="none"/>
                <w:lang w:val="en-US" w:eastAsia="zh-CN"/>
              </w:rPr>
              <w:t>投标供应商投入本项目服务的</w:t>
            </w:r>
            <w:r>
              <w:rPr>
                <w:rFonts w:hint="eastAsia" w:ascii="宋体" w:hAnsi="宋体" w:eastAsia="宋体" w:cs="宋体"/>
                <w:color w:val="auto"/>
                <w:szCs w:val="21"/>
                <w:highlight w:val="none"/>
                <w:lang w:val="en-US" w:eastAsia="zh-CN"/>
              </w:rPr>
              <w:t>环卫工人</w:t>
            </w:r>
            <w:r>
              <w:rPr>
                <w:rFonts w:hint="eastAsia"/>
                <w:color w:val="auto"/>
                <w:szCs w:val="21"/>
                <w:highlight w:val="none"/>
                <w:lang w:val="en-US" w:eastAsia="zh-CN"/>
              </w:rPr>
              <w:t>宿舍等落实情况及保障措施方案进行综合打分。</w:t>
            </w:r>
          </w:p>
          <w:p>
            <w:pPr>
              <w:numPr>
                <w:ilvl w:val="0"/>
                <w:numId w:val="0"/>
              </w:numPr>
              <w:jc w:val="left"/>
              <w:rPr>
                <w:rFonts w:hint="eastAsia"/>
                <w:color w:val="auto"/>
                <w:szCs w:val="21"/>
                <w:highlight w:val="none"/>
              </w:rPr>
            </w:pPr>
            <w:r>
              <w:rPr>
                <w:rFonts w:hint="eastAsia"/>
                <w:color w:val="auto"/>
                <w:szCs w:val="21"/>
                <w:highlight w:val="none"/>
                <w:lang w:val="en-US" w:eastAsia="zh-CN"/>
              </w:rPr>
              <w:t>1）方案</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科学、合理、便利、可行性强；5</w:t>
            </w:r>
            <w:r>
              <w:rPr>
                <w:rFonts w:hint="eastAsia" w:ascii="宋体" w:hAnsi="宋体" w:eastAsia="宋体" w:cs="宋体"/>
                <w:color w:val="auto"/>
                <w:szCs w:val="21"/>
                <w:highlight w:val="none"/>
              </w:rPr>
              <w:t>分；</w:t>
            </w:r>
          </w:p>
          <w:p>
            <w:pPr>
              <w:numPr>
                <w:ilvl w:val="0"/>
                <w:numId w:val="0"/>
              </w:numPr>
              <w:jc w:val="left"/>
              <w:rPr>
                <w:rFonts w:hint="eastAsia"/>
                <w:color w:val="auto"/>
                <w:szCs w:val="21"/>
                <w:highlight w:val="none"/>
              </w:rPr>
            </w:pPr>
            <w:r>
              <w:rPr>
                <w:rFonts w:hint="eastAsia" w:ascii="宋体" w:hAnsi="宋体" w:eastAsia="宋体" w:cs="宋体"/>
                <w:color w:val="auto"/>
                <w:szCs w:val="21"/>
                <w:highlight w:val="none"/>
                <w:lang w:val="en-US" w:eastAsia="zh-CN"/>
              </w:rPr>
              <w:t>2）</w:t>
            </w:r>
            <w:r>
              <w:rPr>
                <w:rFonts w:hint="eastAsia"/>
                <w:color w:val="auto"/>
                <w:szCs w:val="21"/>
                <w:highlight w:val="none"/>
                <w:lang w:val="en-US" w:eastAsia="zh-CN"/>
              </w:rPr>
              <w:t>方案基本</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便利、可行性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强；3</w:t>
            </w:r>
            <w:r>
              <w:rPr>
                <w:rFonts w:hint="eastAsia" w:ascii="宋体" w:hAnsi="宋体" w:eastAsia="宋体" w:cs="宋体"/>
                <w:color w:val="auto"/>
                <w:szCs w:val="21"/>
                <w:highlight w:val="none"/>
              </w:rPr>
              <w:t>分；</w:t>
            </w:r>
          </w:p>
          <w:p>
            <w:pPr>
              <w:numPr>
                <w:ilvl w:val="0"/>
                <w:numId w:val="0"/>
              </w:numPr>
              <w:jc w:val="left"/>
              <w:rPr>
                <w:rFonts w:hint="eastAsia"/>
                <w:color w:val="auto"/>
                <w:szCs w:val="21"/>
                <w:highlight w:val="none"/>
              </w:rPr>
            </w:pPr>
            <w:r>
              <w:rPr>
                <w:rFonts w:hint="eastAsia"/>
                <w:color w:val="auto"/>
                <w:szCs w:val="21"/>
                <w:highlight w:val="none"/>
                <w:lang w:val="en-US" w:eastAsia="zh-CN"/>
              </w:rPr>
              <w:t>3）方案不</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便利、可行性</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强；1</w:t>
            </w:r>
            <w:r>
              <w:rPr>
                <w:rFonts w:hint="eastAsia" w:ascii="宋体" w:hAnsi="宋体" w:eastAsia="宋体" w:cs="宋体"/>
                <w:color w:val="auto"/>
                <w:szCs w:val="21"/>
                <w:highlight w:val="none"/>
              </w:rPr>
              <w:t>分；</w:t>
            </w:r>
          </w:p>
          <w:p>
            <w:pPr>
              <w:pStyle w:val="2"/>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4）未提供方案不得分。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7" w:hRule="atLeast"/>
          <w:jc w:val="center"/>
        </w:trPr>
        <w:tc>
          <w:tcPr>
            <w:tcW w:w="695" w:type="dxa"/>
            <w:tcBorders>
              <w:top w:val="single" w:color="auto" w:sz="4" w:space="0"/>
              <w:bottom w:val="single" w:color="auto" w:sz="4" w:space="0"/>
            </w:tcBorders>
            <w:noWrap w:val="0"/>
            <w:vAlign w:val="center"/>
          </w:tcPr>
          <w:p>
            <w:pPr>
              <w:ind w:left="-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965" w:type="dxa"/>
            <w:tcBorders>
              <w:top w:val="single" w:color="auto" w:sz="4" w:space="0"/>
              <w:bottom w:val="single" w:color="auto" w:sz="4" w:space="0"/>
            </w:tcBorders>
            <w:noWrap w:val="0"/>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投入本次</w:t>
            </w:r>
            <w:r>
              <w:rPr>
                <w:rFonts w:hint="eastAsia" w:ascii="宋体" w:hAnsi="宋体" w:eastAsia="宋体" w:cs="宋体"/>
                <w:color w:val="auto"/>
                <w:szCs w:val="21"/>
                <w:highlight w:val="none"/>
              </w:rPr>
              <w:t>道路清扫保洁拟投入车辆的停放管理方案</w:t>
            </w:r>
          </w:p>
        </w:tc>
        <w:tc>
          <w:tcPr>
            <w:tcW w:w="1146" w:type="dxa"/>
            <w:tcBorders>
              <w:top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5180" w:type="dxa"/>
            <w:tcBorders>
              <w:top w:val="single" w:color="auto" w:sz="4" w:space="0"/>
            </w:tcBorders>
            <w:noWrap w:val="0"/>
            <w:vAlign w:val="center"/>
          </w:tcPr>
          <w:p>
            <w:pPr>
              <w:jc w:val="left"/>
              <w:rPr>
                <w:rFonts w:hint="eastAsia"/>
                <w:color w:val="auto"/>
                <w:szCs w:val="21"/>
                <w:highlight w:val="none"/>
                <w:lang w:val="en-US" w:eastAsia="zh-CN"/>
              </w:rPr>
            </w:pPr>
            <w:r>
              <w:rPr>
                <w:rFonts w:hint="eastAsia"/>
                <w:color w:val="auto"/>
                <w:szCs w:val="21"/>
                <w:highlight w:val="none"/>
                <w:lang w:eastAsia="zh-CN"/>
              </w:rPr>
              <w:t>根据</w:t>
            </w:r>
            <w:r>
              <w:rPr>
                <w:rFonts w:hint="eastAsia"/>
                <w:color w:val="auto"/>
                <w:szCs w:val="21"/>
                <w:highlight w:val="none"/>
                <w:lang w:val="en-US" w:eastAsia="zh-CN"/>
              </w:rPr>
              <w:t>投标供应商</w:t>
            </w:r>
            <w:r>
              <w:rPr>
                <w:rFonts w:hint="eastAsia" w:ascii="宋体" w:hAnsi="宋体" w:eastAsia="宋体" w:cs="宋体"/>
                <w:color w:val="auto"/>
                <w:szCs w:val="21"/>
                <w:highlight w:val="none"/>
                <w:lang w:val="en-US" w:eastAsia="zh-CN"/>
              </w:rPr>
              <w:t>投入本次</w:t>
            </w:r>
            <w:r>
              <w:rPr>
                <w:rFonts w:hint="eastAsia" w:ascii="宋体" w:hAnsi="宋体" w:eastAsia="宋体" w:cs="宋体"/>
                <w:color w:val="auto"/>
                <w:szCs w:val="21"/>
                <w:highlight w:val="none"/>
              </w:rPr>
              <w:t>道路清扫保洁拟投入车辆的停放管理方案</w:t>
            </w:r>
            <w:r>
              <w:rPr>
                <w:rFonts w:hint="eastAsia"/>
                <w:color w:val="auto"/>
                <w:szCs w:val="21"/>
                <w:highlight w:val="none"/>
                <w:lang w:val="en-US" w:eastAsia="zh-CN"/>
              </w:rPr>
              <w:t>进行综合打分。</w:t>
            </w:r>
          </w:p>
          <w:p>
            <w:pPr>
              <w:numPr>
                <w:ilvl w:val="0"/>
                <w:numId w:val="0"/>
              </w:numPr>
              <w:jc w:val="left"/>
              <w:rPr>
                <w:rFonts w:hint="eastAsia"/>
                <w:color w:val="auto"/>
                <w:szCs w:val="21"/>
                <w:highlight w:val="none"/>
              </w:rPr>
            </w:pPr>
            <w:r>
              <w:rPr>
                <w:rFonts w:hint="eastAsia"/>
                <w:color w:val="auto"/>
                <w:szCs w:val="21"/>
                <w:highlight w:val="none"/>
                <w:lang w:val="en-US" w:eastAsia="zh-CN"/>
              </w:rPr>
              <w:t>1）方案</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科学、合理、便利、可行性强；5</w:t>
            </w:r>
            <w:r>
              <w:rPr>
                <w:rFonts w:hint="eastAsia" w:ascii="宋体" w:hAnsi="宋体" w:eastAsia="宋体" w:cs="宋体"/>
                <w:color w:val="auto"/>
                <w:szCs w:val="21"/>
                <w:highlight w:val="none"/>
              </w:rPr>
              <w:t>分；</w:t>
            </w:r>
          </w:p>
          <w:p>
            <w:pPr>
              <w:numPr>
                <w:ilvl w:val="0"/>
                <w:numId w:val="0"/>
              </w:numPr>
              <w:jc w:val="left"/>
              <w:rPr>
                <w:rFonts w:hint="eastAsia"/>
                <w:color w:val="auto"/>
                <w:szCs w:val="21"/>
                <w:highlight w:val="none"/>
              </w:rPr>
            </w:pPr>
            <w:r>
              <w:rPr>
                <w:rFonts w:hint="eastAsia" w:ascii="宋体" w:hAnsi="宋体" w:eastAsia="宋体" w:cs="宋体"/>
                <w:color w:val="auto"/>
                <w:szCs w:val="21"/>
                <w:highlight w:val="none"/>
                <w:lang w:val="en-US" w:eastAsia="zh-CN"/>
              </w:rPr>
              <w:t>2）</w:t>
            </w:r>
            <w:r>
              <w:rPr>
                <w:rFonts w:hint="eastAsia"/>
                <w:color w:val="auto"/>
                <w:szCs w:val="21"/>
                <w:highlight w:val="none"/>
                <w:lang w:val="en-US" w:eastAsia="zh-CN"/>
              </w:rPr>
              <w:t>方案基本</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便利、可行性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强；3</w:t>
            </w:r>
            <w:r>
              <w:rPr>
                <w:rFonts w:hint="eastAsia" w:ascii="宋体" w:hAnsi="宋体" w:eastAsia="宋体" w:cs="宋体"/>
                <w:color w:val="auto"/>
                <w:szCs w:val="21"/>
                <w:highlight w:val="none"/>
              </w:rPr>
              <w:t>分；</w:t>
            </w:r>
          </w:p>
          <w:p>
            <w:pPr>
              <w:numPr>
                <w:ilvl w:val="0"/>
                <w:numId w:val="0"/>
              </w:numPr>
              <w:jc w:val="left"/>
              <w:rPr>
                <w:rFonts w:hint="eastAsia"/>
                <w:color w:val="auto"/>
                <w:szCs w:val="21"/>
                <w:highlight w:val="none"/>
              </w:rPr>
            </w:pPr>
            <w:r>
              <w:rPr>
                <w:rFonts w:hint="eastAsia"/>
                <w:color w:val="auto"/>
                <w:szCs w:val="21"/>
                <w:highlight w:val="none"/>
                <w:lang w:val="en-US" w:eastAsia="zh-CN"/>
              </w:rPr>
              <w:t>3）方案不</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便利、可行性</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强；1</w:t>
            </w:r>
            <w:r>
              <w:rPr>
                <w:rFonts w:hint="eastAsia" w:ascii="宋体" w:hAnsi="宋体" w:eastAsia="宋体" w:cs="宋体"/>
                <w:color w:val="auto"/>
                <w:szCs w:val="21"/>
                <w:highlight w:val="none"/>
              </w:rPr>
              <w:t>分；</w:t>
            </w:r>
          </w:p>
          <w:p>
            <w:pPr>
              <w:pStyle w:val="2"/>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4）未提供方案不得分。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695" w:type="dxa"/>
            <w:vMerge w:val="restart"/>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4、项目实施方案</w:t>
            </w:r>
          </w:p>
          <w:p>
            <w:pPr>
              <w:jc w:val="center"/>
              <w:rPr>
                <w:rFonts w:hint="eastAsia" w:ascii="宋体" w:hAnsi="宋体" w:eastAsia="宋体" w:cs="宋体"/>
                <w:color w:val="auto"/>
                <w:szCs w:val="21"/>
                <w:highlight w:val="none"/>
                <w:lang w:val="en-US" w:eastAsia="zh-CN"/>
              </w:rPr>
            </w:pPr>
          </w:p>
        </w:tc>
        <w:tc>
          <w:tcPr>
            <w:tcW w:w="1965" w:type="dxa"/>
            <w:tcBorders>
              <w:bottom w:val="single" w:color="auto" w:sz="4" w:space="0"/>
            </w:tcBorders>
            <w:noWrap w:val="0"/>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项目管理方案及质量目标</w:t>
            </w:r>
          </w:p>
        </w:tc>
        <w:tc>
          <w:tcPr>
            <w:tcW w:w="1146"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180" w:type="dxa"/>
            <w:noWrap w:val="0"/>
            <w:vAlign w:val="center"/>
          </w:tcPr>
          <w:p>
            <w:pPr>
              <w:numPr>
                <w:ilvl w:val="0"/>
                <w:numId w:val="0"/>
              </w:numPr>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1）项目管理方案及质量目标，科学、合理、可行性强；10</w:t>
            </w:r>
            <w:r>
              <w:rPr>
                <w:rFonts w:hint="eastAsia" w:ascii="宋体" w:hAnsi="宋体" w:eastAsia="宋体" w:cs="宋体"/>
                <w:color w:val="auto"/>
                <w:szCs w:val="21"/>
                <w:highlight w:val="none"/>
              </w:rPr>
              <w:t>分；</w:t>
            </w:r>
          </w:p>
          <w:p>
            <w:pPr>
              <w:numPr>
                <w:ilvl w:val="0"/>
                <w:numId w:val="0"/>
              </w:numPr>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2）项目管理方案及质量目标，较科学、较合理、可行性较强；6</w:t>
            </w:r>
            <w:r>
              <w:rPr>
                <w:rFonts w:hint="eastAsia" w:ascii="宋体" w:hAnsi="宋体" w:eastAsia="宋体" w:cs="宋体"/>
                <w:color w:val="auto"/>
                <w:szCs w:val="21"/>
                <w:highlight w:val="none"/>
              </w:rPr>
              <w:t>分；</w:t>
            </w:r>
          </w:p>
          <w:p>
            <w:pPr>
              <w:numPr>
                <w:ilvl w:val="0"/>
                <w:numId w:val="0"/>
              </w:numPr>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3）项目管理方案及质量目标，不科学、不合理、可行性不强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numPr>
                <w:ilvl w:val="0"/>
                <w:numId w:val="0"/>
              </w:numPr>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4）未提供项目管理方案及质量目标；</w:t>
            </w:r>
            <w:r>
              <w:rPr>
                <w:rFonts w:hint="eastAsia" w:ascii="宋体" w:hAnsi="宋体" w:eastAsia="宋体" w:cs="宋体"/>
                <w:color w:val="auto"/>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695" w:type="dxa"/>
            <w:vMerge w:val="continue"/>
            <w:noWrap w:val="0"/>
            <w:vAlign w:val="center"/>
          </w:tcPr>
          <w:p>
            <w:pPr>
              <w:jc w:val="center"/>
              <w:rPr>
                <w:rFonts w:hint="eastAsia" w:ascii="宋体" w:hAnsi="宋体" w:eastAsia="宋体" w:cs="宋体"/>
                <w:color w:val="auto"/>
                <w:szCs w:val="21"/>
                <w:highlight w:val="none"/>
                <w:lang w:val="en-US" w:eastAsia="zh-CN"/>
              </w:rPr>
            </w:pPr>
          </w:p>
        </w:tc>
        <w:tc>
          <w:tcPr>
            <w:tcW w:w="1965" w:type="dxa"/>
            <w:tcBorders>
              <w:bottom w:val="single" w:color="auto" w:sz="4" w:space="0"/>
            </w:tcBorders>
            <w:noWrap w:val="0"/>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项目排班数方案编制情况及管理人员安排情况</w:t>
            </w:r>
          </w:p>
        </w:tc>
        <w:tc>
          <w:tcPr>
            <w:tcW w:w="1146"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180" w:type="dxa"/>
            <w:noWrap w:val="0"/>
            <w:vAlign w:val="center"/>
          </w:tcPr>
          <w:p>
            <w:pPr>
              <w:numPr>
                <w:ilvl w:val="0"/>
                <w:numId w:val="0"/>
              </w:numPr>
              <w:ind w:left="0" w:firstLine="0"/>
              <w:rPr>
                <w:rFonts w:hint="eastAsia"/>
                <w:color w:val="auto"/>
                <w:highlight w:val="none"/>
              </w:rPr>
            </w:pPr>
            <w:r>
              <w:rPr>
                <w:rFonts w:hint="eastAsia"/>
                <w:color w:val="auto"/>
                <w:highlight w:val="none"/>
                <w:lang w:val="en-US" w:eastAsia="zh-CN"/>
              </w:rPr>
              <w:t>1）项目排班数方案的测算方法和计算依据完整准确，测算有相关标准依据且科学合理，排班数及管理人员配置合理，排班作业计划详细、可行性强；得10</w:t>
            </w:r>
            <w:r>
              <w:rPr>
                <w:rFonts w:hint="eastAsia"/>
                <w:color w:val="auto"/>
                <w:highlight w:val="none"/>
              </w:rPr>
              <w:t>分；</w:t>
            </w:r>
          </w:p>
          <w:p>
            <w:pPr>
              <w:numPr>
                <w:ilvl w:val="0"/>
                <w:numId w:val="0"/>
              </w:numPr>
              <w:ind w:left="0" w:firstLine="0"/>
              <w:rPr>
                <w:rFonts w:hint="eastAsia"/>
                <w:color w:val="auto"/>
                <w:highlight w:val="none"/>
              </w:rPr>
            </w:pPr>
            <w:r>
              <w:rPr>
                <w:rFonts w:hint="eastAsia"/>
                <w:color w:val="auto"/>
                <w:highlight w:val="none"/>
                <w:lang w:val="en-US" w:eastAsia="zh-CN"/>
              </w:rPr>
              <w:t>2）项目排班数方案的测算方法、计算依据基本准备，排班数及管理人员配置较合理，排班作业计划较详细较可行</w:t>
            </w:r>
            <w:r>
              <w:rPr>
                <w:rFonts w:hint="eastAsia"/>
                <w:color w:val="auto"/>
                <w:highlight w:val="none"/>
                <w:lang w:eastAsia="zh-CN"/>
              </w:rPr>
              <w:t>；</w:t>
            </w:r>
            <w:r>
              <w:rPr>
                <w:rFonts w:hint="eastAsia"/>
                <w:color w:val="auto"/>
                <w:highlight w:val="none"/>
                <w:lang w:val="en-US" w:eastAsia="zh-CN"/>
              </w:rPr>
              <w:t>得6</w:t>
            </w:r>
            <w:r>
              <w:rPr>
                <w:rFonts w:hint="eastAsia"/>
                <w:color w:val="auto"/>
                <w:highlight w:val="none"/>
              </w:rPr>
              <w:t>分；</w:t>
            </w:r>
          </w:p>
          <w:p>
            <w:pPr>
              <w:numPr>
                <w:ilvl w:val="0"/>
                <w:numId w:val="0"/>
              </w:numPr>
              <w:ind w:left="0" w:firstLine="0"/>
              <w:rPr>
                <w:rFonts w:hint="eastAsia"/>
                <w:color w:val="auto"/>
                <w:highlight w:val="none"/>
              </w:rPr>
            </w:pPr>
            <w:r>
              <w:rPr>
                <w:rFonts w:hint="eastAsia"/>
                <w:color w:val="auto"/>
                <w:highlight w:val="none"/>
                <w:lang w:val="en-US" w:eastAsia="zh-CN"/>
              </w:rPr>
              <w:t>3）项目排班数方案的测算方法、计算依据</w:t>
            </w:r>
            <w:r>
              <w:rPr>
                <w:rFonts w:hint="eastAsia"/>
                <w:color w:val="auto"/>
                <w:highlight w:val="none"/>
              </w:rPr>
              <w:t>不清晰、</w:t>
            </w:r>
            <w:r>
              <w:rPr>
                <w:rFonts w:hint="eastAsia"/>
                <w:color w:val="auto"/>
                <w:highlight w:val="none"/>
                <w:lang w:val="en-US" w:eastAsia="zh-CN"/>
              </w:rPr>
              <w:t>排班数及管理人员</w:t>
            </w:r>
            <w:r>
              <w:rPr>
                <w:rFonts w:hint="eastAsia"/>
                <w:color w:val="auto"/>
                <w:highlight w:val="none"/>
              </w:rPr>
              <w:t>配置不合理，</w:t>
            </w:r>
            <w:r>
              <w:rPr>
                <w:rFonts w:hint="eastAsia"/>
                <w:color w:val="auto"/>
                <w:highlight w:val="none"/>
                <w:lang w:val="en-US" w:eastAsia="zh-CN"/>
              </w:rPr>
              <w:t>排班作业计划不详细</w:t>
            </w:r>
            <w:r>
              <w:rPr>
                <w:rFonts w:hint="eastAsia"/>
                <w:color w:val="auto"/>
                <w:highlight w:val="none"/>
              </w:rPr>
              <w:t>可行性不足</w:t>
            </w:r>
            <w:r>
              <w:rPr>
                <w:rFonts w:hint="eastAsia"/>
                <w:color w:val="auto"/>
                <w:highlight w:val="none"/>
                <w:lang w:eastAsia="zh-CN"/>
              </w:rPr>
              <w:t>；</w:t>
            </w:r>
            <w:r>
              <w:rPr>
                <w:rFonts w:hint="eastAsia"/>
                <w:color w:val="auto"/>
                <w:highlight w:val="none"/>
                <w:lang w:val="en-US" w:eastAsia="zh-CN"/>
              </w:rPr>
              <w:t>得3</w:t>
            </w:r>
            <w:r>
              <w:rPr>
                <w:rFonts w:hint="eastAsia"/>
                <w:color w:val="auto"/>
                <w:highlight w:val="none"/>
              </w:rPr>
              <w:t>分；</w:t>
            </w:r>
          </w:p>
          <w:p>
            <w:pPr>
              <w:numPr>
                <w:ilvl w:val="0"/>
                <w:numId w:val="0"/>
              </w:numPr>
              <w:ind w:left="0" w:firstLine="0"/>
              <w:rPr>
                <w:rFonts w:hint="eastAsia"/>
                <w:color w:val="auto"/>
                <w:highlight w:val="none"/>
              </w:rPr>
            </w:pPr>
            <w:r>
              <w:rPr>
                <w:rFonts w:hint="eastAsia"/>
                <w:color w:val="auto"/>
                <w:highlight w:val="none"/>
                <w:lang w:val="en-US" w:eastAsia="zh-CN"/>
              </w:rPr>
              <w:t>4）未提供项目排班数方案（或管理人员）或提供的方案（或管理人员数量）不切实际</w:t>
            </w:r>
            <w:r>
              <w:rPr>
                <w:rFonts w:hint="eastAsia"/>
                <w:color w:val="auto"/>
                <w:highlight w:val="none"/>
              </w:rPr>
              <w:t>，</w:t>
            </w:r>
            <w:r>
              <w:rPr>
                <w:rFonts w:hint="eastAsia"/>
                <w:color w:val="auto"/>
                <w:highlight w:val="none"/>
                <w:lang w:val="en-US" w:eastAsia="zh-CN"/>
              </w:rPr>
              <w:t>得</w:t>
            </w:r>
            <w:r>
              <w:rPr>
                <w:rFonts w:hint="eastAsia"/>
                <w:color w:val="auto"/>
                <w:highlight w:val="none"/>
              </w:rPr>
              <w:t>0分。</w:t>
            </w:r>
          </w:p>
          <w:p>
            <w:pPr>
              <w:numPr>
                <w:ilvl w:val="0"/>
                <w:numId w:val="0"/>
              </w:numPr>
              <w:ind w:left="0" w:leftChars="0" w:firstLine="0" w:firstLineChars="0"/>
              <w:rPr>
                <w:rFonts w:hint="default" w:eastAsia="宋体"/>
                <w:color w:val="auto"/>
                <w:highlight w:val="none"/>
                <w:lang w:val="en-US" w:eastAsia="zh-CN"/>
              </w:rPr>
            </w:pPr>
            <w:r>
              <w:rPr>
                <w:rFonts w:hint="eastAsia"/>
                <w:color w:val="auto"/>
                <w:sz w:val="21"/>
                <w:szCs w:val="21"/>
                <w:highlight w:val="none"/>
                <w:lang w:val="en-US" w:eastAsia="zh-CN"/>
              </w:rPr>
              <w:t>注：如排班数或管理人员人数出现畸高或畸低的</w:t>
            </w:r>
            <w:r>
              <w:rPr>
                <w:rFonts w:hint="eastAsia" w:ascii="宋体" w:hAnsi="宋体" w:eastAsia="宋体" w:cs="宋体"/>
                <w:color w:val="auto"/>
                <w:sz w:val="21"/>
                <w:szCs w:val="21"/>
                <w:highlight w:val="none"/>
                <w:lang w:val="en-US" w:eastAsia="zh-CN"/>
              </w:rPr>
              <w:t>，评委可以认定其配置不合理或其</w:t>
            </w:r>
            <w:r>
              <w:rPr>
                <w:rFonts w:hint="eastAsia"/>
                <w:color w:val="auto"/>
                <w:sz w:val="21"/>
                <w:szCs w:val="21"/>
                <w:highlight w:val="none"/>
                <w:lang w:val="en-US" w:eastAsia="zh-CN"/>
              </w:rPr>
              <w:t>方案不切实际，并对应以上标准</w:t>
            </w:r>
            <w:r>
              <w:rPr>
                <w:rFonts w:hint="eastAsia" w:ascii="宋体" w:hAnsi="宋体" w:eastAsia="宋体" w:cs="宋体"/>
                <w:color w:val="auto"/>
                <w:sz w:val="21"/>
                <w:szCs w:val="21"/>
                <w:highlight w:val="none"/>
                <w:lang w:val="en-US" w:eastAsia="zh-CN"/>
              </w:rPr>
              <w:t>进行打分。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5" w:hRule="atLeast"/>
          <w:jc w:val="center"/>
        </w:trPr>
        <w:tc>
          <w:tcPr>
            <w:tcW w:w="695" w:type="dxa"/>
            <w:vMerge w:val="continue"/>
            <w:noWrap w:val="0"/>
            <w:vAlign w:val="center"/>
          </w:tcPr>
          <w:p>
            <w:pPr>
              <w:ind w:firstLine="210" w:firstLineChars="100"/>
              <w:rPr>
                <w:rFonts w:hint="default" w:ascii="宋体" w:hAnsi="宋体" w:eastAsia="宋体" w:cs="宋体"/>
                <w:color w:val="auto"/>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投入全部</w:t>
            </w:r>
            <w:r>
              <w:rPr>
                <w:rFonts w:hint="eastAsia" w:ascii="宋体" w:hAnsi="宋体" w:eastAsia="宋体" w:cs="宋体"/>
                <w:color w:val="auto"/>
                <w:szCs w:val="21"/>
                <w:highlight w:val="none"/>
              </w:rPr>
              <w:t>道路</w:t>
            </w:r>
            <w:r>
              <w:rPr>
                <w:rFonts w:hint="eastAsia" w:ascii="宋体" w:hAnsi="宋体" w:eastAsia="宋体" w:cs="宋体"/>
                <w:color w:val="auto"/>
                <w:szCs w:val="21"/>
                <w:highlight w:val="none"/>
                <w:lang w:val="en-US" w:eastAsia="zh-CN"/>
              </w:rPr>
              <w:t>（包括开放式小区、</w:t>
            </w:r>
            <w:r>
              <w:rPr>
                <w:rFonts w:hint="eastAsia" w:ascii="宋体" w:hAnsi="宋体" w:eastAsia="宋体" w:cs="宋体"/>
                <w:color w:val="auto"/>
                <w:szCs w:val="21"/>
                <w:highlight w:val="none"/>
              </w:rPr>
              <w:t>绿化带</w:t>
            </w:r>
            <w:r>
              <w:rPr>
                <w:rFonts w:hint="eastAsia" w:ascii="宋体" w:hAnsi="宋体" w:eastAsia="宋体" w:cs="宋体"/>
                <w:color w:val="auto"/>
                <w:szCs w:val="21"/>
                <w:highlight w:val="none"/>
                <w:lang w:val="en-US" w:eastAsia="zh-CN"/>
              </w:rPr>
              <w:t>）人工</w:t>
            </w:r>
            <w:r>
              <w:rPr>
                <w:rFonts w:hint="eastAsia" w:ascii="宋体" w:hAnsi="宋体" w:eastAsia="宋体" w:cs="宋体"/>
                <w:color w:val="auto"/>
                <w:szCs w:val="21"/>
                <w:highlight w:val="none"/>
              </w:rPr>
              <w:t>清扫保洁</w:t>
            </w:r>
            <w:r>
              <w:rPr>
                <w:rFonts w:hint="eastAsia" w:ascii="宋体" w:hAnsi="宋体" w:eastAsia="宋体" w:cs="宋体"/>
                <w:color w:val="auto"/>
                <w:szCs w:val="21"/>
                <w:highlight w:val="none"/>
                <w:lang w:val="en-US" w:eastAsia="zh-CN"/>
              </w:rPr>
              <w:t>排班数</w:t>
            </w:r>
          </w:p>
        </w:tc>
        <w:tc>
          <w:tcPr>
            <w:tcW w:w="1146"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eastAsia="zh-CN"/>
              </w:rPr>
              <w:t>根据</w:t>
            </w:r>
            <w:r>
              <w:rPr>
                <w:rFonts w:hint="eastAsia"/>
                <w:color w:val="auto"/>
                <w:highlight w:val="none"/>
                <w:lang w:val="en-US" w:eastAsia="zh-CN"/>
              </w:rPr>
              <w:t>投标供应商每日投入的人工清扫保洁排班数</w:t>
            </w:r>
            <w:r>
              <w:rPr>
                <w:rFonts w:hint="eastAsia" w:ascii="宋体" w:hAnsi="宋体" w:eastAsia="宋体" w:cs="宋体"/>
                <w:color w:val="auto"/>
                <w:szCs w:val="21"/>
                <w:highlight w:val="none"/>
                <w:lang w:val="en-US" w:eastAsia="zh-CN"/>
              </w:rPr>
              <w:t>总数，</w:t>
            </w:r>
            <w:r>
              <w:rPr>
                <w:rFonts w:hint="eastAsia" w:ascii="宋体" w:hAnsi="宋体" w:eastAsia="宋体" w:cs="宋体"/>
                <w:color w:val="auto"/>
                <w:szCs w:val="21"/>
                <w:highlight w:val="none"/>
              </w:rPr>
              <w:t>计算出评分基准数【</w:t>
            </w: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评分基准数</w:t>
            </w:r>
            <w:r>
              <w:rPr>
                <w:rFonts w:hint="eastAsia" w:ascii="宋体" w:hAnsi="宋体" w:eastAsia="宋体" w:cs="宋体"/>
                <w:color w:val="auto"/>
                <w:szCs w:val="21"/>
                <w:highlight w:val="none"/>
                <w:lang w:val="en-US" w:eastAsia="zh-CN"/>
              </w:rPr>
              <w:t>为</w:t>
            </w:r>
            <w:r>
              <w:rPr>
                <w:rFonts w:hint="eastAsia"/>
                <w:color w:val="auto"/>
                <w:sz w:val="21"/>
                <w:szCs w:val="21"/>
                <w:highlight w:val="none"/>
                <w:lang w:val="en-US" w:eastAsia="zh-CN"/>
              </w:rPr>
              <w:t>有效投标供应商小于等于10家时，各有效投标供应商投入的人工清扫保洁排班数总数去掉一个最高值及一个最低值后的算术平均值（四舍五入取整数）；有效投标供应商大于10家且小于等于20家时，排班数总数按排序去掉三个高值及三个低值后的算术平均值（四舍五入取整数）；有效投标供应商大于20家且小于等于30家时，排班数总数按排序去掉五个高值及五个低值后的算术平均值（四舍五入取整数）；有效投标供应商大于30家时，排班数总数按排序去掉八个高值及八个低值后的算术平均值（四舍五入取整数）；有效投标供应商≤3家时，直接取平均值（四舍五入取整数</w:t>
            </w:r>
            <w:r>
              <w:rPr>
                <w:rFonts w:hint="eastAsia" w:ascii="宋体" w:hAnsi="宋体" w:eastAsia="宋体" w:cs="宋体"/>
                <w:color w:val="auto"/>
                <w:szCs w:val="21"/>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供应商</w:t>
            </w:r>
            <w:r>
              <w:rPr>
                <w:rFonts w:hint="eastAsia"/>
                <w:color w:val="auto"/>
                <w:highlight w:val="none"/>
                <w:lang w:val="en-US" w:eastAsia="zh-CN"/>
              </w:rPr>
              <w:t>每日投入的人工清扫保洁排班数</w:t>
            </w:r>
            <w:r>
              <w:rPr>
                <w:rFonts w:hint="eastAsia" w:ascii="宋体" w:hAnsi="宋体" w:eastAsia="宋体" w:cs="宋体"/>
                <w:color w:val="auto"/>
                <w:szCs w:val="21"/>
                <w:highlight w:val="none"/>
              </w:rPr>
              <w:t>总数等于评分基准数的得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供应商</w:t>
            </w:r>
            <w:r>
              <w:rPr>
                <w:rFonts w:hint="eastAsia"/>
                <w:color w:val="auto"/>
                <w:highlight w:val="none"/>
                <w:lang w:val="en-US" w:eastAsia="zh-CN"/>
              </w:rPr>
              <w:t>每</w:t>
            </w:r>
            <w:r>
              <w:rPr>
                <w:rFonts w:hint="eastAsia" w:ascii="Times New Roman" w:hAnsi="Times New Roman" w:eastAsia="宋体" w:cs="Times New Roman"/>
                <w:color w:val="auto"/>
                <w:highlight w:val="none"/>
                <w:lang w:val="en-US" w:eastAsia="zh-CN"/>
              </w:rPr>
              <w:t>日投入的人工清扫保洁排班数总数低于评分基准数的，每低于1个班扣0.1分，最低得4分；供应商每日投入的人工清扫保洁排班数总数高于评分基准数的，每高于1个班加0.1分，最高得6分；</w:t>
            </w:r>
          </w:p>
          <w:p>
            <w:pPr>
              <w:numPr>
                <w:ilvl w:val="0"/>
                <w:numId w:val="0"/>
              </w:numPr>
              <w:ind w:left="0" w:firstLine="0"/>
              <w:rPr>
                <w:rFonts w:hint="default" w:ascii="宋体" w:hAnsi="宋体" w:eastAsia="宋体" w:cs="宋体"/>
                <w:color w:val="auto"/>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4、</w:t>
            </w:r>
            <w:r>
              <w:rPr>
                <w:rFonts w:hint="eastAsia" w:ascii="Times New Roman" w:hAnsi="Times New Roman" w:eastAsia="宋体" w:cs="Times New Roman"/>
                <w:color w:val="auto"/>
                <w:sz w:val="21"/>
                <w:szCs w:val="24"/>
                <w:highlight w:val="none"/>
                <w:lang w:val="en-US" w:eastAsia="zh-CN"/>
              </w:rPr>
              <w:t>未提供排班数，</w:t>
            </w:r>
            <w:r>
              <w:rPr>
                <w:rFonts w:hint="eastAsia" w:ascii="Times New Roman" w:hAnsi="Times New Roman" w:eastAsia="宋体" w:cs="Times New Roman"/>
                <w:color w:val="auto"/>
                <w:kern w:val="2"/>
                <w:sz w:val="21"/>
                <w:szCs w:val="24"/>
                <w:highlight w:val="none"/>
                <w:lang w:val="en-US" w:eastAsia="zh-CN" w:bidi="ar-SA"/>
              </w:rPr>
              <w:t>不参与基准数计算且不予得分。</w:t>
            </w:r>
            <w:r>
              <w:rPr>
                <w:rFonts w:hint="eastAsia" w:ascii="Times New Roman" w:hAnsi="Times New Roman" w:eastAsia="宋体" w:cs="Times New Roman"/>
                <w:color w:val="auto"/>
                <w:sz w:val="21"/>
                <w:szCs w:val="24"/>
                <w:highlight w:val="none"/>
                <w:lang w:val="en-US" w:eastAsia="zh-CN"/>
              </w:rPr>
              <w:t>如排班数总数高于</w:t>
            </w:r>
            <w:r>
              <w:rPr>
                <w:rFonts w:hint="eastAsia" w:ascii="Times New Roman" w:hAnsi="Times New Roman" w:eastAsia="宋体" w:cs="Times New Roman"/>
                <w:color w:val="auto"/>
                <w:sz w:val="21"/>
                <w:szCs w:val="24"/>
                <w:highlight w:val="none"/>
              </w:rPr>
              <w:t>评分基准</w:t>
            </w:r>
            <w:r>
              <w:rPr>
                <w:rFonts w:hint="eastAsia" w:ascii="Times New Roman" w:hAnsi="Times New Roman" w:eastAsia="宋体" w:cs="Times New Roman"/>
                <w:color w:val="auto"/>
                <w:sz w:val="21"/>
                <w:szCs w:val="24"/>
                <w:highlight w:val="none"/>
                <w:lang w:val="en-US" w:eastAsia="zh-CN"/>
              </w:rPr>
              <w:t>数30%以上的（四舍五入</w:t>
            </w:r>
            <w:r>
              <w:rPr>
                <w:rFonts w:hint="eastAsia" w:ascii="Times New Roman" w:hAnsi="Times New Roman" w:eastAsia="宋体" w:cs="Times New Roman"/>
                <w:color w:val="auto"/>
                <w:sz w:val="21"/>
                <w:szCs w:val="24"/>
                <w:highlight w:val="none"/>
              </w:rPr>
              <w:t>取整数</w:t>
            </w:r>
            <w:r>
              <w:rPr>
                <w:rFonts w:hint="eastAsia" w:ascii="Times New Roman" w:hAnsi="Times New Roman" w:eastAsia="宋体" w:cs="Times New Roman"/>
                <w:color w:val="auto"/>
                <w:sz w:val="21"/>
                <w:szCs w:val="24"/>
                <w:highlight w:val="none"/>
                <w:lang w:val="en-US" w:eastAsia="zh-CN"/>
              </w:rPr>
              <w:t>），则该项只得基准分为5分（如与第3条计算得分不一致的，以本条得分为准）。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 w:hRule="atLeast"/>
          <w:jc w:val="center"/>
        </w:trPr>
        <w:tc>
          <w:tcPr>
            <w:tcW w:w="695" w:type="dxa"/>
            <w:vMerge w:val="continue"/>
            <w:noWrap w:val="0"/>
            <w:vAlign w:val="center"/>
          </w:tcPr>
          <w:p>
            <w:pPr>
              <w:ind w:firstLine="210" w:firstLineChars="100"/>
              <w:rPr>
                <w:rFonts w:hint="default" w:ascii="宋体" w:hAnsi="宋体" w:eastAsia="宋体" w:cs="宋体"/>
                <w:color w:val="auto"/>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投入全部</w:t>
            </w:r>
            <w:r>
              <w:rPr>
                <w:rFonts w:hint="eastAsia" w:ascii="宋体" w:hAnsi="宋体" w:eastAsia="宋体" w:cs="宋体"/>
                <w:color w:val="auto"/>
                <w:szCs w:val="21"/>
                <w:highlight w:val="none"/>
              </w:rPr>
              <w:t>道路</w:t>
            </w:r>
            <w:r>
              <w:rPr>
                <w:rFonts w:hint="eastAsia" w:ascii="宋体" w:hAnsi="宋体" w:eastAsia="宋体" w:cs="宋体"/>
                <w:color w:val="auto"/>
                <w:szCs w:val="21"/>
                <w:highlight w:val="none"/>
                <w:lang w:val="en-US" w:eastAsia="zh-CN"/>
              </w:rPr>
              <w:t>机械化保洁（包括清扫、洒水、冲洗）排班数</w:t>
            </w:r>
          </w:p>
        </w:tc>
        <w:tc>
          <w:tcPr>
            <w:tcW w:w="1146"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180" w:type="dxa"/>
            <w:noWrap w:val="0"/>
            <w:vAlign w:val="center"/>
          </w:tcPr>
          <w:p>
            <w:pPr>
              <w:jc w:val="left"/>
              <w:rPr>
                <w:rFonts w:hint="eastAsia"/>
                <w:color w:val="auto"/>
                <w:highlight w:val="none"/>
              </w:rPr>
            </w:pPr>
            <w:r>
              <w:rPr>
                <w:rFonts w:hint="eastAsia"/>
                <w:color w:val="auto"/>
                <w:highlight w:val="none"/>
                <w:lang w:val="en-US" w:eastAsia="zh-CN"/>
              </w:rPr>
              <w:t>1、</w:t>
            </w:r>
            <w:r>
              <w:rPr>
                <w:rFonts w:hint="eastAsia"/>
                <w:color w:val="auto"/>
                <w:highlight w:val="none"/>
                <w:lang w:eastAsia="zh-CN"/>
              </w:rPr>
              <w:t>根据</w:t>
            </w:r>
            <w:r>
              <w:rPr>
                <w:rFonts w:hint="eastAsia"/>
                <w:color w:val="auto"/>
                <w:highlight w:val="none"/>
                <w:lang w:val="en-US" w:eastAsia="zh-CN"/>
              </w:rPr>
              <w:t>投标供应商每日投入的全部道路机械化保洁（包括清扫、洒水、冲洗）排班数总数，</w:t>
            </w:r>
            <w:r>
              <w:rPr>
                <w:rFonts w:hint="eastAsia"/>
                <w:color w:val="auto"/>
                <w:highlight w:val="none"/>
              </w:rPr>
              <w:t>计算出评分基准数【</w:t>
            </w:r>
            <w:r>
              <w:rPr>
                <w:rFonts w:hint="eastAsia"/>
                <w:color w:val="auto"/>
                <w:highlight w:val="none"/>
                <w:lang w:val="en-US" w:eastAsia="zh-CN"/>
              </w:rPr>
              <w:t>注：</w:t>
            </w:r>
            <w:r>
              <w:rPr>
                <w:rFonts w:hint="eastAsia"/>
                <w:color w:val="auto"/>
                <w:highlight w:val="none"/>
              </w:rPr>
              <w:t>评分基准数</w:t>
            </w:r>
            <w:r>
              <w:rPr>
                <w:rFonts w:hint="eastAsia"/>
                <w:color w:val="auto"/>
                <w:highlight w:val="none"/>
                <w:lang w:val="en-US" w:eastAsia="zh-CN"/>
              </w:rPr>
              <w:t>为有效投标供应商小于等于10家时，各有效投标供应商投入全部道路机械化保洁（包括清扫、洒水、冲洗，不包括人工清扫、洒水、冲洗）排班数总数去掉一个最高值及一个最低值后的算术平均值（四舍五入取整数）；有效投标供应商大于10家且小于等于20家时，排班数总数按排序去掉三个高值及三个低值后的算术平均值（四舍五入取整数）；有效投标供应商大于20家且小于等于30家时，排班数总数按排序去掉五个高值及五个低值后的算术平均值（四舍五入取整数）；有效投标供应商大于30家时，排班数总数按排序去掉八个高值及八个低值后的算术平均值（四舍五入取整数）；有效投标供应商≤3家时，直接取平均值（四舍五入取整数</w:t>
            </w:r>
            <w:r>
              <w:rPr>
                <w:rFonts w:hint="eastAsia"/>
                <w:color w:val="auto"/>
                <w:highlight w:val="none"/>
              </w:rPr>
              <w:t>】。</w:t>
            </w:r>
          </w:p>
          <w:p>
            <w:pPr>
              <w:rPr>
                <w:rFonts w:hint="eastAsia"/>
                <w:color w:val="auto"/>
                <w:highlight w:val="none"/>
              </w:rPr>
            </w:pPr>
            <w:r>
              <w:rPr>
                <w:rFonts w:hint="eastAsia"/>
                <w:color w:val="auto"/>
                <w:highlight w:val="none"/>
              </w:rPr>
              <w:t>2、</w:t>
            </w:r>
            <w:r>
              <w:rPr>
                <w:rFonts w:hint="eastAsia"/>
                <w:color w:val="auto"/>
                <w:highlight w:val="none"/>
                <w:lang w:val="en-US" w:eastAsia="zh-CN"/>
              </w:rPr>
              <w:t>投入全部道路机械化保洁（包括清扫、洒水、冲洗）排班数</w:t>
            </w:r>
            <w:r>
              <w:rPr>
                <w:rFonts w:hint="eastAsia"/>
                <w:color w:val="auto"/>
                <w:highlight w:val="none"/>
              </w:rPr>
              <w:t>总数等于评分基准数的得</w:t>
            </w:r>
            <w:r>
              <w:rPr>
                <w:rFonts w:hint="eastAsia"/>
                <w:color w:val="auto"/>
                <w:highlight w:val="none"/>
                <w:lang w:val="en-US" w:eastAsia="zh-CN"/>
              </w:rPr>
              <w:t>5</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3、</w:t>
            </w:r>
            <w:r>
              <w:rPr>
                <w:rFonts w:hint="eastAsia"/>
                <w:color w:val="auto"/>
                <w:highlight w:val="none"/>
                <w:lang w:val="en-US" w:eastAsia="zh-CN"/>
              </w:rPr>
              <w:t>投入全部道路机械化保洁（包括清扫、洒水、冲洗）排班数总数</w:t>
            </w:r>
            <w:r>
              <w:rPr>
                <w:rFonts w:hint="eastAsia"/>
                <w:color w:val="auto"/>
                <w:highlight w:val="none"/>
              </w:rPr>
              <w:t>低于评分基准数的，每</w:t>
            </w:r>
            <w:r>
              <w:rPr>
                <w:rFonts w:hint="eastAsia"/>
                <w:color w:val="auto"/>
                <w:highlight w:val="none"/>
                <w:lang w:val="en-US" w:eastAsia="zh-CN"/>
              </w:rPr>
              <w:t>低于1个班扣</w:t>
            </w:r>
            <w:r>
              <w:rPr>
                <w:rFonts w:hint="eastAsia"/>
                <w:color w:val="auto"/>
                <w:highlight w:val="none"/>
              </w:rPr>
              <w:t>0.</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最低得4分</w:t>
            </w:r>
            <w:r>
              <w:rPr>
                <w:rFonts w:hint="eastAsia"/>
                <w:color w:val="auto"/>
                <w:highlight w:val="none"/>
              </w:rPr>
              <w:t>；</w:t>
            </w:r>
            <w:r>
              <w:rPr>
                <w:rFonts w:hint="eastAsia"/>
                <w:color w:val="auto"/>
                <w:highlight w:val="none"/>
                <w:lang w:val="en-US" w:eastAsia="zh-CN"/>
              </w:rPr>
              <w:t>投入全部道路机械化保洁（包括清扫、洒水、冲洗）排班数总数高</w:t>
            </w:r>
            <w:r>
              <w:rPr>
                <w:rFonts w:hint="eastAsia"/>
                <w:color w:val="auto"/>
                <w:highlight w:val="none"/>
              </w:rPr>
              <w:t>于评分基准数的，每</w:t>
            </w:r>
            <w:r>
              <w:rPr>
                <w:rFonts w:hint="eastAsia"/>
                <w:color w:val="auto"/>
                <w:highlight w:val="none"/>
                <w:lang w:val="en-US" w:eastAsia="zh-CN"/>
              </w:rPr>
              <w:t>高于1个班</w:t>
            </w:r>
            <w:r>
              <w:rPr>
                <w:rFonts w:hint="eastAsia"/>
                <w:color w:val="auto"/>
                <w:highlight w:val="none"/>
              </w:rPr>
              <w:t>加0.</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最高得6分</w:t>
            </w:r>
            <w:r>
              <w:rPr>
                <w:rFonts w:hint="eastAsia"/>
                <w:color w:val="auto"/>
                <w:highlight w:val="none"/>
              </w:rPr>
              <w:t>；</w:t>
            </w:r>
          </w:p>
          <w:p>
            <w:pPr>
              <w:numPr>
                <w:ilvl w:val="0"/>
                <w:numId w:val="0"/>
              </w:numPr>
              <w:ind w:left="0" w:leftChars="0" w:firstLine="0" w:firstLineChars="0"/>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4、未提供排班数，不参与基准数计算且不予得分。如排班数总数高于评分基准数30%以上的（四舍五入取整数），则该</w:t>
            </w:r>
            <w:r>
              <w:rPr>
                <w:rFonts w:hint="eastAsia" w:ascii="Times New Roman" w:hAnsi="Times New Roman" w:eastAsia="宋体" w:cs="Times New Roman"/>
                <w:color w:val="auto"/>
                <w:highlight w:val="none"/>
                <w:lang w:val="en-US" w:eastAsia="zh-CN"/>
              </w:rPr>
              <w:t>项只得基准分为5分（如与第3条计算得分不一致的，以本条得分为准）。</w:t>
            </w:r>
          </w:p>
          <w:p>
            <w:pPr>
              <w:numPr>
                <w:ilvl w:val="0"/>
                <w:numId w:val="0"/>
              </w:numPr>
              <w:ind w:left="0" w:leftChars="0" w:firstLine="420" w:firstLineChars="200"/>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注：本项保洁机械包括多功能清扫车、高压冲洗（洒水）车、多功能抑尘车、护栏清洗车、电动高压冲洗车。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7" w:hRule="atLeast"/>
          <w:jc w:val="center"/>
        </w:trPr>
        <w:tc>
          <w:tcPr>
            <w:tcW w:w="695" w:type="dxa"/>
            <w:vMerge w:val="continue"/>
            <w:noWrap w:val="0"/>
            <w:vAlign w:val="center"/>
          </w:tcPr>
          <w:p>
            <w:pPr>
              <w:ind w:firstLine="210" w:firstLineChars="100"/>
              <w:rPr>
                <w:rFonts w:hint="default" w:ascii="宋体" w:hAnsi="宋体" w:eastAsia="宋体" w:cs="宋体"/>
                <w:color w:val="auto"/>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投入全部环卫设施（包括果壳箱、分类垃圾桶、分类收集点、灭烟柱、垃圾收集车、多功能垃圾房）清洁和小广告清除排班数</w:t>
            </w:r>
          </w:p>
        </w:tc>
        <w:tc>
          <w:tcPr>
            <w:tcW w:w="114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180"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eastAsia="zh-CN"/>
              </w:rPr>
              <w:t>根据</w:t>
            </w:r>
            <w:r>
              <w:rPr>
                <w:rFonts w:hint="eastAsia"/>
                <w:color w:val="auto"/>
                <w:highlight w:val="none"/>
                <w:lang w:val="en-US" w:eastAsia="zh-CN"/>
              </w:rPr>
              <w:t>投标供应商每日投入的全部环卫设施（包括果壳箱、分类垃圾桶、分类收集点、灭烟柱、垃圾收集车、多功能垃圾房）清洁和小广告清除排班数</w:t>
            </w:r>
            <w:r>
              <w:rPr>
                <w:rFonts w:hint="eastAsia" w:ascii="宋体" w:hAnsi="宋体" w:eastAsia="宋体" w:cs="宋体"/>
                <w:color w:val="auto"/>
                <w:szCs w:val="21"/>
                <w:highlight w:val="none"/>
                <w:lang w:val="en-US" w:eastAsia="zh-CN"/>
              </w:rPr>
              <w:t>总数，</w:t>
            </w:r>
            <w:r>
              <w:rPr>
                <w:rFonts w:hint="eastAsia" w:ascii="宋体" w:hAnsi="宋体" w:eastAsia="宋体" w:cs="宋体"/>
                <w:color w:val="auto"/>
                <w:szCs w:val="21"/>
                <w:highlight w:val="none"/>
              </w:rPr>
              <w:t>计算出评分基准数【</w:t>
            </w:r>
            <w:r>
              <w:rPr>
                <w:rFonts w:hint="eastAsia"/>
                <w:color w:val="auto"/>
                <w:highlight w:val="none"/>
                <w:lang w:val="en-US" w:eastAsia="zh-CN"/>
              </w:rPr>
              <w:t>注：</w:t>
            </w:r>
            <w:r>
              <w:rPr>
                <w:rFonts w:hint="eastAsia"/>
                <w:color w:val="auto"/>
                <w:highlight w:val="none"/>
              </w:rPr>
              <w:t>评分基准数</w:t>
            </w:r>
            <w:r>
              <w:rPr>
                <w:rFonts w:hint="eastAsia"/>
                <w:color w:val="auto"/>
                <w:highlight w:val="none"/>
                <w:lang w:val="en-US" w:eastAsia="zh-CN"/>
              </w:rPr>
              <w:t>为</w:t>
            </w:r>
            <w:r>
              <w:rPr>
                <w:rFonts w:hint="eastAsia"/>
                <w:color w:val="auto"/>
                <w:sz w:val="21"/>
                <w:szCs w:val="21"/>
                <w:highlight w:val="none"/>
                <w:lang w:val="en-US" w:eastAsia="zh-CN"/>
              </w:rPr>
              <w:t>有效投标供应商小于等于10家时，各有效投标供应商投入全部环卫设施（包括果壳箱、分类垃圾桶、分类收集点、灭烟柱、垃圾收集车、多功能垃圾房）清洁和小广告清除排班数总数去掉一个最高值及一个最低值后的算术平均值（四舍五入取整数）；有效投标供应商大于10家且小于等于20家时，排班数总数按排序去掉三个高值及三个低值后的算术平均值（四舍五入取整数）；有效投标供应商大于20家且小于等于30家时，排班数总数按排序去掉五个高值及五个低值后的算术平均值（四舍五入取整数）；有效投标供应商大于30家时，排班数总数按排序去掉八个高值及八个低值后的算术平均值（四舍五入取整数）；有效投标供应商≤3家时，直接取平均值（四舍五入取整数</w:t>
            </w:r>
            <w:r>
              <w:rPr>
                <w:rFonts w:hint="eastAsia" w:ascii="宋体" w:hAnsi="宋体" w:eastAsia="宋体" w:cs="宋体"/>
                <w:color w:val="auto"/>
                <w:szCs w:val="21"/>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color w:val="auto"/>
                <w:highlight w:val="none"/>
                <w:lang w:val="en-US" w:eastAsia="zh-CN"/>
              </w:rPr>
              <w:t>投入全部环卫设施（包括果壳箱、分类垃圾桶、分类收集点、灭烟柱、垃圾收集车、多功能垃圾房）清洁和小广告清除排班数</w:t>
            </w:r>
            <w:r>
              <w:rPr>
                <w:rFonts w:hint="eastAsia" w:ascii="宋体" w:hAnsi="宋体" w:eastAsia="宋体" w:cs="宋体"/>
                <w:color w:val="auto"/>
                <w:szCs w:val="21"/>
                <w:highlight w:val="none"/>
              </w:rPr>
              <w:t>总数等于评分基准数的得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color w:val="auto"/>
                <w:highlight w:val="none"/>
                <w:lang w:val="en-US" w:eastAsia="zh-CN"/>
              </w:rPr>
              <w:t>投入全部环卫设施（包括果壳箱、分类垃圾桶、分类收集点、灭烟柱、垃圾收集车、多功能垃圾房）清洁和小广告清除排班数</w:t>
            </w:r>
            <w:r>
              <w:rPr>
                <w:rFonts w:hint="eastAsia" w:ascii="宋体" w:hAnsi="宋体" w:eastAsia="宋体" w:cs="宋体"/>
                <w:color w:val="auto"/>
                <w:szCs w:val="21"/>
                <w:highlight w:val="none"/>
                <w:lang w:val="en-US" w:eastAsia="zh-CN"/>
              </w:rPr>
              <w:t>总数</w:t>
            </w:r>
            <w:r>
              <w:rPr>
                <w:rFonts w:hint="eastAsia" w:ascii="宋体" w:hAnsi="宋体" w:eastAsia="宋体" w:cs="宋体"/>
                <w:color w:val="auto"/>
                <w:szCs w:val="21"/>
                <w:highlight w:val="none"/>
              </w:rPr>
              <w:t>低于评分基准数的，每</w:t>
            </w:r>
            <w:r>
              <w:rPr>
                <w:rFonts w:hint="eastAsia" w:ascii="宋体" w:hAnsi="宋体" w:eastAsia="宋体" w:cs="宋体"/>
                <w:color w:val="auto"/>
                <w:szCs w:val="21"/>
                <w:highlight w:val="none"/>
                <w:lang w:val="en-US" w:eastAsia="zh-CN"/>
              </w:rPr>
              <w:t>低于1个班扣</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最低得1分</w:t>
            </w:r>
            <w:r>
              <w:rPr>
                <w:rFonts w:hint="eastAsia" w:ascii="宋体" w:hAnsi="宋体" w:eastAsia="宋体" w:cs="宋体"/>
                <w:color w:val="auto"/>
                <w:szCs w:val="21"/>
                <w:highlight w:val="none"/>
              </w:rPr>
              <w:t>；</w:t>
            </w:r>
            <w:r>
              <w:rPr>
                <w:rFonts w:hint="eastAsia"/>
                <w:color w:val="auto"/>
                <w:highlight w:val="none"/>
                <w:lang w:val="en-US" w:eastAsia="zh-CN"/>
              </w:rPr>
              <w:t>投入全部环卫设施（包括果壳箱、分类垃圾桶、分类收集点、灭烟柱、垃圾收集车、多功能垃圾房）清洁和小广告清除排班数</w:t>
            </w:r>
            <w:r>
              <w:rPr>
                <w:rFonts w:hint="eastAsia" w:ascii="宋体" w:hAnsi="宋体" w:eastAsia="宋体" w:cs="宋体"/>
                <w:color w:val="auto"/>
                <w:szCs w:val="21"/>
                <w:highlight w:val="none"/>
                <w:lang w:val="en-US" w:eastAsia="zh-CN"/>
              </w:rPr>
              <w:t>总数高</w:t>
            </w:r>
            <w:r>
              <w:rPr>
                <w:rFonts w:hint="eastAsia" w:ascii="宋体" w:hAnsi="宋体" w:eastAsia="宋体" w:cs="宋体"/>
                <w:color w:val="auto"/>
                <w:szCs w:val="21"/>
                <w:highlight w:val="none"/>
              </w:rPr>
              <w:t>于评分基准数的，每</w:t>
            </w:r>
            <w:r>
              <w:rPr>
                <w:rFonts w:hint="eastAsia" w:ascii="宋体" w:hAnsi="宋体" w:eastAsia="宋体" w:cs="宋体"/>
                <w:color w:val="auto"/>
                <w:szCs w:val="21"/>
                <w:highlight w:val="none"/>
                <w:lang w:val="en-US" w:eastAsia="zh-CN"/>
              </w:rPr>
              <w:t>高于1个班</w:t>
            </w:r>
            <w:r>
              <w:rPr>
                <w:rFonts w:hint="eastAsia" w:ascii="宋体" w:hAnsi="宋体" w:eastAsia="宋体" w:cs="宋体"/>
                <w:color w:val="auto"/>
                <w:szCs w:val="21"/>
                <w:highlight w:val="none"/>
              </w:rPr>
              <w:t>加0.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最高得3分</w:t>
            </w:r>
            <w:r>
              <w:rPr>
                <w:rFonts w:hint="eastAsia" w:ascii="宋体" w:hAnsi="宋体" w:eastAsia="宋体" w:cs="宋体"/>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4、未提供排班数，不参与基准数计算且不予得分。如排班数总数高于评分基准数30%以上的（四舍五入取整数），则该项只得基准分为2分（如与第3条计算得分不一致的，以本条得分为准）。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5" w:type="dxa"/>
            <w:vMerge w:val="continue"/>
            <w:noWrap w:val="0"/>
            <w:vAlign w:val="center"/>
          </w:tcPr>
          <w:p>
            <w:pPr>
              <w:ind w:firstLine="210" w:firstLineChars="100"/>
              <w:rPr>
                <w:rFonts w:hint="default" w:ascii="宋体" w:hAnsi="宋体" w:eastAsia="宋体" w:cs="宋体"/>
                <w:color w:val="auto"/>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投入全部垃圾分类收集、运输排班数</w:t>
            </w:r>
          </w:p>
        </w:tc>
        <w:tc>
          <w:tcPr>
            <w:tcW w:w="114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180"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eastAsia="zh-CN"/>
              </w:rPr>
              <w:t>根据</w:t>
            </w:r>
            <w:r>
              <w:rPr>
                <w:rFonts w:hint="eastAsia"/>
                <w:color w:val="auto"/>
                <w:highlight w:val="none"/>
                <w:lang w:val="en-US" w:eastAsia="zh-CN"/>
              </w:rPr>
              <w:t>投标供应商每日投入的全部垃圾分类收集、运输排班数</w:t>
            </w:r>
            <w:r>
              <w:rPr>
                <w:rFonts w:hint="eastAsia" w:ascii="宋体" w:hAnsi="宋体" w:eastAsia="宋体" w:cs="宋体"/>
                <w:color w:val="auto"/>
                <w:szCs w:val="21"/>
                <w:highlight w:val="none"/>
                <w:lang w:val="en-US" w:eastAsia="zh-CN"/>
              </w:rPr>
              <w:t>总数，</w:t>
            </w:r>
            <w:r>
              <w:rPr>
                <w:rFonts w:hint="eastAsia" w:ascii="宋体" w:hAnsi="宋体" w:eastAsia="宋体" w:cs="宋体"/>
                <w:color w:val="auto"/>
                <w:szCs w:val="21"/>
                <w:highlight w:val="none"/>
              </w:rPr>
              <w:t>计算出评分基准数【</w:t>
            </w:r>
            <w:r>
              <w:rPr>
                <w:rFonts w:hint="eastAsia"/>
                <w:color w:val="auto"/>
                <w:highlight w:val="none"/>
                <w:lang w:val="en-US" w:eastAsia="zh-CN"/>
              </w:rPr>
              <w:t>注：</w:t>
            </w:r>
            <w:r>
              <w:rPr>
                <w:rFonts w:hint="eastAsia"/>
                <w:color w:val="auto"/>
                <w:highlight w:val="none"/>
              </w:rPr>
              <w:t>评分基准数</w:t>
            </w:r>
            <w:r>
              <w:rPr>
                <w:rFonts w:hint="eastAsia"/>
                <w:color w:val="auto"/>
                <w:highlight w:val="none"/>
                <w:lang w:val="en-US" w:eastAsia="zh-CN"/>
              </w:rPr>
              <w:t>为</w:t>
            </w:r>
            <w:r>
              <w:rPr>
                <w:rFonts w:hint="eastAsia"/>
                <w:color w:val="auto"/>
                <w:sz w:val="21"/>
                <w:szCs w:val="21"/>
                <w:highlight w:val="none"/>
                <w:lang w:val="en-US" w:eastAsia="zh-CN"/>
              </w:rPr>
              <w:t>有效投标供应商小于等于10家时，各有效投标供应商投入全部垃圾分类收集、运输排班数总数去掉一个最高值及一个最低值后的算术平均值（四舍五入取整数）；有效投标供应商大于10家且小于等于20家时，排班数总数按排序去掉三个高值及三个低值后的算术平均值（四舍五入取整数）；有效投标供应商大于20家且小于等于30家时，排班数总数按排序去掉五个高值及五个低值后的算术平均值（四舍五入取整数）；有效投标供应商大于30家时，排班数总数按排序去掉八个高值及八个低值后的算术平均值（四舍五入取整数）；有效投标供应商≤3家时，直接取平均值（四舍五入取整数</w:t>
            </w:r>
            <w:r>
              <w:rPr>
                <w:rFonts w:hint="eastAsia" w:ascii="宋体" w:hAnsi="宋体" w:eastAsia="宋体" w:cs="宋体"/>
                <w:color w:val="auto"/>
                <w:szCs w:val="21"/>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color w:val="auto"/>
                <w:highlight w:val="none"/>
                <w:lang w:val="en-US" w:eastAsia="zh-CN"/>
              </w:rPr>
              <w:t>投入全部垃圾分类收集、运输排班数</w:t>
            </w:r>
            <w:r>
              <w:rPr>
                <w:rFonts w:hint="eastAsia" w:ascii="宋体" w:hAnsi="宋体" w:eastAsia="宋体" w:cs="宋体"/>
                <w:color w:val="auto"/>
                <w:szCs w:val="21"/>
                <w:highlight w:val="none"/>
              </w:rPr>
              <w:t>总数等于评分基准数的得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color w:val="auto"/>
                <w:highlight w:val="none"/>
                <w:lang w:val="en-US" w:eastAsia="zh-CN"/>
              </w:rPr>
              <w:t>投入全部垃圾分类收集、运输排班数</w:t>
            </w:r>
            <w:r>
              <w:rPr>
                <w:rFonts w:hint="eastAsia" w:ascii="宋体" w:hAnsi="宋体" w:eastAsia="宋体" w:cs="宋体"/>
                <w:color w:val="auto"/>
                <w:szCs w:val="21"/>
                <w:highlight w:val="none"/>
                <w:lang w:val="en-US" w:eastAsia="zh-CN"/>
              </w:rPr>
              <w:t>总数</w:t>
            </w:r>
            <w:r>
              <w:rPr>
                <w:rFonts w:hint="eastAsia" w:ascii="宋体" w:hAnsi="宋体" w:eastAsia="宋体" w:cs="宋体"/>
                <w:color w:val="auto"/>
                <w:szCs w:val="21"/>
                <w:highlight w:val="none"/>
              </w:rPr>
              <w:t>低于评分基准数的，每</w:t>
            </w:r>
            <w:r>
              <w:rPr>
                <w:rFonts w:hint="eastAsia" w:ascii="宋体" w:hAnsi="宋体" w:eastAsia="宋体" w:cs="宋体"/>
                <w:color w:val="auto"/>
                <w:szCs w:val="21"/>
                <w:highlight w:val="none"/>
                <w:lang w:val="en-US" w:eastAsia="zh-CN"/>
              </w:rPr>
              <w:t>低于1个班扣</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最低得1分</w:t>
            </w:r>
            <w:r>
              <w:rPr>
                <w:rFonts w:hint="eastAsia" w:ascii="宋体" w:hAnsi="宋体" w:eastAsia="宋体" w:cs="宋体"/>
                <w:color w:val="auto"/>
                <w:szCs w:val="21"/>
                <w:highlight w:val="none"/>
              </w:rPr>
              <w:t>；</w:t>
            </w:r>
            <w:r>
              <w:rPr>
                <w:rFonts w:hint="eastAsia"/>
                <w:color w:val="auto"/>
                <w:highlight w:val="none"/>
                <w:lang w:val="en-US" w:eastAsia="zh-CN"/>
              </w:rPr>
              <w:t>投入全部垃圾分类收集、运输排班数</w:t>
            </w:r>
            <w:r>
              <w:rPr>
                <w:rFonts w:hint="eastAsia" w:ascii="宋体" w:hAnsi="宋体" w:eastAsia="宋体" w:cs="宋体"/>
                <w:color w:val="auto"/>
                <w:szCs w:val="21"/>
                <w:highlight w:val="none"/>
                <w:lang w:val="en-US" w:eastAsia="zh-CN"/>
              </w:rPr>
              <w:t>总数高</w:t>
            </w:r>
            <w:r>
              <w:rPr>
                <w:rFonts w:hint="eastAsia" w:ascii="宋体" w:hAnsi="宋体" w:eastAsia="宋体" w:cs="宋体"/>
                <w:color w:val="auto"/>
                <w:szCs w:val="21"/>
                <w:highlight w:val="none"/>
              </w:rPr>
              <w:t>于评分基准数的，每</w:t>
            </w:r>
            <w:r>
              <w:rPr>
                <w:rFonts w:hint="eastAsia" w:ascii="宋体" w:hAnsi="宋体" w:eastAsia="宋体" w:cs="宋体"/>
                <w:color w:val="auto"/>
                <w:szCs w:val="21"/>
                <w:highlight w:val="none"/>
                <w:lang w:val="en-US" w:eastAsia="zh-CN"/>
              </w:rPr>
              <w:t>高于1个班</w:t>
            </w:r>
            <w:r>
              <w:rPr>
                <w:rFonts w:hint="eastAsia" w:ascii="宋体" w:hAnsi="宋体" w:eastAsia="宋体" w:cs="宋体"/>
                <w:color w:val="auto"/>
                <w:szCs w:val="21"/>
                <w:highlight w:val="none"/>
              </w:rPr>
              <w:t>加0.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最高得3分</w:t>
            </w:r>
            <w:r>
              <w:rPr>
                <w:rFonts w:hint="eastAsia" w:ascii="宋体" w:hAnsi="宋体" w:eastAsia="宋体" w:cs="宋体"/>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Times New Roman" w:hAnsi="Times New Roman" w:eastAsia="宋体" w:cs="Times New Roman"/>
                <w:color w:val="auto"/>
                <w:sz w:val="21"/>
                <w:szCs w:val="24"/>
                <w:highlight w:val="none"/>
                <w:lang w:val="en-US" w:eastAsia="zh-CN"/>
              </w:rPr>
              <w:t>未提供排班数，</w:t>
            </w:r>
            <w:r>
              <w:rPr>
                <w:rFonts w:hint="eastAsia" w:ascii="Times New Roman" w:hAnsi="Times New Roman" w:eastAsia="宋体" w:cs="Times New Roman"/>
                <w:color w:val="auto"/>
                <w:kern w:val="2"/>
                <w:sz w:val="21"/>
                <w:szCs w:val="24"/>
                <w:highlight w:val="none"/>
                <w:lang w:val="en-US" w:eastAsia="zh-CN" w:bidi="ar-SA"/>
              </w:rPr>
              <w:t>不参与基准数计算且不予得分。</w:t>
            </w:r>
            <w:r>
              <w:rPr>
                <w:rFonts w:hint="eastAsia" w:ascii="Times New Roman" w:hAnsi="Times New Roman" w:eastAsia="宋体" w:cs="Times New Roman"/>
                <w:color w:val="auto"/>
                <w:sz w:val="21"/>
                <w:szCs w:val="24"/>
                <w:highlight w:val="none"/>
                <w:lang w:val="en-US" w:eastAsia="zh-CN"/>
              </w:rPr>
              <w:t>如排班数总数高于</w:t>
            </w:r>
            <w:r>
              <w:rPr>
                <w:rFonts w:hint="eastAsia" w:ascii="Times New Roman" w:hAnsi="Times New Roman" w:eastAsia="宋体" w:cs="Times New Roman"/>
                <w:color w:val="auto"/>
                <w:sz w:val="21"/>
                <w:szCs w:val="24"/>
                <w:highlight w:val="none"/>
              </w:rPr>
              <w:t>评分基准</w:t>
            </w:r>
            <w:r>
              <w:rPr>
                <w:rFonts w:hint="eastAsia" w:ascii="Times New Roman" w:hAnsi="Times New Roman" w:eastAsia="宋体" w:cs="Times New Roman"/>
                <w:color w:val="auto"/>
                <w:sz w:val="21"/>
                <w:szCs w:val="24"/>
                <w:highlight w:val="none"/>
                <w:lang w:val="en-US" w:eastAsia="zh-CN"/>
              </w:rPr>
              <w:t>数30%以上的（四舍五入</w:t>
            </w:r>
            <w:r>
              <w:rPr>
                <w:rFonts w:hint="eastAsia" w:ascii="Times New Roman" w:hAnsi="Times New Roman" w:eastAsia="宋体" w:cs="Times New Roman"/>
                <w:color w:val="auto"/>
                <w:sz w:val="21"/>
                <w:szCs w:val="24"/>
                <w:highlight w:val="none"/>
              </w:rPr>
              <w:t>取整数</w:t>
            </w:r>
            <w:r>
              <w:rPr>
                <w:rFonts w:hint="eastAsia" w:ascii="Times New Roman" w:hAnsi="Times New Roman" w:eastAsia="宋体" w:cs="Times New Roman"/>
                <w:color w:val="auto"/>
                <w:sz w:val="21"/>
                <w:szCs w:val="24"/>
                <w:highlight w:val="none"/>
                <w:lang w:val="en-US" w:eastAsia="zh-CN"/>
              </w:rPr>
              <w:t>），则该项只得基准分为2分（如与第3条计算得分不一致的，以本条得分为准）。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9" w:hRule="atLeast"/>
          <w:jc w:val="center"/>
        </w:trPr>
        <w:tc>
          <w:tcPr>
            <w:tcW w:w="695" w:type="dxa"/>
            <w:vMerge w:val="continue"/>
            <w:noWrap w:val="0"/>
            <w:vAlign w:val="center"/>
          </w:tcPr>
          <w:p>
            <w:pPr>
              <w:jc w:val="center"/>
              <w:rPr>
                <w:rFonts w:hint="eastAsia" w:ascii="宋体" w:hAnsi="宋体" w:eastAsia="宋体" w:cs="宋体"/>
                <w:color w:val="auto"/>
                <w:szCs w:val="21"/>
                <w:highlight w:val="none"/>
                <w:lang w:val="en-US" w:eastAsia="zh-CN"/>
              </w:rPr>
            </w:pPr>
          </w:p>
        </w:tc>
        <w:tc>
          <w:tcPr>
            <w:tcW w:w="1965" w:type="dxa"/>
            <w:tcBorders>
              <w:top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环卫驿站维养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公厕</w:t>
            </w:r>
            <w:r>
              <w:rPr>
                <w:rFonts w:hint="eastAsia" w:ascii="宋体" w:hAnsi="宋体" w:eastAsia="宋体" w:cs="宋体"/>
                <w:color w:val="auto"/>
                <w:szCs w:val="21"/>
                <w:highlight w:val="none"/>
                <w:lang w:eastAsia="zh-CN"/>
              </w:rPr>
              <w:t>维</w:t>
            </w:r>
            <w:r>
              <w:rPr>
                <w:rFonts w:hint="eastAsia" w:ascii="宋体" w:hAnsi="宋体" w:eastAsia="宋体" w:cs="宋体"/>
                <w:color w:val="auto"/>
                <w:szCs w:val="21"/>
                <w:highlight w:val="none"/>
              </w:rPr>
              <w:t>养、化粪池抽运</w:t>
            </w:r>
            <w:r>
              <w:rPr>
                <w:rFonts w:hint="eastAsia" w:ascii="宋体" w:hAnsi="宋体" w:eastAsia="宋体" w:cs="宋体"/>
                <w:color w:val="auto"/>
                <w:szCs w:val="21"/>
                <w:highlight w:val="none"/>
                <w:lang w:eastAsia="zh-CN"/>
              </w:rPr>
              <w:t>方案</w:t>
            </w:r>
          </w:p>
        </w:tc>
        <w:tc>
          <w:tcPr>
            <w:tcW w:w="1146"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180" w:type="dxa"/>
            <w:noWrap w:val="0"/>
            <w:vAlign w:val="center"/>
          </w:tcPr>
          <w:p>
            <w:pPr>
              <w:numPr>
                <w:ilvl w:val="0"/>
                <w:numId w:val="42"/>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环卫驿站维养、公厕维养、化粪池抽运方案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科学、合理</w:t>
            </w:r>
            <w:r>
              <w:rPr>
                <w:rFonts w:hint="eastAsia" w:ascii="宋体" w:hAnsi="宋体" w:eastAsia="宋体" w:cs="宋体"/>
                <w:color w:val="auto"/>
                <w:szCs w:val="21"/>
                <w:highlight w:val="none"/>
              </w:rPr>
              <w:t>、可行性强，</w:t>
            </w:r>
            <w:r>
              <w:rPr>
                <w:rFonts w:hint="eastAsia" w:ascii="宋体" w:hAnsi="宋体" w:eastAsia="宋体" w:cs="宋体"/>
                <w:color w:val="auto"/>
                <w:szCs w:val="21"/>
                <w:highlight w:val="none"/>
                <w:lang w:val="en-US" w:eastAsia="zh-CN"/>
              </w:rPr>
              <w:t>公厕的保洁管理制度符合相关要求，公厕的维养符合相关要求，高于招标文件规定的质量标准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numPr>
                <w:ilvl w:val="0"/>
                <w:numId w:val="42"/>
              </w:numPr>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环卫驿站维养、公厕维养、化粪池抽运方案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较科学、较合理</w:t>
            </w:r>
            <w:r>
              <w:rPr>
                <w:rFonts w:hint="eastAsia" w:ascii="宋体" w:hAnsi="宋体" w:eastAsia="宋体" w:cs="宋体"/>
                <w:color w:val="auto"/>
                <w:szCs w:val="21"/>
                <w:highlight w:val="none"/>
              </w:rPr>
              <w:t>、可行性</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强，</w:t>
            </w:r>
            <w:r>
              <w:rPr>
                <w:rFonts w:hint="eastAsia" w:ascii="宋体" w:hAnsi="宋体" w:eastAsia="宋体" w:cs="宋体"/>
                <w:color w:val="auto"/>
                <w:szCs w:val="21"/>
                <w:highlight w:val="none"/>
                <w:lang w:val="en-US" w:eastAsia="zh-CN"/>
              </w:rPr>
              <w:t>公厕的保洁管理制度基本符合相关要求，公厕的维养基本符合相关要求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numPr>
                <w:ilvl w:val="0"/>
                <w:numId w:val="42"/>
              </w:numPr>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环卫驿站维养、公厕维养、化粪池抽运方案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不科学、不合理</w:t>
            </w:r>
            <w:r>
              <w:rPr>
                <w:rFonts w:hint="eastAsia" w:ascii="宋体" w:hAnsi="宋体" w:eastAsia="宋体" w:cs="宋体"/>
                <w:color w:val="auto"/>
                <w:szCs w:val="21"/>
                <w:highlight w:val="none"/>
              </w:rPr>
              <w:t>、可行性</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强，</w:t>
            </w:r>
            <w:r>
              <w:rPr>
                <w:rFonts w:hint="eastAsia" w:ascii="宋体" w:hAnsi="宋体" w:eastAsia="宋体" w:cs="宋体"/>
                <w:color w:val="auto"/>
                <w:szCs w:val="21"/>
                <w:highlight w:val="none"/>
                <w:lang w:val="en-US" w:eastAsia="zh-CN"/>
              </w:rPr>
              <w:t>公厕的保洁管理制度不符合相关要求，公厕的维养不符合相关要求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numPr>
                <w:ilvl w:val="0"/>
                <w:numId w:val="42"/>
              </w:numPr>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未提供</w:t>
            </w:r>
            <w:r>
              <w:rPr>
                <w:rFonts w:hint="eastAsia" w:ascii="宋体" w:hAnsi="宋体" w:eastAsia="宋体" w:cs="宋体"/>
                <w:color w:val="auto"/>
                <w:szCs w:val="21"/>
                <w:highlight w:val="none"/>
              </w:rPr>
              <w:t>环卫驿站维养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公厕</w:t>
            </w:r>
            <w:r>
              <w:rPr>
                <w:rFonts w:hint="eastAsia" w:ascii="宋体" w:hAnsi="宋体" w:eastAsia="宋体" w:cs="宋体"/>
                <w:color w:val="auto"/>
                <w:szCs w:val="21"/>
                <w:highlight w:val="none"/>
                <w:lang w:eastAsia="zh-CN"/>
              </w:rPr>
              <w:t>维</w:t>
            </w:r>
            <w:r>
              <w:rPr>
                <w:rFonts w:hint="eastAsia" w:ascii="宋体" w:hAnsi="宋体" w:eastAsia="宋体" w:cs="宋体"/>
                <w:color w:val="auto"/>
                <w:szCs w:val="21"/>
                <w:highlight w:val="none"/>
              </w:rPr>
              <w:t>养、化粪池抽运</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84" w:hRule="atLeast"/>
          <w:jc w:val="center"/>
        </w:trPr>
        <w:tc>
          <w:tcPr>
            <w:tcW w:w="695" w:type="dxa"/>
            <w:vMerge w:val="continue"/>
            <w:noWrap w:val="0"/>
            <w:vAlign w:val="center"/>
          </w:tcPr>
          <w:p>
            <w:pPr>
              <w:jc w:val="center"/>
              <w:rPr>
                <w:rFonts w:hint="eastAsia" w:ascii="宋体" w:hAnsi="宋体" w:eastAsia="宋体" w:cs="宋体"/>
                <w:color w:val="auto"/>
                <w:szCs w:val="21"/>
                <w:highlight w:val="none"/>
                <w:lang w:val="en-US" w:eastAsia="zh-CN"/>
              </w:rPr>
            </w:pPr>
          </w:p>
        </w:tc>
        <w:tc>
          <w:tcPr>
            <w:tcW w:w="1965" w:type="dxa"/>
            <w:noWrap w:val="0"/>
            <w:vAlign w:val="center"/>
          </w:tcPr>
          <w:p>
            <w:pPr>
              <w:spacing w:line="26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投入</w:t>
            </w:r>
            <w:r>
              <w:rPr>
                <w:rFonts w:hint="eastAsia" w:ascii="宋体" w:hAnsi="宋体" w:eastAsia="宋体" w:cs="宋体"/>
                <w:color w:val="auto"/>
                <w:sz w:val="21"/>
                <w:szCs w:val="21"/>
                <w:highlight w:val="none"/>
                <w:lang w:val="en-US" w:eastAsia="zh-CN"/>
              </w:rPr>
              <w:t>本项目现场</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人数</w:t>
            </w:r>
          </w:p>
        </w:tc>
        <w:tc>
          <w:tcPr>
            <w:tcW w:w="1146" w:type="dxa"/>
            <w:noWrap w:val="0"/>
            <w:vAlign w:val="center"/>
          </w:tcPr>
          <w:p>
            <w:pPr>
              <w:spacing w:line="26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c>
          <w:tcPr>
            <w:tcW w:w="5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eastAsia="zh-CN"/>
              </w:rPr>
              <w:t>根据</w:t>
            </w:r>
            <w:r>
              <w:rPr>
                <w:rFonts w:hint="eastAsia"/>
                <w:color w:val="auto"/>
                <w:highlight w:val="none"/>
                <w:lang w:val="en-US" w:eastAsia="zh-CN"/>
              </w:rPr>
              <w:t>投标供应商</w:t>
            </w:r>
            <w:r>
              <w:rPr>
                <w:rFonts w:hint="eastAsia"/>
                <w:color w:val="auto"/>
                <w:highlight w:val="none"/>
              </w:rPr>
              <w:t>投入本项目</w:t>
            </w:r>
            <w:r>
              <w:rPr>
                <w:rFonts w:hint="eastAsia" w:ascii="宋体" w:hAnsi="宋体" w:eastAsia="宋体" w:cs="宋体"/>
                <w:color w:val="auto"/>
                <w:sz w:val="21"/>
                <w:szCs w:val="21"/>
                <w:highlight w:val="none"/>
                <w:lang w:val="en-US" w:eastAsia="zh-CN"/>
              </w:rPr>
              <w:t>现场</w:t>
            </w:r>
            <w:r>
              <w:rPr>
                <w:rFonts w:hint="eastAsia"/>
                <w:color w:val="auto"/>
                <w:highlight w:val="none"/>
              </w:rPr>
              <w:t>管理人员</w:t>
            </w:r>
            <w:r>
              <w:rPr>
                <w:rFonts w:hint="eastAsia" w:ascii="宋体" w:hAnsi="宋体" w:eastAsia="宋体" w:cs="宋体"/>
                <w:color w:val="auto"/>
                <w:szCs w:val="21"/>
                <w:highlight w:val="none"/>
                <w:lang w:val="en-US" w:eastAsia="zh-CN"/>
              </w:rPr>
              <w:t>总数，</w:t>
            </w:r>
            <w:r>
              <w:rPr>
                <w:rFonts w:hint="eastAsia" w:ascii="宋体" w:hAnsi="宋体" w:eastAsia="宋体" w:cs="宋体"/>
                <w:color w:val="auto"/>
                <w:szCs w:val="21"/>
                <w:highlight w:val="none"/>
              </w:rPr>
              <w:t>计算出评分基准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数【</w:t>
            </w:r>
            <w:r>
              <w:rPr>
                <w:rFonts w:hint="eastAsia"/>
                <w:color w:val="auto"/>
                <w:highlight w:val="none"/>
                <w:lang w:val="en-US" w:eastAsia="zh-CN"/>
              </w:rPr>
              <w:t>注：</w:t>
            </w:r>
            <w:r>
              <w:rPr>
                <w:rFonts w:hint="eastAsia"/>
                <w:color w:val="auto"/>
                <w:highlight w:val="none"/>
              </w:rPr>
              <w:t>评分基准数</w:t>
            </w:r>
            <w:r>
              <w:rPr>
                <w:rFonts w:hint="eastAsia"/>
                <w:color w:val="auto"/>
                <w:highlight w:val="none"/>
                <w:lang w:val="en-US" w:eastAsia="zh-CN"/>
              </w:rPr>
              <w:t>为</w:t>
            </w:r>
            <w:r>
              <w:rPr>
                <w:rFonts w:hint="eastAsia"/>
                <w:color w:val="auto"/>
                <w:sz w:val="21"/>
                <w:szCs w:val="21"/>
                <w:highlight w:val="none"/>
                <w:lang w:val="en-US" w:eastAsia="zh-CN"/>
              </w:rPr>
              <w:t>有效投标供应商小于等于10家时，各有效投标供应商投入</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w:t>
            </w:r>
            <w:r>
              <w:rPr>
                <w:rFonts w:hint="eastAsia"/>
                <w:color w:val="auto"/>
                <w:sz w:val="21"/>
                <w:szCs w:val="21"/>
                <w:highlight w:val="none"/>
                <w:lang w:val="en-US" w:eastAsia="zh-CN"/>
              </w:rPr>
              <w:t>总数去掉一个最高值及一个最低值后的算术平均值（四舍五入取整数）；有效投标供应商大于10家且小于等于20家时，</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w:t>
            </w:r>
            <w:r>
              <w:rPr>
                <w:rFonts w:hint="eastAsia"/>
                <w:color w:val="auto"/>
                <w:sz w:val="21"/>
                <w:szCs w:val="21"/>
                <w:highlight w:val="none"/>
                <w:lang w:val="en-US" w:eastAsia="zh-CN"/>
              </w:rPr>
              <w:t>总数按排序去掉三个高值及三个低值后的算术平均值（四舍五入取整数）；有效投标供应商大于20家且小于等于30家时，</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w:t>
            </w:r>
            <w:r>
              <w:rPr>
                <w:rFonts w:hint="eastAsia"/>
                <w:color w:val="auto"/>
                <w:sz w:val="21"/>
                <w:szCs w:val="21"/>
                <w:highlight w:val="none"/>
                <w:lang w:val="en-US" w:eastAsia="zh-CN"/>
              </w:rPr>
              <w:t>总数按排序去掉五个高值及五个低值后的算术平均值（四舍五入取整数）；有效投标供应商大于30家时，</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w:t>
            </w:r>
            <w:r>
              <w:rPr>
                <w:rFonts w:hint="eastAsia"/>
                <w:color w:val="auto"/>
                <w:sz w:val="21"/>
                <w:szCs w:val="21"/>
                <w:highlight w:val="none"/>
                <w:lang w:val="en-US" w:eastAsia="zh-CN"/>
              </w:rPr>
              <w:t>总数按排序去掉八个高值及八个低值后的算术平均值（四舍五入取整数）；有效投标供应商≤3家时，直接取平均值（四舍五入取整数</w:t>
            </w:r>
            <w:r>
              <w:rPr>
                <w:rFonts w:hint="eastAsia" w:ascii="宋体" w:hAnsi="宋体" w:eastAsia="宋体" w:cs="宋体"/>
                <w:color w:val="auto"/>
                <w:szCs w:val="21"/>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2、投入</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管理人员总数等于评分基准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数的得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3、投入</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管理人员低于评分基准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数的，每少</w:t>
            </w:r>
            <w:r>
              <w:rPr>
                <w:rFonts w:hint="eastAsia" w:ascii="宋体" w:hAnsi="宋体" w:eastAsia="宋体" w:cs="宋体"/>
                <w:color w:val="auto"/>
                <w:szCs w:val="21"/>
                <w:highlight w:val="none"/>
                <w:lang w:val="en-US" w:eastAsia="zh-CN"/>
              </w:rPr>
              <w:t>1人扣</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最低得3分</w:t>
            </w:r>
            <w:r>
              <w:rPr>
                <w:rFonts w:hint="eastAsia" w:ascii="宋体" w:hAnsi="宋体" w:eastAsia="宋体" w:cs="宋体"/>
                <w:color w:val="auto"/>
                <w:szCs w:val="21"/>
                <w:highlight w:val="none"/>
              </w:rPr>
              <w:t>；投入</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Cs w:val="21"/>
                <w:highlight w:val="none"/>
              </w:rPr>
              <w:t>管理人员</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于评分基准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数的，每</w:t>
            </w:r>
            <w:r>
              <w:rPr>
                <w:rFonts w:hint="eastAsia" w:ascii="宋体" w:hAnsi="宋体" w:eastAsia="宋体" w:cs="宋体"/>
                <w:color w:val="auto"/>
                <w:szCs w:val="21"/>
                <w:highlight w:val="none"/>
                <w:lang w:val="en-US" w:eastAsia="zh-CN"/>
              </w:rPr>
              <w:t>多1人</w:t>
            </w:r>
            <w:r>
              <w:rPr>
                <w:rFonts w:hint="eastAsia" w:ascii="宋体" w:hAnsi="宋体" w:eastAsia="宋体" w:cs="宋体"/>
                <w:color w:val="auto"/>
                <w:szCs w:val="21"/>
                <w:highlight w:val="none"/>
              </w:rPr>
              <w:t>加0.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最高得5分</w:t>
            </w:r>
            <w:r>
              <w:rPr>
                <w:rFonts w:hint="eastAsia" w:ascii="宋体" w:hAnsi="宋体" w:eastAsia="宋体" w:cs="宋体"/>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宋体" w:hAnsi="宋体"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4、如未投入现场管理人员，</w:t>
            </w:r>
            <w:r>
              <w:rPr>
                <w:rFonts w:hint="eastAsia" w:ascii="宋体" w:hAnsi="宋体" w:eastAsia="宋体" w:cs="宋体"/>
                <w:color w:val="auto"/>
                <w:kern w:val="2"/>
                <w:sz w:val="21"/>
                <w:szCs w:val="21"/>
                <w:highlight w:val="none"/>
                <w:lang w:val="en-US" w:eastAsia="zh-CN" w:bidi="ar-SA"/>
              </w:rPr>
              <w:t>不参与基准数计算且不予得分。</w:t>
            </w:r>
            <w:r>
              <w:rPr>
                <w:rFonts w:hint="eastAsia" w:ascii="Times New Roman" w:hAnsi="Times New Roman" w:eastAsia="宋体" w:cs="Times New Roman"/>
                <w:color w:val="auto"/>
                <w:sz w:val="21"/>
                <w:szCs w:val="24"/>
                <w:highlight w:val="none"/>
                <w:lang w:val="en-US" w:eastAsia="zh-CN"/>
              </w:rPr>
              <w:t>如现场管理人员总数高于</w:t>
            </w:r>
            <w:r>
              <w:rPr>
                <w:rFonts w:hint="eastAsia" w:ascii="Times New Roman" w:hAnsi="Times New Roman" w:eastAsia="宋体" w:cs="Times New Roman"/>
                <w:color w:val="auto"/>
                <w:sz w:val="21"/>
                <w:szCs w:val="24"/>
                <w:highlight w:val="none"/>
              </w:rPr>
              <w:t>评分基准</w:t>
            </w:r>
            <w:r>
              <w:rPr>
                <w:rFonts w:hint="eastAsia" w:ascii="Times New Roman" w:hAnsi="Times New Roman" w:eastAsia="宋体" w:cs="Times New Roman"/>
                <w:color w:val="auto"/>
                <w:sz w:val="21"/>
                <w:szCs w:val="24"/>
                <w:highlight w:val="none"/>
                <w:lang w:val="en-US" w:eastAsia="zh-CN"/>
              </w:rPr>
              <w:t>数30%以上的（四舍五入</w:t>
            </w:r>
            <w:r>
              <w:rPr>
                <w:rFonts w:hint="eastAsia" w:ascii="Times New Roman" w:hAnsi="Times New Roman" w:eastAsia="宋体" w:cs="Times New Roman"/>
                <w:color w:val="auto"/>
                <w:sz w:val="21"/>
                <w:szCs w:val="24"/>
                <w:highlight w:val="none"/>
              </w:rPr>
              <w:t>取整数</w:t>
            </w:r>
            <w:r>
              <w:rPr>
                <w:rFonts w:hint="eastAsia" w:ascii="Times New Roman" w:hAnsi="Times New Roman" w:eastAsia="宋体" w:cs="Times New Roman"/>
                <w:color w:val="auto"/>
                <w:sz w:val="21"/>
                <w:szCs w:val="24"/>
                <w:highlight w:val="none"/>
                <w:lang w:val="en-US" w:eastAsia="zh-CN"/>
              </w:rPr>
              <w:t>），则该项只得基准分为4分（如与第3条计算得分不一致的，以本条得分为准）。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47" w:hRule="atLeast"/>
          <w:jc w:val="center"/>
        </w:trPr>
        <w:tc>
          <w:tcPr>
            <w:tcW w:w="695"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965"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所投标段投入的清扫冲洗车辆（多功能清扫车、高压冲洗（洒水）车）</w:t>
            </w:r>
          </w:p>
        </w:tc>
        <w:tc>
          <w:tcPr>
            <w:tcW w:w="1146"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分</w:t>
            </w:r>
          </w:p>
        </w:tc>
        <w:tc>
          <w:tcPr>
            <w:tcW w:w="518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一、多功能清扫车：</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在满足招标文件最低配置数量要求的前提下，增加投入</w:t>
            </w:r>
            <w:r>
              <w:rPr>
                <w:rFonts w:hint="eastAsia" w:ascii="宋体" w:hAnsi="宋体" w:eastAsia="宋体" w:cs="宋体"/>
                <w:color w:val="auto"/>
                <w:szCs w:val="21"/>
                <w:highlight w:val="none"/>
              </w:rPr>
              <w:t>已有自有车辆（根据行驶证中使用年份在3年内）多功能清扫车每1辆得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在满足招标文件最低配置数量要求的前提下，增加投入</w:t>
            </w:r>
            <w:r>
              <w:rPr>
                <w:rFonts w:hint="eastAsia" w:ascii="宋体" w:hAnsi="宋体" w:eastAsia="宋体" w:cs="宋体"/>
                <w:color w:val="auto"/>
                <w:szCs w:val="21"/>
                <w:highlight w:val="none"/>
              </w:rPr>
              <w:t>已有自有车辆（根据行驶证中使用年份在3年至6年内）或承诺购买新车投入多功能清扫车每1辆得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在满足招标文件最低配置数量要求的前提下，增加投入</w:t>
            </w:r>
            <w:r>
              <w:rPr>
                <w:rFonts w:hint="eastAsia" w:ascii="宋体" w:hAnsi="宋体" w:eastAsia="宋体" w:cs="宋体"/>
                <w:color w:val="auto"/>
                <w:szCs w:val="21"/>
                <w:highlight w:val="none"/>
              </w:rPr>
              <w:t>已有自有车辆（使用年份在6年以</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的提供车管所使用证明）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投入多功能清扫车每1辆得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本项最高得</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二、高压冲洗（洒水）车：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在满足招标文件最低配置数量要求的前提下，增加投入</w:t>
            </w:r>
            <w:r>
              <w:rPr>
                <w:rFonts w:hint="eastAsia" w:ascii="宋体" w:hAnsi="宋体" w:eastAsia="宋体" w:cs="宋体"/>
                <w:color w:val="auto"/>
                <w:szCs w:val="21"/>
                <w:highlight w:val="none"/>
              </w:rPr>
              <w:t>已有自有车辆（根据行驶证中使用年份在3年内）高压冲洗（洒水）每1辆得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在满足招标文件最低配置数量要求的前提下，增加投入</w:t>
            </w:r>
            <w:r>
              <w:rPr>
                <w:rFonts w:hint="eastAsia" w:ascii="宋体" w:hAnsi="宋体" w:eastAsia="宋体" w:cs="宋体"/>
                <w:color w:val="auto"/>
                <w:szCs w:val="21"/>
                <w:highlight w:val="none"/>
              </w:rPr>
              <w:t>已有自有车辆（根据行驶证中使用年份在3年至6年内）或承诺购买新车投入高压冲洗（洒水）每1辆得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在满足招标文件最低配置数量要求的前提下，增加投入</w:t>
            </w:r>
            <w:r>
              <w:rPr>
                <w:rFonts w:hint="eastAsia" w:ascii="宋体" w:hAnsi="宋体" w:eastAsia="宋体" w:cs="宋体"/>
                <w:color w:val="auto"/>
                <w:szCs w:val="21"/>
                <w:highlight w:val="none"/>
              </w:rPr>
              <w:t>已有自有车辆（使用年份在6年以</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的提供车管所使用证明）高压冲洗（洒水）每1辆得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本项最高得</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p>
          <w:p>
            <w:pPr>
              <w:numPr>
                <w:ilvl w:val="0"/>
                <w:numId w:val="0"/>
              </w:numPr>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根据投标人提供的购车发票金额或者承诺购买的车辆价位高低分档进行打分</w:t>
            </w:r>
            <w:r>
              <w:rPr>
                <w:rFonts w:hint="eastAsia" w:ascii="宋体" w:hAnsi="宋体" w:eastAsia="宋体" w:cs="宋体"/>
                <w:color w:val="auto"/>
                <w:szCs w:val="21"/>
                <w:highlight w:val="none"/>
                <w:lang w:val="en-US" w:eastAsia="zh-CN"/>
              </w:rPr>
              <w:t>。</w:t>
            </w:r>
          </w:p>
          <w:p>
            <w:pPr>
              <w:numPr>
                <w:ilvl w:val="0"/>
                <w:numId w:val="0"/>
              </w:numPr>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1、投标供应商提供的</w:t>
            </w:r>
            <w:r>
              <w:rPr>
                <w:rFonts w:hint="eastAsia" w:ascii="宋体" w:hAnsi="宋体" w:eastAsia="宋体" w:cs="宋体"/>
                <w:color w:val="auto"/>
                <w:szCs w:val="21"/>
                <w:highlight w:val="none"/>
              </w:rPr>
              <w:t>购车发票金额或者承诺购买的车辆价位</w:t>
            </w:r>
            <w:r>
              <w:rPr>
                <w:rFonts w:hint="eastAsia" w:ascii="宋体" w:hAnsi="宋体" w:eastAsia="宋体" w:cs="宋体"/>
                <w:color w:val="auto"/>
                <w:szCs w:val="21"/>
                <w:highlight w:val="none"/>
                <w:lang w:val="en-US" w:eastAsia="zh-CN"/>
              </w:rPr>
              <w:t>较高的，得1分；</w:t>
            </w:r>
          </w:p>
          <w:p>
            <w:pPr>
              <w:numPr>
                <w:ilvl w:val="0"/>
                <w:numId w:val="0"/>
              </w:numPr>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2、投标供应商提供的</w:t>
            </w:r>
            <w:r>
              <w:rPr>
                <w:rFonts w:hint="eastAsia" w:ascii="宋体" w:hAnsi="宋体" w:eastAsia="宋体" w:cs="宋体"/>
                <w:color w:val="auto"/>
                <w:szCs w:val="21"/>
                <w:highlight w:val="none"/>
              </w:rPr>
              <w:t>购车发票金额或者承诺购买的车辆价位</w:t>
            </w:r>
            <w:r>
              <w:rPr>
                <w:rFonts w:hint="eastAsia" w:ascii="宋体" w:hAnsi="宋体" w:eastAsia="宋体" w:cs="宋体"/>
                <w:color w:val="auto"/>
                <w:szCs w:val="21"/>
                <w:highlight w:val="none"/>
                <w:lang w:val="en-US" w:eastAsia="zh-CN"/>
              </w:rPr>
              <w:t>一般的，得0.6分；</w:t>
            </w:r>
          </w:p>
          <w:p>
            <w:pPr>
              <w:numPr>
                <w:ilvl w:val="0"/>
                <w:numId w:val="0"/>
              </w:numPr>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3、投标供应商提供的</w:t>
            </w:r>
            <w:r>
              <w:rPr>
                <w:rFonts w:hint="eastAsia" w:ascii="宋体" w:hAnsi="宋体" w:eastAsia="宋体" w:cs="宋体"/>
                <w:color w:val="auto"/>
                <w:szCs w:val="21"/>
                <w:highlight w:val="none"/>
              </w:rPr>
              <w:t>购车发票金额或者承诺购买的车辆价位</w:t>
            </w:r>
            <w:r>
              <w:rPr>
                <w:rFonts w:hint="eastAsia" w:ascii="宋体" w:hAnsi="宋体" w:eastAsia="宋体" w:cs="宋体"/>
                <w:color w:val="auto"/>
                <w:szCs w:val="21"/>
                <w:highlight w:val="none"/>
                <w:lang w:val="en-US" w:eastAsia="zh-CN"/>
              </w:rPr>
              <w:t>较低的，得0.3分。</w:t>
            </w:r>
          </w:p>
          <w:p>
            <w:pPr>
              <w:numPr>
                <w:ilvl w:val="0"/>
                <w:numId w:val="0"/>
              </w:numPr>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自有车辆购车发票（提供复印件），否则不予计分。</w:t>
            </w:r>
            <w:r>
              <w:rPr>
                <w:rFonts w:hint="eastAsia" w:ascii="宋体" w:hAnsi="宋体" w:eastAsia="宋体" w:cs="宋体"/>
                <w:b/>
                <w:bCs/>
                <w:color w:val="auto"/>
                <w:szCs w:val="21"/>
                <w:highlight w:val="none"/>
              </w:rPr>
              <w:t>本项最高得1分。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一、二、三项合计总分不超过</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分。</w:t>
            </w:r>
          </w:p>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已有自有车辆须提供行驶证复印件，使用年份以行驶证为准，否则该车辆不予计分。</w:t>
            </w:r>
            <w:r>
              <w:rPr>
                <w:rFonts w:hint="eastAsia" w:ascii="宋体" w:hAnsi="宋体" w:eastAsia="宋体" w:cs="宋体"/>
                <w:color w:val="auto"/>
                <w:szCs w:val="21"/>
                <w:highlight w:val="none"/>
                <w:lang w:val="en-US" w:eastAsia="zh-CN"/>
              </w:rPr>
              <w:t>2、投标人已有自有的车辆，先计入最低配置数量要求的车辆中。满足最低配置数量要求，再增加的已有自有车辆或承诺购买新车按上述评分内容进行评分。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695"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965"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所投标段投入的其它专用作业机具（电动高压冲洗车、</w:t>
            </w:r>
            <w:r>
              <w:rPr>
                <w:rFonts w:hint="eastAsia" w:ascii="宋体" w:hAnsi="宋体" w:eastAsia="宋体" w:cs="宋体"/>
                <w:color w:val="auto"/>
                <w:szCs w:val="21"/>
                <w:highlight w:val="none"/>
                <w:lang w:eastAsia="zh-CN"/>
              </w:rPr>
              <w:t>电动小型</w:t>
            </w:r>
            <w:r>
              <w:rPr>
                <w:rFonts w:hint="eastAsia" w:ascii="宋体" w:hAnsi="宋体" w:eastAsia="宋体" w:cs="宋体"/>
                <w:color w:val="auto"/>
                <w:szCs w:val="21"/>
                <w:highlight w:val="none"/>
                <w:lang w:val="en-US" w:eastAsia="zh-CN"/>
              </w:rPr>
              <w:t>快速</w:t>
            </w:r>
            <w:r>
              <w:rPr>
                <w:rFonts w:hint="eastAsia" w:ascii="宋体" w:hAnsi="宋体" w:eastAsia="宋体" w:cs="宋体"/>
                <w:color w:val="auto"/>
                <w:szCs w:val="21"/>
                <w:highlight w:val="none"/>
                <w:lang w:eastAsia="zh-CN"/>
              </w:rPr>
              <w:t>保洁车</w:t>
            </w:r>
            <w:r>
              <w:rPr>
                <w:rFonts w:hint="eastAsia" w:ascii="宋体" w:hAnsi="宋体" w:eastAsia="宋体" w:cs="宋体"/>
                <w:color w:val="auto"/>
                <w:szCs w:val="21"/>
                <w:highlight w:val="none"/>
              </w:rPr>
              <w:t>）</w:t>
            </w:r>
          </w:p>
        </w:tc>
        <w:tc>
          <w:tcPr>
            <w:tcW w:w="1146"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分</w:t>
            </w:r>
          </w:p>
        </w:tc>
        <w:tc>
          <w:tcPr>
            <w:tcW w:w="5180" w:type="dxa"/>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电动高压冲洗车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1、根据各投标人拟投入的电动高压冲洗车的总数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计算出评分基准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评分基准</w:t>
            </w:r>
            <w:r>
              <w:rPr>
                <w:rFonts w:hint="eastAsia" w:ascii="宋体" w:hAnsi="宋体" w:eastAsia="宋体" w:cs="宋体"/>
                <w:color w:val="auto"/>
                <w:szCs w:val="21"/>
                <w:highlight w:val="none"/>
                <w:lang w:val="en-US" w:eastAsia="zh-CN"/>
              </w:rPr>
              <w:t>值为</w:t>
            </w:r>
            <w:r>
              <w:rPr>
                <w:rFonts w:hint="eastAsia"/>
                <w:color w:val="auto"/>
                <w:sz w:val="21"/>
                <w:szCs w:val="21"/>
                <w:highlight w:val="none"/>
                <w:lang w:val="en-US" w:eastAsia="zh-CN"/>
              </w:rPr>
              <w:t>有效投标供应商小于等于10家时，各有效投标供应商</w:t>
            </w:r>
            <w:r>
              <w:rPr>
                <w:rFonts w:hint="eastAsia" w:ascii="宋体" w:hAnsi="宋体" w:eastAsia="宋体" w:cs="宋体"/>
                <w:color w:val="auto"/>
                <w:szCs w:val="21"/>
                <w:highlight w:val="none"/>
              </w:rPr>
              <w:t>拟投入电动高压冲洗车的总数</w:t>
            </w:r>
            <w:r>
              <w:rPr>
                <w:rFonts w:hint="eastAsia"/>
                <w:color w:val="auto"/>
                <w:sz w:val="21"/>
                <w:szCs w:val="21"/>
                <w:highlight w:val="none"/>
                <w:lang w:val="en-US" w:eastAsia="zh-CN"/>
              </w:rPr>
              <w:t>去掉一个最高值及一个最低值后的算术平均值（四舍五入取整数）；有效投标供应商大于10家且小于等于20家时，</w:t>
            </w:r>
            <w:r>
              <w:rPr>
                <w:rFonts w:hint="eastAsia" w:ascii="宋体" w:hAnsi="宋体" w:eastAsia="宋体" w:cs="宋体"/>
                <w:color w:val="auto"/>
                <w:szCs w:val="21"/>
                <w:highlight w:val="none"/>
              </w:rPr>
              <w:t>拟投入电动高压冲洗车的总数</w:t>
            </w:r>
            <w:r>
              <w:rPr>
                <w:rFonts w:hint="eastAsia"/>
                <w:color w:val="auto"/>
                <w:sz w:val="21"/>
                <w:szCs w:val="21"/>
                <w:highlight w:val="none"/>
                <w:lang w:val="en-US" w:eastAsia="zh-CN"/>
              </w:rPr>
              <w:t>按排序去掉三个高值及三个低值后的算术平均值（四舍五入取整数）；有效投标供应商大于20家且小于等于30家时，</w:t>
            </w:r>
            <w:r>
              <w:rPr>
                <w:rFonts w:hint="eastAsia" w:ascii="宋体" w:hAnsi="宋体" w:eastAsia="宋体" w:cs="宋体"/>
                <w:color w:val="auto"/>
                <w:szCs w:val="21"/>
                <w:highlight w:val="none"/>
              </w:rPr>
              <w:t>拟投入电动高压冲洗车的总数</w:t>
            </w:r>
            <w:r>
              <w:rPr>
                <w:rFonts w:hint="eastAsia"/>
                <w:color w:val="auto"/>
                <w:sz w:val="21"/>
                <w:szCs w:val="21"/>
                <w:highlight w:val="none"/>
                <w:lang w:val="en-US" w:eastAsia="zh-CN"/>
              </w:rPr>
              <w:t>按排序去掉五个高值及五个低值后的算术平均值（四舍五入取整数）；有效投标供应商大于30家时，</w:t>
            </w:r>
            <w:r>
              <w:rPr>
                <w:rFonts w:hint="eastAsia" w:ascii="宋体" w:hAnsi="宋体" w:eastAsia="宋体" w:cs="宋体"/>
                <w:color w:val="auto"/>
                <w:szCs w:val="21"/>
                <w:highlight w:val="none"/>
              </w:rPr>
              <w:t>拟投入电动高压冲洗车的总数</w:t>
            </w:r>
            <w:r>
              <w:rPr>
                <w:rFonts w:hint="eastAsia"/>
                <w:color w:val="auto"/>
                <w:sz w:val="21"/>
                <w:szCs w:val="21"/>
                <w:highlight w:val="none"/>
                <w:lang w:val="en-US" w:eastAsia="zh-CN"/>
              </w:rPr>
              <w:t>按排序去掉八个高值及八个低值后的算术平均值（四舍五入取整数）；有效投标供应商≤3家时，直接取平均值（四舍五入取整数）】</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拟投入的电动高压冲洗车总数等于评分基准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拟投入的电动高压冲洗车总数低于评分基准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的，每少一</w:t>
            </w:r>
            <w:r>
              <w:rPr>
                <w:rFonts w:hint="eastAsia" w:ascii="宋体" w:hAnsi="宋体" w:eastAsia="宋体" w:cs="宋体"/>
                <w:color w:val="auto"/>
                <w:szCs w:val="21"/>
                <w:highlight w:val="none"/>
                <w:lang w:val="en-US" w:eastAsia="zh-CN"/>
              </w:rPr>
              <w:t>辆</w:t>
            </w:r>
            <w:r>
              <w:rPr>
                <w:rFonts w:hint="eastAsia" w:ascii="宋体" w:hAnsi="宋体" w:eastAsia="宋体" w:cs="宋体"/>
                <w:color w:val="auto"/>
                <w:szCs w:val="21"/>
                <w:highlight w:val="none"/>
              </w:rPr>
              <w:t>扣0.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最低得1分</w:t>
            </w:r>
            <w:r>
              <w:rPr>
                <w:rFonts w:hint="eastAsia" w:ascii="宋体" w:hAnsi="宋体" w:eastAsia="宋体" w:cs="宋体"/>
                <w:color w:val="auto"/>
                <w:szCs w:val="21"/>
                <w:highlight w:val="none"/>
              </w:rPr>
              <w:t>；拟投入的电动高压冲洗车总数高于评分基准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的，每多一</w:t>
            </w:r>
            <w:r>
              <w:rPr>
                <w:rFonts w:hint="eastAsia" w:ascii="宋体" w:hAnsi="宋体" w:eastAsia="宋体" w:cs="宋体"/>
                <w:color w:val="auto"/>
                <w:szCs w:val="21"/>
                <w:highlight w:val="none"/>
                <w:lang w:val="en-US" w:eastAsia="zh-CN"/>
              </w:rPr>
              <w:t>辆</w:t>
            </w:r>
            <w:r>
              <w:rPr>
                <w:rFonts w:hint="eastAsia" w:ascii="宋体" w:hAnsi="宋体" w:eastAsia="宋体" w:cs="宋体"/>
                <w:color w:val="auto"/>
                <w:szCs w:val="21"/>
                <w:highlight w:val="none"/>
              </w:rPr>
              <w:t>加0.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最高得6分</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如投入车辆总数高于</w:t>
            </w:r>
            <w:r>
              <w:rPr>
                <w:rFonts w:hint="eastAsia" w:ascii="宋体" w:hAnsi="宋体" w:eastAsia="宋体" w:cs="宋体"/>
                <w:color w:val="auto"/>
                <w:szCs w:val="21"/>
                <w:highlight w:val="none"/>
              </w:rPr>
              <w:t>评分基准</w:t>
            </w:r>
            <w:r>
              <w:rPr>
                <w:rFonts w:hint="eastAsia" w:ascii="宋体" w:hAnsi="宋体" w:eastAsia="宋体" w:cs="宋体"/>
                <w:color w:val="auto"/>
                <w:szCs w:val="21"/>
                <w:highlight w:val="none"/>
                <w:lang w:val="en-US" w:eastAsia="zh-CN"/>
              </w:rPr>
              <w:t>值30%以上的（四舍五入</w:t>
            </w:r>
            <w:r>
              <w:rPr>
                <w:rFonts w:hint="eastAsia" w:ascii="宋体" w:hAnsi="宋体" w:eastAsia="宋体" w:cs="宋体"/>
                <w:color w:val="auto"/>
                <w:szCs w:val="21"/>
                <w:highlight w:val="none"/>
              </w:rPr>
              <w:t>取整数</w:t>
            </w:r>
            <w:r>
              <w:rPr>
                <w:rFonts w:hint="eastAsia" w:ascii="宋体" w:hAnsi="宋体" w:eastAsia="宋体" w:cs="宋体"/>
                <w:color w:val="auto"/>
                <w:szCs w:val="21"/>
                <w:highlight w:val="none"/>
                <w:lang w:val="en-US" w:eastAsia="zh-CN"/>
              </w:rPr>
              <w:t>），则该项只得基准分为</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Times New Roman" w:hAnsi="Times New Roman" w:eastAsia="宋体" w:cs="Times New Roman"/>
                <w:color w:val="auto"/>
                <w:sz w:val="21"/>
                <w:szCs w:val="24"/>
                <w:highlight w:val="none"/>
                <w:lang w:val="en-US" w:eastAsia="zh-CN"/>
              </w:rPr>
              <w:t>（如与第3条计算得分不一致的，以本条得分为准）</w:t>
            </w:r>
            <w:r>
              <w:rPr>
                <w:rFonts w:hint="eastAsia" w:ascii="宋体" w:hAnsi="宋体" w:eastAsia="宋体" w:cs="宋体"/>
                <w:color w:val="auto"/>
                <w:szCs w:val="21"/>
                <w:highlight w:val="none"/>
                <w:lang w:val="en-US" w:eastAsia="zh-CN"/>
              </w:rPr>
              <w:t>。</w:t>
            </w:r>
          </w:p>
          <w:p>
            <w:pPr>
              <w:rPr>
                <w:rFonts w:hint="default"/>
                <w:color w:val="auto"/>
                <w:highlight w:val="none"/>
                <w:lang w:val="en-US" w:eastAsia="zh-CN"/>
              </w:rPr>
            </w:pPr>
            <w:r>
              <w:rPr>
                <w:rFonts w:hint="eastAsia" w:ascii="宋体" w:hAnsi="宋体" w:eastAsia="宋体" w:cs="宋体"/>
                <w:color w:val="auto"/>
                <w:szCs w:val="21"/>
                <w:highlight w:val="none"/>
                <w:lang w:val="en-US" w:eastAsia="zh-CN"/>
              </w:rPr>
              <w:t>5、如投入车辆总数高于投标人投入全部</w:t>
            </w:r>
            <w:r>
              <w:rPr>
                <w:rFonts w:hint="eastAsia" w:ascii="宋体" w:hAnsi="宋体" w:eastAsia="宋体" w:cs="宋体"/>
                <w:color w:val="auto"/>
                <w:szCs w:val="21"/>
                <w:highlight w:val="none"/>
              </w:rPr>
              <w:t>道路</w:t>
            </w:r>
            <w:r>
              <w:rPr>
                <w:rFonts w:hint="eastAsia" w:ascii="宋体" w:hAnsi="宋体" w:eastAsia="宋体" w:cs="宋体"/>
                <w:color w:val="auto"/>
                <w:szCs w:val="21"/>
                <w:highlight w:val="none"/>
                <w:lang w:val="en-US" w:eastAsia="zh-CN"/>
              </w:rPr>
              <w:t>机械化保洁（包括清扫、洒水、冲洗）排班数总数的70%的，则该项只得1分</w:t>
            </w:r>
            <w:r>
              <w:rPr>
                <w:rFonts w:hint="eastAsia" w:ascii="Times New Roman" w:hAnsi="Times New Roman" w:eastAsia="宋体" w:cs="Times New Roman"/>
                <w:color w:val="auto"/>
                <w:sz w:val="21"/>
                <w:szCs w:val="24"/>
                <w:highlight w:val="none"/>
                <w:lang w:val="en-US" w:eastAsia="zh-CN"/>
              </w:rPr>
              <w:t>（如与第3、4条计算得分不一致的，以本条得分为准）</w:t>
            </w:r>
            <w:r>
              <w:rPr>
                <w:rFonts w:hint="eastAsia" w:ascii="宋体" w:hAnsi="宋体" w:eastAsia="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二、电动小型快速保洁车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1、根据各投标人拟投入的电动小型快速保洁车的总数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计算出评分基准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评分基准</w:t>
            </w:r>
            <w:r>
              <w:rPr>
                <w:rFonts w:hint="eastAsia" w:ascii="宋体" w:hAnsi="宋体" w:eastAsia="宋体" w:cs="宋体"/>
                <w:color w:val="auto"/>
                <w:szCs w:val="21"/>
                <w:highlight w:val="none"/>
                <w:lang w:val="en-US" w:eastAsia="zh-CN"/>
              </w:rPr>
              <w:t>值为</w:t>
            </w:r>
            <w:r>
              <w:rPr>
                <w:rFonts w:hint="eastAsia"/>
                <w:color w:val="auto"/>
                <w:sz w:val="21"/>
                <w:szCs w:val="21"/>
                <w:highlight w:val="none"/>
                <w:lang w:val="en-US" w:eastAsia="zh-CN"/>
              </w:rPr>
              <w:t>有效投标供应商小于等于10家时，各有效投标供应商</w:t>
            </w:r>
            <w:r>
              <w:rPr>
                <w:rFonts w:hint="eastAsia" w:ascii="宋体" w:hAnsi="宋体" w:eastAsia="宋体" w:cs="宋体"/>
                <w:color w:val="auto"/>
                <w:szCs w:val="21"/>
                <w:highlight w:val="none"/>
              </w:rPr>
              <w:t>拟投入电动小型快速保洁车的总数</w:t>
            </w:r>
            <w:r>
              <w:rPr>
                <w:rFonts w:hint="eastAsia"/>
                <w:color w:val="auto"/>
                <w:sz w:val="21"/>
                <w:szCs w:val="21"/>
                <w:highlight w:val="none"/>
                <w:lang w:val="en-US" w:eastAsia="zh-CN"/>
              </w:rPr>
              <w:t>去掉一个最高值及一个最低值后的算术平均值（四舍五入取整数）；有效投标供应商大于10家且小于等于20家时，</w:t>
            </w:r>
            <w:r>
              <w:rPr>
                <w:rFonts w:hint="eastAsia" w:ascii="宋体" w:hAnsi="宋体" w:eastAsia="宋体" w:cs="宋体"/>
                <w:color w:val="auto"/>
                <w:szCs w:val="21"/>
                <w:highlight w:val="none"/>
              </w:rPr>
              <w:t>拟投入电动小型快速保洁车的总数</w:t>
            </w:r>
            <w:r>
              <w:rPr>
                <w:rFonts w:hint="eastAsia"/>
                <w:color w:val="auto"/>
                <w:sz w:val="21"/>
                <w:szCs w:val="21"/>
                <w:highlight w:val="none"/>
                <w:lang w:val="en-US" w:eastAsia="zh-CN"/>
              </w:rPr>
              <w:t>按排序去掉三个高值及三个低值后的算术平均值（四舍五入取整数）；有效投标供应商大于20家且小于等于30家时，</w:t>
            </w:r>
            <w:r>
              <w:rPr>
                <w:rFonts w:hint="eastAsia" w:ascii="宋体" w:hAnsi="宋体" w:eastAsia="宋体" w:cs="宋体"/>
                <w:color w:val="auto"/>
                <w:szCs w:val="21"/>
                <w:highlight w:val="none"/>
              </w:rPr>
              <w:t>拟投入电动小型快速保洁车的总数</w:t>
            </w:r>
            <w:r>
              <w:rPr>
                <w:rFonts w:hint="eastAsia"/>
                <w:color w:val="auto"/>
                <w:sz w:val="21"/>
                <w:szCs w:val="21"/>
                <w:highlight w:val="none"/>
                <w:lang w:val="en-US" w:eastAsia="zh-CN"/>
              </w:rPr>
              <w:t>按排序去掉五个高值及五个低值后的算术平均值（四舍五入取整数）；有效投标供应商大于30家时，</w:t>
            </w:r>
            <w:r>
              <w:rPr>
                <w:rFonts w:hint="eastAsia" w:ascii="宋体" w:hAnsi="宋体" w:eastAsia="宋体" w:cs="宋体"/>
                <w:color w:val="auto"/>
                <w:szCs w:val="21"/>
                <w:highlight w:val="none"/>
              </w:rPr>
              <w:t>拟投入电动小型快速保洁车的总数</w:t>
            </w:r>
            <w:r>
              <w:rPr>
                <w:rFonts w:hint="eastAsia"/>
                <w:color w:val="auto"/>
                <w:sz w:val="21"/>
                <w:szCs w:val="21"/>
                <w:highlight w:val="none"/>
                <w:lang w:val="en-US" w:eastAsia="zh-CN"/>
              </w:rPr>
              <w:t>按排序去掉八个高值及八个低值后的算术平均值（四舍五入取整数）；有效投标供应商≤3家时，直接取平均值（四舍五入取整数）】</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拟投入的电动小型快速保洁车总数等于评分基准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拟投入的电动小型快速保洁车总数低于评分基准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的，每少一</w:t>
            </w:r>
            <w:r>
              <w:rPr>
                <w:rFonts w:hint="eastAsia" w:ascii="宋体" w:hAnsi="宋体" w:eastAsia="宋体" w:cs="宋体"/>
                <w:color w:val="auto"/>
                <w:szCs w:val="21"/>
                <w:highlight w:val="none"/>
                <w:lang w:val="en-US" w:eastAsia="zh-CN"/>
              </w:rPr>
              <w:t>辆</w:t>
            </w:r>
            <w:r>
              <w:rPr>
                <w:rFonts w:hint="eastAsia" w:ascii="宋体" w:hAnsi="宋体" w:eastAsia="宋体" w:cs="宋体"/>
                <w:color w:val="auto"/>
                <w:szCs w:val="21"/>
                <w:highlight w:val="none"/>
              </w:rPr>
              <w:t>扣0.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最低的1分</w:t>
            </w:r>
            <w:r>
              <w:rPr>
                <w:rFonts w:hint="eastAsia" w:ascii="宋体" w:hAnsi="宋体" w:eastAsia="宋体" w:cs="宋体"/>
                <w:color w:val="auto"/>
                <w:szCs w:val="21"/>
                <w:highlight w:val="none"/>
              </w:rPr>
              <w:t>；拟投入的电动小型快速保洁车总数高于评分基准</w:t>
            </w:r>
            <w:r>
              <w:rPr>
                <w:rFonts w:hint="eastAsia" w:ascii="宋体" w:hAnsi="宋体" w:eastAsia="宋体" w:cs="宋体"/>
                <w:color w:val="auto"/>
                <w:szCs w:val="21"/>
                <w:highlight w:val="none"/>
                <w:lang w:val="en-US" w:eastAsia="zh-CN"/>
              </w:rPr>
              <w:t>值</w:t>
            </w:r>
            <w:r>
              <w:rPr>
                <w:rFonts w:hint="eastAsia" w:ascii="宋体" w:hAnsi="宋体" w:eastAsia="宋体" w:cs="宋体"/>
                <w:color w:val="auto"/>
                <w:szCs w:val="21"/>
                <w:highlight w:val="none"/>
              </w:rPr>
              <w:t>的，每多一</w:t>
            </w:r>
            <w:r>
              <w:rPr>
                <w:rFonts w:hint="eastAsia" w:ascii="宋体" w:hAnsi="宋体" w:eastAsia="宋体" w:cs="宋体"/>
                <w:color w:val="auto"/>
                <w:szCs w:val="21"/>
                <w:highlight w:val="none"/>
                <w:lang w:val="en-US" w:eastAsia="zh-CN"/>
              </w:rPr>
              <w:t>辆</w:t>
            </w:r>
            <w:r>
              <w:rPr>
                <w:rFonts w:hint="eastAsia" w:ascii="宋体" w:hAnsi="宋体" w:eastAsia="宋体" w:cs="宋体"/>
                <w:color w:val="auto"/>
                <w:szCs w:val="21"/>
                <w:highlight w:val="none"/>
              </w:rPr>
              <w:t>加0.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最高得6分</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如投入车辆总数高于</w:t>
            </w:r>
            <w:r>
              <w:rPr>
                <w:rFonts w:hint="eastAsia" w:ascii="宋体" w:hAnsi="宋体" w:eastAsia="宋体" w:cs="宋体"/>
                <w:color w:val="auto"/>
                <w:szCs w:val="21"/>
                <w:highlight w:val="none"/>
              </w:rPr>
              <w:t>评分基准</w:t>
            </w:r>
            <w:r>
              <w:rPr>
                <w:rFonts w:hint="eastAsia" w:ascii="宋体" w:hAnsi="宋体" w:eastAsia="宋体" w:cs="宋体"/>
                <w:color w:val="auto"/>
                <w:szCs w:val="21"/>
                <w:highlight w:val="none"/>
                <w:lang w:val="en-US" w:eastAsia="zh-CN"/>
              </w:rPr>
              <w:t>值30%以上的（四舍五入</w:t>
            </w:r>
            <w:r>
              <w:rPr>
                <w:rFonts w:hint="eastAsia" w:ascii="宋体" w:hAnsi="宋体" w:eastAsia="宋体" w:cs="宋体"/>
                <w:color w:val="auto"/>
                <w:szCs w:val="21"/>
                <w:highlight w:val="none"/>
              </w:rPr>
              <w:t>取整数</w:t>
            </w:r>
            <w:r>
              <w:rPr>
                <w:rFonts w:hint="eastAsia" w:ascii="宋体" w:hAnsi="宋体" w:eastAsia="宋体" w:cs="宋体"/>
                <w:color w:val="auto"/>
                <w:szCs w:val="21"/>
                <w:highlight w:val="none"/>
                <w:lang w:val="en-US" w:eastAsia="zh-CN"/>
              </w:rPr>
              <w:t>），则该项只得基准分为</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Times New Roman" w:hAnsi="Times New Roman" w:eastAsia="宋体" w:cs="Times New Roman"/>
                <w:color w:val="auto"/>
                <w:sz w:val="21"/>
                <w:szCs w:val="24"/>
                <w:highlight w:val="none"/>
                <w:lang w:val="en-US" w:eastAsia="zh-CN"/>
              </w:rPr>
              <w:t>（如与第3条计算得分不一致的，以本条得分为准）</w:t>
            </w:r>
            <w:r>
              <w:rPr>
                <w:rFonts w:hint="eastAsia" w:ascii="宋体" w:hAnsi="宋体" w:eastAsia="宋体" w:cs="宋体"/>
                <w:color w:val="auto"/>
                <w:szCs w:val="21"/>
                <w:highlight w:val="none"/>
                <w:lang w:val="en-US" w:eastAsia="zh-CN"/>
              </w:rPr>
              <w:t>。</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5、如投入车辆总数高于投标人投入全部</w:t>
            </w:r>
            <w:r>
              <w:rPr>
                <w:rFonts w:hint="eastAsia" w:ascii="宋体" w:hAnsi="宋体" w:eastAsia="宋体" w:cs="宋体"/>
                <w:color w:val="auto"/>
                <w:szCs w:val="21"/>
                <w:highlight w:val="none"/>
              </w:rPr>
              <w:t>道路</w:t>
            </w:r>
            <w:r>
              <w:rPr>
                <w:rFonts w:hint="eastAsia" w:ascii="宋体" w:hAnsi="宋体" w:eastAsia="宋体" w:cs="宋体"/>
                <w:color w:val="auto"/>
                <w:szCs w:val="21"/>
                <w:highlight w:val="none"/>
                <w:lang w:val="en-US" w:eastAsia="zh-CN"/>
              </w:rPr>
              <w:t>（包括开放式小区、</w:t>
            </w:r>
            <w:r>
              <w:rPr>
                <w:rFonts w:hint="eastAsia" w:ascii="宋体" w:hAnsi="宋体" w:eastAsia="宋体" w:cs="宋体"/>
                <w:color w:val="auto"/>
                <w:szCs w:val="21"/>
                <w:highlight w:val="none"/>
              </w:rPr>
              <w:t>绿化带</w:t>
            </w:r>
            <w:r>
              <w:rPr>
                <w:rFonts w:hint="eastAsia" w:ascii="宋体" w:hAnsi="宋体" w:eastAsia="宋体" w:cs="宋体"/>
                <w:color w:val="auto"/>
                <w:szCs w:val="21"/>
                <w:highlight w:val="none"/>
                <w:lang w:val="en-US" w:eastAsia="zh-CN"/>
              </w:rPr>
              <w:t>）人工</w:t>
            </w:r>
            <w:r>
              <w:rPr>
                <w:rFonts w:hint="eastAsia" w:ascii="宋体" w:hAnsi="宋体" w:eastAsia="宋体" w:cs="宋体"/>
                <w:color w:val="auto"/>
                <w:szCs w:val="21"/>
                <w:highlight w:val="none"/>
              </w:rPr>
              <w:t>清扫保洁</w:t>
            </w:r>
            <w:r>
              <w:rPr>
                <w:rFonts w:hint="eastAsia" w:ascii="宋体" w:hAnsi="宋体" w:eastAsia="宋体" w:cs="宋体"/>
                <w:color w:val="auto"/>
                <w:szCs w:val="21"/>
                <w:highlight w:val="none"/>
                <w:lang w:val="en-US" w:eastAsia="zh-CN"/>
              </w:rPr>
              <w:t>排班数总数的50%的，则该项只得1分</w:t>
            </w:r>
            <w:r>
              <w:rPr>
                <w:rFonts w:hint="eastAsia" w:ascii="Times New Roman" w:hAnsi="Times New Roman" w:eastAsia="宋体" w:cs="Times New Roman"/>
                <w:color w:val="auto"/>
                <w:sz w:val="21"/>
                <w:szCs w:val="24"/>
                <w:highlight w:val="none"/>
                <w:lang w:val="en-US" w:eastAsia="zh-CN"/>
              </w:rPr>
              <w:t>（如与第3、4条计算得分不一致的，以本条得分为准）</w:t>
            </w:r>
            <w:r>
              <w:rPr>
                <w:rFonts w:hint="eastAsia" w:ascii="宋体" w:hAnsi="宋体" w:eastAsia="宋体" w:cs="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69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965" w:type="dxa"/>
            <w:noWrap w:val="0"/>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拟投入本项目协助采购人、属地街道（镇）进行考核的设备方案</w:t>
            </w:r>
          </w:p>
        </w:tc>
        <w:tc>
          <w:tcPr>
            <w:tcW w:w="1146" w:type="dxa"/>
            <w:noWrap w:val="0"/>
            <w:vAlign w:val="center"/>
          </w:tcPr>
          <w:p>
            <w:pPr>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0-2</w:t>
            </w:r>
          </w:p>
        </w:tc>
        <w:tc>
          <w:tcPr>
            <w:tcW w:w="5180" w:type="dxa"/>
            <w:noWrap w:val="0"/>
            <w:vAlign w:val="center"/>
          </w:tcPr>
          <w:p>
            <w:pPr>
              <w:jc w:val="left"/>
              <w:rPr>
                <w:rFonts w:hint="eastAsia"/>
                <w:color w:val="auto"/>
                <w:szCs w:val="21"/>
                <w:highlight w:val="none"/>
                <w:lang w:val="en-US" w:eastAsia="zh-CN"/>
              </w:rPr>
            </w:pPr>
            <w:r>
              <w:rPr>
                <w:rFonts w:hint="eastAsia"/>
                <w:color w:val="auto"/>
                <w:szCs w:val="21"/>
                <w:highlight w:val="none"/>
                <w:lang w:eastAsia="zh-CN"/>
              </w:rPr>
              <w:t>根据</w:t>
            </w:r>
            <w:r>
              <w:rPr>
                <w:rFonts w:hint="eastAsia"/>
                <w:color w:val="auto"/>
                <w:szCs w:val="21"/>
                <w:highlight w:val="none"/>
                <w:lang w:val="en-US" w:eastAsia="zh-CN"/>
              </w:rPr>
              <w:t>投标供应商</w:t>
            </w:r>
            <w:r>
              <w:rPr>
                <w:rFonts w:hint="eastAsia" w:ascii="宋体" w:hAnsi="宋体" w:eastAsia="宋体" w:cs="宋体"/>
                <w:color w:val="auto"/>
                <w:szCs w:val="21"/>
                <w:highlight w:val="none"/>
                <w:lang w:val="en-US" w:eastAsia="zh-CN"/>
              </w:rPr>
              <w:t>拟投入的设备方案</w:t>
            </w:r>
            <w:r>
              <w:rPr>
                <w:rFonts w:hint="eastAsia"/>
                <w:color w:val="auto"/>
                <w:szCs w:val="21"/>
                <w:highlight w:val="none"/>
                <w:lang w:val="en-US" w:eastAsia="zh-CN"/>
              </w:rPr>
              <w:t>进行综合打分。</w:t>
            </w:r>
          </w:p>
          <w:p>
            <w:pPr>
              <w:numPr>
                <w:ilvl w:val="0"/>
                <w:numId w:val="0"/>
              </w:numPr>
              <w:jc w:val="left"/>
              <w:rPr>
                <w:rFonts w:hint="eastAsia"/>
                <w:color w:val="auto"/>
                <w:szCs w:val="21"/>
                <w:highlight w:val="none"/>
              </w:rPr>
            </w:pPr>
            <w:r>
              <w:rPr>
                <w:rFonts w:hint="eastAsia"/>
                <w:color w:val="auto"/>
                <w:szCs w:val="21"/>
                <w:highlight w:val="none"/>
                <w:lang w:val="en-US" w:eastAsia="zh-CN"/>
              </w:rPr>
              <w:t>1）方案</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科学、合理、便利、可行性强；2</w:t>
            </w:r>
            <w:r>
              <w:rPr>
                <w:rFonts w:hint="eastAsia" w:ascii="宋体" w:hAnsi="宋体" w:eastAsia="宋体" w:cs="宋体"/>
                <w:color w:val="auto"/>
                <w:szCs w:val="21"/>
                <w:highlight w:val="none"/>
              </w:rPr>
              <w:t>分；</w:t>
            </w:r>
          </w:p>
          <w:p>
            <w:pPr>
              <w:numPr>
                <w:ilvl w:val="0"/>
                <w:numId w:val="0"/>
              </w:numPr>
              <w:jc w:val="left"/>
              <w:rPr>
                <w:rFonts w:hint="eastAsia"/>
                <w:color w:val="auto"/>
                <w:szCs w:val="21"/>
                <w:highlight w:val="none"/>
              </w:rPr>
            </w:pPr>
            <w:r>
              <w:rPr>
                <w:rFonts w:hint="eastAsia" w:ascii="宋体" w:hAnsi="宋体" w:eastAsia="宋体" w:cs="宋体"/>
                <w:color w:val="auto"/>
                <w:szCs w:val="21"/>
                <w:highlight w:val="none"/>
                <w:lang w:val="en-US" w:eastAsia="zh-CN"/>
              </w:rPr>
              <w:t>2）</w:t>
            </w:r>
            <w:r>
              <w:rPr>
                <w:rFonts w:hint="eastAsia"/>
                <w:color w:val="auto"/>
                <w:szCs w:val="21"/>
                <w:highlight w:val="none"/>
                <w:lang w:val="en-US" w:eastAsia="zh-CN"/>
              </w:rPr>
              <w:t>方案基本</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便利、可行性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Cs w:val="21"/>
                <w:highlight w:val="none"/>
                <w:lang w:val="en-US" w:eastAsia="zh-CN"/>
              </w:rPr>
              <w:t>强；1</w:t>
            </w:r>
            <w:r>
              <w:rPr>
                <w:rFonts w:hint="eastAsia" w:ascii="宋体" w:hAnsi="宋体" w:eastAsia="宋体" w:cs="宋体"/>
                <w:color w:val="auto"/>
                <w:szCs w:val="21"/>
                <w:highlight w:val="none"/>
              </w:rPr>
              <w:t>分；</w:t>
            </w:r>
          </w:p>
          <w:p>
            <w:pPr>
              <w:numPr>
                <w:ilvl w:val="0"/>
                <w:numId w:val="0"/>
              </w:numPr>
              <w:jc w:val="left"/>
              <w:rPr>
                <w:rFonts w:hint="eastAsia"/>
                <w:color w:val="auto"/>
                <w:szCs w:val="21"/>
                <w:highlight w:val="none"/>
              </w:rPr>
            </w:pPr>
            <w:r>
              <w:rPr>
                <w:rFonts w:hint="eastAsia"/>
                <w:color w:val="auto"/>
                <w:szCs w:val="21"/>
                <w:highlight w:val="none"/>
                <w:lang w:val="en-US" w:eastAsia="zh-CN"/>
              </w:rPr>
              <w:t>3）方案不</w:t>
            </w:r>
            <w:r>
              <w:rPr>
                <w:rFonts w:hint="eastAsia" w:ascii="宋体" w:hAnsi="宋体" w:eastAsia="宋体" w:cs="宋体"/>
                <w:color w:val="auto"/>
                <w:sz w:val="21"/>
                <w:szCs w:val="21"/>
                <w:highlight w:val="none"/>
              </w:rPr>
              <w:t>切合实际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便利、可行性</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Cs w:val="21"/>
                <w:highlight w:val="none"/>
                <w:lang w:val="en-US" w:eastAsia="zh-CN"/>
              </w:rPr>
              <w:t>强；0.5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4）未提供方案不得分。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695" w:type="dxa"/>
            <w:noWrap w:val="0"/>
            <w:vAlign w:val="center"/>
          </w:tcPr>
          <w:p>
            <w:pPr>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w:t>
            </w:r>
          </w:p>
        </w:tc>
        <w:tc>
          <w:tcPr>
            <w:tcW w:w="1965" w:type="dxa"/>
            <w:noWrap w:val="0"/>
            <w:vAlign w:val="center"/>
          </w:tcPr>
          <w:p>
            <w:pPr>
              <w:spacing w:line="300" w:lineRule="exact"/>
              <w:ind w:firstLine="0" w:firstLineChars="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投标人近三年内（20</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月1日至今）城市道路保洁服务业绩</w:t>
            </w:r>
          </w:p>
        </w:tc>
        <w:tc>
          <w:tcPr>
            <w:tcW w:w="1146" w:type="dxa"/>
            <w:noWrap w:val="0"/>
            <w:vAlign w:val="center"/>
          </w:tcPr>
          <w:p>
            <w:pPr>
              <w:spacing w:line="300" w:lineRule="exact"/>
              <w:ind w:firstLine="0" w:firstLineChars="0"/>
              <w:jc w:val="center"/>
              <w:rPr>
                <w:rFonts w:hint="default" w:ascii="宋体" w:hAnsi="宋体" w:eastAsia="宋体" w:cs="宋体"/>
                <w:b w:val="0"/>
                <w:bCs w:val="0"/>
                <w:color w:val="auto"/>
                <w:szCs w:val="21"/>
                <w:highlight w:val="none"/>
                <w:lang w:val="en-US"/>
              </w:rPr>
            </w:pPr>
            <w:r>
              <w:rPr>
                <w:rFonts w:hint="eastAsia" w:ascii="宋体" w:hAnsi="宋体" w:eastAsia="宋体" w:cs="宋体"/>
                <w:color w:val="auto"/>
                <w:sz w:val="21"/>
                <w:szCs w:val="21"/>
                <w:highlight w:val="none"/>
                <w:lang w:val="en-US" w:eastAsia="zh-CN"/>
              </w:rPr>
              <w:t>0-1</w:t>
            </w:r>
          </w:p>
        </w:tc>
        <w:tc>
          <w:tcPr>
            <w:tcW w:w="5180" w:type="dxa"/>
            <w:noWrap w:val="0"/>
            <w:vAlign w:val="center"/>
          </w:tcPr>
          <w:p>
            <w:pPr>
              <w:spacing w:line="3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投标人近三年内（20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月1日至今）城市道路保洁服务业绩</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rPr>
              <w:t>同一服务续签合同</w:t>
            </w:r>
            <w:r>
              <w:rPr>
                <w:rFonts w:hint="eastAsia" w:ascii="宋体" w:hAnsi="宋体" w:eastAsia="宋体" w:cs="宋体"/>
                <w:b w:val="0"/>
                <w:color w:val="auto"/>
                <w:sz w:val="21"/>
                <w:szCs w:val="21"/>
                <w:highlight w:val="none"/>
                <w:lang w:eastAsia="zh-CN"/>
              </w:rPr>
              <w:t>不累计得分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每个合同得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业绩必须按招标文件第四部分附件中</w:t>
            </w:r>
            <w:r>
              <w:rPr>
                <w:rFonts w:hint="eastAsia" w:ascii="宋体" w:hAnsi="宋体" w:eastAsia="宋体" w:cs="宋体"/>
                <w:color w:val="auto"/>
                <w:sz w:val="21"/>
                <w:szCs w:val="21"/>
                <w:highlight w:val="none"/>
                <w:u w:val="single"/>
                <w:lang w:val="en-US" w:eastAsia="zh-CN"/>
              </w:rPr>
              <w:t>附件二：商务技术文件</w:t>
            </w:r>
            <w:r>
              <w:rPr>
                <w:rFonts w:hint="eastAsia" w:ascii="宋体" w:hAnsi="宋体" w:eastAsia="宋体" w:cs="宋体"/>
                <w:color w:val="auto"/>
                <w:sz w:val="21"/>
                <w:szCs w:val="21"/>
                <w:highlight w:val="none"/>
                <w:lang w:val="en-US" w:eastAsia="zh-CN"/>
              </w:rPr>
              <w:t>中（5）、（6）、（7）中要求提供，否则不予计分</w:t>
            </w:r>
          </w:p>
        </w:tc>
      </w:tr>
    </w:tbl>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注：1、</w:t>
      </w:r>
      <w:r>
        <w:rPr>
          <w:rFonts w:hint="eastAsia" w:ascii="宋体" w:hAnsi="宋体" w:eastAsia="宋体" w:cs="宋体"/>
          <w:b w:val="0"/>
          <w:bCs w:val="0"/>
          <w:color w:val="auto"/>
          <w:sz w:val="22"/>
          <w:szCs w:val="22"/>
          <w:highlight w:val="none"/>
        </w:rPr>
        <w:t>商务技术文件</w:t>
      </w:r>
      <w:r>
        <w:rPr>
          <w:rFonts w:hint="eastAsia" w:ascii="宋体" w:hAnsi="宋体" w:eastAsia="宋体" w:cs="宋体"/>
          <w:b w:val="0"/>
          <w:bCs w:val="0"/>
          <w:color w:val="auto"/>
          <w:sz w:val="22"/>
          <w:szCs w:val="22"/>
          <w:highlight w:val="none"/>
          <w:lang w:val="en-US" w:eastAsia="zh-CN"/>
        </w:rPr>
        <w:t>评审结束后，如出现投标人被认定为无效标或取消中标资格的，</w:t>
      </w:r>
      <w:r>
        <w:rPr>
          <w:rFonts w:hint="eastAsia" w:ascii="宋体" w:hAnsi="宋体" w:eastAsia="宋体" w:cs="宋体"/>
          <w:b w:val="0"/>
          <w:bCs w:val="0"/>
          <w:color w:val="auto"/>
          <w:sz w:val="22"/>
          <w:szCs w:val="22"/>
          <w:highlight w:val="none"/>
        </w:rPr>
        <w:t>商务技术文件</w:t>
      </w:r>
      <w:r>
        <w:rPr>
          <w:rFonts w:hint="eastAsia" w:ascii="宋体" w:hAnsi="宋体" w:eastAsia="宋体" w:cs="宋体"/>
          <w:b w:val="0"/>
          <w:bCs w:val="0"/>
          <w:color w:val="auto"/>
          <w:sz w:val="22"/>
          <w:szCs w:val="22"/>
          <w:highlight w:val="none"/>
          <w:lang w:val="en-US" w:eastAsia="zh-CN"/>
        </w:rPr>
        <w:t>评审阶段</w:t>
      </w:r>
      <w:r>
        <w:rPr>
          <w:rFonts w:hint="eastAsia" w:ascii="宋体" w:hAnsi="宋体" w:eastAsia="宋体" w:cs="宋体"/>
          <w:b w:val="0"/>
          <w:bCs w:val="0"/>
          <w:color w:val="auto"/>
          <w:sz w:val="22"/>
          <w:szCs w:val="22"/>
          <w:highlight w:val="none"/>
          <w:lang w:val="en-US" w:eastAsia="zh-CN"/>
        </w:rPr>
        <w:t>确定的排班</w:t>
      </w:r>
      <w:r>
        <w:rPr>
          <w:rFonts w:hint="eastAsia" w:ascii="宋体" w:hAnsi="宋体" w:eastAsia="宋体" w:cs="宋体"/>
          <w:b w:val="0"/>
          <w:bCs w:val="0"/>
          <w:color w:val="auto"/>
          <w:szCs w:val="21"/>
          <w:highlight w:val="none"/>
        </w:rPr>
        <w:t>评分基准数</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管理人员</w:t>
      </w:r>
      <w:r>
        <w:rPr>
          <w:rFonts w:hint="eastAsia" w:ascii="宋体" w:hAnsi="宋体" w:eastAsia="宋体" w:cs="宋体"/>
          <w:color w:val="auto"/>
          <w:szCs w:val="21"/>
          <w:highlight w:val="none"/>
        </w:rPr>
        <w:t>评分基准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车辆评分基准值等</w:t>
      </w:r>
      <w:r>
        <w:rPr>
          <w:rFonts w:hint="eastAsia" w:ascii="宋体" w:hAnsi="宋体" w:eastAsia="宋体" w:cs="宋体"/>
          <w:b w:val="0"/>
          <w:bCs w:val="0"/>
          <w:color w:val="auto"/>
          <w:szCs w:val="21"/>
          <w:highlight w:val="none"/>
          <w:lang w:val="en-US" w:eastAsia="zh-CN"/>
        </w:rPr>
        <w:t>均不再调整；</w:t>
      </w:r>
      <w:r>
        <w:rPr>
          <w:rFonts w:hint="eastAsia" w:ascii="宋体" w:hAnsi="宋体" w:eastAsia="宋体" w:cs="宋体"/>
          <w:b w:val="0"/>
          <w:bCs w:val="0"/>
          <w:color w:val="auto"/>
          <w:sz w:val="22"/>
          <w:szCs w:val="22"/>
          <w:highlight w:val="none"/>
          <w:lang w:val="en-US" w:eastAsia="zh-CN"/>
        </w:rPr>
        <w:t>2、为了节约评标时间，商务技术标应重点突出、语言简练，商务技术标总页数建议不超过300页。</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2.投标报价评分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p>
    <w:p>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满足招标文件要求且投标报价最低的投标报价为评标基准价；</w:t>
      </w:r>
    </w:p>
    <w:p>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1）有效投标人的投标报价等于评标基准价时，其投标报价评分值为满分；</w:t>
      </w:r>
    </w:p>
    <w:p>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sz w:val="22"/>
          <w:szCs w:val="22"/>
          <w:highlight w:val="none"/>
        </w:rPr>
        <w:t>其它投标人的投标报价得分</w:t>
      </w:r>
      <w:r>
        <w:rPr>
          <w:rFonts w:hint="eastAsia" w:ascii="宋体" w:hAnsi="宋体" w:eastAsia="宋体" w:cs="宋体"/>
          <w:color w:val="auto"/>
          <w:kern w:val="0"/>
          <w:sz w:val="22"/>
          <w:szCs w:val="22"/>
          <w:highlight w:val="none"/>
        </w:rPr>
        <w:t>=（评标基准价/投标人投标报价）×</w:t>
      </w:r>
      <w:r>
        <w:rPr>
          <w:rFonts w:hint="eastAsia" w:ascii="宋体" w:hAnsi="宋体" w:eastAsia="宋体" w:cs="宋体"/>
          <w:b/>
          <w:bCs/>
          <w:color w:val="auto"/>
          <w:kern w:val="0"/>
          <w:sz w:val="22"/>
          <w:szCs w:val="22"/>
          <w:highlight w:val="none"/>
          <w:lang w:val="en-US" w:eastAsia="zh-CN"/>
        </w:rPr>
        <w:t>1</w:t>
      </w:r>
      <w:r>
        <w:rPr>
          <w:rFonts w:hint="eastAsia" w:ascii="宋体" w:hAnsi="宋体" w:eastAsia="宋体" w:cs="宋体"/>
          <w:b/>
          <w:bCs/>
          <w:color w:val="auto"/>
          <w:kern w:val="0"/>
          <w:sz w:val="22"/>
          <w:szCs w:val="22"/>
          <w:highlight w:val="none"/>
          <w:lang w:val="en-US" w:eastAsia="zh-CN"/>
        </w:rPr>
        <w:t>0</w:t>
      </w:r>
      <w:r>
        <w:rPr>
          <w:rFonts w:hint="eastAsia" w:ascii="宋体" w:hAnsi="宋体" w:eastAsia="宋体" w:cs="宋体"/>
          <w:color w:val="auto"/>
          <w:sz w:val="22"/>
          <w:szCs w:val="22"/>
          <w:highlight w:val="none"/>
        </w:rPr>
        <w:t>（四舍五入，保留小数点后2位）</w:t>
      </w:r>
    </w:p>
    <w:p>
      <w:pPr>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kern w:val="0"/>
          <w:sz w:val="22"/>
          <w:szCs w:val="22"/>
          <w:highlight w:val="none"/>
        </w:rPr>
        <w:t>3）</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符合招标文件规定的小、微企业（或监狱企业、残疾人福利单位），给予其报价</w:t>
      </w:r>
      <w:r>
        <w:rPr>
          <w:rFonts w:hint="eastAsia" w:ascii="宋体" w:hAnsi="宋体" w:eastAsia="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lang w:val="en-US" w:eastAsia="zh-CN"/>
        </w:rPr>
        <w:t>0</w:t>
      </w:r>
      <w:r>
        <w:rPr>
          <w:rFonts w:hint="eastAsia" w:ascii="宋体" w:hAnsi="宋体" w:eastAsia="宋体" w:cs="宋体"/>
          <w:b/>
          <w:color w:val="auto"/>
          <w:sz w:val="22"/>
          <w:szCs w:val="22"/>
          <w:highlight w:val="none"/>
          <w:u w:val="single"/>
        </w:rPr>
        <w:t>%的扣除，用扣除后的价格（即投标报价</w:t>
      </w:r>
      <w:r>
        <w:rPr>
          <w:rFonts w:hint="eastAsia" w:ascii="宋体" w:hAnsi="宋体" w:eastAsia="宋体" w:cs="宋体"/>
          <w:b/>
          <w:color w:val="auto"/>
          <w:sz w:val="22"/>
          <w:szCs w:val="22"/>
          <w:highlight w:val="none"/>
          <w:u w:val="single"/>
        </w:rPr>
        <w:t>的</w:t>
      </w:r>
      <w:r>
        <w:rPr>
          <w:rFonts w:hint="eastAsia" w:ascii="宋体" w:hAnsi="宋体" w:eastAsia="宋体" w:cs="宋体"/>
          <w:b/>
          <w:color w:val="auto"/>
          <w:sz w:val="22"/>
          <w:szCs w:val="22"/>
          <w:highlight w:val="none"/>
          <w:u w:val="single"/>
          <w:lang w:val="en-US" w:eastAsia="zh-CN"/>
        </w:rPr>
        <w:t>90</w:t>
      </w:r>
      <w:r>
        <w:rPr>
          <w:rFonts w:hint="eastAsia" w:ascii="宋体" w:hAnsi="宋体" w:eastAsia="宋体" w:cs="宋体"/>
          <w:b/>
          <w:color w:val="auto"/>
          <w:sz w:val="22"/>
          <w:szCs w:val="22"/>
          <w:highlight w:val="none"/>
          <w:u w:val="single"/>
        </w:rPr>
        <w:t>% ）参与</w:t>
      </w:r>
      <w:r>
        <w:rPr>
          <w:rFonts w:hint="eastAsia" w:ascii="宋体" w:hAnsi="宋体" w:eastAsia="宋体" w:cs="宋体"/>
          <w:b/>
          <w:color w:val="auto"/>
          <w:sz w:val="22"/>
          <w:szCs w:val="22"/>
          <w:highlight w:val="none"/>
          <w:u w:val="single"/>
        </w:rPr>
        <w:t>评审（中标价及合同价仍以其投标报价为准），如采购项目为专门面向中小企业采购的，不再执行价格评审优惠的扶持政策。</w:t>
      </w:r>
    </w:p>
    <w:p>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）所有投标人的投标报价均超采购预算，重新组织招标。</w:t>
      </w:r>
    </w:p>
    <w:p>
      <w:pPr>
        <w:pStyle w:val="2"/>
        <w:ind w:left="0" w:leftChars="0" w:firstLine="0" w:firstLineChars="0"/>
        <w:rPr>
          <w:rFonts w:hint="eastAsia" w:ascii="宋体" w:hAnsi="宋体" w:eastAsia="宋体" w:cs="宋体"/>
          <w:b/>
          <w:color w:val="auto"/>
          <w:sz w:val="22"/>
          <w:szCs w:val="22"/>
          <w:highlight w:val="none"/>
          <w:u w:val="single"/>
        </w:rPr>
      </w:pPr>
      <w:r>
        <w:rPr>
          <w:rFonts w:hint="eastAsia"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本项目采购预算为</w:t>
      </w:r>
      <w:r>
        <w:rPr>
          <w:rFonts w:hint="eastAsia" w:ascii="宋体" w:hAnsi="宋体" w:eastAsia="宋体" w:cs="宋体"/>
          <w:b/>
          <w:color w:val="auto"/>
          <w:sz w:val="22"/>
          <w:szCs w:val="22"/>
          <w:highlight w:val="none"/>
          <w:u w:val="single"/>
          <w:lang w:val="en-US" w:eastAsia="zh-CN"/>
        </w:rPr>
        <w:t>标项1：177468558</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lang w:val="en-US" w:eastAsia="zh-CN"/>
        </w:rPr>
        <w:t>标项2：85664070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lang w:val="en-US" w:eastAsia="zh-CN"/>
        </w:rPr>
        <w:t>标项</w:t>
      </w:r>
      <w:r>
        <w:rPr>
          <w:rFonts w:hint="eastAsia" w:ascii="宋体" w:hAnsi="宋体" w:eastAsia="宋体" w:cs="宋体"/>
          <w:b/>
          <w:color w:val="auto"/>
          <w:sz w:val="22"/>
          <w:szCs w:val="22"/>
          <w:highlight w:val="none"/>
          <w:u w:val="single"/>
          <w:lang w:val="en-US" w:eastAsia="zh-CN"/>
        </w:rPr>
        <w:t>3：26320000</w:t>
      </w:r>
      <w:r>
        <w:rPr>
          <w:rFonts w:hint="eastAsia" w:ascii="宋体" w:hAnsi="宋体" w:eastAsia="宋体" w:cs="宋体"/>
          <w:b/>
          <w:color w:val="auto"/>
          <w:sz w:val="22"/>
          <w:szCs w:val="22"/>
          <w:highlight w:val="none"/>
          <w:u w:val="single"/>
        </w:rPr>
        <w:t>元。</w:t>
      </w:r>
    </w:p>
    <w:p>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3.有效投标人的综合得分为商务技术得分和投标报价得分的总和。</w:t>
      </w:r>
    </w:p>
    <w:p>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4.评标委员会</w:t>
      </w:r>
      <w:r>
        <w:rPr>
          <w:rFonts w:hint="eastAsia" w:ascii="宋体" w:hAnsi="宋体" w:eastAsia="宋体" w:cs="宋体"/>
          <w:color w:val="auto"/>
          <w:kern w:val="0"/>
          <w:sz w:val="22"/>
          <w:szCs w:val="22"/>
          <w:highlight w:val="none"/>
        </w:rPr>
        <w:t>依据法律、法规及招标文件有关规定在有效标中按投标人的</w:t>
      </w:r>
      <w:r>
        <w:rPr>
          <w:rFonts w:hint="eastAsia" w:ascii="宋体" w:hAnsi="宋体" w:eastAsia="宋体" w:cs="宋体"/>
          <w:color w:val="auto"/>
          <w:sz w:val="22"/>
          <w:szCs w:val="22"/>
          <w:highlight w:val="none"/>
        </w:rPr>
        <w:t>综合得分（即商务技术得分与投标报价得分之和）</w:t>
      </w:r>
      <w:r>
        <w:rPr>
          <w:rFonts w:hint="eastAsia" w:ascii="宋体" w:hAnsi="宋体" w:eastAsia="宋体" w:cs="宋体"/>
          <w:color w:val="auto"/>
          <w:kern w:val="0"/>
          <w:sz w:val="22"/>
          <w:szCs w:val="22"/>
          <w:highlight w:val="none"/>
        </w:rPr>
        <w:t>高低进行排序，综合得分前</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rPr>
        <w:t>名的投标人推荐为第一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第二</w:t>
      </w:r>
      <w:r>
        <w:rPr>
          <w:rFonts w:hint="eastAsia" w:ascii="宋体" w:hAnsi="宋体" w:eastAsia="宋体" w:cs="宋体"/>
          <w:color w:val="auto"/>
          <w:kern w:val="0"/>
          <w:sz w:val="22"/>
          <w:szCs w:val="22"/>
          <w:highlight w:val="none"/>
          <w:lang w:val="en-US" w:eastAsia="zh-CN"/>
        </w:rPr>
        <w:t>和第三</w:t>
      </w:r>
      <w:r>
        <w:rPr>
          <w:rFonts w:hint="eastAsia" w:ascii="宋体" w:hAnsi="宋体" w:eastAsia="宋体" w:cs="宋体"/>
          <w:color w:val="auto"/>
          <w:kern w:val="0"/>
          <w:sz w:val="22"/>
          <w:szCs w:val="22"/>
          <w:highlight w:val="none"/>
        </w:rPr>
        <w:t>中标候选人。（综合</w:t>
      </w:r>
      <w:r>
        <w:rPr>
          <w:rFonts w:hint="eastAsia" w:ascii="宋体" w:hAnsi="宋体" w:eastAsia="宋体" w:cs="宋体"/>
          <w:color w:val="auto"/>
          <w:sz w:val="22"/>
          <w:szCs w:val="22"/>
          <w:highlight w:val="none"/>
        </w:rPr>
        <w:t>得分相同的，按</w:t>
      </w:r>
      <w:r>
        <w:rPr>
          <w:rFonts w:hint="eastAsia" w:ascii="宋体" w:hAnsi="宋体" w:eastAsia="宋体" w:cs="宋体"/>
          <w:b/>
          <w:color w:val="auto"/>
          <w:sz w:val="22"/>
          <w:szCs w:val="22"/>
          <w:highlight w:val="none"/>
        </w:rPr>
        <w:t>投标报价得分</w:t>
      </w:r>
      <w:r>
        <w:rPr>
          <w:rFonts w:hint="eastAsia" w:ascii="宋体" w:hAnsi="宋体" w:eastAsia="宋体" w:cs="宋体"/>
          <w:color w:val="auto"/>
          <w:sz w:val="22"/>
          <w:szCs w:val="22"/>
          <w:highlight w:val="none"/>
        </w:rPr>
        <w:t>由高到低顺序排列。</w:t>
      </w:r>
      <w:r>
        <w:rPr>
          <w:rFonts w:hint="eastAsia" w:ascii="宋体" w:hAnsi="宋体" w:eastAsia="宋体" w:cs="宋体"/>
          <w:color w:val="auto"/>
          <w:kern w:val="0"/>
          <w:sz w:val="22"/>
          <w:szCs w:val="22"/>
          <w:highlight w:val="none"/>
        </w:rPr>
        <w:t>综合</w:t>
      </w:r>
      <w:r>
        <w:rPr>
          <w:rFonts w:hint="eastAsia" w:ascii="宋体" w:hAnsi="宋体" w:eastAsia="宋体" w:cs="宋体"/>
          <w:color w:val="auto"/>
          <w:sz w:val="22"/>
          <w:szCs w:val="22"/>
          <w:highlight w:val="none"/>
        </w:rPr>
        <w:t>得分且</w:t>
      </w:r>
      <w:r>
        <w:rPr>
          <w:rFonts w:hint="eastAsia" w:ascii="宋体" w:hAnsi="宋体" w:eastAsia="宋体" w:cs="宋体"/>
          <w:b/>
          <w:color w:val="auto"/>
          <w:sz w:val="22"/>
          <w:szCs w:val="22"/>
          <w:highlight w:val="none"/>
        </w:rPr>
        <w:t>投标报价得分</w:t>
      </w:r>
      <w:r>
        <w:rPr>
          <w:rFonts w:hint="eastAsia" w:ascii="宋体" w:hAnsi="宋体" w:eastAsia="宋体" w:cs="宋体"/>
          <w:color w:val="auto"/>
          <w:sz w:val="22"/>
          <w:szCs w:val="22"/>
          <w:highlight w:val="none"/>
        </w:rPr>
        <w:t>相同，由评标委员会随机抽签决定排名顺序。</w:t>
      </w:r>
      <w:r>
        <w:rPr>
          <w:rFonts w:hint="eastAsia" w:ascii="宋体" w:hAnsi="宋体" w:eastAsia="宋体" w:cs="宋体"/>
          <w:color w:val="auto"/>
          <w:kern w:val="0"/>
          <w:sz w:val="22"/>
          <w:szCs w:val="22"/>
          <w:highlight w:val="none"/>
        </w:rPr>
        <w:t>）</w:t>
      </w:r>
    </w:p>
    <w:p>
      <w:pPr>
        <w:pStyle w:val="25"/>
        <w:spacing w:line="360" w:lineRule="auto"/>
        <w:rPr>
          <w:rFonts w:hint="eastAsia" w:ascii="宋体" w:hAnsi="宋体" w:eastAsia="宋体" w:cs="宋体"/>
          <w:b/>
          <w:color w:val="auto"/>
          <w:sz w:val="22"/>
          <w:szCs w:val="22"/>
          <w:highlight w:val="none"/>
        </w:rPr>
      </w:pPr>
      <w:bookmarkStart w:id="244" w:name="_Toc221356966"/>
      <w:bookmarkStart w:id="245" w:name="_Toc221356903"/>
      <w:r>
        <w:rPr>
          <w:rFonts w:hint="eastAsia" w:ascii="宋体" w:hAnsi="宋体" w:eastAsia="宋体" w:cs="宋体"/>
          <w:b/>
          <w:color w:val="auto"/>
          <w:sz w:val="22"/>
          <w:szCs w:val="22"/>
          <w:highlight w:val="none"/>
        </w:rPr>
        <w:t>六、定标办法</w:t>
      </w:r>
      <w:bookmarkEnd w:id="244"/>
      <w:bookmarkEnd w:id="245"/>
    </w:p>
    <w:p>
      <w:pPr>
        <w:spacing w:line="360" w:lineRule="auto"/>
        <w:ind w:firstLine="330" w:firstLineChars="150"/>
        <w:rPr>
          <w:rFonts w:hint="eastAsia" w:ascii="宋体" w:hAnsi="宋体" w:eastAsia="宋体" w:cs="宋体"/>
          <w:color w:val="auto"/>
          <w:sz w:val="22"/>
          <w:szCs w:val="22"/>
          <w:highlight w:val="none"/>
        </w:rPr>
      </w:pPr>
      <w:bookmarkStart w:id="246" w:name="_Toc221356967"/>
      <w:bookmarkStart w:id="247" w:name="_Toc221356904"/>
      <w:r>
        <w:rPr>
          <w:rFonts w:hint="eastAsia" w:ascii="宋体" w:hAnsi="宋体" w:eastAsia="宋体" w:cs="宋体"/>
          <w:color w:val="auto"/>
          <w:sz w:val="22"/>
          <w:szCs w:val="22"/>
          <w:highlight w:val="none"/>
        </w:rPr>
        <w:t>本次招标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或者经质疑，采购人审查后，确因排名前列的候选人在本次采购活动中存在违法违规行为或其他原因使质疑成立的，采购人可以视具体情况确定是否由排名后续的中标候选人为中标人。</w:t>
      </w:r>
    </w:p>
    <w:p>
      <w:pPr>
        <w:pStyle w:val="2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七、确定中标人</w:t>
      </w:r>
      <w:bookmarkEnd w:id="246"/>
      <w:bookmarkEnd w:id="247"/>
    </w:p>
    <w:p>
      <w:pPr>
        <w:spacing w:line="360" w:lineRule="auto"/>
        <w:ind w:firstLine="330" w:firstLineChars="150"/>
        <w:rPr>
          <w:rFonts w:hint="eastAsia" w:ascii="宋体" w:hAnsi="宋体" w:eastAsia="宋体" w:cs="宋体"/>
          <w:color w:val="auto"/>
          <w:sz w:val="22"/>
          <w:szCs w:val="22"/>
          <w:highlight w:val="none"/>
        </w:rPr>
      </w:pPr>
      <w:bookmarkStart w:id="248" w:name="_Toc221356968"/>
      <w:bookmarkStart w:id="249" w:name="_Toc221356905"/>
      <w:r>
        <w:rPr>
          <w:rFonts w:hint="eastAsia" w:ascii="宋体" w:hAnsi="宋体" w:eastAsia="宋体" w:cs="宋体"/>
          <w:color w:val="auto"/>
          <w:sz w:val="22"/>
          <w:szCs w:val="22"/>
          <w:highlight w:val="none"/>
        </w:rPr>
        <w:t>评标结束后，采购人将在浙江政府采购网上公示中标结果。在规定期限内招标机构将向中标人发出中标通知书。</w:t>
      </w:r>
    </w:p>
    <w:p>
      <w:pPr>
        <w:pStyle w:val="2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八、投标人义务</w:t>
      </w:r>
      <w:bookmarkEnd w:id="248"/>
      <w:bookmarkEnd w:id="249"/>
    </w:p>
    <w:p>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color w:val="auto"/>
          <w:highlight w:val="none"/>
          <w:lang w:val="en-US" w:eastAsia="zh-CN"/>
        </w:rPr>
      </w:pPr>
      <w:r>
        <w:rPr>
          <w:rFonts w:hint="eastAsia"/>
          <w:b/>
          <w:bCs/>
          <w:color w:val="auto"/>
          <w:highlight w:val="none"/>
          <w:lang w:val="en-US" w:eastAsia="zh-CN"/>
        </w:rPr>
        <w:t>附件：</w:t>
      </w:r>
    </w:p>
    <w:p>
      <w:pPr>
        <w:pStyle w:val="2"/>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道路清扫保洁服务面积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auto"/>
          <w:highlight w:val="none"/>
          <w:lang w:val="en-US" w:eastAsia="zh-CN"/>
        </w:rPr>
      </w:pPr>
      <w:r>
        <w:rPr>
          <w:rFonts w:hint="eastAsia"/>
          <w:color w:val="auto"/>
          <w:highlight w:val="none"/>
          <w:lang w:val="en-US" w:eastAsia="zh-CN"/>
        </w:rPr>
        <w:t>标项1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color w:val="auto"/>
          <w:highlight w:val="none"/>
          <w:lang w:val="en-US" w:eastAsia="zh-CN"/>
        </w:rPr>
      </w:pPr>
      <w:r>
        <w:rPr>
          <w:rFonts w:hint="eastAsia"/>
          <w:color w:val="auto"/>
          <w:highlight w:val="none"/>
          <w:lang w:val="en-US" w:eastAsia="zh-CN"/>
        </w:rPr>
        <w:t>双屿：</w:t>
      </w:r>
    </w:p>
    <w:tbl>
      <w:tblPr>
        <w:tblStyle w:val="58"/>
        <w:tblW w:w="10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1204"/>
        <w:gridCol w:w="944"/>
        <w:gridCol w:w="1096"/>
        <w:gridCol w:w="1075"/>
        <w:gridCol w:w="1074"/>
        <w:gridCol w:w="1751"/>
        <w:gridCol w:w="121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功能区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道路名称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道路面积（m2)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长(m)</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宽(m)</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起--止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过境路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223840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55.0 </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翠微大道-双屿新村6庄西边围墙（梅电路口）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双屿天桥</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2281.048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江湾路至铁路桥下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26991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999.7</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铁路桥（厕所对面空地）下至丰门街道界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104国道南侧</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89848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4084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下岭山后至翠微大道交叉路口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双屿高速西出口</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双屿高速西出口中间绿化带段至104国道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104国道北侧</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87552</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3648</w:t>
            </w:r>
          </w:p>
        </w:tc>
        <w:tc>
          <w:tcPr>
            <w:tcW w:w="10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翠微大道十字口至（海伦宾馆西侧100米车站后首花坛）嵇师桥花坛）嵇师桥</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13725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温金路188弄至丰门街道界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泰力路至星际路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星际路至江湾路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盛锦路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104国道南侧至二中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104国道—康强路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69540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东瓯大桥至交警三中队前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江湾路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迪索路—104国道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江滨西路B线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泰力路口至三桥斑马线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江滨西路A线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48670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东瓯大桥立交斑马线至星际路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宁波路一部分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康强路至104国道南侧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康华路南段</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康华路南段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康华路康强路十字路口-五星大楼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康兴路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康园路至盛锦路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4163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盛锦路至银夏公寓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康圆路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506</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康兴路—康盛路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康华路至二中围墙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双岙路—正米柴排饭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康盛路至康华路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凌云路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盛锦路至康兴路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新世界路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盛锦路至银厦公寓1幢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郑桥路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泰力路口至黄龙住宅区口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104国道下岭山边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安置房道坦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康强路——新泽网格</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3967.2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（路段：康强路——新泽网格）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双金路延伸段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鞋都大道口-金灶村</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江滨A线—鞋都大道木材市场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9490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江滨A线—鞋都大道木材市场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三开路延伸段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江湾路-牛岭路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星际路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鹿城路口至霸力路西头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三开路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泰力路至江湾路口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康盛路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康强路至104国道南侧</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7317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双岙西路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康兴路（黄龙南路）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凌云路-瓯浦路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垟田路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垟田东、西锦苑周边新道路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45701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瓯南路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鞋都大道-鹿城路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营楼小学-肿瘤医院</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玉麒麟东首道路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双屿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映翠路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康兴路至河道边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104国道至营楼村民居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双屿 </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营楼村民居至营楼小学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104国道南侧至二中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双屿 </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双屿 </w:t>
            </w:r>
          </w:p>
        </w:tc>
        <w:tc>
          <w:tcPr>
            <w:tcW w:w="944"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泰力路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霸力路至b线交叉口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b线交叉口至鹿城路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双屿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岙北路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双岙路至铁道口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双屿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双金路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黄龙山公园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鹿城路与过境路两侧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鹿城路至鞋都大道小巷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霸力路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6710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星际路至牛三角路</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牛三角路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环球路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星际路至牛三角路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康泉路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奋飞路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鹿城医院北首道路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三开路至双屿一小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奇伟路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星际路至十八中路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康泉后巷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康泉后巷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卧旗山公园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五岭路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鹿城路—江滨B线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昆仑路延伸段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利生路口—瓯南路口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欧斯达路延伸段—鞋都大道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欧斯达路延伸段—鞋都大道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牛三角延伸段—鹿城路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牛三角延伸段—鹿城路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双屿新菜场动车桥下湾底路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鞋都大道—污水厂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104国道广华大厦口—郑桥路口</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104国道广华大厦口—郑桥路口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郑桥广场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鞋都大道宏景鞋材</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宏景鞋材前道坦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鞋都大道鞋都锦园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鞋都锦园9组团北门入口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温金路188弄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康奈大楼前至鞋都大道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景山公园山角边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盛锦路延伸道路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二中大门至康宁围墙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康盛路延伸道路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康强路至铁路口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二十三中边路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康强路至新泽社区界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玉树对面公交加油站</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康盛路至客运中心门口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玉树北侧半垟段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康盛路至半垟段</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黄龙菜场周边道路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康园路中间小路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康兴路至河道边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康城A线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康城B线至瓯浦垟工业区口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康城B线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翠微大道至康城A线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康城C线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过境公路至康城B线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梅电路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104国道至玉树小区北门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郑桥锦园前道坦</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康城靠过境路前人行道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康强路烟草公司边小巷—箬笠岙新村</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康强路烟草公司边小巷—箬笠岙新村</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山后路—嵇师桥口</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山后路—嵇师桥口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双岙下岭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104国道—双岙桥边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南山路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瓯浦垟村内道路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鹿城路至江滨A线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牛岭二组团—牛岭四组团中间道路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104国道--三开路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湾儿山路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鞋都大道—明展路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牛岭临时农贸菜场外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鞋都大道—卧旗山山脚下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温金路136弄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三开路至104国道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五星大楼至新泽围墙外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五星大楼至新泽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黄龙三小外小巷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瓯浦垟五组团至康城A线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箬笠岙锦园北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箬笠岙锦园—正米柴排饭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下岙路—卧旗大河1号桥</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双岙中路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下岙路—双岙北路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双岙中路—双岙东路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双岙东路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双岙南路—双岙路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半垟公园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康盛路-玉树北门小游园周边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瓯浦垟武警部队外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瓯浦垟武警部队—东欧王墓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欧欣嘉园外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瓯浦垟欧欣嘉园—十一幼儿园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欧欣嘉园北面</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康泽路西向延伸段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康泽路西向延伸段</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鞋都文化广场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宁波路二期工程第1工程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温瞿公路-马坑路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宁波路二期工程第2工程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58576.75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宁波路二期工程第3工程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12467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宁波路二期工程第4工程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55845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温瞿公路-马坑路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箬笠岙新村小区区间道路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广宏公寓小区区间道路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下岭新村小区区间道路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双屿六组团小区区间道路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双屿四组团小区区间道路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双屿二组团小区区间道路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双屿九组团4-10小区区间道路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牛岭锦苑小区区间道路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双屿锦园小区区间道路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五星大楼小区区间道路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104国道-康兴路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双屿小学周边道路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宁波路-箬笠岙村委会</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江湾路九组团边小巷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江湾路九组团边小巷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箬笠岙锦园1幢北侧道路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箬笠岙锦园1幢北侧道路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箬笠岙宁波路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箬笠岙宁波路-双岙公交终点站</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淘宝城周边道路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104国道淘宝城边-宁波路（物流中心）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五磊山公园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五磊山道路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牛岭山公园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牛岭山公园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垟田小游园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垟田教育新村对面小游园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山后路铁路边小游园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山后路铁路边小游园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大都市铁路边绿地</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大都市铁路边绿地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瓯浦垟东瓯王墓小游园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瓯浦垟东瓯王墓小游园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箬笠岙锦园二十三幼边绿化带</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箬笠岙锦园二十三幼边绿化带</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双岙工业区小游园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无名路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无名路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岙北路-大都市一期</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下岭中路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下岭中路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104国道至下岭高架桥下老路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下岙路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下岙路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宁波路至下岙路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下寅锦园</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下寅锦园</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营楼路至肿瘤医院围墙</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丰门山边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丰门山边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104国道口至丰门山边</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郑桥广场边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郑桥广场边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郑桥广场-龙湖售楼处</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泰丰路</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泰丰路</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迪索路至三开路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无名路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无名路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四组团1-3幢和4-7幢之间的无名路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无名路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无名路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六组团和新街之间无名路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金宏锦苑小区区间道路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金宏锦苑小区区间道路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奇伟路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三开路至鞋都大道</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二小南面通往君子峰山上无名路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凌云路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凌云路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银厦公寓外围店面道路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康华路204号河边绿化带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黄龙***北侧小巷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黄龙***北侧小巷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电信大楼-映翠3幢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箬笠岙路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烟草公司-五星大楼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映翠小区老五区内道路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映翠小区新五区内道路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康强家园小区内道路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康华路29号箬笠岙村民安置房内部道路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康强路65号安置房小区内道路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卧旗山环山道路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富锦嘉园南侧小路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金堡路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营楼花苑东首小路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丰顺花园北首沿山道路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瓯浦垟东瓯王墓沿山道路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丰门河黄龙段北侧道路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金钱庄-君子峰道路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大都市工业园区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丽龙小微园南侧小路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山后路-下岭新村</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下岭基督教堂南侧及北侧小路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山后路桥边与卧旗河边交叉小路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山后路-双岙公交始发站</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bl>
    <w:p>
      <w:pPr>
        <w:pStyle w:val="2"/>
        <w:numPr>
          <w:ilvl w:val="0"/>
          <w:numId w:val="0"/>
        </w:numPr>
        <w:ind w:leftChars="0"/>
        <w:rPr>
          <w:rFonts w:hint="eastAsia"/>
          <w:color w:val="auto"/>
          <w:highlight w:val="none"/>
          <w:lang w:val="en-US" w:eastAsia="zh-CN"/>
        </w:rPr>
      </w:pP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丰门：</w:t>
      </w:r>
    </w:p>
    <w:tbl>
      <w:tblPr>
        <w:tblStyle w:val="58"/>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380"/>
        <w:gridCol w:w="1080"/>
        <w:gridCol w:w="1080"/>
        <w:gridCol w:w="1080"/>
        <w:gridCol w:w="1080"/>
        <w:gridCol w:w="1245"/>
      </w:tblGrid>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功能区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道路名称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道路面积（m2)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长(m)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宽(m)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起--止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岩门山脚至飞禽鞋业边大桥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江边路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巨一东首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纬一路（戴宅路）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温化陶瓷厂至崇德路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屿中路（腾跃路）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330国道至工业路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潘前路北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立交桥口-氩气厂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红港广场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潘岙村委会周边道路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eastAsia="宋体" w:cs="Arial"/>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前陈南路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330国道至鞋都大道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工业路(鞋都大道）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屿南路口至屿中路口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工业路(鞋都大道）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屿中路口至巨一鞋业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利源路 沿河北路   （鞋都）</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行德路至戴宅路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鞋都二期纬二路   （利源路）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行德路至崇德路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鞋都二期纬三路    （利足路）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行德路至崇德路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鞋都三期经二路   （尚正路）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上叶菜场至上伊42号路口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鞋都三期经四路   （尚信路）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潘岙村委会至下河路口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鞋都三期纬三路    （正岙路）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尚嘉路至嘉乐鞋业门口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鞋都三期纬二路   (富伊路）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尚隆路至尚诚路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鞋都三期纬三路铁路沿线正岙进村路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330国道至尚嘉路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鞋都三期纬五路   （丁桥路）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尚隆路至环山路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鞋都三期经一路   （尚勤路）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丁桥路至上伊路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下河路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铁路口至经五路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江滨路（大趾王鞋业）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屿北路至新屿交界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屿南路（腾飞路）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330国道至屿头工业区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桑树桥头-屿南路口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利新路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崇德路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戴宅路-嵇师新街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崇德路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戴宅路-嵇师新街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宣德炉</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戴宅路-利新路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戴宅路-嵇师新街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尚诚路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慧才小学至上伊路口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潘前路-下河路口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尚隆路-尚诚路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上叶菜场至301中巴站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尚吉路</w:t>
            </w:r>
          </w:p>
        </w:tc>
        <w:tc>
          <w:tcPr>
            <w:tcW w:w="13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富伊路-郑山头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尚嘉路-贵绅鞋材门口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前陈南路北段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鞋都大道至江边新路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戴宅南路（鞋都）</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行德路至戴宅路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鹿翔路延伸段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贵绅鞋材门口至111中巴站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潘前路南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氩气厂-尚隆路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腾飞路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330国道至江滨路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江滨路（大趾王鞋业）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屿北路至岩门新路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岩门新路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岩门江边公厕至</w:t>
            </w:r>
            <w:r>
              <w:rPr>
                <w:rFonts w:ascii="Calibri" w:hAnsi="Calibri" w:eastAsia="宋体" w:cs="Calibri"/>
                <w:i w:val="0"/>
                <w:iCs w:val="0"/>
                <w:color w:val="auto"/>
                <w:kern w:val="0"/>
                <w:sz w:val="22"/>
                <w:szCs w:val="22"/>
                <w:highlight w:val="none"/>
                <w:u w:val="none"/>
                <w:lang w:val="en-US" w:eastAsia="zh-CN" w:bidi="ar"/>
              </w:rPr>
              <w:t>330</w:t>
            </w:r>
            <w:r>
              <w:rPr>
                <w:rFonts w:hint="eastAsia" w:ascii="宋体" w:hAnsi="宋体" w:eastAsia="宋体" w:cs="宋体"/>
                <w:i w:val="0"/>
                <w:iCs w:val="0"/>
                <w:color w:val="auto"/>
                <w:kern w:val="0"/>
                <w:sz w:val="22"/>
                <w:szCs w:val="22"/>
                <w:highlight w:val="none"/>
                <w:u w:val="none"/>
                <w:lang w:val="en-US" w:eastAsia="zh-CN" w:bidi="ar"/>
              </w:rPr>
              <w:t>国道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屿头小路（有线电视站）</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330国道至鞋都大道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川耕鞋业边小路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工业路前陈段至前陈二产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腾跃路北段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鞋都大道至新屿公交总站门口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岩门印刷市场周边四条道路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岩门印刷市场周边四条道路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前陈质检大楼边小路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前陈南路至万科展示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二期新路（沿河北路）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行德路至戴宅路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     （化工路）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330国道口至温化陶瓷厂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新增拓宽道路：半幅道路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嵇师村办公楼道坦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二期新路支路（戴宅南路）</w:t>
            </w:r>
          </w:p>
        </w:tc>
        <w:tc>
          <w:tcPr>
            <w:tcW w:w="13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行德路至二期新路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尚吉路</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上伊民房至郑山头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鹿翔路北延伸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尚隆路至尚嘉路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富伊路南段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尚正路至尚勤路东段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上伊路南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尚勤路东段至上伊垃圾场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慧才小学边道路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丁桥路至上叶路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慧才小学至尚正路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三期立交桥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330国道至潘前路口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潘岙自然村小路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尚吉路至尚隆路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尚隆路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尚伊路至潘岙自然村小路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上庄新路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尚诚路至村里二产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上伊进村部分道路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330国道至木材集团门口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08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鹿翔路新建道路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鹿翔路至双藤公路口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尚勤路中段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丁桥路至正岙</w:t>
            </w:r>
            <w:r>
              <w:rPr>
                <w:rFonts w:hint="default" w:ascii="Arial" w:hAnsi="Arial" w:eastAsia="宋体" w:cs="Arial"/>
                <w:i w:val="0"/>
                <w:iCs w:val="0"/>
                <w:color w:val="auto"/>
                <w:kern w:val="0"/>
                <w:sz w:val="22"/>
                <w:szCs w:val="22"/>
                <w:highlight w:val="none"/>
                <w:u w:val="none"/>
                <w:lang w:val="en-US" w:eastAsia="zh-CN" w:bidi="ar"/>
              </w:rPr>
              <w:t>111</w:t>
            </w:r>
            <w:r>
              <w:rPr>
                <w:rFonts w:hint="eastAsia" w:ascii="宋体" w:hAnsi="宋体" w:eastAsia="宋体" w:cs="宋体"/>
                <w:i w:val="0"/>
                <w:iCs w:val="0"/>
                <w:color w:val="auto"/>
                <w:kern w:val="0"/>
                <w:sz w:val="22"/>
                <w:szCs w:val="22"/>
                <w:highlight w:val="none"/>
                <w:u w:val="none"/>
                <w:lang w:val="en-US" w:eastAsia="zh-CN" w:bidi="ar"/>
              </w:rPr>
              <w:t>中巴站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尚勤路东段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正岙路口至采石场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尚勤路西段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301中巴站至正岙垃圾场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双藤公路正岙入口匝道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潘岙安置房外围便道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尚信路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岙底新村路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岩门村村内道路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屿头南路1号至169号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鼓山路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尚信路口至上庄路口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上庄路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尚信路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鼓山路至丰叶路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温金路口至尚勤路口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正岙路454号至正岙路558号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鹿翔路口至正岙路口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山庄路至嵇师新街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西排大桥至山庄路公交站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0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正岙河西侧步道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金泰丰鞋业正岙河步道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前陈南路河边游步道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330国道至卧旗水闸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洞桥山公园</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洞桥山公园道路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330国道洞桥山段南首游步道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卧旗河嵇师段步道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高速桥下至嵇师河水闸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嵇师水闸至行德桥两侧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嵇师水闸至山后桥头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戴宅山公园内道路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鼎丰鞋业对面小路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丰门路至上庄新路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富伊路北段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尚嘉路至尚隆路两侧游步道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上伊河游步道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尚嘉路至铁道两侧游步道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丰门</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尚嘉路至正岙1号桥步道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尚嘉路至铁道口步道两侧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尚诚路鹿城法院后潘岙河步道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鹿翔路被段河边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尚嘉路至尚隆路两侧游步道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富伊路下河锦园对面小公园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鹿翔路新建道路对面小公园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458.91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上叶河游步道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丁桥路至潘前路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潘岙A区工业区外围便道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丁桥路182号至236号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新生代工业区外围便道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尚勤路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潘岙B区工业区外围便道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屿头安置房外围便道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牛岭工业区外围便道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潘岙D区工业区外围便道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丰叶路至尚隆路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营楼工业区外围便道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鹿翔路、尚隆路、正岙路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鹿翔路工业园外围便道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正岙路至尚正路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屿头三产外围便道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尚吉路至正岙路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富驰工业区外围便道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尚吉璐至富伊路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下河锦园小区外围便道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尚嘉路至富伊路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鹿翔路小微园工业区外围便道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正岙路至尚嘉路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屿头二产外围便道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鹿翔路、尚嘉路、正岙路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上伊锦园、富伊锦园小区外围便道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尚信路、正岙路、富伊路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上伊工业园外围便道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鹿翔路、尚信路、尚诚路、正岙路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鹿翔路、尚正路、正岙路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望浦锦园小区外围便道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望浦锦园门口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岙底路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殿后路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岩门村村内道路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岩门村村内道路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井头路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104国道水井边起岩门村内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西湾南路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西湾中路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西湾北路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西湾东路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104国道井头路口起岩门村内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屿头北路1号至68号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屿头中路1号至52号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屿头后江路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后江路1号至78号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屿头后江北路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后江北路1号至76号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屿头石坦路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石坦路1号至26号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屿头山下路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山下路1号至66号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屿头河西路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河西路1号至10号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屿头工业区路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屿头工业区路1号至12号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安心公寓内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安心公寓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大马巷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大马巷四十三弄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前中巷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前浦巷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前陈路三十九弄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电镀一路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电镀二路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电镀三路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尚撑路至尚正路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戴宅路9弄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戴宅路9弄1号至戴宅山下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戴宅路40弄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戴宅路40弄至戴宅陕西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戴宅路75弄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戴宅中路2号至戴宅山下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戴宅路62弄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戴宅62弄至戴宅山下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戴宅中路1号至戴宅75弄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戴宅路52弄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戴宅52弄至中路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戴宅至蔡庵路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戴宅路108号至蔡庵路38号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嵇师北路至菜场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嵇师北路50号至嵇师村老人亭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嵇师北路10弄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嵇师北路12号至崇德桥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嵇师东路至西路顶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嵇师东路至西路顶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嵇师东路单号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嵇师西路至嵇师菜场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嵇师西路125号至嵇师菜场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嵇师南路至嵇师庙口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嵇师囊了38弄1号至嵇师庙口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金竹庵路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山庄路1弄至顶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金竹庵东路至北路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金竹庵东路4弄至北路20弄37号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屿头村内道路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潘岙村内道路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正岙村内道路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6682.5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戴宅路1号至108号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新屿社区剩余道路总面积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19473.8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新屿社区内道路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仰义：</w:t>
      </w:r>
    </w:p>
    <w:tbl>
      <w:tblPr>
        <w:tblStyle w:val="58"/>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1260"/>
        <w:gridCol w:w="1350"/>
        <w:gridCol w:w="1170"/>
        <w:gridCol w:w="1065"/>
        <w:gridCol w:w="825"/>
        <w:gridCol w:w="1980"/>
        <w:gridCol w:w="7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功能区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道路面积（m2)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长(m)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宽(m)</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起--止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37193.47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国道线—慈母路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145858.96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洞桥山脚—瓯江大桥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14654.2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水库山脚—高速桥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沿旺路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9854.73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104国道—沿康路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沿兴路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40156.09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1944.2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沿荣路—连墩河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沿吉路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8418.51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沿发路—连墩河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沿发路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11035.8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19491.62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沿繁路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15593.73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沿绣路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3792.25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沿繁路—沿程路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沿荣路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国道线—沿兴路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4163.95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104国道—围墙边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9537.06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104国道—围墙边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官岭西路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10906.07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建新路—无名路6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澄沙桥路—文汇路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7034.41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339.5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工业路—国道线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3602.05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官岭西路—绕城北路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3989.92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官岭西路—绕城北路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11058.22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官岭西路—330国道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6367.5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建新路—官岭南路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绕城北路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4370.98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建设路—官岭南路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沿繁路2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仰义街延伸段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国道线—瓯江路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沿程路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国道—涂上路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4465.74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后京闸门—瓯江路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13406.82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1772.6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瓯江大桥—藤桥镇界</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3222.97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官岭西路—工业路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3515.15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建新路—前京路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工业路—前京路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前京中心街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2963.39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沿达路—前京新街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6012.54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104国道—涂上路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沿兴路—江边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沿吉路23号-沿旺路3号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1297.56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沿旺路—连墩河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沿康路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8176.04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沿吉路—江边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沿锦路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4810.72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沿繁路—沿程路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沿康路2号-沿发路16号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1308.23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沿发路—沿康路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4584.32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工业路—国道线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11944.24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官岭西路—330国道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涂上路1-4号旁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涂上路1-4号旁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3950.42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295.5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沿兴路112号旁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1309.54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沿兴路—围墙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沿荣路10号旁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865.76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沿荣路—河岙南路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沿盛路42号-沿荣路11号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3837.51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沿昌路—沿荣路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沿盛路42号-沿荣路11号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沿昌路—沿盛路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沿荣路延伸段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沿兴路—瓯江路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洞桥工业区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文武新街—国道线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洞桥山脚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1190.97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国道线—老乡政府</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3102.11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330国道—工业路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330国道—绕城北路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瓯江路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未外包路段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瓯江路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76480.95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沿达路—丰门界（没移交已外包）</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渡口路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766.51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龙井路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3281.35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5982.81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龙井路—渔渡庙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2379.25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1273.98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龙水路三十二弄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龙井路—龙达路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渔腾路五十五弄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渔藤路—龙水路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渔渡北路二十弄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渔腾路四十三弄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渔渡路—渔渡北路11号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渔腾北路十三弄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渔渡北路7弄—渔渡中路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1070.03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渔藤路—渔渡中路55弄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1875.73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渔渡中路五十弄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渔渡中路三十四弄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渔渡南路二弄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渔渡中路18弄—渔渡南路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渔腾路二十七弄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渔藤路—渔藤南路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渔腾路二十弄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1709.01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渔渡三路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1829.51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渔藤路九弄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龙达路35号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龙达路—渔渡北路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2544.52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渔渡安置房道路5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939.66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渔藤路—安置房道路3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渔渡中路—渔藤路27弄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渔渡南路一弄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渔渡南路六弄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渔渡南路五弄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渔藤北路13弄—渔渡中路10弄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渔渡中路14号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渔渡北路7弄—渔渡中路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渡口路20号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渡口路—山边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渔藤路458号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渔藤路—十里二产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渔渡一路北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4298.88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渔渡北路—渔渡中路14号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龙井路—龙水9号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612.53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龙达路23号—龙水路2号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龙水路口—居民住宅</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龙达路15号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龙达路23号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龙水路—龙达路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渔渡北路60号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龙达路—渔渡北路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渔渡安置房道路1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渔渡北路60号—龙达路35号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渔渡安置房道路4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渔渡北路60号—龙达路35号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渔渡安置房道路3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841.59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龙达路35号—渔渡安置房道路5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渔渡安置房道路2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龙达路35号—渔渡安置房道路5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渔藤路—渔渡北路11号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渔渡北路7弄—渔渡北路13弄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渔藤路43弄—渔渡北路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龙达路35号—渔渡北路11号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渔藤路二十一弄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渔藤路—渔藤南路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渔藤路二十二弄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渔藤路—寺庙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渔藤一路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渔藤路三十八弄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渔渡北路—住宅</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2664.15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104国道—上涂路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3011.99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5343.35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上涂路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沿达路——上涂路1号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上马巷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2308.25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后京北路—沿发路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上马巷7号-后京北路61号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上马巷7号-后京北路61号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后京北路63号-99号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后京北路61号—上马巷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上马巷4号-后京北路87号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上马巷4号-后京北路87号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后京77号-81号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后京77号-后京北路81号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后京北路91号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上涂路——后京北路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上涂路1号-沿兴路4号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上涂路—沿兴路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上涂路2号-沿兴路5号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上涂路—沿兴路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后京北路61-3号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后京北路61-3号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后京北路55号-57号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后京北路55号—后京北路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后京北路45号-39号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后京北路45号—后京北路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后京北路29号-27号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后京北路29号—后京北路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后京北路10号-21号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后京北路10号—后京北路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后京北路23号-13号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后京北路23号—后京北路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后京北路11号-15弄2号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104国道—幼儿园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后京南路22号-后京南路26号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后京南路22号-后京南路26号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后京北路48号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后京北路81号—后京北路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后京中路54号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后京北路81号—民房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后京北路85号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后京北路11号-1号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后京北路11号—后京北路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后京中路2号后京南路3号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后京中路—后京南路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后京中路4号-12号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后京中路4号-12号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后京中路14号-后京南路9号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后京南路8号-沿达路112号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后京中路22号-后京南路31号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后京南路52号-37号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后京中路28号-后京南路41号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后京中路40号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后京南路62号-沿达路43号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后京南路62号-沿达路43号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后京南路50号-沿达路46号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后京南路50号-沿达路46号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后京南路48号-沿达路42号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后京南路48号-沿达路42号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后京南路30号-沿达路32号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后京北路18号后京中路21号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北路—中路29号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后京中路23号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后京北路32号-后京中路32弄2-1号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后京北路—后京中路29号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后京北路42-后京中路29号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后京北路81号-后京中路52号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金丽温高速后京安置房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金丽温高速后京安置房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沿达路一百十二号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沿达路一百十二号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沿达路至后京南路河边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沿达路—后京南路口河边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795.67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后京南路—沿达路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前京北路16号旁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前京南路3弄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前京南路3弄—前京南路29弄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道路(21)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前京南路3弄1号—民房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前京南路3弄1号旁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前京南路3弄—前京北路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前京南路17号旁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前京南路—前京南路3弄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前京南路19号旁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前京南路—前京南路3弄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前京南路29弄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前京南路—前京北路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前京北路33号旁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前京北路39号旁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前京北路40号旁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前京南路57号-前京北路42号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前京南路57号-前京北路42号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前京南路—前京北路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前京南路47号旁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前京南路45号旁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前京南路39号旁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前京北路48-(47-1)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前京南路67-纬八路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前京南路77-85号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771.06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前京南路—涂山路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前京涂上（道路(42)）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1496.31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沿达路—沿繁路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涂上路11号旁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涂上路7-12号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2720.93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涂上路1-4号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837.97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104匝道—前京涂上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前京南路78-101号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1133.51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纬八路—沿达路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道路(50)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4622.67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涂上路—高速桥下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道路(51)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前京家园—高速桥底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道路(52)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995.71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前京家园—高速桥底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前京南路26号-前锦家园</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前京南路—前锦家园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道路(54)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前锦家园—民房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涂上路26号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涂上路36号—民房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涂上路36号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涂上路39号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涂上路39号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涂上路40号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涂上路—涂上路58号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涂上路46-49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涂上路—涂上路58号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涂上路54-58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涂上路—涂上路58号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涂上路58-63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1017.73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涂上路58号—沿兴路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汤堡后巷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4907.49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330国道—铁路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前京南路48-64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前京南路—前锦家园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前京汤堡前巷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国道线—高速边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前京汤堡高速边道路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汤堡前巷—黄山路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国道线—高速边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3774.83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330国道—汤堡后巷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河岙新村二十八弄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河岙商业街—河岙新村2弄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河岙新村四十六弄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708.15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河岙商业街—河岙新村2弄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2131.88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104国道—河岙庙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2417.84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104国道—前京涂上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河岙商业街—河岙村委会</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河岙商业街13号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河岙商业街23号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河岙商业街—沿程路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河岙商业街6号-河岙新村八弄8号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河岙商业街20号-河岙新村二弄4号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河岙商业街—河岙新村2弄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河岙新村二弄8号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河岙新村二弄01号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河岙新村二弄11号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河岙新村二弄12号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河岙商业街52号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河岙商业街54号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河岙商业街58号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河岙商业街77号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十里村1号道路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汤堡前巷—山边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十里村2号道路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330国道—十里庙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十里路40号-1号—民房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汤堡前巷—十里路40号-1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十里路2号旁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330国道—道路4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十里路40-1号旁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十里中路38号旁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330国道—十里道路4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十里村3号道路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十里路—十里1号道路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十里中路5-23号旁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十里中路1号旁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十里中路32号旁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沿昌路88号旁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金贵鸟鞋业有限公司-吉祥公寓6幢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沿荣路—厂房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吉祥公寓6幢后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吉祥公寓6幢前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十里村安置房7-8幢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经二路—厂房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十里村安置房8幢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经二路—厂房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十里村安置房9幢旁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经二路—新家乐超市旁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十里村安置房9幢前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884.84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经二路—新家乐超市旁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十里村安置房10幢前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663.12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经二路—新家乐超市旁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新家乐超市旁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1048.29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沿昌路—沿盛路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仰义***西南1门出口旁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沿昌路—沿盛路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沿盛路103号旁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沿盛路—馒头驻新村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沿盛路103号前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沿盛路—馒头驻新村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5727.31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5.7～6.7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6619.87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仰义街—大川路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湾底路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727.61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龙川路—河道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龙川后路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1442.61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龙川村4号道路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龙川路14号旁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龙川村3号道路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铁路—仓储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龙川村1号道路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龙川村2号道路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3729.08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前京汤堡—龙川路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龙川路47号旁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龙川路45号旁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龙川后路3弄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龙川后路18号—民房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龙川庙至老人活动中心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龙川路15号旁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大川路92号旁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大川路81号旁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大川路77号旁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大川路34号旁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大川路32号旁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大川路26号旁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龙川路177号旁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龙川后路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龙川路108号旁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龙川路105号旁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龙川路94号旁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龙川路76号旁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龙川后路18号旁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龙川路61号旁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龙川路51号旁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慈母路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4540.56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河岱山脚—澄沙桥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洞林路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1179.44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水库山脚—澄沙桥教堂</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1016.51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澄沙桥路255弄—田边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3552.65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陈村路—文武路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13361.5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澄沙桥路—变电所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3006.39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文武路—老街道口</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澄沙桥一百七十弄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908.97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澄沙桥一百九十二弄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澄沙桥路二百六十弄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澄沙桥路—276弄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澄沙桥路二百七十六弄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澄沙桥路二百二十九弄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澄沙桥路二百五十五弄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文武路二十八弄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2554.95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1169.79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592.02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1227.18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慈母路—河岱公厕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澄沙桥路一百三十九弄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677.86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澄沙桥路203号—194号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型田路—型田河边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809.12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澄沙桥路504号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洞林路—山边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澄沙桥路500号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澄沙桥路511号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澄沙桥路376号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2519.79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仰新菜场—垟山村委会</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澄沙桥路340号-330号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澄沙桥路338号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澄沙桥路—255弄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255弄—田边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陈村河—民房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3922.91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文武路—仰义中学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澄沙桥路316号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澄沙桥路312号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澄沙桥路三百零八弄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2218.76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澄沙桥路246号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无名道路(29)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1844.18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694.6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255弄—文武路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陈村路255弄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255弄—公厕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陈村路255弄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仰义中学—255弄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澄沙桥路222号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澄沙桥路279号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澄沙桥路272-1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澄沙桥路66号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澄沙桥路217号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澄沙桥路210号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澄沙桥路209号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无名道路(43)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682.98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澄沙桥路164号—澄沙桥路308弄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澄沙桥路164号-187号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1798.15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澄沙桥路203号-194号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1777.65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澄沙桥路—260弄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澄沙桥路191号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澄沙桥路179号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澄沙桥路183-1号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203-194号—民房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澄沙桥路185号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203-194号—民房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澄沙桥路161号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澄沙桥路159号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澄沙桥路236号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澄沙桥路230号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澄沙桥路155号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澄沙桥路228号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澄沙桥路220号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澄沙桥路198号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澄沙桥路192弄—民房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澄沙桥路164号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613.02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澄沙桥路125号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文武路117-2号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文武新街H幢1号-澄沙桥路69号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澄沙桥路—文武新街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杨柳江工业区81号-澄沙桥路53号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2199.22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澄沙桥路—文武新街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仰义澄沙桥工业区A幢4号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772.33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澄沙桥工业区E幢1号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645.89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澄沙桥工业区E幢1号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文武新街—民房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无名道路(73)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721.31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文武路—文武殿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文武路14号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文武路16号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文武路18号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文武路35号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无名道路(103)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型田路27号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无名道路(108)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文武路—陈村河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范桥新街路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748.74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澄沙桥路—仰义新街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19293.45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仰义河—范桥路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7015.23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仰义中学—陈村路34-47号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6730.51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潘川路—无名路32号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范桥中路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潘川路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4257.86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范桥中路三十二弄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范桥中路二十六弄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范桥中路十二弄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陈村路—陈村路8—25号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陈村路一弄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潘川路十弄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占下路2号-(3-1)号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占下路庙边1号-陈村路1号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占下路—陈村路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占下路11-15号旁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占下路30号旁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占下路20-37号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陈村路34-47号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占下路—陈村路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陈村路30号旁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陈村路51号旁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1075.91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陈村路—陈村路7弄42号旁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陈村路28-45号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474.27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陈村路—占下路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1079.53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范桥新街—多美丽幼儿园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1049.95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范桥新街—围墙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陈村路至陈村路1弄8号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陈村路7弄5号-3号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陈村路1弄7号旁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陈村路13号旁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陈村路7弄8号-25号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陈村路7弄31号旁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陈村路7弄35号旁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陈村路7弄24号旁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陈村路43号旁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陈村路47号旁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范桥中路26弄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范桥中路—范桥路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潘川路34号旁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无名道路(32)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1139.99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无名道路(33)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陈村路1弄—民房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占下路35-38号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占下路35号前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湾底路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仰义街—移民区3-5栋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移民区垟山5幢旁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移民区3-5栋—无名道路6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移民区垟山3-5幢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湾底路—围墙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移民区垟山4幢旁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移民区3-5栋—无名道路6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移民区垟山3幢旁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移民区3-5栋—无名道路6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湾底路—围墙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垟山村村委会旁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移民区垟山2幢旁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移民区垟山1幢旁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无名道路6—仰义街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垟山村一号道路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1565.19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黄山新街7-11幢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黄山新街11幢旁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3892.95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330国道线—高速边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2719.72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高速—330国道边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2581.98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高速—330国道边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高速—330国道边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仰兴大街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655.24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金温铁路旁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黄山路—龙川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钟山新街2-3幢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钟山新街9至18幢旁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钟山新街11-12幢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农贸市场旁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钟山新街13栋旁—仰兴大街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农贸市场前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848.67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农贸市场旁—围墙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道路(28)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仰兴大街—外埠头5-6栋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仰兴大街—外埠头1-2栋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外埠头一组团1-2幢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698.38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仰兴大街—道路28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外埠头一组团3-4幢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外埠头1-2栋—外埠头3-4栋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外埠头一组团4幢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外埠头3栋—道路28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外埠头4栋—仰兴大街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外埠头3栋—外埠头5栋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外埠头一组团5-6幢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726.84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仰兴大街—高速边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外埠头一组团7幢旁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仰兴大街—民房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沿盛路—馒头驻村6-11幢前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馒头驻村20幢旁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馒头驻村21幢旁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馒头驻村12-21幢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1176.44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馒头驻村17幢边—21幢边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馒头驻村6-11幢前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2145.15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104国道—围墙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馒头驻村11幢旁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馒头驻村6-11幢后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1303.77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4-6边—11幢旁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馒头驻村4-6幢旁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6-11前—馒头驻3幢边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6-11后—4-5幢后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馒头驻村4-5幢后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4-6幢—围墙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4-5幢后—3幢旁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馒头驻村3幢旁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4-6幢旁—围墙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钟山新街20幢旁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仰义新街1-2幢后—19幢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仰义新街1-2幢后—19幢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钟山新街19弄1号旁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仰义新街1-2幢后—19幢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仰义新街1-2幢后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仰义菜场—19幢1号边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1-2幢后—1-2幢前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1-2幢后—1-2幢前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仰义新街1-2幢前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1333.02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菜场—民房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仰义大厦旁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1-2幢前—仰义街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仰义新街A-B幢前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范桥新街—仰新大街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仰义新街A幢旁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AB幢前—AB幢后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仰义新街A-B幢后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范桥新街—仰新大街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仰新社区1号道路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河岱路—仰新社区B21幢前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仰新社区1号道路—C1号旁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C1后—仰新社区C3旁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仰新社区C2-C3后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1025.91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仰新社区1号道路—C3号旁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仰新社区C2旁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C2—C3后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仰新社区C3旁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C2-C3后—C5-C6后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仰新社区C4幢前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1号道路—C5-C6后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仰新社区C5-C6后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C4幢前—C3号旁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仰新社区C5旁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C4幢前—C7-C9后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仰新社区C6旁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C5-C6后—C7-C9后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仰新社区C7-C9后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1122.12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1号道路—C6-C17幢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仰新社区C8旁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C7-C9后—C7-C9前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仰新社区C9旁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70.92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C7-C9后—C7-C9前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仰新社区C7-C9前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2514.23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1号道路—C6-C17幢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仰新社区C6-C17幢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1020.04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C3旁—C15幢前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仰新社区C10-C13幢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C7-C9前—C13-C15后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C7-C9前—C13-C15后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仰新社区C13-C15幢后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C10-C13—C6-C17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142.48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仰新社区C13-C15幢前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1715.59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1号道路—C6-C17幢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仰新社区B18幢旁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仰新社区B21幢后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仰新社区B21幢前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804.29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仰新社区B23幢旁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1号道路—民房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仰新农贸市场旁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2713.91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仰新社区C13幢旁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仰新社区2号道路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仰义街—澄沙桥民房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仰新社区A11-12幢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仰义街—A10幢旁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仰义街—A3-11幢后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仰义街—A3-11幢后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仰新社区A3-11幢后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970.01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A11-12幢—田边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A3-11幢后—A3-11幢前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A3-11幢后—A3-11幢前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仰新社区A3-11幢前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1205.21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A11-12幢—田边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A3-11幢前—A5幢旁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A3-11幢前—A5幢旁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A3-11幢前—A5幢旁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A16-26幢旁—A6幢旁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A16-26幢旁—A6幢旁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A16-26幢旁—A6幢旁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仰新社区A16-26幢旁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1955.65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仰新社区A22幢旁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A16-26幢边—A15-26幢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A16-26幢边—A15-26幢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A16-26幢边—A15-26幢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仰新社区A15-26幢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1619.54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15-25幢—15-26幢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5-25幢—15-26幢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5-25幢—15-26幢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仰新社区A15-25幢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1359.47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仰新社区D6-8幢后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1617.85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2号道路—阳新社区D2-D6幢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仰新社区A24幢旁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A15-25幢-D6-8幢后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仰新社区A15-25幢旁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A15-25幢-D6-8幢后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仰新社区D2-D6幢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569.55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A15-25幢-民房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D6-8幢后-D6-8幢前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D6-8幢后-D6-8幢前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仰新社区D6-8幢前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1356.96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2号道路—D2-D6幢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D6-8幢前—D2-D3幢后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仰新社区D2-D3幢后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D1-D5幢—D2-D6幢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仰新社区D1-D5幢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D6-8幢前—民房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D2-D3幢后—D2-D3幢前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仰新社区D2-D3幢前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D1-D5幢—民房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仰新社区D1幢旁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D2-D3幢前—民房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秀峰路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滨江地块口-林里小学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林瞿路西段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林里小学-阳光100A-02地块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双藤路仰义段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85550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丰门段-藤桥段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标项2</w:t>
      </w:r>
    </w:p>
    <w:p>
      <w:pPr>
        <w:pStyle w:val="54"/>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藤桥镇：</w:t>
      </w:r>
    </w:p>
    <w:tbl>
      <w:tblPr>
        <w:tblStyle w:val="58"/>
        <w:tblW w:w="10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763"/>
        <w:gridCol w:w="1896"/>
        <w:gridCol w:w="1216"/>
        <w:gridCol w:w="1020"/>
        <w:gridCol w:w="851"/>
        <w:gridCol w:w="1980"/>
        <w:gridCol w:w="76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功能区</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道路面积（m2)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长(m)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宽(m)</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起--止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双藤公路</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渔藤路至宝昌岭隧道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泰新街</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南市中路——菜场口</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南街</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公交车站——一桥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渔藤红绿灯口——公交车站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北街</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一桥——育才口</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昌源路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南街——泰新街转盘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渔藤公路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瓯海大道--官岭隧道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中央大道（东段）</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29974.5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 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（东 侧 为 交 叉 口 车 道 加 宽 至 56 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盛园路—纵二路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横三路（东段）</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9701</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 段 为 15 米，东 段 为 21 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纵二路—纵五路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纵二路</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3614.9</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 段 26 米，北段 20 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中央大道—横三路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盛园路(南段）</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52997.912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1302.16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渔藤路-戍浦江路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盛园路（北段）</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戍浦江路-戍浦北路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北市西路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竹城路-藤桥中学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G330国道</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官岭隧道出口至外垟亭桥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育才路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北街——育才小区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滨江路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一桥——泰新街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纵七路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42877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809</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横三路--戍浦南路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中央大道</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纵八路——纵五路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横三路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周徐西出口——溪江路交叉口</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溪江路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中央大道——渔藤公路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上岸村--上潮沈岙村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沈湾路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28304.404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1530.488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创达路-创荣路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创达路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8717.388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714.54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沈湾路-创荣路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创强路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22862.028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1555.24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溪江路-竹桥路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戍浦北路（园区段）</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26464.32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1102.68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周徐路-竹桥路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创荣路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16180.97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1244.69</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渡头南路-纵七支三路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横三支一路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1039.11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109.38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纵七支二-中央大道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纵七支一路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1582.672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141.31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创荣路-中央大道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纵七支三路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2776.592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247.91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创荣路-中央大道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盛业路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8994.816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737.28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渔藤路-戍浦江路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盛通路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8196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渔藤路-戍浦江路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盛丰路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14840.565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723.93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渔藤路-戍浦江路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戍浦江路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28433.58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1353.98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盛丰路-营上村北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盛宇路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22979.58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1126.45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周岭路-龙泉头路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盛昌路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13263.25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1061.06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龙泉头路-盛业路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盛发路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15824.756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1276.19</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龙泉头路-盛业路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龙泉头路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5410.944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443.52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上戍龙泉头三港观-渔藤路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前大岙巷路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1446.808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176.44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渔藤路-横八路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纵一路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10613.756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869.98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纵一支一路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2039.52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169.96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渔藤路-戴宅村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纵一支二路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4343.0833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338.51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渔藤路-戴宅村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横八路</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35948.988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3328.61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盛业路-渔藤路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43108.7455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4983.67</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竹桥路-石林环线，外大线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沿江路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6684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北市东路-石林环线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泰清路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泰新街-垃圾转运站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Y285上雅线（南市路除外）</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9848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南市西路--渔藤路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北街——弘扬街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石鼓路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竹城路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北市路-育才小区北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仓储路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迎丰路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乡巷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下埠头路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北街1弄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北街12弄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北街18弄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北市中路20弄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北市中路28弄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北市中路46弄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北市中路60弄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北市中路80弄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北市中路92弄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北市中路106弄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北市中路138弄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育才路112弄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竹城路46弄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迎丰路1弄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乡巷2弄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乡巷22弄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乡巷44弄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石鼓路156弄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汇头巷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北市中路12弄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殿岭巷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戍潮路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上北山巷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下北山巷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下北山巷十八弄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下北山巷五十三弄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戍浦北路九百八十九弄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上北山巷十弄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上北山巷四十六弄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大厂巷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呈岸后巷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呈岸路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环村路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渡平路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曙安巷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曙吉巷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渠东路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上马石路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安康路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沿渠路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（含沿渠北路）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埭头路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埭头路333弄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谢康路54弄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谢康路36弄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谢康路37弄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北市西路114弄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北市西路92弄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戴宅路1弄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前大岙巷25弄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渔藤路309弄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戴宅路25弄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戴宅路51弄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前大岙巷13弄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戴宅路3弄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龙泉头路17弄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龙泉头路23弄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官岭山巷16弄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官岭山巷8弄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龙泉头路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戴宅路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官岭山巷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前大岙巷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纵一支一路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纵一支二路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横八路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山河路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石鼓路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竹城路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北市路-育才小区北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呈祥巷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底垟巷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公园巷43弄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公园巷36弄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戍浦南路599弄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戍浦南路617弄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戍浦南路657弄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戍浦南路673弄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渡头东路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曹湾路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渡头东路三十五弄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渡头东路五十三弄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渡头东路六十三弄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渡头东路八十七弄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渡头南路十二弄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渡头南路二十八弄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渡头南路八十四弄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C038方枫线</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6941.1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渔藤路-戍浦北路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方隆北巷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方隆南巷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方隆中巷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方滨路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方隆村南巷二十六弄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方隆村南巷五十六弄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方隆沿港巷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枫林岙东巷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枫林岙西巷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枫林岙渡门巷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枫林岙路十四弄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枫坪新村</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枫林岙路九弄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枫林岙路一百零二弄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枫景路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枫景北路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西湖园路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石介路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汇昌路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垟塘路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汇丰巷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江新路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山头岭脚</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金马路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育才路-美展五金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金坦巷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陈宅巷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马石厂巷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马屿巷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坎上路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戍浦南路221弄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戍浦南路245弄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戍浦南路271弄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戍浦南路253弄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戍浦南路277弄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戍浦南路303弄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戍浦南路295弄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泰垟路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环山路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龙泽巷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龙栖巷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龙霞巷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龙冠巷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龙宁巷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龙跃巷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泰源巷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岭下东巷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岭下中巷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戍浦南路15弄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岭下中巷20弄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戍浦南路17弄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戍浦南路57弄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戍浦南路45弄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戍浦南路65弄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南昌巷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乡头巷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泰新街360弄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南昌巷6弄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南街28弄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南街209弄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南街233弄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南街266弄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前河巷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戍浦北路六百九十四弄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戍浦北路六百六十弄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戍浦北路六百三十二弄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前林路44弄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C043方山线</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渔藤路-渔藤路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彩石路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上湾路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上湾路1弄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上湾路2弄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渔藤路783弄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渔藤路793弄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埠塘巷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埠心路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沿埠路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7741.5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上埠头路七十四弄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上埠头路四十八弄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上埠头路五十九弄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上埠头路三十四弄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埠塘巷十三弄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埠塘巷二十五弄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埠心路五十六弄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埠心路八十四弄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埠心路四十九弄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下屿巷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库银巷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西山头巷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上桥路八十一弄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上桥路六十八弄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上桥路三十二弄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上桥路三十四弄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上桥中路二十二弄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上桥中路二十八弄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上桥中路五十二弄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戍浦北路三百一拾零弄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戍浦北路二百九十八弄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库银巷十弄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库银巷五弄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库银巷三十二弄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库银巷三十七弄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库银巷一十二弄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寺东路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寺南路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寺西路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东岸路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昌源路86弄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昌源路160弄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滨江路3弄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滨江路4弄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滨江路9弄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滨江路10弄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南市东路24弄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东岸路27弄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东岸路34弄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寺南路13弄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寺南路18弄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山农路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石埠巷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南市西路20弄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南市西路34弄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南市西路57弄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南市西路62弄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南市西路73弄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南市西路81弄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南市中路21弄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南市中路265弄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鞍源路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河头巷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河头新村</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河岸巷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环山北路外垟段</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外垟东巷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外垟东巷十五弄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外垟东巷三十八弄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外垟东巷七十六弄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外垟中巷二十三弄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外垟中巷五十九弄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外垟东巷五十弄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西山下北巷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西山下路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西山下南巷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西湾路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西湾中巷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下岸南路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渔藤路110弄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渔藤路180弄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下岸中路23弄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下岸中路20弄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下岸中路41弄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下岸中路54弄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下岸中路62弄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下岸中路82弄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下巨路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下巨中巷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谢康路54弄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谢康路32弄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谢康路98弄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谢康路35弄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河东路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河东路13弄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下庄路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北市西路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昌源路下庄段</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新村路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间堂巷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雅石巷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雅漾路54弄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雅漾路94弄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雅漾路104弄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集金巷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观浦路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汇金巷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C018石垟线（垟岸路除外）</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3964.8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石林环线-垟岸路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垟岸路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营滨路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营上路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营岭巷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戍浦南路八十五弄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戍浦南路九十三弄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戍浦南路一百十五弄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戍浦南路一百二十九弄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戍浦南路一百四十七弄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戍浦南路一百五十九弄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营上路四十弄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营上路五十弄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营上路五十八弄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油岙路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渠边巷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油马路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巷口路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介塘路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永庆路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樟金路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樟村路21弄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樟村路29弄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樟村路35弄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樟村路38弄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樟村路130弄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樟村路138弄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樟枫路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樟枫路69弄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樟金路19弄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樟金路25弄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巷口路2弄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巷口路6弄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巷口路8弄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垟头巷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殿前路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支岙东路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支岙中路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支岙中路59弄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支岙西路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水碓巷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水碓巷19弄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梨园路29弄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梨园路41弄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梨园路51弄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戍浦南路457弄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周徐路107弄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周徐路121弄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周徐路134弄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周徐路59弄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周徐路38弄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周徐路62弄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周徐路14弄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周徐路23弄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周徐路18弄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周徐路86弄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周徐路97弄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上沈后巷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外上沈巷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上沈巷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竹桥路3弄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戍浦北路525弄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竹桥路九弄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竹桥路壹弄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镇国寺新村</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潮济路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潮济路41弄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潮济路67弄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潮济路至溪源路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潮济路57弄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潮济路68弄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溪源路八百弄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溪源路八百一十弄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雅漾路112弄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雅漾路116弄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雅漾路122弄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雅漾路128弄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雅漾路140弄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雅漾路164弄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雅漾路190弄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雅漾路202弄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大塘路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埠塘路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溪源路950弄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溪源路960弄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溪源路990弄</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泰新街转盘北段背街小巷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8840.47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沙园工业区</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3295.67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服饰园区</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22011.45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上寺西工业园区</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244.95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藤桥镇</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乐业、沙浴小区</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12616.53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bl>
    <w:p>
      <w:pPr>
        <w:pStyle w:val="54"/>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山福镇：</w:t>
      </w:r>
    </w:p>
    <w:tbl>
      <w:tblPr>
        <w:tblStyle w:val="58"/>
        <w:tblW w:w="100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780"/>
        <w:gridCol w:w="1860"/>
        <w:gridCol w:w="1230"/>
        <w:gridCol w:w="1050"/>
        <w:gridCol w:w="1155"/>
        <w:gridCol w:w="1620"/>
        <w:gridCol w:w="70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功能区</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道路面积（m2)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长(m)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宽(m)</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起--止</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道路等级</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临江东街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1652.25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5.417213115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330国道至相宅路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壬临线</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7653.82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630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12.14892063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瓯江五桥至330国道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临江西街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80.38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2.592903226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临江西街134弄至临江西街116弄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291150.05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21450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13.5734289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临江东街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10790.80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1041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10.4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临江西街至330国道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临江西街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9418.91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12.4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壬临线至临江东街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德嘉路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7030.77</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554</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12.69092058</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330国道至沙头船渡码头</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工匠路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2451.05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206</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11.89830097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润新路至德嘉路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工匠路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2360.01</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204</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11.56867647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众纬路至润新路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致信路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1651.84</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117</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14.1182906</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众纬路至润新路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致信路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2376.26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11.70571429</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润新路至德嘉路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润新路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7139.86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549</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13.00520947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330国道至盛福路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众纬路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6054.45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517</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11.71073501</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330国道至盛福路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盛福路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6274.03</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众纬路至德嘉路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江南西路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7432.77</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1044</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7.119511494</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村西侧河至江南小学</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江南中路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4653.34</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850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5.474517647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江南西路至龙门禅寺</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江南东路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2723.38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6.80845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江南小学至330国道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双潮路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3667.18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1163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3.153207223</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潮埠街1弄以东</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朝阳路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3440.32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8.709670886</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溪北路至双潮路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驿头路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4074.81</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490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8.315938776</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山根村委会西侧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899.62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东至沙头路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693.67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沙滨路北侧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沙头村16#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947.69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东北至众纬路，西南至润新路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沙头村17#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1354.85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1776.05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北至沙头路189弄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5239.33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681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7.7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沙头路189弄至牌坊巷以南约93米。</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沙头村29#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911.68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沙头路至330国道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1223.91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西南至沙头路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1240.91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6.4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德嘉路至德嘉木业有限公司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沙头村39#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2278.65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德嘉木业有限公司西侧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沙头村48#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994.21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润新路至德嘉路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626.19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330国道至江南西路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1795.76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江南西路至江南中路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386.90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西北至江南中路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1477.63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西起江南中路，东至山边</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468.59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330国道至江南西路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666.39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330国道至江南西路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江南村22#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405.36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江南村25#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439.12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330国道至郑大垟路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郑大垟路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4413.07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330国道至沙头路189弄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江南村32#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618.30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郑大垟路西南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江南村37#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706.68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330国道至郑大垟路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仙岩路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1797.50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庄岩路至金温铁路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江秀村3#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1121.08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江秀村4#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667.15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江秀村5#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603.65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江秀村22#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763.29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选岙新村西及南面</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相宅路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1621.33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金温铁路南面</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选岙路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1513.67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下龚巷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1311.36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选岙巷至隆鑫路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隆鑫路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5035.35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江秀村37#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439.70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330国道至隆鑫路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仙岩路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2994.92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330国道至庄岩路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庄岩路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646.85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庄岩路128弄南侧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庄岩路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2173.06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330国道至庄岩路27弄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古井巷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3707.92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745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临江渡至临江东街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后支路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748.51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170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古井巷西侧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后支路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506.62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114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古井巷东侧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骑兵巷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450.00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213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临江东街北侧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2804.45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272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临江东街北侧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垟江村11#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418.89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99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八角亭西侧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站前路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3733.77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516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临江西街至330国道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垟江村14#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419.55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95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临江东街南侧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盈仁路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1561.35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315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站前路至临江东街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垟江村19#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569.33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171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临江东街至前盈路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411.79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115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临江东街至前盈路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前盈路42弄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659.64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117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前盈路北侧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前盈路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3447.29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628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前盈路至盈泰路68弄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前河巷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962.35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176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前盈路至前安路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前盈路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1099.87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212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站前路东侧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垟江村37#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614.91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160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盈泰路108弄至盈泰路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盈泰路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650.71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142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盈泰路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568.18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129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盈泰路68弄至前安路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前安路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1872.61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438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330国道至前盈路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前丰路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1490.43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316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330国道至前盈路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垟江村43#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910.33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291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330国道至前盈路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垟江村44#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1011.89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237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骑兵巷五十弄北侧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垟江村46#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364.64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93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后支村村民委员会北侧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垟江村49#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651.66 </w:t>
            </w:r>
          </w:p>
        </w:tc>
        <w:tc>
          <w:tcPr>
            <w:tcW w:w="10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134 </w:t>
            </w:r>
          </w:p>
        </w:tc>
        <w:tc>
          <w:tcPr>
            <w:tcW w:w="115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前丰桥西南侧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444.23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镇西路东侧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582.01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124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镇西路西侧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望洲路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4428.03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330国道至壬临线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663.74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望洲路至下湾南路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下湾路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2878.93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望洲路以南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下湾路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129.11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南至下湾路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下湾南路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1183.13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下湾路南侧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215.44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望洲路至下湾路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横山村22#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1507.09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下湾路至壬临线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594.98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望洲路至壬临线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上岸路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2610.90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壬临线以东，临江西街以北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1274.87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西起河流，东至永福堂</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282.61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北至横山街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横山村35#</w:t>
            </w:r>
          </w:p>
        </w:tc>
        <w:tc>
          <w:tcPr>
            <w:tcW w:w="12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200.45 </w:t>
            </w:r>
          </w:p>
        </w:tc>
        <w:tc>
          <w:tcPr>
            <w:tcW w:w="10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71 </w:t>
            </w:r>
          </w:p>
        </w:tc>
        <w:tc>
          <w:tcPr>
            <w:tcW w:w="115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 </w:t>
            </w:r>
          </w:p>
        </w:tc>
        <w:tc>
          <w:tcPr>
            <w:tcW w:w="162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东至横滨路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769.60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横山街至横山街73弄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554.37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横山街至临江西街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564.75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南至横山街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横山村47#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897.97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横滨路至码道巷</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码道巷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538.12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温州市水心小学临江分校西侧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541.72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横山街至临江西街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镇西路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1892.84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临江中学西侧，南至临江西街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横山村61#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1753.53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壬临线以东，横滨路以西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仁地路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954.44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西南至仁地路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仁地路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2131.23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北起仁中路52弄，南至330国道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仁中路52弄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612.08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镇西路至仁中路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仁中路26弄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340.96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仁中路至仁地路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1023.12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横滨路至仁中路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仁中路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665.39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横滨路至仁中路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横滨路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2759.45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临江西街至330国道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镇西路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2983.60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北至临江西街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9896.48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1558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北至330国道，南至储庆寺以东</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4149.80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南至金盛路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双泉巷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472.96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金岙路132弄至金盛路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金盛路2弄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1084.90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金岙路以东</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金岙村10#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1256.79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金岙路132弄至金盛路31弄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金岙路132弄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763.64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西至金岙路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金岙路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272.15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东至金岙路141弄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金盛路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325.56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西至双泉巷</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金盛路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401.31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双泉巷15弄东侧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西洲中路西侧</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2094.47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千灯巷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529.60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东至千灯巷78弄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康泰巷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442.93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千灯巷南侧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西洲东路</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900.17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240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双渡路48弄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1116.97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双渡路至临江亭</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康泰巷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1267.05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西至田，东至西洲中路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1010.55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西洲西路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702.65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康泰巷2弄至西洲中路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千灯巷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681.79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西洲西路北侧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8903.15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813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南至瓯江五桥</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西洲村43#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302.24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西洲中路至西洲南路68弄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西洲东路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979.85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西洲中路至双渡路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西洲村48#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697.76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西洲中路至双渡路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1071.98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西洲东路北侧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682.87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西洲南路68弄至双渡路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西洲村57#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374.20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西洲南路68弄至西洲南路29弄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325.20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66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双渡路48弄西侧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西洲村66#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500.55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双渡路东侧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西坑村5#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1151.24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盘山公路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下冯山村1#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2093.00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下冯山村委会东面</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下冯山村20#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2332.80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754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阮家坑</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1613.43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爱乡桥西南侧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2380.60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爱乡桥至潮埠街1弄</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1162.82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双潮乡人民政府门口</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1947.29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962.92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富强路至潮埠街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1292.62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朝阳路西侧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富强路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2526.33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244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朝阳路西南侧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繁荣路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1590.52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朝阳路西南侧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2204.43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潮埠溪南岸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7472.39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7.6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潮埠溪北岸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双潮村14#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347.53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溪南路东南，繁荣路西北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双潮村17#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1141.24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溪北路北侧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双潮村19#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883.05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伯特利教堂南侧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1435.67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双潮村23#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814.78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富强路北侧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德邦路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1568.56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双潮社区中学西侧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双潮村25#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3867.80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821.80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双潮村27#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1131.95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下冯村委会东南侧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1702.85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双潮村29#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807.30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533.22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双潮村32#</w:t>
            </w:r>
          </w:p>
        </w:tc>
        <w:tc>
          <w:tcPr>
            <w:tcW w:w="12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488.73</w:t>
            </w:r>
          </w:p>
        </w:tc>
        <w:tc>
          <w:tcPr>
            <w:tcW w:w="10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112 </w:t>
            </w:r>
          </w:p>
        </w:tc>
        <w:tc>
          <w:tcPr>
            <w:tcW w:w="115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297.61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476.26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346.43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双潮乡人民政府东侧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1346.34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332.61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双潮乡人民政府东侧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355.49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双潮村39#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460.32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潮景公寓内</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223.01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463.85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潮埠村村民委员会西侧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226.21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潮埠村村民委员会门口</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774.80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潮埠村村民委员会东侧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280.67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潮埠街南侧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236.93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下冯街西南侧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双潮村47#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368.33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潮埠街南侧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双潮村51#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1174.40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富强路南侧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潮埠街</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276.62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潮埠街南侧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双潮村54#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573.64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潮埠溪北岸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双潮村55#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533.16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潮景公寓内</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2702.55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小旦中路至横路头桥以南60米</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龙翔路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4857.52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小旦中路至横路头桥</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坳坑路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1026.70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坳坑路西南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3737.04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码头路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424.55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330国道至小旦中路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坳坑路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2074.44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小旦中路至山边步道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坳坑路一弄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607.74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小旦中路至坳坑路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码头路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752.69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710.34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喜龙巷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392.37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330国道至码头路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小旦村14#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703.92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小旦村16#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374.05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坳坑路东侧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小旦村19#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278.59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小旦南路西侧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小旦村21#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479.59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小旦村22#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344.64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小旦村23#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306.14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290.03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小旦村25#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282.93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小旦村27#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357.10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小旦村31#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311.46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小旦村办公楼西侧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小旦村32#</w:t>
            </w:r>
          </w:p>
        </w:tc>
        <w:tc>
          <w:tcPr>
            <w:tcW w:w="12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305.97 </w:t>
            </w:r>
          </w:p>
        </w:tc>
        <w:tc>
          <w:tcPr>
            <w:tcW w:w="10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 </w:t>
            </w:r>
          </w:p>
        </w:tc>
        <w:tc>
          <w:tcPr>
            <w:tcW w:w="115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小旦村34#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343.59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小旦南路西侧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小旦村36#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360.55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横路头桥东侧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龙翔路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261.83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横路头桥南侧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395.93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1166.83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1243.28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292.56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沈岙村文化活动中心西侧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沈渡村11#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617.00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沈渡村17#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1282.97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沈渡村18#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734.77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沈渡村19#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334.66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1397.36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温州市华山管桩制造有限公司西侧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1000.72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330国道至沈岙二号隧道南30米</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219.27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394.60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1331.63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200.72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611.55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沈渡村29#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932.13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沈渡村32#</w:t>
            </w:r>
          </w:p>
        </w:tc>
        <w:tc>
          <w:tcPr>
            <w:tcW w:w="12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322.55 </w:t>
            </w:r>
          </w:p>
        </w:tc>
        <w:tc>
          <w:tcPr>
            <w:tcW w:w="10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15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62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沈渡村35#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527.30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沈渡村36#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2724.94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750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沈渡村38#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330.83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280.74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298.92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1856.66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双潮二小学东侧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725.51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双潮二小学东南侧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731.54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869.07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736.72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金温铁路北侧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326.40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沈渡村49#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378.72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1113.08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双潮二小学西侧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479.68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642.72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渡船头村委会东侧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690.05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330国道至瓯江边</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904.16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330国道至瓯江边</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小康路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1363.36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330国道至山边步道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278.88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沈渡村57#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281.89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夏嘉村4#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1313.58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夏嘉村委会东侧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夏嘉村6#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1068.36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夏嘉村委会西侧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1357.41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双潮乡中心小学南侧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229.25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双潮乡中心小学东侧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271.48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朱下村社区服务中心东侧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796.90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双潮乡中心小学西侧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630.11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朱下村委会北侧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455.75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朱下村委会西侧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186.84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溪北路北侧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6347.02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736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荫溪北岸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1072.21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荫溪东南岸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8213.40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1431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荫溪东岸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竹源村17#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183.15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溪北路至溪南路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竹源村18#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407.73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1045.27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422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溪南路爱侧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竹源村22#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469.65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茅垟村老年活动中心东侧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竹源村27#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423.64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荫溪西岸</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驿头路240弄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515.78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驿头山根村3#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1076.81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6.1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望乡亭北侧，金温铁路南侧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小山门巷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704.44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望乡亭西侧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小山门巷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532.22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山根路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448.88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山根路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102.62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山根路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950.90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山根村老人协会西侧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山根路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235.50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山根路西侧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山井巷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294.15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59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戚伍殿东侧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山井巷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630.76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戚伍殿东侧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1071.18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驿头山根村44#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1798.74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潮源村3#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2230.70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潮源村委会东侧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2743.40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河至330国道</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临溪路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1804.05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程宅巷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557.96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临溪桥东侧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379.38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驿阳路52弄南侧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404.75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驿头小学北侧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188.69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2805.37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驿头路至中加友谊桥</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程宅巷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1672.15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临溪路东侧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驿头驿阳村16#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5103.00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临溪路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460.81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91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临溪路东侧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驿山路2弄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512.87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2379.34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370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北至河拐弯处，南至中加路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385.27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驿山路28弄南侧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w:t>
            </w:r>
          </w:p>
        </w:tc>
        <w:tc>
          <w:tcPr>
            <w:tcW w:w="12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324.53 </w:t>
            </w:r>
          </w:p>
        </w:tc>
        <w:tc>
          <w:tcPr>
            <w:tcW w:w="10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54 </w:t>
            </w:r>
          </w:p>
        </w:tc>
        <w:tc>
          <w:tcPr>
            <w:tcW w:w="115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290.31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驿山路至临溪桥</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572.48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瓯江翻水渠东侧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265.19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52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1586.44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中加友谊桥西侧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驿阳路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495.04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驿山路至中加路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163.62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1284.81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中加路23弄南侧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圣旨亭路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502.42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中加路至金山寺路</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金山寺路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1245.81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268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圣旨亭路西侧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圣旨亭路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1148.50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圣旨亭西侧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驿头驿阳村64#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1253.75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圣旨亭南侧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2114.15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669.46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641.16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224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656.97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147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364.64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双溪村19#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751.91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210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双溪村23#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580.65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143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347.03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116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双溪村25#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347.98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双溪村27#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433.50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101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247.54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194.60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双溪村34#</w:t>
            </w:r>
          </w:p>
        </w:tc>
        <w:tc>
          <w:tcPr>
            <w:tcW w:w="12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2328.59 </w:t>
            </w:r>
          </w:p>
        </w:tc>
        <w:tc>
          <w:tcPr>
            <w:tcW w:w="10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388 </w:t>
            </w:r>
          </w:p>
        </w:tc>
        <w:tc>
          <w:tcPr>
            <w:tcW w:w="115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 </w:t>
            </w:r>
          </w:p>
        </w:tc>
        <w:tc>
          <w:tcPr>
            <w:tcW w:w="162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330国道至双溪码头</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311.12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68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双溪村委会东侧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310.81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85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双溪村委会东侧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双溪村39#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325.71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平水王殿北侧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1593.24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326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平水王殿北侧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双溪村41#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163.73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8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平水王殿西侧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双溪村42#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350.42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53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7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双溪村委会东侧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双溪村44#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1618.69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360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温州伊圣凯管业有限公司东侧</w:t>
            </w:r>
          </w:p>
        </w:tc>
        <w:tc>
          <w:tcPr>
            <w:tcW w:w="7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开放式物业小区</w:t>
      </w:r>
    </w:p>
    <w:tbl>
      <w:tblPr>
        <w:tblStyle w:val="58"/>
        <w:tblW w:w="10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1020"/>
        <w:gridCol w:w="967"/>
        <w:gridCol w:w="1078"/>
        <w:gridCol w:w="774"/>
        <w:gridCol w:w="1069"/>
        <w:gridCol w:w="1604"/>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功能区</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小区名称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清扫面积（m2)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长(m)</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宽(m)</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四至范围</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山福镇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潮景公寓内</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533.16</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4.443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潮景公寓内</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山福镇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驿头公寓</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驿头公寓内</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21"/>
                <w:szCs w:val="21"/>
                <w:highlight w:val="none"/>
                <w:u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1733.16</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7279</w:t>
            </w:r>
          </w:p>
        </w:tc>
      </w:tr>
    </w:tbl>
    <w:p>
      <w:pPr>
        <w:pStyle w:val="2"/>
        <w:numPr>
          <w:ilvl w:val="0"/>
          <w:numId w:val="0"/>
        </w:numPr>
        <w:ind w:leftChars="0"/>
        <w:rPr>
          <w:rFonts w:hint="default"/>
          <w:b/>
          <w:bCs/>
          <w:color w:val="auto"/>
          <w:highlight w:val="none"/>
          <w:lang w:val="en-US" w:eastAsia="zh-CN"/>
        </w:rPr>
      </w:pPr>
      <w:r>
        <w:rPr>
          <w:rFonts w:hint="eastAsia"/>
          <w:b/>
          <w:bCs/>
          <w:color w:val="auto"/>
          <w:highlight w:val="none"/>
          <w:lang w:val="en-US" w:eastAsia="zh-CN"/>
        </w:rPr>
        <w:t>注：开放式物业小区均按四级道路计入。</w:t>
      </w: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标项3</w:t>
      </w: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七都街道：</w:t>
      </w:r>
    </w:p>
    <w:tbl>
      <w:tblPr>
        <w:tblStyle w:val="58"/>
        <w:tblW w:w="10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82"/>
        <w:gridCol w:w="1290"/>
        <w:gridCol w:w="1125"/>
        <w:gridCol w:w="1050"/>
        <w:gridCol w:w="870"/>
        <w:gridCol w:w="2325"/>
        <w:gridCol w:w="90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功能区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道路面积（m2)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长(m)</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宽(m)</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起--止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85104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七都大桥匝道口-高品街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高品街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沙洲路-环岛南路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11707.5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高品街-吟州老人亭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通都西路（东段）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4613.07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439.34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高品街-沈海高速七都西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七都大道西延伸段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上坦屋路-七都大桥匝道口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七彩路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29222.76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1043.67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板桥北路-高品街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汇侨街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18575.55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884.55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七都大道-环岛北路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飞虹街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七都大道-沙州路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智联街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2998.92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249.91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便道-七彩路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智源街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14071.04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879.44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七都大道-沙洲路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沙洲路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72834.72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3034.78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上沙后东路-沈海高速温州大桥边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前沙建设路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7648.08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1274.68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中心路-前进路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前沙前进路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8605.73</w:t>
            </w: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1229.39</w:t>
            </w:r>
          </w:p>
        </w:tc>
        <w:tc>
          <w:tcPr>
            <w:tcW w:w="87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3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中心路-建设路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七都大道-樟里中路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8420.34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1403.39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吟州老人亭-岛中岛二期道路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吟州前村路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吟州老人亭-岛中岛道路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岛中岛道路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35859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2988.25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高速七都东-建设路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4734.18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789.03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樟里中路-樟里中路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4607.51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837.73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樟里西路-樟里东路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前沙红旗路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8134.15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1564.26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前沙欢乐路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9424.86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1716.61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前沙胜利路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4271.65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854.33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红旗路-欢乐路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吟州后村、前村道路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16368.3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3637.4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吟州东江沙路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2595.465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576.77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岛中岛道路-吟州新路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上沙上坦屋路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6850.935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1522.43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琯塘路-后东路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上沙琯塘路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7326.7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1465.34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环岛路上沙段-七都大道辅道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堤塘路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前沙界-樟里界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PUA" w:hAnsi="宋体-PUA" w:eastAsia="宋体-PUA" w:cs="宋体-PUA"/>
                <w:i w:val="0"/>
                <w:iCs w:val="0"/>
                <w:color w:val="auto"/>
                <w:sz w:val="18"/>
                <w:szCs w:val="18"/>
                <w:highlight w:val="none"/>
                <w:u w:val="none"/>
              </w:rPr>
            </w:pPr>
            <w:r>
              <w:rPr>
                <w:rFonts w:hint="default" w:ascii="宋体-PUA" w:hAnsi="宋体-PUA" w:eastAsia="宋体-PUA" w:cs="宋体-PUA"/>
                <w:i w:val="0"/>
                <w:iCs w:val="0"/>
                <w:color w:val="auto"/>
                <w:kern w:val="0"/>
                <w:sz w:val="18"/>
                <w:szCs w:val="18"/>
                <w:highlight w:val="none"/>
                <w:u w:val="none"/>
                <w:lang w:val="en-US" w:eastAsia="zh-CN" w:bidi="ar"/>
              </w:rPr>
              <w:t>通都西路（西段）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7923.75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PUA" w:hAnsi="宋体-PUA" w:eastAsia="宋体-PUA" w:cs="宋体-PUA"/>
                <w:i w:val="0"/>
                <w:iCs w:val="0"/>
                <w:color w:val="auto"/>
                <w:sz w:val="18"/>
                <w:szCs w:val="18"/>
                <w:highlight w:val="none"/>
                <w:u w:val="none"/>
              </w:rPr>
            </w:pPr>
            <w:r>
              <w:rPr>
                <w:rFonts w:hint="default" w:ascii="宋体-PUA" w:hAnsi="宋体-PUA" w:eastAsia="宋体-PUA" w:cs="宋体-PUA"/>
                <w:i w:val="0"/>
                <w:iCs w:val="0"/>
                <w:color w:val="auto"/>
                <w:kern w:val="0"/>
                <w:sz w:val="18"/>
                <w:szCs w:val="18"/>
                <w:highlight w:val="none"/>
                <w:u w:val="none"/>
                <w:lang w:val="en-US" w:eastAsia="zh-CN" w:bidi="ar"/>
              </w:rPr>
              <w:t>飞虹街-智源街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老涂一路、老涂二路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9305.425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600.35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沙洲路-老涂二路、智源街--通都西路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沙洲路支路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216.40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沙洲路-终点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七都大道南辅道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1706.15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341.23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七都大道-上沙琯塘路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樟里西路步行街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樟里西路-上沙界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板桥村委会前道路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1677.775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305.05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板桥北路-翡丽湾样板房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吟州新村道路（西段）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4937.45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987.49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中心路-吟州老人亭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吟州浦西河道路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13249.495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3785.57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9270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吟州新村-前沙码头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705.24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58.77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中心路-吟州新村西段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32246.045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4960.93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上沙上坦屋路-前沙中心路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环岛路北段1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2988.78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498.13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汇桥街-终点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环岛路吟州段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15817.62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2259.66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东江沙码头-东堤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上沙上涂路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3621.05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1448.42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环岛路上沙段-七都大桥下（琯塘路）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上沙上涂路支路2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3689.07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环岛路上沙段-七都大道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3751.99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682.18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沙洲路-上沙琯塘路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樟里东路支路1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78.69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樟里东路-终点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樟里东路支路2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258.335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73.81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樟里东路-板桥南路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樟里东路支路3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环岛路樟里段-樟里东路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樟里中路支路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4560.05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912.01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樟里中路-樟里中路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114.96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环岛路樟里段-樟里西路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86.425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328.575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131.43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94.85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樟里西路支路8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266.94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133.47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板桥飞虹公寓前道路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365.20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板桥北路-七都大道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板桥涂儿路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324.92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81.23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吟州新村西段-终点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板桥便道（万科鹿岛甲第南）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1491.84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372.96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高品街-智联街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699.625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279.85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吟州新村-吟州前村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357.75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143.10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吟州新村-吟州前村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162.448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73.84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吟州新村-吟州前村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吟州新村支路4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212.325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84.93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吟州新村-河边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吟州新村支路5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566.91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125.98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吟州新村西段-中心路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吟州新村支路6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103.935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吟州浦西河道路（大桥西段）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4517.91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1290.83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高速西出口-沙洲路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前进路支路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64.80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前进路-终点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前沙前进后路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中心路-前进路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前沙建设路支路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2769.76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692.44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前沙建设路-建设路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前沙百山下道路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3257.76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542.96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岛中岛道路-岛中岛道路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前沙高速边道路（高速东侧段）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环岛路前沙段-欢乐路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380.79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126.93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476.97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158.99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1657.075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473.45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前沙中心路-欢乐路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前沙中心路支路4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1580.05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316.01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前沙中心路-欢乐路（高速东侧段）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欢乐路支路1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54.50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欢乐路-前沙教堂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上沙上涂路支路1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286.825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114.73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上沙上涂路-上涂路支路2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3216.384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1005.12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上沙后东路-北堤边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69.916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1207.14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402.38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上沙后东路-终点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东江沙支路1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716.98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130.36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岛中岛道路</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环岛路吟州段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东江沙支路2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461.35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92.27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岛中岛道路</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东江沙支路3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岛中岛道路</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环岛路吟州段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前沙百山下区间道路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5309.61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2042.16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bl>
    <w:p>
      <w:pPr>
        <w:pStyle w:val="2"/>
        <w:numPr>
          <w:ilvl w:val="0"/>
          <w:numId w:val="0"/>
        </w:numPr>
        <w:ind w:leftChars="0"/>
        <w:rPr>
          <w:rFonts w:hint="default"/>
          <w:color w:val="auto"/>
          <w:highlight w:val="none"/>
          <w:lang w:val="en-US" w:eastAsia="zh-CN"/>
        </w:rPr>
        <w:sectPr>
          <w:pgSz w:w="11906" w:h="16838"/>
          <w:pgMar w:top="1134" w:right="1134" w:bottom="1134" w:left="1134" w:header="851" w:footer="851" w:gutter="0"/>
          <w:pgNumType w:fmt="decimal"/>
          <w:cols w:space="720" w:num="1"/>
          <w:titlePg/>
          <w:docGrid w:linePitch="312" w:charSpace="0"/>
        </w:sectPr>
      </w:pPr>
    </w:p>
    <w:p>
      <w:pPr>
        <w:pStyle w:val="2"/>
        <w:numPr>
          <w:ilvl w:val="0"/>
          <w:numId w:val="43"/>
        </w:numPr>
        <w:ind w:left="0" w:leftChars="0" w:firstLine="0" w:firstLineChars="0"/>
        <w:rPr>
          <w:rFonts w:hint="eastAsia"/>
          <w:color w:val="auto"/>
          <w:highlight w:val="none"/>
          <w:lang w:val="en-US" w:eastAsia="zh-CN"/>
        </w:rPr>
      </w:pPr>
      <w:r>
        <w:rPr>
          <w:rFonts w:hint="eastAsia"/>
          <w:color w:val="auto"/>
          <w:highlight w:val="none"/>
          <w:lang w:val="en-US" w:eastAsia="zh-CN"/>
        </w:rPr>
        <w:t>公厕明细</w:t>
      </w: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标项1</w:t>
      </w: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双屿街道：</w:t>
      </w:r>
    </w:p>
    <w:tbl>
      <w:tblPr>
        <w:tblStyle w:val="58"/>
        <w:tblW w:w="15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093"/>
        <w:gridCol w:w="1020"/>
        <w:gridCol w:w="780"/>
        <w:gridCol w:w="820"/>
        <w:gridCol w:w="626"/>
        <w:gridCol w:w="500"/>
        <w:gridCol w:w="482"/>
        <w:gridCol w:w="619"/>
        <w:gridCol w:w="509"/>
        <w:gridCol w:w="508"/>
        <w:gridCol w:w="508"/>
        <w:gridCol w:w="481"/>
        <w:gridCol w:w="490"/>
        <w:gridCol w:w="477"/>
        <w:gridCol w:w="473"/>
        <w:gridCol w:w="464"/>
        <w:gridCol w:w="464"/>
        <w:gridCol w:w="473"/>
        <w:gridCol w:w="454"/>
        <w:gridCol w:w="472"/>
        <w:gridCol w:w="405"/>
        <w:gridCol w:w="454"/>
        <w:gridCol w:w="416"/>
        <w:gridCol w:w="417"/>
        <w:gridCol w:w="500"/>
        <w:gridCol w:w="52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公厕编码</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街道（镇）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详细地址</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管理单位</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公厕类别</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建筑类型</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w:t>
            </w:r>
          </w:p>
        </w:tc>
        <w:tc>
          <w:tcPr>
            <w:tcW w:w="50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处理形式</w:t>
            </w:r>
          </w:p>
        </w:tc>
        <w:tc>
          <w:tcPr>
            <w:tcW w:w="1497" w:type="dxa"/>
            <w:gridSpan w:val="3"/>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男厕间</w:t>
            </w:r>
          </w:p>
        </w:tc>
        <w:tc>
          <w:tcPr>
            <w:tcW w:w="967" w:type="dxa"/>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女厕间</w:t>
            </w:r>
          </w:p>
        </w:tc>
        <w:tc>
          <w:tcPr>
            <w:tcW w:w="473"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第三卫生间</w:t>
            </w:r>
          </w:p>
        </w:tc>
        <w:tc>
          <w:tcPr>
            <w:tcW w:w="46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无障碍坡道</w:t>
            </w:r>
          </w:p>
        </w:tc>
        <w:tc>
          <w:tcPr>
            <w:tcW w:w="46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管理房</w:t>
            </w:r>
          </w:p>
        </w:tc>
        <w:tc>
          <w:tcPr>
            <w:tcW w:w="473"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工具间</w:t>
            </w:r>
          </w:p>
        </w:tc>
        <w:tc>
          <w:tcPr>
            <w:tcW w:w="2201" w:type="dxa"/>
            <w:gridSpan w:val="5"/>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便民设施</w:t>
            </w:r>
          </w:p>
        </w:tc>
        <w:tc>
          <w:tcPr>
            <w:tcW w:w="417"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智能系统</w:t>
            </w:r>
          </w:p>
        </w:tc>
        <w:tc>
          <w:tcPr>
            <w:tcW w:w="5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人文化服务</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保洁时间(h)</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黄龙二区公厕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黄龙街道黄龙住宅区2区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黄龙三区公厕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黄龙街道黄龙住宅区3区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黄龙四区公厕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黄龙街道黄龙住宅区4区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黄龙六区公厕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黄龙街道黄龙住宅区6区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双屿街道   </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箬笠岙村生态公厕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双屿街道箬笠岙村西岙东路2号</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生态</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男女共3个</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男女共4个</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男女共一个</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牛三角公厕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双屿街道鹿城工业区牛三角路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4个+1个坐便</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4个+1个坐便</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I330302027009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江滨A线公厕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双屿街道江滨A线</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黄龙一区公厕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双屿街道康龙社区黄龙一区</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I330302027011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郑桥锦园公厕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双屿街道康龙社区郑桥锦园</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I330302027013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康园公厕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双屿街道黄龙社区康园16幢东首</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I330302027014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旗山二组团公厕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双屿街道牛岭社区双屿二组团配电房边</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天瓯路公厕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双屿街道牛岭社区天瓯路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黄龙山公园公厕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双屿街道鹿城路三桥下黄龙山公园</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I330302027026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瓯越公馆公厕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鞋都大道瓯越公馆6幢一楼</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85.4</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I330302027027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文化宫旁公厕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鞋都大道文化广场内</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I330302027028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牛岭农贸市场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卧旗山山脚</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丰门：</w:t>
      </w:r>
    </w:p>
    <w:tbl>
      <w:tblPr>
        <w:tblStyle w:val="58"/>
        <w:tblW w:w="15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125"/>
        <w:gridCol w:w="1039"/>
        <w:gridCol w:w="776"/>
        <w:gridCol w:w="825"/>
        <w:gridCol w:w="630"/>
        <w:gridCol w:w="480"/>
        <w:gridCol w:w="510"/>
        <w:gridCol w:w="615"/>
        <w:gridCol w:w="495"/>
        <w:gridCol w:w="510"/>
        <w:gridCol w:w="495"/>
        <w:gridCol w:w="510"/>
        <w:gridCol w:w="480"/>
        <w:gridCol w:w="465"/>
        <w:gridCol w:w="465"/>
        <w:gridCol w:w="465"/>
        <w:gridCol w:w="450"/>
        <w:gridCol w:w="493"/>
        <w:gridCol w:w="416"/>
        <w:gridCol w:w="416"/>
        <w:gridCol w:w="316"/>
        <w:gridCol w:w="416"/>
        <w:gridCol w:w="416"/>
        <w:gridCol w:w="417"/>
        <w:gridCol w:w="417"/>
        <w:gridCol w:w="519"/>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公厕编码</w:t>
            </w:r>
          </w:p>
        </w:tc>
        <w:tc>
          <w:tcPr>
            <w:tcW w:w="103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街道（镇）</w:t>
            </w:r>
          </w:p>
        </w:tc>
        <w:tc>
          <w:tcPr>
            <w:tcW w:w="7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详细地址</w:t>
            </w:r>
          </w:p>
        </w:tc>
        <w:tc>
          <w:tcPr>
            <w:tcW w:w="63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管理单位</w:t>
            </w:r>
          </w:p>
        </w:tc>
        <w:tc>
          <w:tcPr>
            <w:tcW w:w="4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公厕类别</w:t>
            </w:r>
          </w:p>
        </w:tc>
        <w:tc>
          <w:tcPr>
            <w:tcW w:w="5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建筑类型</w:t>
            </w:r>
          </w:p>
        </w:tc>
        <w:tc>
          <w:tcPr>
            <w:tcW w:w="6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w:t>
            </w:r>
          </w:p>
        </w:tc>
        <w:tc>
          <w:tcPr>
            <w:tcW w:w="49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处理形式</w:t>
            </w:r>
          </w:p>
        </w:tc>
        <w:tc>
          <w:tcPr>
            <w:tcW w:w="1515" w:type="dxa"/>
            <w:gridSpan w:val="3"/>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男厕间</w:t>
            </w:r>
          </w:p>
        </w:tc>
        <w:tc>
          <w:tcPr>
            <w:tcW w:w="945" w:type="dxa"/>
            <w:gridSpan w:val="2"/>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女厕间</w:t>
            </w:r>
          </w:p>
        </w:tc>
        <w:tc>
          <w:tcPr>
            <w:tcW w:w="465" w:type="dxa"/>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第三卫生间</w:t>
            </w:r>
          </w:p>
        </w:tc>
        <w:tc>
          <w:tcPr>
            <w:tcW w:w="465"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无障碍坡道</w:t>
            </w:r>
          </w:p>
        </w:tc>
        <w:tc>
          <w:tcPr>
            <w:tcW w:w="450"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管理房</w:t>
            </w:r>
          </w:p>
        </w:tc>
        <w:tc>
          <w:tcPr>
            <w:tcW w:w="493" w:type="dxa"/>
            <w:tcBorders>
              <w:top w:val="single" w:color="000000" w:sz="8"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工具间</w:t>
            </w:r>
          </w:p>
        </w:tc>
        <w:tc>
          <w:tcPr>
            <w:tcW w:w="1980" w:type="dxa"/>
            <w:gridSpan w:val="5"/>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便民设施</w:t>
            </w:r>
          </w:p>
        </w:tc>
        <w:tc>
          <w:tcPr>
            <w:tcW w:w="417"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智能系统</w:t>
            </w:r>
          </w:p>
        </w:tc>
        <w:tc>
          <w:tcPr>
            <w:tcW w:w="417" w:type="dxa"/>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人文化服务</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保洁时间(h)</w:t>
            </w:r>
          </w:p>
        </w:tc>
        <w:tc>
          <w:tcPr>
            <w:tcW w:w="81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I330302033001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新屿社区公厕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新屿社区老人协会边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I330302033003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新屿社区公厕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鞋都大道1912号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I330302033004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屿头1号公厕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鞋都大道1769号边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I330302033007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正岙公厕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正岙鹿翔路111路公交始发站边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I330302033009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岩门西湾公厕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西湾路</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I330302033010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尚信公厕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尚信路61号对面</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I330302033014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天麓府公厕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鞋都三期尚嘉路和鹿翔路交叉口碧桂园天麓府西苑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60.31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I330302033013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鹿翔公厕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鹿翔路与尚诚路交叉口</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嵇师1号公厕</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鞋都二期崇德路</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新建（2020年8月）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I330302033006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屿头2号公厕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屿头菜场内</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新增</w:t>
            </w: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仰义：</w:t>
      </w:r>
    </w:p>
    <w:tbl>
      <w:tblPr>
        <w:tblStyle w:val="58"/>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184"/>
        <w:gridCol w:w="1021"/>
        <w:gridCol w:w="765"/>
        <w:gridCol w:w="840"/>
        <w:gridCol w:w="645"/>
        <w:gridCol w:w="435"/>
        <w:gridCol w:w="525"/>
        <w:gridCol w:w="690"/>
        <w:gridCol w:w="1039"/>
        <w:gridCol w:w="302"/>
        <w:gridCol w:w="302"/>
        <w:gridCol w:w="389"/>
        <w:gridCol w:w="302"/>
        <w:gridCol w:w="389"/>
        <w:gridCol w:w="389"/>
        <w:gridCol w:w="389"/>
        <w:gridCol w:w="389"/>
        <w:gridCol w:w="389"/>
        <w:gridCol w:w="389"/>
        <w:gridCol w:w="389"/>
        <w:gridCol w:w="389"/>
        <w:gridCol w:w="389"/>
        <w:gridCol w:w="389"/>
        <w:gridCol w:w="390"/>
        <w:gridCol w:w="390"/>
        <w:gridCol w:w="479"/>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公厕编码</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街道（镇）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详细地址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管理单位</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公厕类别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建筑类型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处理形式</w:t>
            </w:r>
          </w:p>
        </w:tc>
        <w:tc>
          <w:tcPr>
            <w:tcW w:w="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男厕间</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女厕间</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第三卫生间</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无障碍坡道</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管理房</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工具间</w:t>
            </w:r>
          </w:p>
        </w:tc>
        <w:tc>
          <w:tcPr>
            <w:tcW w:w="19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便民设施</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智能系统</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人文化服务</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保洁时间(h)</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I330302028035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阳光100阿尔勒</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林里地块阳光100阿尔勒二期</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仰义乡前京村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鹿城区环境卫生管理处</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仰义农贸市场公厕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市场边（仰新大街外埠头1组团8幢后侧）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仰新公厕(暂时关停）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河岱路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571240"/>
                  <wp:effectExtent l="0" t="0" r="0" b="0"/>
                  <wp:wrapNone/>
                  <wp:docPr id="1" name="AutoShape_8"/>
                  <wp:cNvGraphicFramePr/>
                  <a:graphic xmlns:a="http://schemas.openxmlformats.org/drawingml/2006/main">
                    <a:graphicData uri="http://schemas.openxmlformats.org/drawingml/2006/picture">
                      <pic:pic xmlns:pic="http://schemas.openxmlformats.org/drawingml/2006/picture">
                        <pic:nvPicPr>
                          <pic:cNvPr id="1" name="AutoShape_8"/>
                          <pic:cNvPicPr/>
                        </pic:nvPicPr>
                        <pic:blipFill>
                          <a:blip r:embed="rId17"/>
                          <a:stretch>
                            <a:fillRect/>
                          </a:stretch>
                        </pic:blipFill>
                        <pic:spPr>
                          <a:xfrm>
                            <a:off x="0" y="0"/>
                            <a:ext cx="304800" cy="35712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暂时关停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后京村3公厕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仰义街道后京庙边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571240"/>
                  <wp:effectExtent l="0" t="0" r="0" b="0"/>
                  <wp:wrapNone/>
                  <wp:docPr id="2" name="AutoShape_8_SpCnt_1"/>
                  <wp:cNvGraphicFramePr/>
                  <a:graphic xmlns:a="http://schemas.openxmlformats.org/drawingml/2006/main">
                    <a:graphicData uri="http://schemas.openxmlformats.org/drawingml/2006/picture">
                      <pic:pic xmlns:pic="http://schemas.openxmlformats.org/drawingml/2006/picture">
                        <pic:nvPicPr>
                          <pic:cNvPr id="2" name="AutoShape_8_SpCnt_1"/>
                          <pic:cNvPicPr/>
                        </pic:nvPicPr>
                        <pic:blipFill>
                          <a:blip r:embed="rId17"/>
                          <a:stretch>
                            <a:fillRect/>
                          </a:stretch>
                        </pic:blipFill>
                        <pic:spPr>
                          <a:xfrm>
                            <a:off x="0" y="0"/>
                            <a:ext cx="304800" cy="35712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仰义街道前京农贸市场旁（前京南路48-52号）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仰义街道仰新社区D-6幢对面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I330302028008</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前京村1公厕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仰义街道下涂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I330302028009</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前京村3公厕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仰义街道上涂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I330302028011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河岙村公厕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仰义街道河岙新村口国道边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I330302028012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沿兴路公厕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仰义街道沿兴路199号，污水处理厂边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I330302028014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前京南路公厕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仰义街道前京村330国道边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I330302028015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前京直河公厕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仰义街道前京直河边公厕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I330302028017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十里村3公厕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仰义街道十里自然村104国道边沿昌路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I330302028019</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仰新农贸市场公厕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仰义街道仰新农贸市场边（仰新社区B-18幢对面）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仰义街道澄沙桥路255弄</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文武路公厕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仰义街道文武路7号对面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型田村公厕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仰义街道型田村内</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外埠头村公厕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仰义街道外埠头村委会对面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陈村村公厕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仰义街道占下自然村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范桥村公厕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仰义街道范桥村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I330302028026</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潘坑村公厕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仰义街道潘坑村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龙川村1公厕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仰义街道大川路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I330302028028</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仰义街道笼川村村口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I330302028030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垟山村公厕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仰义街道垟山村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I330302028031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垟山村2公厕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仰义街道垟山村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I330302028032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湾底公厕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仰义街道龙川湾底路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I330302028033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宝昌岭公厕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仰义街道河岙村宝昌岭白云观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I330302028034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汤堡公厕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仰义街道前京村汤堡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渔渡村1公厕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渔渡村2公厕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渔渡村3公厕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渔渡村4公厕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渔渡村5公厕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老街公厕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澄沙桥高速桥下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后京停车场公厕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后京村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标项2</w:t>
      </w: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藤桥：</w:t>
      </w:r>
    </w:p>
    <w:tbl>
      <w:tblPr>
        <w:tblStyle w:val="58"/>
        <w:tblW w:w="14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78"/>
        <w:gridCol w:w="2295"/>
        <w:gridCol w:w="2760"/>
        <w:gridCol w:w="3540"/>
        <w:gridCol w:w="3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序号</w:t>
            </w:r>
          </w:p>
        </w:tc>
        <w:tc>
          <w:tcPr>
            <w:tcW w:w="157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单位</w:t>
            </w:r>
          </w:p>
        </w:tc>
        <w:tc>
          <w:tcPr>
            <w:tcW w:w="2295"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环卫处（座）</w:t>
            </w:r>
          </w:p>
        </w:tc>
        <w:tc>
          <w:tcPr>
            <w:tcW w:w="2760"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街道/镇（座）</w:t>
            </w:r>
          </w:p>
        </w:tc>
        <w:tc>
          <w:tcPr>
            <w:tcW w:w="354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数量（座）</w:t>
            </w:r>
          </w:p>
        </w:tc>
        <w:tc>
          <w:tcPr>
            <w:tcW w:w="3405"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藤桥镇</w:t>
            </w:r>
          </w:p>
        </w:tc>
        <w:tc>
          <w:tcPr>
            <w:tcW w:w="2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溪江路一座</w:t>
            </w:r>
          </w:p>
        </w:tc>
      </w:tr>
    </w:tbl>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山福：无。</w:t>
      </w:r>
    </w:p>
    <w:p>
      <w:pPr>
        <w:pStyle w:val="2"/>
        <w:numPr>
          <w:ilvl w:val="0"/>
          <w:numId w:val="0"/>
        </w:numPr>
        <w:ind w:leftChars="0"/>
        <w:rPr>
          <w:rFonts w:hint="default"/>
          <w:color w:val="auto"/>
          <w:highlight w:val="none"/>
          <w:lang w:val="en-US" w:eastAsia="zh-CN"/>
        </w:rPr>
      </w:pPr>
      <w:r>
        <w:rPr>
          <w:rFonts w:hint="eastAsia"/>
          <w:color w:val="auto"/>
          <w:highlight w:val="none"/>
          <w:lang w:val="en-US" w:eastAsia="zh-CN"/>
        </w:rPr>
        <w:t>标项3</w:t>
      </w:r>
    </w:p>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七都：</w:t>
      </w:r>
    </w:p>
    <w:tbl>
      <w:tblPr>
        <w:tblStyle w:val="58"/>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231"/>
        <w:gridCol w:w="1005"/>
        <w:gridCol w:w="630"/>
        <w:gridCol w:w="975"/>
        <w:gridCol w:w="699"/>
        <w:gridCol w:w="417"/>
        <w:gridCol w:w="420"/>
        <w:gridCol w:w="716"/>
        <w:gridCol w:w="419"/>
        <w:gridCol w:w="320"/>
        <w:gridCol w:w="320"/>
        <w:gridCol w:w="319"/>
        <w:gridCol w:w="320"/>
        <w:gridCol w:w="324"/>
        <w:gridCol w:w="421"/>
        <w:gridCol w:w="423"/>
        <w:gridCol w:w="422"/>
        <w:gridCol w:w="423"/>
        <w:gridCol w:w="419"/>
        <w:gridCol w:w="422"/>
        <w:gridCol w:w="323"/>
        <w:gridCol w:w="420"/>
        <w:gridCol w:w="420"/>
        <w:gridCol w:w="422"/>
        <w:gridCol w:w="421"/>
        <w:gridCol w:w="524"/>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公厕编码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街道（镇）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详细地址</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管理单位</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公厕类别</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建筑类型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w:t>
            </w:r>
          </w:p>
        </w:tc>
        <w:tc>
          <w:tcPr>
            <w:tcW w:w="41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处理形式</w:t>
            </w:r>
          </w:p>
        </w:tc>
        <w:tc>
          <w:tcPr>
            <w:tcW w:w="959" w:type="dxa"/>
            <w:gridSpan w:val="3"/>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男厕间</w:t>
            </w:r>
          </w:p>
        </w:tc>
        <w:tc>
          <w:tcPr>
            <w:tcW w:w="644" w:type="dxa"/>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女厕间</w:t>
            </w:r>
          </w:p>
        </w:tc>
        <w:tc>
          <w:tcPr>
            <w:tcW w:w="421"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第三卫生间</w:t>
            </w:r>
          </w:p>
        </w:tc>
        <w:tc>
          <w:tcPr>
            <w:tcW w:w="42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无障碍坡道</w:t>
            </w:r>
          </w:p>
        </w:tc>
        <w:tc>
          <w:tcPr>
            <w:tcW w:w="42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管理房</w:t>
            </w:r>
          </w:p>
        </w:tc>
        <w:tc>
          <w:tcPr>
            <w:tcW w:w="423"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工具间</w:t>
            </w:r>
          </w:p>
        </w:tc>
        <w:tc>
          <w:tcPr>
            <w:tcW w:w="2004" w:type="dxa"/>
            <w:gridSpan w:val="5"/>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便民设施</w:t>
            </w:r>
          </w:p>
        </w:tc>
        <w:tc>
          <w:tcPr>
            <w:tcW w:w="422"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智能系统</w:t>
            </w:r>
          </w:p>
        </w:tc>
        <w:tc>
          <w:tcPr>
            <w:tcW w:w="42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人文化服务</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保洁时间(h)</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板桥太平宫公厕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七都街道板桥村太平宫庙旁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老涂北码头公厕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七都街道老涂北渡轮码头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I330302023006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老涂村老人活动中心公厕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七都街道老涂村老人活动中心旁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长连坟公厕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七都街道老涂垟儿路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前沙村委会公厕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七都街道前沙村村委会内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前沙中心路公厕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七都街道前沙村中心路5号对面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上坦屋路公厕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七都街道上沙村上坦屋路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吟州前村公厕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七都街道吟州村村委会旁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吟州老人亭公厕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七都街道吟州村老龄协会内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75.92</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吟州王宅公厕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七都街道吟州村王宅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吟州农贸市场公厕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七都街道吟州农贸市场旁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高地公厕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七都街道樟里东路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樟里西路公厕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七都街道樟里西路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73.73</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樟里中路公厕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七都街道樟里中路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I330302023024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七都街道前沙村建设路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60.8</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七都大桥口公园公厕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165" cy="305435"/>
                  <wp:effectExtent l="0" t="0" r="0" b="0"/>
                  <wp:wrapNone/>
                  <wp:docPr id="3" name="AutoShape_8"/>
                  <wp:cNvGraphicFramePr/>
                  <a:graphic xmlns:a="http://schemas.openxmlformats.org/drawingml/2006/main">
                    <a:graphicData uri="http://schemas.openxmlformats.org/drawingml/2006/picture">
                      <pic:pic xmlns:pic="http://schemas.openxmlformats.org/drawingml/2006/picture">
                        <pic:nvPicPr>
                          <pic:cNvPr id="3" name="AutoShape_8"/>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165" cy="305435"/>
                  <wp:effectExtent l="0" t="0" r="0" b="0"/>
                  <wp:wrapNone/>
                  <wp:docPr id="4" name="AutoShape_9"/>
                  <wp:cNvGraphicFramePr/>
                  <a:graphic xmlns:a="http://schemas.openxmlformats.org/drawingml/2006/main">
                    <a:graphicData uri="http://schemas.openxmlformats.org/drawingml/2006/picture">
                      <pic:pic xmlns:pic="http://schemas.openxmlformats.org/drawingml/2006/picture">
                        <pic:nvPicPr>
                          <pic:cNvPr id="4" name="AutoShape_9"/>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165" cy="305435"/>
                  <wp:effectExtent l="0" t="0" r="0" b="0"/>
                  <wp:wrapNone/>
                  <wp:docPr id="5" name="AutoShape_10"/>
                  <wp:cNvGraphicFramePr/>
                  <a:graphic xmlns:a="http://schemas.openxmlformats.org/drawingml/2006/main">
                    <a:graphicData uri="http://schemas.openxmlformats.org/drawingml/2006/picture">
                      <pic:pic xmlns:pic="http://schemas.openxmlformats.org/drawingml/2006/picture">
                        <pic:nvPicPr>
                          <pic:cNvPr id="5" name="AutoShape_10"/>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165" cy="305435"/>
                  <wp:effectExtent l="0" t="0" r="0" b="0"/>
                  <wp:wrapNone/>
                  <wp:docPr id="6" name="AutoShape_9_SpCnt_1"/>
                  <wp:cNvGraphicFramePr/>
                  <a:graphic xmlns:a="http://schemas.openxmlformats.org/drawingml/2006/main">
                    <a:graphicData uri="http://schemas.openxmlformats.org/drawingml/2006/picture">
                      <pic:pic xmlns:pic="http://schemas.openxmlformats.org/drawingml/2006/picture">
                        <pic:nvPicPr>
                          <pic:cNvPr id="6" name="AutoShape_9_SpCnt_1"/>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165" cy="305435"/>
                  <wp:effectExtent l="0" t="0" r="0" b="0"/>
                  <wp:wrapNone/>
                  <wp:docPr id="7" name="AutoShape_8_SpCnt_1"/>
                  <wp:cNvGraphicFramePr/>
                  <a:graphic xmlns:a="http://schemas.openxmlformats.org/drawingml/2006/main">
                    <a:graphicData uri="http://schemas.openxmlformats.org/drawingml/2006/picture">
                      <pic:pic xmlns:pic="http://schemas.openxmlformats.org/drawingml/2006/picture">
                        <pic:nvPicPr>
                          <pic:cNvPr id="7" name="AutoShape_8_SpCnt_1"/>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七都大道七都大桥口乡贤馆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附属式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w:t>
            </w:r>
          </w:p>
        </w:tc>
      </w:tr>
    </w:tbl>
    <w:p>
      <w:pPr>
        <w:pStyle w:val="2"/>
        <w:numPr>
          <w:ilvl w:val="0"/>
          <w:numId w:val="43"/>
        </w:numPr>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环卫驿站</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标项1</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双屿：</w:t>
      </w:r>
    </w:p>
    <w:tbl>
      <w:tblPr>
        <w:tblStyle w:val="58"/>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08"/>
        <w:gridCol w:w="1305"/>
        <w:gridCol w:w="2940"/>
        <w:gridCol w:w="4890"/>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53"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属地街道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驿站名称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  址</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服务设施配备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面积</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双屿街道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温金路双屿农副产品市场门口</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空调■、冰箱■、微波炉■、座椅■、手机充电桩□、饮水设备■其他（电风扇■）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双屿街道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黄龙垃圾转运站旁</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空调■、冰箱■、微波炉■、座椅■、手机充电桩■、饮水设备■其他（书架■、电视机■、急救箱■）</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丰门：</w:t>
      </w:r>
    </w:p>
    <w:tbl>
      <w:tblPr>
        <w:tblStyle w:val="58"/>
        <w:tblW w:w="14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38"/>
        <w:gridCol w:w="1290"/>
        <w:gridCol w:w="2925"/>
        <w:gridCol w:w="4920"/>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属地街道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驿站名称</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服务设施配备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面积</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丰门站</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戴宅路接近铁路道口边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空调■、冰箱□、微波炉□、座椅■、手机充电桩■、饮水设备■其他（书架■）</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岩门垃圾转运站内</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空调■、冰箱■、微波炉■、座椅■、手机充电桩■、饮水设备■其他（书架■、电视机■）</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仰义：</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53"/>
        <w:gridCol w:w="1275"/>
        <w:gridCol w:w="2940"/>
        <w:gridCol w:w="49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属地街道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驿站名称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服务设施配备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面积</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仰义街道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侨心亭</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沿秀路2号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空调■、冰箱■、微波炉■、座椅■、手机充电桩■、饮水设备■其他（急救箱■、便民雨伞架■）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仰义街道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澄沙桥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澄沙桥外埠老人协会茯茶点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标项2</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藤桥：</w:t>
      </w:r>
    </w:p>
    <w:tbl>
      <w:tblPr>
        <w:tblStyle w:val="58"/>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38"/>
        <w:gridCol w:w="1275"/>
        <w:gridCol w:w="2955"/>
        <w:gridCol w:w="490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属地街道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驿站名称</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  址</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服务设施配备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面积</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藤桥镇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藤桥</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育才小区一楼</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空调■、冰箱□、微波炉■、座椅■、手机充电桩□、饮水设备□其他（书架■）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藤桥镇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轻工产业园区劳动者爱心驿站</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戍浦江路与周岭路交叉口西向50米</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空调■、冰箱■、微波炉■、座椅■、手机充电桩■、饮水设备■其他（书架■）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36.6</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山福：</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3"/>
        <w:gridCol w:w="1290"/>
        <w:gridCol w:w="1317"/>
        <w:gridCol w:w="2928"/>
        <w:gridCol w:w="49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属地街道</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驿站名称</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服务设施配备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面积</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山福镇</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山福劳动者爱心驿站</w:t>
            </w:r>
          </w:p>
        </w:tc>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横山村临江西街100号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冰箱、空调、微波炉、储物架、桌椅、应急药箱、热水壶、充电排座</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标项3</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七都：</w:t>
      </w:r>
    </w:p>
    <w:tbl>
      <w:tblPr>
        <w:tblStyle w:val="58"/>
        <w:tblW w:w="14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08"/>
        <w:gridCol w:w="1350"/>
        <w:gridCol w:w="2940"/>
        <w:gridCol w:w="492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属地街道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驿站名称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服务设施配备</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面积</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七都街道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七都</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七都街道沙洲路480号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空调■、冰箱□、微波炉□、座椅■、手机充电桩□、饮水设备■其他（书架■、急救箱■）</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bl>
    <w:p>
      <w:pPr>
        <w:pStyle w:val="2"/>
        <w:numPr>
          <w:ilvl w:val="0"/>
          <w:numId w:val="43"/>
        </w:numPr>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各</w:t>
      </w:r>
      <w:r>
        <w:rPr>
          <w:rFonts w:hint="eastAsia" w:eastAsia="宋体" w:cs="宋体"/>
          <w:color w:val="auto"/>
          <w:highlight w:val="none"/>
          <w:lang w:val="en-US" w:eastAsia="zh-CN"/>
        </w:rPr>
        <w:t>街镇</w:t>
      </w:r>
      <w:r>
        <w:rPr>
          <w:rFonts w:hint="eastAsia" w:ascii="宋体" w:hAnsi="宋体" w:eastAsia="宋体" w:cs="宋体"/>
          <w:color w:val="auto"/>
          <w:highlight w:val="none"/>
          <w:lang w:val="en-US" w:eastAsia="zh-CN"/>
        </w:rPr>
        <w:t>自有环卫工人宿舍明细</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标项1</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双屿：无。</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丰门：</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998"/>
        <w:gridCol w:w="2055"/>
        <w:gridCol w:w="1260"/>
        <w:gridCol w:w="1980"/>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宿舍名称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权属（自有/租赁）</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地址</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总可容纳人数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目前容纳人数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总占地面积（平方）</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2"/>
                <w:sz w:val="22"/>
                <w:szCs w:val="22"/>
                <w:highlight w:val="none"/>
                <w:u w:val="none"/>
                <w:lang w:val="en-US" w:eastAsia="zh-CN" w:bidi="ar-SA"/>
              </w:rPr>
            </w:pPr>
            <w:r>
              <w:rPr>
                <w:rFonts w:hint="eastAsia" w:ascii="黑体" w:hAnsi="宋体" w:eastAsia="黑体" w:cs="黑体"/>
                <w:b/>
                <w:bCs/>
                <w:i w:val="0"/>
                <w:iCs w:val="0"/>
                <w:color w:val="auto"/>
                <w:kern w:val="0"/>
                <w:sz w:val="22"/>
                <w:szCs w:val="22"/>
                <w:highlight w:val="none"/>
                <w:u w:val="none"/>
                <w:lang w:val="en-US" w:eastAsia="zh-CN" w:bidi="ar"/>
              </w:rPr>
              <w:t>房间总数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嵇师环卫宿舍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自有</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嵇师村鞋都二期27号地块旁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300</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岩门宿舍</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自有</w:t>
            </w:r>
          </w:p>
        </w:tc>
        <w:tc>
          <w:tcPr>
            <w:tcW w:w="19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岩门江边</w:t>
            </w:r>
          </w:p>
        </w:tc>
        <w:tc>
          <w:tcPr>
            <w:tcW w:w="2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9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29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仰义：无。</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标项2</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藤桥：</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143"/>
        <w:gridCol w:w="1920"/>
        <w:gridCol w:w="2085"/>
        <w:gridCol w:w="1230"/>
        <w:gridCol w:w="198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宿舍名称</w:t>
            </w:r>
          </w:p>
        </w:tc>
        <w:tc>
          <w:tcPr>
            <w:tcW w:w="11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权属（自有/租赁）</w:t>
            </w:r>
          </w:p>
        </w:tc>
        <w:tc>
          <w:tcPr>
            <w:tcW w:w="19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地址</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总可容纳人数</w:t>
            </w:r>
          </w:p>
        </w:tc>
        <w:tc>
          <w:tcPr>
            <w:tcW w:w="12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目前容纳人数</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总占地面积（平方）</w:t>
            </w:r>
          </w:p>
        </w:tc>
        <w:tc>
          <w:tcPr>
            <w:tcW w:w="297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房间总数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藤桥镇人民政府</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上戍垃圾转运站员工宿舍</w:t>
            </w:r>
          </w:p>
        </w:tc>
        <w:tc>
          <w:tcPr>
            <w:tcW w:w="11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自有</w:t>
            </w:r>
          </w:p>
        </w:tc>
        <w:tc>
          <w:tcPr>
            <w:tcW w:w="19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戍浦江路26号 </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10人</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9人</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97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山福：无。</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标项3</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七都：无。</w:t>
      </w:r>
    </w:p>
    <w:p>
      <w:pPr>
        <w:pStyle w:val="2"/>
        <w:numPr>
          <w:ilvl w:val="0"/>
          <w:numId w:val="43"/>
        </w:numPr>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各</w:t>
      </w:r>
      <w:r>
        <w:rPr>
          <w:rFonts w:hint="eastAsia" w:eastAsia="宋体" w:cs="宋体"/>
          <w:color w:val="auto"/>
          <w:highlight w:val="none"/>
          <w:lang w:val="en-US" w:eastAsia="zh-CN"/>
        </w:rPr>
        <w:t>街镇</w:t>
      </w:r>
      <w:r>
        <w:rPr>
          <w:rFonts w:hint="eastAsia" w:ascii="宋体" w:hAnsi="宋体" w:eastAsia="宋体" w:cs="宋体"/>
          <w:color w:val="auto"/>
          <w:highlight w:val="none"/>
          <w:lang w:val="en-US" w:eastAsia="zh-CN"/>
        </w:rPr>
        <w:t>自有车辆</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标项1</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双屿：</w:t>
      </w:r>
    </w:p>
    <w:tbl>
      <w:tblPr>
        <w:tblStyle w:val="58"/>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066"/>
        <w:gridCol w:w="1266"/>
        <w:gridCol w:w="1121"/>
        <w:gridCol w:w="915"/>
        <w:gridCol w:w="1005"/>
        <w:gridCol w:w="1523"/>
        <w:gridCol w:w="855"/>
        <w:gridCol w:w="1216"/>
        <w:gridCol w:w="2516"/>
        <w:gridCol w:w="119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牌号</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现自编号</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购置时间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原价  万元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发动机号码</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底盘号码</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行驶证登记     时间</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车辆类型</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2020.10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QXC001</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电动四轮高压清洗车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2020.10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LJC02</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电动六桶垃圾清运车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城管办（富邦吴情龙）</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双屿街道01</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YD96A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YD97A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双屿街道03</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YD98A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双屿街道04</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YD99A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双屿街道05</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YD100A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双屿街道06</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YD101A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双屿街道07</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YD102A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双屿街道08</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YD103A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双屿街道09</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YD104A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双屿街道10</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YD105A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双屿街道11</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YD106A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DHWQY-26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三轮四桶车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DHWQY-26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三轮四桶车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DHWQY-26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三轮四桶车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DHWQY-27</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双屿街道13</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DHWQY-28</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双屿街道15</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DHWQY-30</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双屿街道16</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DHWQY-31</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双屿街道17</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DHWQY-32</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双屿街道18</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DHWQY-33</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双屿街道19</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DHWQY-34</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双屿街道20</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DHWQY-35</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双屿街道21</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双屿街道24</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DHWQY-37</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0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双屿街道23</w:t>
            </w:r>
          </w:p>
        </w:tc>
        <w:tc>
          <w:tcPr>
            <w:tcW w:w="11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DHWQY-38</w:t>
            </w:r>
          </w:p>
        </w:tc>
        <w:tc>
          <w:tcPr>
            <w:tcW w:w="152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251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28</w:t>
            </w:r>
          </w:p>
        </w:tc>
        <w:tc>
          <w:tcPr>
            <w:tcW w:w="106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highlight w:val="none"/>
                <w:u w:val="none"/>
              </w:rPr>
            </w:pPr>
          </w:p>
        </w:tc>
        <w:tc>
          <w:tcPr>
            <w:tcW w:w="126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12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005" w:type="dxa"/>
            <w:tcBorders>
              <w:top w:val="single" w:color="auto" w:sz="4" w:space="0"/>
              <w:left w:val="single" w:color="000000" w:sz="4" w:space="0"/>
              <w:bottom w:val="single" w:color="auto" w:sz="4" w:space="0"/>
              <w:right w:val="single" w:color="000000" w:sz="4"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电动保洁三轮车6辆</w:t>
            </w:r>
          </w:p>
        </w:tc>
        <w:tc>
          <w:tcPr>
            <w:tcW w:w="15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8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i w:val="0"/>
                <w:iCs w:val="0"/>
                <w:color w:val="auto"/>
                <w:sz w:val="20"/>
                <w:szCs w:val="20"/>
                <w:highlight w:val="none"/>
                <w:u w:val="none"/>
              </w:rPr>
            </w:pPr>
          </w:p>
        </w:tc>
        <w:tc>
          <w:tcPr>
            <w:tcW w:w="121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2017.3.28</w:t>
            </w:r>
          </w:p>
        </w:tc>
        <w:tc>
          <w:tcPr>
            <w:tcW w:w="2516" w:type="dxa"/>
            <w:tcBorders>
              <w:top w:val="single" w:color="auto"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iCs w:val="0"/>
                <w:color w:val="auto"/>
                <w:sz w:val="20"/>
                <w:szCs w:val="20"/>
                <w:highlight w:val="none"/>
                <w:u w:val="none"/>
              </w:rPr>
            </w:pPr>
          </w:p>
        </w:tc>
        <w:tc>
          <w:tcPr>
            <w:tcW w:w="119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城管办</w:t>
            </w:r>
          </w:p>
        </w:tc>
        <w:tc>
          <w:tcPr>
            <w:tcW w:w="1185" w:type="dxa"/>
            <w:tcBorders>
              <w:top w:val="single" w:color="auto" w:sz="4" w:space="0"/>
              <w:left w:val="single" w:color="000000" w:sz="4" w:space="0"/>
              <w:bottom w:val="single" w:color="auto" w:sz="4" w:space="0"/>
              <w:right w:val="single" w:color="auto" w:sz="4" w:space="0"/>
            </w:tcBorders>
            <w:noWrap/>
            <w:vAlign w:val="center"/>
          </w:tcPr>
          <w:p>
            <w:pPr>
              <w:jc w:val="left"/>
              <w:rPr>
                <w:rFonts w:hint="eastAsia" w:ascii="宋体" w:hAnsi="宋体" w:eastAsia="宋体" w:cs="宋体"/>
                <w:i w:val="0"/>
                <w:iCs w:val="0"/>
                <w:color w:val="auto"/>
                <w:sz w:val="20"/>
                <w:szCs w:val="20"/>
                <w:highlight w:val="none"/>
                <w:u w:val="none"/>
              </w:rPr>
            </w:pPr>
          </w:p>
        </w:tc>
      </w:tr>
    </w:tbl>
    <w:p>
      <w:pPr>
        <w:pStyle w:val="2"/>
        <w:numPr>
          <w:ilvl w:val="0"/>
          <w:numId w:val="0"/>
        </w:numPr>
        <w:ind w:leftChars="0"/>
        <w:rPr>
          <w:rFonts w:hint="eastAsia" w:ascii="宋体" w:hAnsi="宋体" w:eastAsia="宋体" w:cs="宋体"/>
          <w:color w:val="auto"/>
          <w:highlight w:val="none"/>
          <w:lang w:val="en-US" w:eastAsia="zh-CN"/>
        </w:rPr>
      </w:pP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丰门：</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1219"/>
        <w:gridCol w:w="1245"/>
        <w:gridCol w:w="1110"/>
        <w:gridCol w:w="900"/>
        <w:gridCol w:w="1005"/>
        <w:gridCol w:w="1590"/>
        <w:gridCol w:w="810"/>
        <w:gridCol w:w="1170"/>
        <w:gridCol w:w="2565"/>
        <w:gridCol w:w="1180"/>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现自编号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购置时间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原价  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发动机号码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底盘号码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行驶证登记时间</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车辆类型</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丰门街道前陈村10号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丰门街道前陈村11号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丰门街道前陈村12号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丰门街道前陈村13号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丰门街道前陈村14号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丰门街道岩门村1号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2021.5.27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丰门街道岩门村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丰门街道嵇师村10号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2021.6.26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72V2500W-202106-4618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72V2500W-202106-4637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72V2500W-202106-4649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丰门街道嵇师村19号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2021.6.26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72V2500W-202106-4649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丰门街道嵇师村20号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2021.5.28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72V2500W-202104-3959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丰门街道嵇师村21号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2021.5.28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72V2500W-202104-3928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丰门街道嵇师村22号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2021.5.29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72V2500W-202104-3945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丰门街道嵇师村23号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2021.5.29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72V2500W-202104-3919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fm019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汽油三轮车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汽油三轮车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汽油三轮车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fm029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电动两轮车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监督巡查车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丰门街道0001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202108-5676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丰门街道0003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丰门街道0004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202108-5570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丰门街道0005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202108-5671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丰门街道0006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202108-5586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丰门街道0007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丰门街道0009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202108-5681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202108-5685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202108-5679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丰门街道0019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岩门村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202108-5674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202108-5684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202108-5686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202108-5682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丰门街道0029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202108-3654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202108-5658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202108-5672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202108-5678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202108-5677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202106-5662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202106-5649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丰门街道0036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202108-5665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QY3YT008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2020032281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QY3YT008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202101084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QY3YT008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202101065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LXY—72V</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车架202022086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垃圾清运车（六桶）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车架202101007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仰义：</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1216"/>
        <w:gridCol w:w="1322"/>
        <w:gridCol w:w="1080"/>
        <w:gridCol w:w="915"/>
        <w:gridCol w:w="1020"/>
        <w:gridCol w:w="1560"/>
        <w:gridCol w:w="825"/>
        <w:gridCol w:w="1197"/>
        <w:gridCol w:w="1216"/>
        <w:gridCol w:w="1367"/>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牌号</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现自编号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购置时间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原价  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发动机号码</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底盘号码</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行驶证登记时间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车辆类型</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龙川006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龙川007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龙川049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前京078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高压冲洗车</w:t>
            </w: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高压冲洗车</w:t>
            </w: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高压冲洗车</w:t>
            </w: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202008329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FC2020100026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FC2020100020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FC2020100021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FC2020100024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FC202101058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FC202104079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FC202104081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FC202106011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FC202106012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FC202108009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FC202108011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FC202108013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73</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FC2021111001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FC202110092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76</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FC202111003</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FC202111004</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FC202111006</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FC202111007</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FC202111008</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标项2</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藤桥：无。</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山福：</w:t>
      </w:r>
    </w:p>
    <w:tbl>
      <w:tblPr>
        <w:tblStyle w:val="58"/>
        <w:tblW w:w="14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508"/>
        <w:gridCol w:w="1080"/>
        <w:gridCol w:w="680"/>
        <w:gridCol w:w="1616"/>
        <w:gridCol w:w="1080"/>
        <w:gridCol w:w="1916"/>
        <w:gridCol w:w="1116"/>
        <w:gridCol w:w="1216"/>
        <w:gridCol w:w="886"/>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牌号</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现自编号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购置时间</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原价  万元</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发动机号码</w:t>
            </w: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底盘号码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行驶证登记     时间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车辆类型</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LB4CX800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2020030562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高压冲洗车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LB4CX800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2020030563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高压冲洗车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LB4CX800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2020030564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高压冲洗车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LB4YT008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2020030639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电动四轮车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2020.11.</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LB4YT009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2020030640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电动四轮车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LB4YT0010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2020030641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电动四轮车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Z20071118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Z20071119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Z20071129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Z20071139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Z20071147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47</w:t>
            </w: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0" w:type="auto"/>
            <w:noWrap w:val="0"/>
            <w:vAlign w:val="top"/>
          </w:tcPr>
          <w:p>
            <w:pPr>
              <w:jc w:val="center"/>
              <w:rPr>
                <w:rFonts w:hint="eastAsia" w:ascii="宋体" w:hAnsi="宋体" w:eastAsia="宋体" w:cs="宋体"/>
                <w:i w:val="0"/>
                <w:iCs w:val="0"/>
                <w:color w:val="auto"/>
                <w:sz w:val="20"/>
                <w:szCs w:val="20"/>
                <w:highlight w:val="none"/>
                <w:u w:val="none"/>
              </w:rPr>
            </w:pPr>
          </w:p>
        </w:tc>
        <w:tc>
          <w:tcPr>
            <w:tcW w:w="0" w:type="auto"/>
            <w:noWrap w:val="0"/>
            <w:vAlign w:val="top"/>
          </w:tcPr>
          <w:p>
            <w:pPr>
              <w:jc w:val="center"/>
              <w:rPr>
                <w:rFonts w:hint="eastAsia" w:ascii="宋体" w:hAnsi="宋体" w:eastAsia="宋体" w:cs="宋体"/>
                <w:i w:val="0"/>
                <w:iCs w:val="0"/>
                <w:color w:val="auto"/>
                <w:sz w:val="20"/>
                <w:szCs w:val="20"/>
                <w:highlight w:val="none"/>
                <w:u w:val="none"/>
              </w:rPr>
            </w:pPr>
          </w:p>
        </w:tc>
        <w:tc>
          <w:tcPr>
            <w:tcW w:w="0" w:type="auto"/>
            <w:noWrap w:val="0"/>
            <w:vAlign w:val="top"/>
          </w:tcPr>
          <w:p>
            <w:pPr>
              <w:jc w:val="center"/>
              <w:rPr>
                <w:rFonts w:hint="eastAsia" w:ascii="宋体" w:hAnsi="宋体" w:eastAsia="宋体" w:cs="宋体"/>
                <w:i w:val="0"/>
                <w:iCs w:val="0"/>
                <w:color w:val="auto"/>
                <w:sz w:val="20"/>
                <w:szCs w:val="20"/>
                <w:highlight w:val="none"/>
                <w:u w:val="none"/>
              </w:rPr>
            </w:pPr>
          </w:p>
        </w:tc>
        <w:tc>
          <w:tcPr>
            <w:tcW w:w="0" w:type="auto"/>
            <w:noWrap w:val="0"/>
            <w:vAlign w:val="top"/>
          </w:tcPr>
          <w:p>
            <w:pPr>
              <w:jc w:val="center"/>
              <w:rPr>
                <w:rFonts w:hint="eastAsia" w:ascii="宋体" w:hAnsi="宋体" w:eastAsia="宋体" w:cs="宋体"/>
                <w:i w:val="0"/>
                <w:iCs w:val="0"/>
                <w:color w:val="auto"/>
                <w:sz w:val="20"/>
                <w:szCs w:val="20"/>
                <w:highlight w:val="none"/>
                <w:u w:val="none"/>
              </w:rPr>
            </w:pP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0" w:type="auto"/>
            <w:noWrap w:val="0"/>
            <w:vAlign w:val="top"/>
          </w:tcPr>
          <w:p>
            <w:pPr>
              <w:jc w:val="center"/>
              <w:rPr>
                <w:rFonts w:hint="eastAsia" w:ascii="宋体" w:hAnsi="宋体" w:eastAsia="宋体" w:cs="宋体"/>
                <w:i w:val="0"/>
                <w:iCs w:val="0"/>
                <w:color w:val="auto"/>
                <w:sz w:val="20"/>
                <w:szCs w:val="20"/>
                <w:highlight w:val="none"/>
                <w:u w:val="none"/>
              </w:rPr>
            </w:pPr>
          </w:p>
        </w:tc>
        <w:tc>
          <w:tcPr>
            <w:tcW w:w="0" w:type="auto"/>
            <w:noWrap w:val="0"/>
            <w:vAlign w:val="top"/>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bl>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标项3</w:t>
      </w:r>
    </w:p>
    <w:p>
      <w:pPr>
        <w:pStyle w:val="2"/>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七都：</w:t>
      </w:r>
    </w:p>
    <w:tbl>
      <w:tblPr>
        <w:tblStyle w:val="58"/>
        <w:tblW w:w="145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066"/>
        <w:gridCol w:w="516"/>
        <w:gridCol w:w="1351"/>
        <w:gridCol w:w="751"/>
        <w:gridCol w:w="2066"/>
        <w:gridCol w:w="1176"/>
        <w:gridCol w:w="1995"/>
        <w:gridCol w:w="1370"/>
        <w:gridCol w:w="1716"/>
        <w:gridCol w:w="791"/>
        <w:gridCol w:w="1185"/>
      </w:tblGrid>
      <w:tr>
        <w:tblPrEx>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现自编号</w:t>
            </w: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购置时间</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原价  万元</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发动机号码</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底盘号码</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行驶证登记     时间</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车辆类型</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0020527</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1910561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186421904010561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0020528</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1910562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186421904010562</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0020529</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1910563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186421904010563</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0020515</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1910564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186421904010564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0020516</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1910565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186421904010565</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2020.10.29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202010090</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2020.10.29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202010087</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FC2020120062</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FC2020120066</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皇保H1000F4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D721906103</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电动环卫车(大）</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皇保H1000F4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D721906104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电动环卫车(大）</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皇保H150K</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D481906150</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电动环卫车(小）</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2020.9.23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电动四轮八桶车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2021.7.2</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w:t>
            </w:r>
          </w:p>
        </w:tc>
        <w:tc>
          <w:tcPr>
            <w:tcW w:w="10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浙C38320</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2015.07.29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中联ZLJ51007XSE4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003019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LWLDAR9K5FL002861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2022.07.27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浙C35096</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2021.1.13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宇通牌YTZS160GSSJ0D6</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S01486L00042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LMR1E1AB5L1001642</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2022.7.19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冲洗车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2021.10.03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福昌XYZT35DS</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FC202110038</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2022.01.19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福昌XYZT35DS-8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2022011901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2022.01.18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福昌XYZT35DS-8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2022011806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2020.10.08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福昌XYZT35DS-7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20200108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2020.10.09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福昌XYZT35DS</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202010090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2021.10.13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力星源LB3YT008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2021109451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2021.06.18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福昌XYZT35DS</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202106180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2021.10.12</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力星源LB3YT008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202109349</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2021.07.00</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福昌FC-6</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2021--7</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2021.05.06</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福昌FC-8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6"/>
                <w:szCs w:val="16"/>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2021--5</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无牌无号</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1066"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无牌无号</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无牌无号</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6"/>
                <w:szCs w:val="16"/>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pStyle w:val="2"/>
        <w:numPr>
          <w:ilvl w:val="0"/>
          <w:numId w:val="0"/>
        </w:numPr>
        <w:ind w:leftChars="0"/>
        <w:rPr>
          <w:rFonts w:hint="default" w:ascii="宋体" w:hAnsi="宋体" w:eastAsia="宋体" w:cs="宋体"/>
          <w:color w:val="auto"/>
          <w:highlight w:val="none"/>
          <w:lang w:val="en-US" w:eastAsia="zh-CN"/>
        </w:rPr>
      </w:pPr>
    </w:p>
    <w:p>
      <w:pPr>
        <w:pStyle w:val="2"/>
        <w:numPr>
          <w:ilvl w:val="0"/>
          <w:numId w:val="0"/>
        </w:numPr>
        <w:ind w:leftChars="0"/>
        <w:rPr>
          <w:rFonts w:hint="default" w:ascii="宋体" w:hAnsi="宋体" w:eastAsia="宋体" w:cs="宋体"/>
          <w:color w:val="auto"/>
          <w:highlight w:val="none"/>
          <w:lang w:val="en-US" w:eastAsia="zh-CN"/>
        </w:rPr>
      </w:pPr>
    </w:p>
    <w:p>
      <w:pPr>
        <w:rPr>
          <w:color w:val="auto"/>
          <w:highlight w:val="none"/>
        </w:rPr>
      </w:pPr>
    </w:p>
    <w:sectPr>
      <w:pgSz w:w="16838" w:h="11906" w:orient="landscape"/>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Heiti SC Light">
    <w:altName w:val="宋体"/>
    <w:panose1 w:val="00000000000000000000"/>
    <w:charset w:val="00"/>
    <w:family w:val="auto"/>
    <w:pitch w:val="default"/>
    <w:sig w:usb0="00000000" w:usb1="00000000" w:usb2="00000010" w:usb3="00000000" w:csb0="003E0000" w:csb1="0000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00"/>
    <w:family w:val="swiss"/>
    <w:pitch w:val="default"/>
    <w:sig w:usb0="F7FFAFFF" w:usb1="E9DFFFFF" w:usb2="0000003F" w:usb3="00000000" w:csb0="003F01FF" w:csb1="00000000"/>
  </w:font>
  <w:font w:name="Helvetica Neue">
    <w:altName w:val="黑体"/>
    <w:panose1 w:val="00000000000000000000"/>
    <w:charset w:val="00"/>
    <w:family w:val="auto"/>
    <w:pitch w:val="default"/>
    <w:sig w:usb0="00000000" w:usb1="00000000" w:usb2="00000010" w:usb3="00000000" w:csb0="00000000" w:csb1="00000000"/>
  </w:font>
  <w:font w:name="ZapfDingbatsNr2EFOP-Regular">
    <w:altName w:val="黑体"/>
    <w:panose1 w:val="00000000000000000000"/>
    <w:charset w:val="00"/>
    <w:family w:val="auto"/>
    <w:pitch w:val="default"/>
    <w:sig w:usb0="00000003" w:usb1="080E0000" w:usb2="0000001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A00002FF" w:usb1="28CFFCFA"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方正书宋_GBK">
    <w:altName w:val="微软雅黑"/>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Verdana,Arial">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昆仑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Univers LT Std 57 Cn">
    <w:altName w:val="Arial"/>
    <w:panose1 w:val="00000000000000000000"/>
    <w:charset w:val="00"/>
    <w:family w:val="swiss"/>
    <w:pitch w:val="default"/>
    <w:sig w:usb0="00000003" w:usb1="00000000" w:usb2="00000000" w:usb3="00000000" w:csb0="00000001" w:csb1="00000000"/>
  </w:font>
  <w:font w:name="Times">
    <w:altName w:val="Times New Roman"/>
    <w:panose1 w:val="02020603050405020304"/>
    <w:charset w:val="00"/>
    <w:family w:val="roman"/>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Linotype Univers 330 Light">
    <w:altName w:val="宋体"/>
    <w:panose1 w:val="00000000000000000000"/>
    <w:charset w:val="86"/>
    <w:family w:val="swiss"/>
    <w:pitch w:val="default"/>
    <w:sig w:usb0="00000001" w:usb1="080E0000" w:usb2="00000010" w:usb3="00000000" w:csb0="00040000" w:csb1="00000000"/>
  </w:font>
  <w:font w:name="Univers LT Std 47 Cn Lt">
    <w:altName w:val="宋体"/>
    <w:panose1 w:val="00000000000000000000"/>
    <w:charset w:val="86"/>
    <w:family w:val="swiss"/>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宋体"/>
    <w:panose1 w:val="00000000000000000000"/>
    <w:charset w:val="00"/>
    <w:family w:val="swiss"/>
    <w:pitch w:val="default"/>
    <w:sig w:usb0="00000000" w:usb1="00000000" w:usb2="00000017" w:usb3="00000000" w:csb0="00040001" w:csb1="00000000"/>
  </w:font>
  <w:font w:name="阿里巴巴普惠体 L">
    <w:altName w:val="宋体"/>
    <w:panose1 w:val="00000000000000000000"/>
    <w:charset w:val="00"/>
    <w:family w:val="roman"/>
    <w:pitch w:val="default"/>
    <w:sig w:usb0="00000000" w:usb1="00000000" w:usb2="0000001E" w:usb3="00000000" w:csb0="0004009F" w:csb1="00000000"/>
  </w:font>
  <w:font w:name="Century Gothic">
    <w:panose1 w:val="020B0502020202020204"/>
    <w:charset w:val="00"/>
    <w:family w:val="swiss"/>
    <w:pitch w:val="default"/>
    <w:sig w:usb0="00000287" w:usb1="00000000" w:usb2="00000000" w:usb3="00000000" w:csb0="2000009F" w:csb1="DFD70000"/>
  </w:font>
  <w:font w:name="Helvetica">
    <w:altName w:val="Arial"/>
    <w:panose1 w:val="020B0504020202030204"/>
    <w:charset w:val="00"/>
    <w:family w:val="swiss"/>
    <w:pitch w:val="default"/>
    <w:sig w:usb0="00000007" w:usb1="00000000" w:usb2="00000000" w:usb3="00000000" w:csb0="00000093" w:csb1="00000000"/>
  </w:font>
  <w:font w:name="宋体-PUA">
    <w:altName w:val="宋体"/>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3"/>
      </w:rPr>
    </w:pPr>
    <w:r>
      <w:fldChar w:fldCharType="begin"/>
    </w:r>
    <w:r>
      <w:rPr>
        <w:rStyle w:val="6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3"/>
      </w:rPr>
    </w:pPr>
    <w:r>
      <w:fldChar w:fldCharType="begin"/>
    </w:r>
    <w:r>
      <w:rPr>
        <w:rStyle w:val="63"/>
      </w:rPr>
      <w:instrText xml:space="preserve">PAGE  </w:instrText>
    </w:r>
    <w:r>
      <w:fldChar w:fldCharType="separate"/>
    </w:r>
    <w:r>
      <w:rPr>
        <w:rStyle w:val="63"/>
      </w:rPr>
      <w:t>67</w:t>
    </w:r>
    <w:r>
      <w:fldChar w:fldCharType="end"/>
    </w:r>
  </w:p>
  <w:p>
    <w:pPr>
      <w:pStyle w:val="39"/>
      <w:pBdr>
        <w:top w:val="single" w:color="auto" w:sz="4" w:space="1"/>
      </w:pBdr>
      <w:jc w:val="right"/>
      <w:rPr>
        <w:rFonts w:hint="eastAsia" w:ascii="楷体_GB2312" w:eastAsia="楷体_GB2312"/>
        <w:lang w:eastAsia="zh-CN"/>
      </w:rPr>
    </w:pPr>
    <w:r>
      <w:rPr>
        <w:rFonts w:hint="eastAsia" w:ascii="楷体_GB2312" w:eastAsia="楷体_GB2312"/>
        <w:lang w:eastAsia="zh-CN"/>
      </w:rPr>
      <w:t>宁波国咨工程造价咨询有限公司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3"/>
      </w:rPr>
    </w:pPr>
    <w:r>
      <w:fldChar w:fldCharType="begin"/>
    </w:r>
    <w:r>
      <w:rPr>
        <w:rStyle w:val="63"/>
      </w:rPr>
      <w:instrText xml:space="preserve">PAGE  </w:instrText>
    </w:r>
    <w:r>
      <w:fldChar w:fldCharType="separate"/>
    </w:r>
    <w:r>
      <w:rPr>
        <w:rStyle w:val="63"/>
      </w:rPr>
      <w:t>67</w:t>
    </w:r>
    <w:r>
      <w:fldChar w:fldCharType="end"/>
    </w:r>
  </w:p>
  <w:p>
    <w:pPr>
      <w:pStyle w:val="39"/>
      <w:pBdr>
        <w:top w:val="single" w:color="auto" w:sz="4" w:space="1"/>
      </w:pBdr>
      <w:jc w:val="right"/>
      <w:rPr>
        <w:rFonts w:hint="eastAsia" w:ascii="楷体_GB2312" w:eastAsia="楷体_GB2312"/>
        <w:lang w:eastAsia="zh-CN"/>
      </w:rPr>
    </w:pPr>
    <w:r>
      <w:rPr>
        <w:rFonts w:hint="eastAsia" w:ascii="楷体_GB2312" w:eastAsia="楷体_GB2312"/>
        <w:lang w:eastAsia="zh-CN"/>
      </w:rPr>
      <w:t>宁波国咨工程造价咨询有限公司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ind w:right="-82" w:rightChars="-39" w:firstLine="4410" w:firstLineChars="2450"/>
      <w:jc w:val="right"/>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HZGh90BAAC/AwAADgAAAGRycy9lMm9Eb2MueG1srVPNjtMwEL4j8Q6W 7zRpD6iqmq4WqkVICJAWHsB1nMaS/zSeNikPAG/AiQt3nqvPwdhJ2mW57GEvyXhm/M1834zXN701 7Kggau8qPp+VnCknfa3dvuJfv9y9WnIWUbhaGO9UxU8q8pvNyxfrLqzUwrfe1AoYgbi46kLFW8Sw KoooW2VFnPmgHAUbD1YgHWFf1CA6QremWJTl66LzUAfwUsVI3u0Q5CMiPAXQN42WauvlwSqHAyoo I5AoxVaHyDe526ZREj81TVTITMWJKeYvFSF7l77FZi1WexCh1XJsQTylhUecrNCOil6gtgIFO4D+ D8pqCT76BmfS22IgkhUhFvPykTb3rQgqcyGpY7iIHp8PVn48fgam64rT2J2wNPDzzx/nX3/Ov7+z edanC3FFafeBErF/43vamqRb8kdyJtp9Azb9iRCjOKl7uqiremQyXVoulsuSQpJi04Fwiuv1ABHf KW9ZMioONL6sqjh+iDikTimpmvN32pg8QuP+cRBm8hTXHpOF/a4fG9/5+kR86B1QndbDN8462oKK O1p6zsx7RyKnhZkMmIzdZAgn6WLFkbPBfIvDYh0C6H2bVy01FcPtAanTTCC1MdQeu6O5ZgnGHUyL 8/Ccs67vbvMX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BB2RofdAQAAvwMAAA4AAAAAAAAA AQAgAAAAHgEAAGRycy9lMm9Eb2MueG1sUEsFBgAAAAAGAAYAWQEAAG0FAAAAAA== ">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ind w:right="-82" w:rightChars="-39" w:firstLine="4410" w:firstLineChars="245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mcpt4BAAC/AwAADgAAAGRycy9lMm9Eb2MueG1srVNBrtMwEN0jcQfL e5q0C1Sipl9A9RESAqQPB3Adp7FkeyyP26QcAG7Aig17ztVzMHaSfvhs/oJNMp4Zv5n3Zry5Gaxh JxVQg6v5clFyppyERrtDzT9/un225gyjcI0w4FTNzwr5zfbpk03vK7WCDkyjAiMQh1Xva97F6Kui QNkpK3ABXjkKthCsiHQMh6IJoid0a4pVWT4vegiNDyAVInl3Y5BPiOExgNC2WqodyKNVLo6oQRkR iRJ22iPf5m7bVsn4oW1RRWZqTkxj/lIRsvfpW2w3ojoE4TstpxbEY1p4wMkK7ajoFWonomDHoP+B sloGQGjjQoItRiJZEWKxLB9oc9cJrzIXkhr9VXT8f7Dy/eljYLqp+QvOnLA08Mv3b5cfvy4/v7Ll MunTe6wo7c5TYhxewUBbM/uRnIn20Aab/kSIUZzUPV/VVUNkMl1ar9brkkKSYvOB8Iv76z5gfKPA smTUPND4sqri9A7jmDqnpGoObrUxeYTG/eUgzOQpUu9jj8mKw36YCO2hORMfegdUp4PwhbOetqDm jpaeM/PWkchpYWYjzMZ+NoSTdLHmkbPRfB3HxTr6oA9dXrXUFPqXx0idZgKpjbH21B3NNUsw7WBa nD/POev+3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XKZym3gEAAL8DAAAOAAAAAAAA AAEAIAAAAB4BAABkcnMvZTJvRG9jLnhtbFBLBQYAAAAABgAGAFkBAABuBQAAAAA= ">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rPr>
    </w:pPr>
    <w:r>
      <w:rPr>
        <w:rFonts w:eastAsia="新宋体"/>
        <w:lang w:eastAsia="zh-CN"/>
      </w:rPr>
      <w:t>温州市政府分散</w:t>
    </w:r>
    <w:r>
      <w:rPr>
        <w:rFonts w:hint="eastAsia" w:eastAsia="新宋体"/>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rPr>
    </w:pPr>
    <w:r>
      <w:rPr>
        <w:rFonts w:eastAsia="新宋体"/>
        <w:lang w:eastAsia="zh-CN"/>
      </w:rPr>
      <w:t>温州市政府分散</w:t>
    </w:r>
    <w:r>
      <w:rPr>
        <w:rFonts w:hint="eastAsia" w:eastAsia="新宋体"/>
      </w:rPr>
      <w:t>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eastAsia="新宋体"/>
      </w:rPr>
    </w:pPr>
    <w:r>
      <w:rPr>
        <w:rFonts w:eastAsia="新宋体"/>
        <w:lang w:eastAsia="zh-CN"/>
      </w:rPr>
      <w:t>温州市政府分散</w:t>
    </w:r>
    <w:r>
      <w:rPr>
        <w:rFonts w:hint="eastAsia" w:eastAsia="新宋体"/>
      </w:rPr>
      <w:t>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eastAsia="新宋体"/>
        <w:lang w:eastAsia="zh-CN"/>
      </w:rPr>
      <w:t>温州市</w:t>
    </w:r>
    <w:r>
      <w:rPr>
        <w:rFonts w:hint="eastAsia" w:eastAsia="新宋体"/>
        <w:lang w:val="en-US" w:eastAsia="zh-CN"/>
      </w:rPr>
      <w:t>鹿城区</w:t>
    </w:r>
    <w:r>
      <w:rPr>
        <w:rFonts w:eastAsia="新宋体"/>
        <w:lang w:eastAsia="zh-CN"/>
      </w:rPr>
      <w:t>政府分散</w:t>
    </w:r>
    <w:r>
      <w:rPr>
        <w:rFonts w:hint="eastAsia" w:eastAsia="新宋体"/>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933CC9C2"/>
    <w:multiLevelType w:val="singleLevel"/>
    <w:tmpl w:val="933CC9C2"/>
    <w:lvl w:ilvl="0" w:tentative="0">
      <w:start w:val="4"/>
      <w:numFmt w:val="decimal"/>
      <w:suff w:val="nothing"/>
      <w:lvlText w:val="（%1）"/>
      <w:lvlJc w:val="left"/>
    </w:lvl>
  </w:abstractNum>
  <w:abstractNum w:abstractNumId="1">
    <w:nsid w:val="B319288F"/>
    <w:multiLevelType w:val="singleLevel"/>
    <w:tmpl w:val="B319288F"/>
    <w:lvl w:ilvl="0" w:tentative="0">
      <w:start w:val="1"/>
      <w:numFmt w:val="decimalEnclosedCircleChinese"/>
      <w:pStyle w:val="620"/>
      <w:suff w:val="nothing"/>
      <w:lvlText w:val="%1　"/>
      <w:lvlJc w:val="left"/>
      <w:pPr>
        <w:ind w:left="0" w:firstLine="400"/>
      </w:pPr>
      <w:rPr>
        <w:rFonts w:hint="eastAsia"/>
      </w:rPr>
    </w:lvl>
  </w:abstractNum>
  <w:abstractNum w:abstractNumId="2">
    <w:nsid w:val="C9C3088A"/>
    <w:multiLevelType w:val="singleLevel"/>
    <w:tmpl w:val="C9C3088A"/>
    <w:lvl w:ilvl="0" w:tentative="0">
      <w:start w:val="1"/>
      <w:numFmt w:val="decimal"/>
      <w:suff w:val="nothing"/>
      <w:lvlText w:val="（%1）"/>
      <w:lvlJc w:val="left"/>
    </w:lvl>
  </w:abstractNum>
  <w:abstractNum w:abstractNumId="3">
    <w:nsid w:val="D2343534"/>
    <w:multiLevelType w:val="singleLevel"/>
    <w:tmpl w:val="D2343534"/>
    <w:lvl w:ilvl="0" w:tentative="0">
      <w:start w:val="1"/>
      <w:numFmt w:val="chineseCounting"/>
      <w:suff w:val="nothing"/>
      <w:lvlText w:val="%1、"/>
      <w:lvlJc w:val="left"/>
      <w:rPr>
        <w:rFonts w:hint="eastAsia"/>
      </w:rPr>
    </w:lvl>
  </w:abstractNum>
  <w:abstractNum w:abstractNumId="4">
    <w:nsid w:val="DABD09BB"/>
    <w:multiLevelType w:val="singleLevel"/>
    <w:tmpl w:val="DABD09BB"/>
    <w:lvl w:ilvl="0" w:tentative="0">
      <w:start w:val="4"/>
      <w:numFmt w:val="decimal"/>
      <w:suff w:val="nothing"/>
      <w:lvlText w:val="%1．"/>
      <w:lvlJc w:val="left"/>
      <w:pPr>
        <w:ind w:left="488" w:firstLine="0"/>
      </w:pPr>
    </w:lvl>
  </w:abstractNum>
  <w:abstractNum w:abstractNumId="5">
    <w:nsid w:val="00000002"/>
    <w:multiLevelType w:val="multilevel"/>
    <w:tmpl w:val="00000002"/>
    <w:lvl w:ilvl="0" w:tentative="0">
      <w:start w:val="1"/>
      <w:numFmt w:val="decimal"/>
      <w:lvlText w:val="（%1）"/>
      <w:lvlJc w:val="left"/>
      <w:pPr>
        <w:ind w:left="987" w:hanging="420"/>
      </w:pPr>
      <w:rPr>
        <w:rFonts w:hint="eastAsia"/>
      </w:rPr>
    </w:lvl>
    <w:lvl w:ilvl="1" w:tentative="0">
      <w:start w:val="1"/>
      <w:numFmt w:val="lowerLetter"/>
      <w:pStyle w:val="957"/>
      <w:lvlText w:val="%2)"/>
      <w:lvlJc w:val="left"/>
      <w:pPr>
        <w:ind w:left="114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00000005"/>
    <w:multiLevelType w:val="multilevel"/>
    <w:tmpl w:val="00000005"/>
    <w:lvl w:ilvl="0" w:tentative="0">
      <w:start w:val="1"/>
      <w:numFmt w:val="bullet"/>
      <w:pStyle w:val="30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5"/>
      <w:numFmt w:val="decimal"/>
      <w:pStyle w:val="958"/>
      <w:lvlText w:val="%1."/>
      <w:lvlJc w:val="left"/>
      <w:pPr>
        <w:tabs>
          <w:tab w:val="left" w:pos="360"/>
        </w:tabs>
        <w:ind w:left="360" w:hanging="360"/>
      </w:pPr>
      <w:rPr>
        <w:rFonts w:hint="default"/>
      </w:rPr>
    </w:lvl>
    <w:lvl w:ilvl="1" w:tentative="0">
      <w:start w:val="1"/>
      <w:numFmt w:val="lowerLetter"/>
      <w:pStyle w:val="625"/>
      <w:lvlText w:val="%2)"/>
      <w:lvlJc w:val="left"/>
      <w:pPr>
        <w:tabs>
          <w:tab w:val="left" w:pos="1320"/>
        </w:tabs>
        <w:ind w:left="1320" w:hanging="420"/>
      </w:pPr>
    </w:lvl>
    <w:lvl w:ilvl="2" w:tentative="0">
      <w:start w:val="1"/>
      <w:numFmt w:val="lowerRoman"/>
      <w:pStyle w:val="575"/>
      <w:lvlText w:val="%3."/>
      <w:lvlJc w:val="right"/>
      <w:pPr>
        <w:tabs>
          <w:tab w:val="left" w:pos="1740"/>
        </w:tabs>
        <w:ind w:left="1740" w:hanging="420"/>
      </w:pPr>
    </w:lvl>
    <w:lvl w:ilvl="3" w:tentative="0">
      <w:start w:val="1"/>
      <w:numFmt w:val="decimal"/>
      <w:pStyle w:val="574"/>
      <w:lvlText w:val="%4."/>
      <w:lvlJc w:val="left"/>
      <w:pPr>
        <w:tabs>
          <w:tab w:val="left" w:pos="2160"/>
        </w:tabs>
        <w:ind w:left="2160" w:hanging="420"/>
      </w:pPr>
    </w:lvl>
    <w:lvl w:ilvl="4" w:tentative="0">
      <w:start w:val="1"/>
      <w:numFmt w:val="lowerLetter"/>
      <w:pStyle w:val="573"/>
      <w:lvlText w:val="%5)"/>
      <w:lvlJc w:val="left"/>
      <w:pPr>
        <w:tabs>
          <w:tab w:val="left" w:pos="2580"/>
        </w:tabs>
        <w:ind w:left="2580" w:hanging="420"/>
      </w:pPr>
    </w:lvl>
    <w:lvl w:ilvl="5" w:tentative="0">
      <w:start w:val="1"/>
      <w:numFmt w:val="lowerRoman"/>
      <w:pStyle w:val="790"/>
      <w:lvlText w:val="%6."/>
      <w:lvlJc w:val="right"/>
      <w:pPr>
        <w:tabs>
          <w:tab w:val="left" w:pos="3000"/>
        </w:tabs>
        <w:ind w:left="3000" w:hanging="420"/>
      </w:pPr>
    </w:lvl>
    <w:lvl w:ilvl="6" w:tentative="0">
      <w:start w:val="1"/>
      <w:numFmt w:val="decimal"/>
      <w:pStyle w:val="924"/>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4"/>
    <w:multiLevelType w:val="multilevel"/>
    <w:tmpl w:val="00000014"/>
    <w:lvl w:ilvl="0" w:tentative="0">
      <w:start w:val="1"/>
      <w:numFmt w:val="lowerLetter"/>
      <w:lvlText w:val="%1)"/>
      <w:lvlJc w:val="left"/>
      <w:pPr>
        <w:tabs>
          <w:tab w:val="left" w:pos="420"/>
        </w:tabs>
        <w:ind w:left="420" w:hanging="420"/>
      </w:pPr>
      <w:rPr>
        <w:rFonts w:hint="eastAsia"/>
      </w:rPr>
    </w:lvl>
    <w:lvl w:ilvl="1" w:tentative="0">
      <w:start w:val="1"/>
      <w:numFmt w:val="decimal"/>
      <w:lvlText w:val="%15.%2"/>
      <w:lvlJc w:val="left"/>
      <w:pPr>
        <w:tabs>
          <w:tab w:val="left" w:pos="992"/>
        </w:tabs>
        <w:ind w:left="992" w:hanging="567"/>
      </w:pPr>
      <w:rPr>
        <w:rFonts w:hint="default" w:ascii="Times New Roman" w:hAnsi="Times New Roman" w:cs="Times New Roman"/>
        <w:b w:val="0"/>
        <w:sz w:val="22"/>
        <w:szCs w:val="2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899"/>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983844"/>
    <w:multiLevelType w:val="multilevel"/>
    <w:tmpl w:val="0D983844"/>
    <w:lvl w:ilvl="0" w:tentative="0">
      <w:start w:val="1"/>
      <w:numFmt w:val="decimal"/>
      <w:pStyle w:val="95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125C08C0"/>
    <w:multiLevelType w:val="multilevel"/>
    <w:tmpl w:val="125C08C0"/>
    <w:lvl w:ilvl="0" w:tentative="0">
      <w:start w:val="1"/>
      <w:numFmt w:val="bullet"/>
      <w:pStyle w:val="461"/>
      <w:lvlText w:val=""/>
      <w:lvlPicBulletId w:val="0"/>
      <w:lvlJc w:val="left"/>
      <w:pPr>
        <w:tabs>
          <w:tab w:val="left" w:pos="839"/>
        </w:tabs>
        <w:ind w:left="839" w:hanging="421"/>
      </w:pPr>
      <w:rPr>
        <w:rFonts w:hint="default" w:ascii="Wingdings" w:hAnsi="Wingdings"/>
      </w:rPr>
    </w:lvl>
    <w:lvl w:ilvl="1" w:tentative="0">
      <w:start w:val="1"/>
      <w:numFmt w:val="bullet"/>
      <w:pStyle w:val="129"/>
      <w:lvlText w:val=""/>
      <w:lvlJc w:val="left"/>
      <w:pPr>
        <w:ind w:left="1380" w:hanging="480"/>
      </w:pPr>
      <w:rPr>
        <w:rFonts w:hint="default" w:ascii="Wingdings" w:hAnsi="Wingdings"/>
      </w:rPr>
    </w:lvl>
    <w:lvl w:ilvl="2" w:tentative="0">
      <w:start w:val="1"/>
      <w:numFmt w:val="bullet"/>
      <w:pStyle w:val="700"/>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3">
    <w:nsid w:val="23495306"/>
    <w:multiLevelType w:val="multilevel"/>
    <w:tmpl w:val="23495306"/>
    <w:lvl w:ilvl="0" w:tentative="0">
      <w:start w:val="12"/>
      <w:numFmt w:val="decimal"/>
      <w:pStyle w:val="923"/>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D723055"/>
    <w:multiLevelType w:val="multilevel"/>
    <w:tmpl w:val="2D723055"/>
    <w:lvl w:ilvl="0" w:tentative="0">
      <w:start w:val="1"/>
      <w:numFmt w:val="bullet"/>
      <w:pStyle w:val="598"/>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2DD62459"/>
    <w:multiLevelType w:val="singleLevel"/>
    <w:tmpl w:val="2DD62459"/>
    <w:lvl w:ilvl="0" w:tentative="0">
      <w:start w:val="1"/>
      <w:numFmt w:val="bullet"/>
      <w:pStyle w:val="946"/>
      <w:lvlText w:val=""/>
      <w:lvlJc w:val="left"/>
      <w:pPr>
        <w:tabs>
          <w:tab w:val="left" w:pos="425"/>
        </w:tabs>
        <w:ind w:left="425" w:hanging="425"/>
      </w:pPr>
      <w:rPr>
        <w:rFonts w:hint="default" w:ascii="Wingdings" w:hAnsi="Wingdings"/>
      </w:rPr>
    </w:lvl>
  </w:abstractNum>
  <w:abstractNum w:abstractNumId="16">
    <w:nsid w:val="3013A1F8"/>
    <w:multiLevelType w:val="singleLevel"/>
    <w:tmpl w:val="3013A1F8"/>
    <w:lvl w:ilvl="0" w:tentative="0">
      <w:start w:val="1"/>
      <w:numFmt w:val="decimal"/>
      <w:suff w:val="space"/>
      <w:lvlText w:val="%1）"/>
      <w:lvlJc w:val="left"/>
    </w:lvl>
  </w:abstractNum>
  <w:abstractNum w:abstractNumId="17">
    <w:nsid w:val="335030C5"/>
    <w:multiLevelType w:val="multilevel"/>
    <w:tmpl w:val="335030C5"/>
    <w:lvl w:ilvl="0" w:tentative="0">
      <w:start w:val="1"/>
      <w:numFmt w:val="decimal"/>
      <w:pStyle w:val="65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35B05358"/>
    <w:multiLevelType w:val="multilevel"/>
    <w:tmpl w:val="35B05358"/>
    <w:lvl w:ilvl="0" w:tentative="0">
      <w:start w:val="1"/>
      <w:numFmt w:val="bullet"/>
      <w:pStyle w:val="8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73CC98B"/>
    <w:multiLevelType w:val="singleLevel"/>
    <w:tmpl w:val="373CC98B"/>
    <w:lvl w:ilvl="0" w:tentative="0">
      <w:start w:val="1"/>
      <w:numFmt w:val="decimal"/>
      <w:lvlText w:val="(%1)"/>
      <w:lvlJc w:val="left"/>
      <w:pPr>
        <w:tabs>
          <w:tab w:val="left" w:pos="312"/>
        </w:tabs>
      </w:pPr>
    </w:lvl>
  </w:abstractNum>
  <w:abstractNum w:abstractNumId="20">
    <w:nsid w:val="39622E4B"/>
    <w:multiLevelType w:val="multilevel"/>
    <w:tmpl w:val="39622E4B"/>
    <w:lvl w:ilvl="0" w:tentative="0">
      <w:start w:val="1"/>
      <w:numFmt w:val="decimal"/>
      <w:pStyle w:val="771"/>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1">
    <w:nsid w:val="47AF36A2"/>
    <w:multiLevelType w:val="multilevel"/>
    <w:tmpl w:val="47AF36A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862"/>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47BB2339"/>
    <w:multiLevelType w:val="singleLevel"/>
    <w:tmpl w:val="47BB2339"/>
    <w:lvl w:ilvl="0" w:tentative="0">
      <w:start w:val="1"/>
      <w:numFmt w:val="chineseCounting"/>
      <w:suff w:val="nothing"/>
      <w:lvlText w:val="（%1）"/>
      <w:lvlJc w:val="left"/>
      <w:rPr>
        <w:rFonts w:hint="eastAsia"/>
      </w:rPr>
    </w:lvl>
  </w:abstractNum>
  <w:abstractNum w:abstractNumId="23">
    <w:nsid w:val="496D15BE"/>
    <w:multiLevelType w:val="multilevel"/>
    <w:tmpl w:val="496D15BE"/>
    <w:lvl w:ilvl="0" w:tentative="0">
      <w:start w:val="1"/>
      <w:numFmt w:val="decimal"/>
      <w:pStyle w:val="270"/>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4A9A35FB"/>
    <w:multiLevelType w:val="multilevel"/>
    <w:tmpl w:val="4A9A35FB"/>
    <w:lvl w:ilvl="0" w:tentative="0">
      <w:start w:val="1"/>
      <w:numFmt w:val="bullet"/>
      <w:pStyle w:val="71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BCA6AD5"/>
    <w:multiLevelType w:val="singleLevel"/>
    <w:tmpl w:val="4BCA6AD5"/>
    <w:lvl w:ilvl="0" w:tentative="0">
      <w:start w:val="1"/>
      <w:numFmt w:val="chineseCounting"/>
      <w:suff w:val="nothing"/>
      <w:lvlText w:val="（%1）"/>
      <w:lvlJc w:val="left"/>
      <w:rPr>
        <w:rFonts w:hint="eastAsia"/>
      </w:rPr>
    </w:lvl>
  </w:abstractNum>
  <w:abstractNum w:abstractNumId="27">
    <w:nsid w:val="4CA75A52"/>
    <w:multiLevelType w:val="multilevel"/>
    <w:tmpl w:val="4CA75A52"/>
    <w:lvl w:ilvl="0" w:tentative="0">
      <w:start w:val="1"/>
      <w:numFmt w:val="decimal"/>
      <w:pStyle w:val="639"/>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8">
    <w:nsid w:val="54F403B5"/>
    <w:multiLevelType w:val="singleLevel"/>
    <w:tmpl w:val="54F403B5"/>
    <w:lvl w:ilvl="0" w:tentative="0">
      <w:start w:val="1"/>
      <w:numFmt w:val="chineseCounting"/>
      <w:suff w:val="nothing"/>
      <w:lvlText w:val="%1、"/>
      <w:lvlJc w:val="left"/>
      <w:pPr>
        <w:ind w:left="0" w:firstLine="0"/>
      </w:pPr>
    </w:lvl>
  </w:abstractNum>
  <w:abstractNum w:abstractNumId="29">
    <w:nsid w:val="550F68AE"/>
    <w:multiLevelType w:val="multilevel"/>
    <w:tmpl w:val="550F68AE"/>
    <w:lvl w:ilvl="0" w:tentative="0">
      <w:start w:val="1"/>
      <w:numFmt w:val="decimal"/>
      <w:pStyle w:val="886"/>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57FD3DA"/>
    <w:multiLevelType w:val="singleLevel"/>
    <w:tmpl w:val="557FD3DA"/>
    <w:lvl w:ilvl="0" w:tentative="0">
      <w:start w:val="3"/>
      <w:numFmt w:val="chineseCounting"/>
      <w:suff w:val="nothing"/>
      <w:lvlText w:val="%1、"/>
      <w:lvlJc w:val="left"/>
      <w:pPr>
        <w:ind w:left="0" w:firstLine="0"/>
      </w:pPr>
    </w:lvl>
  </w:abstractNum>
  <w:abstractNum w:abstractNumId="31">
    <w:nsid w:val="586DE995"/>
    <w:multiLevelType w:val="singleLevel"/>
    <w:tmpl w:val="586DE995"/>
    <w:lvl w:ilvl="0" w:tentative="0">
      <w:start w:val="1"/>
      <w:numFmt w:val="decimal"/>
      <w:pStyle w:val="374"/>
      <w:suff w:val="space"/>
      <w:lvlText w:val="( %1 )"/>
      <w:lvlJc w:val="left"/>
      <w:pPr>
        <w:ind w:left="0" w:firstLine="482"/>
      </w:pPr>
      <w:rPr>
        <w:rFonts w:hint="eastAsia" w:ascii="微软雅黑" w:hAnsi="微软雅黑" w:eastAsia="微软雅黑" w:cs="Times New Roman"/>
        <w:b w:val="0"/>
        <w:bCs w:val="0"/>
        <w:i w:val="0"/>
        <w:iCs w:val="0"/>
        <w:caps w:val="0"/>
        <w:smallCaps w:val="0"/>
        <w:strike w:val="0"/>
        <w:dstrike w:val="0"/>
        <w:vanish w:val="0"/>
        <w:color w:val="000000"/>
        <w:spacing w:val="0"/>
        <w:position w:val="0"/>
        <w:u w:val="none"/>
        <w:vertAlign w:val="baseline"/>
      </w:rPr>
    </w:lvl>
  </w:abstractNum>
  <w:abstractNum w:abstractNumId="32">
    <w:nsid w:val="5AC5F407"/>
    <w:multiLevelType w:val="singleLevel"/>
    <w:tmpl w:val="5AC5F407"/>
    <w:lvl w:ilvl="0" w:tentative="0">
      <w:start w:val="8"/>
      <w:numFmt w:val="decimal"/>
      <w:suff w:val="nothing"/>
      <w:lvlText w:val="%1、"/>
      <w:lvlJc w:val="left"/>
    </w:lvl>
  </w:abstractNum>
  <w:abstractNum w:abstractNumId="33">
    <w:nsid w:val="609DE4D5"/>
    <w:multiLevelType w:val="singleLevel"/>
    <w:tmpl w:val="609DE4D5"/>
    <w:lvl w:ilvl="0" w:tentative="0">
      <w:start w:val="1"/>
      <w:numFmt w:val="decimal"/>
      <w:suff w:val="nothing"/>
      <w:lvlText w:val="（%1）"/>
      <w:lvlJc w:val="left"/>
    </w:lvl>
  </w:abstractNum>
  <w:abstractNum w:abstractNumId="34">
    <w:nsid w:val="61387023"/>
    <w:multiLevelType w:val="multilevel"/>
    <w:tmpl w:val="61387023"/>
    <w:lvl w:ilvl="0" w:tentative="0">
      <w:start w:val="1"/>
      <w:numFmt w:val="decimal"/>
      <w:pStyle w:val="612"/>
      <w:lvlText w:val="图 %1"/>
      <w:lvlJc w:val="left"/>
      <w:pPr>
        <w:tabs>
          <w:tab w:val="left" w:pos="708"/>
        </w:tabs>
        <w:ind w:left="708" w:hanging="42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5"/>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46260FA"/>
    <w:multiLevelType w:val="multilevel"/>
    <w:tmpl w:val="646260FA"/>
    <w:lvl w:ilvl="0" w:tentative="0">
      <w:start w:val="1"/>
      <w:numFmt w:val="decimal"/>
      <w:pStyle w:val="6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7">
    <w:nsid w:val="6B864C8B"/>
    <w:multiLevelType w:val="multilevel"/>
    <w:tmpl w:val="6B864C8B"/>
    <w:lvl w:ilvl="0" w:tentative="0">
      <w:start w:val="1"/>
      <w:numFmt w:val="decimal"/>
      <w:pStyle w:val="758"/>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5"/>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38">
    <w:nsid w:val="70391D9F"/>
    <w:multiLevelType w:val="multilevel"/>
    <w:tmpl w:val="70391D9F"/>
    <w:lvl w:ilvl="0" w:tentative="0">
      <w:start w:val="1"/>
      <w:numFmt w:val="bullet"/>
      <w:pStyle w:val="371"/>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39">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830"/>
      <w:lvlText w:val=""/>
      <w:lvlJc w:val="left"/>
      <w:pPr>
        <w:ind w:left="840" w:hanging="420"/>
      </w:pPr>
      <w:rPr>
        <w:rFonts w:hint="default" w:ascii="Wingdings" w:hAnsi="Wingdings"/>
      </w:rPr>
    </w:lvl>
    <w:lvl w:ilvl="2" w:tentative="0">
      <w:start w:val="1"/>
      <w:numFmt w:val="bullet"/>
      <w:pStyle w:val="75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50E5A29"/>
    <w:multiLevelType w:val="multilevel"/>
    <w:tmpl w:val="750E5A29"/>
    <w:lvl w:ilvl="0" w:tentative="0">
      <w:start w:val="1"/>
      <w:numFmt w:val="decimal"/>
      <w:pStyle w:val="887"/>
      <w:suff w:val="nothing"/>
      <w:lvlText w:val="%1　"/>
      <w:lvlJc w:val="left"/>
      <w:pPr>
        <w:ind w:left="0" w:firstLine="0"/>
      </w:pPr>
      <w:rPr>
        <w:rFonts w:hint="eastAsia" w:ascii="黑体" w:eastAsia="黑体"/>
        <w:b w:val="0"/>
        <w:i w:val="0"/>
        <w:sz w:val="24"/>
      </w:rPr>
    </w:lvl>
    <w:lvl w:ilvl="1" w:tentative="0">
      <w:start w:val="1"/>
      <w:numFmt w:val="decimal"/>
      <w:pStyle w:val="669"/>
      <w:suff w:val="nothing"/>
      <w:lvlText w:val="%1.%2　"/>
      <w:lvlJc w:val="left"/>
      <w:pPr>
        <w:ind w:left="0" w:firstLine="0"/>
      </w:pPr>
      <w:rPr>
        <w:rFonts w:hint="eastAsia" w:ascii="黑体" w:eastAsia="黑体"/>
        <w:b w:val="0"/>
        <w:i w:val="0"/>
        <w:sz w:val="24"/>
      </w:rPr>
    </w:lvl>
    <w:lvl w:ilvl="2" w:tentative="0">
      <w:start w:val="1"/>
      <w:numFmt w:val="decimal"/>
      <w:pStyle w:val="668"/>
      <w:suff w:val="nothing"/>
      <w:lvlText w:val="%1.%2.%3　"/>
      <w:lvlJc w:val="left"/>
      <w:pPr>
        <w:ind w:left="0" w:firstLine="0"/>
      </w:pPr>
      <w:rPr>
        <w:rFonts w:hint="eastAsia" w:ascii="黑体" w:eastAsia="黑体"/>
        <w:b w:val="0"/>
        <w:i w:val="0"/>
        <w:sz w:val="24"/>
      </w:rPr>
    </w:lvl>
    <w:lvl w:ilvl="3" w:tentative="0">
      <w:start w:val="1"/>
      <w:numFmt w:val="decimal"/>
      <w:pStyle w:val="919"/>
      <w:suff w:val="nothing"/>
      <w:lvlText w:val="%1.%2.%3.%4　"/>
      <w:lvlJc w:val="left"/>
      <w:pPr>
        <w:ind w:left="0" w:firstLine="0"/>
      </w:pPr>
      <w:rPr>
        <w:rFonts w:hint="eastAsia" w:ascii="黑体" w:eastAsia="黑体"/>
        <w:b w:val="0"/>
        <w:i w:val="0"/>
        <w:sz w:val="24"/>
      </w:rPr>
    </w:lvl>
    <w:lvl w:ilvl="4" w:tentative="0">
      <w:start w:val="1"/>
      <w:numFmt w:val="decimal"/>
      <w:pStyle w:val="765"/>
      <w:suff w:val="nothing"/>
      <w:lvlText w:val="%1.%2.%3.%4.%5　"/>
      <w:lvlJc w:val="left"/>
      <w:pPr>
        <w:ind w:left="0" w:firstLine="0"/>
      </w:pPr>
      <w:rPr>
        <w:rFonts w:hint="eastAsia" w:ascii="黑体" w:eastAsia="黑体"/>
        <w:b w:val="0"/>
        <w:i w:val="0"/>
        <w:sz w:val="24"/>
      </w:rPr>
    </w:lvl>
    <w:lvl w:ilvl="5" w:tentative="0">
      <w:start w:val="1"/>
      <w:numFmt w:val="decimal"/>
      <w:pStyle w:val="684"/>
      <w:suff w:val="nothing"/>
      <w:lvlText w:val="%1.%2.%3.%4.%5.%6　"/>
      <w:lvlJc w:val="left"/>
      <w:pPr>
        <w:ind w:left="0" w:firstLine="0"/>
      </w:pPr>
      <w:rPr>
        <w:rFonts w:hint="eastAsia" w:ascii="黑体" w:eastAsia="黑体"/>
        <w:b w:val="0"/>
        <w:i w:val="0"/>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1">
    <w:nsid w:val="79213472"/>
    <w:multiLevelType w:val="multilevel"/>
    <w:tmpl w:val="79213472"/>
    <w:lvl w:ilvl="0" w:tentative="0">
      <w:start w:val="1"/>
      <w:numFmt w:val="decimal"/>
      <w:pStyle w:val="338"/>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42">
    <w:nsid w:val="7B9B3A13"/>
    <w:multiLevelType w:val="singleLevel"/>
    <w:tmpl w:val="7B9B3A13"/>
    <w:lvl w:ilvl="0" w:tentative="0">
      <w:start w:val="1"/>
      <w:numFmt w:val="decimalEnclosedCircleChinese"/>
      <w:pStyle w:val="718"/>
      <w:suff w:val="nothing"/>
      <w:lvlText w:val="%1　"/>
      <w:lvlJc w:val="left"/>
      <w:pPr>
        <w:ind w:left="0" w:firstLine="400"/>
      </w:pPr>
      <w:rPr>
        <w:rFonts w:hint="eastAsia"/>
      </w:rPr>
    </w:lvl>
  </w:abstractNum>
  <w:num w:numId="1">
    <w:abstractNumId w:val="7"/>
  </w:num>
  <w:num w:numId="2">
    <w:abstractNumId w:val="12"/>
  </w:num>
  <w:num w:numId="3">
    <w:abstractNumId w:val="37"/>
  </w:num>
  <w:num w:numId="4">
    <w:abstractNumId w:val="23"/>
  </w:num>
  <w:num w:numId="5">
    <w:abstractNumId w:val="6"/>
  </w:num>
  <w:num w:numId="6">
    <w:abstractNumId w:val="41"/>
  </w:num>
  <w:num w:numId="7">
    <w:abstractNumId w:val="38"/>
  </w:num>
  <w:num w:numId="8">
    <w:abstractNumId w:val="31"/>
    <w:lvlOverride w:ilvl="0">
      <w:startOverride w:val="1"/>
    </w:lvlOverride>
  </w:num>
  <w:num w:numId="9">
    <w:abstractNumId w:val="15"/>
  </w:num>
  <w:num w:numId="10">
    <w:abstractNumId w:val="20"/>
  </w:num>
  <w:num w:numId="11">
    <w:abstractNumId w:val="8"/>
  </w:num>
  <w:num w:numId="12">
    <w:abstractNumId w:val="29"/>
    <w:lvlOverride w:ilvl="0">
      <w:startOverride w:val="1"/>
    </w:lvlOverride>
  </w:num>
  <w:num w:numId="13">
    <w:abstractNumId w:val="14"/>
  </w:num>
  <w:num w:numId="14">
    <w:abstractNumId w:val="35"/>
  </w:num>
  <w:num w:numId="15">
    <w:abstractNumId w:val="34"/>
  </w:num>
  <w:num w:numId="16">
    <w:abstractNumId w:val="1"/>
  </w:num>
  <w:num w:numId="17">
    <w:abstractNumId w:val="27"/>
  </w:num>
  <w:num w:numId="18">
    <w:abstractNumId w:val="17"/>
  </w:num>
  <w:num w:numId="19">
    <w:abstractNumId w:val="40"/>
  </w:num>
  <w:num w:numId="20">
    <w:abstractNumId w:val="24"/>
  </w:num>
  <w:num w:numId="21">
    <w:abstractNumId w:val="42"/>
  </w:num>
  <w:num w:numId="22">
    <w:abstractNumId w:val="39"/>
  </w:num>
  <w:num w:numId="23">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13"/>
  </w:num>
  <w:num w:numId="27">
    <w:abstractNumId w:val="5"/>
  </w:num>
  <w:num w:numId="28">
    <w:abstractNumId w:val="11"/>
  </w:num>
  <w:num w:numId="29">
    <w:abstractNumId w:val="36"/>
  </w:num>
  <w:num w:numId="30">
    <w:abstractNumId w:val="0"/>
  </w:num>
  <w:num w:numId="31">
    <w:abstractNumId w:val="25"/>
  </w:num>
  <w:num w:numId="32">
    <w:abstractNumId w:val="9"/>
  </w:num>
  <w:num w:numId="33">
    <w:abstractNumId w:val="28"/>
    <w:lvlOverride w:ilvl="0">
      <w:startOverride w:val="1"/>
    </w:lvlOverride>
  </w:num>
  <w:num w:numId="34">
    <w:abstractNumId w:val="30"/>
    <w:lvlOverride w:ilvl="0">
      <w:startOverride w:val="3"/>
    </w:lvlOverride>
  </w:num>
  <w:num w:numId="35">
    <w:abstractNumId w:val="26"/>
  </w:num>
  <w:num w:numId="36">
    <w:abstractNumId w:val="22"/>
  </w:num>
  <w:num w:numId="37">
    <w:abstractNumId w:val="2"/>
  </w:num>
  <w:num w:numId="38">
    <w:abstractNumId w:val="19"/>
  </w:num>
  <w:num w:numId="39">
    <w:abstractNumId w:val="32"/>
  </w:num>
  <w:num w:numId="40">
    <w:abstractNumId w:val="4"/>
  </w:num>
  <w:num w:numId="41">
    <w:abstractNumId w:val="33"/>
  </w:num>
  <w:num w:numId="42">
    <w:abstractNumId w:val="1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MDhiYWYwYTYzYWY4MjhhMDc4OWY0YWFkMDIyZGQifQ=="/>
  </w:docVars>
  <w:rsids>
    <w:rsidRoot w:val="00172A27"/>
    <w:rsid w:val="0000116D"/>
    <w:rsid w:val="000018F3"/>
    <w:rsid w:val="000020D1"/>
    <w:rsid w:val="00012984"/>
    <w:rsid w:val="00013EAE"/>
    <w:rsid w:val="0001503C"/>
    <w:rsid w:val="0001521F"/>
    <w:rsid w:val="00016CCB"/>
    <w:rsid w:val="000175CB"/>
    <w:rsid w:val="00025364"/>
    <w:rsid w:val="000262E6"/>
    <w:rsid w:val="00026DEF"/>
    <w:rsid w:val="00034534"/>
    <w:rsid w:val="00034C4D"/>
    <w:rsid w:val="0003586B"/>
    <w:rsid w:val="000404E1"/>
    <w:rsid w:val="00041F17"/>
    <w:rsid w:val="000423D5"/>
    <w:rsid w:val="00050550"/>
    <w:rsid w:val="000526A1"/>
    <w:rsid w:val="000528C6"/>
    <w:rsid w:val="000546C0"/>
    <w:rsid w:val="0005500C"/>
    <w:rsid w:val="00063852"/>
    <w:rsid w:val="0006421E"/>
    <w:rsid w:val="00066B82"/>
    <w:rsid w:val="00067A83"/>
    <w:rsid w:val="00071105"/>
    <w:rsid w:val="00072217"/>
    <w:rsid w:val="00072D0A"/>
    <w:rsid w:val="00074270"/>
    <w:rsid w:val="0007432F"/>
    <w:rsid w:val="00074BEF"/>
    <w:rsid w:val="00075CA7"/>
    <w:rsid w:val="000765F2"/>
    <w:rsid w:val="000766F3"/>
    <w:rsid w:val="000772F6"/>
    <w:rsid w:val="0009250A"/>
    <w:rsid w:val="00094B4E"/>
    <w:rsid w:val="00096156"/>
    <w:rsid w:val="00096BB9"/>
    <w:rsid w:val="000A0F1B"/>
    <w:rsid w:val="000A10A2"/>
    <w:rsid w:val="000A13EB"/>
    <w:rsid w:val="000A178C"/>
    <w:rsid w:val="000A1A6B"/>
    <w:rsid w:val="000A2103"/>
    <w:rsid w:val="000A481C"/>
    <w:rsid w:val="000A5391"/>
    <w:rsid w:val="000A5C27"/>
    <w:rsid w:val="000A5CE7"/>
    <w:rsid w:val="000B2445"/>
    <w:rsid w:val="000B2E70"/>
    <w:rsid w:val="000B4764"/>
    <w:rsid w:val="000B4E1F"/>
    <w:rsid w:val="000B5BE0"/>
    <w:rsid w:val="000B6A9E"/>
    <w:rsid w:val="000B7348"/>
    <w:rsid w:val="000B75CB"/>
    <w:rsid w:val="000B7D87"/>
    <w:rsid w:val="000C0854"/>
    <w:rsid w:val="000C0DAD"/>
    <w:rsid w:val="000C1E25"/>
    <w:rsid w:val="000C1FCD"/>
    <w:rsid w:val="000C2444"/>
    <w:rsid w:val="000C33CF"/>
    <w:rsid w:val="000C36B8"/>
    <w:rsid w:val="000C58F2"/>
    <w:rsid w:val="000C76E1"/>
    <w:rsid w:val="000D0679"/>
    <w:rsid w:val="000D3765"/>
    <w:rsid w:val="000D3B14"/>
    <w:rsid w:val="000D4ACC"/>
    <w:rsid w:val="000D6B9C"/>
    <w:rsid w:val="000D764B"/>
    <w:rsid w:val="000E03AE"/>
    <w:rsid w:val="000E065A"/>
    <w:rsid w:val="000E0F78"/>
    <w:rsid w:val="000E1986"/>
    <w:rsid w:val="000E37E0"/>
    <w:rsid w:val="000E3DDC"/>
    <w:rsid w:val="000E44B1"/>
    <w:rsid w:val="000E56A0"/>
    <w:rsid w:val="000E57C7"/>
    <w:rsid w:val="000E74F4"/>
    <w:rsid w:val="000E77C2"/>
    <w:rsid w:val="000F31F1"/>
    <w:rsid w:val="000F65DE"/>
    <w:rsid w:val="00100804"/>
    <w:rsid w:val="00101008"/>
    <w:rsid w:val="0010245D"/>
    <w:rsid w:val="00102504"/>
    <w:rsid w:val="00105AFE"/>
    <w:rsid w:val="00107120"/>
    <w:rsid w:val="00107F3B"/>
    <w:rsid w:val="001107F5"/>
    <w:rsid w:val="00113898"/>
    <w:rsid w:val="0011443E"/>
    <w:rsid w:val="001147D0"/>
    <w:rsid w:val="0011601B"/>
    <w:rsid w:val="001200D5"/>
    <w:rsid w:val="001203C5"/>
    <w:rsid w:val="00120AE6"/>
    <w:rsid w:val="00120C4F"/>
    <w:rsid w:val="00125E3E"/>
    <w:rsid w:val="001269B7"/>
    <w:rsid w:val="00132584"/>
    <w:rsid w:val="00137AC1"/>
    <w:rsid w:val="00140C62"/>
    <w:rsid w:val="00146621"/>
    <w:rsid w:val="00147402"/>
    <w:rsid w:val="001504E5"/>
    <w:rsid w:val="00152A3D"/>
    <w:rsid w:val="00153389"/>
    <w:rsid w:val="00154344"/>
    <w:rsid w:val="001556D9"/>
    <w:rsid w:val="00157D81"/>
    <w:rsid w:val="001600B8"/>
    <w:rsid w:val="001626EB"/>
    <w:rsid w:val="00162E03"/>
    <w:rsid w:val="001646EC"/>
    <w:rsid w:val="00164864"/>
    <w:rsid w:val="001648AA"/>
    <w:rsid w:val="00165AEE"/>
    <w:rsid w:val="00166956"/>
    <w:rsid w:val="00171C49"/>
    <w:rsid w:val="00172A27"/>
    <w:rsid w:val="00173998"/>
    <w:rsid w:val="0017441C"/>
    <w:rsid w:val="00177023"/>
    <w:rsid w:val="00181605"/>
    <w:rsid w:val="001818DB"/>
    <w:rsid w:val="0018237A"/>
    <w:rsid w:val="00182E5C"/>
    <w:rsid w:val="00184AAB"/>
    <w:rsid w:val="00185541"/>
    <w:rsid w:val="001907CE"/>
    <w:rsid w:val="001917D3"/>
    <w:rsid w:val="0019501B"/>
    <w:rsid w:val="001952CC"/>
    <w:rsid w:val="00196629"/>
    <w:rsid w:val="001A0025"/>
    <w:rsid w:val="001A0993"/>
    <w:rsid w:val="001A0A65"/>
    <w:rsid w:val="001A25D3"/>
    <w:rsid w:val="001A53B6"/>
    <w:rsid w:val="001A57C3"/>
    <w:rsid w:val="001A5957"/>
    <w:rsid w:val="001B192B"/>
    <w:rsid w:val="001B281E"/>
    <w:rsid w:val="001B2834"/>
    <w:rsid w:val="001B31C1"/>
    <w:rsid w:val="001B3209"/>
    <w:rsid w:val="001B4515"/>
    <w:rsid w:val="001B5B5D"/>
    <w:rsid w:val="001B5BCE"/>
    <w:rsid w:val="001C18E4"/>
    <w:rsid w:val="001C1CEE"/>
    <w:rsid w:val="001C3C94"/>
    <w:rsid w:val="001C4E7E"/>
    <w:rsid w:val="001C6714"/>
    <w:rsid w:val="001D000C"/>
    <w:rsid w:val="001D010E"/>
    <w:rsid w:val="001D1BF1"/>
    <w:rsid w:val="001D30A0"/>
    <w:rsid w:val="001D32C3"/>
    <w:rsid w:val="001D7349"/>
    <w:rsid w:val="001E3203"/>
    <w:rsid w:val="001E6123"/>
    <w:rsid w:val="001E64E5"/>
    <w:rsid w:val="001F04E0"/>
    <w:rsid w:val="001F10CC"/>
    <w:rsid w:val="001F3B5D"/>
    <w:rsid w:val="001F55A7"/>
    <w:rsid w:val="001F55D4"/>
    <w:rsid w:val="001F6E49"/>
    <w:rsid w:val="002016D5"/>
    <w:rsid w:val="00204498"/>
    <w:rsid w:val="00205090"/>
    <w:rsid w:val="00205A5C"/>
    <w:rsid w:val="002071D0"/>
    <w:rsid w:val="0020747C"/>
    <w:rsid w:val="00207630"/>
    <w:rsid w:val="0020769F"/>
    <w:rsid w:val="00211A52"/>
    <w:rsid w:val="002135E8"/>
    <w:rsid w:val="002141D6"/>
    <w:rsid w:val="00214803"/>
    <w:rsid w:val="0021491B"/>
    <w:rsid w:val="002150F9"/>
    <w:rsid w:val="00215129"/>
    <w:rsid w:val="002218BE"/>
    <w:rsid w:val="00222088"/>
    <w:rsid w:val="002225FD"/>
    <w:rsid w:val="00222E00"/>
    <w:rsid w:val="00225414"/>
    <w:rsid w:val="002259C3"/>
    <w:rsid w:val="00225FB0"/>
    <w:rsid w:val="0022611F"/>
    <w:rsid w:val="002308D8"/>
    <w:rsid w:val="00231743"/>
    <w:rsid w:val="00234063"/>
    <w:rsid w:val="00234100"/>
    <w:rsid w:val="00234C5A"/>
    <w:rsid w:val="00237F32"/>
    <w:rsid w:val="00240F97"/>
    <w:rsid w:val="00241ACC"/>
    <w:rsid w:val="00242BEF"/>
    <w:rsid w:val="002452A3"/>
    <w:rsid w:val="002453F2"/>
    <w:rsid w:val="00245E6C"/>
    <w:rsid w:val="00245E73"/>
    <w:rsid w:val="0024735A"/>
    <w:rsid w:val="002501FA"/>
    <w:rsid w:val="00250A6E"/>
    <w:rsid w:val="00251632"/>
    <w:rsid w:val="00252D92"/>
    <w:rsid w:val="0025717C"/>
    <w:rsid w:val="002612C9"/>
    <w:rsid w:val="00261AE6"/>
    <w:rsid w:val="00261C54"/>
    <w:rsid w:val="00262836"/>
    <w:rsid w:val="00264C67"/>
    <w:rsid w:val="00266DF6"/>
    <w:rsid w:val="002678B5"/>
    <w:rsid w:val="00275F2B"/>
    <w:rsid w:val="00277AE9"/>
    <w:rsid w:val="002808A3"/>
    <w:rsid w:val="0028097B"/>
    <w:rsid w:val="00281371"/>
    <w:rsid w:val="0028173C"/>
    <w:rsid w:val="00281DDD"/>
    <w:rsid w:val="00281FFD"/>
    <w:rsid w:val="00282884"/>
    <w:rsid w:val="00282C51"/>
    <w:rsid w:val="00283764"/>
    <w:rsid w:val="0028639F"/>
    <w:rsid w:val="00290D89"/>
    <w:rsid w:val="00292BAB"/>
    <w:rsid w:val="0029327A"/>
    <w:rsid w:val="00293952"/>
    <w:rsid w:val="00296C34"/>
    <w:rsid w:val="002A2185"/>
    <w:rsid w:val="002A31F5"/>
    <w:rsid w:val="002A3701"/>
    <w:rsid w:val="002A425D"/>
    <w:rsid w:val="002A4FBF"/>
    <w:rsid w:val="002B0EFA"/>
    <w:rsid w:val="002B12C9"/>
    <w:rsid w:val="002B1DDF"/>
    <w:rsid w:val="002B20CC"/>
    <w:rsid w:val="002B2393"/>
    <w:rsid w:val="002B7EA6"/>
    <w:rsid w:val="002C0713"/>
    <w:rsid w:val="002C133A"/>
    <w:rsid w:val="002C1B9D"/>
    <w:rsid w:val="002C1F7A"/>
    <w:rsid w:val="002C4D21"/>
    <w:rsid w:val="002C6213"/>
    <w:rsid w:val="002C68D8"/>
    <w:rsid w:val="002C7FDE"/>
    <w:rsid w:val="002D0B59"/>
    <w:rsid w:val="002D36F0"/>
    <w:rsid w:val="002D79D3"/>
    <w:rsid w:val="002E0FA1"/>
    <w:rsid w:val="002E3530"/>
    <w:rsid w:val="002E3ED6"/>
    <w:rsid w:val="002E44AF"/>
    <w:rsid w:val="002E4E17"/>
    <w:rsid w:val="002E55A5"/>
    <w:rsid w:val="002E77E7"/>
    <w:rsid w:val="002F5652"/>
    <w:rsid w:val="002F5E0B"/>
    <w:rsid w:val="002F7683"/>
    <w:rsid w:val="00301788"/>
    <w:rsid w:val="00305A0B"/>
    <w:rsid w:val="00305B41"/>
    <w:rsid w:val="003065FB"/>
    <w:rsid w:val="00310747"/>
    <w:rsid w:val="003109E5"/>
    <w:rsid w:val="00310E51"/>
    <w:rsid w:val="00317168"/>
    <w:rsid w:val="00320364"/>
    <w:rsid w:val="00321DA0"/>
    <w:rsid w:val="00322520"/>
    <w:rsid w:val="00322559"/>
    <w:rsid w:val="00324F57"/>
    <w:rsid w:val="00327E84"/>
    <w:rsid w:val="00330F68"/>
    <w:rsid w:val="00331075"/>
    <w:rsid w:val="00332C8E"/>
    <w:rsid w:val="003331F4"/>
    <w:rsid w:val="003334E2"/>
    <w:rsid w:val="00333CA9"/>
    <w:rsid w:val="00334582"/>
    <w:rsid w:val="00334CA0"/>
    <w:rsid w:val="00335D2E"/>
    <w:rsid w:val="00341A59"/>
    <w:rsid w:val="00342DF6"/>
    <w:rsid w:val="00343F64"/>
    <w:rsid w:val="003447C6"/>
    <w:rsid w:val="00346936"/>
    <w:rsid w:val="00346FA6"/>
    <w:rsid w:val="00347434"/>
    <w:rsid w:val="003506D5"/>
    <w:rsid w:val="0035116C"/>
    <w:rsid w:val="0035123F"/>
    <w:rsid w:val="00352538"/>
    <w:rsid w:val="00352C42"/>
    <w:rsid w:val="0035369C"/>
    <w:rsid w:val="00354069"/>
    <w:rsid w:val="00360198"/>
    <w:rsid w:val="00360538"/>
    <w:rsid w:val="00360A27"/>
    <w:rsid w:val="00361339"/>
    <w:rsid w:val="00361356"/>
    <w:rsid w:val="00361505"/>
    <w:rsid w:val="00361DBA"/>
    <w:rsid w:val="00362235"/>
    <w:rsid w:val="00363654"/>
    <w:rsid w:val="003636A3"/>
    <w:rsid w:val="00365C7D"/>
    <w:rsid w:val="003669D2"/>
    <w:rsid w:val="0036795B"/>
    <w:rsid w:val="00370103"/>
    <w:rsid w:val="0037030E"/>
    <w:rsid w:val="0037045B"/>
    <w:rsid w:val="0037077D"/>
    <w:rsid w:val="00370E96"/>
    <w:rsid w:val="00371DE1"/>
    <w:rsid w:val="00372F3D"/>
    <w:rsid w:val="00373FD6"/>
    <w:rsid w:val="00374BBC"/>
    <w:rsid w:val="003751D2"/>
    <w:rsid w:val="003759D1"/>
    <w:rsid w:val="003802E6"/>
    <w:rsid w:val="00381E1D"/>
    <w:rsid w:val="00382496"/>
    <w:rsid w:val="00382609"/>
    <w:rsid w:val="00382FA1"/>
    <w:rsid w:val="00384072"/>
    <w:rsid w:val="003851F8"/>
    <w:rsid w:val="003857DC"/>
    <w:rsid w:val="00391D2A"/>
    <w:rsid w:val="00391D64"/>
    <w:rsid w:val="003922B7"/>
    <w:rsid w:val="00394FF3"/>
    <w:rsid w:val="00395D79"/>
    <w:rsid w:val="00396725"/>
    <w:rsid w:val="003A1A9C"/>
    <w:rsid w:val="003A31E4"/>
    <w:rsid w:val="003A38AD"/>
    <w:rsid w:val="003A51E4"/>
    <w:rsid w:val="003A5340"/>
    <w:rsid w:val="003B1C8F"/>
    <w:rsid w:val="003B4250"/>
    <w:rsid w:val="003B44F0"/>
    <w:rsid w:val="003B6D7D"/>
    <w:rsid w:val="003C00A0"/>
    <w:rsid w:val="003C38C6"/>
    <w:rsid w:val="003C4C5B"/>
    <w:rsid w:val="003C5ECA"/>
    <w:rsid w:val="003C5F18"/>
    <w:rsid w:val="003C7EF4"/>
    <w:rsid w:val="003D0862"/>
    <w:rsid w:val="003D28C5"/>
    <w:rsid w:val="003D3916"/>
    <w:rsid w:val="003D43D9"/>
    <w:rsid w:val="003D4F8B"/>
    <w:rsid w:val="003D6E88"/>
    <w:rsid w:val="003E1A9C"/>
    <w:rsid w:val="003E29FF"/>
    <w:rsid w:val="003E7EB0"/>
    <w:rsid w:val="003F1255"/>
    <w:rsid w:val="003F3B01"/>
    <w:rsid w:val="003F3E8B"/>
    <w:rsid w:val="003F4B65"/>
    <w:rsid w:val="003F6B05"/>
    <w:rsid w:val="003F6B7A"/>
    <w:rsid w:val="003F6E3F"/>
    <w:rsid w:val="0040337C"/>
    <w:rsid w:val="004043A4"/>
    <w:rsid w:val="00404A39"/>
    <w:rsid w:val="00405799"/>
    <w:rsid w:val="004067F7"/>
    <w:rsid w:val="00407E18"/>
    <w:rsid w:val="004100A0"/>
    <w:rsid w:val="00410C98"/>
    <w:rsid w:val="00411C61"/>
    <w:rsid w:val="004140F7"/>
    <w:rsid w:val="00415A1D"/>
    <w:rsid w:val="00416873"/>
    <w:rsid w:val="0042049E"/>
    <w:rsid w:val="00421986"/>
    <w:rsid w:val="00421F79"/>
    <w:rsid w:val="00423729"/>
    <w:rsid w:val="00424893"/>
    <w:rsid w:val="0042621A"/>
    <w:rsid w:val="00426943"/>
    <w:rsid w:val="00426D4B"/>
    <w:rsid w:val="00430108"/>
    <w:rsid w:val="004307A1"/>
    <w:rsid w:val="00437AC9"/>
    <w:rsid w:val="00440660"/>
    <w:rsid w:val="004412DE"/>
    <w:rsid w:val="004418B9"/>
    <w:rsid w:val="00444318"/>
    <w:rsid w:val="00450E4F"/>
    <w:rsid w:val="004551E9"/>
    <w:rsid w:val="004568F5"/>
    <w:rsid w:val="00457104"/>
    <w:rsid w:val="004574C5"/>
    <w:rsid w:val="004615F4"/>
    <w:rsid w:val="004616FD"/>
    <w:rsid w:val="00461B72"/>
    <w:rsid w:val="004622D0"/>
    <w:rsid w:val="00463EF4"/>
    <w:rsid w:val="004652A3"/>
    <w:rsid w:val="00470EB4"/>
    <w:rsid w:val="0047158F"/>
    <w:rsid w:val="00471C40"/>
    <w:rsid w:val="00471C4F"/>
    <w:rsid w:val="00473044"/>
    <w:rsid w:val="004739F8"/>
    <w:rsid w:val="004755A8"/>
    <w:rsid w:val="00475916"/>
    <w:rsid w:val="0048110A"/>
    <w:rsid w:val="00481F74"/>
    <w:rsid w:val="004821A8"/>
    <w:rsid w:val="00485DA9"/>
    <w:rsid w:val="00492186"/>
    <w:rsid w:val="00494858"/>
    <w:rsid w:val="004956DF"/>
    <w:rsid w:val="0049766C"/>
    <w:rsid w:val="004A1225"/>
    <w:rsid w:val="004A3332"/>
    <w:rsid w:val="004A6014"/>
    <w:rsid w:val="004A6DF9"/>
    <w:rsid w:val="004A7385"/>
    <w:rsid w:val="004A7A17"/>
    <w:rsid w:val="004B1399"/>
    <w:rsid w:val="004B3428"/>
    <w:rsid w:val="004B3EB2"/>
    <w:rsid w:val="004B4F8C"/>
    <w:rsid w:val="004B5355"/>
    <w:rsid w:val="004B617F"/>
    <w:rsid w:val="004B658E"/>
    <w:rsid w:val="004C255B"/>
    <w:rsid w:val="004C44DA"/>
    <w:rsid w:val="004C5E52"/>
    <w:rsid w:val="004C5F3D"/>
    <w:rsid w:val="004C7A19"/>
    <w:rsid w:val="004C7BD7"/>
    <w:rsid w:val="004D15C0"/>
    <w:rsid w:val="004D41DF"/>
    <w:rsid w:val="004D50EE"/>
    <w:rsid w:val="004D58F1"/>
    <w:rsid w:val="004D6055"/>
    <w:rsid w:val="004D7594"/>
    <w:rsid w:val="004E0F42"/>
    <w:rsid w:val="004E20EF"/>
    <w:rsid w:val="004E3A27"/>
    <w:rsid w:val="004E5358"/>
    <w:rsid w:val="004E5BB7"/>
    <w:rsid w:val="004E5D4B"/>
    <w:rsid w:val="004E61E1"/>
    <w:rsid w:val="004E6766"/>
    <w:rsid w:val="004E6F69"/>
    <w:rsid w:val="004F204E"/>
    <w:rsid w:val="004F246B"/>
    <w:rsid w:val="004F430A"/>
    <w:rsid w:val="004F5A73"/>
    <w:rsid w:val="004F61F9"/>
    <w:rsid w:val="004F63E8"/>
    <w:rsid w:val="004F6939"/>
    <w:rsid w:val="004F75B9"/>
    <w:rsid w:val="00503A83"/>
    <w:rsid w:val="00503D9F"/>
    <w:rsid w:val="00504D6A"/>
    <w:rsid w:val="005074A3"/>
    <w:rsid w:val="0051040B"/>
    <w:rsid w:val="00511B93"/>
    <w:rsid w:val="00514650"/>
    <w:rsid w:val="00517EDF"/>
    <w:rsid w:val="005203DA"/>
    <w:rsid w:val="005203EF"/>
    <w:rsid w:val="0052285A"/>
    <w:rsid w:val="00526F98"/>
    <w:rsid w:val="00533F4B"/>
    <w:rsid w:val="00543D9A"/>
    <w:rsid w:val="00543E8A"/>
    <w:rsid w:val="00543FBA"/>
    <w:rsid w:val="00547B6D"/>
    <w:rsid w:val="005510CD"/>
    <w:rsid w:val="00551F4A"/>
    <w:rsid w:val="00556176"/>
    <w:rsid w:val="00556412"/>
    <w:rsid w:val="00560C80"/>
    <w:rsid w:val="00560F44"/>
    <w:rsid w:val="005620B3"/>
    <w:rsid w:val="00564B33"/>
    <w:rsid w:val="005657AE"/>
    <w:rsid w:val="00567CB7"/>
    <w:rsid w:val="00572BE1"/>
    <w:rsid w:val="00573187"/>
    <w:rsid w:val="00573CEF"/>
    <w:rsid w:val="005754DB"/>
    <w:rsid w:val="005756AB"/>
    <w:rsid w:val="00576DD6"/>
    <w:rsid w:val="005830B3"/>
    <w:rsid w:val="00584716"/>
    <w:rsid w:val="00584782"/>
    <w:rsid w:val="00590BED"/>
    <w:rsid w:val="00590DE4"/>
    <w:rsid w:val="005910A7"/>
    <w:rsid w:val="005927B2"/>
    <w:rsid w:val="00592E56"/>
    <w:rsid w:val="005A1C24"/>
    <w:rsid w:val="005A412D"/>
    <w:rsid w:val="005A43B4"/>
    <w:rsid w:val="005A4A96"/>
    <w:rsid w:val="005A6404"/>
    <w:rsid w:val="005A7D82"/>
    <w:rsid w:val="005B7403"/>
    <w:rsid w:val="005B7F32"/>
    <w:rsid w:val="005C139E"/>
    <w:rsid w:val="005C2B96"/>
    <w:rsid w:val="005C2F6F"/>
    <w:rsid w:val="005C39EB"/>
    <w:rsid w:val="005D0C26"/>
    <w:rsid w:val="005D225B"/>
    <w:rsid w:val="005D2645"/>
    <w:rsid w:val="005D2B32"/>
    <w:rsid w:val="005D47C9"/>
    <w:rsid w:val="005D6C2E"/>
    <w:rsid w:val="005E1C05"/>
    <w:rsid w:val="005E2AC8"/>
    <w:rsid w:val="005E46C6"/>
    <w:rsid w:val="005F0C85"/>
    <w:rsid w:val="005F1146"/>
    <w:rsid w:val="005F178D"/>
    <w:rsid w:val="005F2119"/>
    <w:rsid w:val="005F255D"/>
    <w:rsid w:val="005F324F"/>
    <w:rsid w:val="005F5EAF"/>
    <w:rsid w:val="005F6653"/>
    <w:rsid w:val="005F71EE"/>
    <w:rsid w:val="006015D9"/>
    <w:rsid w:val="0060182B"/>
    <w:rsid w:val="00603FC8"/>
    <w:rsid w:val="0060488B"/>
    <w:rsid w:val="0061145C"/>
    <w:rsid w:val="0061178D"/>
    <w:rsid w:val="00611E6C"/>
    <w:rsid w:val="00613432"/>
    <w:rsid w:val="00621029"/>
    <w:rsid w:val="00621D8E"/>
    <w:rsid w:val="006255A7"/>
    <w:rsid w:val="00625A8D"/>
    <w:rsid w:val="006260EB"/>
    <w:rsid w:val="00626420"/>
    <w:rsid w:val="00627A30"/>
    <w:rsid w:val="00630C10"/>
    <w:rsid w:val="0063428C"/>
    <w:rsid w:val="00634D70"/>
    <w:rsid w:val="00637353"/>
    <w:rsid w:val="006413C8"/>
    <w:rsid w:val="00642748"/>
    <w:rsid w:val="00643947"/>
    <w:rsid w:val="00643D21"/>
    <w:rsid w:val="00644618"/>
    <w:rsid w:val="006459F0"/>
    <w:rsid w:val="006464D5"/>
    <w:rsid w:val="00646DE9"/>
    <w:rsid w:val="00653ACE"/>
    <w:rsid w:val="00653BB6"/>
    <w:rsid w:val="0065478D"/>
    <w:rsid w:val="00655A70"/>
    <w:rsid w:val="00655E4C"/>
    <w:rsid w:val="00660862"/>
    <w:rsid w:val="0066201B"/>
    <w:rsid w:val="00662A63"/>
    <w:rsid w:val="00663BBD"/>
    <w:rsid w:val="00663E83"/>
    <w:rsid w:val="00665183"/>
    <w:rsid w:val="00667386"/>
    <w:rsid w:val="00667927"/>
    <w:rsid w:val="00667BC4"/>
    <w:rsid w:val="00667BEB"/>
    <w:rsid w:val="00670D62"/>
    <w:rsid w:val="006713CD"/>
    <w:rsid w:val="00671CED"/>
    <w:rsid w:val="00672B24"/>
    <w:rsid w:val="006750C4"/>
    <w:rsid w:val="0068035C"/>
    <w:rsid w:val="00682CF5"/>
    <w:rsid w:val="00682E87"/>
    <w:rsid w:val="0068353C"/>
    <w:rsid w:val="00683600"/>
    <w:rsid w:val="00687055"/>
    <w:rsid w:val="00690FC4"/>
    <w:rsid w:val="00692C33"/>
    <w:rsid w:val="00693969"/>
    <w:rsid w:val="0069593E"/>
    <w:rsid w:val="006A343B"/>
    <w:rsid w:val="006A4934"/>
    <w:rsid w:val="006A78D8"/>
    <w:rsid w:val="006B1217"/>
    <w:rsid w:val="006B22FC"/>
    <w:rsid w:val="006B24FC"/>
    <w:rsid w:val="006B291A"/>
    <w:rsid w:val="006B50E2"/>
    <w:rsid w:val="006B731A"/>
    <w:rsid w:val="006C0AB0"/>
    <w:rsid w:val="006C1BD3"/>
    <w:rsid w:val="006C27B0"/>
    <w:rsid w:val="006C38EB"/>
    <w:rsid w:val="006C4B55"/>
    <w:rsid w:val="006C4F4F"/>
    <w:rsid w:val="006C5115"/>
    <w:rsid w:val="006C5B24"/>
    <w:rsid w:val="006C6FC8"/>
    <w:rsid w:val="006C7F73"/>
    <w:rsid w:val="006D16A6"/>
    <w:rsid w:val="006D356C"/>
    <w:rsid w:val="006D46D6"/>
    <w:rsid w:val="006D4D7F"/>
    <w:rsid w:val="006D55EA"/>
    <w:rsid w:val="006D612A"/>
    <w:rsid w:val="006E1429"/>
    <w:rsid w:val="006E7A2B"/>
    <w:rsid w:val="006F000D"/>
    <w:rsid w:val="006F4312"/>
    <w:rsid w:val="006F4727"/>
    <w:rsid w:val="006F49BD"/>
    <w:rsid w:val="006F4AD3"/>
    <w:rsid w:val="006F526F"/>
    <w:rsid w:val="006F719F"/>
    <w:rsid w:val="00700C74"/>
    <w:rsid w:val="007044B6"/>
    <w:rsid w:val="00705650"/>
    <w:rsid w:val="00707573"/>
    <w:rsid w:val="0070769D"/>
    <w:rsid w:val="0071065A"/>
    <w:rsid w:val="0071174A"/>
    <w:rsid w:val="00712027"/>
    <w:rsid w:val="007123A7"/>
    <w:rsid w:val="00714F75"/>
    <w:rsid w:val="007173B9"/>
    <w:rsid w:val="00717483"/>
    <w:rsid w:val="007205BE"/>
    <w:rsid w:val="00722895"/>
    <w:rsid w:val="00722FCD"/>
    <w:rsid w:val="00723F9D"/>
    <w:rsid w:val="00725981"/>
    <w:rsid w:val="00726678"/>
    <w:rsid w:val="00726C90"/>
    <w:rsid w:val="00726D19"/>
    <w:rsid w:val="00726EE4"/>
    <w:rsid w:val="00735BFB"/>
    <w:rsid w:val="00736637"/>
    <w:rsid w:val="00736C06"/>
    <w:rsid w:val="00736D37"/>
    <w:rsid w:val="00737A63"/>
    <w:rsid w:val="007406E2"/>
    <w:rsid w:val="00740DFD"/>
    <w:rsid w:val="00744010"/>
    <w:rsid w:val="00746067"/>
    <w:rsid w:val="007471FC"/>
    <w:rsid w:val="00747DF4"/>
    <w:rsid w:val="00750713"/>
    <w:rsid w:val="0075077F"/>
    <w:rsid w:val="00750FB7"/>
    <w:rsid w:val="007512D7"/>
    <w:rsid w:val="007513AC"/>
    <w:rsid w:val="00752013"/>
    <w:rsid w:val="007526D6"/>
    <w:rsid w:val="007527BF"/>
    <w:rsid w:val="00753717"/>
    <w:rsid w:val="00753F3F"/>
    <w:rsid w:val="0075741F"/>
    <w:rsid w:val="00760716"/>
    <w:rsid w:val="0076216B"/>
    <w:rsid w:val="00762454"/>
    <w:rsid w:val="00763D52"/>
    <w:rsid w:val="00764DB2"/>
    <w:rsid w:val="007671C1"/>
    <w:rsid w:val="00770926"/>
    <w:rsid w:val="0077093A"/>
    <w:rsid w:val="00771069"/>
    <w:rsid w:val="00771A79"/>
    <w:rsid w:val="007736AB"/>
    <w:rsid w:val="00774309"/>
    <w:rsid w:val="00774BAD"/>
    <w:rsid w:val="0077511C"/>
    <w:rsid w:val="0078020F"/>
    <w:rsid w:val="007814EB"/>
    <w:rsid w:val="00781AF8"/>
    <w:rsid w:val="00784419"/>
    <w:rsid w:val="00784FF3"/>
    <w:rsid w:val="00785AD4"/>
    <w:rsid w:val="00787046"/>
    <w:rsid w:val="00787494"/>
    <w:rsid w:val="00790A06"/>
    <w:rsid w:val="00791336"/>
    <w:rsid w:val="00792CDE"/>
    <w:rsid w:val="007956CA"/>
    <w:rsid w:val="00796000"/>
    <w:rsid w:val="007A07AC"/>
    <w:rsid w:val="007A214E"/>
    <w:rsid w:val="007A3D25"/>
    <w:rsid w:val="007A4954"/>
    <w:rsid w:val="007A5A35"/>
    <w:rsid w:val="007B1683"/>
    <w:rsid w:val="007B3865"/>
    <w:rsid w:val="007B3B83"/>
    <w:rsid w:val="007B4F81"/>
    <w:rsid w:val="007B5423"/>
    <w:rsid w:val="007B7552"/>
    <w:rsid w:val="007C1AC7"/>
    <w:rsid w:val="007C2199"/>
    <w:rsid w:val="007C26F8"/>
    <w:rsid w:val="007C5301"/>
    <w:rsid w:val="007C621B"/>
    <w:rsid w:val="007C7D65"/>
    <w:rsid w:val="007D0799"/>
    <w:rsid w:val="007D10AB"/>
    <w:rsid w:val="007D1297"/>
    <w:rsid w:val="007D3DCD"/>
    <w:rsid w:val="007D6026"/>
    <w:rsid w:val="007E1B62"/>
    <w:rsid w:val="007E3587"/>
    <w:rsid w:val="007F01B0"/>
    <w:rsid w:val="008020A6"/>
    <w:rsid w:val="00803D04"/>
    <w:rsid w:val="008061FD"/>
    <w:rsid w:val="00806933"/>
    <w:rsid w:val="00807618"/>
    <w:rsid w:val="00807DB0"/>
    <w:rsid w:val="00811C8B"/>
    <w:rsid w:val="00811DF0"/>
    <w:rsid w:val="008135CF"/>
    <w:rsid w:val="008139EE"/>
    <w:rsid w:val="00813B82"/>
    <w:rsid w:val="00814119"/>
    <w:rsid w:val="008145D9"/>
    <w:rsid w:val="00814AB4"/>
    <w:rsid w:val="00815C09"/>
    <w:rsid w:val="008179D5"/>
    <w:rsid w:val="00823CA8"/>
    <w:rsid w:val="0082536B"/>
    <w:rsid w:val="00826D37"/>
    <w:rsid w:val="0083027F"/>
    <w:rsid w:val="00833C4E"/>
    <w:rsid w:val="00835804"/>
    <w:rsid w:val="008372CE"/>
    <w:rsid w:val="0084148C"/>
    <w:rsid w:val="0084150C"/>
    <w:rsid w:val="00843CA7"/>
    <w:rsid w:val="008442F6"/>
    <w:rsid w:val="00851BB6"/>
    <w:rsid w:val="0085451A"/>
    <w:rsid w:val="00855D7A"/>
    <w:rsid w:val="0085781E"/>
    <w:rsid w:val="00864169"/>
    <w:rsid w:val="00864B02"/>
    <w:rsid w:val="00864B3B"/>
    <w:rsid w:val="008653D9"/>
    <w:rsid w:val="0086687E"/>
    <w:rsid w:val="00870E49"/>
    <w:rsid w:val="008717EC"/>
    <w:rsid w:val="00872BA5"/>
    <w:rsid w:val="00873A39"/>
    <w:rsid w:val="00874F4D"/>
    <w:rsid w:val="008755CE"/>
    <w:rsid w:val="00876E97"/>
    <w:rsid w:val="008822EF"/>
    <w:rsid w:val="008837BD"/>
    <w:rsid w:val="00885132"/>
    <w:rsid w:val="0088633C"/>
    <w:rsid w:val="00890575"/>
    <w:rsid w:val="008923AF"/>
    <w:rsid w:val="00893721"/>
    <w:rsid w:val="00893B7B"/>
    <w:rsid w:val="008960AF"/>
    <w:rsid w:val="008A1EAA"/>
    <w:rsid w:val="008A2005"/>
    <w:rsid w:val="008A348E"/>
    <w:rsid w:val="008A4BBE"/>
    <w:rsid w:val="008A5267"/>
    <w:rsid w:val="008A7E00"/>
    <w:rsid w:val="008B114E"/>
    <w:rsid w:val="008B350A"/>
    <w:rsid w:val="008C04BE"/>
    <w:rsid w:val="008C36F6"/>
    <w:rsid w:val="008C448B"/>
    <w:rsid w:val="008C56BE"/>
    <w:rsid w:val="008C7F11"/>
    <w:rsid w:val="008D3CA4"/>
    <w:rsid w:val="008D572F"/>
    <w:rsid w:val="008D6204"/>
    <w:rsid w:val="008E002C"/>
    <w:rsid w:val="008E09EA"/>
    <w:rsid w:val="008E2EA0"/>
    <w:rsid w:val="008E61B7"/>
    <w:rsid w:val="008E6DFE"/>
    <w:rsid w:val="008E7F0A"/>
    <w:rsid w:val="008E7F26"/>
    <w:rsid w:val="008F0C9D"/>
    <w:rsid w:val="008F267D"/>
    <w:rsid w:val="008F32A7"/>
    <w:rsid w:val="008F4CD0"/>
    <w:rsid w:val="008F6E3C"/>
    <w:rsid w:val="0090021D"/>
    <w:rsid w:val="00900565"/>
    <w:rsid w:val="00900D62"/>
    <w:rsid w:val="00902FEA"/>
    <w:rsid w:val="009031EA"/>
    <w:rsid w:val="00907C70"/>
    <w:rsid w:val="009127D3"/>
    <w:rsid w:val="00912ECB"/>
    <w:rsid w:val="009153B8"/>
    <w:rsid w:val="00915AE2"/>
    <w:rsid w:val="0091768C"/>
    <w:rsid w:val="009213E7"/>
    <w:rsid w:val="00921EBB"/>
    <w:rsid w:val="0092360D"/>
    <w:rsid w:val="00926FD9"/>
    <w:rsid w:val="009271D1"/>
    <w:rsid w:val="00930430"/>
    <w:rsid w:val="009319D5"/>
    <w:rsid w:val="00931AF4"/>
    <w:rsid w:val="00932626"/>
    <w:rsid w:val="00933655"/>
    <w:rsid w:val="00933740"/>
    <w:rsid w:val="00934861"/>
    <w:rsid w:val="009351A5"/>
    <w:rsid w:val="009354E7"/>
    <w:rsid w:val="00935803"/>
    <w:rsid w:val="0093637C"/>
    <w:rsid w:val="00936D9C"/>
    <w:rsid w:val="009377AD"/>
    <w:rsid w:val="00937D7D"/>
    <w:rsid w:val="00940F7F"/>
    <w:rsid w:val="009415F2"/>
    <w:rsid w:val="0094173B"/>
    <w:rsid w:val="00942007"/>
    <w:rsid w:val="0094329C"/>
    <w:rsid w:val="00944B94"/>
    <w:rsid w:val="0094534C"/>
    <w:rsid w:val="00946899"/>
    <w:rsid w:val="0094770C"/>
    <w:rsid w:val="00947995"/>
    <w:rsid w:val="00947E84"/>
    <w:rsid w:val="00947ED2"/>
    <w:rsid w:val="00955D54"/>
    <w:rsid w:val="00956846"/>
    <w:rsid w:val="00961BF0"/>
    <w:rsid w:val="0096437E"/>
    <w:rsid w:val="00964C6C"/>
    <w:rsid w:val="00967DE1"/>
    <w:rsid w:val="00970A9C"/>
    <w:rsid w:val="0097102D"/>
    <w:rsid w:val="009719FF"/>
    <w:rsid w:val="00973512"/>
    <w:rsid w:val="009763BE"/>
    <w:rsid w:val="00977F88"/>
    <w:rsid w:val="00980498"/>
    <w:rsid w:val="00980701"/>
    <w:rsid w:val="00980B19"/>
    <w:rsid w:val="00983DB1"/>
    <w:rsid w:val="00984EF6"/>
    <w:rsid w:val="0098645F"/>
    <w:rsid w:val="00986541"/>
    <w:rsid w:val="0098782C"/>
    <w:rsid w:val="009913F0"/>
    <w:rsid w:val="009924CB"/>
    <w:rsid w:val="009934FC"/>
    <w:rsid w:val="009937D6"/>
    <w:rsid w:val="00993B92"/>
    <w:rsid w:val="00993DD0"/>
    <w:rsid w:val="00996A02"/>
    <w:rsid w:val="00997170"/>
    <w:rsid w:val="00997FCD"/>
    <w:rsid w:val="009A0264"/>
    <w:rsid w:val="009A24AD"/>
    <w:rsid w:val="009A3813"/>
    <w:rsid w:val="009A387C"/>
    <w:rsid w:val="009A5AD0"/>
    <w:rsid w:val="009A6441"/>
    <w:rsid w:val="009A6AB6"/>
    <w:rsid w:val="009A6CA5"/>
    <w:rsid w:val="009A7D93"/>
    <w:rsid w:val="009B059C"/>
    <w:rsid w:val="009B0C1A"/>
    <w:rsid w:val="009B171A"/>
    <w:rsid w:val="009B22E7"/>
    <w:rsid w:val="009B45BE"/>
    <w:rsid w:val="009B4C0B"/>
    <w:rsid w:val="009B6ABF"/>
    <w:rsid w:val="009B6F7A"/>
    <w:rsid w:val="009B7AC2"/>
    <w:rsid w:val="009C21CC"/>
    <w:rsid w:val="009C3175"/>
    <w:rsid w:val="009C38B4"/>
    <w:rsid w:val="009C4C3F"/>
    <w:rsid w:val="009C4F91"/>
    <w:rsid w:val="009C614F"/>
    <w:rsid w:val="009C6791"/>
    <w:rsid w:val="009C6C44"/>
    <w:rsid w:val="009C6D93"/>
    <w:rsid w:val="009C6DEE"/>
    <w:rsid w:val="009C7D00"/>
    <w:rsid w:val="009D10E9"/>
    <w:rsid w:val="009D1732"/>
    <w:rsid w:val="009D5065"/>
    <w:rsid w:val="009D6637"/>
    <w:rsid w:val="009D6B48"/>
    <w:rsid w:val="009D7984"/>
    <w:rsid w:val="009D79B2"/>
    <w:rsid w:val="009D7EE1"/>
    <w:rsid w:val="009E1550"/>
    <w:rsid w:val="009E1C20"/>
    <w:rsid w:val="009E22C5"/>
    <w:rsid w:val="009E2421"/>
    <w:rsid w:val="009E4D2A"/>
    <w:rsid w:val="009E5962"/>
    <w:rsid w:val="009E77E2"/>
    <w:rsid w:val="009F048B"/>
    <w:rsid w:val="009F234A"/>
    <w:rsid w:val="009F23DE"/>
    <w:rsid w:val="009F3114"/>
    <w:rsid w:val="009F535E"/>
    <w:rsid w:val="009F7AB7"/>
    <w:rsid w:val="009F7F82"/>
    <w:rsid w:val="00A01D8A"/>
    <w:rsid w:val="00A027BC"/>
    <w:rsid w:val="00A039B7"/>
    <w:rsid w:val="00A03CB3"/>
    <w:rsid w:val="00A05C4D"/>
    <w:rsid w:val="00A06549"/>
    <w:rsid w:val="00A06F22"/>
    <w:rsid w:val="00A07A4F"/>
    <w:rsid w:val="00A1020A"/>
    <w:rsid w:val="00A10BE1"/>
    <w:rsid w:val="00A1122E"/>
    <w:rsid w:val="00A11A46"/>
    <w:rsid w:val="00A11E6F"/>
    <w:rsid w:val="00A12DA5"/>
    <w:rsid w:val="00A15557"/>
    <w:rsid w:val="00A15E4F"/>
    <w:rsid w:val="00A1733F"/>
    <w:rsid w:val="00A20439"/>
    <w:rsid w:val="00A211FF"/>
    <w:rsid w:val="00A24BF8"/>
    <w:rsid w:val="00A261AE"/>
    <w:rsid w:val="00A27ECE"/>
    <w:rsid w:val="00A34C32"/>
    <w:rsid w:val="00A35069"/>
    <w:rsid w:val="00A40E62"/>
    <w:rsid w:val="00A46A66"/>
    <w:rsid w:val="00A470F3"/>
    <w:rsid w:val="00A53F23"/>
    <w:rsid w:val="00A5465C"/>
    <w:rsid w:val="00A553DC"/>
    <w:rsid w:val="00A55803"/>
    <w:rsid w:val="00A57B31"/>
    <w:rsid w:val="00A60A40"/>
    <w:rsid w:val="00A60B98"/>
    <w:rsid w:val="00A60D98"/>
    <w:rsid w:val="00A61C51"/>
    <w:rsid w:val="00A61F6C"/>
    <w:rsid w:val="00A63406"/>
    <w:rsid w:val="00A6485D"/>
    <w:rsid w:val="00A700B6"/>
    <w:rsid w:val="00A702D9"/>
    <w:rsid w:val="00A7049C"/>
    <w:rsid w:val="00A72B81"/>
    <w:rsid w:val="00A73305"/>
    <w:rsid w:val="00A75945"/>
    <w:rsid w:val="00A76BBB"/>
    <w:rsid w:val="00A77333"/>
    <w:rsid w:val="00A84268"/>
    <w:rsid w:val="00A8595C"/>
    <w:rsid w:val="00A85E04"/>
    <w:rsid w:val="00A86EC5"/>
    <w:rsid w:val="00A90D52"/>
    <w:rsid w:val="00A92608"/>
    <w:rsid w:val="00A92AFD"/>
    <w:rsid w:val="00A92C0B"/>
    <w:rsid w:val="00A94C0F"/>
    <w:rsid w:val="00A957E3"/>
    <w:rsid w:val="00AA0A4B"/>
    <w:rsid w:val="00AA1A1E"/>
    <w:rsid w:val="00AB0A9F"/>
    <w:rsid w:val="00AB2D72"/>
    <w:rsid w:val="00AB39EA"/>
    <w:rsid w:val="00AB5391"/>
    <w:rsid w:val="00AB797E"/>
    <w:rsid w:val="00AC0197"/>
    <w:rsid w:val="00AC242D"/>
    <w:rsid w:val="00AC368D"/>
    <w:rsid w:val="00AC3F3E"/>
    <w:rsid w:val="00AC4072"/>
    <w:rsid w:val="00AC4B32"/>
    <w:rsid w:val="00AC5687"/>
    <w:rsid w:val="00AC608B"/>
    <w:rsid w:val="00AD3036"/>
    <w:rsid w:val="00AD3C2E"/>
    <w:rsid w:val="00AD4917"/>
    <w:rsid w:val="00AD5BB4"/>
    <w:rsid w:val="00AE2EDF"/>
    <w:rsid w:val="00AE4A56"/>
    <w:rsid w:val="00AE4B5A"/>
    <w:rsid w:val="00AE606D"/>
    <w:rsid w:val="00AF17C8"/>
    <w:rsid w:val="00AF3B73"/>
    <w:rsid w:val="00AF50C7"/>
    <w:rsid w:val="00AF6307"/>
    <w:rsid w:val="00B0030C"/>
    <w:rsid w:val="00B009E3"/>
    <w:rsid w:val="00B035C0"/>
    <w:rsid w:val="00B04E09"/>
    <w:rsid w:val="00B04FA7"/>
    <w:rsid w:val="00B05554"/>
    <w:rsid w:val="00B05C3A"/>
    <w:rsid w:val="00B06420"/>
    <w:rsid w:val="00B1331A"/>
    <w:rsid w:val="00B154FB"/>
    <w:rsid w:val="00B159A8"/>
    <w:rsid w:val="00B21D03"/>
    <w:rsid w:val="00B21EED"/>
    <w:rsid w:val="00B22597"/>
    <w:rsid w:val="00B22E12"/>
    <w:rsid w:val="00B23A3B"/>
    <w:rsid w:val="00B2635D"/>
    <w:rsid w:val="00B278A4"/>
    <w:rsid w:val="00B27A5B"/>
    <w:rsid w:val="00B27CA4"/>
    <w:rsid w:val="00B30887"/>
    <w:rsid w:val="00B30C48"/>
    <w:rsid w:val="00B33A3D"/>
    <w:rsid w:val="00B33ED8"/>
    <w:rsid w:val="00B404BA"/>
    <w:rsid w:val="00B41F38"/>
    <w:rsid w:val="00B43FFB"/>
    <w:rsid w:val="00B45565"/>
    <w:rsid w:val="00B46BFD"/>
    <w:rsid w:val="00B50253"/>
    <w:rsid w:val="00B50E11"/>
    <w:rsid w:val="00B5194A"/>
    <w:rsid w:val="00B540C9"/>
    <w:rsid w:val="00B5464E"/>
    <w:rsid w:val="00B55D6E"/>
    <w:rsid w:val="00B5707A"/>
    <w:rsid w:val="00B5793D"/>
    <w:rsid w:val="00B61068"/>
    <w:rsid w:val="00B61336"/>
    <w:rsid w:val="00B63701"/>
    <w:rsid w:val="00B6390E"/>
    <w:rsid w:val="00B657B0"/>
    <w:rsid w:val="00B65D90"/>
    <w:rsid w:val="00B67782"/>
    <w:rsid w:val="00B735BE"/>
    <w:rsid w:val="00B7786D"/>
    <w:rsid w:val="00B838B6"/>
    <w:rsid w:val="00B84B79"/>
    <w:rsid w:val="00B863D2"/>
    <w:rsid w:val="00B90E78"/>
    <w:rsid w:val="00B90E88"/>
    <w:rsid w:val="00B92A7D"/>
    <w:rsid w:val="00B9507C"/>
    <w:rsid w:val="00B9563B"/>
    <w:rsid w:val="00B95ECF"/>
    <w:rsid w:val="00B9747D"/>
    <w:rsid w:val="00B97C3A"/>
    <w:rsid w:val="00BA14F0"/>
    <w:rsid w:val="00BA16C6"/>
    <w:rsid w:val="00BA4F27"/>
    <w:rsid w:val="00BA52B0"/>
    <w:rsid w:val="00BA7061"/>
    <w:rsid w:val="00BB0CB2"/>
    <w:rsid w:val="00BB1A96"/>
    <w:rsid w:val="00BB3F57"/>
    <w:rsid w:val="00BB64C1"/>
    <w:rsid w:val="00BB73C4"/>
    <w:rsid w:val="00BC0D8B"/>
    <w:rsid w:val="00BC12BC"/>
    <w:rsid w:val="00BC23F7"/>
    <w:rsid w:val="00BC51C5"/>
    <w:rsid w:val="00BC543D"/>
    <w:rsid w:val="00BC65A3"/>
    <w:rsid w:val="00BC6892"/>
    <w:rsid w:val="00BD1A54"/>
    <w:rsid w:val="00BD21F7"/>
    <w:rsid w:val="00BD3A08"/>
    <w:rsid w:val="00BD3B2D"/>
    <w:rsid w:val="00BD4342"/>
    <w:rsid w:val="00BD6BA5"/>
    <w:rsid w:val="00BD6FC9"/>
    <w:rsid w:val="00BE1CFF"/>
    <w:rsid w:val="00BE3849"/>
    <w:rsid w:val="00BF1E9B"/>
    <w:rsid w:val="00BF248C"/>
    <w:rsid w:val="00BF2D30"/>
    <w:rsid w:val="00BF2F6B"/>
    <w:rsid w:val="00BF37E6"/>
    <w:rsid w:val="00BF3E90"/>
    <w:rsid w:val="00BF525E"/>
    <w:rsid w:val="00C0062A"/>
    <w:rsid w:val="00C025D3"/>
    <w:rsid w:val="00C03A16"/>
    <w:rsid w:val="00C042B4"/>
    <w:rsid w:val="00C0449E"/>
    <w:rsid w:val="00C053EB"/>
    <w:rsid w:val="00C0682B"/>
    <w:rsid w:val="00C077A8"/>
    <w:rsid w:val="00C10BCE"/>
    <w:rsid w:val="00C12586"/>
    <w:rsid w:val="00C13916"/>
    <w:rsid w:val="00C1467F"/>
    <w:rsid w:val="00C1508F"/>
    <w:rsid w:val="00C216E0"/>
    <w:rsid w:val="00C22710"/>
    <w:rsid w:val="00C24AA2"/>
    <w:rsid w:val="00C26775"/>
    <w:rsid w:val="00C31770"/>
    <w:rsid w:val="00C31A8F"/>
    <w:rsid w:val="00C34BD2"/>
    <w:rsid w:val="00C37319"/>
    <w:rsid w:val="00C37C6E"/>
    <w:rsid w:val="00C404F3"/>
    <w:rsid w:val="00C40B24"/>
    <w:rsid w:val="00C42CCB"/>
    <w:rsid w:val="00C42E53"/>
    <w:rsid w:val="00C43DD2"/>
    <w:rsid w:val="00C4520D"/>
    <w:rsid w:val="00C458D0"/>
    <w:rsid w:val="00C458ED"/>
    <w:rsid w:val="00C459BC"/>
    <w:rsid w:val="00C45A3C"/>
    <w:rsid w:val="00C46595"/>
    <w:rsid w:val="00C46AD6"/>
    <w:rsid w:val="00C46CBE"/>
    <w:rsid w:val="00C50585"/>
    <w:rsid w:val="00C5185A"/>
    <w:rsid w:val="00C52E3C"/>
    <w:rsid w:val="00C54817"/>
    <w:rsid w:val="00C549FB"/>
    <w:rsid w:val="00C558C6"/>
    <w:rsid w:val="00C571CB"/>
    <w:rsid w:val="00C61CBD"/>
    <w:rsid w:val="00C631B7"/>
    <w:rsid w:val="00C64BFC"/>
    <w:rsid w:val="00C652B8"/>
    <w:rsid w:val="00C65C18"/>
    <w:rsid w:val="00C66891"/>
    <w:rsid w:val="00C7207C"/>
    <w:rsid w:val="00C72D05"/>
    <w:rsid w:val="00C731D8"/>
    <w:rsid w:val="00C7397E"/>
    <w:rsid w:val="00C76593"/>
    <w:rsid w:val="00C81F62"/>
    <w:rsid w:val="00C82FF1"/>
    <w:rsid w:val="00C850BE"/>
    <w:rsid w:val="00C85CAA"/>
    <w:rsid w:val="00C862F3"/>
    <w:rsid w:val="00C87300"/>
    <w:rsid w:val="00C90266"/>
    <w:rsid w:val="00C9166D"/>
    <w:rsid w:val="00C92631"/>
    <w:rsid w:val="00C936D8"/>
    <w:rsid w:val="00C965A5"/>
    <w:rsid w:val="00CA010E"/>
    <w:rsid w:val="00CA1733"/>
    <w:rsid w:val="00CA37F7"/>
    <w:rsid w:val="00CA4352"/>
    <w:rsid w:val="00CA6FD1"/>
    <w:rsid w:val="00CB1D40"/>
    <w:rsid w:val="00CB2459"/>
    <w:rsid w:val="00CB260D"/>
    <w:rsid w:val="00CB3536"/>
    <w:rsid w:val="00CB4265"/>
    <w:rsid w:val="00CB4312"/>
    <w:rsid w:val="00CB4992"/>
    <w:rsid w:val="00CB4A53"/>
    <w:rsid w:val="00CB5029"/>
    <w:rsid w:val="00CB769D"/>
    <w:rsid w:val="00CC0CDD"/>
    <w:rsid w:val="00CC17A7"/>
    <w:rsid w:val="00CC1BC9"/>
    <w:rsid w:val="00CC21FC"/>
    <w:rsid w:val="00CC2550"/>
    <w:rsid w:val="00CC3585"/>
    <w:rsid w:val="00CC5E14"/>
    <w:rsid w:val="00CC6D06"/>
    <w:rsid w:val="00CC7034"/>
    <w:rsid w:val="00CD15BF"/>
    <w:rsid w:val="00CD463C"/>
    <w:rsid w:val="00CD4742"/>
    <w:rsid w:val="00CD68F8"/>
    <w:rsid w:val="00CE2EE3"/>
    <w:rsid w:val="00CE3202"/>
    <w:rsid w:val="00CF060E"/>
    <w:rsid w:val="00CF375E"/>
    <w:rsid w:val="00CF463C"/>
    <w:rsid w:val="00CF786D"/>
    <w:rsid w:val="00D014C4"/>
    <w:rsid w:val="00D03D29"/>
    <w:rsid w:val="00D10E31"/>
    <w:rsid w:val="00D14422"/>
    <w:rsid w:val="00D152F0"/>
    <w:rsid w:val="00D17E66"/>
    <w:rsid w:val="00D20055"/>
    <w:rsid w:val="00D20AE1"/>
    <w:rsid w:val="00D23BC3"/>
    <w:rsid w:val="00D25873"/>
    <w:rsid w:val="00D25F58"/>
    <w:rsid w:val="00D30297"/>
    <w:rsid w:val="00D32B36"/>
    <w:rsid w:val="00D33026"/>
    <w:rsid w:val="00D345DA"/>
    <w:rsid w:val="00D34736"/>
    <w:rsid w:val="00D34CE3"/>
    <w:rsid w:val="00D35CC6"/>
    <w:rsid w:val="00D35E50"/>
    <w:rsid w:val="00D41307"/>
    <w:rsid w:val="00D50115"/>
    <w:rsid w:val="00D5206C"/>
    <w:rsid w:val="00D5448B"/>
    <w:rsid w:val="00D54496"/>
    <w:rsid w:val="00D55822"/>
    <w:rsid w:val="00D56D65"/>
    <w:rsid w:val="00D615CA"/>
    <w:rsid w:val="00D66C48"/>
    <w:rsid w:val="00D6713E"/>
    <w:rsid w:val="00D671AC"/>
    <w:rsid w:val="00D70CFF"/>
    <w:rsid w:val="00D70D21"/>
    <w:rsid w:val="00D7139C"/>
    <w:rsid w:val="00D74FA8"/>
    <w:rsid w:val="00D82527"/>
    <w:rsid w:val="00D82CB8"/>
    <w:rsid w:val="00D8522C"/>
    <w:rsid w:val="00D8570D"/>
    <w:rsid w:val="00D91FBD"/>
    <w:rsid w:val="00D93D88"/>
    <w:rsid w:val="00D9478C"/>
    <w:rsid w:val="00D96DE7"/>
    <w:rsid w:val="00DA06AE"/>
    <w:rsid w:val="00DA0DE9"/>
    <w:rsid w:val="00DA18A1"/>
    <w:rsid w:val="00DA7C77"/>
    <w:rsid w:val="00DB09D1"/>
    <w:rsid w:val="00DB1724"/>
    <w:rsid w:val="00DB1C0A"/>
    <w:rsid w:val="00DB5629"/>
    <w:rsid w:val="00DB5AC9"/>
    <w:rsid w:val="00DB69D0"/>
    <w:rsid w:val="00DC1211"/>
    <w:rsid w:val="00DC2FD7"/>
    <w:rsid w:val="00DC3F6F"/>
    <w:rsid w:val="00DD14D9"/>
    <w:rsid w:val="00DD1CE5"/>
    <w:rsid w:val="00DD434D"/>
    <w:rsid w:val="00DD4B7A"/>
    <w:rsid w:val="00DD74B2"/>
    <w:rsid w:val="00DD7811"/>
    <w:rsid w:val="00DE2E56"/>
    <w:rsid w:val="00DE52EF"/>
    <w:rsid w:val="00DF3B73"/>
    <w:rsid w:val="00DF4D22"/>
    <w:rsid w:val="00DF51A5"/>
    <w:rsid w:val="00DF7C8F"/>
    <w:rsid w:val="00E01487"/>
    <w:rsid w:val="00E030C9"/>
    <w:rsid w:val="00E03F1F"/>
    <w:rsid w:val="00E10C6F"/>
    <w:rsid w:val="00E1117B"/>
    <w:rsid w:val="00E11325"/>
    <w:rsid w:val="00E124D9"/>
    <w:rsid w:val="00E128FB"/>
    <w:rsid w:val="00E14221"/>
    <w:rsid w:val="00E145D9"/>
    <w:rsid w:val="00E15FF8"/>
    <w:rsid w:val="00E171F7"/>
    <w:rsid w:val="00E171FE"/>
    <w:rsid w:val="00E172E7"/>
    <w:rsid w:val="00E20494"/>
    <w:rsid w:val="00E25CB9"/>
    <w:rsid w:val="00E2609F"/>
    <w:rsid w:val="00E26299"/>
    <w:rsid w:val="00E269AB"/>
    <w:rsid w:val="00E26DBA"/>
    <w:rsid w:val="00E27D55"/>
    <w:rsid w:val="00E30810"/>
    <w:rsid w:val="00E30C5F"/>
    <w:rsid w:val="00E32FE0"/>
    <w:rsid w:val="00E33246"/>
    <w:rsid w:val="00E33E12"/>
    <w:rsid w:val="00E34CF2"/>
    <w:rsid w:val="00E34E3C"/>
    <w:rsid w:val="00E359B6"/>
    <w:rsid w:val="00E36776"/>
    <w:rsid w:val="00E37F50"/>
    <w:rsid w:val="00E4108C"/>
    <w:rsid w:val="00E41227"/>
    <w:rsid w:val="00E4143B"/>
    <w:rsid w:val="00E414B4"/>
    <w:rsid w:val="00E42F32"/>
    <w:rsid w:val="00E45AFA"/>
    <w:rsid w:val="00E46540"/>
    <w:rsid w:val="00E46E63"/>
    <w:rsid w:val="00E47762"/>
    <w:rsid w:val="00E53511"/>
    <w:rsid w:val="00E537BD"/>
    <w:rsid w:val="00E550A3"/>
    <w:rsid w:val="00E5527F"/>
    <w:rsid w:val="00E574EA"/>
    <w:rsid w:val="00E60B62"/>
    <w:rsid w:val="00E6394D"/>
    <w:rsid w:val="00E6517A"/>
    <w:rsid w:val="00E65234"/>
    <w:rsid w:val="00E66F77"/>
    <w:rsid w:val="00E7133D"/>
    <w:rsid w:val="00E71C23"/>
    <w:rsid w:val="00E720C9"/>
    <w:rsid w:val="00E81561"/>
    <w:rsid w:val="00E81685"/>
    <w:rsid w:val="00E82810"/>
    <w:rsid w:val="00E8358F"/>
    <w:rsid w:val="00E842F5"/>
    <w:rsid w:val="00E84446"/>
    <w:rsid w:val="00E91C9B"/>
    <w:rsid w:val="00E91F69"/>
    <w:rsid w:val="00E940C9"/>
    <w:rsid w:val="00E94B83"/>
    <w:rsid w:val="00EA3A08"/>
    <w:rsid w:val="00EA5FDA"/>
    <w:rsid w:val="00EB1FFC"/>
    <w:rsid w:val="00EB33E1"/>
    <w:rsid w:val="00EB35A4"/>
    <w:rsid w:val="00EB689E"/>
    <w:rsid w:val="00EB746E"/>
    <w:rsid w:val="00EB7E92"/>
    <w:rsid w:val="00EB7FC5"/>
    <w:rsid w:val="00EC1014"/>
    <w:rsid w:val="00EC41A1"/>
    <w:rsid w:val="00EC61A3"/>
    <w:rsid w:val="00EC6AA6"/>
    <w:rsid w:val="00EC7FFE"/>
    <w:rsid w:val="00ED59D5"/>
    <w:rsid w:val="00ED7870"/>
    <w:rsid w:val="00EE0FD4"/>
    <w:rsid w:val="00EE17BE"/>
    <w:rsid w:val="00EE5E1C"/>
    <w:rsid w:val="00EE74AE"/>
    <w:rsid w:val="00EF4325"/>
    <w:rsid w:val="00EF594C"/>
    <w:rsid w:val="00EF67C5"/>
    <w:rsid w:val="00EF78B8"/>
    <w:rsid w:val="00F01A97"/>
    <w:rsid w:val="00F032A0"/>
    <w:rsid w:val="00F054C4"/>
    <w:rsid w:val="00F06DE3"/>
    <w:rsid w:val="00F0786C"/>
    <w:rsid w:val="00F0791C"/>
    <w:rsid w:val="00F10423"/>
    <w:rsid w:val="00F127F0"/>
    <w:rsid w:val="00F155FB"/>
    <w:rsid w:val="00F16337"/>
    <w:rsid w:val="00F1680D"/>
    <w:rsid w:val="00F16FBC"/>
    <w:rsid w:val="00F17807"/>
    <w:rsid w:val="00F17ECE"/>
    <w:rsid w:val="00F20F12"/>
    <w:rsid w:val="00F2202D"/>
    <w:rsid w:val="00F27561"/>
    <w:rsid w:val="00F275DE"/>
    <w:rsid w:val="00F27AF4"/>
    <w:rsid w:val="00F329FB"/>
    <w:rsid w:val="00F32C9D"/>
    <w:rsid w:val="00F33F2F"/>
    <w:rsid w:val="00F340DB"/>
    <w:rsid w:val="00F366DD"/>
    <w:rsid w:val="00F366E4"/>
    <w:rsid w:val="00F37F56"/>
    <w:rsid w:val="00F433AF"/>
    <w:rsid w:val="00F5177C"/>
    <w:rsid w:val="00F52C7D"/>
    <w:rsid w:val="00F53AF8"/>
    <w:rsid w:val="00F549C7"/>
    <w:rsid w:val="00F564FB"/>
    <w:rsid w:val="00F576C1"/>
    <w:rsid w:val="00F57EE3"/>
    <w:rsid w:val="00F6057C"/>
    <w:rsid w:val="00F60644"/>
    <w:rsid w:val="00F63A4B"/>
    <w:rsid w:val="00F64356"/>
    <w:rsid w:val="00F66991"/>
    <w:rsid w:val="00F67F85"/>
    <w:rsid w:val="00F701AF"/>
    <w:rsid w:val="00F701ED"/>
    <w:rsid w:val="00F71B8E"/>
    <w:rsid w:val="00F723C6"/>
    <w:rsid w:val="00F726E3"/>
    <w:rsid w:val="00F72D5E"/>
    <w:rsid w:val="00F72D91"/>
    <w:rsid w:val="00F7396B"/>
    <w:rsid w:val="00F75B38"/>
    <w:rsid w:val="00F76E40"/>
    <w:rsid w:val="00F77884"/>
    <w:rsid w:val="00F80DF3"/>
    <w:rsid w:val="00F815A1"/>
    <w:rsid w:val="00F81B12"/>
    <w:rsid w:val="00F85C36"/>
    <w:rsid w:val="00F9119F"/>
    <w:rsid w:val="00F95033"/>
    <w:rsid w:val="00F95B71"/>
    <w:rsid w:val="00F96A34"/>
    <w:rsid w:val="00F9721A"/>
    <w:rsid w:val="00FA2EAD"/>
    <w:rsid w:val="00FA343D"/>
    <w:rsid w:val="00FA3E8E"/>
    <w:rsid w:val="00FA4822"/>
    <w:rsid w:val="00FA52BA"/>
    <w:rsid w:val="00FA6629"/>
    <w:rsid w:val="00FA71DE"/>
    <w:rsid w:val="00FA74B5"/>
    <w:rsid w:val="00FA7FE1"/>
    <w:rsid w:val="00FB01E9"/>
    <w:rsid w:val="00FB086B"/>
    <w:rsid w:val="00FB0F30"/>
    <w:rsid w:val="00FB1FCF"/>
    <w:rsid w:val="00FB2081"/>
    <w:rsid w:val="00FB42A5"/>
    <w:rsid w:val="00FB73B0"/>
    <w:rsid w:val="00FC10E2"/>
    <w:rsid w:val="00FC214D"/>
    <w:rsid w:val="00FC2430"/>
    <w:rsid w:val="00FC33DE"/>
    <w:rsid w:val="00FC5139"/>
    <w:rsid w:val="00FC528A"/>
    <w:rsid w:val="00FC5827"/>
    <w:rsid w:val="00FC597C"/>
    <w:rsid w:val="00FC79E0"/>
    <w:rsid w:val="00FD02A7"/>
    <w:rsid w:val="00FD05FC"/>
    <w:rsid w:val="00FD2AEE"/>
    <w:rsid w:val="00FD37D9"/>
    <w:rsid w:val="00FD4C7B"/>
    <w:rsid w:val="00FD5CCD"/>
    <w:rsid w:val="00FE0AF8"/>
    <w:rsid w:val="00FE19F6"/>
    <w:rsid w:val="00FE451A"/>
    <w:rsid w:val="00FE6290"/>
    <w:rsid w:val="00FF0768"/>
    <w:rsid w:val="0132783D"/>
    <w:rsid w:val="014C3D8E"/>
    <w:rsid w:val="015054A6"/>
    <w:rsid w:val="017E6F26"/>
    <w:rsid w:val="018067FB"/>
    <w:rsid w:val="01AC5842"/>
    <w:rsid w:val="01B47E04"/>
    <w:rsid w:val="01C24651"/>
    <w:rsid w:val="01C30156"/>
    <w:rsid w:val="01C915FA"/>
    <w:rsid w:val="02022B0D"/>
    <w:rsid w:val="021047B1"/>
    <w:rsid w:val="021E018C"/>
    <w:rsid w:val="021F6013"/>
    <w:rsid w:val="02203B3A"/>
    <w:rsid w:val="0225686C"/>
    <w:rsid w:val="02571C51"/>
    <w:rsid w:val="02655165"/>
    <w:rsid w:val="026D3F20"/>
    <w:rsid w:val="0281273E"/>
    <w:rsid w:val="0299522E"/>
    <w:rsid w:val="02AB78A7"/>
    <w:rsid w:val="02CC3E9A"/>
    <w:rsid w:val="02E17E81"/>
    <w:rsid w:val="02E6153F"/>
    <w:rsid w:val="02EB4148"/>
    <w:rsid w:val="02F034FC"/>
    <w:rsid w:val="03096EC1"/>
    <w:rsid w:val="03190BDA"/>
    <w:rsid w:val="03343D40"/>
    <w:rsid w:val="037B3BA0"/>
    <w:rsid w:val="038A3960"/>
    <w:rsid w:val="038C6290"/>
    <w:rsid w:val="03A34080"/>
    <w:rsid w:val="03C9092D"/>
    <w:rsid w:val="03DB41BC"/>
    <w:rsid w:val="03DF1EFE"/>
    <w:rsid w:val="03FC095B"/>
    <w:rsid w:val="03FD6D49"/>
    <w:rsid w:val="04293CCD"/>
    <w:rsid w:val="042F5D1F"/>
    <w:rsid w:val="0431202E"/>
    <w:rsid w:val="0438160E"/>
    <w:rsid w:val="04447367"/>
    <w:rsid w:val="045232F3"/>
    <w:rsid w:val="04553F6E"/>
    <w:rsid w:val="04637138"/>
    <w:rsid w:val="04652006"/>
    <w:rsid w:val="04662196"/>
    <w:rsid w:val="046B5941"/>
    <w:rsid w:val="049417DB"/>
    <w:rsid w:val="04962959"/>
    <w:rsid w:val="04A24A7D"/>
    <w:rsid w:val="04AE335F"/>
    <w:rsid w:val="04B12457"/>
    <w:rsid w:val="04BA2023"/>
    <w:rsid w:val="04DF5F2E"/>
    <w:rsid w:val="04DF6A75"/>
    <w:rsid w:val="04EA21CE"/>
    <w:rsid w:val="05080FE1"/>
    <w:rsid w:val="0514323F"/>
    <w:rsid w:val="0543026B"/>
    <w:rsid w:val="05534A8E"/>
    <w:rsid w:val="05594F7A"/>
    <w:rsid w:val="05626F0B"/>
    <w:rsid w:val="056801AD"/>
    <w:rsid w:val="05727D9B"/>
    <w:rsid w:val="0587613E"/>
    <w:rsid w:val="05AD7DDA"/>
    <w:rsid w:val="05BC4287"/>
    <w:rsid w:val="05C84C14"/>
    <w:rsid w:val="05D03F6F"/>
    <w:rsid w:val="05E543F3"/>
    <w:rsid w:val="05ED6D79"/>
    <w:rsid w:val="05EE2C8F"/>
    <w:rsid w:val="05F80C2C"/>
    <w:rsid w:val="060914B4"/>
    <w:rsid w:val="060F03CA"/>
    <w:rsid w:val="061D6AF3"/>
    <w:rsid w:val="061F7618"/>
    <w:rsid w:val="06280D27"/>
    <w:rsid w:val="064B3186"/>
    <w:rsid w:val="064F49ED"/>
    <w:rsid w:val="06616FE7"/>
    <w:rsid w:val="066C4561"/>
    <w:rsid w:val="066F12AC"/>
    <w:rsid w:val="06A2646F"/>
    <w:rsid w:val="06BC02D5"/>
    <w:rsid w:val="06FA0F5D"/>
    <w:rsid w:val="0727403C"/>
    <w:rsid w:val="0737795B"/>
    <w:rsid w:val="07550729"/>
    <w:rsid w:val="076B5857"/>
    <w:rsid w:val="07A34A92"/>
    <w:rsid w:val="07AB6089"/>
    <w:rsid w:val="07B92ACE"/>
    <w:rsid w:val="07BB6661"/>
    <w:rsid w:val="07CA1A3A"/>
    <w:rsid w:val="07E51AAD"/>
    <w:rsid w:val="07F176E5"/>
    <w:rsid w:val="082A594D"/>
    <w:rsid w:val="083D3697"/>
    <w:rsid w:val="08820352"/>
    <w:rsid w:val="08B64B4E"/>
    <w:rsid w:val="08C7561E"/>
    <w:rsid w:val="08DD1FDA"/>
    <w:rsid w:val="08F32743"/>
    <w:rsid w:val="090303BC"/>
    <w:rsid w:val="091A7880"/>
    <w:rsid w:val="09226BBF"/>
    <w:rsid w:val="092E4D8E"/>
    <w:rsid w:val="09455B9D"/>
    <w:rsid w:val="094E0278"/>
    <w:rsid w:val="09703A4F"/>
    <w:rsid w:val="099B68C7"/>
    <w:rsid w:val="09AE7E79"/>
    <w:rsid w:val="09B039F5"/>
    <w:rsid w:val="09B50E19"/>
    <w:rsid w:val="09B60453"/>
    <w:rsid w:val="09B91D5D"/>
    <w:rsid w:val="09B9233D"/>
    <w:rsid w:val="09D65B51"/>
    <w:rsid w:val="09E0077E"/>
    <w:rsid w:val="09E74D59"/>
    <w:rsid w:val="09F63AFE"/>
    <w:rsid w:val="0A0D3CD9"/>
    <w:rsid w:val="0A241889"/>
    <w:rsid w:val="0A3463D4"/>
    <w:rsid w:val="0A85295F"/>
    <w:rsid w:val="0A997E21"/>
    <w:rsid w:val="0AB0721A"/>
    <w:rsid w:val="0AFD5639"/>
    <w:rsid w:val="0B106908"/>
    <w:rsid w:val="0B1E58F0"/>
    <w:rsid w:val="0B2244A3"/>
    <w:rsid w:val="0B2E380D"/>
    <w:rsid w:val="0B2E69D9"/>
    <w:rsid w:val="0B310B66"/>
    <w:rsid w:val="0B371235"/>
    <w:rsid w:val="0B405729"/>
    <w:rsid w:val="0B4E0497"/>
    <w:rsid w:val="0B641FE7"/>
    <w:rsid w:val="0B6727D9"/>
    <w:rsid w:val="0BCD6D9E"/>
    <w:rsid w:val="0BE12B86"/>
    <w:rsid w:val="0BE608A8"/>
    <w:rsid w:val="0BEB4DDC"/>
    <w:rsid w:val="0BFB189F"/>
    <w:rsid w:val="0BFD6957"/>
    <w:rsid w:val="0C0B7BF5"/>
    <w:rsid w:val="0C3C5A14"/>
    <w:rsid w:val="0C3D04AB"/>
    <w:rsid w:val="0C421CC7"/>
    <w:rsid w:val="0C4E41C8"/>
    <w:rsid w:val="0C5A6815"/>
    <w:rsid w:val="0C6816CE"/>
    <w:rsid w:val="0C6F7B97"/>
    <w:rsid w:val="0C7358DA"/>
    <w:rsid w:val="0C7E5F6D"/>
    <w:rsid w:val="0C9E1C8B"/>
    <w:rsid w:val="0CA879D8"/>
    <w:rsid w:val="0CD45C4C"/>
    <w:rsid w:val="0CE317C4"/>
    <w:rsid w:val="0D1129FD"/>
    <w:rsid w:val="0D1C41F6"/>
    <w:rsid w:val="0D1D6955"/>
    <w:rsid w:val="0D222E5C"/>
    <w:rsid w:val="0D326E78"/>
    <w:rsid w:val="0D4D3187"/>
    <w:rsid w:val="0D58062B"/>
    <w:rsid w:val="0D5A4DF7"/>
    <w:rsid w:val="0D832205"/>
    <w:rsid w:val="0D8D559C"/>
    <w:rsid w:val="0D915AFC"/>
    <w:rsid w:val="0D974242"/>
    <w:rsid w:val="0DA50A51"/>
    <w:rsid w:val="0DAD6BC9"/>
    <w:rsid w:val="0DB57E54"/>
    <w:rsid w:val="0DC0144B"/>
    <w:rsid w:val="0DCE08EE"/>
    <w:rsid w:val="0E213113"/>
    <w:rsid w:val="0E24093E"/>
    <w:rsid w:val="0E2A1C4C"/>
    <w:rsid w:val="0E3C2EFC"/>
    <w:rsid w:val="0E441DCC"/>
    <w:rsid w:val="0E615B5E"/>
    <w:rsid w:val="0E6F47A5"/>
    <w:rsid w:val="0E704CCA"/>
    <w:rsid w:val="0E7A12CF"/>
    <w:rsid w:val="0EC10421"/>
    <w:rsid w:val="0EE367D7"/>
    <w:rsid w:val="0EEB6487"/>
    <w:rsid w:val="0F0364F4"/>
    <w:rsid w:val="0F1B5DB5"/>
    <w:rsid w:val="0F1E5075"/>
    <w:rsid w:val="0F874D5A"/>
    <w:rsid w:val="0F8D148A"/>
    <w:rsid w:val="0F9811B3"/>
    <w:rsid w:val="0FA20284"/>
    <w:rsid w:val="0FAC7DE4"/>
    <w:rsid w:val="0FD3043D"/>
    <w:rsid w:val="0FE41D1B"/>
    <w:rsid w:val="0FE47865"/>
    <w:rsid w:val="100E3D6C"/>
    <w:rsid w:val="101D790A"/>
    <w:rsid w:val="10226C56"/>
    <w:rsid w:val="103313EA"/>
    <w:rsid w:val="103325C6"/>
    <w:rsid w:val="1033714F"/>
    <w:rsid w:val="10360F4C"/>
    <w:rsid w:val="104D4694"/>
    <w:rsid w:val="10832DF2"/>
    <w:rsid w:val="108C0F59"/>
    <w:rsid w:val="10C20E5F"/>
    <w:rsid w:val="10C77FA2"/>
    <w:rsid w:val="10CA1840"/>
    <w:rsid w:val="10D26947"/>
    <w:rsid w:val="10DB1A50"/>
    <w:rsid w:val="10FE7BFF"/>
    <w:rsid w:val="110B3500"/>
    <w:rsid w:val="112B5F48"/>
    <w:rsid w:val="112C1736"/>
    <w:rsid w:val="112F78F5"/>
    <w:rsid w:val="113D2012"/>
    <w:rsid w:val="114A472F"/>
    <w:rsid w:val="114F7F97"/>
    <w:rsid w:val="11551A52"/>
    <w:rsid w:val="115E6696"/>
    <w:rsid w:val="116F3DB0"/>
    <w:rsid w:val="11754949"/>
    <w:rsid w:val="11800151"/>
    <w:rsid w:val="11A227BD"/>
    <w:rsid w:val="11CB1184"/>
    <w:rsid w:val="11CE0167"/>
    <w:rsid w:val="11E37F30"/>
    <w:rsid w:val="11E46932"/>
    <w:rsid w:val="11ED25EE"/>
    <w:rsid w:val="12021B52"/>
    <w:rsid w:val="12137238"/>
    <w:rsid w:val="12290483"/>
    <w:rsid w:val="12311BA5"/>
    <w:rsid w:val="12445622"/>
    <w:rsid w:val="124F74EF"/>
    <w:rsid w:val="12742AC7"/>
    <w:rsid w:val="12A232DC"/>
    <w:rsid w:val="12AA36D7"/>
    <w:rsid w:val="12AF3700"/>
    <w:rsid w:val="12C3328B"/>
    <w:rsid w:val="12E4465F"/>
    <w:rsid w:val="12EF0BE4"/>
    <w:rsid w:val="130A757E"/>
    <w:rsid w:val="131525C2"/>
    <w:rsid w:val="131D398A"/>
    <w:rsid w:val="1331710B"/>
    <w:rsid w:val="13457F89"/>
    <w:rsid w:val="136A0115"/>
    <w:rsid w:val="137923BF"/>
    <w:rsid w:val="138F6C27"/>
    <w:rsid w:val="139E45C8"/>
    <w:rsid w:val="13A425DD"/>
    <w:rsid w:val="13DF3855"/>
    <w:rsid w:val="13FA41EA"/>
    <w:rsid w:val="140A44F3"/>
    <w:rsid w:val="14172FCC"/>
    <w:rsid w:val="14487D3F"/>
    <w:rsid w:val="14715AD0"/>
    <w:rsid w:val="148320A1"/>
    <w:rsid w:val="14967CC8"/>
    <w:rsid w:val="14A34FB4"/>
    <w:rsid w:val="14B65F88"/>
    <w:rsid w:val="14C33A7B"/>
    <w:rsid w:val="14EF596C"/>
    <w:rsid w:val="14F01823"/>
    <w:rsid w:val="14F81E38"/>
    <w:rsid w:val="150177FB"/>
    <w:rsid w:val="150502EB"/>
    <w:rsid w:val="15050A55"/>
    <w:rsid w:val="150952E2"/>
    <w:rsid w:val="150C6473"/>
    <w:rsid w:val="15104202"/>
    <w:rsid w:val="151224F2"/>
    <w:rsid w:val="15151FE4"/>
    <w:rsid w:val="155162F3"/>
    <w:rsid w:val="15565D98"/>
    <w:rsid w:val="155B2BED"/>
    <w:rsid w:val="15877190"/>
    <w:rsid w:val="15A90DA7"/>
    <w:rsid w:val="15D66ED9"/>
    <w:rsid w:val="15EC04AB"/>
    <w:rsid w:val="15FD1315"/>
    <w:rsid w:val="160C42D6"/>
    <w:rsid w:val="16494C48"/>
    <w:rsid w:val="16AB48E1"/>
    <w:rsid w:val="16BA4A45"/>
    <w:rsid w:val="16CF206A"/>
    <w:rsid w:val="16DC37B4"/>
    <w:rsid w:val="16F55FB8"/>
    <w:rsid w:val="16FB6B41"/>
    <w:rsid w:val="16FE48F0"/>
    <w:rsid w:val="171E0B5A"/>
    <w:rsid w:val="17372BA0"/>
    <w:rsid w:val="174217F1"/>
    <w:rsid w:val="175E997D"/>
    <w:rsid w:val="176A7DE4"/>
    <w:rsid w:val="17950C67"/>
    <w:rsid w:val="17A7636F"/>
    <w:rsid w:val="17C8687A"/>
    <w:rsid w:val="17E07B9B"/>
    <w:rsid w:val="17EE2E8F"/>
    <w:rsid w:val="180C00D0"/>
    <w:rsid w:val="1820412C"/>
    <w:rsid w:val="1826123C"/>
    <w:rsid w:val="182D6606"/>
    <w:rsid w:val="18582D25"/>
    <w:rsid w:val="185A16FC"/>
    <w:rsid w:val="186366A3"/>
    <w:rsid w:val="1889564E"/>
    <w:rsid w:val="18A24E51"/>
    <w:rsid w:val="18A657D5"/>
    <w:rsid w:val="18AF7EFC"/>
    <w:rsid w:val="18B02EF0"/>
    <w:rsid w:val="18B2778A"/>
    <w:rsid w:val="18DC4807"/>
    <w:rsid w:val="18E252B4"/>
    <w:rsid w:val="18F56002"/>
    <w:rsid w:val="19004393"/>
    <w:rsid w:val="192C753C"/>
    <w:rsid w:val="192F7DD8"/>
    <w:rsid w:val="19315706"/>
    <w:rsid w:val="193B42D8"/>
    <w:rsid w:val="193D1EBC"/>
    <w:rsid w:val="19547698"/>
    <w:rsid w:val="195C2794"/>
    <w:rsid w:val="19913D20"/>
    <w:rsid w:val="19984C1F"/>
    <w:rsid w:val="19A32513"/>
    <w:rsid w:val="19AE61A3"/>
    <w:rsid w:val="19C86B39"/>
    <w:rsid w:val="19E415C3"/>
    <w:rsid w:val="19E44E8B"/>
    <w:rsid w:val="1A0238A4"/>
    <w:rsid w:val="1A057D8D"/>
    <w:rsid w:val="1A1B4EBB"/>
    <w:rsid w:val="1A2E4D24"/>
    <w:rsid w:val="1A686FD2"/>
    <w:rsid w:val="1A6D1E2A"/>
    <w:rsid w:val="1AC2741F"/>
    <w:rsid w:val="1AC531C4"/>
    <w:rsid w:val="1AE9302B"/>
    <w:rsid w:val="1AE96D67"/>
    <w:rsid w:val="1B0672C6"/>
    <w:rsid w:val="1B291EF3"/>
    <w:rsid w:val="1B365264"/>
    <w:rsid w:val="1B440C17"/>
    <w:rsid w:val="1B574618"/>
    <w:rsid w:val="1B7156DA"/>
    <w:rsid w:val="1B966EEF"/>
    <w:rsid w:val="1B972B25"/>
    <w:rsid w:val="1BB2199A"/>
    <w:rsid w:val="1BBA200E"/>
    <w:rsid w:val="1BCF0653"/>
    <w:rsid w:val="1C05425B"/>
    <w:rsid w:val="1C2C6521"/>
    <w:rsid w:val="1C381445"/>
    <w:rsid w:val="1C392623"/>
    <w:rsid w:val="1C420E24"/>
    <w:rsid w:val="1C5D5C5E"/>
    <w:rsid w:val="1CC23A41"/>
    <w:rsid w:val="1CCC72F4"/>
    <w:rsid w:val="1CDB69E4"/>
    <w:rsid w:val="1CE1063D"/>
    <w:rsid w:val="1CE33BE2"/>
    <w:rsid w:val="1CEC0978"/>
    <w:rsid w:val="1CF57F31"/>
    <w:rsid w:val="1CFE0E3B"/>
    <w:rsid w:val="1D0017C7"/>
    <w:rsid w:val="1D03539D"/>
    <w:rsid w:val="1D091942"/>
    <w:rsid w:val="1D272397"/>
    <w:rsid w:val="1D373C49"/>
    <w:rsid w:val="1D4D7A81"/>
    <w:rsid w:val="1D5030CD"/>
    <w:rsid w:val="1D5D21BD"/>
    <w:rsid w:val="1D70551D"/>
    <w:rsid w:val="1D747847"/>
    <w:rsid w:val="1D7F018D"/>
    <w:rsid w:val="1D8125BE"/>
    <w:rsid w:val="1D980FA5"/>
    <w:rsid w:val="1E3F565E"/>
    <w:rsid w:val="1E485153"/>
    <w:rsid w:val="1E5A2124"/>
    <w:rsid w:val="1E5C1944"/>
    <w:rsid w:val="1E603B23"/>
    <w:rsid w:val="1E664332"/>
    <w:rsid w:val="1E6941E7"/>
    <w:rsid w:val="1E704C5B"/>
    <w:rsid w:val="1E7B7B56"/>
    <w:rsid w:val="1E8E2DB0"/>
    <w:rsid w:val="1E926BCF"/>
    <w:rsid w:val="1EB525EF"/>
    <w:rsid w:val="1EB6109D"/>
    <w:rsid w:val="1ECA3722"/>
    <w:rsid w:val="1EDB4E96"/>
    <w:rsid w:val="1EDC6DC1"/>
    <w:rsid w:val="1EE778A5"/>
    <w:rsid w:val="1EF15B4A"/>
    <w:rsid w:val="1EF2736B"/>
    <w:rsid w:val="1EFF97BF"/>
    <w:rsid w:val="1F161426"/>
    <w:rsid w:val="1F16470F"/>
    <w:rsid w:val="1F4F0922"/>
    <w:rsid w:val="1F52138B"/>
    <w:rsid w:val="1F6B41EE"/>
    <w:rsid w:val="1F8270D3"/>
    <w:rsid w:val="1F8F8927"/>
    <w:rsid w:val="1F9679D3"/>
    <w:rsid w:val="1FD52DEC"/>
    <w:rsid w:val="1FD75742"/>
    <w:rsid w:val="1FDC50EC"/>
    <w:rsid w:val="1FDD2634"/>
    <w:rsid w:val="1FDD44EC"/>
    <w:rsid w:val="1FDFD464"/>
    <w:rsid w:val="1FEA0867"/>
    <w:rsid w:val="1FEF3236"/>
    <w:rsid w:val="1FFB7645"/>
    <w:rsid w:val="20254EAE"/>
    <w:rsid w:val="20286BD9"/>
    <w:rsid w:val="204B180E"/>
    <w:rsid w:val="2052571F"/>
    <w:rsid w:val="206D7E76"/>
    <w:rsid w:val="207344DF"/>
    <w:rsid w:val="207812B9"/>
    <w:rsid w:val="20821300"/>
    <w:rsid w:val="20884F8A"/>
    <w:rsid w:val="20A50BD1"/>
    <w:rsid w:val="20AC6CCD"/>
    <w:rsid w:val="20DC6201"/>
    <w:rsid w:val="20E24685"/>
    <w:rsid w:val="20E26B8E"/>
    <w:rsid w:val="20F030BF"/>
    <w:rsid w:val="20F1523B"/>
    <w:rsid w:val="20F611CC"/>
    <w:rsid w:val="2136082C"/>
    <w:rsid w:val="21553C67"/>
    <w:rsid w:val="21584AE0"/>
    <w:rsid w:val="21591283"/>
    <w:rsid w:val="215F06A9"/>
    <w:rsid w:val="216F34D8"/>
    <w:rsid w:val="21703D3E"/>
    <w:rsid w:val="219043E0"/>
    <w:rsid w:val="219B2BCD"/>
    <w:rsid w:val="219E6758"/>
    <w:rsid w:val="21AF586A"/>
    <w:rsid w:val="21D71243"/>
    <w:rsid w:val="21DB3F40"/>
    <w:rsid w:val="21E668B5"/>
    <w:rsid w:val="21FF0F97"/>
    <w:rsid w:val="22051F98"/>
    <w:rsid w:val="222A0F2D"/>
    <w:rsid w:val="22370322"/>
    <w:rsid w:val="22430565"/>
    <w:rsid w:val="22545138"/>
    <w:rsid w:val="22656111"/>
    <w:rsid w:val="22660C40"/>
    <w:rsid w:val="22AF0896"/>
    <w:rsid w:val="22C44C41"/>
    <w:rsid w:val="22CC58EC"/>
    <w:rsid w:val="22D84291"/>
    <w:rsid w:val="22D938E9"/>
    <w:rsid w:val="22DB181A"/>
    <w:rsid w:val="22EB18D6"/>
    <w:rsid w:val="22EF77EE"/>
    <w:rsid w:val="22F11B81"/>
    <w:rsid w:val="22F83FEB"/>
    <w:rsid w:val="232079E6"/>
    <w:rsid w:val="233C3E0D"/>
    <w:rsid w:val="23427BF9"/>
    <w:rsid w:val="23511098"/>
    <w:rsid w:val="2354695F"/>
    <w:rsid w:val="23571659"/>
    <w:rsid w:val="2358717F"/>
    <w:rsid w:val="236A69D7"/>
    <w:rsid w:val="23AA48AE"/>
    <w:rsid w:val="23B73EA6"/>
    <w:rsid w:val="23C17FCB"/>
    <w:rsid w:val="23C51E73"/>
    <w:rsid w:val="242E7867"/>
    <w:rsid w:val="24330302"/>
    <w:rsid w:val="243E42C7"/>
    <w:rsid w:val="24487888"/>
    <w:rsid w:val="24561911"/>
    <w:rsid w:val="2469032F"/>
    <w:rsid w:val="247054DD"/>
    <w:rsid w:val="24776664"/>
    <w:rsid w:val="249A24E5"/>
    <w:rsid w:val="24A821A6"/>
    <w:rsid w:val="24AC581E"/>
    <w:rsid w:val="24C83E91"/>
    <w:rsid w:val="24CC2FE8"/>
    <w:rsid w:val="24DD367D"/>
    <w:rsid w:val="24E76FD6"/>
    <w:rsid w:val="250C613C"/>
    <w:rsid w:val="25394E23"/>
    <w:rsid w:val="253D2474"/>
    <w:rsid w:val="25457FB6"/>
    <w:rsid w:val="255816B9"/>
    <w:rsid w:val="25585200"/>
    <w:rsid w:val="257D5DA6"/>
    <w:rsid w:val="25870A1F"/>
    <w:rsid w:val="25AE615B"/>
    <w:rsid w:val="25B44F23"/>
    <w:rsid w:val="25CD6066"/>
    <w:rsid w:val="25E0362D"/>
    <w:rsid w:val="25EF7AF6"/>
    <w:rsid w:val="2608152B"/>
    <w:rsid w:val="262813FB"/>
    <w:rsid w:val="262F2132"/>
    <w:rsid w:val="26303FAF"/>
    <w:rsid w:val="263E0200"/>
    <w:rsid w:val="263E73AF"/>
    <w:rsid w:val="26461511"/>
    <w:rsid w:val="26747E2C"/>
    <w:rsid w:val="268169ED"/>
    <w:rsid w:val="26A352D7"/>
    <w:rsid w:val="26A844E0"/>
    <w:rsid w:val="26B36C9D"/>
    <w:rsid w:val="26BA43B8"/>
    <w:rsid w:val="26CB0992"/>
    <w:rsid w:val="27054F7D"/>
    <w:rsid w:val="272B00BC"/>
    <w:rsid w:val="2749065B"/>
    <w:rsid w:val="27492CD2"/>
    <w:rsid w:val="274F1635"/>
    <w:rsid w:val="27724BE2"/>
    <w:rsid w:val="277E0341"/>
    <w:rsid w:val="27867F8D"/>
    <w:rsid w:val="278C73F8"/>
    <w:rsid w:val="279959AE"/>
    <w:rsid w:val="27BF7BC2"/>
    <w:rsid w:val="27EB65EB"/>
    <w:rsid w:val="27F21951"/>
    <w:rsid w:val="28062035"/>
    <w:rsid w:val="28155E1A"/>
    <w:rsid w:val="282871F4"/>
    <w:rsid w:val="28343687"/>
    <w:rsid w:val="285F1726"/>
    <w:rsid w:val="28610884"/>
    <w:rsid w:val="286F2FA1"/>
    <w:rsid w:val="287265EE"/>
    <w:rsid w:val="289B16B8"/>
    <w:rsid w:val="28CF5AE4"/>
    <w:rsid w:val="28F96D0F"/>
    <w:rsid w:val="28FD132A"/>
    <w:rsid w:val="291C39BD"/>
    <w:rsid w:val="2927184B"/>
    <w:rsid w:val="29286788"/>
    <w:rsid w:val="292C14BA"/>
    <w:rsid w:val="29341AF5"/>
    <w:rsid w:val="29437879"/>
    <w:rsid w:val="29500600"/>
    <w:rsid w:val="2964062C"/>
    <w:rsid w:val="29716568"/>
    <w:rsid w:val="297D16EE"/>
    <w:rsid w:val="299452ED"/>
    <w:rsid w:val="29A74929"/>
    <w:rsid w:val="29AE7EFD"/>
    <w:rsid w:val="29C10224"/>
    <w:rsid w:val="29CA4207"/>
    <w:rsid w:val="29D86CB4"/>
    <w:rsid w:val="29EE6E2D"/>
    <w:rsid w:val="29F50F47"/>
    <w:rsid w:val="2A0A1687"/>
    <w:rsid w:val="2A452747"/>
    <w:rsid w:val="2A4944AA"/>
    <w:rsid w:val="2A557F75"/>
    <w:rsid w:val="2A5D507B"/>
    <w:rsid w:val="2A5F7A43"/>
    <w:rsid w:val="2A685EFA"/>
    <w:rsid w:val="2A6F8108"/>
    <w:rsid w:val="2AB51687"/>
    <w:rsid w:val="2ABE312B"/>
    <w:rsid w:val="2AC102CE"/>
    <w:rsid w:val="2AC667BC"/>
    <w:rsid w:val="2ACB79F4"/>
    <w:rsid w:val="2AD21F0D"/>
    <w:rsid w:val="2AD406FB"/>
    <w:rsid w:val="2AD74B13"/>
    <w:rsid w:val="2AE65071"/>
    <w:rsid w:val="2AF04373"/>
    <w:rsid w:val="2AFC064F"/>
    <w:rsid w:val="2B230251"/>
    <w:rsid w:val="2B3E1065"/>
    <w:rsid w:val="2BA4069B"/>
    <w:rsid w:val="2BA75114"/>
    <w:rsid w:val="2BB870AC"/>
    <w:rsid w:val="2BBF78C1"/>
    <w:rsid w:val="2BD64CE6"/>
    <w:rsid w:val="2C2D64AC"/>
    <w:rsid w:val="2C503A00"/>
    <w:rsid w:val="2C5E32CE"/>
    <w:rsid w:val="2C6879B6"/>
    <w:rsid w:val="2C7359A9"/>
    <w:rsid w:val="2C7A599D"/>
    <w:rsid w:val="2C862667"/>
    <w:rsid w:val="2CA90E20"/>
    <w:rsid w:val="2CBE084C"/>
    <w:rsid w:val="2CD26D6B"/>
    <w:rsid w:val="2D034085"/>
    <w:rsid w:val="2D175CF0"/>
    <w:rsid w:val="2D686211"/>
    <w:rsid w:val="2D7527D3"/>
    <w:rsid w:val="2D81205D"/>
    <w:rsid w:val="2DC856AB"/>
    <w:rsid w:val="2DE071B6"/>
    <w:rsid w:val="2DE15A2A"/>
    <w:rsid w:val="2DE371DD"/>
    <w:rsid w:val="2DF063DF"/>
    <w:rsid w:val="2DF50A67"/>
    <w:rsid w:val="2E076DEF"/>
    <w:rsid w:val="2E1A39AF"/>
    <w:rsid w:val="2E1B7727"/>
    <w:rsid w:val="2E222864"/>
    <w:rsid w:val="2E30520F"/>
    <w:rsid w:val="2E426A62"/>
    <w:rsid w:val="2E5D564A"/>
    <w:rsid w:val="2E704C40"/>
    <w:rsid w:val="2E75341B"/>
    <w:rsid w:val="2E7539FB"/>
    <w:rsid w:val="2E771335"/>
    <w:rsid w:val="2E797950"/>
    <w:rsid w:val="2E7D6578"/>
    <w:rsid w:val="2E870919"/>
    <w:rsid w:val="2EA77363"/>
    <w:rsid w:val="2EAE2F99"/>
    <w:rsid w:val="2EB201EE"/>
    <w:rsid w:val="2EB61ABF"/>
    <w:rsid w:val="2EC60481"/>
    <w:rsid w:val="2EC96F26"/>
    <w:rsid w:val="2EDD780D"/>
    <w:rsid w:val="2EE5258C"/>
    <w:rsid w:val="2EEC2927"/>
    <w:rsid w:val="2EF27CC1"/>
    <w:rsid w:val="2EFF34CE"/>
    <w:rsid w:val="2F072892"/>
    <w:rsid w:val="2F3E547B"/>
    <w:rsid w:val="2F586D2B"/>
    <w:rsid w:val="2F5A2159"/>
    <w:rsid w:val="2F8D6403"/>
    <w:rsid w:val="2F91042A"/>
    <w:rsid w:val="2F9133B4"/>
    <w:rsid w:val="2FBC7BBE"/>
    <w:rsid w:val="2FDE0A0C"/>
    <w:rsid w:val="2FEF6776"/>
    <w:rsid w:val="30222A3E"/>
    <w:rsid w:val="30232009"/>
    <w:rsid w:val="303375CD"/>
    <w:rsid w:val="303B5E5F"/>
    <w:rsid w:val="30417E57"/>
    <w:rsid w:val="30477DAC"/>
    <w:rsid w:val="306233EC"/>
    <w:rsid w:val="30BF131F"/>
    <w:rsid w:val="30C23E8A"/>
    <w:rsid w:val="30CB0233"/>
    <w:rsid w:val="30D5114E"/>
    <w:rsid w:val="30DC44D4"/>
    <w:rsid w:val="30FC1F4D"/>
    <w:rsid w:val="3103135B"/>
    <w:rsid w:val="310C1CD2"/>
    <w:rsid w:val="3122656F"/>
    <w:rsid w:val="31330BF0"/>
    <w:rsid w:val="31361F63"/>
    <w:rsid w:val="31560621"/>
    <w:rsid w:val="315C42DF"/>
    <w:rsid w:val="316D64E1"/>
    <w:rsid w:val="318B24CE"/>
    <w:rsid w:val="31905D36"/>
    <w:rsid w:val="31A041CB"/>
    <w:rsid w:val="31B42AAB"/>
    <w:rsid w:val="31DC0F7C"/>
    <w:rsid w:val="31DC1C80"/>
    <w:rsid w:val="31E809B9"/>
    <w:rsid w:val="31E94182"/>
    <w:rsid w:val="31FB7654"/>
    <w:rsid w:val="32094252"/>
    <w:rsid w:val="32146851"/>
    <w:rsid w:val="32425283"/>
    <w:rsid w:val="32462DCA"/>
    <w:rsid w:val="3252168B"/>
    <w:rsid w:val="32607DFF"/>
    <w:rsid w:val="32614B36"/>
    <w:rsid w:val="326A47D9"/>
    <w:rsid w:val="32800C18"/>
    <w:rsid w:val="32820142"/>
    <w:rsid w:val="328874D7"/>
    <w:rsid w:val="32B465D6"/>
    <w:rsid w:val="32CC5F08"/>
    <w:rsid w:val="32D81743"/>
    <w:rsid w:val="32DD1941"/>
    <w:rsid w:val="33061D2F"/>
    <w:rsid w:val="3307729B"/>
    <w:rsid w:val="3338457A"/>
    <w:rsid w:val="333E32BD"/>
    <w:rsid w:val="33436A97"/>
    <w:rsid w:val="33552D94"/>
    <w:rsid w:val="33596D28"/>
    <w:rsid w:val="335B2805"/>
    <w:rsid w:val="33746760"/>
    <w:rsid w:val="33841118"/>
    <w:rsid w:val="338A38E1"/>
    <w:rsid w:val="33904A8C"/>
    <w:rsid w:val="33B15CD8"/>
    <w:rsid w:val="33B71E0E"/>
    <w:rsid w:val="33BB353F"/>
    <w:rsid w:val="33BEA39F"/>
    <w:rsid w:val="33BF2903"/>
    <w:rsid w:val="33D33712"/>
    <w:rsid w:val="33F64577"/>
    <w:rsid w:val="34154CCC"/>
    <w:rsid w:val="341721B5"/>
    <w:rsid w:val="34314A39"/>
    <w:rsid w:val="346F3344"/>
    <w:rsid w:val="34735E7F"/>
    <w:rsid w:val="347F2FC4"/>
    <w:rsid w:val="34CC0FF0"/>
    <w:rsid w:val="34E15227"/>
    <w:rsid w:val="34EC61DB"/>
    <w:rsid w:val="35284DBE"/>
    <w:rsid w:val="357E0CC8"/>
    <w:rsid w:val="3581089D"/>
    <w:rsid w:val="359A6072"/>
    <w:rsid w:val="35A85D44"/>
    <w:rsid w:val="35B450B9"/>
    <w:rsid w:val="35EC16B8"/>
    <w:rsid w:val="364F1281"/>
    <w:rsid w:val="36624145"/>
    <w:rsid w:val="36650D65"/>
    <w:rsid w:val="366B11D8"/>
    <w:rsid w:val="36760A6F"/>
    <w:rsid w:val="36981915"/>
    <w:rsid w:val="36AA2043"/>
    <w:rsid w:val="36AB46D6"/>
    <w:rsid w:val="36CC7811"/>
    <w:rsid w:val="36DA23B5"/>
    <w:rsid w:val="36E40D8F"/>
    <w:rsid w:val="36F939EA"/>
    <w:rsid w:val="36FBD5F5"/>
    <w:rsid w:val="36FD63F6"/>
    <w:rsid w:val="3707444E"/>
    <w:rsid w:val="370E1E2D"/>
    <w:rsid w:val="371A4A20"/>
    <w:rsid w:val="3720190B"/>
    <w:rsid w:val="373A6E70"/>
    <w:rsid w:val="37424F12"/>
    <w:rsid w:val="374E7A28"/>
    <w:rsid w:val="375F35F1"/>
    <w:rsid w:val="37675342"/>
    <w:rsid w:val="3793C841"/>
    <w:rsid w:val="379D4CDE"/>
    <w:rsid w:val="37B63C1C"/>
    <w:rsid w:val="37CE1367"/>
    <w:rsid w:val="37DC7BE2"/>
    <w:rsid w:val="37E142B1"/>
    <w:rsid w:val="37EC177B"/>
    <w:rsid w:val="38097CA3"/>
    <w:rsid w:val="38183D07"/>
    <w:rsid w:val="382947EF"/>
    <w:rsid w:val="38353194"/>
    <w:rsid w:val="38363E71"/>
    <w:rsid w:val="384346A0"/>
    <w:rsid w:val="38461A94"/>
    <w:rsid w:val="38471845"/>
    <w:rsid w:val="385E093C"/>
    <w:rsid w:val="387D7748"/>
    <w:rsid w:val="38A1526D"/>
    <w:rsid w:val="38A87E0A"/>
    <w:rsid w:val="38B11C18"/>
    <w:rsid w:val="38B467AE"/>
    <w:rsid w:val="38CF2DE3"/>
    <w:rsid w:val="392C086C"/>
    <w:rsid w:val="392D793A"/>
    <w:rsid w:val="3952692C"/>
    <w:rsid w:val="396B746D"/>
    <w:rsid w:val="39754159"/>
    <w:rsid w:val="39834E51"/>
    <w:rsid w:val="399A73C3"/>
    <w:rsid w:val="39BC6608"/>
    <w:rsid w:val="39E64AA3"/>
    <w:rsid w:val="39EB5330"/>
    <w:rsid w:val="3A0F3F57"/>
    <w:rsid w:val="3A312473"/>
    <w:rsid w:val="3A51701F"/>
    <w:rsid w:val="3A5D47D6"/>
    <w:rsid w:val="3A742699"/>
    <w:rsid w:val="3A835961"/>
    <w:rsid w:val="3A8B22E0"/>
    <w:rsid w:val="3A985FB9"/>
    <w:rsid w:val="3A9E6088"/>
    <w:rsid w:val="3AC23BAE"/>
    <w:rsid w:val="3ACE3A7F"/>
    <w:rsid w:val="3AD13164"/>
    <w:rsid w:val="3AD8510F"/>
    <w:rsid w:val="3AE30266"/>
    <w:rsid w:val="3AF74713"/>
    <w:rsid w:val="3B065D4F"/>
    <w:rsid w:val="3B0829A0"/>
    <w:rsid w:val="3B1139DC"/>
    <w:rsid w:val="3B117289"/>
    <w:rsid w:val="3B346891"/>
    <w:rsid w:val="3B3C3764"/>
    <w:rsid w:val="3B4F0A10"/>
    <w:rsid w:val="3B693ABE"/>
    <w:rsid w:val="3B77DF0D"/>
    <w:rsid w:val="3B80081E"/>
    <w:rsid w:val="3B8E32E7"/>
    <w:rsid w:val="3B914C5C"/>
    <w:rsid w:val="3B930F30"/>
    <w:rsid w:val="3BB95305"/>
    <w:rsid w:val="3BBA0E48"/>
    <w:rsid w:val="3BCC6D26"/>
    <w:rsid w:val="3BCD6DCC"/>
    <w:rsid w:val="3BE455FD"/>
    <w:rsid w:val="3BEA4228"/>
    <w:rsid w:val="3BFF1AFF"/>
    <w:rsid w:val="3C05794C"/>
    <w:rsid w:val="3C1E4146"/>
    <w:rsid w:val="3C3519B4"/>
    <w:rsid w:val="3C3733C5"/>
    <w:rsid w:val="3C385050"/>
    <w:rsid w:val="3C55269C"/>
    <w:rsid w:val="3C6F980C"/>
    <w:rsid w:val="3C7F0E81"/>
    <w:rsid w:val="3C7F5926"/>
    <w:rsid w:val="3C8637E7"/>
    <w:rsid w:val="3C93694A"/>
    <w:rsid w:val="3C9C0EE0"/>
    <w:rsid w:val="3CAA50D7"/>
    <w:rsid w:val="3CC23CE7"/>
    <w:rsid w:val="3CD20252"/>
    <w:rsid w:val="3D285F8D"/>
    <w:rsid w:val="3D685D41"/>
    <w:rsid w:val="3D69400B"/>
    <w:rsid w:val="3D734BA5"/>
    <w:rsid w:val="3D904158"/>
    <w:rsid w:val="3D9449B8"/>
    <w:rsid w:val="3D9E74F6"/>
    <w:rsid w:val="3D9F4BF2"/>
    <w:rsid w:val="3DAC011A"/>
    <w:rsid w:val="3DB7AAF3"/>
    <w:rsid w:val="3DC0372B"/>
    <w:rsid w:val="3DC70D32"/>
    <w:rsid w:val="3DD95F68"/>
    <w:rsid w:val="3DDD2815"/>
    <w:rsid w:val="3DE12692"/>
    <w:rsid w:val="3DE418E4"/>
    <w:rsid w:val="3DEB73A9"/>
    <w:rsid w:val="3DF77869"/>
    <w:rsid w:val="3DFEF21D"/>
    <w:rsid w:val="3E09042E"/>
    <w:rsid w:val="3E0F3719"/>
    <w:rsid w:val="3E2C3542"/>
    <w:rsid w:val="3E580BC5"/>
    <w:rsid w:val="3E8D0E76"/>
    <w:rsid w:val="3EAC1F9C"/>
    <w:rsid w:val="3EBA7D64"/>
    <w:rsid w:val="3EBD5FBC"/>
    <w:rsid w:val="3ED03C16"/>
    <w:rsid w:val="3EDF0A9C"/>
    <w:rsid w:val="3EED6576"/>
    <w:rsid w:val="3EF34B31"/>
    <w:rsid w:val="3EF357C9"/>
    <w:rsid w:val="3F00379E"/>
    <w:rsid w:val="3F3A22C0"/>
    <w:rsid w:val="3F561C07"/>
    <w:rsid w:val="3F5D7BBC"/>
    <w:rsid w:val="3F680126"/>
    <w:rsid w:val="3F6F6431"/>
    <w:rsid w:val="3F7A1395"/>
    <w:rsid w:val="3F7F1465"/>
    <w:rsid w:val="3F81269E"/>
    <w:rsid w:val="3F9A5F9A"/>
    <w:rsid w:val="3F9E2064"/>
    <w:rsid w:val="3FBA0E2B"/>
    <w:rsid w:val="3FD12D46"/>
    <w:rsid w:val="3FDF9E12"/>
    <w:rsid w:val="3FFEF72F"/>
    <w:rsid w:val="402A75A7"/>
    <w:rsid w:val="402D7572"/>
    <w:rsid w:val="40361FDC"/>
    <w:rsid w:val="40585914"/>
    <w:rsid w:val="405A40DF"/>
    <w:rsid w:val="4061721C"/>
    <w:rsid w:val="409A7B8F"/>
    <w:rsid w:val="409B2C7E"/>
    <w:rsid w:val="40AA494B"/>
    <w:rsid w:val="40C50312"/>
    <w:rsid w:val="40CA6103"/>
    <w:rsid w:val="40D65444"/>
    <w:rsid w:val="40D677C3"/>
    <w:rsid w:val="40EE536A"/>
    <w:rsid w:val="41214BFD"/>
    <w:rsid w:val="41230A69"/>
    <w:rsid w:val="412626FB"/>
    <w:rsid w:val="412C5A7C"/>
    <w:rsid w:val="4140562C"/>
    <w:rsid w:val="416309FC"/>
    <w:rsid w:val="41804541"/>
    <w:rsid w:val="418071C6"/>
    <w:rsid w:val="4191768D"/>
    <w:rsid w:val="41D27C8D"/>
    <w:rsid w:val="41E06866"/>
    <w:rsid w:val="41E719B6"/>
    <w:rsid w:val="41F1136F"/>
    <w:rsid w:val="420B3F64"/>
    <w:rsid w:val="42110351"/>
    <w:rsid w:val="42293D69"/>
    <w:rsid w:val="422A509B"/>
    <w:rsid w:val="42372BE7"/>
    <w:rsid w:val="4249586D"/>
    <w:rsid w:val="424B3B49"/>
    <w:rsid w:val="425467A3"/>
    <w:rsid w:val="42595782"/>
    <w:rsid w:val="42613D77"/>
    <w:rsid w:val="42633AC7"/>
    <w:rsid w:val="426357BD"/>
    <w:rsid w:val="429C5AC6"/>
    <w:rsid w:val="42A926F8"/>
    <w:rsid w:val="42CB69D2"/>
    <w:rsid w:val="42F07EAF"/>
    <w:rsid w:val="4300495F"/>
    <w:rsid w:val="4303324C"/>
    <w:rsid w:val="43183240"/>
    <w:rsid w:val="432019EB"/>
    <w:rsid w:val="437370B7"/>
    <w:rsid w:val="4374370A"/>
    <w:rsid w:val="4380617F"/>
    <w:rsid w:val="43897891"/>
    <w:rsid w:val="438D20D6"/>
    <w:rsid w:val="438F40A0"/>
    <w:rsid w:val="43A216DE"/>
    <w:rsid w:val="43AA1D10"/>
    <w:rsid w:val="43BA0A56"/>
    <w:rsid w:val="43C31F9B"/>
    <w:rsid w:val="43EC504E"/>
    <w:rsid w:val="440A3177"/>
    <w:rsid w:val="441403C0"/>
    <w:rsid w:val="441D104B"/>
    <w:rsid w:val="4426495C"/>
    <w:rsid w:val="44296D06"/>
    <w:rsid w:val="44376F46"/>
    <w:rsid w:val="44504467"/>
    <w:rsid w:val="445B3043"/>
    <w:rsid w:val="4476204E"/>
    <w:rsid w:val="447D62EB"/>
    <w:rsid w:val="44827761"/>
    <w:rsid w:val="448E6105"/>
    <w:rsid w:val="44922631"/>
    <w:rsid w:val="449F08A3"/>
    <w:rsid w:val="44AA3201"/>
    <w:rsid w:val="44B367E3"/>
    <w:rsid w:val="44B42583"/>
    <w:rsid w:val="44BF6C07"/>
    <w:rsid w:val="44D15C8C"/>
    <w:rsid w:val="44DA154E"/>
    <w:rsid w:val="44DD3E91"/>
    <w:rsid w:val="44FC39B7"/>
    <w:rsid w:val="44FE6A97"/>
    <w:rsid w:val="45094A71"/>
    <w:rsid w:val="45232CF2"/>
    <w:rsid w:val="45280009"/>
    <w:rsid w:val="455028B0"/>
    <w:rsid w:val="456641C8"/>
    <w:rsid w:val="456652D4"/>
    <w:rsid w:val="457C2119"/>
    <w:rsid w:val="45BD0600"/>
    <w:rsid w:val="45F31089"/>
    <w:rsid w:val="46040D75"/>
    <w:rsid w:val="46085428"/>
    <w:rsid w:val="463C34A4"/>
    <w:rsid w:val="464B69A4"/>
    <w:rsid w:val="465F6BBE"/>
    <w:rsid w:val="46830356"/>
    <w:rsid w:val="46946CC7"/>
    <w:rsid w:val="469B5C3B"/>
    <w:rsid w:val="46B406E9"/>
    <w:rsid w:val="46BD1232"/>
    <w:rsid w:val="46D7E7A2"/>
    <w:rsid w:val="46D93539"/>
    <w:rsid w:val="46E416BF"/>
    <w:rsid w:val="46F91E7C"/>
    <w:rsid w:val="4702100A"/>
    <w:rsid w:val="470F66FC"/>
    <w:rsid w:val="47131AD3"/>
    <w:rsid w:val="47190850"/>
    <w:rsid w:val="473D14C0"/>
    <w:rsid w:val="474D22A8"/>
    <w:rsid w:val="47601966"/>
    <w:rsid w:val="47794E4B"/>
    <w:rsid w:val="478163F5"/>
    <w:rsid w:val="479804F7"/>
    <w:rsid w:val="479F0046"/>
    <w:rsid w:val="47A83982"/>
    <w:rsid w:val="47AA594C"/>
    <w:rsid w:val="47B85DA2"/>
    <w:rsid w:val="47E726FC"/>
    <w:rsid w:val="47E97841"/>
    <w:rsid w:val="47F78B37"/>
    <w:rsid w:val="47FA7693"/>
    <w:rsid w:val="47FC1AAA"/>
    <w:rsid w:val="480908C5"/>
    <w:rsid w:val="48217291"/>
    <w:rsid w:val="48312A56"/>
    <w:rsid w:val="4831507B"/>
    <w:rsid w:val="48364E07"/>
    <w:rsid w:val="4852346C"/>
    <w:rsid w:val="48614C2A"/>
    <w:rsid w:val="487E6820"/>
    <w:rsid w:val="488C4279"/>
    <w:rsid w:val="48C169DB"/>
    <w:rsid w:val="48C94E35"/>
    <w:rsid w:val="48F3726F"/>
    <w:rsid w:val="48F532C1"/>
    <w:rsid w:val="48F873C3"/>
    <w:rsid w:val="49091C32"/>
    <w:rsid w:val="490F65FB"/>
    <w:rsid w:val="49361818"/>
    <w:rsid w:val="493C25D4"/>
    <w:rsid w:val="49494CF1"/>
    <w:rsid w:val="494B3ECF"/>
    <w:rsid w:val="494B63BF"/>
    <w:rsid w:val="4957463B"/>
    <w:rsid w:val="495B437A"/>
    <w:rsid w:val="495C1C7A"/>
    <w:rsid w:val="496164DE"/>
    <w:rsid w:val="49653F45"/>
    <w:rsid w:val="49AB51BE"/>
    <w:rsid w:val="49B40890"/>
    <w:rsid w:val="49C36851"/>
    <w:rsid w:val="49CF169A"/>
    <w:rsid w:val="49CF3448"/>
    <w:rsid w:val="49F20EE5"/>
    <w:rsid w:val="4A232912"/>
    <w:rsid w:val="4A26006C"/>
    <w:rsid w:val="4A4C39AD"/>
    <w:rsid w:val="4A504F5F"/>
    <w:rsid w:val="4A7162AD"/>
    <w:rsid w:val="4A7D3C0E"/>
    <w:rsid w:val="4A89557F"/>
    <w:rsid w:val="4A9E78BB"/>
    <w:rsid w:val="4AA15E16"/>
    <w:rsid w:val="4AC27BBF"/>
    <w:rsid w:val="4AE13778"/>
    <w:rsid w:val="4AE22767"/>
    <w:rsid w:val="4AED6BE2"/>
    <w:rsid w:val="4AFF1B0B"/>
    <w:rsid w:val="4B054C48"/>
    <w:rsid w:val="4B0E17F7"/>
    <w:rsid w:val="4B2A4D53"/>
    <w:rsid w:val="4B2D7714"/>
    <w:rsid w:val="4B442DC0"/>
    <w:rsid w:val="4B4439C2"/>
    <w:rsid w:val="4B490FD8"/>
    <w:rsid w:val="4B4F0A48"/>
    <w:rsid w:val="4B5C0D0B"/>
    <w:rsid w:val="4B653CD9"/>
    <w:rsid w:val="4B8507BD"/>
    <w:rsid w:val="4BB47AC2"/>
    <w:rsid w:val="4BC02BD8"/>
    <w:rsid w:val="4BD66AD1"/>
    <w:rsid w:val="4BDF2047"/>
    <w:rsid w:val="4C173849"/>
    <w:rsid w:val="4C293EFC"/>
    <w:rsid w:val="4C2F21F9"/>
    <w:rsid w:val="4C4023DB"/>
    <w:rsid w:val="4C484871"/>
    <w:rsid w:val="4C4A5008"/>
    <w:rsid w:val="4C5E0D5A"/>
    <w:rsid w:val="4C6457F2"/>
    <w:rsid w:val="4C68345B"/>
    <w:rsid w:val="4C71266F"/>
    <w:rsid w:val="4C7F22AD"/>
    <w:rsid w:val="4C83663A"/>
    <w:rsid w:val="4C8C0019"/>
    <w:rsid w:val="4CB16E35"/>
    <w:rsid w:val="4CB57BFB"/>
    <w:rsid w:val="4CBC3CCA"/>
    <w:rsid w:val="4CBF4276"/>
    <w:rsid w:val="4CC22B4C"/>
    <w:rsid w:val="4CD541BE"/>
    <w:rsid w:val="4CD945DE"/>
    <w:rsid w:val="4CE2382F"/>
    <w:rsid w:val="4D085A60"/>
    <w:rsid w:val="4D150294"/>
    <w:rsid w:val="4D1B5E23"/>
    <w:rsid w:val="4D313055"/>
    <w:rsid w:val="4D331F40"/>
    <w:rsid w:val="4D362A5B"/>
    <w:rsid w:val="4D397503"/>
    <w:rsid w:val="4D3E6D99"/>
    <w:rsid w:val="4D5C1497"/>
    <w:rsid w:val="4D6A6A23"/>
    <w:rsid w:val="4D6F483B"/>
    <w:rsid w:val="4DAB1AD6"/>
    <w:rsid w:val="4DCD798B"/>
    <w:rsid w:val="4DE97039"/>
    <w:rsid w:val="4E0455BC"/>
    <w:rsid w:val="4E1622A9"/>
    <w:rsid w:val="4E1E138D"/>
    <w:rsid w:val="4E2B0E69"/>
    <w:rsid w:val="4E2B509C"/>
    <w:rsid w:val="4E2E279D"/>
    <w:rsid w:val="4E3A10AC"/>
    <w:rsid w:val="4E47495A"/>
    <w:rsid w:val="4E640B01"/>
    <w:rsid w:val="4E72764C"/>
    <w:rsid w:val="4EA52E65"/>
    <w:rsid w:val="4EAB6112"/>
    <w:rsid w:val="4EAF6E7A"/>
    <w:rsid w:val="4EB031D0"/>
    <w:rsid w:val="4EB237FF"/>
    <w:rsid w:val="4EE82DDB"/>
    <w:rsid w:val="4EEE5D6E"/>
    <w:rsid w:val="4F2E0C11"/>
    <w:rsid w:val="4F3B09F2"/>
    <w:rsid w:val="4F3D0E54"/>
    <w:rsid w:val="4F4119DF"/>
    <w:rsid w:val="4F537068"/>
    <w:rsid w:val="4F702FD7"/>
    <w:rsid w:val="4F734876"/>
    <w:rsid w:val="4F735AD2"/>
    <w:rsid w:val="4F7675DA"/>
    <w:rsid w:val="4F79E403"/>
    <w:rsid w:val="4F7F491F"/>
    <w:rsid w:val="4FAA4451"/>
    <w:rsid w:val="4FAB421F"/>
    <w:rsid w:val="4FBE70F5"/>
    <w:rsid w:val="4FC60261"/>
    <w:rsid w:val="4FD17B04"/>
    <w:rsid w:val="4FD572DE"/>
    <w:rsid w:val="4FD6FDB7"/>
    <w:rsid w:val="4FE65064"/>
    <w:rsid w:val="4FF54339"/>
    <w:rsid w:val="4FFE9EA3"/>
    <w:rsid w:val="50016325"/>
    <w:rsid w:val="50267CB1"/>
    <w:rsid w:val="5028016B"/>
    <w:rsid w:val="50357E58"/>
    <w:rsid w:val="50627DEE"/>
    <w:rsid w:val="50642410"/>
    <w:rsid w:val="50766A19"/>
    <w:rsid w:val="50873996"/>
    <w:rsid w:val="508C2093"/>
    <w:rsid w:val="50975ECF"/>
    <w:rsid w:val="50AA4F24"/>
    <w:rsid w:val="50C07F8E"/>
    <w:rsid w:val="50F2034F"/>
    <w:rsid w:val="50F352E5"/>
    <w:rsid w:val="51143E36"/>
    <w:rsid w:val="51220301"/>
    <w:rsid w:val="512B3DB2"/>
    <w:rsid w:val="51456585"/>
    <w:rsid w:val="51742442"/>
    <w:rsid w:val="51767DCA"/>
    <w:rsid w:val="518131CA"/>
    <w:rsid w:val="518E5997"/>
    <w:rsid w:val="51AA02F7"/>
    <w:rsid w:val="51B122AB"/>
    <w:rsid w:val="51BB28BC"/>
    <w:rsid w:val="51EC339B"/>
    <w:rsid w:val="51ED2E34"/>
    <w:rsid w:val="51EE444A"/>
    <w:rsid w:val="51F14E4E"/>
    <w:rsid w:val="51FA302C"/>
    <w:rsid w:val="51FF0643"/>
    <w:rsid w:val="52102850"/>
    <w:rsid w:val="52380824"/>
    <w:rsid w:val="523C423A"/>
    <w:rsid w:val="52582329"/>
    <w:rsid w:val="526731FC"/>
    <w:rsid w:val="52695CC5"/>
    <w:rsid w:val="5294522F"/>
    <w:rsid w:val="529E28BF"/>
    <w:rsid w:val="52AE2D53"/>
    <w:rsid w:val="52AF000B"/>
    <w:rsid w:val="52CD27D2"/>
    <w:rsid w:val="52D37DC3"/>
    <w:rsid w:val="52D57A04"/>
    <w:rsid w:val="52D84837"/>
    <w:rsid w:val="52E31FA4"/>
    <w:rsid w:val="52F13372"/>
    <w:rsid w:val="53013A3B"/>
    <w:rsid w:val="530F3324"/>
    <w:rsid w:val="53147EE3"/>
    <w:rsid w:val="532B497C"/>
    <w:rsid w:val="533407C0"/>
    <w:rsid w:val="534300E5"/>
    <w:rsid w:val="534D60B9"/>
    <w:rsid w:val="535A067F"/>
    <w:rsid w:val="537A1792"/>
    <w:rsid w:val="537D36C3"/>
    <w:rsid w:val="539C13A0"/>
    <w:rsid w:val="539E73B8"/>
    <w:rsid w:val="53B72340"/>
    <w:rsid w:val="53E758D1"/>
    <w:rsid w:val="54226384"/>
    <w:rsid w:val="54461AD3"/>
    <w:rsid w:val="54581E64"/>
    <w:rsid w:val="547F1F0F"/>
    <w:rsid w:val="54A54F3B"/>
    <w:rsid w:val="54B41BB8"/>
    <w:rsid w:val="54B566C2"/>
    <w:rsid w:val="54C17E31"/>
    <w:rsid w:val="54DB5277"/>
    <w:rsid w:val="54E56216"/>
    <w:rsid w:val="54F32D2F"/>
    <w:rsid w:val="54FF2231"/>
    <w:rsid w:val="55276BFF"/>
    <w:rsid w:val="55316776"/>
    <w:rsid w:val="55537F91"/>
    <w:rsid w:val="5568105C"/>
    <w:rsid w:val="556D551F"/>
    <w:rsid w:val="557C08CC"/>
    <w:rsid w:val="557C6727"/>
    <w:rsid w:val="55D75AAE"/>
    <w:rsid w:val="55FEF30D"/>
    <w:rsid w:val="561511DE"/>
    <w:rsid w:val="562D2202"/>
    <w:rsid w:val="5633291A"/>
    <w:rsid w:val="56372AA1"/>
    <w:rsid w:val="56702E11"/>
    <w:rsid w:val="56A21C1F"/>
    <w:rsid w:val="56B91708"/>
    <w:rsid w:val="56C105B6"/>
    <w:rsid w:val="56D77DE0"/>
    <w:rsid w:val="56DC0C34"/>
    <w:rsid w:val="56FFA17D"/>
    <w:rsid w:val="570F4AFD"/>
    <w:rsid w:val="57396B1E"/>
    <w:rsid w:val="576A0140"/>
    <w:rsid w:val="57757B5A"/>
    <w:rsid w:val="578C4726"/>
    <w:rsid w:val="579B0CA5"/>
    <w:rsid w:val="57A7CB89"/>
    <w:rsid w:val="57AF48B9"/>
    <w:rsid w:val="57CF0AFC"/>
    <w:rsid w:val="57D46F83"/>
    <w:rsid w:val="57D91936"/>
    <w:rsid w:val="57E07C1B"/>
    <w:rsid w:val="57F86814"/>
    <w:rsid w:val="57F87DFB"/>
    <w:rsid w:val="57F87F1D"/>
    <w:rsid w:val="5804586A"/>
    <w:rsid w:val="5808707F"/>
    <w:rsid w:val="582364BD"/>
    <w:rsid w:val="58250057"/>
    <w:rsid w:val="582E57DE"/>
    <w:rsid w:val="583019E9"/>
    <w:rsid w:val="584E0089"/>
    <w:rsid w:val="5857796A"/>
    <w:rsid w:val="585A4825"/>
    <w:rsid w:val="586653F6"/>
    <w:rsid w:val="5866766D"/>
    <w:rsid w:val="5875460E"/>
    <w:rsid w:val="587E1A6D"/>
    <w:rsid w:val="58845D9B"/>
    <w:rsid w:val="58884175"/>
    <w:rsid w:val="589E6E07"/>
    <w:rsid w:val="589F56BD"/>
    <w:rsid w:val="58D61F30"/>
    <w:rsid w:val="58D650BC"/>
    <w:rsid w:val="58DA69E9"/>
    <w:rsid w:val="58DB485D"/>
    <w:rsid w:val="58E50E4C"/>
    <w:rsid w:val="58EF76ED"/>
    <w:rsid w:val="58FE78A6"/>
    <w:rsid w:val="591B58C0"/>
    <w:rsid w:val="59204F48"/>
    <w:rsid w:val="59234ECA"/>
    <w:rsid w:val="592C7EEA"/>
    <w:rsid w:val="59311AAC"/>
    <w:rsid w:val="595D3DAB"/>
    <w:rsid w:val="59630C8B"/>
    <w:rsid w:val="59832184"/>
    <w:rsid w:val="59840B1E"/>
    <w:rsid w:val="5991283D"/>
    <w:rsid w:val="59BB12F3"/>
    <w:rsid w:val="59E545C2"/>
    <w:rsid w:val="59F15981"/>
    <w:rsid w:val="5A135FB5"/>
    <w:rsid w:val="5A143F7E"/>
    <w:rsid w:val="5A245A88"/>
    <w:rsid w:val="5A474654"/>
    <w:rsid w:val="5A494B51"/>
    <w:rsid w:val="5A5874BC"/>
    <w:rsid w:val="5A5B2A38"/>
    <w:rsid w:val="5A5F5751"/>
    <w:rsid w:val="5A6D3BE8"/>
    <w:rsid w:val="5A7B4428"/>
    <w:rsid w:val="5A822399"/>
    <w:rsid w:val="5A861733"/>
    <w:rsid w:val="5A971D60"/>
    <w:rsid w:val="5AB77B5E"/>
    <w:rsid w:val="5AFC09A4"/>
    <w:rsid w:val="5B0040AB"/>
    <w:rsid w:val="5B271D93"/>
    <w:rsid w:val="5B3369D1"/>
    <w:rsid w:val="5B4041A6"/>
    <w:rsid w:val="5B5E462C"/>
    <w:rsid w:val="5B721E85"/>
    <w:rsid w:val="5B785A54"/>
    <w:rsid w:val="5B7F628C"/>
    <w:rsid w:val="5B8A5421"/>
    <w:rsid w:val="5BB823D4"/>
    <w:rsid w:val="5BBA4B39"/>
    <w:rsid w:val="5BCF22CA"/>
    <w:rsid w:val="5BDB5C7C"/>
    <w:rsid w:val="5BE051BB"/>
    <w:rsid w:val="5BE307B4"/>
    <w:rsid w:val="5BEC8E18"/>
    <w:rsid w:val="5BFA29B5"/>
    <w:rsid w:val="5BFB2CDD"/>
    <w:rsid w:val="5BFF5101"/>
    <w:rsid w:val="5BFF5DA6"/>
    <w:rsid w:val="5C0B7B68"/>
    <w:rsid w:val="5C0F001B"/>
    <w:rsid w:val="5C0F7B42"/>
    <w:rsid w:val="5C1D6295"/>
    <w:rsid w:val="5C1F025F"/>
    <w:rsid w:val="5C212A57"/>
    <w:rsid w:val="5C221A1D"/>
    <w:rsid w:val="5C276E7C"/>
    <w:rsid w:val="5C306DDF"/>
    <w:rsid w:val="5C49575C"/>
    <w:rsid w:val="5C5163A2"/>
    <w:rsid w:val="5C71571B"/>
    <w:rsid w:val="5C902F0B"/>
    <w:rsid w:val="5C9108EC"/>
    <w:rsid w:val="5C9E4B22"/>
    <w:rsid w:val="5CCA3BE2"/>
    <w:rsid w:val="5CD945A0"/>
    <w:rsid w:val="5CEB6396"/>
    <w:rsid w:val="5D0A16EE"/>
    <w:rsid w:val="5D0F5894"/>
    <w:rsid w:val="5D215608"/>
    <w:rsid w:val="5D316B4B"/>
    <w:rsid w:val="5D464531"/>
    <w:rsid w:val="5D5E11BD"/>
    <w:rsid w:val="5D7C032C"/>
    <w:rsid w:val="5D7DD925"/>
    <w:rsid w:val="5D7F1968"/>
    <w:rsid w:val="5D8178C4"/>
    <w:rsid w:val="5D89316A"/>
    <w:rsid w:val="5D8D6786"/>
    <w:rsid w:val="5D920543"/>
    <w:rsid w:val="5DA628A5"/>
    <w:rsid w:val="5DAE0909"/>
    <w:rsid w:val="5DB774F4"/>
    <w:rsid w:val="5DCE5468"/>
    <w:rsid w:val="5DD659BA"/>
    <w:rsid w:val="5DD94117"/>
    <w:rsid w:val="5DDB1F64"/>
    <w:rsid w:val="5DE93F98"/>
    <w:rsid w:val="5DED33F3"/>
    <w:rsid w:val="5DF744ED"/>
    <w:rsid w:val="5DF76A04"/>
    <w:rsid w:val="5DF78518"/>
    <w:rsid w:val="5DFF482E"/>
    <w:rsid w:val="5E136C47"/>
    <w:rsid w:val="5E3F5734"/>
    <w:rsid w:val="5E3F660E"/>
    <w:rsid w:val="5E531B9F"/>
    <w:rsid w:val="5E5B0A9F"/>
    <w:rsid w:val="5E5F1019"/>
    <w:rsid w:val="5E7256C5"/>
    <w:rsid w:val="5E7F05F4"/>
    <w:rsid w:val="5E916AC6"/>
    <w:rsid w:val="5E9345EC"/>
    <w:rsid w:val="5EA77881"/>
    <w:rsid w:val="5EB95E94"/>
    <w:rsid w:val="5EBD634B"/>
    <w:rsid w:val="5ED42E29"/>
    <w:rsid w:val="5EDC51F8"/>
    <w:rsid w:val="5EDEA75E"/>
    <w:rsid w:val="5F0D61FF"/>
    <w:rsid w:val="5F2E1BCB"/>
    <w:rsid w:val="5F682CF2"/>
    <w:rsid w:val="5F7717D3"/>
    <w:rsid w:val="5F7DDA5D"/>
    <w:rsid w:val="5F857143"/>
    <w:rsid w:val="5F88611B"/>
    <w:rsid w:val="5F8E45DE"/>
    <w:rsid w:val="5F932E39"/>
    <w:rsid w:val="5F936F6A"/>
    <w:rsid w:val="5FAA64D9"/>
    <w:rsid w:val="5FB63EEA"/>
    <w:rsid w:val="5FD4BBD0"/>
    <w:rsid w:val="5FDFF3D6"/>
    <w:rsid w:val="5FE719B1"/>
    <w:rsid w:val="5FFE4272"/>
    <w:rsid w:val="5FFF15DE"/>
    <w:rsid w:val="5FFF2238"/>
    <w:rsid w:val="5FFF6945"/>
    <w:rsid w:val="60101288"/>
    <w:rsid w:val="60200102"/>
    <w:rsid w:val="60265F21"/>
    <w:rsid w:val="60327258"/>
    <w:rsid w:val="603D5158"/>
    <w:rsid w:val="60510E15"/>
    <w:rsid w:val="605C2ABC"/>
    <w:rsid w:val="60AB793D"/>
    <w:rsid w:val="60BB42CE"/>
    <w:rsid w:val="60BE1A43"/>
    <w:rsid w:val="60C5514D"/>
    <w:rsid w:val="60EB3387"/>
    <w:rsid w:val="60F2230F"/>
    <w:rsid w:val="60FB46CB"/>
    <w:rsid w:val="611C7F1C"/>
    <w:rsid w:val="61217D30"/>
    <w:rsid w:val="612F3D8C"/>
    <w:rsid w:val="615006E0"/>
    <w:rsid w:val="616109D2"/>
    <w:rsid w:val="6161292D"/>
    <w:rsid w:val="616B77FB"/>
    <w:rsid w:val="617C2DFF"/>
    <w:rsid w:val="61AC1ECA"/>
    <w:rsid w:val="61E33F1D"/>
    <w:rsid w:val="61E34130"/>
    <w:rsid w:val="61E37639"/>
    <w:rsid w:val="61F068A2"/>
    <w:rsid w:val="6208709F"/>
    <w:rsid w:val="62196812"/>
    <w:rsid w:val="621F3DC7"/>
    <w:rsid w:val="62454F82"/>
    <w:rsid w:val="62532DD8"/>
    <w:rsid w:val="628A03FC"/>
    <w:rsid w:val="629F5C38"/>
    <w:rsid w:val="62A41D6A"/>
    <w:rsid w:val="62AA5F1D"/>
    <w:rsid w:val="62B45998"/>
    <w:rsid w:val="62C16C5E"/>
    <w:rsid w:val="62D95D35"/>
    <w:rsid w:val="62E14DA4"/>
    <w:rsid w:val="62E55EDB"/>
    <w:rsid w:val="62FA5D80"/>
    <w:rsid w:val="63065A9F"/>
    <w:rsid w:val="63133F4E"/>
    <w:rsid w:val="632C14B8"/>
    <w:rsid w:val="63346B19"/>
    <w:rsid w:val="63437BCE"/>
    <w:rsid w:val="634C7460"/>
    <w:rsid w:val="634F5408"/>
    <w:rsid w:val="639D7CBB"/>
    <w:rsid w:val="63A23566"/>
    <w:rsid w:val="63C77DF8"/>
    <w:rsid w:val="63D63DC8"/>
    <w:rsid w:val="63E776F7"/>
    <w:rsid w:val="640E2967"/>
    <w:rsid w:val="642108EC"/>
    <w:rsid w:val="643F0D73"/>
    <w:rsid w:val="644020C0"/>
    <w:rsid w:val="64430BC9"/>
    <w:rsid w:val="6447583A"/>
    <w:rsid w:val="645325D5"/>
    <w:rsid w:val="645C1010"/>
    <w:rsid w:val="648A4268"/>
    <w:rsid w:val="648B6A4F"/>
    <w:rsid w:val="64A77044"/>
    <w:rsid w:val="64AD1F05"/>
    <w:rsid w:val="64AF5EF8"/>
    <w:rsid w:val="64BE613B"/>
    <w:rsid w:val="64BF74D6"/>
    <w:rsid w:val="64CA25E2"/>
    <w:rsid w:val="64CC5C0C"/>
    <w:rsid w:val="64E866D0"/>
    <w:rsid w:val="64EE1ECF"/>
    <w:rsid w:val="64F766B4"/>
    <w:rsid w:val="6504572E"/>
    <w:rsid w:val="65050C8B"/>
    <w:rsid w:val="65197815"/>
    <w:rsid w:val="651D7774"/>
    <w:rsid w:val="65233BE3"/>
    <w:rsid w:val="6537227D"/>
    <w:rsid w:val="65551EBA"/>
    <w:rsid w:val="65687B32"/>
    <w:rsid w:val="656C16FF"/>
    <w:rsid w:val="6589499B"/>
    <w:rsid w:val="659A0ECB"/>
    <w:rsid w:val="65B84124"/>
    <w:rsid w:val="65D93C67"/>
    <w:rsid w:val="65DB11C4"/>
    <w:rsid w:val="65E300E9"/>
    <w:rsid w:val="65F0E1C9"/>
    <w:rsid w:val="65FA65DE"/>
    <w:rsid w:val="65FD5241"/>
    <w:rsid w:val="66082310"/>
    <w:rsid w:val="66145AE8"/>
    <w:rsid w:val="662B5A52"/>
    <w:rsid w:val="66373AC9"/>
    <w:rsid w:val="664D7777"/>
    <w:rsid w:val="66731DDF"/>
    <w:rsid w:val="667FECCD"/>
    <w:rsid w:val="668041FB"/>
    <w:rsid w:val="668974B7"/>
    <w:rsid w:val="6692162D"/>
    <w:rsid w:val="669C24AC"/>
    <w:rsid w:val="669F2E0B"/>
    <w:rsid w:val="66B65B47"/>
    <w:rsid w:val="66BB5605"/>
    <w:rsid w:val="66BD4D07"/>
    <w:rsid w:val="66C16402"/>
    <w:rsid w:val="66C7577B"/>
    <w:rsid w:val="66DB1A39"/>
    <w:rsid w:val="66FD9F25"/>
    <w:rsid w:val="670D6F06"/>
    <w:rsid w:val="67120167"/>
    <w:rsid w:val="671F4EC7"/>
    <w:rsid w:val="672A44C1"/>
    <w:rsid w:val="67686578"/>
    <w:rsid w:val="678307D3"/>
    <w:rsid w:val="678371C8"/>
    <w:rsid w:val="67933287"/>
    <w:rsid w:val="679A064C"/>
    <w:rsid w:val="679F04A6"/>
    <w:rsid w:val="67A7790A"/>
    <w:rsid w:val="67D372D2"/>
    <w:rsid w:val="67D85766"/>
    <w:rsid w:val="67DA7730"/>
    <w:rsid w:val="67EE6E63"/>
    <w:rsid w:val="681E0BF5"/>
    <w:rsid w:val="681E2A86"/>
    <w:rsid w:val="681E541D"/>
    <w:rsid w:val="68546EEF"/>
    <w:rsid w:val="686D5EAE"/>
    <w:rsid w:val="6876296E"/>
    <w:rsid w:val="68794A51"/>
    <w:rsid w:val="688A141F"/>
    <w:rsid w:val="688D7BB1"/>
    <w:rsid w:val="68906D27"/>
    <w:rsid w:val="68996CA3"/>
    <w:rsid w:val="689D1AB8"/>
    <w:rsid w:val="68A80483"/>
    <w:rsid w:val="68AA2144"/>
    <w:rsid w:val="68BA3505"/>
    <w:rsid w:val="68C72A8E"/>
    <w:rsid w:val="692769A5"/>
    <w:rsid w:val="693D7F76"/>
    <w:rsid w:val="695A0B28"/>
    <w:rsid w:val="696F212F"/>
    <w:rsid w:val="69752D81"/>
    <w:rsid w:val="69791C0D"/>
    <w:rsid w:val="698C7C04"/>
    <w:rsid w:val="69A1759A"/>
    <w:rsid w:val="69A2427D"/>
    <w:rsid w:val="69A433E0"/>
    <w:rsid w:val="69AB21E9"/>
    <w:rsid w:val="69C441F4"/>
    <w:rsid w:val="69D106BF"/>
    <w:rsid w:val="69DA2876"/>
    <w:rsid w:val="69E057C4"/>
    <w:rsid w:val="69E623BC"/>
    <w:rsid w:val="69EE5696"/>
    <w:rsid w:val="69FD3262"/>
    <w:rsid w:val="6A2E26D9"/>
    <w:rsid w:val="6A332318"/>
    <w:rsid w:val="6A3D4E3D"/>
    <w:rsid w:val="6A5970F9"/>
    <w:rsid w:val="6A664361"/>
    <w:rsid w:val="6A762A38"/>
    <w:rsid w:val="6A8A218E"/>
    <w:rsid w:val="6AAB60E7"/>
    <w:rsid w:val="6AB16195"/>
    <w:rsid w:val="6AE3351A"/>
    <w:rsid w:val="6AF745ED"/>
    <w:rsid w:val="6AFB3D83"/>
    <w:rsid w:val="6B014FD4"/>
    <w:rsid w:val="6B0845B4"/>
    <w:rsid w:val="6B171F35"/>
    <w:rsid w:val="6B1A36D4"/>
    <w:rsid w:val="6B3E7FD6"/>
    <w:rsid w:val="6B566EC8"/>
    <w:rsid w:val="6B585AED"/>
    <w:rsid w:val="6B72A050"/>
    <w:rsid w:val="6B7BF6E8"/>
    <w:rsid w:val="6B895CB9"/>
    <w:rsid w:val="6BAB60B3"/>
    <w:rsid w:val="6BAB6F14"/>
    <w:rsid w:val="6BAD1EE5"/>
    <w:rsid w:val="6BB9504A"/>
    <w:rsid w:val="6BBE353D"/>
    <w:rsid w:val="6BD009CF"/>
    <w:rsid w:val="6BEB4F4D"/>
    <w:rsid w:val="6BFC5A17"/>
    <w:rsid w:val="6C0D1EB9"/>
    <w:rsid w:val="6C4C227F"/>
    <w:rsid w:val="6C5D623A"/>
    <w:rsid w:val="6C5F4979"/>
    <w:rsid w:val="6C6658B0"/>
    <w:rsid w:val="6C6960F0"/>
    <w:rsid w:val="6C77379F"/>
    <w:rsid w:val="6C8769E4"/>
    <w:rsid w:val="6CA7253A"/>
    <w:rsid w:val="6CAD720F"/>
    <w:rsid w:val="6CD23145"/>
    <w:rsid w:val="6D0D72DC"/>
    <w:rsid w:val="6D142D9C"/>
    <w:rsid w:val="6D3A3329"/>
    <w:rsid w:val="6D3D25DD"/>
    <w:rsid w:val="6D8E1929"/>
    <w:rsid w:val="6D9263B7"/>
    <w:rsid w:val="6D9E6246"/>
    <w:rsid w:val="6DDE7A4E"/>
    <w:rsid w:val="6DDF7BF2"/>
    <w:rsid w:val="6DF3512C"/>
    <w:rsid w:val="6E02787C"/>
    <w:rsid w:val="6E0513F3"/>
    <w:rsid w:val="6E0D1675"/>
    <w:rsid w:val="6E0E4494"/>
    <w:rsid w:val="6E0E5A3E"/>
    <w:rsid w:val="6E235F73"/>
    <w:rsid w:val="6E510020"/>
    <w:rsid w:val="6E573418"/>
    <w:rsid w:val="6E7F0240"/>
    <w:rsid w:val="6E9C74A7"/>
    <w:rsid w:val="6EB16B19"/>
    <w:rsid w:val="6EBC36EB"/>
    <w:rsid w:val="6EBE1799"/>
    <w:rsid w:val="6EBE3907"/>
    <w:rsid w:val="6EC13C6B"/>
    <w:rsid w:val="6EC52B6C"/>
    <w:rsid w:val="6EC66036"/>
    <w:rsid w:val="6ED734E2"/>
    <w:rsid w:val="6ED84BE7"/>
    <w:rsid w:val="6EDB92C7"/>
    <w:rsid w:val="6EEA43C8"/>
    <w:rsid w:val="6EEB5F4F"/>
    <w:rsid w:val="6EF77BA4"/>
    <w:rsid w:val="6F1B7925"/>
    <w:rsid w:val="6F1C69CF"/>
    <w:rsid w:val="6F1D495B"/>
    <w:rsid w:val="6F2F1CC1"/>
    <w:rsid w:val="6F381CBF"/>
    <w:rsid w:val="6F7E124B"/>
    <w:rsid w:val="6F836E09"/>
    <w:rsid w:val="6F9967C3"/>
    <w:rsid w:val="6FA86872"/>
    <w:rsid w:val="6FAFBD1F"/>
    <w:rsid w:val="6FBB39A3"/>
    <w:rsid w:val="6FBFB391"/>
    <w:rsid w:val="6FFE28A4"/>
    <w:rsid w:val="6FFFEFF9"/>
    <w:rsid w:val="700C6C77"/>
    <w:rsid w:val="700F5C96"/>
    <w:rsid w:val="701632CF"/>
    <w:rsid w:val="703B2D36"/>
    <w:rsid w:val="70485252"/>
    <w:rsid w:val="704F2C5F"/>
    <w:rsid w:val="70565386"/>
    <w:rsid w:val="705C727D"/>
    <w:rsid w:val="707A1AB0"/>
    <w:rsid w:val="707E2B59"/>
    <w:rsid w:val="70A24B63"/>
    <w:rsid w:val="70A82C64"/>
    <w:rsid w:val="70C64CF5"/>
    <w:rsid w:val="70D8212E"/>
    <w:rsid w:val="70D82870"/>
    <w:rsid w:val="70DB0FFC"/>
    <w:rsid w:val="70DE203F"/>
    <w:rsid w:val="70DF68B2"/>
    <w:rsid w:val="70E247D3"/>
    <w:rsid w:val="70E4170B"/>
    <w:rsid w:val="70E76A1A"/>
    <w:rsid w:val="70F428B1"/>
    <w:rsid w:val="71063344"/>
    <w:rsid w:val="710E2B3D"/>
    <w:rsid w:val="711710AD"/>
    <w:rsid w:val="71202899"/>
    <w:rsid w:val="7132280E"/>
    <w:rsid w:val="71453E6C"/>
    <w:rsid w:val="7146408D"/>
    <w:rsid w:val="71491C3D"/>
    <w:rsid w:val="714E7FB6"/>
    <w:rsid w:val="71567E1D"/>
    <w:rsid w:val="71583563"/>
    <w:rsid w:val="71665B90"/>
    <w:rsid w:val="716A11BD"/>
    <w:rsid w:val="716B13F9"/>
    <w:rsid w:val="71744E0F"/>
    <w:rsid w:val="71881FAB"/>
    <w:rsid w:val="71AF05BA"/>
    <w:rsid w:val="71B50A30"/>
    <w:rsid w:val="71BB5EDC"/>
    <w:rsid w:val="71BFAEE2"/>
    <w:rsid w:val="71C02CD3"/>
    <w:rsid w:val="71DDD0FB"/>
    <w:rsid w:val="71E05015"/>
    <w:rsid w:val="71E77CAC"/>
    <w:rsid w:val="71FD350D"/>
    <w:rsid w:val="721646D6"/>
    <w:rsid w:val="7219323C"/>
    <w:rsid w:val="721C5512"/>
    <w:rsid w:val="722A4D96"/>
    <w:rsid w:val="7278E8DA"/>
    <w:rsid w:val="7290103C"/>
    <w:rsid w:val="72B45FBD"/>
    <w:rsid w:val="72B55021"/>
    <w:rsid w:val="72B79CDE"/>
    <w:rsid w:val="72C26316"/>
    <w:rsid w:val="72CC236B"/>
    <w:rsid w:val="72EF207F"/>
    <w:rsid w:val="72FD2525"/>
    <w:rsid w:val="73206938"/>
    <w:rsid w:val="732228BC"/>
    <w:rsid w:val="733A72D5"/>
    <w:rsid w:val="733B028F"/>
    <w:rsid w:val="73437E3A"/>
    <w:rsid w:val="73504D4A"/>
    <w:rsid w:val="73547CB3"/>
    <w:rsid w:val="735C6301"/>
    <w:rsid w:val="73662337"/>
    <w:rsid w:val="73694025"/>
    <w:rsid w:val="73997458"/>
    <w:rsid w:val="739A7DBC"/>
    <w:rsid w:val="73A4391C"/>
    <w:rsid w:val="73AC7712"/>
    <w:rsid w:val="73B17C48"/>
    <w:rsid w:val="73C37B3A"/>
    <w:rsid w:val="73E447D2"/>
    <w:rsid w:val="73E5397F"/>
    <w:rsid w:val="73EA70F6"/>
    <w:rsid w:val="73FB6A64"/>
    <w:rsid w:val="740021F6"/>
    <w:rsid w:val="740A4FCB"/>
    <w:rsid w:val="74204D84"/>
    <w:rsid w:val="74286703"/>
    <w:rsid w:val="74477C79"/>
    <w:rsid w:val="744E31D5"/>
    <w:rsid w:val="74601F20"/>
    <w:rsid w:val="746E33AE"/>
    <w:rsid w:val="748A7DE8"/>
    <w:rsid w:val="749A4B8E"/>
    <w:rsid w:val="74B135C7"/>
    <w:rsid w:val="74C432FA"/>
    <w:rsid w:val="74FE5806"/>
    <w:rsid w:val="75047910"/>
    <w:rsid w:val="751838B1"/>
    <w:rsid w:val="753863EE"/>
    <w:rsid w:val="753868BC"/>
    <w:rsid w:val="75526B58"/>
    <w:rsid w:val="7563404D"/>
    <w:rsid w:val="756E3266"/>
    <w:rsid w:val="75787FC9"/>
    <w:rsid w:val="757D58B1"/>
    <w:rsid w:val="759304D8"/>
    <w:rsid w:val="75A17E72"/>
    <w:rsid w:val="75A27EB4"/>
    <w:rsid w:val="75A72041"/>
    <w:rsid w:val="75A86788"/>
    <w:rsid w:val="75A90738"/>
    <w:rsid w:val="75B2106C"/>
    <w:rsid w:val="75D133D0"/>
    <w:rsid w:val="761330E9"/>
    <w:rsid w:val="761E6A3A"/>
    <w:rsid w:val="76283D5C"/>
    <w:rsid w:val="763E0C8B"/>
    <w:rsid w:val="76662108"/>
    <w:rsid w:val="766D6C75"/>
    <w:rsid w:val="76786F2E"/>
    <w:rsid w:val="76980A68"/>
    <w:rsid w:val="76A13434"/>
    <w:rsid w:val="76C84BF7"/>
    <w:rsid w:val="76CD2493"/>
    <w:rsid w:val="76D11CFE"/>
    <w:rsid w:val="76D15799"/>
    <w:rsid w:val="76EB2786"/>
    <w:rsid w:val="76EEFBC1"/>
    <w:rsid w:val="76F7B20F"/>
    <w:rsid w:val="77050950"/>
    <w:rsid w:val="770519A8"/>
    <w:rsid w:val="771C3BD8"/>
    <w:rsid w:val="7729325D"/>
    <w:rsid w:val="77336F69"/>
    <w:rsid w:val="77340161"/>
    <w:rsid w:val="775F5DE6"/>
    <w:rsid w:val="777603EA"/>
    <w:rsid w:val="777D507F"/>
    <w:rsid w:val="777E33C8"/>
    <w:rsid w:val="777FA9C9"/>
    <w:rsid w:val="77825B10"/>
    <w:rsid w:val="77933F75"/>
    <w:rsid w:val="77A318EC"/>
    <w:rsid w:val="77B45926"/>
    <w:rsid w:val="77C94015"/>
    <w:rsid w:val="77DE1301"/>
    <w:rsid w:val="77F13B3E"/>
    <w:rsid w:val="77F54804"/>
    <w:rsid w:val="7813087C"/>
    <w:rsid w:val="782E0CA9"/>
    <w:rsid w:val="78335DC9"/>
    <w:rsid w:val="784F5E82"/>
    <w:rsid w:val="78692D53"/>
    <w:rsid w:val="786D0135"/>
    <w:rsid w:val="786F4239"/>
    <w:rsid w:val="78743289"/>
    <w:rsid w:val="789B25C4"/>
    <w:rsid w:val="78C5508D"/>
    <w:rsid w:val="78E818E5"/>
    <w:rsid w:val="791B553C"/>
    <w:rsid w:val="793F76C2"/>
    <w:rsid w:val="794D2B8A"/>
    <w:rsid w:val="7953206C"/>
    <w:rsid w:val="7956298E"/>
    <w:rsid w:val="796C21B2"/>
    <w:rsid w:val="79797388"/>
    <w:rsid w:val="797D1430"/>
    <w:rsid w:val="797F1700"/>
    <w:rsid w:val="797F60D5"/>
    <w:rsid w:val="799A58A3"/>
    <w:rsid w:val="79D30D7D"/>
    <w:rsid w:val="79EF26F4"/>
    <w:rsid w:val="79FF16A0"/>
    <w:rsid w:val="7A3C5465"/>
    <w:rsid w:val="7A434E36"/>
    <w:rsid w:val="7A5A22C8"/>
    <w:rsid w:val="7A71383E"/>
    <w:rsid w:val="7A802B37"/>
    <w:rsid w:val="7A877999"/>
    <w:rsid w:val="7A9D052E"/>
    <w:rsid w:val="7AA664FD"/>
    <w:rsid w:val="7AAA12D7"/>
    <w:rsid w:val="7AB45BBF"/>
    <w:rsid w:val="7ADC6CB7"/>
    <w:rsid w:val="7ADE2C3C"/>
    <w:rsid w:val="7AFF5AF6"/>
    <w:rsid w:val="7B0D32E6"/>
    <w:rsid w:val="7B2D2DCC"/>
    <w:rsid w:val="7B3058F0"/>
    <w:rsid w:val="7B396895"/>
    <w:rsid w:val="7B7B394F"/>
    <w:rsid w:val="7B7C44FA"/>
    <w:rsid w:val="7B7CCD50"/>
    <w:rsid w:val="7B825CBD"/>
    <w:rsid w:val="7B9003DA"/>
    <w:rsid w:val="7B9620C7"/>
    <w:rsid w:val="7B9D6653"/>
    <w:rsid w:val="7BAA083D"/>
    <w:rsid w:val="7BAF8C46"/>
    <w:rsid w:val="7BB35E76"/>
    <w:rsid w:val="7BC5065A"/>
    <w:rsid w:val="7BC8355A"/>
    <w:rsid w:val="7BD24E35"/>
    <w:rsid w:val="7BE23A26"/>
    <w:rsid w:val="7BE6624C"/>
    <w:rsid w:val="7BEEE106"/>
    <w:rsid w:val="7BFFC5F5"/>
    <w:rsid w:val="7BFFF89D"/>
    <w:rsid w:val="7C067B3B"/>
    <w:rsid w:val="7C0C1E74"/>
    <w:rsid w:val="7C190EA3"/>
    <w:rsid w:val="7C2D09C7"/>
    <w:rsid w:val="7C580D43"/>
    <w:rsid w:val="7C8B58F6"/>
    <w:rsid w:val="7C8F1C56"/>
    <w:rsid w:val="7C952C6A"/>
    <w:rsid w:val="7CA52ABC"/>
    <w:rsid w:val="7CB7E8E5"/>
    <w:rsid w:val="7CE04A49"/>
    <w:rsid w:val="7CF90FDC"/>
    <w:rsid w:val="7CFB1883"/>
    <w:rsid w:val="7CFD0AD9"/>
    <w:rsid w:val="7CFF3AA6"/>
    <w:rsid w:val="7D136217"/>
    <w:rsid w:val="7D25618D"/>
    <w:rsid w:val="7D332259"/>
    <w:rsid w:val="7D3846C5"/>
    <w:rsid w:val="7D50212B"/>
    <w:rsid w:val="7D53DBA0"/>
    <w:rsid w:val="7D592767"/>
    <w:rsid w:val="7D5928AF"/>
    <w:rsid w:val="7D5FE1F5"/>
    <w:rsid w:val="7D6B16D3"/>
    <w:rsid w:val="7D784C4C"/>
    <w:rsid w:val="7D790677"/>
    <w:rsid w:val="7D9A52A5"/>
    <w:rsid w:val="7D9D293A"/>
    <w:rsid w:val="7DA902B6"/>
    <w:rsid w:val="7DB54D6B"/>
    <w:rsid w:val="7DBFA311"/>
    <w:rsid w:val="7DC04C9F"/>
    <w:rsid w:val="7DC46119"/>
    <w:rsid w:val="7DFE7F66"/>
    <w:rsid w:val="7DFF90E3"/>
    <w:rsid w:val="7E025DF5"/>
    <w:rsid w:val="7E262414"/>
    <w:rsid w:val="7E370FE0"/>
    <w:rsid w:val="7E375C98"/>
    <w:rsid w:val="7E464D80"/>
    <w:rsid w:val="7E5B010B"/>
    <w:rsid w:val="7E5D4B5B"/>
    <w:rsid w:val="7E644A00"/>
    <w:rsid w:val="7E7A4910"/>
    <w:rsid w:val="7E7D1F98"/>
    <w:rsid w:val="7E843559"/>
    <w:rsid w:val="7E8967A9"/>
    <w:rsid w:val="7E956EBF"/>
    <w:rsid w:val="7E9B0D62"/>
    <w:rsid w:val="7E9E5446"/>
    <w:rsid w:val="7EAD412D"/>
    <w:rsid w:val="7EB246A9"/>
    <w:rsid w:val="7EF53087"/>
    <w:rsid w:val="7EFF3203"/>
    <w:rsid w:val="7F111831"/>
    <w:rsid w:val="7F1776F8"/>
    <w:rsid w:val="7F1B6198"/>
    <w:rsid w:val="7F2E23E3"/>
    <w:rsid w:val="7F3F8F8D"/>
    <w:rsid w:val="7F6725F4"/>
    <w:rsid w:val="7F765D9D"/>
    <w:rsid w:val="7F77B391"/>
    <w:rsid w:val="7F7E3513"/>
    <w:rsid w:val="7FAC4E7F"/>
    <w:rsid w:val="7FB2FB04"/>
    <w:rsid w:val="7FB7CB5C"/>
    <w:rsid w:val="7FBCDDF1"/>
    <w:rsid w:val="7FBF2836"/>
    <w:rsid w:val="7FC35B70"/>
    <w:rsid w:val="7FCC6956"/>
    <w:rsid w:val="7FD7724B"/>
    <w:rsid w:val="7FD7DCC2"/>
    <w:rsid w:val="7FDDF4C7"/>
    <w:rsid w:val="7FEE1B73"/>
    <w:rsid w:val="7FEE78DC"/>
    <w:rsid w:val="7FFBA6AC"/>
    <w:rsid w:val="7FFECAF3"/>
    <w:rsid w:val="7FFF2F8A"/>
    <w:rsid w:val="9ECFB411"/>
    <w:rsid w:val="AD2DE567"/>
    <w:rsid w:val="AFEFC283"/>
    <w:rsid w:val="B1BFA507"/>
    <w:rsid w:val="B87B0C98"/>
    <w:rsid w:val="BABFED3F"/>
    <w:rsid w:val="BAFF967D"/>
    <w:rsid w:val="BBD64A99"/>
    <w:rsid w:val="BBFE02CF"/>
    <w:rsid w:val="BD6EA55C"/>
    <w:rsid w:val="BDE74BB1"/>
    <w:rsid w:val="BE7DF8C4"/>
    <w:rsid w:val="BEFB27F3"/>
    <w:rsid w:val="BF7B2250"/>
    <w:rsid w:val="BFDE8BAE"/>
    <w:rsid w:val="BFEF0668"/>
    <w:rsid w:val="BFFF57C2"/>
    <w:rsid w:val="CB7F9D0A"/>
    <w:rsid w:val="CED7865D"/>
    <w:rsid w:val="CFD6D568"/>
    <w:rsid w:val="CFF68BB8"/>
    <w:rsid w:val="CFFEC4EB"/>
    <w:rsid w:val="CFFF5B2A"/>
    <w:rsid w:val="D3CEC303"/>
    <w:rsid w:val="D6B66289"/>
    <w:rsid w:val="D6F52AD5"/>
    <w:rsid w:val="D6FA9540"/>
    <w:rsid w:val="D7FB2366"/>
    <w:rsid w:val="D8FE1E68"/>
    <w:rsid w:val="D8FEFC21"/>
    <w:rsid w:val="DA6FF211"/>
    <w:rsid w:val="DB3E528A"/>
    <w:rsid w:val="DB77E09A"/>
    <w:rsid w:val="DC7E1A4C"/>
    <w:rsid w:val="DDC7F90F"/>
    <w:rsid w:val="DDF562C9"/>
    <w:rsid w:val="DDFD85E8"/>
    <w:rsid w:val="DE3FA994"/>
    <w:rsid w:val="DF874CFF"/>
    <w:rsid w:val="DFAB6FB2"/>
    <w:rsid w:val="DFB5A2EE"/>
    <w:rsid w:val="DFBFDC4C"/>
    <w:rsid w:val="DFEEAC14"/>
    <w:rsid w:val="DFFD4A8F"/>
    <w:rsid w:val="DFFE432A"/>
    <w:rsid w:val="E186A365"/>
    <w:rsid w:val="E6DBB6EC"/>
    <w:rsid w:val="E6EF8AAB"/>
    <w:rsid w:val="E75B9911"/>
    <w:rsid w:val="E9BF7736"/>
    <w:rsid w:val="EABD2A69"/>
    <w:rsid w:val="EAF7EE56"/>
    <w:rsid w:val="ECF558CC"/>
    <w:rsid w:val="ECFFE7C8"/>
    <w:rsid w:val="ED1F4D31"/>
    <w:rsid w:val="ED776F56"/>
    <w:rsid w:val="EDF36EE3"/>
    <w:rsid w:val="EE77FD03"/>
    <w:rsid w:val="EE7F52D2"/>
    <w:rsid w:val="EF7DFC07"/>
    <w:rsid w:val="EFA7CDAA"/>
    <w:rsid w:val="EFCC9F19"/>
    <w:rsid w:val="F1FFB090"/>
    <w:rsid w:val="F2F6D829"/>
    <w:rsid w:val="F30F1D4D"/>
    <w:rsid w:val="F3F6110B"/>
    <w:rsid w:val="F3FD4179"/>
    <w:rsid w:val="F3FFA4FC"/>
    <w:rsid w:val="F43F3BBD"/>
    <w:rsid w:val="F5FD4A05"/>
    <w:rsid w:val="F6F157F5"/>
    <w:rsid w:val="F77D7A11"/>
    <w:rsid w:val="F7BBE96C"/>
    <w:rsid w:val="F7E78881"/>
    <w:rsid w:val="F7F750CD"/>
    <w:rsid w:val="F7FB412C"/>
    <w:rsid w:val="F9FFB4C2"/>
    <w:rsid w:val="FA9D4BAE"/>
    <w:rsid w:val="FAFDF26E"/>
    <w:rsid w:val="FB6C64E3"/>
    <w:rsid w:val="FB70EE68"/>
    <w:rsid w:val="FB77131A"/>
    <w:rsid w:val="FB77BFC3"/>
    <w:rsid w:val="FBD980A2"/>
    <w:rsid w:val="FBE7B818"/>
    <w:rsid w:val="FBEE5C48"/>
    <w:rsid w:val="FBFAD3CD"/>
    <w:rsid w:val="FBFF4BA2"/>
    <w:rsid w:val="FBFF5F33"/>
    <w:rsid w:val="FC7F2FA9"/>
    <w:rsid w:val="FCBF0B21"/>
    <w:rsid w:val="FDF725CC"/>
    <w:rsid w:val="FDFB6FA5"/>
    <w:rsid w:val="FE7F6235"/>
    <w:rsid w:val="FE9B3FE9"/>
    <w:rsid w:val="FEFD9325"/>
    <w:rsid w:val="FEFF8221"/>
    <w:rsid w:val="FF2FE771"/>
    <w:rsid w:val="FF3DF377"/>
    <w:rsid w:val="FF5EB80E"/>
    <w:rsid w:val="FF6D477F"/>
    <w:rsid w:val="FF7F38A9"/>
    <w:rsid w:val="FFAFEE84"/>
    <w:rsid w:val="FFDD8A36"/>
    <w:rsid w:val="FFF471FF"/>
    <w:rsid w:val="FFF65122"/>
    <w:rsid w:val="FFF79A39"/>
    <w:rsid w:val="FFFA684D"/>
    <w:rsid w:val="FFFB229C"/>
    <w:rsid w:val="FFFB837D"/>
    <w:rsid w:val="FFFF115D"/>
    <w:rsid w:val="FFFF2839"/>
    <w:rsid w:val="FFFF31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81"/>
    <w:qFormat/>
    <w:uiPriority w:val="0"/>
    <w:pPr>
      <w:keepNext/>
      <w:jc w:val="center"/>
      <w:outlineLvl w:val="0"/>
    </w:pPr>
    <w:rPr>
      <w:rFonts w:ascii="楷体_GB2312" w:hAnsi="Tahoma" w:eastAsia="楷体_GB2312"/>
      <w:b/>
      <w:bCs/>
    </w:rPr>
  </w:style>
  <w:style w:type="paragraph" w:styleId="6">
    <w:name w:val="heading 2"/>
    <w:basedOn w:val="1"/>
    <w:next w:val="1"/>
    <w:link w:val="82"/>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83"/>
    <w:qFormat/>
    <w:uiPriority w:val="0"/>
    <w:pPr>
      <w:keepNext/>
      <w:keepLines/>
      <w:spacing w:before="260" w:after="260" w:line="415" w:lineRule="auto"/>
      <w:outlineLvl w:val="2"/>
    </w:pPr>
    <w:rPr>
      <w:b/>
      <w:bCs/>
      <w:sz w:val="32"/>
      <w:szCs w:val="32"/>
    </w:rPr>
  </w:style>
  <w:style w:type="paragraph" w:styleId="8">
    <w:name w:val="heading 4"/>
    <w:basedOn w:val="1"/>
    <w:next w:val="1"/>
    <w:link w:val="84"/>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85"/>
    <w:qFormat/>
    <w:uiPriority w:val="0"/>
    <w:pPr>
      <w:keepNext/>
      <w:keepLines/>
      <w:spacing w:before="280" w:after="290" w:line="372" w:lineRule="auto"/>
      <w:outlineLvl w:val="4"/>
    </w:pPr>
    <w:rPr>
      <w:rFonts w:ascii="仿宋_GB2312" w:hAnsi="Tahoma"/>
      <w:b/>
      <w:bCs/>
      <w:sz w:val="28"/>
      <w:szCs w:val="28"/>
    </w:rPr>
  </w:style>
  <w:style w:type="paragraph" w:styleId="10">
    <w:name w:val="heading 6"/>
    <w:basedOn w:val="1"/>
    <w:next w:val="1"/>
    <w:link w:val="86"/>
    <w:qFormat/>
    <w:uiPriority w:val="0"/>
    <w:pPr>
      <w:keepNext/>
      <w:keepLines/>
      <w:spacing w:before="240" w:after="64" w:line="319" w:lineRule="auto"/>
      <w:outlineLvl w:val="5"/>
    </w:pPr>
    <w:rPr>
      <w:rFonts w:ascii="Arial" w:hAnsi="Arial" w:eastAsia="黑体"/>
      <w:b/>
      <w:bCs/>
      <w:sz w:val="24"/>
    </w:rPr>
  </w:style>
  <w:style w:type="paragraph" w:styleId="11">
    <w:name w:val="heading 7"/>
    <w:basedOn w:val="1"/>
    <w:next w:val="1"/>
    <w:link w:val="8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2">
    <w:name w:val="heading 8"/>
    <w:basedOn w:val="1"/>
    <w:next w:val="1"/>
    <w:link w:val="88"/>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3">
    <w:name w:val="heading 9"/>
    <w:basedOn w:val="1"/>
    <w:next w:val="1"/>
    <w:link w:val="89"/>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1">
    <w:name w:val="Default Paragraph Font"/>
    <w:unhideWhenUsed/>
    <w:qFormat/>
    <w:uiPriority w:val="1"/>
  </w:style>
  <w:style w:type="table" w:default="1" w:styleId="58">
    <w:name w:val="Normal Table"/>
    <w:unhideWhenUsed/>
    <w:qFormat/>
    <w:uiPriority w:val="99"/>
    <w:tblPr>
      <w:tblStyle w:val="58"/>
      <w:tblCellMar>
        <w:top w:w="0" w:type="dxa"/>
        <w:left w:w="108" w:type="dxa"/>
        <w:bottom w:w="0" w:type="dxa"/>
        <w:right w:w="108" w:type="dxa"/>
      </w:tblCellMar>
    </w:tblPr>
  </w:style>
  <w:style w:type="paragraph" w:styleId="2">
    <w:name w:val="Body Text First Indent 2"/>
    <w:basedOn w:val="3"/>
    <w:link w:val="79"/>
    <w:unhideWhenUsed/>
    <w:qFormat/>
    <w:uiPriority w:val="0"/>
    <w:pPr>
      <w:adjustRightInd/>
      <w:spacing w:after="120"/>
      <w:ind w:left="420" w:leftChars="200" w:firstLine="420" w:firstLineChars="200"/>
      <w:jc w:val="both"/>
    </w:pPr>
    <w:rPr>
      <w:szCs w:val="24"/>
    </w:rPr>
  </w:style>
  <w:style w:type="paragraph" w:styleId="3">
    <w:name w:val="Body Text Indent"/>
    <w:basedOn w:val="1"/>
    <w:next w:val="2"/>
    <w:link w:val="78"/>
    <w:qFormat/>
    <w:uiPriority w:val="0"/>
    <w:pPr>
      <w:adjustRightInd w:val="0"/>
      <w:spacing w:line="360" w:lineRule="auto"/>
      <w:ind w:firstLine="490"/>
      <w:jc w:val="left"/>
    </w:pPr>
    <w:rPr>
      <w:rFonts w:ascii="宋体" w:hAnsi="宋体"/>
      <w:sz w:val="24"/>
      <w:szCs w:val="20"/>
    </w:rPr>
  </w:style>
  <w:style w:type="paragraph" w:styleId="4">
    <w:name w:val="macro"/>
    <w:link w:val="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lang w:val="en-US" w:eastAsia="zh-CN" w:bidi="ar-SA"/>
    </w:rPr>
  </w:style>
  <w:style w:type="paragraph" w:styleId="14">
    <w:name w:val="toc 7"/>
    <w:basedOn w:val="1"/>
    <w:next w:val="1"/>
    <w:qFormat/>
    <w:uiPriority w:val="39"/>
    <w:pPr>
      <w:autoSpaceDE w:val="0"/>
      <w:autoSpaceDN w:val="0"/>
      <w:adjustRightInd w:val="0"/>
      <w:ind w:left="2520" w:leftChars="1200"/>
      <w:jc w:val="left"/>
    </w:pPr>
    <w:rPr>
      <w:kern w:val="0"/>
      <w:sz w:val="20"/>
      <w:szCs w:val="20"/>
    </w:rPr>
  </w:style>
  <w:style w:type="paragraph" w:styleId="15">
    <w:name w:val="Note Heading"/>
    <w:basedOn w:val="1"/>
    <w:next w:val="1"/>
    <w:link w:val="90"/>
    <w:qFormat/>
    <w:uiPriority w:val="0"/>
    <w:pPr>
      <w:jc w:val="left"/>
    </w:pPr>
    <w:rPr>
      <w:rFonts w:eastAsia="黑体"/>
      <w:sz w:val="28"/>
      <w:szCs w:val="20"/>
    </w:rPr>
  </w:style>
  <w:style w:type="paragraph" w:styleId="16">
    <w:name w:val="List Number"/>
    <w:basedOn w:val="1"/>
    <w:qFormat/>
    <w:uiPriority w:val="0"/>
    <w:pPr>
      <w:tabs>
        <w:tab w:val="left" w:pos="360"/>
      </w:tabs>
      <w:ind w:left="360" w:hanging="360" w:hangingChars="200"/>
    </w:pPr>
  </w:style>
  <w:style w:type="paragraph" w:styleId="17">
    <w:name w:val="Normal Indent"/>
    <w:basedOn w:val="1"/>
    <w:link w:val="91"/>
    <w:qFormat/>
    <w:uiPriority w:val="0"/>
    <w:pPr>
      <w:adjustRightInd w:val="0"/>
      <w:spacing w:line="312" w:lineRule="atLeast"/>
      <w:ind w:firstLine="420"/>
      <w:textAlignment w:val="baseline"/>
    </w:pPr>
    <w:rPr>
      <w:kern w:val="0"/>
      <w:szCs w:val="20"/>
    </w:rPr>
  </w:style>
  <w:style w:type="paragraph" w:styleId="18">
    <w:name w:val="caption"/>
    <w:basedOn w:val="1"/>
    <w:next w:val="1"/>
    <w:link w:val="92"/>
    <w:qFormat/>
    <w:uiPriority w:val="0"/>
    <w:pPr>
      <w:autoSpaceDE w:val="0"/>
      <w:autoSpaceDN w:val="0"/>
      <w:adjustRightInd w:val="0"/>
      <w:jc w:val="left"/>
    </w:pPr>
    <w:rPr>
      <w:rFonts w:ascii="Arial" w:hAnsi="Arial" w:eastAsia="黑体"/>
      <w:kern w:val="0"/>
      <w:sz w:val="20"/>
      <w:szCs w:val="20"/>
    </w:rPr>
  </w:style>
  <w:style w:type="paragraph" w:styleId="19">
    <w:name w:val="List Bullet"/>
    <w:basedOn w:val="1"/>
    <w:qFormat/>
    <w:uiPriority w:val="0"/>
    <w:pPr>
      <w:numPr>
        <w:ilvl w:val="0"/>
        <w:numId w:val="1"/>
      </w:numPr>
      <w:tabs>
        <w:tab w:val="left" w:pos="360"/>
        <w:tab w:val="clear" w:pos="1080"/>
      </w:tabs>
    </w:pPr>
    <w:rPr>
      <w:rFonts w:ascii="Calibri" w:hAnsi="Calibri"/>
      <w:szCs w:val="22"/>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line="360" w:lineRule="auto"/>
      <w:ind w:firstLine="480" w:firstLineChars="200"/>
    </w:pPr>
    <w:rPr>
      <w:rFonts w:ascii="Arial" w:hAnsi="Arial" w:eastAsia="宋体" w:cs="Times New Roman"/>
      <w:sz w:val="24"/>
      <w:szCs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pPr>
      <w:tabs>
        <w:tab w:val="left" w:pos="840"/>
      </w:tabs>
      <w:autoSpaceDE w:val="0"/>
      <w:autoSpaceDN w:val="0"/>
      <w:adjustRightInd w:val="0"/>
      <w:jc w:val="left"/>
    </w:pPr>
    <w:rPr>
      <w:kern w:val="0"/>
      <w:sz w:val="20"/>
      <w:szCs w:val="20"/>
    </w:rPr>
  </w:style>
  <w:style w:type="paragraph" w:styleId="24">
    <w:name w:val="Body Text 3"/>
    <w:basedOn w:val="1"/>
    <w:link w:val="96"/>
    <w:qFormat/>
    <w:uiPriority w:val="0"/>
    <w:pPr>
      <w:autoSpaceDE w:val="0"/>
      <w:autoSpaceDN w:val="0"/>
      <w:adjustRightInd w:val="0"/>
      <w:jc w:val="center"/>
    </w:pPr>
    <w:rPr>
      <w:kern w:val="0"/>
      <w:sz w:val="20"/>
      <w:szCs w:val="20"/>
    </w:rPr>
  </w:style>
  <w:style w:type="paragraph" w:styleId="25">
    <w:name w:val="Body Text"/>
    <w:basedOn w:val="1"/>
    <w:next w:val="26"/>
    <w:link w:val="97"/>
    <w:qFormat/>
    <w:uiPriority w:val="0"/>
    <w:pPr>
      <w:spacing w:after="120"/>
    </w:pPr>
    <w:rPr>
      <w:rFonts w:ascii="Tahoma" w:hAnsi="Tahoma"/>
    </w:rPr>
  </w:style>
  <w:style w:type="paragraph" w:styleId="26">
    <w:name w:val="Body Text First Indent"/>
    <w:basedOn w:val="25"/>
    <w:next w:val="1"/>
    <w:link w:val="98"/>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99"/>
    <w:pPr>
      <w:spacing w:after="120"/>
      <w:ind w:left="1440" w:leftChars="700" w:right="1440" w:rightChars="700"/>
    </w:pPr>
    <w:rPr>
      <w:szCs w:val="22"/>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index 4"/>
    <w:basedOn w:val="1"/>
    <w:next w:val="1"/>
    <w:qFormat/>
    <w:uiPriority w:val="0"/>
    <w:pPr>
      <w:spacing w:line="360" w:lineRule="auto"/>
      <w:ind w:left="600" w:leftChars="600"/>
    </w:pPr>
    <w:rPr>
      <w:rFonts w:ascii="Times New Roman" w:hAnsi="Times New Roman"/>
      <w:sz w:val="24"/>
    </w:rPr>
  </w:style>
  <w:style w:type="paragraph" w:styleId="31">
    <w:name w:val="toc 5"/>
    <w:basedOn w:val="1"/>
    <w:next w:val="1"/>
    <w:qFormat/>
    <w:uiPriority w:val="39"/>
    <w:pPr>
      <w:autoSpaceDE w:val="0"/>
      <w:autoSpaceDN w:val="0"/>
      <w:adjustRightInd w:val="0"/>
      <w:ind w:left="1680" w:leftChars="800"/>
      <w:jc w:val="left"/>
    </w:pPr>
    <w:rPr>
      <w:kern w:val="0"/>
      <w:sz w:val="20"/>
      <w:szCs w:val="20"/>
    </w:rPr>
  </w:style>
  <w:style w:type="paragraph" w:styleId="32">
    <w:name w:val="toc 3"/>
    <w:basedOn w:val="1"/>
    <w:next w:val="1"/>
    <w:qFormat/>
    <w:uiPriority w:val="39"/>
    <w:pPr>
      <w:ind w:left="840" w:leftChars="400"/>
    </w:pPr>
  </w:style>
  <w:style w:type="paragraph" w:styleId="33">
    <w:name w:val="Plain Text"/>
    <w:basedOn w:val="1"/>
    <w:next w:val="1"/>
    <w:link w:val="99"/>
    <w:qFormat/>
    <w:uiPriority w:val="99"/>
    <w:rPr>
      <w:rFonts w:ascii="宋体" w:hAnsi="Courier New"/>
      <w:szCs w:val="20"/>
    </w:rPr>
  </w:style>
  <w:style w:type="paragraph" w:styleId="34">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5">
    <w:name w:val="toc 8"/>
    <w:basedOn w:val="1"/>
    <w:next w:val="1"/>
    <w:qFormat/>
    <w:uiPriority w:val="39"/>
    <w:pPr>
      <w:autoSpaceDE w:val="0"/>
      <w:autoSpaceDN w:val="0"/>
      <w:adjustRightInd w:val="0"/>
      <w:ind w:left="2940" w:leftChars="1400"/>
      <w:jc w:val="left"/>
    </w:pPr>
    <w:rPr>
      <w:kern w:val="0"/>
      <w:sz w:val="20"/>
      <w:szCs w:val="20"/>
    </w:rPr>
  </w:style>
  <w:style w:type="paragraph" w:styleId="36">
    <w:name w:val="Date"/>
    <w:basedOn w:val="1"/>
    <w:next w:val="1"/>
    <w:link w:val="100"/>
    <w:qFormat/>
    <w:uiPriority w:val="99"/>
    <w:pPr>
      <w:spacing w:line="440" w:lineRule="exact"/>
    </w:pPr>
    <w:rPr>
      <w:spacing w:val="12"/>
      <w:sz w:val="24"/>
      <w:szCs w:val="20"/>
    </w:rPr>
  </w:style>
  <w:style w:type="paragraph" w:styleId="37">
    <w:name w:val="Body Text Indent 2"/>
    <w:basedOn w:val="1"/>
    <w:link w:val="101"/>
    <w:qFormat/>
    <w:uiPriority w:val="0"/>
    <w:pPr>
      <w:spacing w:after="120" w:line="480" w:lineRule="auto"/>
      <w:ind w:left="420" w:leftChars="200"/>
    </w:pPr>
  </w:style>
  <w:style w:type="paragraph" w:styleId="38">
    <w:name w:val="Balloon Text"/>
    <w:basedOn w:val="1"/>
    <w:link w:val="102"/>
    <w:qFormat/>
    <w:uiPriority w:val="99"/>
    <w:rPr>
      <w:sz w:val="18"/>
      <w:szCs w:val="18"/>
    </w:rPr>
  </w:style>
  <w:style w:type="paragraph" w:styleId="39">
    <w:name w:val="footer"/>
    <w:basedOn w:val="1"/>
    <w:link w:val="103"/>
    <w:qFormat/>
    <w:uiPriority w:val="0"/>
    <w:pPr>
      <w:tabs>
        <w:tab w:val="center" w:pos="4153"/>
        <w:tab w:val="right" w:pos="8306"/>
      </w:tabs>
      <w:snapToGrid w:val="0"/>
      <w:jc w:val="left"/>
    </w:pPr>
    <w:rPr>
      <w:sz w:val="18"/>
      <w:szCs w:val="18"/>
    </w:rPr>
  </w:style>
  <w:style w:type="paragraph" w:styleId="40">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2">
    <w:name w:val="toc 1"/>
    <w:basedOn w:val="1"/>
    <w:next w:val="1"/>
    <w:qFormat/>
    <w:uiPriority w:val="39"/>
    <w:pPr>
      <w:spacing w:line="360" w:lineRule="exact"/>
      <w:ind w:left="718" w:hanging="718" w:hangingChars="342"/>
    </w:pPr>
    <w:rPr>
      <w:rFonts w:ascii="Arial" w:hAnsi="Arial" w:eastAsia="楷体_GB2312" w:cs="Arial"/>
    </w:rPr>
  </w:style>
  <w:style w:type="paragraph" w:styleId="43">
    <w:name w:val="toc 4"/>
    <w:basedOn w:val="1"/>
    <w:next w:val="1"/>
    <w:qFormat/>
    <w:uiPriority w:val="39"/>
    <w:pPr>
      <w:autoSpaceDE w:val="0"/>
      <w:autoSpaceDN w:val="0"/>
      <w:adjustRightInd w:val="0"/>
      <w:ind w:left="1260" w:leftChars="600"/>
      <w:jc w:val="left"/>
    </w:pPr>
    <w:rPr>
      <w:kern w:val="0"/>
      <w:sz w:val="20"/>
      <w:szCs w:val="20"/>
    </w:rPr>
  </w:style>
  <w:style w:type="paragraph" w:styleId="44">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qFormat/>
    <w:uiPriority w:val="0"/>
    <w:pPr>
      <w:ind w:left="200" w:hanging="200" w:hangingChars="200"/>
    </w:pPr>
    <w:rPr>
      <w:sz w:val="28"/>
    </w:rPr>
  </w:style>
  <w:style w:type="paragraph" w:styleId="47">
    <w:name w:val="footnote text"/>
    <w:basedOn w:val="1"/>
    <w:link w:val="107"/>
    <w:unhideWhenUsed/>
    <w:qFormat/>
    <w:uiPriority w:val="99"/>
    <w:pPr>
      <w:snapToGrid w:val="0"/>
      <w:spacing w:line="360" w:lineRule="auto"/>
      <w:jc w:val="left"/>
    </w:pPr>
    <w:rPr>
      <w:sz w:val="18"/>
      <w:szCs w:val="18"/>
    </w:rPr>
  </w:style>
  <w:style w:type="paragraph" w:styleId="48">
    <w:name w:val="toc 6"/>
    <w:basedOn w:val="1"/>
    <w:next w:val="1"/>
    <w:qFormat/>
    <w:uiPriority w:val="39"/>
    <w:pPr>
      <w:autoSpaceDE w:val="0"/>
      <w:autoSpaceDN w:val="0"/>
      <w:adjustRightInd w:val="0"/>
      <w:ind w:left="2100" w:leftChars="1000"/>
      <w:jc w:val="left"/>
    </w:pPr>
    <w:rPr>
      <w:kern w:val="0"/>
      <w:sz w:val="20"/>
      <w:szCs w:val="20"/>
    </w:rPr>
  </w:style>
  <w:style w:type="paragraph" w:styleId="49">
    <w:name w:val="Body Text Indent 3"/>
    <w:basedOn w:val="1"/>
    <w:link w:val="108"/>
    <w:qFormat/>
    <w:uiPriority w:val="99"/>
    <w:pPr>
      <w:spacing w:after="120"/>
      <w:ind w:left="420" w:leftChars="200"/>
    </w:pPr>
    <w:rPr>
      <w:sz w:val="16"/>
      <w:szCs w:val="16"/>
    </w:rPr>
  </w:style>
  <w:style w:type="paragraph" w:styleId="50">
    <w:name w:val="toc 2"/>
    <w:basedOn w:val="1"/>
    <w:next w:val="1"/>
    <w:qFormat/>
    <w:uiPriority w:val="39"/>
    <w:pPr>
      <w:ind w:left="420" w:leftChars="200"/>
    </w:pPr>
  </w:style>
  <w:style w:type="paragraph" w:styleId="51">
    <w:name w:val="toc 9"/>
    <w:basedOn w:val="1"/>
    <w:next w:val="1"/>
    <w:qFormat/>
    <w:uiPriority w:val="39"/>
    <w:pPr>
      <w:autoSpaceDE w:val="0"/>
      <w:autoSpaceDN w:val="0"/>
      <w:adjustRightInd w:val="0"/>
      <w:ind w:left="3360" w:leftChars="1600"/>
      <w:jc w:val="left"/>
    </w:pPr>
    <w:rPr>
      <w:kern w:val="0"/>
      <w:sz w:val="20"/>
      <w:szCs w:val="20"/>
    </w:rPr>
  </w:style>
  <w:style w:type="paragraph" w:styleId="52">
    <w:name w:val="Body Text 2"/>
    <w:basedOn w:val="1"/>
    <w:link w:val="109"/>
    <w:qFormat/>
    <w:uiPriority w:val="0"/>
    <w:pPr>
      <w:autoSpaceDE w:val="0"/>
      <w:autoSpaceDN w:val="0"/>
      <w:adjustRightInd w:val="0"/>
      <w:spacing w:after="120" w:line="480" w:lineRule="auto"/>
      <w:jc w:val="left"/>
    </w:pPr>
    <w:rPr>
      <w:kern w:val="0"/>
      <w:sz w:val="20"/>
      <w:szCs w:val="20"/>
    </w:rPr>
  </w:style>
  <w:style w:type="paragraph" w:styleId="53">
    <w:name w:val="HTML Preformatted"/>
    <w:basedOn w:val="1"/>
    <w:link w:val="11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4">
    <w:name w:val="Normal (Web)"/>
    <w:basedOn w:val="1"/>
    <w:link w:val="111"/>
    <w:qFormat/>
    <w:uiPriority w:val="99"/>
    <w:pPr>
      <w:widowControl/>
      <w:spacing w:before="100" w:beforeAutospacing="1" w:after="100" w:afterAutospacing="1"/>
      <w:jc w:val="left"/>
    </w:pPr>
    <w:rPr>
      <w:rFonts w:ascii="宋体" w:hAnsi="宋体"/>
      <w:color w:val="000000"/>
      <w:kern w:val="0"/>
      <w:sz w:val="24"/>
    </w:rPr>
  </w:style>
  <w:style w:type="paragraph" w:styleId="55">
    <w:name w:val="index 1"/>
    <w:basedOn w:val="1"/>
    <w:next w:val="1"/>
    <w:qFormat/>
    <w:uiPriority w:val="0"/>
    <w:pPr>
      <w:spacing w:line="220" w:lineRule="exact"/>
      <w:jc w:val="center"/>
    </w:pPr>
    <w:rPr>
      <w:rFonts w:ascii="仿宋_GB2312" w:eastAsia="仿宋_GB2312"/>
      <w:szCs w:val="21"/>
    </w:rPr>
  </w:style>
  <w:style w:type="paragraph" w:styleId="56">
    <w:name w:val="Title"/>
    <w:basedOn w:val="1"/>
    <w:link w:val="11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7">
    <w:name w:val="annotation subject"/>
    <w:basedOn w:val="22"/>
    <w:next w:val="22"/>
    <w:link w:val="113"/>
    <w:qFormat/>
    <w:uiPriority w:val="0"/>
    <w:rPr>
      <w:b/>
      <w:bCs/>
    </w:rPr>
  </w:style>
  <w:style w:type="table" w:styleId="59">
    <w:name w:val="Table Grid"/>
    <w:basedOn w:val="58"/>
    <w:qFormat/>
    <w:uiPriority w:val="39"/>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Classic 1"/>
    <w:basedOn w:val="58"/>
    <w:qFormat/>
    <w:uiPriority w:val="0"/>
    <w:pPr>
      <w:widowControl w:val="0"/>
      <w:adjustRightInd w:val="0"/>
      <w:spacing w:line="300" w:lineRule="auto"/>
      <w:ind w:firstLine="480" w:firstLineChars="200"/>
      <w:jc w:val="both"/>
      <w:textAlignment w:val="baseline"/>
    </w:pPr>
    <w:rPr>
      <w:rFonts w:ascii="Times New Roman" w:hAnsi="Times New Roman"/>
    </w:rPr>
    <w:tblPr>
      <w:tblStyle w:val="58"/>
      <w:tblBorders>
        <w:top w:val="single" w:color="000000" w:sz="12" w:space="0"/>
        <w:bottom w:val="single" w:color="000000" w:sz="12" w:space="0"/>
      </w:tblBorders>
    </w:tblPr>
    <w:tcPr>
      <w:shd w:val="clear" w:color="auto" w:fill="auto"/>
    </w:tcPr>
    <w:tblStylePr w:type="firstRow">
      <w:rPr>
        <w:i/>
        <w:iCs/>
      </w:rPr>
      <w:tblPr>
        <w:tblStyle w:val="58"/>
      </w:tblPr>
      <w:tcPr>
        <w:tcBorders>
          <w:top w:val="nil"/>
          <w:left w:val="single" w:color="000000" w:sz="6" w:space="0"/>
          <w:bottom w:val="nil"/>
          <w:right w:val="nil"/>
          <w:insideH w:val="nil"/>
          <w:insideV w:val="nil"/>
          <w:tl2br w:val="nil"/>
          <w:tr2bl w:val="nil"/>
        </w:tcBorders>
      </w:tcPr>
    </w:tblStylePr>
    <w:tblStylePr w:type="lastRow">
      <w:rPr>
        <w:color w:val="auto"/>
      </w:rPr>
      <w:tblPr>
        <w:tblStyle w:val="58"/>
      </w:tblPr>
      <w:tcPr>
        <w:tcBorders>
          <w:top w:val="single" w:color="000000" w:sz="6" w:space="0"/>
          <w:left w:val="nil"/>
          <w:bottom w:val="nil"/>
          <w:right w:val="nil"/>
          <w:insideH w:val="nil"/>
          <w:insideV w:val="nil"/>
          <w:tl2br w:val="nil"/>
          <w:tr2bl w:val="nil"/>
        </w:tcBorders>
      </w:tcPr>
    </w:tblStylePr>
    <w:tblStylePr w:type="firstCol">
      <w:tblPr>
        <w:tblStyle w:val="58"/>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58"/>
      </w:tblPr>
      <w:tcPr>
        <w:tcBorders>
          <w:top w:val="nil"/>
          <w:left w:val="nil"/>
          <w:bottom w:val="nil"/>
          <w:right w:val="nil"/>
          <w:insideH w:val="nil"/>
          <w:insideV w:val="nil"/>
          <w:tl2br w:val="nil"/>
          <w:tr2bl w:val="nil"/>
        </w:tcBorders>
      </w:tcPr>
    </w:tblStylePr>
    <w:tblStylePr w:type="swCell">
      <w:rPr>
        <w:b/>
        <w:bCs/>
      </w:rPr>
      <w:tblPr>
        <w:tblStyle w:val="58"/>
      </w:tblPr>
      <w:tcPr>
        <w:tcBorders>
          <w:top w:val="nil"/>
          <w:left w:val="nil"/>
          <w:bottom w:val="nil"/>
          <w:right w:val="nil"/>
          <w:insideH w:val="nil"/>
          <w:insideV w:val="nil"/>
          <w:tl2br w:val="nil"/>
          <w:tr2bl w:val="nil"/>
        </w:tcBorders>
      </w:tcPr>
    </w:tblStylePr>
  </w:style>
  <w:style w:type="character" w:styleId="62">
    <w:name w:val="Strong"/>
    <w:qFormat/>
    <w:uiPriority w:val="0"/>
    <w:rPr>
      <w:rFonts w:ascii="仿宋_GB2312" w:eastAsia="仿宋_GB2312"/>
      <w:bCs/>
      <w:sz w:val="32"/>
      <w:szCs w:val="32"/>
    </w:rPr>
  </w:style>
  <w:style w:type="character" w:styleId="63">
    <w:name w:val="page number"/>
    <w:basedOn w:val="61"/>
    <w:qFormat/>
    <w:uiPriority w:val="0"/>
    <w:rPr>
      <w:szCs w:val="20"/>
    </w:rPr>
  </w:style>
  <w:style w:type="character" w:styleId="64">
    <w:name w:val="FollowedHyperlink"/>
    <w:qFormat/>
    <w:uiPriority w:val="99"/>
    <w:rPr>
      <w:rFonts w:ascii="仿宋_GB2312" w:eastAsia="仿宋_GB2312"/>
      <w:b/>
      <w:color w:val="800080"/>
      <w:sz w:val="32"/>
      <w:szCs w:val="32"/>
      <w:u w:val="single"/>
    </w:rPr>
  </w:style>
  <w:style w:type="character" w:styleId="65">
    <w:name w:val="Emphasis"/>
    <w:qFormat/>
    <w:uiPriority w:val="20"/>
    <w:rPr>
      <w:i/>
      <w:iCs/>
    </w:rPr>
  </w:style>
  <w:style w:type="character" w:styleId="66">
    <w:name w:val="line number"/>
    <w:qFormat/>
    <w:uiPriority w:val="0"/>
    <w:rPr>
      <w:rFonts w:ascii="仿宋_GB2312" w:hAnsi="Tahoma" w:eastAsia="仿宋_GB2312"/>
      <w:b/>
      <w:sz w:val="32"/>
      <w:szCs w:val="32"/>
    </w:rPr>
  </w:style>
  <w:style w:type="character" w:styleId="67">
    <w:name w:val="HTML Definition"/>
    <w:unhideWhenUsed/>
    <w:qFormat/>
    <w:uiPriority w:val="99"/>
    <w:rPr>
      <w:szCs w:val="20"/>
    </w:rPr>
  </w:style>
  <w:style w:type="character" w:styleId="68">
    <w:name w:val="HTML Typewriter"/>
    <w:qFormat/>
    <w:uiPriority w:val="0"/>
    <w:rPr>
      <w:rFonts w:ascii="宋体" w:hAnsi="宋体" w:eastAsia="宋体" w:cs="宋体"/>
      <w:sz w:val="24"/>
      <w:szCs w:val="24"/>
    </w:rPr>
  </w:style>
  <w:style w:type="character" w:styleId="69">
    <w:name w:val="HTML Acronym"/>
    <w:unhideWhenUsed/>
    <w:qFormat/>
    <w:uiPriority w:val="99"/>
    <w:rPr>
      <w:szCs w:val="20"/>
    </w:rPr>
  </w:style>
  <w:style w:type="character" w:styleId="70">
    <w:name w:val="HTML Variable"/>
    <w:unhideWhenUsed/>
    <w:qFormat/>
    <w:uiPriority w:val="99"/>
    <w:rPr>
      <w:szCs w:val="20"/>
    </w:rPr>
  </w:style>
  <w:style w:type="character" w:styleId="71">
    <w:name w:val="Hyperlink"/>
    <w:qFormat/>
    <w:uiPriority w:val="99"/>
    <w:rPr>
      <w:rFonts w:ascii="仿宋_GB2312" w:eastAsia="仿宋_GB2312"/>
      <w:color w:val="000000"/>
      <w:sz w:val="20"/>
      <w:szCs w:val="20"/>
      <w:u w:val="none"/>
    </w:rPr>
  </w:style>
  <w:style w:type="character" w:styleId="72">
    <w:name w:val="HTML Code"/>
    <w:unhideWhenUsed/>
    <w:qFormat/>
    <w:uiPriority w:val="99"/>
    <w:rPr>
      <w:rFonts w:hint="eastAsia" w:ascii="微软雅黑" w:hAnsi="微软雅黑" w:eastAsia="微软雅黑" w:cs="微软雅黑"/>
      <w:sz w:val="20"/>
      <w:szCs w:val="20"/>
    </w:rPr>
  </w:style>
  <w:style w:type="character" w:styleId="73">
    <w:name w:val="annotation reference"/>
    <w:qFormat/>
    <w:uiPriority w:val="0"/>
    <w:rPr>
      <w:sz w:val="21"/>
      <w:szCs w:val="21"/>
    </w:rPr>
  </w:style>
  <w:style w:type="character" w:styleId="74">
    <w:name w:val="HTML Cite"/>
    <w:qFormat/>
    <w:uiPriority w:val="0"/>
    <w:rPr>
      <w:color w:val="008000"/>
    </w:rPr>
  </w:style>
  <w:style w:type="character" w:styleId="75">
    <w:name w:val="footnote reference"/>
    <w:qFormat/>
    <w:uiPriority w:val="99"/>
    <w:rPr>
      <w:vertAlign w:val="superscript"/>
    </w:rPr>
  </w:style>
  <w:style w:type="character" w:styleId="76">
    <w:name w:val="HTML Keyboard"/>
    <w:unhideWhenUsed/>
    <w:qFormat/>
    <w:uiPriority w:val="99"/>
    <w:rPr>
      <w:rFonts w:hint="eastAsia" w:ascii="微软雅黑" w:hAnsi="微软雅黑" w:eastAsia="微软雅黑" w:cs="微软雅黑"/>
      <w:sz w:val="20"/>
      <w:szCs w:val="20"/>
    </w:rPr>
  </w:style>
  <w:style w:type="character" w:styleId="77">
    <w:name w:val="HTML Sample"/>
    <w:unhideWhenUsed/>
    <w:qFormat/>
    <w:uiPriority w:val="0"/>
    <w:rPr>
      <w:rFonts w:hint="eastAsia" w:ascii="微软雅黑" w:hAnsi="微软雅黑" w:eastAsia="微软雅黑" w:cs="微软雅黑"/>
      <w:szCs w:val="20"/>
    </w:rPr>
  </w:style>
  <w:style w:type="character" w:customStyle="1" w:styleId="78">
    <w:name w:val="正文文本缩进 Char2"/>
    <w:link w:val="3"/>
    <w:qFormat/>
    <w:uiPriority w:val="0"/>
    <w:rPr>
      <w:rFonts w:ascii="宋体" w:hAnsi="宋体"/>
      <w:kern w:val="2"/>
      <w:sz w:val="24"/>
    </w:rPr>
  </w:style>
  <w:style w:type="character" w:customStyle="1" w:styleId="79">
    <w:name w:val="正文首行缩进 2 Char4"/>
    <w:link w:val="2"/>
    <w:qFormat/>
    <w:uiPriority w:val="0"/>
    <w:rPr>
      <w:rFonts w:ascii="宋体" w:hAnsi="宋体"/>
      <w:kern w:val="2"/>
      <w:sz w:val="24"/>
      <w:szCs w:val="24"/>
    </w:rPr>
  </w:style>
  <w:style w:type="character" w:customStyle="1" w:styleId="80">
    <w:name w:val="宏文本 Char3"/>
    <w:link w:val="4"/>
    <w:qFormat/>
    <w:uiPriority w:val="0"/>
    <w:rPr>
      <w:rFonts w:ascii="Courier New" w:hAnsi="Courier New"/>
      <w:kern w:val="2"/>
      <w:sz w:val="24"/>
      <w:szCs w:val="24"/>
      <w:lang w:val="en-US" w:eastAsia="zh-CN" w:bidi="ar-SA"/>
    </w:rPr>
  </w:style>
  <w:style w:type="character" w:customStyle="1" w:styleId="81">
    <w:name w:val="标题 1 Char2"/>
    <w:link w:val="5"/>
    <w:qFormat/>
    <w:uiPriority w:val="0"/>
    <w:rPr>
      <w:rFonts w:ascii="楷体_GB2312" w:hAnsi="Tahoma" w:eastAsia="楷体_GB2312"/>
      <w:b/>
      <w:bCs/>
      <w:kern w:val="2"/>
      <w:sz w:val="21"/>
      <w:szCs w:val="24"/>
    </w:rPr>
  </w:style>
  <w:style w:type="character" w:customStyle="1" w:styleId="82">
    <w:name w:val="标题 2 Char2"/>
    <w:link w:val="6"/>
    <w:qFormat/>
    <w:uiPriority w:val="0"/>
    <w:rPr>
      <w:rFonts w:ascii="Arial" w:hAnsi="Arial" w:eastAsia="黑体"/>
      <w:b/>
      <w:bCs/>
      <w:kern w:val="2"/>
      <w:sz w:val="32"/>
      <w:szCs w:val="32"/>
    </w:rPr>
  </w:style>
  <w:style w:type="character" w:customStyle="1" w:styleId="83">
    <w:name w:val="标题 3 Char2"/>
    <w:link w:val="7"/>
    <w:qFormat/>
    <w:uiPriority w:val="0"/>
    <w:rPr>
      <w:b/>
      <w:bCs/>
      <w:kern w:val="2"/>
      <w:sz w:val="32"/>
      <w:szCs w:val="32"/>
    </w:rPr>
  </w:style>
  <w:style w:type="character" w:customStyle="1" w:styleId="84">
    <w:name w:val="标题 4 Char2"/>
    <w:link w:val="8"/>
    <w:qFormat/>
    <w:uiPriority w:val="0"/>
    <w:rPr>
      <w:rFonts w:ascii="Cambria" w:hAnsi="Cambria"/>
      <w:b/>
      <w:bCs/>
      <w:kern w:val="2"/>
      <w:sz w:val="28"/>
      <w:szCs w:val="28"/>
    </w:rPr>
  </w:style>
  <w:style w:type="character" w:customStyle="1" w:styleId="85">
    <w:name w:val="标题 5 Char1"/>
    <w:link w:val="9"/>
    <w:qFormat/>
    <w:uiPriority w:val="0"/>
    <w:rPr>
      <w:rFonts w:ascii="仿宋_GB2312" w:hAnsi="Tahoma"/>
      <w:b/>
      <w:bCs/>
      <w:kern w:val="2"/>
      <w:sz w:val="28"/>
      <w:szCs w:val="28"/>
    </w:rPr>
  </w:style>
  <w:style w:type="character" w:customStyle="1" w:styleId="86">
    <w:name w:val="标题 6 Char1"/>
    <w:link w:val="10"/>
    <w:qFormat/>
    <w:uiPriority w:val="0"/>
    <w:rPr>
      <w:rFonts w:ascii="Arial" w:hAnsi="Arial" w:eastAsia="黑体"/>
      <w:b/>
      <w:bCs/>
      <w:kern w:val="2"/>
      <w:sz w:val="24"/>
      <w:szCs w:val="24"/>
    </w:rPr>
  </w:style>
  <w:style w:type="character" w:customStyle="1" w:styleId="87">
    <w:name w:val="标题 7 Char1"/>
    <w:link w:val="11"/>
    <w:qFormat/>
    <w:uiPriority w:val="0"/>
    <w:rPr>
      <w:rFonts w:ascii="Arial" w:hAnsi="Arial" w:eastAsia="黑体"/>
      <w:b/>
      <w:sz w:val="21"/>
      <w:szCs w:val="21"/>
    </w:rPr>
  </w:style>
  <w:style w:type="character" w:customStyle="1" w:styleId="88">
    <w:name w:val="标题 8 Char1"/>
    <w:link w:val="12"/>
    <w:qFormat/>
    <w:uiPriority w:val="0"/>
    <w:rPr>
      <w:rFonts w:ascii="Arial" w:hAnsi="Arial" w:eastAsia="黑体"/>
      <w:b/>
      <w:sz w:val="24"/>
      <w:szCs w:val="32"/>
    </w:rPr>
  </w:style>
  <w:style w:type="character" w:customStyle="1" w:styleId="89">
    <w:name w:val="标题 9 Char1"/>
    <w:link w:val="13"/>
    <w:qFormat/>
    <w:uiPriority w:val="0"/>
    <w:rPr>
      <w:rFonts w:ascii="Arial" w:hAnsi="Arial" w:eastAsia="黑体"/>
      <w:b/>
      <w:sz w:val="21"/>
      <w:szCs w:val="32"/>
    </w:rPr>
  </w:style>
  <w:style w:type="character" w:customStyle="1" w:styleId="90">
    <w:name w:val="注释标题 Char3"/>
    <w:link w:val="15"/>
    <w:qFormat/>
    <w:uiPriority w:val="0"/>
    <w:rPr>
      <w:rFonts w:eastAsia="黑体"/>
      <w:kern w:val="2"/>
      <w:sz w:val="28"/>
    </w:rPr>
  </w:style>
  <w:style w:type="character" w:customStyle="1" w:styleId="91">
    <w:name w:val="正文缩进 Char3"/>
    <w:link w:val="17"/>
    <w:qFormat/>
    <w:uiPriority w:val="0"/>
    <w:rPr>
      <w:rFonts w:eastAsia="宋体"/>
      <w:sz w:val="21"/>
      <w:lang w:val="en-US" w:eastAsia="zh-CN" w:bidi="ar-SA"/>
    </w:rPr>
  </w:style>
  <w:style w:type="character" w:customStyle="1" w:styleId="92">
    <w:name w:val="题注 Char2"/>
    <w:link w:val="18"/>
    <w:qFormat/>
    <w:uiPriority w:val="0"/>
    <w:rPr>
      <w:rFonts w:ascii="Arial" w:hAnsi="Arial" w:eastAsia="黑体" w:cs="Arial"/>
    </w:rPr>
  </w:style>
  <w:style w:type="character" w:customStyle="1" w:styleId="93">
    <w:name w:val="文档结构图 Char4"/>
    <w:link w:val="20"/>
    <w:qFormat/>
    <w:uiPriority w:val="0"/>
    <w:rPr>
      <w:kern w:val="2"/>
      <w:sz w:val="21"/>
      <w:szCs w:val="24"/>
      <w:shd w:val="clear" w:color="auto" w:fill="000080"/>
    </w:rPr>
  </w:style>
  <w:style w:type="character" w:customStyle="1" w:styleId="94">
    <w:name w:val="批注文字 Char3"/>
    <w:link w:val="22"/>
    <w:qFormat/>
    <w:uiPriority w:val="0"/>
    <w:rPr>
      <w:kern w:val="2"/>
      <w:sz w:val="21"/>
      <w:szCs w:val="24"/>
    </w:rPr>
  </w:style>
  <w:style w:type="character" w:customStyle="1" w:styleId="95">
    <w:name w:val="称呼 Char2"/>
    <w:link w:val="23"/>
    <w:qFormat/>
    <w:uiPriority w:val="0"/>
    <w:rPr>
      <w:szCs w:val="20"/>
    </w:rPr>
  </w:style>
  <w:style w:type="character" w:customStyle="1" w:styleId="96">
    <w:name w:val="正文文本 3 Char2"/>
    <w:link w:val="24"/>
    <w:qFormat/>
    <w:uiPriority w:val="0"/>
    <w:rPr>
      <w:szCs w:val="20"/>
    </w:rPr>
  </w:style>
  <w:style w:type="character" w:customStyle="1" w:styleId="97">
    <w:name w:val="正文文本 Char2"/>
    <w:link w:val="25"/>
    <w:qFormat/>
    <w:uiPriority w:val="0"/>
    <w:rPr>
      <w:rFonts w:ascii="Tahoma" w:hAnsi="Tahoma"/>
      <w:kern w:val="2"/>
      <w:sz w:val="21"/>
      <w:szCs w:val="24"/>
    </w:rPr>
  </w:style>
  <w:style w:type="character" w:customStyle="1" w:styleId="98">
    <w:name w:val="正文首行缩进 Char4"/>
    <w:link w:val="26"/>
    <w:qFormat/>
    <w:uiPriority w:val="0"/>
    <w:rPr>
      <w:rFonts w:ascii="仿宋_GB2312"/>
      <w:b/>
      <w:sz w:val="32"/>
      <w:szCs w:val="32"/>
    </w:rPr>
  </w:style>
  <w:style w:type="character" w:customStyle="1" w:styleId="99">
    <w:name w:val="纯文本 Char3"/>
    <w:link w:val="33"/>
    <w:qFormat/>
    <w:uiPriority w:val="99"/>
    <w:rPr>
      <w:rFonts w:ascii="宋体" w:hAnsi="Courier New" w:eastAsia="宋体"/>
      <w:kern w:val="2"/>
      <w:sz w:val="21"/>
      <w:lang w:val="en-US" w:eastAsia="zh-CN" w:bidi="ar-SA"/>
    </w:rPr>
  </w:style>
  <w:style w:type="character" w:customStyle="1" w:styleId="100">
    <w:name w:val="日期 Char3"/>
    <w:link w:val="36"/>
    <w:qFormat/>
    <w:uiPriority w:val="99"/>
    <w:rPr>
      <w:spacing w:val="12"/>
      <w:kern w:val="2"/>
      <w:sz w:val="24"/>
    </w:rPr>
  </w:style>
  <w:style w:type="character" w:customStyle="1" w:styleId="101">
    <w:name w:val="正文文本缩进 2 Char3"/>
    <w:link w:val="37"/>
    <w:qFormat/>
    <w:uiPriority w:val="0"/>
    <w:rPr>
      <w:kern w:val="2"/>
      <w:sz w:val="21"/>
      <w:szCs w:val="24"/>
    </w:rPr>
  </w:style>
  <w:style w:type="character" w:customStyle="1" w:styleId="102">
    <w:name w:val="批注框文本 Char3"/>
    <w:link w:val="38"/>
    <w:qFormat/>
    <w:uiPriority w:val="99"/>
    <w:rPr>
      <w:kern w:val="2"/>
      <w:sz w:val="18"/>
      <w:szCs w:val="18"/>
    </w:rPr>
  </w:style>
  <w:style w:type="character" w:customStyle="1" w:styleId="103">
    <w:name w:val="页脚 Char3"/>
    <w:link w:val="39"/>
    <w:qFormat/>
    <w:uiPriority w:val="0"/>
    <w:rPr>
      <w:kern w:val="2"/>
      <w:sz w:val="18"/>
      <w:szCs w:val="18"/>
    </w:rPr>
  </w:style>
  <w:style w:type="character" w:customStyle="1" w:styleId="104">
    <w:name w:val="页眉 Char3"/>
    <w:link w:val="40"/>
    <w:qFormat/>
    <w:uiPriority w:val="0"/>
    <w:rPr>
      <w:kern w:val="2"/>
      <w:sz w:val="18"/>
      <w:szCs w:val="18"/>
    </w:rPr>
  </w:style>
  <w:style w:type="character" w:customStyle="1" w:styleId="105">
    <w:name w:val="签名 Char2"/>
    <w:link w:val="41"/>
    <w:qFormat/>
    <w:uiPriority w:val="0"/>
    <w:rPr>
      <w:rFonts w:ascii="Tahoma" w:hAnsi="Tahoma" w:eastAsia="仿宋_GB2312"/>
      <w:sz w:val="24"/>
      <w:szCs w:val="20"/>
    </w:rPr>
  </w:style>
  <w:style w:type="character" w:customStyle="1" w:styleId="106">
    <w:name w:val="副标题 Char3"/>
    <w:link w:val="44"/>
    <w:qFormat/>
    <w:uiPriority w:val="0"/>
    <w:rPr>
      <w:rFonts w:ascii="Cambria" w:hAnsi="Cambria"/>
      <w:b/>
      <w:bCs/>
      <w:kern w:val="28"/>
      <w:sz w:val="32"/>
      <w:szCs w:val="32"/>
    </w:rPr>
  </w:style>
  <w:style w:type="character" w:customStyle="1" w:styleId="107">
    <w:name w:val="脚注文本 Char2"/>
    <w:link w:val="47"/>
    <w:qFormat/>
    <w:uiPriority w:val="99"/>
    <w:rPr>
      <w:kern w:val="2"/>
      <w:sz w:val="18"/>
      <w:szCs w:val="18"/>
    </w:rPr>
  </w:style>
  <w:style w:type="character" w:customStyle="1" w:styleId="108">
    <w:name w:val="正文文本缩进 3 Char3"/>
    <w:link w:val="49"/>
    <w:qFormat/>
    <w:uiPriority w:val="99"/>
    <w:rPr>
      <w:kern w:val="2"/>
      <w:sz w:val="16"/>
      <w:szCs w:val="16"/>
    </w:rPr>
  </w:style>
  <w:style w:type="character" w:customStyle="1" w:styleId="109">
    <w:name w:val="正文文本 2 Char3"/>
    <w:link w:val="52"/>
    <w:qFormat/>
    <w:uiPriority w:val="0"/>
    <w:rPr>
      <w:szCs w:val="20"/>
    </w:rPr>
  </w:style>
  <w:style w:type="character" w:customStyle="1" w:styleId="110">
    <w:name w:val="HTML 预设格式 Char3"/>
    <w:link w:val="53"/>
    <w:qFormat/>
    <w:uiPriority w:val="0"/>
    <w:rPr>
      <w:rFonts w:ascii="微软雅黑" w:hAnsi="微软雅黑" w:eastAsia="微软雅黑"/>
      <w:sz w:val="24"/>
      <w:szCs w:val="24"/>
    </w:rPr>
  </w:style>
  <w:style w:type="character" w:customStyle="1" w:styleId="111">
    <w:name w:val="普通(网站) Char1"/>
    <w:link w:val="54"/>
    <w:qFormat/>
    <w:uiPriority w:val="99"/>
    <w:rPr>
      <w:rFonts w:ascii="宋体" w:hAnsi="宋体"/>
      <w:color w:val="000000"/>
      <w:sz w:val="24"/>
      <w:szCs w:val="24"/>
    </w:rPr>
  </w:style>
  <w:style w:type="character" w:customStyle="1" w:styleId="112">
    <w:name w:val="标题 Char3"/>
    <w:link w:val="56"/>
    <w:qFormat/>
    <w:uiPriority w:val="0"/>
    <w:rPr>
      <w:rFonts w:ascii="Cambria" w:hAnsi="Cambria"/>
      <w:b/>
      <w:bCs/>
      <w:sz w:val="32"/>
      <w:szCs w:val="32"/>
    </w:rPr>
  </w:style>
  <w:style w:type="character" w:customStyle="1" w:styleId="113">
    <w:name w:val="批注主题 Char3"/>
    <w:link w:val="57"/>
    <w:qFormat/>
    <w:uiPriority w:val="0"/>
    <w:rPr>
      <w:b/>
      <w:bCs/>
      <w:kern w:val="2"/>
      <w:sz w:val="21"/>
      <w:szCs w:val="24"/>
    </w:rPr>
  </w:style>
  <w:style w:type="character" w:customStyle="1" w:styleId="114">
    <w:name w:val="标题样式 Char"/>
    <w:link w:val="115"/>
    <w:qFormat/>
    <w:uiPriority w:val="0"/>
    <w:rPr>
      <w:b/>
    </w:rPr>
  </w:style>
  <w:style w:type="paragraph" w:customStyle="1" w:styleId="115">
    <w:name w:val="标题样式"/>
    <w:basedOn w:val="1"/>
    <w:link w:val="114"/>
    <w:qFormat/>
    <w:uiPriority w:val="0"/>
    <w:pPr>
      <w:spacing w:before="156" w:beforeLines="50" w:after="156" w:afterLines="50"/>
    </w:pPr>
    <w:rPr>
      <w:b/>
      <w:kern w:val="0"/>
      <w:sz w:val="20"/>
      <w:szCs w:val="20"/>
    </w:rPr>
  </w:style>
  <w:style w:type="character" w:customStyle="1" w:styleId="116">
    <w:name w:val="heading 3 Char"/>
    <w:qFormat/>
    <w:uiPriority w:val="0"/>
    <w:rPr>
      <w:rFonts w:ascii="Arial" w:hAnsi="Arial" w:eastAsia="黑体"/>
      <w:b/>
      <w:sz w:val="28"/>
      <w:szCs w:val="24"/>
    </w:rPr>
  </w:style>
  <w:style w:type="character" w:customStyle="1" w:styleId="117">
    <w:name w:val="标题 Char2"/>
    <w:basedOn w:val="61"/>
    <w:uiPriority w:val="10"/>
    <w:rPr>
      <w:rFonts w:ascii="Cambria" w:hAnsi="Cambria" w:cs="Times New Roman"/>
      <w:b/>
      <w:bCs/>
      <w:kern w:val="2"/>
      <w:sz w:val="32"/>
      <w:szCs w:val="32"/>
    </w:rPr>
  </w:style>
  <w:style w:type="character" w:customStyle="1" w:styleId="118">
    <w:name w:val="Body正文 Char"/>
    <w:link w:val="119"/>
    <w:qFormat/>
    <w:uiPriority w:val="0"/>
    <w:rPr>
      <w:rFonts w:ascii="宋体" w:hAnsi="Times New Roman" w:cs="宋体"/>
      <w:sz w:val="24"/>
      <w:szCs w:val="30"/>
    </w:rPr>
  </w:style>
  <w:style w:type="paragraph" w:customStyle="1" w:styleId="119">
    <w:name w:val="Body正文"/>
    <w:basedOn w:val="1"/>
    <w:link w:val="118"/>
    <w:qFormat/>
    <w:uiPriority w:val="0"/>
    <w:pPr>
      <w:spacing w:line="360" w:lineRule="auto"/>
      <w:ind w:firstLine="480" w:firstLineChars="200"/>
      <w:textAlignment w:val="baseline"/>
    </w:pPr>
    <w:rPr>
      <w:rFonts w:ascii="宋体"/>
      <w:kern w:val="0"/>
      <w:sz w:val="24"/>
      <w:szCs w:val="30"/>
    </w:rPr>
  </w:style>
  <w:style w:type="character" w:customStyle="1" w:styleId="120">
    <w:name w:val="日期 Char1"/>
    <w:qFormat/>
    <w:uiPriority w:val="0"/>
    <w:rPr>
      <w:rFonts w:ascii="Calibri" w:hAnsi="Calibri" w:cs="黑体"/>
      <w:kern w:val="2"/>
      <w:sz w:val="24"/>
      <w:szCs w:val="22"/>
    </w:rPr>
  </w:style>
  <w:style w:type="character" w:customStyle="1" w:styleId="121">
    <w:name w:val="标题 Char1"/>
    <w:qFormat/>
    <w:uiPriority w:val="0"/>
    <w:rPr>
      <w:rFonts w:ascii="Cambria" w:hAnsi="Cambria" w:cs="Times New Roman"/>
      <w:b/>
      <w:bCs/>
      <w:kern w:val="2"/>
      <w:sz w:val="32"/>
      <w:szCs w:val="32"/>
    </w:rPr>
  </w:style>
  <w:style w:type="character" w:customStyle="1" w:styleId="122">
    <w:name w:val="图 字符"/>
    <w:basedOn w:val="61"/>
    <w:link w:val="123"/>
    <w:qFormat/>
    <w:locked/>
    <w:uiPriority w:val="0"/>
    <w:rPr>
      <w:snapToGrid w:val="0"/>
      <w:spacing w:val="20"/>
      <w:sz w:val="24"/>
    </w:rPr>
  </w:style>
  <w:style w:type="paragraph" w:customStyle="1" w:styleId="123">
    <w:name w:val="图"/>
    <w:basedOn w:val="1"/>
    <w:link w:val="122"/>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4">
    <w:name w:val="目录标题 Char"/>
    <w:link w:val="125"/>
    <w:qFormat/>
    <w:uiPriority w:val="0"/>
    <w:rPr>
      <w:rFonts w:eastAsia="黑体"/>
      <w:b/>
      <w:bCs/>
      <w:kern w:val="2"/>
      <w:sz w:val="44"/>
      <w:szCs w:val="44"/>
    </w:rPr>
  </w:style>
  <w:style w:type="paragraph" w:customStyle="1" w:styleId="125">
    <w:name w:val="目录标题1"/>
    <w:basedOn w:val="1"/>
    <w:link w:val="124"/>
    <w:qFormat/>
    <w:uiPriority w:val="0"/>
    <w:pPr>
      <w:jc w:val="center"/>
    </w:pPr>
    <w:rPr>
      <w:rFonts w:eastAsia="黑体"/>
      <w:b/>
      <w:bCs/>
      <w:sz w:val="44"/>
      <w:szCs w:val="44"/>
    </w:rPr>
  </w:style>
  <w:style w:type="character" w:customStyle="1" w:styleId="126">
    <w:name w:val="强调划线"/>
    <w:qFormat/>
    <w:uiPriority w:val="0"/>
    <w:rPr>
      <w:u w:val="single"/>
    </w:rPr>
  </w:style>
  <w:style w:type="character" w:customStyle="1" w:styleId="127">
    <w:name w:val="Char Char15"/>
    <w:qFormat/>
    <w:uiPriority w:val="0"/>
    <w:rPr>
      <w:rFonts w:ascii="Arial" w:hAnsi="Arial" w:eastAsia="黑体"/>
      <w:b/>
      <w:sz w:val="24"/>
      <w:szCs w:val="24"/>
    </w:rPr>
  </w:style>
  <w:style w:type="character" w:customStyle="1" w:styleId="128">
    <w:name w:val="四级标题 Char"/>
    <w:link w:val="129"/>
    <w:qFormat/>
    <w:uiPriority w:val="0"/>
    <w:rPr>
      <w:rFonts w:ascii="宋体" w:hAnsi="宋体"/>
      <w:b/>
      <w:bCs/>
      <w:sz w:val="24"/>
      <w:szCs w:val="32"/>
    </w:rPr>
  </w:style>
  <w:style w:type="paragraph" w:customStyle="1" w:styleId="129">
    <w:name w:val="四级标题"/>
    <w:basedOn w:val="8"/>
    <w:link w:val="128"/>
    <w:qFormat/>
    <w:uiPriority w:val="0"/>
    <w:pPr>
      <w:numPr>
        <w:ilvl w:val="1"/>
        <w:numId w:val="2"/>
      </w:numPr>
      <w:tabs>
        <w:tab w:val="left" w:pos="1485"/>
      </w:tabs>
      <w:spacing w:before="120" w:after="120" w:line="360" w:lineRule="auto"/>
      <w:ind w:left="851" w:firstLine="236" w:firstLineChars="177"/>
    </w:pPr>
    <w:rPr>
      <w:rFonts w:ascii="宋体" w:hAnsi="宋体"/>
      <w:kern w:val="0"/>
      <w:sz w:val="24"/>
      <w:szCs w:val="32"/>
    </w:rPr>
  </w:style>
  <w:style w:type="character" w:customStyle="1" w:styleId="130">
    <w:name w:val="标题1"/>
    <w:qFormat/>
    <w:uiPriority w:val="0"/>
  </w:style>
  <w:style w:type="character" w:customStyle="1" w:styleId="131">
    <w:name w:val="正文文本 Char"/>
    <w:qFormat/>
    <w:uiPriority w:val="0"/>
    <w:rPr>
      <w:rFonts w:ascii="仿宋_GB2312" w:eastAsia="宋体"/>
      <w:b/>
      <w:kern w:val="2"/>
      <w:sz w:val="21"/>
      <w:szCs w:val="24"/>
      <w:lang w:val="en-US" w:eastAsia="zh-CN" w:bidi="ar-SA"/>
    </w:rPr>
  </w:style>
  <w:style w:type="character" w:customStyle="1" w:styleId="132">
    <w:name w:val="doc"/>
    <w:qFormat/>
    <w:uiPriority w:val="0"/>
    <w:rPr>
      <w:szCs w:val="20"/>
    </w:rPr>
  </w:style>
  <w:style w:type="character" w:customStyle="1" w:styleId="133">
    <w:name w:val="舟-正文 Char"/>
    <w:link w:val="134"/>
    <w:qFormat/>
    <w:uiPriority w:val="0"/>
    <w:rPr>
      <w:rFonts w:eastAsia="仿宋_GB2312"/>
      <w:sz w:val="28"/>
      <w:szCs w:val="24"/>
    </w:rPr>
  </w:style>
  <w:style w:type="paragraph" w:customStyle="1" w:styleId="134">
    <w:name w:val="舟-正文"/>
    <w:basedOn w:val="1"/>
    <w:link w:val="133"/>
    <w:qFormat/>
    <w:uiPriority w:val="0"/>
    <w:pPr>
      <w:numPr>
        <w:ilvl w:val="0"/>
        <w:numId w:val="2"/>
      </w:numPr>
      <w:ind w:left="0" w:firstLine="200" w:firstLineChars="200"/>
    </w:pPr>
    <w:rPr>
      <w:rFonts w:eastAsia="仿宋_GB2312"/>
      <w:kern w:val="0"/>
      <w:sz w:val="28"/>
    </w:rPr>
  </w:style>
  <w:style w:type="character" w:customStyle="1" w:styleId="135">
    <w:name w:val="批注框文本 Char1"/>
    <w:semiHidden/>
    <w:qFormat/>
    <w:locked/>
    <w:uiPriority w:val="99"/>
    <w:rPr>
      <w:rFonts w:hint="eastAsia" w:ascii="Heiti SC Light" w:hAnsi="宋体" w:eastAsia="Heiti SC Light" w:cs="Times New Roman"/>
      <w:sz w:val="18"/>
      <w:szCs w:val="18"/>
    </w:rPr>
  </w:style>
  <w:style w:type="character" w:customStyle="1" w:styleId="136">
    <w:name w:val="注释题目"/>
    <w:qFormat/>
    <w:uiPriority w:val="0"/>
    <w:rPr>
      <w:rFonts w:eastAsia="黑体"/>
      <w:sz w:val="28"/>
      <w:u w:val="none"/>
    </w:rPr>
  </w:style>
  <w:style w:type="character" w:customStyle="1" w:styleId="137">
    <w:name w:val="标题 2 Char"/>
    <w:qFormat/>
    <w:uiPriority w:val="0"/>
    <w:rPr>
      <w:rFonts w:ascii="Arial" w:hAnsi="Arial" w:eastAsia="黑体"/>
      <w:b/>
      <w:bCs/>
      <w:kern w:val="2"/>
      <w:sz w:val="32"/>
      <w:szCs w:val="32"/>
      <w:lang w:val="en-US" w:eastAsia="zh-CN" w:bidi="ar-SA"/>
    </w:rPr>
  </w:style>
  <w:style w:type="character" w:customStyle="1" w:styleId="138">
    <w:name w:val="Char1"/>
    <w:qFormat/>
    <w:uiPriority w:val="0"/>
    <w:rPr>
      <w:rFonts w:ascii="宋体" w:hAnsi="宋体" w:eastAsia="宋体"/>
      <w:b/>
      <w:kern w:val="2"/>
      <w:sz w:val="24"/>
      <w:szCs w:val="24"/>
      <w:lang w:val="en-US" w:eastAsia="zh-CN" w:bidi="ar-SA"/>
    </w:rPr>
  </w:style>
  <w:style w:type="character" w:customStyle="1" w:styleId="139">
    <w:name w:val="正文首行缩进 Char3"/>
    <w:basedOn w:val="131"/>
    <w:semiHidden/>
    <w:uiPriority w:val="99"/>
  </w:style>
  <w:style w:type="character" w:customStyle="1" w:styleId="140">
    <w:name w:val="bjh-p"/>
    <w:qFormat/>
    <w:uiPriority w:val="0"/>
  </w:style>
  <w:style w:type="character" w:customStyle="1" w:styleId="141">
    <w:name w:val="正文文本首行缩进 字符"/>
    <w:uiPriority w:val="0"/>
    <w:rPr>
      <w:rFonts w:ascii="长城仿宋" w:hAnsi="长城仿宋"/>
      <w:kern w:val="2"/>
      <w:sz w:val="21"/>
    </w:rPr>
  </w:style>
  <w:style w:type="character" w:customStyle="1" w:styleId="142">
    <w:name w:val="正文文本缩进 Char1"/>
    <w:basedOn w:val="61"/>
    <w:semiHidden/>
    <w:uiPriority w:val="99"/>
    <w:rPr>
      <w:kern w:val="2"/>
      <w:sz w:val="21"/>
      <w:szCs w:val="24"/>
    </w:rPr>
  </w:style>
  <w:style w:type="character" w:customStyle="1" w:styleId="143">
    <w:name w:val="文档正文 Char1"/>
    <w:basedOn w:val="61"/>
    <w:qFormat/>
    <w:uiPriority w:val="0"/>
    <w:rPr>
      <w:rFonts w:ascii="宋体" w:hAnsi="Times New Roman"/>
      <w:spacing w:val="4"/>
      <w:sz w:val="24"/>
    </w:rPr>
  </w:style>
  <w:style w:type="character" w:customStyle="1" w:styleId="144">
    <w:name w:val="heading 5 Char1"/>
    <w:qFormat/>
    <w:uiPriority w:val="0"/>
    <w:rPr>
      <w:rFonts w:ascii="仿宋_GB2312" w:eastAsia="宋体"/>
      <w:b/>
      <w:bCs/>
      <w:kern w:val="2"/>
      <w:sz w:val="28"/>
      <w:szCs w:val="28"/>
      <w:lang w:val="en-US" w:eastAsia="zh-CN" w:bidi="ar-SA"/>
    </w:rPr>
  </w:style>
  <w:style w:type="character" w:customStyle="1" w:styleId="145">
    <w:name w:val="font71"/>
    <w:basedOn w:val="61"/>
    <w:qFormat/>
    <w:uiPriority w:val="0"/>
    <w:rPr>
      <w:rFonts w:hint="eastAsia" w:ascii="宋体" w:hAnsi="宋体" w:eastAsia="宋体" w:cs="宋体"/>
      <w:color w:val="000000"/>
      <w:sz w:val="21"/>
      <w:szCs w:val="21"/>
      <w:u w:val="none"/>
    </w:rPr>
  </w:style>
  <w:style w:type="character" w:customStyle="1" w:styleId="146">
    <w:name w:val="heading 3 Char2"/>
    <w:qFormat/>
    <w:uiPriority w:val="0"/>
    <w:rPr>
      <w:rFonts w:ascii="仿宋_GB2312" w:eastAsia="仿宋_GB2312"/>
      <w:b/>
      <w:bCs/>
      <w:kern w:val="2"/>
      <w:sz w:val="32"/>
      <w:szCs w:val="32"/>
    </w:rPr>
  </w:style>
  <w:style w:type="character" w:customStyle="1" w:styleId="147">
    <w:name w:val="正文内容 Char"/>
    <w:link w:val="148"/>
    <w:qFormat/>
    <w:locked/>
    <w:uiPriority w:val="0"/>
    <w:rPr>
      <w:rFonts w:ascii="宋体" w:hAnsi="宋体"/>
      <w:kern w:val="2"/>
      <w:sz w:val="24"/>
    </w:rPr>
  </w:style>
  <w:style w:type="paragraph" w:customStyle="1" w:styleId="148">
    <w:name w:val="正文内容"/>
    <w:basedOn w:val="1"/>
    <w:link w:val="147"/>
    <w:qFormat/>
    <w:uiPriority w:val="0"/>
    <w:pPr>
      <w:spacing w:line="360" w:lineRule="auto"/>
      <w:ind w:firstLine="480"/>
    </w:pPr>
    <w:rPr>
      <w:rFonts w:ascii="宋体" w:hAnsi="宋体"/>
      <w:sz w:val="24"/>
      <w:szCs w:val="20"/>
    </w:rPr>
  </w:style>
  <w:style w:type="character" w:customStyle="1" w:styleId="149">
    <w:name w:val="正文00 Char"/>
    <w:link w:val="150"/>
    <w:qFormat/>
    <w:uiPriority w:val="0"/>
    <w:rPr>
      <w:rFonts w:ascii="宋体" w:hAnsi="宋体"/>
      <w:kern w:val="2"/>
      <w:sz w:val="24"/>
      <w:szCs w:val="24"/>
    </w:rPr>
  </w:style>
  <w:style w:type="paragraph" w:customStyle="1" w:styleId="150">
    <w:name w:val="正文00"/>
    <w:basedOn w:val="1"/>
    <w:link w:val="149"/>
    <w:qFormat/>
    <w:uiPriority w:val="0"/>
    <w:pPr>
      <w:spacing w:line="360" w:lineRule="auto"/>
      <w:ind w:firstLine="480" w:firstLineChars="200"/>
    </w:pPr>
    <w:rPr>
      <w:rFonts w:ascii="宋体" w:hAnsi="宋体"/>
      <w:sz w:val="24"/>
    </w:rPr>
  </w:style>
  <w:style w:type="character" w:customStyle="1" w:styleId="151">
    <w:name w:val="批注主题 Char1"/>
    <w:qFormat/>
    <w:uiPriority w:val="0"/>
    <w:rPr>
      <w:b/>
      <w:bCs/>
      <w:kern w:val="2"/>
      <w:sz w:val="21"/>
      <w:szCs w:val="24"/>
    </w:rPr>
  </w:style>
  <w:style w:type="character" w:customStyle="1" w:styleId="152">
    <w:name w:val="Char Char16"/>
    <w:qFormat/>
    <w:uiPriority w:val="0"/>
    <w:rPr>
      <w:rFonts w:ascii="仿宋_GB2312" w:eastAsia="仿宋_GB2312"/>
      <w:b/>
      <w:bCs/>
      <w:kern w:val="2"/>
      <w:sz w:val="28"/>
      <w:szCs w:val="28"/>
    </w:rPr>
  </w:style>
  <w:style w:type="character" w:customStyle="1" w:styleId="153">
    <w:name w:val="目录标题 Char Char"/>
    <w:qFormat/>
    <w:uiPriority w:val="0"/>
    <w:rPr>
      <w:rFonts w:eastAsia="黑体"/>
      <w:b/>
      <w:bCs/>
      <w:kern w:val="2"/>
      <w:sz w:val="44"/>
      <w:szCs w:val="44"/>
    </w:rPr>
  </w:style>
  <w:style w:type="character" w:customStyle="1" w:styleId="154">
    <w:name w:val="Ò³Ã¼ Char Char2"/>
    <w:qFormat/>
    <w:uiPriority w:val="0"/>
    <w:rPr>
      <w:rFonts w:ascii="仿宋_GB2312" w:eastAsia="仿宋_GB2312"/>
      <w:b/>
      <w:kern w:val="2"/>
      <w:sz w:val="18"/>
      <w:szCs w:val="18"/>
    </w:rPr>
  </w:style>
  <w:style w:type="character" w:customStyle="1" w:styleId="155">
    <w:name w:val="样式 数字编号正文"/>
    <w:qFormat/>
    <w:uiPriority w:val="0"/>
    <w:rPr>
      <w:rFonts w:hint="eastAsia" w:ascii="宋体" w:hAnsi="宋体" w:eastAsia="宋体"/>
      <w:color w:val="000000"/>
    </w:rPr>
  </w:style>
  <w:style w:type="character" w:customStyle="1" w:styleId="156">
    <w:name w:val="大标题 Char"/>
    <w:link w:val="157"/>
    <w:qFormat/>
    <w:uiPriority w:val="0"/>
    <w:rPr>
      <w:rFonts w:ascii="黑体" w:hAnsi="黑体" w:eastAsia="黑体"/>
      <w:b/>
      <w:bCs/>
      <w:kern w:val="2"/>
      <w:sz w:val="72"/>
      <w:szCs w:val="72"/>
    </w:rPr>
  </w:style>
  <w:style w:type="paragraph" w:customStyle="1" w:styleId="157">
    <w:name w:val="大标题"/>
    <w:basedOn w:val="1"/>
    <w:link w:val="156"/>
    <w:qFormat/>
    <w:uiPriority w:val="0"/>
    <w:pPr>
      <w:spacing w:line="40" w:lineRule="atLeast"/>
    </w:pPr>
    <w:rPr>
      <w:rFonts w:ascii="黑体" w:hAnsi="黑体" w:eastAsia="黑体"/>
      <w:b/>
      <w:bCs/>
      <w:sz w:val="72"/>
      <w:szCs w:val="72"/>
    </w:rPr>
  </w:style>
  <w:style w:type="character" w:customStyle="1" w:styleId="158">
    <w:name w:val="Footer-Even Char1"/>
    <w:qFormat/>
    <w:uiPriority w:val="0"/>
    <w:rPr>
      <w:rFonts w:ascii="仿宋_GB2312" w:eastAsia="宋体"/>
      <w:b/>
      <w:kern w:val="2"/>
      <w:sz w:val="18"/>
      <w:szCs w:val="18"/>
      <w:lang w:val="en-US" w:eastAsia="zh-CN" w:bidi="ar-SA"/>
    </w:rPr>
  </w:style>
  <w:style w:type="character" w:customStyle="1" w:styleId="159">
    <w:name w:val="Char Char211"/>
    <w:qFormat/>
    <w:uiPriority w:val="0"/>
    <w:rPr>
      <w:rFonts w:ascii="Times New Roman" w:hAnsi="Times New Roman" w:eastAsia="宋体" w:cs="Times New Roman"/>
      <w:b/>
      <w:bCs/>
      <w:kern w:val="44"/>
      <w:sz w:val="44"/>
      <w:szCs w:val="44"/>
    </w:rPr>
  </w:style>
  <w:style w:type="character" w:customStyle="1" w:styleId="160">
    <w:name w:val="注释标题 Char"/>
    <w:qFormat/>
    <w:uiPriority w:val="0"/>
    <w:rPr>
      <w:rFonts w:eastAsia="黑体"/>
      <w:kern w:val="2"/>
      <w:sz w:val="28"/>
    </w:rPr>
  </w:style>
  <w:style w:type="character" w:customStyle="1" w:styleId="161">
    <w:name w:val="1.1.1.1 字符"/>
    <w:basedOn w:val="61"/>
    <w:link w:val="162"/>
    <w:qFormat/>
    <w:uiPriority w:val="0"/>
    <w:rPr>
      <w:rFonts w:ascii="Cambria" w:hAnsi="Cambria" w:eastAsia="仿宋_GB2312"/>
      <w:b/>
      <w:bCs/>
      <w:kern w:val="2"/>
      <w:sz w:val="28"/>
      <w:szCs w:val="28"/>
    </w:rPr>
  </w:style>
  <w:style w:type="paragraph" w:customStyle="1" w:styleId="162">
    <w:name w:val="1.1.1.1"/>
    <w:basedOn w:val="1"/>
    <w:next w:val="1"/>
    <w:link w:val="161"/>
    <w:qFormat/>
    <w:uiPriority w:val="0"/>
    <w:pPr>
      <w:keepNext/>
      <w:keepLines/>
      <w:numPr>
        <w:ilvl w:val="3"/>
        <w:numId w:val="0"/>
      </w:numPr>
      <w:spacing w:line="360" w:lineRule="auto"/>
      <w:outlineLvl w:val="3"/>
    </w:pPr>
    <w:rPr>
      <w:rFonts w:ascii="Cambria" w:hAnsi="Cambria" w:eastAsia="仿宋_GB2312"/>
      <w:b/>
      <w:bCs/>
      <w:sz w:val="28"/>
      <w:szCs w:val="28"/>
    </w:rPr>
  </w:style>
  <w:style w:type="character" w:customStyle="1" w:styleId="163">
    <w:name w:val="符号正文缩进 Char Char"/>
    <w:qFormat/>
    <w:uiPriority w:val="0"/>
    <w:rPr>
      <w:sz w:val="24"/>
    </w:rPr>
  </w:style>
  <w:style w:type="character" w:customStyle="1" w:styleId="164">
    <w:name w:val="font81"/>
    <w:basedOn w:val="61"/>
    <w:qFormat/>
    <w:uiPriority w:val="0"/>
    <w:rPr>
      <w:rFonts w:hint="eastAsia" w:ascii="宋体" w:hAnsi="宋体" w:eastAsia="宋体" w:cs="宋体"/>
      <w:b/>
      <w:color w:val="000000"/>
      <w:sz w:val="21"/>
      <w:szCs w:val="21"/>
      <w:u w:val="none"/>
    </w:rPr>
  </w:style>
  <w:style w:type="character" w:customStyle="1" w:styleId="165">
    <w:name w:val="副标题 Char2"/>
    <w:basedOn w:val="61"/>
    <w:uiPriority w:val="11"/>
    <w:rPr>
      <w:rFonts w:ascii="Cambria" w:hAnsi="Cambria" w:cs="Times New Roman"/>
      <w:b/>
      <w:bCs/>
      <w:kern w:val="28"/>
      <w:sz w:val="32"/>
      <w:szCs w:val="32"/>
    </w:rPr>
  </w:style>
  <w:style w:type="character" w:customStyle="1" w:styleId="166">
    <w:name w:val="bookmark-item"/>
    <w:basedOn w:val="61"/>
    <w:uiPriority w:val="0"/>
  </w:style>
  <w:style w:type="character" w:customStyle="1" w:styleId="167">
    <w:name w:val="正文首行缩进 Char2"/>
    <w:qFormat/>
    <w:uiPriority w:val="0"/>
    <w:rPr>
      <w:rFonts w:ascii="仿宋_GB2312"/>
      <w:b/>
      <w:sz w:val="32"/>
      <w:szCs w:val="32"/>
    </w:rPr>
  </w:style>
  <w:style w:type="character" w:customStyle="1" w:styleId="168">
    <w:name w:val="文档结构图 Char3"/>
    <w:basedOn w:val="61"/>
    <w:semiHidden/>
    <w:uiPriority w:val="99"/>
    <w:rPr>
      <w:rFonts w:ascii="宋体"/>
      <w:kern w:val="2"/>
      <w:sz w:val="18"/>
      <w:szCs w:val="18"/>
    </w:rPr>
  </w:style>
  <w:style w:type="character" w:customStyle="1" w:styleId="169">
    <w:name w:val="BZ_三级标题 Char"/>
    <w:basedOn w:val="61"/>
    <w:link w:val="170"/>
    <w:qFormat/>
    <w:uiPriority w:val="0"/>
    <w:rPr>
      <w:rFonts w:ascii="Times New Roman" w:hAnsi="Times New Roman" w:eastAsia="黑体"/>
      <w:b/>
      <w:sz w:val="28"/>
      <w:szCs w:val="28"/>
      <w:lang w:val="zh-CN"/>
    </w:rPr>
  </w:style>
  <w:style w:type="paragraph" w:customStyle="1" w:styleId="170">
    <w:name w:val="BZ_三级标题"/>
    <w:basedOn w:val="7"/>
    <w:next w:val="1"/>
    <w:link w:val="169"/>
    <w:qFormat/>
    <w:uiPriority w:val="0"/>
    <w:pPr>
      <w:keepNext w:val="0"/>
      <w:keepLines w:val="0"/>
      <w:widowControl/>
      <w:tabs>
        <w:tab w:val="left" w:pos="284"/>
        <w:tab w:val="left" w:pos="720"/>
      </w:tabs>
      <w:spacing w:before="0" w:beforeLines="50" w:after="0" w:afterLines="50" w:line="240" w:lineRule="auto"/>
      <w:ind w:left="720" w:hanging="720"/>
    </w:pPr>
    <w:rPr>
      <w:rFonts w:ascii="Times New Roman" w:hAnsi="Times New Roman" w:eastAsia="黑体"/>
      <w:bCs w:val="0"/>
      <w:kern w:val="0"/>
      <w:sz w:val="28"/>
      <w:szCs w:val="28"/>
      <w:lang w:val="zh-CN" w:eastAsia="zh-CN"/>
    </w:rPr>
  </w:style>
  <w:style w:type="character" w:customStyle="1" w:styleId="171">
    <w:name w:val="样式2 Char Char"/>
    <w:link w:val="172"/>
    <w:qFormat/>
    <w:uiPriority w:val="0"/>
    <w:rPr>
      <w:rFonts w:ascii="宋体" w:hAnsi="宋体"/>
      <w:b/>
      <w:bCs/>
      <w:kern w:val="2"/>
      <w:sz w:val="28"/>
      <w:szCs w:val="28"/>
    </w:rPr>
  </w:style>
  <w:style w:type="paragraph" w:customStyle="1" w:styleId="172">
    <w:name w:val="样式2"/>
    <w:basedOn w:val="6"/>
    <w:link w:val="171"/>
    <w:qFormat/>
    <w:uiPriority w:val="0"/>
    <w:pPr>
      <w:snapToGrid w:val="0"/>
      <w:spacing w:after="156" w:afterLines="50" w:line="480" w:lineRule="exact"/>
      <w:ind w:firstLine="556"/>
    </w:pPr>
    <w:rPr>
      <w:rFonts w:ascii="宋体" w:hAnsi="宋体" w:eastAsia="宋体"/>
      <w:sz w:val="28"/>
      <w:szCs w:val="28"/>
    </w:rPr>
  </w:style>
  <w:style w:type="character" w:customStyle="1" w:styleId="173">
    <w:name w:val="*正文 Char Char"/>
    <w:qFormat/>
    <w:uiPriority w:val="0"/>
    <w:rPr>
      <w:rFonts w:hint="default" w:ascii="Times New Roman" w:hAnsi="Times New Roman" w:cs="Times New Roman"/>
      <w:sz w:val="28"/>
    </w:rPr>
  </w:style>
  <w:style w:type="character" w:customStyle="1" w:styleId="174">
    <w:name w:val="批注框文本 Char2"/>
    <w:basedOn w:val="61"/>
    <w:semiHidden/>
    <w:uiPriority w:val="99"/>
    <w:rPr>
      <w:kern w:val="2"/>
      <w:sz w:val="18"/>
      <w:szCs w:val="18"/>
    </w:rPr>
  </w:style>
  <w:style w:type="character" w:customStyle="1" w:styleId="175">
    <w:name w:val="纯文本 Char2"/>
    <w:basedOn w:val="61"/>
    <w:semiHidden/>
    <w:uiPriority w:val="99"/>
    <w:rPr>
      <w:rFonts w:ascii="宋体" w:hAnsi="Courier New" w:cs="Courier New"/>
      <w:kern w:val="2"/>
      <w:sz w:val="21"/>
      <w:szCs w:val="21"/>
    </w:rPr>
  </w:style>
  <w:style w:type="character" w:customStyle="1" w:styleId="176">
    <w:name w:val="Footer-Even Char"/>
    <w:qFormat/>
    <w:uiPriority w:val="0"/>
    <w:rPr>
      <w:rFonts w:ascii="仿宋_GB2312" w:eastAsia="仿宋_GB2312"/>
      <w:b/>
      <w:sz w:val="18"/>
      <w:szCs w:val="18"/>
    </w:rPr>
  </w:style>
  <w:style w:type="character" w:customStyle="1" w:styleId="177">
    <w:name w:val="font191"/>
    <w:basedOn w:val="61"/>
    <w:qFormat/>
    <w:uiPriority w:val="0"/>
    <w:rPr>
      <w:rFonts w:hint="default" w:ascii="Times New Roman" w:hAnsi="Times New Roman" w:cs="Times New Roman"/>
      <w:color w:val="000000"/>
      <w:sz w:val="21"/>
      <w:szCs w:val="21"/>
      <w:u w:val="none"/>
    </w:rPr>
  </w:style>
  <w:style w:type="character" w:customStyle="1" w:styleId="178">
    <w:name w:val="正文首行缩进 Char"/>
    <w:qFormat/>
    <w:uiPriority w:val="0"/>
    <w:rPr>
      <w:rFonts w:ascii="仿宋_GB2312" w:eastAsia="宋体"/>
      <w:b/>
      <w:kern w:val="2"/>
      <w:sz w:val="21"/>
      <w:szCs w:val="24"/>
      <w:lang w:val="en-US" w:eastAsia="zh-CN" w:bidi="ar-SA"/>
    </w:rPr>
  </w:style>
  <w:style w:type="character" w:customStyle="1" w:styleId="179">
    <w:name w:val="1.1.1 字符"/>
    <w:basedOn w:val="61"/>
    <w:link w:val="180"/>
    <w:qFormat/>
    <w:uiPriority w:val="0"/>
    <w:rPr>
      <w:rFonts w:ascii="Times New Roman" w:hAnsi="Times New Roman" w:eastAsia="仿宋_GB2312"/>
      <w:b/>
      <w:bCs/>
      <w:sz w:val="28"/>
      <w:szCs w:val="32"/>
    </w:rPr>
  </w:style>
  <w:style w:type="paragraph" w:customStyle="1" w:styleId="180">
    <w:name w:val="1.1.1"/>
    <w:basedOn w:val="1"/>
    <w:next w:val="162"/>
    <w:link w:val="179"/>
    <w:qFormat/>
    <w:uiPriority w:val="0"/>
    <w:pPr>
      <w:keepNext/>
      <w:keepLines/>
      <w:numPr>
        <w:ilvl w:val="2"/>
        <w:numId w:val="0"/>
      </w:numPr>
      <w:tabs>
        <w:tab w:val="left" w:pos="567"/>
      </w:tabs>
      <w:spacing w:line="360" w:lineRule="auto"/>
      <w:outlineLvl w:val="2"/>
    </w:pPr>
    <w:rPr>
      <w:rFonts w:ascii="Times New Roman" w:hAnsi="Times New Roman" w:eastAsia="仿宋_GB2312"/>
      <w:b/>
      <w:bCs/>
      <w:kern w:val="0"/>
      <w:sz w:val="28"/>
      <w:szCs w:val="32"/>
    </w:rPr>
  </w:style>
  <w:style w:type="character" w:customStyle="1" w:styleId="181">
    <w:name w:val="无间隔 Char"/>
    <w:link w:val="182"/>
    <w:qFormat/>
    <w:uiPriority w:val="0"/>
    <w:rPr>
      <w:sz w:val="22"/>
      <w:szCs w:val="22"/>
      <w:lang w:val="en-US" w:eastAsia="zh-CN" w:bidi="ar-SA"/>
    </w:rPr>
  </w:style>
  <w:style w:type="paragraph" w:customStyle="1" w:styleId="182">
    <w:name w:val="No Spacing"/>
    <w:link w:val="181"/>
    <w:qFormat/>
    <w:uiPriority w:val="0"/>
    <w:rPr>
      <w:sz w:val="22"/>
      <w:szCs w:val="22"/>
      <w:lang w:val="en-US" w:eastAsia="zh-CN" w:bidi="ar-SA"/>
    </w:rPr>
  </w:style>
  <w:style w:type="character" w:customStyle="1" w:styleId="183">
    <w:name w:val="样式4 Char"/>
    <w:link w:val="184"/>
    <w:qFormat/>
    <w:uiPriority w:val="0"/>
    <w:rPr>
      <w:rFonts w:ascii="Arial" w:hAnsi="Arial" w:eastAsia="黑体"/>
      <w:b/>
      <w:bCs/>
      <w:kern w:val="2"/>
      <w:sz w:val="24"/>
      <w:szCs w:val="28"/>
    </w:rPr>
  </w:style>
  <w:style w:type="paragraph" w:customStyle="1" w:styleId="184">
    <w:name w:val="样式4"/>
    <w:basedOn w:val="185"/>
    <w:next w:val="1"/>
    <w:link w:val="183"/>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5">
    <w:name w:val="4级"/>
    <w:basedOn w:val="8"/>
    <w:next w:val="2"/>
    <w:qFormat/>
    <w:uiPriority w:val="0"/>
    <w:pPr>
      <w:keepNext w:val="0"/>
      <w:numPr>
        <w:ilvl w:val="3"/>
        <w:numId w:val="3"/>
      </w:numPr>
      <w:adjustRightInd w:val="0"/>
      <w:spacing w:beforeLines="50" w:afterLines="50" w:line="376" w:lineRule="auto"/>
      <w:ind w:right="210" w:rightChars="100"/>
      <w:jc w:val="left"/>
      <w:textAlignment w:val="baseline"/>
    </w:pPr>
    <w:rPr>
      <w:kern w:val="0"/>
      <w:sz w:val="24"/>
    </w:rPr>
  </w:style>
  <w:style w:type="character" w:customStyle="1" w:styleId="186">
    <w:name w:val="blue1"/>
    <w:qFormat/>
    <w:uiPriority w:val="0"/>
    <w:rPr>
      <w:rFonts w:ascii="仿宋_GB2312" w:hAnsi="Tahoma" w:eastAsia="仿宋_GB2312"/>
      <w:b/>
      <w:sz w:val="32"/>
      <w:szCs w:val="32"/>
    </w:rPr>
  </w:style>
  <w:style w:type="character" w:customStyle="1" w:styleId="187">
    <w:name w:val="题注(图注) Char"/>
    <w:qFormat/>
    <w:uiPriority w:val="0"/>
    <w:rPr>
      <w:rFonts w:ascii="Arial Unicode MS" w:hAnsi="Arial Unicode MS" w:eastAsia="宋体" w:cs="宋体"/>
      <w:szCs w:val="20"/>
      <w:lang w:val="en-US" w:eastAsia="zh-CN"/>
    </w:rPr>
  </w:style>
  <w:style w:type="character" w:customStyle="1" w:styleId="188">
    <w:name w:val="upload"/>
    <w:qFormat/>
    <w:uiPriority w:val="0"/>
    <w:rPr>
      <w:szCs w:val="20"/>
    </w:rPr>
  </w:style>
  <w:style w:type="character" w:customStyle="1" w:styleId="189">
    <w:name w:val="A6"/>
    <w:qFormat/>
    <w:uiPriority w:val="0"/>
    <w:rPr>
      <w:rFonts w:cs="Helvetica Neue"/>
      <w:color w:val="3E667A"/>
      <w:sz w:val="14"/>
      <w:szCs w:val="14"/>
    </w:rPr>
  </w:style>
  <w:style w:type="character" w:customStyle="1" w:styleId="190">
    <w:name w:val="Char Char17"/>
    <w:qFormat/>
    <w:uiPriority w:val="0"/>
    <w:rPr>
      <w:rFonts w:ascii="Cambria" w:hAnsi="Cambria" w:eastAsia="仿宋_GB2312"/>
      <w:b/>
      <w:bCs/>
      <w:kern w:val="2"/>
      <w:sz w:val="28"/>
      <w:szCs w:val="28"/>
    </w:rPr>
  </w:style>
  <w:style w:type="character" w:customStyle="1" w:styleId="191">
    <w:name w:val="A3"/>
    <w:qFormat/>
    <w:uiPriority w:val="0"/>
    <w:rPr>
      <w:rFonts w:ascii="ZapfDingbatsNr2EFOP-Regular" w:eastAsia="ZapfDingbatsNr2EFOP-Regular" w:cs="ZapfDingbatsNr2EFOP-Regular"/>
      <w:color w:val="211D1E"/>
      <w:sz w:val="14"/>
      <w:szCs w:val="14"/>
    </w:rPr>
  </w:style>
  <w:style w:type="character" w:customStyle="1" w:styleId="192">
    <w:name w:val="正文文本缩进 2 Char"/>
    <w:qFormat/>
    <w:uiPriority w:val="0"/>
    <w:rPr>
      <w:kern w:val="2"/>
      <w:sz w:val="21"/>
      <w:szCs w:val="24"/>
    </w:rPr>
  </w:style>
  <w:style w:type="character" w:customStyle="1" w:styleId="193">
    <w:name w:val="Title1"/>
    <w:qFormat/>
    <w:uiPriority w:val="0"/>
  </w:style>
  <w:style w:type="character" w:customStyle="1" w:styleId="194">
    <w:name w:val="表格题注 Char"/>
    <w:link w:val="195"/>
    <w:qFormat/>
    <w:uiPriority w:val="0"/>
    <w:rPr>
      <w:rFonts w:ascii="Calibri Light" w:hAnsi="Calibri Light" w:eastAsia="黑体" w:cs="黑体"/>
      <w:bCs/>
      <w:kern w:val="2"/>
      <w:sz w:val="21"/>
      <w:szCs w:val="21"/>
    </w:rPr>
  </w:style>
  <w:style w:type="paragraph" w:customStyle="1" w:styleId="195">
    <w:name w:val="表格题注"/>
    <w:basedOn w:val="18"/>
    <w:link w:val="194"/>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196">
    <w:name w:val="s1"/>
    <w:basedOn w:val="61"/>
    <w:qFormat/>
    <w:uiPriority w:val="0"/>
    <w:rPr>
      <w:rFonts w:ascii="Helvetica Neue" w:hAnsi="Helvetica Neue" w:eastAsia="Helvetica Neue" w:cs="Helvetica Neue"/>
      <w:sz w:val="28"/>
      <w:szCs w:val="28"/>
    </w:rPr>
  </w:style>
  <w:style w:type="character" w:customStyle="1" w:styleId="197">
    <w:name w:val="纯文本 Char_0"/>
    <w:link w:val="198"/>
    <w:qFormat/>
    <w:locked/>
    <w:uiPriority w:val="0"/>
    <w:rPr>
      <w:rFonts w:ascii="宋体" w:hAnsi="Courier New"/>
      <w:szCs w:val="21"/>
    </w:rPr>
  </w:style>
  <w:style w:type="paragraph" w:customStyle="1" w:styleId="198">
    <w:name w:val="纯文本_0_0"/>
    <w:basedOn w:val="1"/>
    <w:link w:val="197"/>
    <w:qFormat/>
    <w:uiPriority w:val="0"/>
    <w:rPr>
      <w:rFonts w:ascii="宋体" w:hAnsi="Courier New"/>
      <w:kern w:val="0"/>
      <w:sz w:val="20"/>
      <w:szCs w:val="21"/>
    </w:rPr>
  </w:style>
  <w:style w:type="character" w:customStyle="1" w:styleId="199">
    <w:name w:val="表格标题 Char Char"/>
    <w:qFormat/>
    <w:uiPriority w:val="0"/>
    <w:rPr>
      <w:rFonts w:ascii="黑体" w:hAnsi="黑体" w:eastAsia="黑体"/>
      <w:b/>
      <w:color w:val="FFFFFF"/>
      <w:kern w:val="2"/>
      <w:sz w:val="21"/>
      <w:szCs w:val="24"/>
    </w:rPr>
  </w:style>
  <w:style w:type="character" w:customStyle="1" w:styleId="200">
    <w:name w:val="15"/>
    <w:basedOn w:val="61"/>
    <w:qFormat/>
    <w:uiPriority w:val="0"/>
    <w:rPr>
      <w:rFonts w:hint="default" w:ascii="Times New Roman" w:hAnsi="Times New Roman" w:cs="Times New Roman"/>
      <w:b/>
    </w:rPr>
  </w:style>
  <w:style w:type="character" w:customStyle="1" w:styleId="201">
    <w:name w:val="1111111 字符"/>
    <w:link w:val="202"/>
    <w:qFormat/>
    <w:locked/>
    <w:uiPriority w:val="0"/>
    <w:rPr>
      <w:sz w:val="24"/>
      <w:szCs w:val="24"/>
    </w:rPr>
  </w:style>
  <w:style w:type="paragraph" w:customStyle="1" w:styleId="202">
    <w:name w:val="1111111"/>
    <w:basedOn w:val="1"/>
    <w:link w:val="201"/>
    <w:qFormat/>
    <w:uiPriority w:val="0"/>
    <w:pPr>
      <w:spacing w:line="360" w:lineRule="auto"/>
      <w:ind w:firstLine="420"/>
    </w:pPr>
    <w:rPr>
      <w:kern w:val="0"/>
      <w:sz w:val="24"/>
    </w:rPr>
  </w:style>
  <w:style w:type="character" w:customStyle="1" w:styleId="203">
    <w:name w:val="标正文 Char"/>
    <w:link w:val="204"/>
    <w:qFormat/>
    <w:uiPriority w:val="0"/>
    <w:rPr>
      <w:rFonts w:ascii="宋体" w:hAnsi="宋体" w:eastAsia="宋体" w:cs="Times New Roman"/>
      <w:sz w:val="24"/>
      <w:szCs w:val="28"/>
    </w:rPr>
  </w:style>
  <w:style w:type="paragraph" w:customStyle="1" w:styleId="204">
    <w:name w:val="标正文"/>
    <w:basedOn w:val="1"/>
    <w:link w:val="203"/>
    <w:qFormat/>
    <w:uiPriority w:val="0"/>
    <w:pPr>
      <w:adjustRightInd w:val="0"/>
      <w:snapToGrid w:val="0"/>
      <w:spacing w:line="360" w:lineRule="auto"/>
      <w:ind w:firstLine="560"/>
    </w:pPr>
    <w:rPr>
      <w:rFonts w:ascii="宋体" w:hAnsi="宋体"/>
      <w:kern w:val="0"/>
      <w:sz w:val="24"/>
      <w:szCs w:val="28"/>
    </w:rPr>
  </w:style>
  <w:style w:type="character" w:customStyle="1" w:styleId="205">
    <w:name w:val="正文靠右 Char"/>
    <w:link w:val="206"/>
    <w:qFormat/>
    <w:uiPriority w:val="0"/>
    <w:rPr>
      <w:kern w:val="2"/>
      <w:sz w:val="21"/>
      <w:szCs w:val="24"/>
    </w:rPr>
  </w:style>
  <w:style w:type="paragraph" w:customStyle="1" w:styleId="206">
    <w:name w:val="正文靠右"/>
    <w:basedOn w:val="1"/>
    <w:link w:val="205"/>
    <w:qFormat/>
    <w:uiPriority w:val="0"/>
    <w:pPr>
      <w:jc w:val="right"/>
    </w:pPr>
  </w:style>
  <w:style w:type="character" w:customStyle="1" w:styleId="207">
    <w:name w:val="正文缩进 Char"/>
    <w:qFormat/>
    <w:uiPriority w:val="0"/>
    <w:rPr>
      <w:rFonts w:eastAsia="仿宋_GB2312"/>
      <w:sz w:val="21"/>
      <w:lang w:val="en-US" w:eastAsia="zh-CN" w:bidi="ar-SA"/>
    </w:rPr>
  </w:style>
  <w:style w:type="character" w:customStyle="1" w:styleId="208">
    <w:name w:val="p91"/>
    <w:qFormat/>
    <w:uiPriority w:val="0"/>
    <w:rPr>
      <w:rFonts w:hint="eastAsia" w:ascii="宋体" w:hAnsi="宋体" w:eastAsia="宋体"/>
      <w:spacing w:val="360"/>
      <w:sz w:val="18"/>
      <w:szCs w:val="18"/>
    </w:rPr>
  </w:style>
  <w:style w:type="character" w:customStyle="1" w:styleId="209">
    <w:name w:val="font161"/>
    <w:qFormat/>
    <w:uiPriority w:val="0"/>
    <w:rPr>
      <w:b/>
      <w:bCs/>
      <w:sz w:val="32"/>
      <w:szCs w:val="32"/>
    </w:rPr>
  </w:style>
  <w:style w:type="character" w:customStyle="1" w:styleId="210">
    <w:name w:val="正文文本缩进 2 Char1"/>
    <w:qFormat/>
    <w:uiPriority w:val="0"/>
    <w:rPr>
      <w:kern w:val="2"/>
      <w:sz w:val="21"/>
      <w:szCs w:val="24"/>
    </w:rPr>
  </w:style>
  <w:style w:type="character" w:customStyle="1" w:styleId="211">
    <w:name w:val="样式 正文文本 Char Char Char"/>
    <w:qFormat/>
    <w:uiPriority w:val="0"/>
    <w:rPr>
      <w:rFonts w:ascii="Arial" w:hAnsi="Arial" w:eastAsia="宋体"/>
      <w:color w:val="000000"/>
      <w:kern w:val="2"/>
      <w:sz w:val="21"/>
      <w:lang w:val="en-US" w:eastAsia="zh-CN" w:bidi="ar-SA"/>
    </w:rPr>
  </w:style>
  <w:style w:type="character" w:customStyle="1" w:styleId="212">
    <w:name w:val="哈哈正文 Char"/>
    <w:link w:val="213"/>
    <w:qFormat/>
    <w:uiPriority w:val="0"/>
    <w:rPr>
      <w:rFonts w:ascii="宋体" w:hAnsi="宋体" w:cs="宋体"/>
      <w:kern w:val="2"/>
      <w:sz w:val="24"/>
    </w:rPr>
  </w:style>
  <w:style w:type="paragraph" w:customStyle="1" w:styleId="213">
    <w:name w:val="哈哈正文"/>
    <w:basedOn w:val="1"/>
    <w:link w:val="212"/>
    <w:qFormat/>
    <w:uiPriority w:val="0"/>
    <w:pPr>
      <w:spacing w:line="360" w:lineRule="auto"/>
      <w:ind w:firstLine="200" w:firstLineChars="200"/>
    </w:pPr>
    <w:rPr>
      <w:rFonts w:ascii="宋体" w:hAnsi="宋体"/>
      <w:sz w:val="24"/>
      <w:szCs w:val="20"/>
    </w:rPr>
  </w:style>
  <w:style w:type="character" w:customStyle="1" w:styleId="214">
    <w:name w:val="*正文 Char"/>
    <w:link w:val="215"/>
    <w:qFormat/>
    <w:uiPriority w:val="0"/>
    <w:rPr>
      <w:rFonts w:ascii="仿宋_GB2312" w:eastAsia="仿宋_GB2312"/>
      <w:kern w:val="2"/>
      <w:sz w:val="24"/>
      <w:szCs w:val="28"/>
      <w:lang w:val="zh-CN"/>
    </w:rPr>
  </w:style>
  <w:style w:type="paragraph" w:customStyle="1" w:styleId="215">
    <w:name w:val="*正文"/>
    <w:basedOn w:val="1"/>
    <w:link w:val="214"/>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16">
    <w:name w:val="HTML 预设格式 Char1"/>
    <w:qFormat/>
    <w:uiPriority w:val="99"/>
    <w:rPr>
      <w:rFonts w:ascii="Courier New" w:hAnsi="Courier New" w:cs="Courier New"/>
      <w:kern w:val="2"/>
    </w:rPr>
  </w:style>
  <w:style w:type="character" w:customStyle="1" w:styleId="217">
    <w:name w:val="heading 2 Char1"/>
    <w:qFormat/>
    <w:uiPriority w:val="0"/>
    <w:rPr>
      <w:rFonts w:ascii="Cambria" w:hAnsi="Cambria" w:eastAsia="宋体"/>
      <w:b/>
      <w:bCs/>
      <w:kern w:val="2"/>
      <w:sz w:val="32"/>
      <w:szCs w:val="32"/>
      <w:lang w:val="en-US" w:eastAsia="zh-CN" w:bidi="ar-SA"/>
    </w:rPr>
  </w:style>
  <w:style w:type="character" w:customStyle="1" w:styleId="218">
    <w:name w:val="样式1 Char"/>
    <w:link w:val="219"/>
    <w:qFormat/>
    <w:uiPriority w:val="0"/>
    <w:rPr>
      <w:rFonts w:ascii="宋体" w:hAnsi="宋体"/>
      <w:kern w:val="2"/>
      <w:sz w:val="21"/>
      <w:szCs w:val="21"/>
    </w:rPr>
  </w:style>
  <w:style w:type="paragraph" w:customStyle="1" w:styleId="219">
    <w:name w:val="样式1"/>
    <w:basedOn w:val="1"/>
    <w:next w:val="8"/>
    <w:link w:val="218"/>
    <w:qFormat/>
    <w:uiPriority w:val="0"/>
    <w:pPr>
      <w:spacing w:line="360" w:lineRule="auto"/>
      <w:ind w:firstLine="420" w:firstLineChars="200"/>
    </w:pPr>
    <w:rPr>
      <w:rFonts w:ascii="宋体" w:hAnsi="宋体"/>
      <w:szCs w:val="21"/>
    </w:rPr>
  </w:style>
  <w:style w:type="character" w:customStyle="1" w:styleId="220">
    <w:name w:val="编号正文缩进 Char Char"/>
    <w:qFormat/>
    <w:uiPriority w:val="0"/>
    <w:rPr>
      <w:sz w:val="24"/>
    </w:rPr>
  </w:style>
  <w:style w:type="character" w:customStyle="1" w:styleId="221">
    <w:name w:val="正文（小四+1.25倍行距） Char"/>
    <w:link w:val="222"/>
    <w:qFormat/>
    <w:uiPriority w:val="0"/>
    <w:rPr>
      <w:rFonts w:ascii="Times New Roman" w:hAnsi="Times New Roman"/>
      <w:sz w:val="24"/>
      <w:szCs w:val="24"/>
      <w:lang w:val="zh-CN"/>
    </w:rPr>
  </w:style>
  <w:style w:type="paragraph" w:customStyle="1" w:styleId="222">
    <w:name w:val="正文（小四+1.25倍行距）"/>
    <w:basedOn w:val="1"/>
    <w:link w:val="221"/>
    <w:qFormat/>
    <w:uiPriority w:val="0"/>
    <w:pPr>
      <w:spacing w:afterLines="50" w:line="300" w:lineRule="auto"/>
      <w:ind w:firstLine="420"/>
    </w:pPr>
    <w:rPr>
      <w:kern w:val="0"/>
      <w:sz w:val="24"/>
      <w:lang w:val="zh-CN"/>
    </w:rPr>
  </w:style>
  <w:style w:type="character" w:customStyle="1" w:styleId="223">
    <w:name w:val="称呼 Char1"/>
    <w:basedOn w:val="61"/>
    <w:semiHidden/>
    <w:uiPriority w:val="99"/>
    <w:rPr>
      <w:kern w:val="2"/>
      <w:sz w:val="21"/>
      <w:szCs w:val="24"/>
    </w:rPr>
  </w:style>
  <w:style w:type="character" w:customStyle="1" w:styleId="224">
    <w:name w:val="标题 7 Char"/>
    <w:basedOn w:val="61"/>
    <w:qFormat/>
    <w:uiPriority w:val="0"/>
    <w:rPr>
      <w:rFonts w:ascii="Arial" w:hAnsi="Arial" w:eastAsia="黑体"/>
      <w:b/>
      <w:sz w:val="21"/>
      <w:szCs w:val="21"/>
    </w:rPr>
  </w:style>
  <w:style w:type="character" w:customStyle="1" w:styleId="225">
    <w:name w:val="正文文本 Char Char"/>
    <w:qFormat/>
    <w:uiPriority w:val="0"/>
    <w:rPr>
      <w:rFonts w:ascii="Times New Roman" w:hAnsi="Times New Roman"/>
      <w:kern w:val="2"/>
      <w:sz w:val="21"/>
      <w:szCs w:val="24"/>
    </w:rPr>
  </w:style>
  <w:style w:type="character" w:customStyle="1" w:styleId="226">
    <w:name w:val="签名 Char1"/>
    <w:basedOn w:val="61"/>
    <w:semiHidden/>
    <w:uiPriority w:val="99"/>
    <w:rPr>
      <w:kern w:val="2"/>
      <w:sz w:val="21"/>
      <w:szCs w:val="24"/>
    </w:rPr>
  </w:style>
  <w:style w:type="character" w:customStyle="1" w:styleId="227">
    <w:name w:val="heading 1 Char"/>
    <w:qFormat/>
    <w:uiPriority w:val="0"/>
    <w:rPr>
      <w:rFonts w:ascii="Arial" w:hAnsi="Arial" w:eastAsia="黑体"/>
      <w:b/>
      <w:sz w:val="36"/>
      <w:szCs w:val="36"/>
    </w:rPr>
  </w:style>
  <w:style w:type="character" w:customStyle="1" w:styleId="228">
    <w:name w:val="正文首行缩进 Char1"/>
    <w:qFormat/>
    <w:uiPriority w:val="0"/>
    <w:rPr>
      <w:rFonts w:ascii="Tahoma" w:hAnsi="Tahoma"/>
      <w:kern w:val="2"/>
      <w:sz w:val="21"/>
      <w:szCs w:val="24"/>
    </w:rPr>
  </w:style>
  <w:style w:type="character" w:customStyle="1" w:styleId="229">
    <w:name w:val="Char Char21"/>
    <w:qFormat/>
    <w:uiPriority w:val="0"/>
    <w:rPr>
      <w:rFonts w:ascii="Times New Roman" w:hAnsi="Times New Roman" w:eastAsia="宋体" w:cs="Times New Roman"/>
      <w:b/>
      <w:bCs/>
      <w:kern w:val="44"/>
      <w:sz w:val="44"/>
      <w:szCs w:val="44"/>
    </w:rPr>
  </w:style>
  <w:style w:type="character" w:customStyle="1" w:styleId="230">
    <w:name w:val="签名 Char"/>
    <w:qFormat/>
    <w:uiPriority w:val="0"/>
    <w:rPr>
      <w:rFonts w:ascii="Tahoma" w:hAnsi="Tahoma" w:eastAsia="仿宋_GB2312"/>
      <w:sz w:val="24"/>
    </w:rPr>
  </w:style>
  <w:style w:type="character" w:customStyle="1" w:styleId="231">
    <w:name w:val="样式5 Char"/>
    <w:link w:val="232"/>
    <w:qFormat/>
    <w:uiPriority w:val="0"/>
    <w:rPr>
      <w:rFonts w:ascii="仿宋_GB2312"/>
      <w:b/>
      <w:kern w:val="2"/>
      <w:sz w:val="28"/>
      <w:szCs w:val="21"/>
    </w:rPr>
  </w:style>
  <w:style w:type="paragraph" w:customStyle="1" w:styleId="232">
    <w:name w:val="样式5"/>
    <w:basedOn w:val="17"/>
    <w:link w:val="231"/>
    <w:qFormat/>
    <w:uiPriority w:val="0"/>
    <w:pPr>
      <w:adjustRightInd/>
      <w:spacing w:line="360" w:lineRule="auto"/>
      <w:ind w:firstLine="200" w:firstLineChars="200"/>
      <w:textAlignment w:val="auto"/>
    </w:pPr>
    <w:rPr>
      <w:rFonts w:ascii="仿宋_GB2312"/>
      <w:b/>
      <w:kern w:val="2"/>
      <w:sz w:val="28"/>
      <w:szCs w:val="21"/>
    </w:rPr>
  </w:style>
  <w:style w:type="character" w:customStyle="1" w:styleId="233">
    <w:name w:val="正文靠右 Char Char"/>
    <w:qFormat/>
    <w:uiPriority w:val="0"/>
    <w:rPr>
      <w:kern w:val="2"/>
      <w:sz w:val="21"/>
      <w:szCs w:val="24"/>
    </w:rPr>
  </w:style>
  <w:style w:type="character" w:customStyle="1" w:styleId="234">
    <w:name w:val="font31"/>
    <w:qFormat/>
    <w:uiPriority w:val="0"/>
    <w:rPr>
      <w:rFonts w:hint="eastAsia" w:ascii="宋体" w:hAnsi="宋体" w:eastAsia="宋体" w:cs="宋体"/>
      <w:color w:val="000000"/>
      <w:sz w:val="20"/>
      <w:szCs w:val="20"/>
      <w:u w:val="none"/>
    </w:rPr>
  </w:style>
  <w:style w:type="character" w:customStyle="1" w:styleId="235">
    <w:name w:val="五级标题 Char"/>
    <w:link w:val="236"/>
    <w:qFormat/>
    <w:locked/>
    <w:uiPriority w:val="0"/>
    <w:rPr>
      <w:rFonts w:ascii="宋体" w:hAnsi="宋体" w:eastAsia="黑体"/>
      <w:bCs/>
      <w:sz w:val="24"/>
      <w:szCs w:val="32"/>
    </w:rPr>
  </w:style>
  <w:style w:type="paragraph" w:customStyle="1" w:styleId="236">
    <w:name w:val="五级标题"/>
    <w:basedOn w:val="9"/>
    <w:link w:val="235"/>
    <w:qFormat/>
    <w:uiPriority w:val="0"/>
    <w:pPr>
      <w:numPr>
        <w:ilvl w:val="4"/>
        <w:numId w:val="0"/>
      </w:numPr>
      <w:tabs>
        <w:tab w:val="left" w:pos="360"/>
        <w:tab w:val="left" w:pos="993"/>
        <w:tab w:val="left" w:pos="1905"/>
      </w:tabs>
      <w:spacing w:line="376" w:lineRule="auto"/>
      <w:ind w:right="-58" w:firstLineChars="236"/>
    </w:pPr>
    <w:rPr>
      <w:rFonts w:ascii="宋体" w:hAnsi="宋体" w:eastAsia="黑体"/>
      <w:b w:val="0"/>
      <w:kern w:val="0"/>
      <w:sz w:val="24"/>
      <w:szCs w:val="32"/>
    </w:rPr>
  </w:style>
  <w:style w:type="character" w:customStyle="1" w:styleId="237">
    <w:name w:val="注释正文"/>
    <w:qFormat/>
    <w:uiPriority w:val="0"/>
    <w:rPr>
      <w:rFonts w:eastAsia="宋体"/>
      <w:sz w:val="28"/>
      <w:u w:val="single"/>
    </w:rPr>
  </w:style>
  <w:style w:type="character" w:customStyle="1" w:styleId="238">
    <w:name w:val="列表段落 字符1"/>
    <w:qFormat/>
    <w:uiPriority w:val="34"/>
    <w:rPr>
      <w:rFonts w:ascii="宋体" w:hAnsi="宋体" w:cs="Times New Roman"/>
      <w:kern w:val="2"/>
      <w:sz w:val="24"/>
      <w:szCs w:val="22"/>
    </w:rPr>
  </w:style>
  <w:style w:type="character" w:customStyle="1" w:styleId="239">
    <w:name w:val="表头文字 Char"/>
    <w:basedOn w:val="61"/>
    <w:link w:val="240"/>
    <w:qFormat/>
    <w:uiPriority w:val="0"/>
    <w:rPr>
      <w:rFonts w:ascii="Arial" w:hAnsi="Arial"/>
      <w:b/>
      <w:kern w:val="2"/>
      <w:sz w:val="18"/>
    </w:rPr>
  </w:style>
  <w:style w:type="paragraph" w:customStyle="1" w:styleId="240">
    <w:name w:val="表头文字"/>
    <w:basedOn w:val="1"/>
    <w:link w:val="239"/>
    <w:qFormat/>
    <w:uiPriority w:val="0"/>
    <w:pPr>
      <w:keepNext/>
      <w:widowControl/>
      <w:spacing w:before="40" w:after="40"/>
      <w:jc w:val="center"/>
    </w:pPr>
    <w:rPr>
      <w:rFonts w:ascii="Arial" w:hAnsi="Arial"/>
      <w:b/>
      <w:sz w:val="18"/>
      <w:szCs w:val="20"/>
    </w:rPr>
  </w:style>
  <w:style w:type="character" w:customStyle="1" w:styleId="241">
    <w:name w:val="称呼 Char"/>
    <w:qFormat/>
    <w:uiPriority w:val="0"/>
  </w:style>
  <w:style w:type="character" w:customStyle="1" w:styleId="242">
    <w:name w:val="【正文】 Char"/>
    <w:link w:val="243"/>
    <w:qFormat/>
    <w:locked/>
    <w:uiPriority w:val="0"/>
    <w:rPr>
      <w:rFonts w:ascii="仿宋" w:hAnsi="仿宋" w:cs="仿宋_GB2312"/>
      <w:sz w:val="24"/>
      <w:szCs w:val="28"/>
    </w:rPr>
  </w:style>
  <w:style w:type="paragraph" w:customStyle="1" w:styleId="243">
    <w:name w:val="【正文】"/>
    <w:basedOn w:val="1"/>
    <w:link w:val="242"/>
    <w:qFormat/>
    <w:uiPriority w:val="0"/>
    <w:pPr>
      <w:spacing w:line="360" w:lineRule="auto"/>
      <w:ind w:firstLine="200" w:firstLineChars="200"/>
    </w:pPr>
    <w:rPr>
      <w:rFonts w:ascii="仿宋" w:hAnsi="仿宋"/>
      <w:kern w:val="0"/>
      <w:sz w:val="24"/>
      <w:szCs w:val="28"/>
    </w:rPr>
  </w:style>
  <w:style w:type="character" w:customStyle="1" w:styleId="244">
    <w:name w:val="PI Char"/>
    <w:qFormat/>
    <w:uiPriority w:val="0"/>
    <w:rPr>
      <w:rFonts w:ascii="宋体" w:hAnsi="宋体" w:eastAsia="仿宋_GB2312"/>
      <w:b/>
      <w:sz w:val="24"/>
      <w:szCs w:val="32"/>
    </w:rPr>
  </w:style>
  <w:style w:type="character" w:customStyle="1" w:styleId="245">
    <w:name w:val="font141"/>
    <w:basedOn w:val="61"/>
    <w:qFormat/>
    <w:uiPriority w:val="0"/>
    <w:rPr>
      <w:rFonts w:hint="default" w:ascii="Times New Roman" w:hAnsi="Times New Roman" w:cs="Times New Roman"/>
      <w:color w:val="000000"/>
      <w:sz w:val="18"/>
      <w:szCs w:val="18"/>
      <w:u w:val="none"/>
    </w:rPr>
  </w:style>
  <w:style w:type="character" w:customStyle="1" w:styleId="246">
    <w:name w:val="me04"/>
    <w:qFormat/>
    <w:uiPriority w:val="0"/>
    <w:rPr>
      <w:rFonts w:ascii="仿宋_GB2312" w:hAnsi="Tahoma" w:eastAsia="仿宋_GB2312"/>
      <w:b/>
      <w:sz w:val="32"/>
      <w:szCs w:val="32"/>
    </w:rPr>
  </w:style>
  <w:style w:type="character" w:customStyle="1" w:styleId="247">
    <w:name w:val="Ò³Ã¼ Char Char"/>
    <w:qFormat/>
    <w:uiPriority w:val="0"/>
    <w:rPr>
      <w:rFonts w:ascii="仿宋_GB2312" w:eastAsia="仿宋_GB2312"/>
      <w:b/>
      <w:sz w:val="18"/>
      <w:szCs w:val="18"/>
    </w:rPr>
  </w:style>
  <w:style w:type="character" w:customStyle="1" w:styleId="248">
    <w:name w:val="font01"/>
    <w:qFormat/>
    <w:uiPriority w:val="0"/>
    <w:rPr>
      <w:rFonts w:hint="eastAsia" w:ascii="宋体" w:hAnsi="宋体" w:eastAsia="宋体" w:cs="宋体"/>
      <w:color w:val="000000"/>
      <w:sz w:val="22"/>
      <w:szCs w:val="22"/>
      <w:u w:val="none"/>
    </w:rPr>
  </w:style>
  <w:style w:type="character" w:customStyle="1" w:styleId="249">
    <w:name w:val="heading 8 Char1"/>
    <w:qFormat/>
    <w:uiPriority w:val="0"/>
    <w:rPr>
      <w:rFonts w:ascii="Arial" w:hAnsi="Arial" w:eastAsia="黑体"/>
      <w:b/>
      <w:sz w:val="24"/>
      <w:szCs w:val="32"/>
      <w:lang w:val="en-US" w:eastAsia="zh-CN" w:bidi="ar-SA"/>
    </w:rPr>
  </w:style>
  <w:style w:type="character" w:customStyle="1" w:styleId="250">
    <w:name w:val="heading 2 Char2"/>
    <w:qFormat/>
    <w:uiPriority w:val="0"/>
    <w:rPr>
      <w:rFonts w:ascii="Cambria" w:hAnsi="Cambria" w:eastAsia="仿宋_GB2312"/>
      <w:b/>
      <w:bCs/>
      <w:kern w:val="2"/>
      <w:sz w:val="32"/>
      <w:szCs w:val="32"/>
    </w:rPr>
  </w:style>
  <w:style w:type="character" w:customStyle="1" w:styleId="251">
    <w:name w:val="投标正文 Char"/>
    <w:link w:val="252"/>
    <w:qFormat/>
    <w:uiPriority w:val="0"/>
    <w:rPr>
      <w:rFonts w:ascii="Calibri" w:hAnsi="Calibri"/>
      <w:sz w:val="24"/>
      <w:szCs w:val="24"/>
    </w:rPr>
  </w:style>
  <w:style w:type="paragraph" w:customStyle="1" w:styleId="252">
    <w:name w:val="投标正文"/>
    <w:basedOn w:val="1"/>
    <w:link w:val="251"/>
    <w:qFormat/>
    <w:uiPriority w:val="0"/>
    <w:pPr>
      <w:spacing w:line="360" w:lineRule="auto"/>
      <w:ind w:left="100" w:firstLine="480" w:firstLineChars="200"/>
    </w:pPr>
    <w:rPr>
      <w:rFonts w:ascii="Calibri" w:hAnsi="Calibri"/>
      <w:kern w:val="0"/>
      <w:sz w:val="24"/>
    </w:rPr>
  </w:style>
  <w:style w:type="character" w:customStyle="1" w:styleId="253">
    <w:name w:val="表格(五号) Char"/>
    <w:basedOn w:val="61"/>
    <w:link w:val="254"/>
    <w:qFormat/>
    <w:uiPriority w:val="0"/>
    <w:rPr>
      <w:rFonts w:ascii="Times New Roman" w:hAnsi="Times New Roman"/>
      <w:sz w:val="21"/>
    </w:rPr>
  </w:style>
  <w:style w:type="paragraph" w:customStyle="1" w:styleId="254">
    <w:name w:val="表格(五号)"/>
    <w:basedOn w:val="1"/>
    <w:link w:val="253"/>
    <w:qFormat/>
    <w:uiPriority w:val="0"/>
    <w:pPr>
      <w:adjustRightInd w:val="0"/>
      <w:snapToGrid w:val="0"/>
      <w:spacing w:before="60" w:after="60"/>
      <w:ind w:left="11"/>
      <w:jc w:val="center"/>
    </w:pPr>
    <w:rPr>
      <w:rFonts w:ascii="Times New Roman" w:hAnsi="Times New Roman"/>
      <w:kern w:val="0"/>
      <w:szCs w:val="20"/>
    </w:rPr>
  </w:style>
  <w:style w:type="character" w:customStyle="1" w:styleId="255">
    <w:name w:val="正文首行缩进 2 Char1"/>
    <w:qFormat/>
    <w:uiPriority w:val="0"/>
  </w:style>
  <w:style w:type="character" w:customStyle="1" w:styleId="256">
    <w:name w:val="段 Char"/>
    <w:link w:val="257"/>
    <w:qFormat/>
    <w:uiPriority w:val="0"/>
    <w:rPr>
      <w:rFonts w:ascii="宋体"/>
      <w:sz w:val="21"/>
      <w:lang w:val="en-US" w:eastAsia="zh-CN" w:bidi="ar-SA"/>
    </w:rPr>
  </w:style>
  <w:style w:type="paragraph" w:customStyle="1" w:styleId="257">
    <w:name w:val="段"/>
    <w:next w:val="1"/>
    <w:link w:val="256"/>
    <w:qFormat/>
    <w:uiPriority w:val="0"/>
    <w:pPr>
      <w:autoSpaceDE w:val="0"/>
      <w:autoSpaceDN w:val="0"/>
      <w:ind w:firstLine="200" w:firstLineChars="200"/>
      <w:jc w:val="both"/>
    </w:pPr>
    <w:rPr>
      <w:rFonts w:ascii="宋体"/>
      <w:sz w:val="21"/>
      <w:lang w:val="en-US" w:eastAsia="zh-CN" w:bidi="ar-SA"/>
    </w:rPr>
  </w:style>
  <w:style w:type="character" w:customStyle="1" w:styleId="258">
    <w:name w:val="apple-converted-space"/>
    <w:qFormat/>
    <w:uiPriority w:val="0"/>
  </w:style>
  <w:style w:type="character" w:customStyle="1" w:styleId="259">
    <w:name w:val="宏文本 Char2"/>
    <w:basedOn w:val="61"/>
    <w:semiHidden/>
    <w:uiPriority w:val="99"/>
    <w:rPr>
      <w:rFonts w:ascii="Courier New" w:hAnsi="Courier New" w:cs="Courier New"/>
      <w:kern w:val="2"/>
      <w:sz w:val="24"/>
      <w:szCs w:val="24"/>
    </w:rPr>
  </w:style>
  <w:style w:type="character" w:customStyle="1" w:styleId="260">
    <w:name w:val="表题题注 Char1"/>
    <w:basedOn w:val="61"/>
    <w:qFormat/>
    <w:uiPriority w:val="0"/>
    <w:rPr>
      <w:rFonts w:eastAsia="黑体" w:cs="Arial"/>
      <w:sz w:val="24"/>
      <w:lang w:val="en-US" w:eastAsia="zh-CN" w:bidi="ar-SA"/>
    </w:rPr>
  </w:style>
  <w:style w:type="character" w:customStyle="1" w:styleId="261">
    <w:name w:val="heading 3 Char1"/>
    <w:qFormat/>
    <w:uiPriority w:val="0"/>
    <w:rPr>
      <w:rFonts w:ascii="仿宋_GB2312" w:eastAsia="宋体"/>
      <w:b/>
      <w:bCs/>
      <w:kern w:val="2"/>
      <w:sz w:val="32"/>
      <w:szCs w:val="32"/>
      <w:lang w:val="en-US" w:eastAsia="zh-CN" w:bidi="ar-SA"/>
    </w:rPr>
  </w:style>
  <w:style w:type="character" w:customStyle="1" w:styleId="262">
    <w:name w:val="size31"/>
    <w:qFormat/>
    <w:uiPriority w:val="0"/>
    <w:rPr>
      <w:rFonts w:hint="default" w:ascii="Arial" w:hAnsi="Arial" w:cs="Arial"/>
      <w:color w:val="2D2D2D"/>
      <w:spacing w:val="285"/>
      <w:sz w:val="18"/>
      <w:szCs w:val="18"/>
    </w:rPr>
  </w:style>
  <w:style w:type="character" w:customStyle="1" w:styleId="263">
    <w:name w:val="标题 1 Char"/>
    <w:qFormat/>
    <w:uiPriority w:val="0"/>
    <w:rPr>
      <w:rFonts w:eastAsia="宋体"/>
      <w:b/>
      <w:bCs/>
      <w:kern w:val="44"/>
      <w:sz w:val="44"/>
      <w:szCs w:val="44"/>
      <w:lang w:val="en-US" w:eastAsia="zh-CN" w:bidi="ar-SA"/>
    </w:rPr>
  </w:style>
  <w:style w:type="character" w:customStyle="1" w:styleId="264">
    <w:name w:val="样式 文档正文 + 非加粗 无下划线 Char"/>
    <w:basedOn w:val="61"/>
    <w:link w:val="265"/>
    <w:qFormat/>
    <w:uiPriority w:val="0"/>
    <w:rPr>
      <w:rFonts w:ascii="宋体" w:hAnsi="宋体"/>
      <w:spacing w:val="4"/>
      <w:sz w:val="24"/>
    </w:rPr>
  </w:style>
  <w:style w:type="paragraph" w:customStyle="1" w:styleId="265">
    <w:name w:val="样式 文档正文 + 非加粗 无下划线"/>
    <w:basedOn w:val="1"/>
    <w:link w:val="264"/>
    <w:qFormat/>
    <w:uiPriority w:val="0"/>
    <w:pPr>
      <w:tabs>
        <w:tab w:val="left" w:pos="3735"/>
      </w:tabs>
      <w:adjustRightInd w:val="0"/>
      <w:spacing w:line="360" w:lineRule="auto"/>
      <w:ind w:right="210" w:firstLine="360"/>
    </w:pPr>
    <w:rPr>
      <w:rFonts w:ascii="宋体" w:hAnsi="宋体"/>
      <w:spacing w:val="4"/>
      <w:kern w:val="0"/>
      <w:sz w:val="24"/>
      <w:szCs w:val="20"/>
    </w:rPr>
  </w:style>
  <w:style w:type="character" w:customStyle="1" w:styleId="266">
    <w:name w:val="段落 Char"/>
    <w:link w:val="267"/>
    <w:qFormat/>
    <w:uiPriority w:val="0"/>
    <w:rPr>
      <w:kern w:val="2"/>
    </w:rPr>
  </w:style>
  <w:style w:type="paragraph" w:customStyle="1" w:styleId="267">
    <w:name w:val="段落"/>
    <w:basedOn w:val="1"/>
    <w:link w:val="266"/>
    <w:qFormat/>
    <w:uiPriority w:val="0"/>
    <w:pPr>
      <w:spacing w:line="360" w:lineRule="auto"/>
      <w:ind w:firstLine="200" w:firstLineChars="200"/>
    </w:pPr>
    <w:rPr>
      <w:sz w:val="20"/>
      <w:szCs w:val="20"/>
    </w:rPr>
  </w:style>
  <w:style w:type="character" w:customStyle="1" w:styleId="268">
    <w:name w:val="栏目标题 Char Char"/>
    <w:qFormat/>
    <w:uiPriority w:val="0"/>
    <w:rPr>
      <w:rFonts w:ascii="黑体" w:hAnsi="黑体" w:eastAsia="黑体"/>
      <w:b/>
      <w:kern w:val="2"/>
      <w:sz w:val="21"/>
      <w:szCs w:val="24"/>
    </w:rPr>
  </w:style>
  <w:style w:type="character" w:customStyle="1" w:styleId="269">
    <w:name w:val="111 Char"/>
    <w:link w:val="270"/>
    <w:qFormat/>
    <w:uiPriority w:val="0"/>
    <w:rPr>
      <w:kern w:val="2"/>
    </w:rPr>
  </w:style>
  <w:style w:type="paragraph" w:customStyle="1" w:styleId="270">
    <w:name w:val="111"/>
    <w:basedOn w:val="267"/>
    <w:link w:val="269"/>
    <w:qFormat/>
    <w:uiPriority w:val="0"/>
    <w:pPr>
      <w:numPr>
        <w:ilvl w:val="0"/>
        <w:numId w:val="4"/>
      </w:numPr>
      <w:ind w:firstLine="0" w:firstLineChars="0"/>
    </w:pPr>
  </w:style>
  <w:style w:type="character" w:customStyle="1" w:styleId="271">
    <w:name w:val="Ò³Ã¼ Char Char1"/>
    <w:qFormat/>
    <w:uiPriority w:val="0"/>
    <w:rPr>
      <w:rFonts w:ascii="仿宋_GB2312" w:eastAsia="宋体"/>
      <w:b/>
      <w:kern w:val="2"/>
      <w:sz w:val="18"/>
      <w:szCs w:val="18"/>
      <w:lang w:val="en-US" w:eastAsia="zh-CN" w:bidi="ar-SA"/>
    </w:rPr>
  </w:style>
  <w:style w:type="character" w:customStyle="1" w:styleId="272">
    <w:name w:val="正文缩进 Char1 Char"/>
    <w:qFormat/>
    <w:uiPriority w:val="0"/>
    <w:rPr>
      <w:rFonts w:ascii="仿宋_GB2312" w:eastAsia="宋体"/>
      <w:b/>
      <w:sz w:val="21"/>
      <w:szCs w:val="32"/>
      <w:lang w:val="en-US" w:eastAsia="zh-CN" w:bidi="ar-SA"/>
    </w:rPr>
  </w:style>
  <w:style w:type="character" w:customStyle="1" w:styleId="273">
    <w:name w:val="页脚 Char2"/>
    <w:basedOn w:val="61"/>
    <w:semiHidden/>
    <w:uiPriority w:val="99"/>
    <w:rPr>
      <w:kern w:val="2"/>
      <w:sz w:val="18"/>
      <w:szCs w:val="18"/>
    </w:rPr>
  </w:style>
  <w:style w:type="character" w:customStyle="1" w:styleId="274">
    <w:name w:val="style21"/>
    <w:qFormat/>
    <w:uiPriority w:val="0"/>
    <w:rPr>
      <w:rFonts w:ascii="仿宋_GB2312" w:eastAsia="仿宋_GB2312"/>
      <w:b/>
      <w:sz w:val="15"/>
      <w:szCs w:val="15"/>
    </w:rPr>
  </w:style>
  <w:style w:type="character" w:customStyle="1" w:styleId="275">
    <w:name w:val="zbggmain style9"/>
    <w:qFormat/>
    <w:uiPriority w:val="0"/>
    <w:rPr>
      <w:szCs w:val="20"/>
    </w:rPr>
  </w:style>
  <w:style w:type="character" w:customStyle="1" w:styleId="276">
    <w:name w:val="3级 Char"/>
    <w:link w:val="277"/>
    <w:qFormat/>
    <w:uiPriority w:val="0"/>
    <w:rPr>
      <w:rFonts w:ascii="Calibri" w:hAnsi="Calibri"/>
      <w:b/>
      <w:bCs/>
      <w:sz w:val="28"/>
      <w:szCs w:val="32"/>
    </w:rPr>
  </w:style>
  <w:style w:type="paragraph" w:customStyle="1" w:styleId="277">
    <w:name w:val="3级"/>
    <w:basedOn w:val="7"/>
    <w:next w:val="26"/>
    <w:link w:val="276"/>
    <w:qFormat/>
    <w:uiPriority w:val="0"/>
    <w:pPr>
      <w:spacing w:line="416" w:lineRule="auto"/>
      <w:ind w:right="100" w:rightChars="100"/>
    </w:pPr>
    <w:rPr>
      <w:rFonts w:ascii="Calibri" w:hAnsi="Calibri"/>
      <w:kern w:val="0"/>
      <w:sz w:val="28"/>
    </w:rPr>
  </w:style>
  <w:style w:type="character" w:customStyle="1" w:styleId="278">
    <w:name w:val="标题 9 Char"/>
    <w:basedOn w:val="61"/>
    <w:qFormat/>
    <w:uiPriority w:val="0"/>
    <w:rPr>
      <w:rFonts w:ascii="Arial" w:hAnsi="Arial" w:eastAsia="黑体"/>
      <w:b/>
      <w:sz w:val="21"/>
      <w:szCs w:val="32"/>
    </w:rPr>
  </w:style>
  <w:style w:type="character" w:customStyle="1" w:styleId="279">
    <w:name w:val="Style4"/>
    <w:qFormat/>
    <w:uiPriority w:val="0"/>
    <w:rPr>
      <w:rFonts w:ascii="Calibri" w:hAnsi="宋体" w:eastAsia="宋体" w:cs="Times New Roman"/>
      <w:szCs w:val="22"/>
      <w:lang w:eastAsia="zh-CN"/>
    </w:rPr>
  </w:style>
  <w:style w:type="character" w:customStyle="1" w:styleId="280">
    <w:name w:val="页眉 Char2"/>
    <w:basedOn w:val="61"/>
    <w:semiHidden/>
    <w:uiPriority w:val="99"/>
    <w:rPr>
      <w:kern w:val="2"/>
      <w:sz w:val="18"/>
      <w:szCs w:val="18"/>
    </w:rPr>
  </w:style>
  <w:style w:type="character" w:customStyle="1" w:styleId="281">
    <w:name w:val="！正文 Char"/>
    <w:link w:val="282"/>
    <w:qFormat/>
    <w:locked/>
    <w:uiPriority w:val="0"/>
    <w:rPr>
      <w:sz w:val="24"/>
    </w:rPr>
  </w:style>
  <w:style w:type="paragraph" w:customStyle="1" w:styleId="282">
    <w:name w:val="！正文"/>
    <w:basedOn w:val="1"/>
    <w:link w:val="281"/>
    <w:qFormat/>
    <w:uiPriority w:val="0"/>
    <w:pPr>
      <w:widowControl/>
      <w:spacing w:line="360" w:lineRule="auto"/>
      <w:ind w:firstLine="480" w:firstLineChars="200"/>
      <w:jc w:val="left"/>
    </w:pPr>
    <w:rPr>
      <w:kern w:val="0"/>
      <w:sz w:val="24"/>
      <w:szCs w:val="20"/>
    </w:rPr>
  </w:style>
  <w:style w:type="character" w:customStyle="1" w:styleId="283">
    <w:name w:val="正文1 Char Char"/>
    <w:link w:val="284"/>
    <w:qFormat/>
    <w:uiPriority w:val="0"/>
    <w:rPr>
      <w:rFonts w:ascii="宋体" w:hAnsi="宋体" w:cs="宋体"/>
      <w:b/>
      <w:sz w:val="21"/>
      <w:szCs w:val="32"/>
    </w:rPr>
  </w:style>
  <w:style w:type="paragraph" w:customStyle="1" w:styleId="284">
    <w:name w:val="正文1"/>
    <w:basedOn w:val="1"/>
    <w:link w:val="283"/>
    <w:qFormat/>
    <w:uiPriority w:val="0"/>
    <w:pPr>
      <w:widowControl/>
      <w:spacing w:line="360" w:lineRule="auto"/>
      <w:ind w:left="360" w:firstLine="420"/>
      <w:jc w:val="left"/>
    </w:pPr>
    <w:rPr>
      <w:rFonts w:ascii="宋体" w:hAnsi="宋体"/>
      <w:b/>
      <w:kern w:val="0"/>
      <w:szCs w:val="32"/>
    </w:rPr>
  </w:style>
  <w:style w:type="character" w:customStyle="1" w:styleId="285">
    <w:name w:val="批注主题 Char"/>
    <w:qFormat/>
    <w:uiPriority w:val="99"/>
    <w:rPr>
      <w:rFonts w:eastAsia="宋体"/>
      <w:b/>
      <w:bCs/>
      <w:kern w:val="2"/>
      <w:sz w:val="21"/>
      <w:szCs w:val="24"/>
      <w:lang w:val="en-US" w:eastAsia="zh-CN" w:bidi="ar-SA"/>
    </w:rPr>
  </w:style>
  <w:style w:type="character" w:customStyle="1" w:styleId="286">
    <w:name w:val="表格内文字 Char"/>
    <w:basedOn w:val="61"/>
    <w:link w:val="287"/>
    <w:qFormat/>
    <w:uiPriority w:val="0"/>
    <w:rPr>
      <w:rFonts w:ascii="Arial" w:hAnsi="Arial"/>
      <w:kern w:val="2"/>
      <w:sz w:val="18"/>
      <w:szCs w:val="18"/>
    </w:rPr>
  </w:style>
  <w:style w:type="paragraph" w:customStyle="1" w:styleId="287">
    <w:name w:val="表格内文字"/>
    <w:basedOn w:val="1"/>
    <w:link w:val="286"/>
    <w:qFormat/>
    <w:uiPriority w:val="0"/>
    <w:pPr>
      <w:keepLines/>
      <w:widowControl/>
      <w:spacing w:before="40" w:after="40"/>
      <w:textAlignment w:val="top"/>
    </w:pPr>
    <w:rPr>
      <w:rFonts w:ascii="Arial" w:hAnsi="Arial"/>
      <w:sz w:val="18"/>
      <w:szCs w:val="18"/>
    </w:rPr>
  </w:style>
  <w:style w:type="character" w:customStyle="1" w:styleId="288">
    <w:name w:val="报告正文 Char"/>
    <w:basedOn w:val="61"/>
    <w:link w:val="289"/>
    <w:qFormat/>
    <w:uiPriority w:val="0"/>
    <w:rPr>
      <w:rFonts w:ascii="宋体" w:hAnsi="宋体"/>
      <w:kern w:val="2"/>
      <w:sz w:val="21"/>
      <w:szCs w:val="21"/>
    </w:rPr>
  </w:style>
  <w:style w:type="paragraph" w:customStyle="1" w:styleId="289">
    <w:name w:val="报告正文"/>
    <w:basedOn w:val="1"/>
    <w:link w:val="288"/>
    <w:qFormat/>
    <w:uiPriority w:val="0"/>
    <w:pPr>
      <w:widowControl/>
      <w:overflowPunct w:val="0"/>
      <w:autoSpaceDE w:val="0"/>
      <w:autoSpaceDN w:val="0"/>
      <w:spacing w:before="24" w:after="72" w:line="360" w:lineRule="auto"/>
    </w:pPr>
    <w:rPr>
      <w:rFonts w:ascii="宋体" w:hAnsi="宋体"/>
      <w:szCs w:val="21"/>
    </w:rPr>
  </w:style>
  <w:style w:type="character" w:customStyle="1" w:styleId="290">
    <w:name w:val="批注主题 Char2"/>
    <w:basedOn w:val="291"/>
    <w:semiHidden/>
    <w:uiPriority w:val="99"/>
    <w:rPr>
      <w:b/>
      <w:bCs/>
    </w:rPr>
  </w:style>
  <w:style w:type="character" w:customStyle="1" w:styleId="291">
    <w:name w:val="批注文字 Char2"/>
    <w:basedOn w:val="61"/>
    <w:semiHidden/>
    <w:uiPriority w:val="99"/>
    <w:rPr>
      <w:kern w:val="2"/>
      <w:sz w:val="21"/>
      <w:szCs w:val="24"/>
    </w:rPr>
  </w:style>
  <w:style w:type="character" w:customStyle="1" w:styleId="292">
    <w:name w:val="box-header-con"/>
    <w:qFormat/>
    <w:uiPriority w:val="0"/>
  </w:style>
  <w:style w:type="character" w:customStyle="1" w:styleId="293">
    <w:name w:val="样式 宋体"/>
    <w:qFormat/>
    <w:uiPriority w:val="0"/>
    <w:rPr>
      <w:rFonts w:ascii="宋体" w:hAnsi="宋体" w:eastAsia="宋体"/>
      <w:b/>
      <w:sz w:val="24"/>
      <w:szCs w:val="24"/>
    </w:rPr>
  </w:style>
  <w:style w:type="character" w:customStyle="1" w:styleId="294">
    <w:name w:val="heading 7 Char1"/>
    <w:qFormat/>
    <w:uiPriority w:val="0"/>
    <w:rPr>
      <w:rFonts w:ascii="Arial" w:hAnsi="Arial" w:eastAsia="黑体"/>
      <w:b/>
      <w:sz w:val="21"/>
      <w:szCs w:val="21"/>
      <w:lang w:val="en-US" w:eastAsia="zh-CN" w:bidi="ar-SA"/>
    </w:rPr>
  </w:style>
  <w:style w:type="character" w:customStyle="1" w:styleId="295">
    <w:name w:val="七级标题 Char"/>
    <w:link w:val="296"/>
    <w:qFormat/>
    <w:locked/>
    <w:uiPriority w:val="0"/>
    <w:rPr>
      <w:rFonts w:ascii="黑体" w:hAnsi="黑体" w:eastAsia="黑体"/>
      <w:b/>
      <w:bCs/>
      <w:sz w:val="24"/>
      <w:szCs w:val="24"/>
    </w:rPr>
  </w:style>
  <w:style w:type="paragraph" w:customStyle="1" w:styleId="296">
    <w:name w:val="七级标题"/>
    <w:basedOn w:val="11"/>
    <w:link w:val="295"/>
    <w:qFormat/>
    <w:uiPriority w:val="0"/>
    <w:pPr>
      <w:keepNext/>
      <w:keepLines/>
      <w:widowControl w:val="0"/>
      <w:tabs>
        <w:tab w:val="left" w:pos="360"/>
        <w:tab w:val="left" w:pos="1296"/>
        <w:tab w:val="left" w:pos="2745"/>
        <w:tab w:val="clear" w:pos="765"/>
      </w:tabs>
      <w:autoSpaceDE/>
      <w:autoSpaceDN/>
      <w:adjustRightInd/>
      <w:spacing w:before="240" w:after="64" w:line="320" w:lineRule="auto"/>
      <w:ind w:left="0" w:firstLine="0"/>
      <w:jc w:val="both"/>
    </w:pPr>
    <w:rPr>
      <w:rFonts w:ascii="黑体" w:hAnsi="黑体"/>
      <w:bCs/>
      <w:sz w:val="24"/>
      <w:szCs w:val="24"/>
    </w:rPr>
  </w:style>
  <w:style w:type="character" w:customStyle="1" w:styleId="297">
    <w:name w:val="heading 9 Char1"/>
    <w:qFormat/>
    <w:uiPriority w:val="0"/>
    <w:rPr>
      <w:rFonts w:ascii="Arial" w:hAnsi="Arial" w:eastAsia="黑体"/>
      <w:b/>
      <w:sz w:val="21"/>
      <w:szCs w:val="32"/>
      <w:lang w:val="en-US" w:eastAsia="zh-CN" w:bidi="ar-SA"/>
    </w:rPr>
  </w:style>
  <w:style w:type="character" w:customStyle="1" w:styleId="298">
    <w:name w:val="heading 1 Char1"/>
    <w:qFormat/>
    <w:uiPriority w:val="0"/>
    <w:rPr>
      <w:rFonts w:ascii="仿宋_GB2312" w:eastAsia="宋体"/>
      <w:b/>
      <w:bCs/>
      <w:kern w:val="44"/>
      <w:sz w:val="44"/>
      <w:szCs w:val="44"/>
      <w:lang w:val="en-US" w:eastAsia="zh-CN" w:bidi="ar-SA"/>
    </w:rPr>
  </w:style>
  <w:style w:type="character" w:customStyle="1" w:styleId="299">
    <w:name w:val="标题 4 Char"/>
    <w:qFormat/>
    <w:uiPriority w:val="0"/>
    <w:rPr>
      <w:rFonts w:ascii="Arial" w:hAnsi="Arial" w:eastAsia="黑体"/>
      <w:b/>
      <w:bCs/>
      <w:kern w:val="2"/>
      <w:sz w:val="28"/>
      <w:szCs w:val="28"/>
      <w:lang w:val="en-US" w:eastAsia="zh-CN" w:bidi="ar-SA"/>
    </w:rPr>
  </w:style>
  <w:style w:type="character" w:customStyle="1" w:styleId="300">
    <w:name w:val="标题 5 Char"/>
    <w:basedOn w:val="61"/>
    <w:qFormat/>
    <w:uiPriority w:val="0"/>
    <w:rPr>
      <w:rFonts w:ascii="仿宋_GB2312" w:hAnsi="Tahoma"/>
      <w:b/>
      <w:bCs/>
      <w:kern w:val="2"/>
      <w:sz w:val="28"/>
      <w:szCs w:val="28"/>
    </w:rPr>
  </w:style>
  <w:style w:type="character" w:customStyle="1" w:styleId="301">
    <w:name w:val="num"/>
    <w:qFormat/>
    <w:uiPriority w:val="0"/>
    <w:rPr>
      <w:b/>
      <w:color w:val="FF7800"/>
      <w:szCs w:val="20"/>
    </w:rPr>
  </w:style>
  <w:style w:type="character" w:customStyle="1" w:styleId="302">
    <w:name w:val="明显强调1"/>
    <w:qFormat/>
    <w:uiPriority w:val="0"/>
    <w:rPr>
      <w:b/>
      <w:bCs/>
      <w:i/>
      <w:iCs/>
      <w:color w:val="4F81BD"/>
    </w:rPr>
  </w:style>
  <w:style w:type="character" w:customStyle="1" w:styleId="303">
    <w:name w:val="日期 Char"/>
    <w:qFormat/>
    <w:uiPriority w:val="0"/>
    <w:rPr>
      <w:spacing w:val="12"/>
      <w:kern w:val="2"/>
      <w:sz w:val="24"/>
    </w:rPr>
  </w:style>
  <w:style w:type="character" w:customStyle="1" w:styleId="304">
    <w:name w:val="正文-1 Char"/>
    <w:basedOn w:val="61"/>
    <w:link w:val="305"/>
    <w:qFormat/>
    <w:locked/>
    <w:uiPriority w:val="0"/>
    <w:rPr>
      <w:rFonts w:ascii="宋体" w:hAnsi="宋体"/>
      <w:szCs w:val="21"/>
    </w:rPr>
  </w:style>
  <w:style w:type="paragraph" w:customStyle="1" w:styleId="305">
    <w:name w:val="正文-1"/>
    <w:basedOn w:val="1"/>
    <w:link w:val="304"/>
    <w:qFormat/>
    <w:uiPriority w:val="0"/>
    <w:pPr>
      <w:autoSpaceDE w:val="0"/>
      <w:autoSpaceDN w:val="0"/>
      <w:adjustRightInd w:val="0"/>
      <w:spacing w:before="156" w:after="156" w:line="360" w:lineRule="auto"/>
      <w:ind w:firstLine="420" w:firstLineChars="200"/>
      <w:jc w:val="left"/>
    </w:pPr>
    <w:rPr>
      <w:rFonts w:ascii="宋体" w:hAnsi="宋体"/>
      <w:kern w:val="0"/>
      <w:sz w:val="20"/>
      <w:szCs w:val="21"/>
    </w:rPr>
  </w:style>
  <w:style w:type="character" w:customStyle="1" w:styleId="306">
    <w:name w:val="正文4 Char Char"/>
    <w:link w:val="307"/>
    <w:qFormat/>
    <w:uiPriority w:val="0"/>
    <w:rPr>
      <w:kern w:val="2"/>
    </w:rPr>
  </w:style>
  <w:style w:type="paragraph" w:customStyle="1" w:styleId="307">
    <w:name w:val="正文4"/>
    <w:basedOn w:val="1"/>
    <w:link w:val="306"/>
    <w:qFormat/>
    <w:uiPriority w:val="0"/>
    <w:pPr>
      <w:numPr>
        <w:ilvl w:val="0"/>
        <w:numId w:val="5"/>
      </w:numPr>
      <w:spacing w:before="60" w:after="60" w:line="360" w:lineRule="auto"/>
      <w:ind w:firstLine="0"/>
    </w:pPr>
    <w:rPr>
      <w:sz w:val="20"/>
      <w:szCs w:val="20"/>
    </w:rPr>
  </w:style>
  <w:style w:type="character" w:customStyle="1" w:styleId="308">
    <w:name w:val="Heading 2 Hidden Char1 Char"/>
    <w:qFormat/>
    <w:uiPriority w:val="0"/>
    <w:rPr>
      <w:rFonts w:ascii="宋体" w:hAnsi="Times New Roman" w:eastAsia="宋体" w:cs="Times New Roman"/>
      <w:kern w:val="0"/>
      <w:sz w:val="24"/>
      <w:szCs w:val="24"/>
    </w:rPr>
  </w:style>
  <w:style w:type="character" w:customStyle="1" w:styleId="309">
    <w:name w:val="正文文本 2 Char1"/>
    <w:qFormat/>
    <w:uiPriority w:val="0"/>
    <w:rPr>
      <w:rFonts w:ascii="Calibri" w:hAnsi="Calibri" w:cs="黑体"/>
      <w:kern w:val="2"/>
      <w:sz w:val="24"/>
      <w:szCs w:val="22"/>
    </w:rPr>
  </w:style>
  <w:style w:type="character" w:customStyle="1" w:styleId="310">
    <w:name w:val="QB正文 Char"/>
    <w:link w:val="311"/>
    <w:qFormat/>
    <w:uiPriority w:val="0"/>
    <w:rPr>
      <w:rFonts w:ascii="宋体" w:hAnsi="Times New Roman"/>
      <w:sz w:val="21"/>
    </w:rPr>
  </w:style>
  <w:style w:type="paragraph" w:customStyle="1" w:styleId="311">
    <w:name w:val="QB正文"/>
    <w:basedOn w:val="1"/>
    <w:link w:val="310"/>
    <w:qFormat/>
    <w:uiPriority w:val="0"/>
    <w:pPr>
      <w:widowControl/>
      <w:autoSpaceDE w:val="0"/>
      <w:autoSpaceDN w:val="0"/>
      <w:ind w:firstLine="200" w:firstLineChars="200"/>
    </w:pPr>
    <w:rPr>
      <w:rFonts w:ascii="宋体"/>
      <w:kern w:val="0"/>
      <w:szCs w:val="20"/>
    </w:rPr>
  </w:style>
  <w:style w:type="character" w:customStyle="1" w:styleId="312">
    <w:name w:val="heading 4 Char2"/>
    <w:qFormat/>
    <w:uiPriority w:val="0"/>
    <w:rPr>
      <w:rFonts w:ascii="Cambria" w:hAnsi="Cambria" w:eastAsia="仿宋_GB2312"/>
      <w:b/>
      <w:bCs/>
      <w:kern w:val="2"/>
      <w:sz w:val="28"/>
      <w:szCs w:val="28"/>
    </w:rPr>
  </w:style>
  <w:style w:type="character" w:customStyle="1" w:styleId="313">
    <w:name w:val="1正文 Char"/>
    <w:link w:val="314"/>
    <w:qFormat/>
    <w:uiPriority w:val="0"/>
    <w:rPr>
      <w:rFonts w:ascii="仿宋_GB2312" w:hAnsi="Arial"/>
      <w:sz w:val="24"/>
      <w:szCs w:val="28"/>
    </w:rPr>
  </w:style>
  <w:style w:type="paragraph" w:customStyle="1" w:styleId="314">
    <w:name w:val="1正文"/>
    <w:basedOn w:val="1"/>
    <w:link w:val="313"/>
    <w:qFormat/>
    <w:uiPriority w:val="0"/>
    <w:pPr>
      <w:adjustRightInd w:val="0"/>
      <w:spacing w:line="360" w:lineRule="auto"/>
      <w:ind w:firstLine="200" w:firstLineChars="200"/>
      <w:textAlignment w:val="baseline"/>
    </w:pPr>
    <w:rPr>
      <w:rFonts w:ascii="仿宋_GB2312" w:hAnsi="Arial"/>
      <w:kern w:val="0"/>
      <w:sz w:val="24"/>
      <w:szCs w:val="28"/>
    </w:rPr>
  </w:style>
  <w:style w:type="character" w:customStyle="1" w:styleId="315">
    <w:name w:val="heading 2 Char"/>
    <w:qFormat/>
    <w:uiPriority w:val="0"/>
    <w:rPr>
      <w:rFonts w:ascii="Arial" w:hAnsi="Arial" w:eastAsia="黑体" w:cs="Times New Roman"/>
      <w:b/>
      <w:sz w:val="30"/>
      <w:szCs w:val="24"/>
    </w:rPr>
  </w:style>
  <w:style w:type="character" w:customStyle="1" w:styleId="316">
    <w:name w:val="red"/>
    <w:qFormat/>
    <w:uiPriority w:val="0"/>
    <w:rPr>
      <w:color w:val="FF0000"/>
      <w:szCs w:val="20"/>
    </w:rPr>
  </w:style>
  <w:style w:type="character" w:customStyle="1" w:styleId="317">
    <w:name w:val="PI Char2"/>
    <w:qFormat/>
    <w:uiPriority w:val="0"/>
    <w:rPr>
      <w:rFonts w:ascii="仿宋_GB2312" w:eastAsia="仿宋_GB2312"/>
      <w:b/>
      <w:kern w:val="2"/>
      <w:sz w:val="24"/>
      <w:szCs w:val="24"/>
    </w:rPr>
  </w:style>
  <w:style w:type="character" w:customStyle="1" w:styleId="318">
    <w:name w:val="gray6"/>
    <w:qFormat/>
    <w:uiPriority w:val="0"/>
    <w:rPr>
      <w:rFonts w:ascii="仿宋_GB2312" w:hAnsi="Tahoma" w:eastAsia="仿宋_GB2312"/>
      <w:b/>
      <w:sz w:val="32"/>
      <w:szCs w:val="32"/>
    </w:rPr>
  </w:style>
  <w:style w:type="character" w:customStyle="1" w:styleId="319">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320">
    <w:name w:val="release-day"/>
    <w:qFormat/>
    <w:uiPriority w:val="0"/>
    <w:rPr>
      <w:szCs w:val="20"/>
      <w:bdr w:val="single" w:color="BDEBB0" w:sz="4" w:space="0"/>
      <w:shd w:val="clear" w:color="auto" w:fill="F5FFF1"/>
    </w:rPr>
  </w:style>
  <w:style w:type="character" w:customStyle="1" w:styleId="321">
    <w:name w:val="正文缩进 字符"/>
    <w:qFormat/>
    <w:uiPriority w:val="0"/>
    <w:rPr>
      <w:rFonts w:eastAsia="宋体"/>
      <w:sz w:val="21"/>
      <w:lang w:val="en-US" w:eastAsia="zh-CN" w:bidi="ar-SA"/>
    </w:rPr>
  </w:style>
  <w:style w:type="character" w:customStyle="1" w:styleId="322">
    <w:name w:val="页脚 Char"/>
    <w:qFormat/>
    <w:uiPriority w:val="99"/>
    <w:rPr>
      <w:rFonts w:eastAsia="仿宋_GB2312"/>
      <w:kern w:val="2"/>
      <w:sz w:val="18"/>
      <w:szCs w:val="18"/>
      <w:lang w:val="en-US" w:eastAsia="zh-CN" w:bidi="ar-SA"/>
    </w:rPr>
  </w:style>
  <w:style w:type="character" w:customStyle="1" w:styleId="323">
    <w:name w:val="文档结构图 Char2"/>
    <w:semiHidden/>
    <w:qFormat/>
    <w:uiPriority w:val="0"/>
    <w:rPr>
      <w:rFonts w:ascii="Microsoft YaHei UI" w:eastAsia="Microsoft YaHei UI"/>
      <w:sz w:val="18"/>
      <w:szCs w:val="18"/>
    </w:rPr>
  </w:style>
  <w:style w:type="character" w:customStyle="1" w:styleId="324">
    <w:name w:val="标题 6 Char"/>
    <w:basedOn w:val="61"/>
    <w:qFormat/>
    <w:uiPriority w:val="0"/>
    <w:rPr>
      <w:rFonts w:ascii="Arial" w:hAnsi="Arial" w:eastAsia="黑体"/>
      <w:b/>
      <w:bCs/>
      <w:kern w:val="2"/>
      <w:sz w:val="24"/>
      <w:szCs w:val="24"/>
    </w:rPr>
  </w:style>
  <w:style w:type="character" w:customStyle="1" w:styleId="325">
    <w:name w:val="Footer-Even Char2"/>
    <w:qFormat/>
    <w:uiPriority w:val="0"/>
    <w:rPr>
      <w:rFonts w:ascii="仿宋_GB2312" w:eastAsia="仿宋_GB2312"/>
      <w:b/>
      <w:kern w:val="2"/>
      <w:sz w:val="18"/>
      <w:szCs w:val="18"/>
    </w:rPr>
  </w:style>
  <w:style w:type="character" w:customStyle="1" w:styleId="326">
    <w:name w:val="heading 4 Char1"/>
    <w:qFormat/>
    <w:uiPriority w:val="0"/>
    <w:rPr>
      <w:rFonts w:ascii="Cambria" w:hAnsi="Cambria" w:eastAsia="宋体"/>
      <w:b/>
      <w:bCs/>
      <w:kern w:val="2"/>
      <w:sz w:val="28"/>
      <w:szCs w:val="28"/>
      <w:lang w:val="en-US" w:eastAsia="zh-CN" w:bidi="ar-SA"/>
    </w:rPr>
  </w:style>
  <w:style w:type="character" w:customStyle="1" w:styleId="327">
    <w:name w:val="aaaaaaaaaaaaaa Char Char"/>
    <w:link w:val="328"/>
    <w:qFormat/>
    <w:uiPriority w:val="0"/>
    <w:rPr>
      <w:kern w:val="2"/>
    </w:rPr>
  </w:style>
  <w:style w:type="paragraph" w:customStyle="1" w:styleId="328">
    <w:name w:val="aaaaaaaaaaaaaa"/>
    <w:basedOn w:val="1"/>
    <w:link w:val="327"/>
    <w:qFormat/>
    <w:uiPriority w:val="0"/>
    <w:pPr>
      <w:spacing w:line="360" w:lineRule="auto"/>
      <w:ind w:firstLine="485" w:firstLineChars="202"/>
    </w:pPr>
    <w:rPr>
      <w:sz w:val="20"/>
      <w:szCs w:val="20"/>
    </w:rPr>
  </w:style>
  <w:style w:type="character" w:customStyle="1" w:styleId="329">
    <w:name w:val="param_td1"/>
    <w:qFormat/>
    <w:uiPriority w:val="0"/>
    <w:rPr>
      <w:rFonts w:ascii="仿宋_GB2312" w:hAnsi="Tahoma" w:eastAsia="仿宋_GB2312"/>
      <w:b/>
      <w:sz w:val="32"/>
      <w:szCs w:val="32"/>
    </w:rPr>
  </w:style>
  <w:style w:type="character" w:customStyle="1" w:styleId="330">
    <w:name w:val="样式 正文文本 Char Char"/>
    <w:link w:val="331"/>
    <w:qFormat/>
    <w:uiPriority w:val="0"/>
    <w:rPr>
      <w:rFonts w:ascii="Arial" w:hAnsi="Arial" w:cs="宋体"/>
      <w:color w:val="000000"/>
      <w:kern w:val="2"/>
      <w:sz w:val="21"/>
    </w:rPr>
  </w:style>
  <w:style w:type="paragraph" w:customStyle="1" w:styleId="331">
    <w:name w:val="样式 正文文本"/>
    <w:basedOn w:val="1"/>
    <w:link w:val="330"/>
    <w:qFormat/>
    <w:uiPriority w:val="0"/>
    <w:pPr>
      <w:adjustRightInd w:val="0"/>
      <w:snapToGrid w:val="0"/>
      <w:spacing w:line="400" w:lineRule="exact"/>
      <w:ind w:firstLine="200" w:firstLineChars="200"/>
    </w:pPr>
    <w:rPr>
      <w:rFonts w:ascii="Arial" w:hAnsi="Arial"/>
      <w:color w:val="000000"/>
      <w:szCs w:val="20"/>
    </w:rPr>
  </w:style>
  <w:style w:type="character" w:customStyle="1" w:styleId="332">
    <w:name w:val="update"/>
    <w:qFormat/>
    <w:uiPriority w:val="0"/>
    <w:rPr>
      <w:szCs w:val="20"/>
    </w:rPr>
  </w:style>
  <w:style w:type="character" w:customStyle="1" w:styleId="333">
    <w:name w:val="小标题 Char Char"/>
    <w:qFormat/>
    <w:uiPriority w:val="0"/>
    <w:rPr>
      <w:rFonts w:ascii="黑体" w:hAnsi="黑体" w:eastAsia="黑体"/>
      <w:b/>
      <w:bCs/>
      <w:kern w:val="2"/>
      <w:sz w:val="48"/>
      <w:szCs w:val="48"/>
    </w:rPr>
  </w:style>
  <w:style w:type="character" w:customStyle="1" w:styleId="334">
    <w:name w:val="表格 Char Char"/>
    <w:link w:val="335"/>
    <w:qFormat/>
    <w:uiPriority w:val="0"/>
    <w:rPr>
      <w:rFonts w:ascii="宋体" w:hAnsi="宋体"/>
      <w:b/>
      <w:sz w:val="32"/>
      <w:szCs w:val="32"/>
    </w:rPr>
  </w:style>
  <w:style w:type="paragraph" w:customStyle="1" w:styleId="335">
    <w:name w:val="表格"/>
    <w:basedOn w:val="1"/>
    <w:link w:val="334"/>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336">
    <w:name w:val="Texte Char Char"/>
    <w:qFormat/>
    <w:uiPriority w:val="0"/>
    <w:rPr>
      <w:rFonts w:ascii="宋体" w:hAnsi="Courier New" w:eastAsia="宋体"/>
      <w:b/>
      <w:sz w:val="21"/>
      <w:szCs w:val="21"/>
      <w:lang w:val="en-US" w:eastAsia="zh-CN" w:bidi="ar-SA"/>
    </w:rPr>
  </w:style>
  <w:style w:type="character" w:customStyle="1" w:styleId="337">
    <w:name w:val="1.1.1.1.1 Char"/>
    <w:link w:val="338"/>
    <w:qFormat/>
    <w:uiPriority w:val="0"/>
    <w:rPr>
      <w:rFonts w:ascii="Arial" w:hAnsi="Arial" w:eastAsia="黑体"/>
      <w:b/>
      <w:bCs/>
      <w:kern w:val="2"/>
      <w:sz w:val="24"/>
      <w:szCs w:val="28"/>
    </w:rPr>
  </w:style>
  <w:style w:type="paragraph" w:customStyle="1" w:styleId="338">
    <w:name w:val="1.1.1.1.1"/>
    <w:basedOn w:val="232"/>
    <w:next w:val="17"/>
    <w:link w:val="337"/>
    <w:qFormat/>
    <w:uiPriority w:val="0"/>
    <w:pPr>
      <w:keepLines/>
      <w:numPr>
        <w:ilvl w:val="0"/>
        <w:numId w:val="6"/>
      </w:numPr>
      <w:spacing w:before="240" w:after="240" w:line="377" w:lineRule="auto"/>
      <w:ind w:firstLine="0" w:firstLineChars="0"/>
      <w:outlineLvl w:val="4"/>
    </w:pPr>
    <w:rPr>
      <w:rFonts w:ascii="Arial" w:hAnsi="Arial" w:eastAsia="黑体"/>
      <w:bCs/>
      <w:sz w:val="24"/>
      <w:szCs w:val="28"/>
    </w:rPr>
  </w:style>
  <w:style w:type="character" w:customStyle="1" w:styleId="339">
    <w:name w:val="doc1"/>
    <w:qFormat/>
    <w:uiPriority w:val="0"/>
    <w:rPr>
      <w:szCs w:val="20"/>
    </w:rPr>
  </w:style>
  <w:style w:type="character" w:customStyle="1" w:styleId="340">
    <w:name w:val="Style1"/>
    <w:qFormat/>
    <w:uiPriority w:val="0"/>
    <w:rPr>
      <w:rFonts w:ascii="Calibri" w:hAnsi="宋体" w:eastAsia="宋体" w:cs="Times New Roman"/>
      <w:sz w:val="22"/>
      <w:szCs w:val="22"/>
      <w:lang w:eastAsia="zh-CN"/>
    </w:rPr>
  </w:style>
  <w:style w:type="character" w:customStyle="1" w:styleId="341">
    <w:name w:val="font211"/>
    <w:basedOn w:val="61"/>
    <w:qFormat/>
    <w:uiPriority w:val="0"/>
    <w:rPr>
      <w:rFonts w:hint="default" w:ascii="Times New Roman" w:hAnsi="Times New Roman" w:cs="Times New Roman"/>
      <w:color w:val="000000"/>
      <w:sz w:val="18"/>
      <w:szCs w:val="18"/>
      <w:u w:val="none"/>
    </w:rPr>
  </w:style>
  <w:style w:type="character" w:customStyle="1" w:styleId="342">
    <w:name w:val="可研正文 Char"/>
    <w:link w:val="343"/>
    <w:qFormat/>
    <w:uiPriority w:val="0"/>
    <w:rPr>
      <w:rFonts w:ascii="仿宋" w:hAnsi="仿宋" w:eastAsia="仿宋_GB2312"/>
      <w:sz w:val="28"/>
      <w:szCs w:val="28"/>
    </w:rPr>
  </w:style>
  <w:style w:type="paragraph" w:customStyle="1" w:styleId="343">
    <w:name w:val="可研正文"/>
    <w:basedOn w:val="1"/>
    <w:link w:val="342"/>
    <w:qFormat/>
    <w:uiPriority w:val="0"/>
    <w:pPr>
      <w:ind w:firstLine="200" w:firstLineChars="200"/>
    </w:pPr>
    <w:rPr>
      <w:rFonts w:ascii="仿宋" w:hAnsi="仿宋" w:eastAsia="仿宋_GB2312"/>
      <w:kern w:val="0"/>
      <w:sz w:val="28"/>
      <w:szCs w:val="28"/>
    </w:rPr>
  </w:style>
  <w:style w:type="character" w:customStyle="1" w:styleId="344">
    <w:name w:val="标题 3 Char"/>
    <w:qFormat/>
    <w:uiPriority w:val="0"/>
    <w:rPr>
      <w:rFonts w:ascii="黑体" w:hAnsi="宋体" w:eastAsia="黑体"/>
      <w:bCs/>
      <w:kern w:val="2"/>
      <w:sz w:val="28"/>
      <w:szCs w:val="28"/>
      <w:lang w:val="en-US" w:eastAsia="zh-CN" w:bidi="ar-SA"/>
    </w:rPr>
  </w:style>
  <w:style w:type="character" w:customStyle="1" w:styleId="345">
    <w:name w:val="正文文本缩进 3 Char2"/>
    <w:basedOn w:val="61"/>
    <w:semiHidden/>
    <w:uiPriority w:val="99"/>
    <w:rPr>
      <w:kern w:val="2"/>
      <w:sz w:val="16"/>
      <w:szCs w:val="16"/>
    </w:rPr>
  </w:style>
  <w:style w:type="character" w:customStyle="1" w:styleId="346">
    <w:name w:val="样式 样式 四号 首行缩进:  0.74 厘米 行距: 1.5 倍行距 + 宋体 四号 行距: 1.5 倍行距 Char"/>
    <w:link w:val="347"/>
    <w:qFormat/>
    <w:uiPriority w:val="0"/>
    <w:rPr>
      <w:rFonts w:ascii="宋体" w:hAnsi="宋体" w:cs="宋体"/>
      <w:kern w:val="2"/>
      <w:sz w:val="28"/>
    </w:rPr>
  </w:style>
  <w:style w:type="paragraph" w:customStyle="1" w:styleId="347">
    <w:name w:val="样式 样式 四号 首行缩进:  0.74 厘米 行距: 1.5 倍行距 + 宋体 四号 行距: 1.5 倍行距"/>
    <w:basedOn w:val="1"/>
    <w:link w:val="346"/>
    <w:qFormat/>
    <w:uiPriority w:val="0"/>
    <w:pPr>
      <w:spacing w:line="360" w:lineRule="auto"/>
      <w:ind w:firstLine="560" w:firstLineChars="200"/>
    </w:pPr>
    <w:rPr>
      <w:rFonts w:ascii="宋体" w:hAnsi="宋体"/>
      <w:sz w:val="28"/>
      <w:szCs w:val="20"/>
    </w:rPr>
  </w:style>
  <w:style w:type="character" w:customStyle="1" w:styleId="348">
    <w:name w:val="正文文本 2 Char2"/>
    <w:basedOn w:val="61"/>
    <w:semiHidden/>
    <w:uiPriority w:val="99"/>
    <w:rPr>
      <w:kern w:val="2"/>
      <w:sz w:val="21"/>
      <w:szCs w:val="24"/>
    </w:rPr>
  </w:style>
  <w:style w:type="character" w:customStyle="1" w:styleId="349">
    <w:name w:val="普通文字1 Char"/>
    <w:qFormat/>
    <w:uiPriority w:val="0"/>
    <w:rPr>
      <w:rFonts w:ascii="宋体" w:hAnsi="Courier New" w:eastAsia="宋体" w:cs="Courier New"/>
      <w:kern w:val="2"/>
      <w:sz w:val="21"/>
      <w:szCs w:val="21"/>
      <w:lang w:val="en-US" w:eastAsia="zh-CN" w:bidi="ar-SA"/>
    </w:rPr>
  </w:style>
  <w:style w:type="character" w:customStyle="1" w:styleId="350">
    <w:name w:val="font41"/>
    <w:basedOn w:val="61"/>
    <w:qFormat/>
    <w:uiPriority w:val="0"/>
    <w:rPr>
      <w:rFonts w:hint="eastAsia" w:ascii="宋体" w:hAnsi="宋体" w:eastAsia="宋体" w:cs="宋体"/>
      <w:b/>
      <w:color w:val="000000"/>
      <w:sz w:val="21"/>
      <w:szCs w:val="21"/>
      <w:u w:val="none"/>
    </w:rPr>
  </w:style>
  <w:style w:type="character" w:customStyle="1" w:styleId="351">
    <w:name w:val="authcode"/>
    <w:qFormat/>
    <w:uiPriority w:val="0"/>
    <w:rPr>
      <w:szCs w:val="20"/>
    </w:rPr>
  </w:style>
  <w:style w:type="character" w:customStyle="1" w:styleId="352">
    <w:name w:val="Char Char201"/>
    <w:qFormat/>
    <w:uiPriority w:val="0"/>
    <w:rPr>
      <w:rFonts w:ascii="Cambria" w:hAnsi="Cambria" w:eastAsia="宋体" w:cs="Times New Roman"/>
      <w:b/>
      <w:bCs/>
      <w:sz w:val="32"/>
      <w:szCs w:val="32"/>
    </w:rPr>
  </w:style>
  <w:style w:type="character" w:customStyle="1" w:styleId="353">
    <w:name w:val="标题 3 Char1"/>
    <w:qFormat/>
    <w:uiPriority w:val="0"/>
    <w:rPr>
      <w:b/>
      <w:bCs/>
      <w:kern w:val="2"/>
      <w:sz w:val="32"/>
      <w:szCs w:val="32"/>
    </w:rPr>
  </w:style>
  <w:style w:type="character" w:customStyle="1" w:styleId="354">
    <w:name w:val="16"/>
    <w:basedOn w:val="61"/>
    <w:qFormat/>
    <w:uiPriority w:val="0"/>
    <w:rPr>
      <w:rFonts w:hint="eastAsia" w:ascii="宋体" w:hAnsi="宋体" w:eastAsia="宋体" w:cs="宋体"/>
      <w:sz w:val="24"/>
      <w:szCs w:val="24"/>
    </w:rPr>
  </w:style>
  <w:style w:type="character" w:customStyle="1" w:styleId="355">
    <w:name w:val="缩进(ALT+Z) Char"/>
    <w:basedOn w:val="61"/>
    <w:link w:val="356"/>
    <w:qFormat/>
    <w:uiPriority w:val="0"/>
    <w:rPr>
      <w:rFonts w:ascii="宋体" w:hAnsi="宋体" w:cs="宋体"/>
      <w:sz w:val="24"/>
    </w:rPr>
  </w:style>
  <w:style w:type="paragraph" w:customStyle="1" w:styleId="356">
    <w:name w:val="缩进(ALT+Z)"/>
    <w:basedOn w:val="17"/>
    <w:link w:val="355"/>
    <w:qFormat/>
    <w:uiPriority w:val="0"/>
    <w:pPr>
      <w:widowControl/>
      <w:adjustRightInd/>
      <w:spacing w:line="360" w:lineRule="auto"/>
      <w:ind w:firstLine="200" w:firstLineChars="200"/>
      <w:jc w:val="left"/>
      <w:textAlignment w:val="auto"/>
    </w:pPr>
    <w:rPr>
      <w:rFonts w:ascii="宋体" w:hAnsi="宋体" w:cs="宋体"/>
      <w:sz w:val="24"/>
    </w:rPr>
  </w:style>
  <w:style w:type="character" w:customStyle="1" w:styleId="357">
    <w:name w:val="正文2 Char"/>
    <w:link w:val="358"/>
    <w:qFormat/>
    <w:uiPriority w:val="0"/>
    <w:rPr>
      <w:sz w:val="24"/>
    </w:rPr>
  </w:style>
  <w:style w:type="paragraph" w:customStyle="1" w:styleId="358">
    <w:name w:val="正文2"/>
    <w:basedOn w:val="1"/>
    <w:link w:val="357"/>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359">
    <w:name w:val="HTML 预设格式 Char"/>
    <w:qFormat/>
    <w:uiPriority w:val="0"/>
    <w:rPr>
      <w:rFonts w:ascii="微软雅黑" w:hAnsi="微软雅黑" w:eastAsia="微软雅黑"/>
      <w:sz w:val="24"/>
      <w:szCs w:val="24"/>
    </w:rPr>
  </w:style>
  <w:style w:type="character" w:customStyle="1" w:styleId="360">
    <w:name w:val="表注(ALT+B) Char"/>
    <w:basedOn w:val="61"/>
    <w:link w:val="361"/>
    <w:qFormat/>
    <w:uiPriority w:val="0"/>
    <w:rPr>
      <w:rFonts w:ascii="宋体" w:hAnsi="宋体" w:cs="Arial"/>
      <w:b/>
      <w:kern w:val="2"/>
      <w:sz w:val="21"/>
      <w:szCs w:val="21"/>
    </w:rPr>
  </w:style>
  <w:style w:type="paragraph" w:customStyle="1" w:styleId="361">
    <w:name w:val="表注(ALT+B)"/>
    <w:basedOn w:val="1"/>
    <w:next w:val="362"/>
    <w:link w:val="360"/>
    <w:qFormat/>
    <w:uiPriority w:val="0"/>
    <w:pPr>
      <w:keepNext/>
      <w:snapToGrid w:val="0"/>
      <w:spacing w:line="360" w:lineRule="auto"/>
      <w:jc w:val="center"/>
    </w:pPr>
    <w:rPr>
      <w:rFonts w:ascii="宋体" w:hAnsi="宋体" w:cs="Arial"/>
      <w:b/>
      <w:szCs w:val="21"/>
    </w:rPr>
  </w:style>
  <w:style w:type="paragraph" w:customStyle="1" w:styleId="362">
    <w:name w:val="正文缩进(ALT+Z)"/>
    <w:basedOn w:val="1"/>
    <w:link w:val="363"/>
    <w:qFormat/>
    <w:uiPriority w:val="0"/>
    <w:pPr>
      <w:spacing w:line="360" w:lineRule="auto"/>
      <w:ind w:firstLine="200" w:firstLineChars="200"/>
    </w:pPr>
    <w:rPr>
      <w:rFonts w:ascii="Times New Roman" w:hAnsi="Times New Roman"/>
      <w:sz w:val="24"/>
    </w:rPr>
  </w:style>
  <w:style w:type="character" w:customStyle="1" w:styleId="363">
    <w:name w:val="正文缩进(ALT+Z) Char"/>
    <w:basedOn w:val="61"/>
    <w:link w:val="362"/>
    <w:qFormat/>
    <w:uiPriority w:val="0"/>
    <w:rPr>
      <w:rFonts w:ascii="Times New Roman" w:hAnsi="Times New Roman"/>
      <w:kern w:val="2"/>
      <w:sz w:val="24"/>
      <w:szCs w:val="24"/>
    </w:rPr>
  </w:style>
  <w:style w:type="character" w:customStyle="1" w:styleId="364">
    <w:name w:val="符号正文缩进 Char"/>
    <w:link w:val="365"/>
    <w:qFormat/>
    <w:uiPriority w:val="0"/>
    <w:rPr>
      <w:sz w:val="24"/>
    </w:rPr>
  </w:style>
  <w:style w:type="paragraph" w:customStyle="1" w:styleId="365">
    <w:name w:val="符号正文缩进"/>
    <w:basedOn w:val="17"/>
    <w:link w:val="364"/>
    <w:qFormat/>
    <w:uiPriority w:val="0"/>
    <w:pPr>
      <w:numPr>
        <w:ilvl w:val="0"/>
        <w:numId w:val="7"/>
      </w:numPr>
      <w:spacing w:line="400" w:lineRule="atLeast"/>
    </w:pPr>
    <w:rPr>
      <w:sz w:val="24"/>
    </w:rPr>
  </w:style>
  <w:style w:type="character" w:customStyle="1" w:styleId="366">
    <w:name w:val="正文文本缩进 2 Char2"/>
    <w:basedOn w:val="61"/>
    <w:semiHidden/>
    <w:uiPriority w:val="99"/>
    <w:rPr>
      <w:kern w:val="2"/>
      <w:sz w:val="21"/>
      <w:szCs w:val="24"/>
    </w:rPr>
  </w:style>
  <w:style w:type="character" w:customStyle="1" w:styleId="367">
    <w:name w:val="正文居中 Char Char"/>
    <w:qFormat/>
    <w:uiPriority w:val="0"/>
    <w:rPr>
      <w:kern w:val="2"/>
      <w:sz w:val="21"/>
      <w:szCs w:val="24"/>
    </w:rPr>
  </w:style>
  <w:style w:type="character" w:customStyle="1" w:styleId="368">
    <w:name w:val="样式2 Char"/>
    <w:qFormat/>
    <w:uiPriority w:val="0"/>
    <w:rPr>
      <w:rFonts w:ascii="Arial" w:hAnsi="Arial" w:eastAsia="黑体"/>
      <w:b/>
      <w:bCs/>
      <w:sz w:val="36"/>
      <w:szCs w:val="32"/>
    </w:rPr>
  </w:style>
  <w:style w:type="character" w:customStyle="1" w:styleId="369">
    <w:name w:val="HTML 预设格式 Char2"/>
    <w:basedOn w:val="61"/>
    <w:semiHidden/>
    <w:uiPriority w:val="99"/>
    <w:rPr>
      <w:rFonts w:ascii="Courier New" w:hAnsi="Courier New" w:cs="Courier New"/>
      <w:kern w:val="2"/>
    </w:rPr>
  </w:style>
  <w:style w:type="character" w:customStyle="1" w:styleId="370">
    <w:name w:val="二级要点 Char1"/>
    <w:link w:val="371"/>
    <w:qFormat/>
    <w:locked/>
    <w:uiPriority w:val="0"/>
    <w:rPr>
      <w:sz w:val="24"/>
      <w:szCs w:val="24"/>
      <w:lang w:val="zh-CN" w:eastAsia="en-US" w:bidi="en-US"/>
    </w:rPr>
  </w:style>
  <w:style w:type="paragraph" w:customStyle="1" w:styleId="371">
    <w:name w:val="二级要点"/>
    <w:basedOn w:val="1"/>
    <w:link w:val="370"/>
    <w:qFormat/>
    <w:uiPriority w:val="0"/>
    <w:pPr>
      <w:widowControl/>
      <w:numPr>
        <w:ilvl w:val="0"/>
        <w:numId w:val="7"/>
      </w:numPr>
      <w:spacing w:line="360" w:lineRule="auto"/>
      <w:ind w:firstLine="0"/>
      <w:contextualSpacing/>
    </w:pPr>
    <w:rPr>
      <w:kern w:val="0"/>
      <w:sz w:val="24"/>
      <w:lang w:val="zh-CN" w:eastAsia="en-US" w:bidi="en-US"/>
    </w:rPr>
  </w:style>
  <w:style w:type="character" w:customStyle="1" w:styleId="372">
    <w:name w:val="count"/>
    <w:qFormat/>
    <w:uiPriority w:val="0"/>
  </w:style>
  <w:style w:type="character" w:customStyle="1" w:styleId="373">
    <w:name w:val="List Paragraph Char"/>
    <w:link w:val="374"/>
    <w:qFormat/>
    <w:locked/>
    <w:uiPriority w:val="0"/>
    <w:rPr>
      <w:rFonts w:ascii="宋体" w:hAnsi="宋体"/>
      <w:szCs w:val="24"/>
    </w:rPr>
  </w:style>
  <w:style w:type="paragraph" w:customStyle="1" w:styleId="374">
    <w:name w:val="列出段落13"/>
    <w:basedOn w:val="1"/>
    <w:link w:val="373"/>
    <w:qFormat/>
    <w:uiPriority w:val="0"/>
    <w:pPr>
      <w:numPr>
        <w:ilvl w:val="0"/>
        <w:numId w:val="8"/>
      </w:numPr>
      <w:ind w:firstLine="420" w:firstLineChars="200"/>
    </w:pPr>
    <w:rPr>
      <w:rFonts w:ascii="宋体" w:hAnsi="宋体"/>
      <w:kern w:val="0"/>
      <w:sz w:val="20"/>
    </w:rPr>
  </w:style>
  <w:style w:type="character" w:customStyle="1" w:styleId="375">
    <w:name w:val="red1"/>
    <w:qFormat/>
    <w:uiPriority w:val="0"/>
    <w:rPr>
      <w:color w:val="FF0000"/>
      <w:szCs w:val="20"/>
    </w:rPr>
  </w:style>
  <w:style w:type="character" w:customStyle="1" w:styleId="376">
    <w:name w:val="Char Char22"/>
    <w:qFormat/>
    <w:uiPriority w:val="0"/>
    <w:rPr>
      <w:rFonts w:ascii="Arial" w:hAnsi="Arial" w:eastAsia="黑体"/>
      <w:b/>
      <w:bCs/>
      <w:kern w:val="44"/>
      <w:sz w:val="30"/>
      <w:szCs w:val="44"/>
      <w:lang w:val="en-US" w:eastAsia="zh-CN" w:bidi="ar-SA"/>
    </w:rPr>
  </w:style>
  <w:style w:type="character" w:customStyle="1" w:styleId="377">
    <w:name w:val="批注框文本 Char"/>
    <w:qFormat/>
    <w:uiPriority w:val="99"/>
    <w:rPr>
      <w:kern w:val="2"/>
      <w:sz w:val="18"/>
      <w:szCs w:val="18"/>
    </w:rPr>
  </w:style>
  <w:style w:type="character" w:customStyle="1" w:styleId="378">
    <w:name w:val="内容文本 Char"/>
    <w:link w:val="379"/>
    <w:qFormat/>
    <w:uiPriority w:val="0"/>
    <w:rPr>
      <w:rFonts w:ascii="宋体" w:hAnsi="宋体"/>
      <w:sz w:val="24"/>
      <w:szCs w:val="24"/>
      <w:lang w:eastAsia="en-US" w:bidi="en-US"/>
    </w:rPr>
  </w:style>
  <w:style w:type="paragraph" w:customStyle="1" w:styleId="379">
    <w:name w:val="内容文本"/>
    <w:basedOn w:val="380"/>
    <w:link w:val="378"/>
    <w:qFormat/>
    <w:uiPriority w:val="0"/>
    <w:pPr>
      <w:spacing w:line="360" w:lineRule="auto"/>
      <w:ind w:firstLine="200"/>
      <w:contextualSpacing/>
      <w:jc w:val="left"/>
    </w:pPr>
    <w:rPr>
      <w:rFonts w:ascii="宋体" w:hAnsi="宋体"/>
      <w:kern w:val="0"/>
      <w:sz w:val="24"/>
      <w:lang w:eastAsia="en-US" w:bidi="en-US"/>
    </w:rPr>
  </w:style>
  <w:style w:type="paragraph" w:customStyle="1" w:styleId="380">
    <w:name w:val="List Paragraph"/>
    <w:basedOn w:val="1"/>
    <w:link w:val="381"/>
    <w:qFormat/>
    <w:uiPriority w:val="0"/>
    <w:pPr>
      <w:ind w:firstLine="420" w:firstLineChars="200"/>
    </w:pPr>
  </w:style>
  <w:style w:type="character" w:customStyle="1" w:styleId="381">
    <w:name w:val="列出段落 Char"/>
    <w:link w:val="380"/>
    <w:qFormat/>
    <w:uiPriority w:val="0"/>
    <w:rPr>
      <w:kern w:val="2"/>
      <w:sz w:val="21"/>
      <w:szCs w:val="24"/>
    </w:rPr>
  </w:style>
  <w:style w:type="character" w:customStyle="1" w:styleId="382">
    <w:name w:val="font21"/>
    <w:basedOn w:val="61"/>
    <w:qFormat/>
    <w:uiPriority w:val="0"/>
    <w:rPr>
      <w:rFonts w:hint="default" w:ascii="Times New Roman" w:hAnsi="Times New Roman" w:cs="Times New Roman"/>
      <w:color w:val="000000"/>
      <w:sz w:val="20"/>
      <w:szCs w:val="20"/>
      <w:u w:val="none"/>
    </w:rPr>
  </w:style>
  <w:style w:type="character" w:customStyle="1" w:styleId="383">
    <w:name w:val="表正文 Char2"/>
    <w:qFormat/>
    <w:uiPriority w:val="0"/>
    <w:rPr>
      <w:rFonts w:ascii="Times New Roman" w:hAnsi="Times New Roman" w:eastAsia="宋体" w:cs="Times New Roman"/>
      <w:szCs w:val="24"/>
    </w:rPr>
  </w:style>
  <w:style w:type="character" w:customStyle="1" w:styleId="384">
    <w:name w:val="med1"/>
    <w:qFormat/>
    <w:uiPriority w:val="0"/>
  </w:style>
  <w:style w:type="character" w:customStyle="1" w:styleId="385">
    <w:name w:val="标题 4 Char1"/>
    <w:qFormat/>
    <w:uiPriority w:val="0"/>
    <w:rPr>
      <w:rFonts w:ascii="Cambria" w:hAnsi="Cambria"/>
      <w:b/>
      <w:bCs/>
      <w:kern w:val="2"/>
      <w:sz w:val="28"/>
      <w:szCs w:val="28"/>
    </w:rPr>
  </w:style>
  <w:style w:type="character" w:customStyle="1" w:styleId="386">
    <w:name w:val="apple-style-span"/>
    <w:qFormat/>
    <w:uiPriority w:val="0"/>
  </w:style>
  <w:style w:type="character" w:customStyle="1" w:styleId="387">
    <w:name w:val="hover15"/>
    <w:qFormat/>
    <w:uiPriority w:val="0"/>
    <w:rPr>
      <w:szCs w:val="20"/>
      <w:u w:val="single"/>
    </w:rPr>
  </w:style>
  <w:style w:type="character" w:customStyle="1" w:styleId="388">
    <w:name w:val="正文 不缩进1 字符"/>
    <w:link w:val="389"/>
    <w:qFormat/>
    <w:uiPriority w:val="0"/>
    <w:rPr>
      <w:rFonts w:ascii="仿宋_GB2312" w:hAnsi="Arial" w:eastAsia="仿宋_GB2312"/>
      <w:kern w:val="2"/>
      <w:sz w:val="21"/>
      <w:szCs w:val="28"/>
    </w:rPr>
  </w:style>
  <w:style w:type="paragraph" w:customStyle="1" w:styleId="389">
    <w:name w:val="正文 不缩进1"/>
    <w:basedOn w:val="1"/>
    <w:next w:val="1"/>
    <w:link w:val="388"/>
    <w:qFormat/>
    <w:uiPriority w:val="0"/>
    <w:pPr>
      <w:jc w:val="left"/>
    </w:pPr>
    <w:rPr>
      <w:rFonts w:ascii="仿宋_GB2312" w:hAnsi="Arial" w:eastAsia="仿宋_GB2312"/>
      <w:szCs w:val="28"/>
    </w:rPr>
  </w:style>
  <w:style w:type="character" w:customStyle="1" w:styleId="390">
    <w:name w:val="页眉 Char"/>
    <w:qFormat/>
    <w:uiPriority w:val="99"/>
    <w:rPr>
      <w:rFonts w:eastAsia="仿宋_GB2312"/>
      <w:kern w:val="2"/>
      <w:sz w:val="18"/>
      <w:szCs w:val="18"/>
      <w:lang w:val="en-US" w:eastAsia="zh-CN" w:bidi="ar-SA"/>
    </w:rPr>
  </w:style>
  <w:style w:type="character" w:customStyle="1" w:styleId="391">
    <w:name w:val="Char Char20"/>
    <w:qFormat/>
    <w:uiPriority w:val="0"/>
    <w:rPr>
      <w:rFonts w:ascii="仿宋_GB2312" w:eastAsia="仿宋_GB2312"/>
      <w:b/>
      <w:bCs/>
      <w:kern w:val="44"/>
      <w:sz w:val="44"/>
      <w:szCs w:val="44"/>
    </w:rPr>
  </w:style>
  <w:style w:type="character" w:customStyle="1" w:styleId="392">
    <w:name w:val="一级项目符号 Char"/>
    <w:link w:val="393"/>
    <w:qFormat/>
    <w:locked/>
    <w:uiPriority w:val="0"/>
    <w:rPr>
      <w:rFonts w:cs="Arial"/>
      <w:color w:val="000000"/>
      <w:sz w:val="24"/>
      <w:szCs w:val="24"/>
    </w:rPr>
  </w:style>
  <w:style w:type="paragraph" w:customStyle="1" w:styleId="393">
    <w:name w:val="一级项目符号"/>
    <w:basedOn w:val="1"/>
    <w:link w:val="392"/>
    <w:qFormat/>
    <w:uiPriority w:val="0"/>
    <w:pPr>
      <w:widowControl/>
      <w:spacing w:line="360" w:lineRule="auto"/>
      <w:ind w:left="838" w:hanging="420"/>
      <w:jc w:val="left"/>
    </w:pPr>
    <w:rPr>
      <w:color w:val="000000"/>
      <w:kern w:val="0"/>
      <w:sz w:val="24"/>
    </w:rPr>
  </w:style>
  <w:style w:type="character" w:customStyle="1" w:styleId="394">
    <w:name w:val="正文首行缩进 2 Char"/>
    <w:qFormat/>
    <w:uiPriority w:val="0"/>
    <w:rPr>
      <w:rFonts w:ascii="宋体" w:hAnsi="宋体"/>
      <w:kern w:val="2"/>
      <w:sz w:val="24"/>
      <w:szCs w:val="24"/>
    </w:rPr>
  </w:style>
  <w:style w:type="character" w:customStyle="1" w:styleId="395">
    <w:name w:val="样式1 Char Char"/>
    <w:qFormat/>
    <w:locked/>
    <w:uiPriority w:val="0"/>
    <w:rPr>
      <w:rFonts w:ascii="Arial" w:hAnsi="Arial" w:eastAsia="黑体" w:cs="Arial"/>
      <w:bCs/>
      <w:kern w:val="2"/>
      <w:sz w:val="32"/>
      <w:szCs w:val="32"/>
    </w:rPr>
  </w:style>
  <w:style w:type="character" w:customStyle="1" w:styleId="396">
    <w:name w:val="批注文字 字符"/>
    <w:qFormat/>
    <w:uiPriority w:val="0"/>
    <w:rPr>
      <w:rFonts w:eastAsia="宋体"/>
      <w:kern w:val="2"/>
      <w:sz w:val="36"/>
      <w:szCs w:val="24"/>
      <w:lang w:val="en-US" w:eastAsia="zh-CN" w:bidi="ar-SA"/>
    </w:rPr>
  </w:style>
  <w:style w:type="character" w:customStyle="1" w:styleId="397">
    <w:name w:val="三级标题 Char"/>
    <w:link w:val="398"/>
    <w:qFormat/>
    <w:uiPriority w:val="0"/>
    <w:rPr>
      <w:rFonts w:ascii="宋体" w:hAnsi="宋体"/>
      <w:b/>
      <w:bCs/>
      <w:sz w:val="28"/>
      <w:szCs w:val="32"/>
    </w:rPr>
  </w:style>
  <w:style w:type="paragraph" w:customStyle="1" w:styleId="398">
    <w:name w:val="三级标题"/>
    <w:basedOn w:val="7"/>
    <w:link w:val="397"/>
    <w:qFormat/>
    <w:uiPriority w:val="0"/>
    <w:pPr>
      <w:numPr>
        <w:ilvl w:val="2"/>
        <w:numId w:val="0"/>
      </w:numPr>
      <w:tabs>
        <w:tab w:val="left" w:pos="284"/>
        <w:tab w:val="left" w:pos="360"/>
        <w:tab w:val="left" w:pos="1065"/>
      </w:tabs>
      <w:spacing w:beforeLines="50" w:line="360" w:lineRule="auto"/>
    </w:pPr>
    <w:rPr>
      <w:rFonts w:ascii="宋体" w:hAnsi="宋体"/>
      <w:kern w:val="0"/>
      <w:sz w:val="28"/>
    </w:rPr>
  </w:style>
  <w:style w:type="character" w:customStyle="1" w:styleId="399">
    <w:name w:val="书籍标题1"/>
    <w:qFormat/>
    <w:uiPriority w:val="0"/>
    <w:rPr>
      <w:b/>
      <w:bCs/>
      <w:smallCaps/>
      <w:spacing w:val="5"/>
    </w:rPr>
  </w:style>
  <w:style w:type="character" w:customStyle="1" w:styleId="400">
    <w:name w:val="font11"/>
    <w:basedOn w:val="61"/>
    <w:qFormat/>
    <w:uiPriority w:val="0"/>
    <w:rPr>
      <w:rFonts w:hint="eastAsia" w:ascii="宋体" w:hAnsi="宋体" w:eastAsia="宋体" w:cs="宋体"/>
      <w:color w:val="000000"/>
      <w:sz w:val="20"/>
      <w:szCs w:val="20"/>
      <w:u w:val="none"/>
      <w:vertAlign w:val="superscript"/>
    </w:rPr>
  </w:style>
  <w:style w:type="character" w:customStyle="1" w:styleId="401">
    <w:name w:val="二级项目符号 Char"/>
    <w:link w:val="402"/>
    <w:qFormat/>
    <w:locked/>
    <w:uiPriority w:val="0"/>
    <w:rPr>
      <w:color w:val="000000"/>
      <w:sz w:val="24"/>
      <w:szCs w:val="24"/>
    </w:rPr>
  </w:style>
  <w:style w:type="paragraph" w:customStyle="1" w:styleId="402">
    <w:name w:val="二级项目符号"/>
    <w:basedOn w:val="1"/>
    <w:link w:val="401"/>
    <w:qFormat/>
    <w:uiPriority w:val="0"/>
    <w:pPr>
      <w:widowControl/>
      <w:numPr>
        <w:ilvl w:val="0"/>
        <w:numId w:val="9"/>
      </w:numPr>
      <w:spacing w:line="360" w:lineRule="auto"/>
      <w:ind w:firstLine="0"/>
      <w:jc w:val="left"/>
    </w:pPr>
    <w:rPr>
      <w:color w:val="000000"/>
      <w:kern w:val="0"/>
      <w:sz w:val="24"/>
    </w:rPr>
  </w:style>
  <w:style w:type="character" w:customStyle="1" w:styleId="403">
    <w:name w:val="font151"/>
    <w:basedOn w:val="61"/>
    <w:qFormat/>
    <w:uiPriority w:val="0"/>
    <w:rPr>
      <w:rFonts w:hint="default" w:ascii="Times New Roman" w:hAnsi="Times New Roman" w:cs="Times New Roman"/>
      <w:b/>
      <w:color w:val="000000"/>
      <w:sz w:val="21"/>
      <w:szCs w:val="21"/>
      <w:u w:val="none"/>
    </w:rPr>
  </w:style>
  <w:style w:type="character" w:customStyle="1" w:styleId="404">
    <w:name w:val="font101"/>
    <w:basedOn w:val="61"/>
    <w:qFormat/>
    <w:uiPriority w:val="0"/>
    <w:rPr>
      <w:rFonts w:ascii="方正书宋_GBK" w:hAnsi="方正书宋_GBK" w:eastAsia="方正书宋_GBK" w:cs="方正书宋_GBK"/>
      <w:color w:val="000000"/>
      <w:sz w:val="21"/>
      <w:szCs w:val="21"/>
      <w:u w:val="none"/>
    </w:rPr>
  </w:style>
  <w:style w:type="character" w:customStyle="1" w:styleId="405">
    <w:name w:val="注释标题 Char2"/>
    <w:basedOn w:val="61"/>
    <w:semiHidden/>
    <w:uiPriority w:val="99"/>
    <w:rPr>
      <w:kern w:val="2"/>
      <w:sz w:val="21"/>
      <w:szCs w:val="24"/>
    </w:rPr>
  </w:style>
  <w:style w:type="character" w:customStyle="1" w:styleId="406">
    <w:name w:val="正文文本缩进 3 Char1"/>
    <w:qFormat/>
    <w:uiPriority w:val="0"/>
    <w:rPr>
      <w:rFonts w:ascii="Calibri" w:hAnsi="Calibri" w:cs="黑体"/>
      <w:kern w:val="2"/>
      <w:sz w:val="16"/>
      <w:szCs w:val="16"/>
    </w:rPr>
  </w:style>
  <w:style w:type="character" w:customStyle="1" w:styleId="407">
    <w:name w:val="注释正文＋下划线 Char"/>
    <w:link w:val="408"/>
    <w:qFormat/>
    <w:uiPriority w:val="0"/>
    <w:rPr>
      <w:rFonts w:ascii="宋体" w:hAnsi="宋体"/>
      <w:kern w:val="2"/>
      <w:sz w:val="28"/>
      <w:szCs w:val="28"/>
      <w:u w:val="single"/>
    </w:rPr>
  </w:style>
  <w:style w:type="paragraph" w:customStyle="1" w:styleId="408">
    <w:name w:val="注释正文＋下划线"/>
    <w:basedOn w:val="1"/>
    <w:link w:val="407"/>
    <w:qFormat/>
    <w:uiPriority w:val="0"/>
    <w:rPr>
      <w:rFonts w:ascii="宋体" w:hAnsi="宋体"/>
      <w:sz w:val="28"/>
      <w:szCs w:val="28"/>
      <w:u w:val="single"/>
    </w:rPr>
  </w:style>
  <w:style w:type="character" w:customStyle="1" w:styleId="409">
    <w:name w:val="legend"/>
    <w:qFormat/>
    <w:uiPriority w:val="0"/>
    <w:rPr>
      <w:rFonts w:ascii="Arial" w:hAnsi="Arial" w:cs="Arial"/>
      <w:b/>
      <w:color w:val="73B304"/>
      <w:sz w:val="16"/>
      <w:szCs w:val="16"/>
      <w:shd w:val="clear" w:color="auto" w:fill="FFFFFF"/>
    </w:rPr>
  </w:style>
  <w:style w:type="character" w:customStyle="1" w:styleId="410">
    <w:name w:val="正文对齐 Char"/>
    <w:basedOn w:val="61"/>
    <w:qFormat/>
    <w:locked/>
    <w:uiPriority w:val="0"/>
  </w:style>
  <w:style w:type="character" w:customStyle="1" w:styleId="411">
    <w:name w:val="Char Char Char1"/>
    <w:qFormat/>
    <w:uiPriority w:val="0"/>
    <w:rPr>
      <w:rFonts w:ascii="宋体" w:hAnsi="Courier New" w:eastAsia="仿宋_GB2312"/>
      <w:b/>
      <w:sz w:val="21"/>
      <w:szCs w:val="21"/>
    </w:rPr>
  </w:style>
  <w:style w:type="character" w:customStyle="1" w:styleId="412">
    <w:name w:val="文档正文 Char"/>
    <w:link w:val="413"/>
    <w:qFormat/>
    <w:locked/>
    <w:uiPriority w:val="0"/>
    <w:rPr>
      <w:sz w:val="24"/>
    </w:rPr>
  </w:style>
  <w:style w:type="paragraph" w:customStyle="1" w:styleId="413">
    <w:name w:val="文档正文"/>
    <w:basedOn w:val="1"/>
    <w:link w:val="412"/>
    <w:qFormat/>
    <w:uiPriority w:val="0"/>
    <w:pPr>
      <w:adjustRightInd w:val="0"/>
      <w:spacing w:line="300" w:lineRule="auto"/>
      <w:ind w:firstLine="567"/>
      <w:textAlignment w:val="baseline"/>
    </w:pPr>
    <w:rPr>
      <w:kern w:val="0"/>
      <w:sz w:val="24"/>
      <w:szCs w:val="20"/>
    </w:rPr>
  </w:style>
  <w:style w:type="character" w:customStyle="1" w:styleId="414">
    <w:name w:val="页眉注释 Char Char"/>
    <w:qFormat/>
    <w:uiPriority w:val="0"/>
    <w:rPr>
      <w:rFonts w:ascii="华文细黑" w:hAnsi="华文细黑" w:eastAsia="华文细黑"/>
      <w:b/>
      <w:color w:val="FFFFFF"/>
      <w:kern w:val="2"/>
      <w:sz w:val="18"/>
      <w:szCs w:val="18"/>
    </w:rPr>
  </w:style>
  <w:style w:type="character" w:customStyle="1" w:styleId="415">
    <w:name w:val="Style2"/>
    <w:qFormat/>
    <w:uiPriority w:val="0"/>
    <w:rPr>
      <w:rFonts w:ascii="Calibri" w:hAnsi="宋体" w:eastAsia="宋体" w:cs="Times New Roman"/>
      <w:sz w:val="22"/>
      <w:szCs w:val="22"/>
      <w:lang w:eastAsia="zh-CN"/>
    </w:rPr>
  </w:style>
  <w:style w:type="character" w:customStyle="1" w:styleId="416">
    <w:name w:val="纯文本 Char"/>
    <w:aliases w:val="普通文字 Char Char1,普通文字 Char Char Char,普通文字 Char1,0921 Char,普通文字 Char Char Char Char Char,Texte Char,小 Char, Char Char,普通文字 Char,纯文本 Char Char Char,普通文字 Char Char Char1,普通文字 Char Char Char Char1,普通文字2 Char,普通文字3 Char,普通文字4 Char,普通文字5 Char,普通文字6 Char"/>
    <w:qFormat/>
    <w:uiPriority w:val="0"/>
    <w:rPr>
      <w:rFonts w:ascii="仿宋_GB2312" w:hAnsi="Wingdings" w:eastAsia="仿宋_GB2312"/>
      <w:sz w:val="21"/>
      <w:szCs w:val="21"/>
      <w:lang w:val="en-US" w:eastAsia="zh-CN" w:bidi="ar-SA"/>
    </w:rPr>
  </w:style>
  <w:style w:type="character" w:customStyle="1" w:styleId="417">
    <w:name w:val="font61"/>
    <w:basedOn w:val="61"/>
    <w:qFormat/>
    <w:uiPriority w:val="0"/>
    <w:rPr>
      <w:rFonts w:hint="eastAsia" w:ascii="宋体" w:hAnsi="宋体" w:eastAsia="宋体" w:cs="宋体"/>
      <w:color w:val="000000"/>
      <w:sz w:val="21"/>
      <w:szCs w:val="21"/>
      <w:u w:val="none"/>
    </w:rPr>
  </w:style>
  <w:style w:type="character" w:customStyle="1" w:styleId="418">
    <w:name w:val="password"/>
    <w:qFormat/>
    <w:uiPriority w:val="0"/>
    <w:rPr>
      <w:szCs w:val="20"/>
    </w:rPr>
  </w:style>
  <w:style w:type="character" w:customStyle="1" w:styleId="419">
    <w:name w:val="脚注文本 Char"/>
    <w:qFormat/>
    <w:uiPriority w:val="99"/>
    <w:rPr>
      <w:kern w:val="2"/>
      <w:sz w:val="18"/>
      <w:szCs w:val="18"/>
    </w:rPr>
  </w:style>
  <w:style w:type="character" w:customStyle="1" w:styleId="420">
    <w:name w:val="标题 Char"/>
    <w:qFormat/>
    <w:uiPriority w:val="0"/>
    <w:rPr>
      <w:rFonts w:ascii="宋体,Verdana,Arial" w:hAnsi="宋体,Verdana,Arial" w:eastAsia="Cambria"/>
      <w:b/>
      <w:bCs/>
      <w:sz w:val="32"/>
      <w:szCs w:val="32"/>
    </w:rPr>
  </w:style>
  <w:style w:type="character" w:customStyle="1" w:styleId="421">
    <w:name w:val="舟式样--正文 Char"/>
    <w:link w:val="422"/>
    <w:qFormat/>
    <w:uiPriority w:val="99"/>
    <w:rPr>
      <w:rFonts w:ascii="仿宋_GB2312" w:eastAsia="仿宋_GB2312"/>
      <w:kern w:val="2"/>
      <w:sz w:val="28"/>
      <w:szCs w:val="22"/>
    </w:rPr>
  </w:style>
  <w:style w:type="paragraph" w:customStyle="1" w:styleId="422">
    <w:name w:val="舟式样--正文"/>
    <w:basedOn w:val="1"/>
    <w:link w:val="421"/>
    <w:qFormat/>
    <w:uiPriority w:val="99"/>
    <w:pPr>
      <w:ind w:firstLine="200" w:firstLineChars="200"/>
    </w:pPr>
    <w:rPr>
      <w:rFonts w:ascii="仿宋_GB2312" w:eastAsia="仿宋_GB2312"/>
      <w:sz w:val="28"/>
      <w:szCs w:val="22"/>
    </w:rPr>
  </w:style>
  <w:style w:type="character" w:customStyle="1" w:styleId="423">
    <w:name w:val="heading 6 Char1"/>
    <w:qFormat/>
    <w:uiPriority w:val="0"/>
    <w:rPr>
      <w:rFonts w:ascii="Arial" w:hAnsi="Arial" w:eastAsia="黑体"/>
      <w:b/>
      <w:kern w:val="2"/>
      <w:sz w:val="24"/>
      <w:szCs w:val="24"/>
      <w:lang w:val="en-US" w:eastAsia="zh-CN" w:bidi="ar-SA"/>
    </w:rPr>
  </w:style>
  <w:style w:type="character" w:customStyle="1" w:styleId="424">
    <w:name w:val="不明显参考1"/>
    <w:qFormat/>
    <w:uiPriority w:val="0"/>
    <w:rPr>
      <w:smallCaps/>
      <w:color w:val="C0504D"/>
      <w:u w:val="single"/>
    </w:rPr>
  </w:style>
  <w:style w:type="character" w:customStyle="1" w:styleId="425">
    <w:name w:val="smalltxt1"/>
    <w:qFormat/>
    <w:uiPriority w:val="0"/>
    <w:rPr>
      <w:rFonts w:hint="default" w:ascii="ˎ̥" w:hAnsi="ˎ̥" w:eastAsia="仿宋_GB2312"/>
      <w:b/>
      <w:sz w:val="24"/>
      <w:szCs w:val="24"/>
    </w:rPr>
  </w:style>
  <w:style w:type="character" w:customStyle="1" w:styleId="426">
    <w:name w:val="pt141"/>
    <w:qFormat/>
    <w:uiPriority w:val="0"/>
    <w:rPr>
      <w:rFonts w:ascii="仿宋_GB2312" w:eastAsia="仿宋_GB2312"/>
      <w:b/>
      <w:color w:val="330066"/>
      <w:spacing w:val="450"/>
      <w:sz w:val="22"/>
      <w:szCs w:val="22"/>
    </w:rPr>
  </w:style>
  <w:style w:type="character" w:customStyle="1" w:styleId="427">
    <w:name w:val="Char Char6"/>
    <w:qFormat/>
    <w:uiPriority w:val="0"/>
    <w:rPr>
      <w:rFonts w:ascii="Times New Roman" w:hAnsi="Times New Roman" w:eastAsia="宋体" w:cs="Times New Roman"/>
      <w:szCs w:val="24"/>
    </w:rPr>
  </w:style>
  <w:style w:type="character" w:customStyle="1" w:styleId="428">
    <w:name w:val="表格标题 Char"/>
    <w:link w:val="429"/>
    <w:qFormat/>
    <w:uiPriority w:val="0"/>
    <w:rPr>
      <w:rFonts w:ascii="黑体" w:hAnsi="黑体" w:eastAsia="黑体"/>
      <w:b/>
      <w:color w:val="FFFFFF"/>
      <w:kern w:val="2"/>
      <w:sz w:val="21"/>
      <w:szCs w:val="24"/>
    </w:rPr>
  </w:style>
  <w:style w:type="paragraph" w:customStyle="1" w:styleId="429">
    <w:name w:val="表格标题"/>
    <w:basedOn w:val="1"/>
    <w:link w:val="428"/>
    <w:qFormat/>
    <w:uiPriority w:val="0"/>
    <w:rPr>
      <w:rFonts w:ascii="黑体" w:hAnsi="黑体" w:eastAsia="黑体"/>
      <w:b/>
      <w:color w:val="FFFFFF"/>
    </w:rPr>
  </w:style>
  <w:style w:type="character" w:customStyle="1" w:styleId="430">
    <w:name w:val="表格 Char"/>
    <w:qFormat/>
    <w:uiPriority w:val="0"/>
    <w:rPr>
      <w:rFonts w:ascii="Calibri" w:hAnsi="Calibri" w:cs="黑体"/>
      <w:kern w:val="2"/>
      <w:sz w:val="21"/>
      <w:szCs w:val="21"/>
    </w:rPr>
  </w:style>
  <w:style w:type="character" w:customStyle="1" w:styleId="431">
    <w:name w:val="font91"/>
    <w:basedOn w:val="61"/>
    <w:qFormat/>
    <w:uiPriority w:val="0"/>
    <w:rPr>
      <w:rFonts w:hint="default" w:ascii="方正书宋_GBK" w:hAnsi="方正书宋_GBK" w:eastAsia="方正书宋_GBK" w:cs="方正书宋_GBK"/>
      <w:color w:val="000000"/>
      <w:sz w:val="21"/>
      <w:szCs w:val="21"/>
      <w:u w:val="none"/>
    </w:rPr>
  </w:style>
  <w:style w:type="character" w:customStyle="1" w:styleId="432">
    <w:name w:val="input"/>
    <w:qFormat/>
    <w:uiPriority w:val="0"/>
    <w:rPr>
      <w:szCs w:val="20"/>
    </w:rPr>
  </w:style>
  <w:style w:type="character" w:customStyle="1" w:styleId="433">
    <w:name w:val="正文首行缩进 2 Char3"/>
    <w:basedOn w:val="142"/>
    <w:semiHidden/>
    <w:uiPriority w:val="99"/>
  </w:style>
  <w:style w:type="character" w:customStyle="1" w:styleId="434">
    <w:name w:val="正文 图 字符"/>
    <w:link w:val="435"/>
    <w:qFormat/>
    <w:locked/>
    <w:uiPriority w:val="0"/>
    <w:rPr>
      <w:rFonts w:ascii="微软雅黑" w:hAnsi="微软雅黑" w:eastAsia="微软雅黑" w:cs="Tahoma"/>
    </w:rPr>
  </w:style>
  <w:style w:type="paragraph" w:customStyle="1" w:styleId="435">
    <w:name w:val="正文 图"/>
    <w:basedOn w:val="1"/>
    <w:link w:val="434"/>
    <w:qFormat/>
    <w:uiPriority w:val="0"/>
    <w:pPr>
      <w:widowControl/>
      <w:spacing w:line="360" w:lineRule="auto"/>
      <w:jc w:val="center"/>
    </w:pPr>
    <w:rPr>
      <w:rFonts w:ascii="微软雅黑" w:hAnsi="微软雅黑" w:eastAsia="微软雅黑"/>
      <w:kern w:val="0"/>
      <w:sz w:val="20"/>
      <w:szCs w:val="20"/>
    </w:rPr>
  </w:style>
  <w:style w:type="character" w:customStyle="1" w:styleId="436">
    <w:name w:val="列出段落 Char1"/>
    <w:qFormat/>
    <w:uiPriority w:val="34"/>
    <w:rPr>
      <w:kern w:val="2"/>
      <w:sz w:val="21"/>
    </w:rPr>
  </w:style>
  <w:style w:type="character" w:customStyle="1" w:styleId="437">
    <w:name w:val="font51"/>
    <w:basedOn w:val="61"/>
    <w:qFormat/>
    <w:uiPriority w:val="0"/>
    <w:rPr>
      <w:rFonts w:hint="default" w:ascii="方正书宋_GBK" w:hAnsi="方正书宋_GBK" w:eastAsia="方正书宋_GBK" w:cs="方正书宋_GBK"/>
      <w:color w:val="000000"/>
      <w:sz w:val="21"/>
      <w:szCs w:val="21"/>
      <w:u w:val="none"/>
    </w:rPr>
  </w:style>
  <w:style w:type="character" w:customStyle="1" w:styleId="438">
    <w:name w:val="样式 标题 3 + 黑体 小四 Char Char"/>
    <w:link w:val="439"/>
    <w:qFormat/>
    <w:uiPriority w:val="0"/>
    <w:rPr>
      <w:rFonts w:ascii="黑体" w:hAnsi="Arial" w:eastAsia="黑体"/>
      <w:bCs/>
      <w:sz w:val="24"/>
      <w:szCs w:val="24"/>
    </w:rPr>
  </w:style>
  <w:style w:type="paragraph" w:customStyle="1" w:styleId="439">
    <w:name w:val="样式 标题 3 + 黑体 小四"/>
    <w:basedOn w:val="7"/>
    <w:link w:val="438"/>
    <w:qFormat/>
    <w:uiPriority w:val="0"/>
    <w:pPr>
      <w:spacing w:line="413" w:lineRule="auto"/>
    </w:pPr>
    <w:rPr>
      <w:rFonts w:ascii="黑体" w:hAnsi="Arial" w:eastAsia="黑体"/>
      <w:b w:val="0"/>
      <w:kern w:val="0"/>
      <w:sz w:val="24"/>
      <w:szCs w:val="24"/>
    </w:rPr>
  </w:style>
  <w:style w:type="character" w:customStyle="1" w:styleId="440">
    <w:name w:val="PI Char1"/>
    <w:qFormat/>
    <w:uiPriority w:val="0"/>
    <w:rPr>
      <w:rFonts w:ascii="仿宋_GB2312" w:eastAsia="宋体"/>
      <w:b/>
      <w:kern w:val="2"/>
      <w:sz w:val="24"/>
      <w:szCs w:val="24"/>
      <w:lang w:val="en-US" w:eastAsia="zh-CN" w:bidi="ar-SA"/>
    </w:rPr>
  </w:style>
  <w:style w:type="character" w:customStyle="1" w:styleId="441">
    <w:name w:val="标题 6 字符"/>
    <w:qFormat/>
    <w:uiPriority w:val="0"/>
    <w:rPr>
      <w:rFonts w:ascii="黑体" w:hAnsi="黑体" w:eastAsia="黑体" w:cs="黑体"/>
      <w:b/>
      <w:bCs/>
      <w:kern w:val="2"/>
      <w:sz w:val="24"/>
      <w:szCs w:val="28"/>
    </w:rPr>
  </w:style>
  <w:style w:type="character" w:customStyle="1" w:styleId="442">
    <w:name w:val="脚注文本 Char1"/>
    <w:basedOn w:val="61"/>
    <w:semiHidden/>
    <w:uiPriority w:val="99"/>
    <w:rPr>
      <w:kern w:val="2"/>
      <w:sz w:val="18"/>
      <w:szCs w:val="18"/>
    </w:rPr>
  </w:style>
  <w:style w:type="character" w:customStyle="1" w:styleId="443">
    <w:name w:val="Char Char61"/>
    <w:qFormat/>
    <w:uiPriority w:val="0"/>
    <w:rPr>
      <w:rFonts w:ascii="Times New Roman" w:hAnsi="Times New Roman" w:eastAsia="宋体" w:cs="Times New Roman"/>
      <w:szCs w:val="24"/>
    </w:rPr>
  </w:style>
  <w:style w:type="character" w:customStyle="1" w:styleId="444">
    <w:name w:val="样式 宋体1"/>
    <w:qFormat/>
    <w:uiPriority w:val="0"/>
    <w:rPr>
      <w:rFonts w:ascii="宋体" w:hAnsi="宋体" w:eastAsia="宋体"/>
      <w:sz w:val="24"/>
    </w:rPr>
  </w:style>
  <w:style w:type="character" w:customStyle="1" w:styleId="445">
    <w:name w:val="Plain Text Char"/>
    <w:qFormat/>
    <w:uiPriority w:val="0"/>
    <w:rPr>
      <w:rFonts w:ascii="宋体" w:hAnsi="Courier New" w:eastAsia="宋体" w:cs="Times New Roman"/>
      <w:sz w:val="21"/>
      <w:szCs w:val="21"/>
    </w:rPr>
  </w:style>
  <w:style w:type="character" w:customStyle="1" w:styleId="446">
    <w:name w:val="批注文字 Char"/>
    <w:qFormat/>
    <w:uiPriority w:val="0"/>
    <w:rPr>
      <w:rFonts w:eastAsia="宋体"/>
      <w:kern w:val="2"/>
      <w:sz w:val="21"/>
      <w:szCs w:val="24"/>
      <w:lang w:val="en-US" w:eastAsia="zh-CN" w:bidi="ar-SA"/>
    </w:rPr>
  </w:style>
  <w:style w:type="character" w:customStyle="1" w:styleId="447">
    <w:name w:val="不明显强调1"/>
    <w:qFormat/>
    <w:uiPriority w:val="0"/>
    <w:rPr>
      <w:i/>
      <w:iCs/>
      <w:color w:val="808080"/>
    </w:rPr>
  </w:style>
  <w:style w:type="character" w:customStyle="1" w:styleId="448">
    <w:name w:val="正文（首行缩进2字符） Char"/>
    <w:link w:val="449"/>
    <w:qFormat/>
    <w:uiPriority w:val="0"/>
    <w:rPr>
      <w:kern w:val="2"/>
      <w:sz w:val="22"/>
      <w:szCs w:val="24"/>
    </w:rPr>
  </w:style>
  <w:style w:type="paragraph" w:customStyle="1" w:styleId="449">
    <w:name w:val="正文（首行缩进2字符）"/>
    <w:basedOn w:val="1"/>
    <w:link w:val="448"/>
    <w:qFormat/>
    <w:uiPriority w:val="0"/>
    <w:pPr>
      <w:jc w:val="center"/>
    </w:pPr>
    <w:rPr>
      <w:sz w:val="22"/>
    </w:rPr>
  </w:style>
  <w:style w:type="character" w:customStyle="1" w:styleId="450">
    <w:name w:val="栏目标题 Char"/>
    <w:link w:val="451"/>
    <w:qFormat/>
    <w:uiPriority w:val="0"/>
    <w:rPr>
      <w:rFonts w:ascii="黑体" w:hAnsi="黑体" w:eastAsia="黑体"/>
      <w:b/>
      <w:kern w:val="2"/>
      <w:sz w:val="21"/>
      <w:szCs w:val="24"/>
    </w:rPr>
  </w:style>
  <w:style w:type="paragraph" w:customStyle="1" w:styleId="451">
    <w:name w:val="栏目标题"/>
    <w:basedOn w:val="1"/>
    <w:link w:val="450"/>
    <w:qFormat/>
    <w:uiPriority w:val="0"/>
    <w:pPr>
      <w:jc w:val="center"/>
    </w:pPr>
    <w:rPr>
      <w:rFonts w:ascii="黑体" w:hAnsi="黑体" w:eastAsia="黑体"/>
      <w:b/>
    </w:rPr>
  </w:style>
  <w:style w:type="character" w:customStyle="1" w:styleId="452">
    <w:name w:val="font12"/>
    <w:uiPriority w:val="0"/>
    <w:rPr>
      <w:rFonts w:hint="eastAsia" w:ascii="宋体" w:hAnsi="宋体" w:eastAsia="宋体" w:cs="宋体"/>
      <w:color w:val="000000"/>
      <w:sz w:val="20"/>
      <w:szCs w:val="20"/>
      <w:u w:val="none"/>
    </w:rPr>
  </w:style>
  <w:style w:type="character" w:customStyle="1" w:styleId="453">
    <w:name w:val="二级标题 Char"/>
    <w:link w:val="454"/>
    <w:qFormat/>
    <w:locked/>
    <w:uiPriority w:val="0"/>
    <w:rPr>
      <w:rFonts w:ascii="宋体" w:hAnsi="宋体"/>
      <w:b/>
      <w:bCs/>
      <w:sz w:val="32"/>
      <w:szCs w:val="32"/>
    </w:rPr>
  </w:style>
  <w:style w:type="paragraph" w:customStyle="1" w:styleId="454">
    <w:name w:val="二级标题"/>
    <w:basedOn w:val="6"/>
    <w:link w:val="453"/>
    <w:qFormat/>
    <w:uiPriority w:val="0"/>
    <w:pPr>
      <w:numPr>
        <w:ilvl w:val="1"/>
        <w:numId w:val="0"/>
      </w:numPr>
      <w:tabs>
        <w:tab w:val="left" w:pos="645"/>
      </w:tabs>
      <w:spacing w:line="360" w:lineRule="auto"/>
      <w:ind w:left="567" w:hanging="567"/>
    </w:pPr>
    <w:rPr>
      <w:rFonts w:ascii="宋体" w:hAnsi="宋体" w:eastAsia="宋体"/>
      <w:kern w:val="0"/>
    </w:rPr>
  </w:style>
  <w:style w:type="character" w:customStyle="1" w:styleId="455">
    <w:name w:val="fr"/>
    <w:qFormat/>
    <w:uiPriority w:val="0"/>
    <w:rPr>
      <w:szCs w:val="20"/>
    </w:rPr>
  </w:style>
  <w:style w:type="character" w:customStyle="1" w:styleId="456">
    <w:name w:val="标题 2 Char1"/>
    <w:qFormat/>
    <w:uiPriority w:val="0"/>
    <w:rPr>
      <w:rFonts w:ascii="Arial" w:hAnsi="Arial" w:eastAsia="黑体"/>
      <w:b/>
      <w:bCs/>
      <w:kern w:val="2"/>
      <w:sz w:val="32"/>
      <w:szCs w:val="32"/>
    </w:rPr>
  </w:style>
  <w:style w:type="character" w:customStyle="1" w:styleId="457">
    <w:name w:val="标题 8 Char"/>
    <w:basedOn w:val="61"/>
    <w:qFormat/>
    <w:uiPriority w:val="0"/>
    <w:rPr>
      <w:rFonts w:ascii="Arial" w:hAnsi="Arial" w:eastAsia="黑体"/>
      <w:b/>
      <w:sz w:val="24"/>
      <w:szCs w:val="32"/>
    </w:rPr>
  </w:style>
  <w:style w:type="character" w:customStyle="1" w:styleId="458">
    <w:name w:val="Char Char18"/>
    <w:qFormat/>
    <w:uiPriority w:val="0"/>
    <w:rPr>
      <w:rFonts w:ascii="仿宋_GB2312" w:eastAsia="仿宋_GB2312"/>
      <w:b/>
      <w:bCs/>
      <w:kern w:val="2"/>
      <w:sz w:val="32"/>
      <w:szCs w:val="32"/>
    </w:rPr>
  </w:style>
  <w:style w:type="character" w:customStyle="1" w:styleId="459">
    <w:name w:val="普通(网站) Char"/>
    <w:qFormat/>
    <w:uiPriority w:val="99"/>
    <w:rPr>
      <w:rFonts w:ascii="宋体" w:hAnsi="宋体"/>
      <w:color w:val="000000"/>
      <w:sz w:val="24"/>
      <w:szCs w:val="24"/>
    </w:rPr>
  </w:style>
  <w:style w:type="character" w:customStyle="1" w:styleId="460">
    <w:name w:val="六级标题 Char"/>
    <w:link w:val="461"/>
    <w:qFormat/>
    <w:locked/>
    <w:uiPriority w:val="0"/>
    <w:rPr>
      <w:rFonts w:ascii="宋体" w:hAnsi="宋体"/>
      <w:b/>
      <w:bCs/>
      <w:sz w:val="24"/>
      <w:szCs w:val="24"/>
    </w:rPr>
  </w:style>
  <w:style w:type="paragraph" w:customStyle="1" w:styleId="461">
    <w:name w:val="六级标题"/>
    <w:basedOn w:val="10"/>
    <w:link w:val="460"/>
    <w:qFormat/>
    <w:uiPriority w:val="0"/>
    <w:pPr>
      <w:numPr>
        <w:ilvl w:val="0"/>
        <w:numId w:val="2"/>
      </w:numPr>
      <w:tabs>
        <w:tab w:val="left" w:pos="360"/>
        <w:tab w:val="left" w:pos="2325"/>
      </w:tabs>
      <w:spacing w:line="320" w:lineRule="auto"/>
      <w:ind w:left="0" w:firstLine="0"/>
    </w:pPr>
    <w:rPr>
      <w:rFonts w:ascii="宋体" w:hAnsi="宋体" w:eastAsia="宋体"/>
      <w:kern w:val="0"/>
    </w:rPr>
  </w:style>
  <w:style w:type="character" w:customStyle="1" w:styleId="462">
    <w:name w:val="dandyren_title1"/>
    <w:qFormat/>
    <w:uiPriority w:val="0"/>
    <w:rPr>
      <w:rFonts w:ascii="仿宋_GB2312" w:eastAsia="仿宋_GB2312"/>
      <w:b/>
      <w:bCs/>
      <w:color w:val="FF6633"/>
      <w:sz w:val="18"/>
      <w:szCs w:val="18"/>
    </w:rPr>
  </w:style>
  <w:style w:type="character" w:customStyle="1" w:styleId="463">
    <w:name w:val="引用 Char"/>
    <w:link w:val="464"/>
    <w:qFormat/>
    <w:uiPriority w:val="29"/>
    <w:rPr>
      <w:rFonts w:ascii="Calibri" w:hAnsi="Calibri"/>
      <w:b/>
      <w:i/>
      <w:iCs/>
      <w:color w:val="000000"/>
      <w:sz w:val="32"/>
      <w:szCs w:val="32"/>
    </w:rPr>
  </w:style>
  <w:style w:type="paragraph" w:customStyle="1" w:styleId="464">
    <w:name w:val="Quote"/>
    <w:basedOn w:val="1"/>
    <w:next w:val="1"/>
    <w:link w:val="463"/>
    <w:qFormat/>
    <w:uiPriority w:val="29"/>
    <w:rPr>
      <w:rFonts w:ascii="Calibri" w:hAnsi="Calibri"/>
      <w:b/>
      <w:i/>
      <w:iCs/>
      <w:color w:val="000000"/>
      <w:kern w:val="0"/>
      <w:sz w:val="32"/>
      <w:szCs w:val="32"/>
    </w:rPr>
  </w:style>
  <w:style w:type="character" w:customStyle="1" w:styleId="465">
    <w:name w:val="文档结构图 Char1"/>
    <w:qFormat/>
    <w:uiPriority w:val="0"/>
    <w:rPr>
      <w:kern w:val="2"/>
      <w:sz w:val="21"/>
      <w:szCs w:val="24"/>
      <w:shd w:val="clear" w:color="auto" w:fill="000080"/>
    </w:rPr>
  </w:style>
  <w:style w:type="character" w:customStyle="1" w:styleId="466">
    <w:name w:val="题注 Char1"/>
    <w:qFormat/>
    <w:uiPriority w:val="0"/>
    <w:rPr>
      <w:rFonts w:ascii="Arial" w:hAnsi="Arial" w:eastAsia="黑体" w:cs="Arial"/>
      <w:kern w:val="2"/>
    </w:rPr>
  </w:style>
  <w:style w:type="character" w:customStyle="1" w:styleId="467">
    <w:name w:val="正文文本 2 Char"/>
    <w:qFormat/>
    <w:uiPriority w:val="0"/>
  </w:style>
  <w:style w:type="character" w:customStyle="1" w:styleId="468">
    <w:name w:val="文档结构图 Char"/>
    <w:qFormat/>
    <w:uiPriority w:val="0"/>
    <w:rPr>
      <w:rFonts w:eastAsia="宋体"/>
      <w:kern w:val="2"/>
      <w:sz w:val="21"/>
      <w:szCs w:val="24"/>
      <w:lang w:val="en-US" w:eastAsia="zh-CN" w:bidi="ar-SA"/>
    </w:rPr>
  </w:style>
  <w:style w:type="character" w:customStyle="1" w:styleId="469">
    <w:name w:val="列出段落 Char2"/>
    <w:link w:val="470"/>
    <w:qFormat/>
    <w:uiPriority w:val="34"/>
    <w:rPr>
      <w:kern w:val="2"/>
      <w:sz w:val="21"/>
      <w:szCs w:val="22"/>
    </w:rPr>
  </w:style>
  <w:style w:type="paragraph" w:styleId="470">
    <w:name w:val="List Paragraph"/>
    <w:basedOn w:val="1"/>
    <w:link w:val="469"/>
    <w:qFormat/>
    <w:uiPriority w:val="34"/>
    <w:pPr>
      <w:ind w:firstLine="420" w:firstLineChars="200"/>
    </w:pPr>
    <w:rPr>
      <w:szCs w:val="22"/>
    </w:rPr>
  </w:style>
  <w:style w:type="character" w:customStyle="1" w:styleId="471">
    <w:name w:val="heading 5 Char2"/>
    <w:qFormat/>
    <w:uiPriority w:val="0"/>
    <w:rPr>
      <w:rFonts w:ascii="仿宋_GB2312" w:eastAsia="仿宋_GB2312"/>
      <w:b/>
      <w:bCs/>
      <w:kern w:val="2"/>
      <w:sz w:val="28"/>
      <w:szCs w:val="28"/>
    </w:rPr>
  </w:style>
  <w:style w:type="character" w:customStyle="1" w:styleId="472">
    <w:name w:val="标题 1 Char1"/>
    <w:qFormat/>
    <w:uiPriority w:val="0"/>
    <w:rPr>
      <w:rFonts w:ascii="楷体_GB2312" w:hAnsi="Tahoma" w:eastAsia="楷体_GB2312"/>
      <w:b/>
      <w:bCs/>
      <w:kern w:val="2"/>
      <w:sz w:val="21"/>
      <w:szCs w:val="24"/>
    </w:rPr>
  </w:style>
  <w:style w:type="character" w:customStyle="1" w:styleId="473">
    <w:name w:val="_正文段落 Char"/>
    <w:link w:val="474"/>
    <w:qFormat/>
    <w:uiPriority w:val="0"/>
    <w:rPr>
      <w:kern w:val="2"/>
      <w:sz w:val="21"/>
      <w:szCs w:val="24"/>
    </w:rPr>
  </w:style>
  <w:style w:type="paragraph" w:customStyle="1" w:styleId="474">
    <w:name w:val="_正文段落"/>
    <w:basedOn w:val="1"/>
    <w:link w:val="473"/>
    <w:qFormat/>
    <w:uiPriority w:val="0"/>
    <w:pPr>
      <w:spacing w:before="15" w:beforeLines="15" w:after="15" w:afterLines="15" w:line="360" w:lineRule="auto"/>
      <w:ind w:firstLine="200" w:firstLineChars="200"/>
    </w:pPr>
  </w:style>
  <w:style w:type="character" w:customStyle="1" w:styleId="475">
    <w:name w:val="编号正文缩进 Char"/>
    <w:link w:val="476"/>
    <w:qFormat/>
    <w:uiPriority w:val="0"/>
    <w:rPr>
      <w:sz w:val="24"/>
    </w:rPr>
  </w:style>
  <w:style w:type="paragraph" w:customStyle="1" w:styleId="476">
    <w:name w:val="编号正文缩进"/>
    <w:basedOn w:val="17"/>
    <w:link w:val="475"/>
    <w:qFormat/>
    <w:uiPriority w:val="0"/>
    <w:pPr>
      <w:numPr>
        <w:ilvl w:val="0"/>
        <w:numId w:val="10"/>
      </w:numPr>
      <w:spacing w:line="400" w:lineRule="atLeast"/>
    </w:pPr>
    <w:rPr>
      <w:sz w:val="24"/>
    </w:rPr>
  </w:style>
  <w:style w:type="character" w:customStyle="1" w:styleId="477">
    <w:name w:val="heading 1 Char2"/>
    <w:qFormat/>
    <w:uiPriority w:val="0"/>
    <w:rPr>
      <w:rFonts w:ascii="仿宋_GB2312" w:eastAsia="仿宋_GB2312"/>
      <w:b/>
      <w:bCs/>
      <w:kern w:val="44"/>
      <w:sz w:val="44"/>
      <w:szCs w:val="44"/>
    </w:rPr>
  </w:style>
  <w:style w:type="character" w:customStyle="1" w:styleId="478">
    <w:name w:val="heading 4 Char"/>
    <w:qFormat/>
    <w:uiPriority w:val="0"/>
    <w:rPr>
      <w:rFonts w:ascii="Arial" w:hAnsi="Arial" w:eastAsia="黑体" w:cs="Times New Roman"/>
      <w:b/>
      <w:sz w:val="21"/>
      <w:szCs w:val="21"/>
    </w:rPr>
  </w:style>
  <w:style w:type="character" w:customStyle="1" w:styleId="479">
    <w:name w:val="批注文字 Char1"/>
    <w:qFormat/>
    <w:uiPriority w:val="0"/>
    <w:rPr>
      <w:kern w:val="2"/>
      <w:sz w:val="21"/>
      <w:szCs w:val="24"/>
    </w:rPr>
  </w:style>
  <w:style w:type="character" w:customStyle="1" w:styleId="480">
    <w:name w:val="style111"/>
    <w:qFormat/>
    <w:uiPriority w:val="0"/>
    <w:rPr>
      <w:sz w:val="27"/>
      <w:szCs w:val="27"/>
    </w:rPr>
  </w:style>
  <w:style w:type="character" w:customStyle="1" w:styleId="481">
    <w:name w:val="Char Char11"/>
    <w:qFormat/>
    <w:uiPriority w:val="0"/>
    <w:rPr>
      <w:rFonts w:ascii="Times New Roman" w:hAnsi="Times New Roman" w:eastAsia="宋体" w:cs="Times New Roman"/>
      <w:sz w:val="18"/>
      <w:szCs w:val="18"/>
    </w:rPr>
  </w:style>
  <w:style w:type="character" w:customStyle="1" w:styleId="482">
    <w:name w:val="正文文本 3 Char"/>
    <w:qFormat/>
    <w:uiPriority w:val="0"/>
  </w:style>
  <w:style w:type="character" w:customStyle="1" w:styleId="483">
    <w:name w:val="Body Char"/>
    <w:link w:val="484"/>
    <w:qFormat/>
    <w:uiPriority w:val="0"/>
    <w:rPr>
      <w:rFonts w:ascii="宋体" w:hAnsi="宋体"/>
      <w:color w:val="000000"/>
      <w:sz w:val="24"/>
      <w:szCs w:val="24"/>
    </w:rPr>
  </w:style>
  <w:style w:type="paragraph" w:customStyle="1" w:styleId="484">
    <w:name w:val="Body"/>
    <w:basedOn w:val="1"/>
    <w:link w:val="483"/>
    <w:qFormat/>
    <w:uiPriority w:val="0"/>
    <w:pPr>
      <w:widowControl/>
      <w:tabs>
        <w:tab w:val="left" w:pos="900"/>
      </w:tabs>
      <w:spacing w:before="120" w:line="360" w:lineRule="auto"/>
      <w:ind w:firstLine="600" w:firstLineChars="250"/>
    </w:pPr>
    <w:rPr>
      <w:rFonts w:ascii="宋体" w:hAnsi="宋体"/>
      <w:color w:val="000000"/>
      <w:kern w:val="0"/>
      <w:sz w:val="24"/>
    </w:rPr>
  </w:style>
  <w:style w:type="character" w:customStyle="1" w:styleId="485">
    <w:name w:val="ändrad Char"/>
    <w:qFormat/>
    <w:uiPriority w:val="0"/>
    <w:rPr>
      <w:rFonts w:ascii="仿宋_GB2312" w:eastAsia="宋体"/>
      <w:b/>
      <w:kern w:val="2"/>
      <w:sz w:val="21"/>
      <w:szCs w:val="24"/>
      <w:lang w:val="en-US" w:eastAsia="zh-CN" w:bidi="ar-SA"/>
    </w:rPr>
  </w:style>
  <w:style w:type="character" w:customStyle="1" w:styleId="486">
    <w:name w:val="font14"/>
    <w:basedOn w:val="61"/>
    <w:qFormat/>
    <w:uiPriority w:val="0"/>
    <w:rPr>
      <w:rFonts w:hint="eastAsia" w:ascii="宋体" w:hAnsi="宋体" w:eastAsia="宋体" w:cs="宋体"/>
      <w:color w:val="000000"/>
      <w:sz w:val="21"/>
      <w:szCs w:val="21"/>
      <w:u w:val="none"/>
    </w:rPr>
  </w:style>
  <w:style w:type="character" w:customStyle="1" w:styleId="487">
    <w:name w:val="font221"/>
    <w:basedOn w:val="61"/>
    <w:qFormat/>
    <w:uiPriority w:val="0"/>
    <w:rPr>
      <w:rFonts w:hint="default" w:ascii="Times New Roman" w:hAnsi="Times New Roman" w:cs="Times New Roman"/>
      <w:b/>
      <w:color w:val="000000"/>
      <w:sz w:val="21"/>
      <w:szCs w:val="21"/>
      <w:u w:val="none"/>
    </w:rPr>
  </w:style>
  <w:style w:type="character" w:customStyle="1" w:styleId="488">
    <w:name w:val="注释正文＋下划线 Char Char"/>
    <w:qFormat/>
    <w:uiPriority w:val="0"/>
    <w:rPr>
      <w:rFonts w:ascii="宋体" w:hAnsi="宋体"/>
      <w:kern w:val="2"/>
      <w:sz w:val="28"/>
      <w:szCs w:val="28"/>
      <w:u w:val="single"/>
    </w:rPr>
  </w:style>
  <w:style w:type="character" w:customStyle="1" w:styleId="489">
    <w:name w:val="正文文本缩进 Char"/>
    <w:qFormat/>
    <w:uiPriority w:val="0"/>
    <w:rPr>
      <w:rFonts w:ascii="宋体" w:hAnsi="宋体"/>
      <w:kern w:val="2"/>
      <w:sz w:val="24"/>
    </w:rPr>
  </w:style>
  <w:style w:type="character" w:customStyle="1" w:styleId="490">
    <w:name w:val="hover30"/>
    <w:qFormat/>
    <w:uiPriority w:val="0"/>
    <w:rPr>
      <w:szCs w:val="20"/>
    </w:rPr>
  </w:style>
  <w:style w:type="character" w:customStyle="1" w:styleId="491">
    <w:name w:val="op-map-singlepoint-info-right1"/>
    <w:qFormat/>
    <w:uiPriority w:val="0"/>
    <w:rPr>
      <w:szCs w:val="20"/>
    </w:rPr>
  </w:style>
  <w:style w:type="character" w:customStyle="1" w:styleId="492">
    <w:name w:val="样式 样式 正文首行缩进 + 首行缩进:  2 字符 + 首行缩进:  2 字符 Char"/>
    <w:link w:val="493"/>
    <w:qFormat/>
    <w:uiPriority w:val="0"/>
    <w:rPr>
      <w:rFonts w:cs="宋体"/>
      <w:kern w:val="2"/>
      <w:sz w:val="24"/>
    </w:rPr>
  </w:style>
  <w:style w:type="paragraph" w:customStyle="1" w:styleId="493">
    <w:name w:val="样式 样式 正文首行缩进 + 首行缩进:  2 字符 + 首行缩进:  2 字符"/>
    <w:basedOn w:val="1"/>
    <w:link w:val="492"/>
    <w:qFormat/>
    <w:uiPriority w:val="0"/>
    <w:pPr>
      <w:spacing w:line="440" w:lineRule="exact"/>
      <w:ind w:firstLine="200" w:firstLineChars="200"/>
    </w:pPr>
    <w:rPr>
      <w:sz w:val="24"/>
      <w:szCs w:val="20"/>
    </w:rPr>
  </w:style>
  <w:style w:type="character" w:customStyle="1" w:styleId="494">
    <w:name w:val="Char Char19"/>
    <w:qFormat/>
    <w:uiPriority w:val="0"/>
    <w:rPr>
      <w:rFonts w:ascii="Cambria" w:hAnsi="Cambria" w:eastAsia="仿宋_GB2312"/>
      <w:b/>
      <w:bCs/>
      <w:kern w:val="2"/>
      <w:sz w:val="32"/>
      <w:szCs w:val="32"/>
    </w:rPr>
  </w:style>
  <w:style w:type="character" w:customStyle="1" w:styleId="495">
    <w:name w:val="正文首行缩进 2 Char2"/>
    <w:qFormat/>
    <w:uiPriority w:val="0"/>
    <w:rPr>
      <w:rFonts w:ascii="Calibri" w:hAnsi="Calibri" w:cs="黑体"/>
      <w:kern w:val="2"/>
      <w:sz w:val="21"/>
      <w:szCs w:val="24"/>
    </w:rPr>
  </w:style>
  <w:style w:type="character" w:customStyle="1" w:styleId="496">
    <w:name w:val="正文文本缩进 3 Char"/>
    <w:qFormat/>
    <w:uiPriority w:val="0"/>
    <w:rPr>
      <w:kern w:val="2"/>
      <w:sz w:val="16"/>
      <w:szCs w:val="16"/>
    </w:rPr>
  </w:style>
  <w:style w:type="character" w:customStyle="1" w:styleId="497">
    <w:name w:val="正文文本 Char1"/>
    <w:qFormat/>
    <w:uiPriority w:val="0"/>
    <w:rPr>
      <w:rFonts w:ascii="Tahoma" w:hAnsi="Tahoma"/>
      <w:kern w:val="2"/>
      <w:sz w:val="21"/>
      <w:szCs w:val="24"/>
    </w:rPr>
  </w:style>
  <w:style w:type="character" w:customStyle="1" w:styleId="498">
    <w:name w:val="2级 Char"/>
    <w:link w:val="499"/>
    <w:qFormat/>
    <w:uiPriority w:val="0"/>
    <w:rPr>
      <w:rFonts w:ascii="Cambria" w:hAnsi="Cambria"/>
      <w:b/>
      <w:bCs/>
      <w:sz w:val="28"/>
      <w:szCs w:val="32"/>
    </w:rPr>
  </w:style>
  <w:style w:type="paragraph" w:customStyle="1" w:styleId="499">
    <w:name w:val="2级"/>
    <w:basedOn w:val="6"/>
    <w:next w:val="2"/>
    <w:link w:val="498"/>
    <w:qFormat/>
    <w:uiPriority w:val="0"/>
    <w:pPr>
      <w:spacing w:line="416" w:lineRule="auto"/>
    </w:pPr>
    <w:rPr>
      <w:rFonts w:ascii="Cambria" w:hAnsi="Cambria" w:eastAsia="宋体"/>
      <w:kern w:val="0"/>
      <w:sz w:val="28"/>
    </w:rPr>
  </w:style>
  <w:style w:type="character" w:customStyle="1" w:styleId="500">
    <w:name w:val="heading 5 Char"/>
    <w:qFormat/>
    <w:uiPriority w:val="0"/>
    <w:rPr>
      <w:rFonts w:ascii="Arial" w:hAnsi="Arial" w:eastAsia="黑体"/>
      <w:b/>
      <w:sz w:val="21"/>
      <w:szCs w:val="21"/>
    </w:rPr>
  </w:style>
  <w:style w:type="character" w:customStyle="1" w:styleId="501">
    <w:name w:val="正文缩进 Char1"/>
    <w:qFormat/>
    <w:uiPriority w:val="0"/>
    <w:rPr>
      <w:sz w:val="21"/>
    </w:rPr>
  </w:style>
  <w:style w:type="character" w:customStyle="1" w:styleId="502">
    <w:name w:val="Char Char"/>
    <w:qFormat/>
    <w:uiPriority w:val="0"/>
    <w:rPr>
      <w:rFonts w:ascii="宋体" w:hAnsi="Courier New" w:eastAsia="宋体"/>
      <w:kern w:val="2"/>
      <w:sz w:val="21"/>
      <w:lang w:val="en-US" w:eastAsia="zh-CN" w:bidi="ar-SA"/>
    </w:rPr>
  </w:style>
  <w:style w:type="character" w:customStyle="1" w:styleId="503">
    <w:name w:val="标书标题 3 Char Char Char"/>
    <w:link w:val="504"/>
    <w:qFormat/>
    <w:uiPriority w:val="0"/>
    <w:rPr>
      <w:rFonts w:ascii="Arial" w:hAnsi="Arial" w:eastAsia="仿宋_GB2312" w:cs="Times New Roman"/>
      <w:b/>
      <w:kern w:val="2"/>
      <w:sz w:val="24"/>
      <w:szCs w:val="32"/>
    </w:rPr>
  </w:style>
  <w:style w:type="paragraph" w:customStyle="1" w:styleId="504">
    <w:name w:val="标书标题 3 Char"/>
    <w:basedOn w:val="1"/>
    <w:link w:val="503"/>
    <w:qFormat/>
    <w:uiPriority w:val="0"/>
    <w:pPr>
      <w:tabs>
        <w:tab w:val="left" w:pos="720"/>
      </w:tabs>
      <w:spacing w:line="360" w:lineRule="auto"/>
      <w:outlineLvl w:val="2"/>
    </w:pPr>
    <w:rPr>
      <w:rFonts w:ascii="Arial" w:hAnsi="Arial" w:eastAsia="仿宋_GB2312"/>
      <w:b/>
      <w:sz w:val="24"/>
      <w:szCs w:val="32"/>
    </w:rPr>
  </w:style>
  <w:style w:type="character" w:customStyle="1" w:styleId="505">
    <w:name w:val="大标题 Char Char"/>
    <w:qFormat/>
    <w:uiPriority w:val="0"/>
    <w:rPr>
      <w:rFonts w:ascii="黑体" w:hAnsi="黑体" w:eastAsia="黑体"/>
      <w:b/>
      <w:bCs/>
      <w:kern w:val="2"/>
      <w:sz w:val="72"/>
      <w:szCs w:val="72"/>
    </w:rPr>
  </w:style>
  <w:style w:type="character" w:customStyle="1" w:styleId="506">
    <w:name w:val="正文1 Char"/>
    <w:uiPriority w:val="0"/>
    <w:rPr>
      <w:rFonts w:ascii="仿宋_GB2312" w:hAnsi="仿宋_GB2312" w:eastAsia="仿宋_GB2312" w:cs="仿宋_GB2312"/>
      <w:sz w:val="21"/>
      <w:lang w:val="en-US" w:eastAsia="zh-CN" w:bidi="ar-SA"/>
    </w:rPr>
  </w:style>
  <w:style w:type="character" w:customStyle="1" w:styleId="507">
    <w:name w:val="日期 Char2"/>
    <w:basedOn w:val="61"/>
    <w:semiHidden/>
    <w:uiPriority w:val="99"/>
    <w:rPr>
      <w:kern w:val="2"/>
      <w:sz w:val="21"/>
      <w:szCs w:val="24"/>
    </w:rPr>
  </w:style>
  <w:style w:type="character" w:customStyle="1" w:styleId="508">
    <w:name w:val="纯文本 Char1"/>
    <w:qFormat/>
    <w:uiPriority w:val="0"/>
    <w:rPr>
      <w:rFonts w:ascii="宋体" w:hAnsi="Courier New"/>
      <w:kern w:val="2"/>
      <w:sz w:val="21"/>
    </w:rPr>
  </w:style>
  <w:style w:type="character" w:customStyle="1" w:styleId="509">
    <w:name w:val="hui"/>
    <w:qFormat/>
    <w:uiPriority w:val="0"/>
    <w:rPr>
      <w:rFonts w:ascii="仿宋_GB2312" w:hAnsi="Tahoma" w:eastAsia="仿宋_GB2312"/>
      <w:b/>
      <w:sz w:val="32"/>
      <w:szCs w:val="32"/>
    </w:rPr>
  </w:style>
  <w:style w:type="character" w:customStyle="1" w:styleId="510">
    <w:name w:val="副标题 Char"/>
    <w:qFormat/>
    <w:uiPriority w:val="0"/>
    <w:rPr>
      <w:rFonts w:ascii="Cambria" w:hAnsi="Cambria"/>
      <w:b/>
      <w:bCs/>
      <w:kern w:val="28"/>
      <w:sz w:val="32"/>
      <w:szCs w:val="32"/>
    </w:rPr>
  </w:style>
  <w:style w:type="character" w:customStyle="1" w:styleId="511">
    <w:name w:val="宏文本 Char"/>
    <w:qFormat/>
    <w:uiPriority w:val="0"/>
    <w:rPr>
      <w:rFonts w:ascii="Courier New" w:hAnsi="Courier New"/>
      <w:kern w:val="2"/>
      <w:sz w:val="24"/>
      <w:szCs w:val="24"/>
    </w:rPr>
  </w:style>
  <w:style w:type="character" w:customStyle="1" w:styleId="512">
    <w:name w:val="正文居中 Char"/>
    <w:link w:val="513"/>
    <w:qFormat/>
    <w:uiPriority w:val="0"/>
    <w:rPr>
      <w:kern w:val="2"/>
      <w:sz w:val="21"/>
      <w:szCs w:val="24"/>
    </w:rPr>
  </w:style>
  <w:style w:type="paragraph" w:customStyle="1" w:styleId="513">
    <w:name w:val="正文居中"/>
    <w:basedOn w:val="1"/>
    <w:link w:val="512"/>
    <w:qFormat/>
    <w:uiPriority w:val="0"/>
    <w:pPr>
      <w:jc w:val="center"/>
    </w:pPr>
  </w:style>
  <w:style w:type="character" w:customStyle="1" w:styleId="514">
    <w:name w:val="页脚 Char1"/>
    <w:qFormat/>
    <w:uiPriority w:val="0"/>
    <w:rPr>
      <w:kern w:val="2"/>
      <w:sz w:val="18"/>
      <w:szCs w:val="18"/>
    </w:rPr>
  </w:style>
  <w:style w:type="character" w:customStyle="1" w:styleId="515">
    <w:name w:val="Char Char2"/>
    <w:qFormat/>
    <w:uiPriority w:val="0"/>
    <w:rPr>
      <w:rFonts w:ascii="Arial" w:hAnsi="Arial" w:eastAsia="黑体"/>
      <w:b/>
      <w:bCs/>
      <w:kern w:val="44"/>
      <w:sz w:val="30"/>
      <w:szCs w:val="44"/>
      <w:lang w:val="en-US" w:eastAsia="zh-CN" w:bidi="ar-SA"/>
    </w:rPr>
  </w:style>
  <w:style w:type="character" w:customStyle="1" w:styleId="516">
    <w:name w:val="小标题 Char"/>
    <w:link w:val="517"/>
    <w:qFormat/>
    <w:uiPriority w:val="0"/>
    <w:rPr>
      <w:rFonts w:eastAsia="黑体"/>
    </w:rPr>
  </w:style>
  <w:style w:type="paragraph" w:customStyle="1" w:styleId="517">
    <w:name w:val="小标题"/>
    <w:basedOn w:val="1"/>
    <w:link w:val="516"/>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518">
    <w:name w:val="正文缩进 Char2"/>
    <w:qFormat/>
    <w:uiPriority w:val="0"/>
    <w:rPr>
      <w:rFonts w:ascii="Tahoma" w:hAnsi="Tahoma" w:eastAsia="宋体"/>
      <w:b/>
      <w:bCs/>
      <w:kern w:val="2"/>
      <w:sz w:val="24"/>
      <w:szCs w:val="24"/>
      <w:lang w:val="en-US" w:eastAsia="zh-CN" w:bidi="ar-SA"/>
    </w:rPr>
  </w:style>
  <w:style w:type="character" w:customStyle="1" w:styleId="519">
    <w:name w:val="明显引用 Char1"/>
    <w:qFormat/>
    <w:uiPriority w:val="99"/>
    <w:rPr>
      <w:rFonts w:ascii="Tahoma" w:hAnsi="Tahoma"/>
      <w:b/>
      <w:bCs/>
      <w:i/>
      <w:iCs/>
      <w:color w:val="4F81BD"/>
      <w:kern w:val="2"/>
      <w:sz w:val="21"/>
      <w:szCs w:val="24"/>
    </w:rPr>
  </w:style>
  <w:style w:type="character" w:customStyle="1" w:styleId="520">
    <w:name w:val="Char Char Char"/>
    <w:qFormat/>
    <w:uiPriority w:val="0"/>
    <w:rPr>
      <w:rFonts w:ascii="宋体" w:hAnsi="宋体" w:eastAsia="宋体"/>
      <w:kern w:val="2"/>
      <w:sz w:val="18"/>
      <w:szCs w:val="18"/>
      <w:lang w:val="en-US" w:eastAsia="zh-CN" w:bidi="ar-SA"/>
    </w:rPr>
  </w:style>
  <w:style w:type="character" w:customStyle="1" w:styleId="521">
    <w:name w:val="Table Text Char Char"/>
    <w:link w:val="522"/>
    <w:qFormat/>
    <w:uiPriority w:val="0"/>
    <w:rPr>
      <w:sz w:val="24"/>
    </w:rPr>
  </w:style>
  <w:style w:type="paragraph" w:customStyle="1" w:styleId="522">
    <w:name w:val="Table Text"/>
    <w:basedOn w:val="1"/>
    <w:link w:val="521"/>
    <w:qFormat/>
    <w:uiPriority w:val="0"/>
    <w:pPr>
      <w:widowControl/>
      <w:autoSpaceDE w:val="0"/>
      <w:autoSpaceDN w:val="0"/>
      <w:adjustRightInd w:val="0"/>
      <w:spacing w:before="60" w:after="60"/>
      <w:jc w:val="left"/>
    </w:pPr>
    <w:rPr>
      <w:kern w:val="0"/>
      <w:sz w:val="24"/>
      <w:szCs w:val="20"/>
    </w:rPr>
  </w:style>
  <w:style w:type="character" w:customStyle="1" w:styleId="523">
    <w:name w:val="pages"/>
    <w:qFormat/>
    <w:uiPriority w:val="0"/>
    <w:rPr>
      <w:color w:val="999999"/>
      <w:szCs w:val="20"/>
    </w:rPr>
  </w:style>
  <w:style w:type="character" w:customStyle="1" w:styleId="524">
    <w:name w:val="Style3"/>
    <w:qFormat/>
    <w:uiPriority w:val="0"/>
    <w:rPr>
      <w:rFonts w:ascii="Calibri" w:hAnsi="宋体" w:eastAsia="宋体" w:cs="Times New Roman"/>
      <w:szCs w:val="22"/>
      <w:lang w:eastAsia="zh-CN"/>
    </w:rPr>
  </w:style>
  <w:style w:type="character" w:customStyle="1" w:styleId="525">
    <w:name w:val="页眉 Char1"/>
    <w:qFormat/>
    <w:uiPriority w:val="0"/>
    <w:rPr>
      <w:kern w:val="2"/>
      <w:sz w:val="18"/>
      <w:szCs w:val="18"/>
    </w:rPr>
  </w:style>
  <w:style w:type="character" w:customStyle="1" w:styleId="526">
    <w:name w:val="Char Char111"/>
    <w:qFormat/>
    <w:uiPriority w:val="0"/>
    <w:rPr>
      <w:rFonts w:ascii="Times New Roman" w:hAnsi="Times New Roman" w:eastAsia="宋体" w:cs="Times New Roman"/>
      <w:sz w:val="18"/>
      <w:szCs w:val="18"/>
    </w:rPr>
  </w:style>
  <w:style w:type="character" w:styleId="527">
    <w:name w:val="Placeholder Text"/>
    <w:semiHidden/>
    <w:qFormat/>
    <w:uiPriority w:val="99"/>
    <w:rPr>
      <w:color w:val="808080"/>
    </w:rPr>
  </w:style>
  <w:style w:type="character" w:customStyle="1" w:styleId="528">
    <w:name w:val="注释标题 Char1"/>
    <w:qFormat/>
    <w:uiPriority w:val="0"/>
    <w:rPr>
      <w:kern w:val="2"/>
      <w:sz w:val="21"/>
      <w:szCs w:val="24"/>
    </w:rPr>
  </w:style>
  <w:style w:type="character" w:customStyle="1" w:styleId="529">
    <w:name w:val="页眉注释 Char"/>
    <w:link w:val="530"/>
    <w:qFormat/>
    <w:uiPriority w:val="0"/>
    <w:rPr>
      <w:rFonts w:ascii="华文细黑" w:hAnsi="华文细黑" w:eastAsia="华文细黑"/>
      <w:b/>
      <w:color w:val="FFFFFF"/>
      <w:kern w:val="2"/>
      <w:sz w:val="18"/>
      <w:szCs w:val="18"/>
    </w:rPr>
  </w:style>
  <w:style w:type="paragraph" w:customStyle="1" w:styleId="530">
    <w:name w:val="页眉注释"/>
    <w:basedOn w:val="1"/>
    <w:link w:val="529"/>
    <w:qFormat/>
    <w:uiPriority w:val="0"/>
    <w:pPr>
      <w:spacing w:line="0" w:lineRule="atLeast"/>
      <w:jc w:val="center"/>
    </w:pPr>
    <w:rPr>
      <w:rFonts w:ascii="华文细黑" w:hAnsi="华文细黑" w:eastAsia="华文细黑"/>
      <w:b/>
      <w:color w:val="FFFFFF"/>
      <w:sz w:val="18"/>
      <w:szCs w:val="18"/>
    </w:rPr>
  </w:style>
  <w:style w:type="character" w:customStyle="1" w:styleId="531">
    <w:name w:val="图片题注 Char"/>
    <w:link w:val="532"/>
    <w:qFormat/>
    <w:uiPriority w:val="0"/>
    <w:rPr>
      <w:rFonts w:ascii="Calibri Light" w:hAnsi="Calibri Light" w:eastAsia="黑体" w:cs="黑体"/>
      <w:bCs/>
      <w:kern w:val="2"/>
    </w:rPr>
  </w:style>
  <w:style w:type="paragraph" w:customStyle="1" w:styleId="532">
    <w:name w:val="图片题注"/>
    <w:basedOn w:val="18"/>
    <w:link w:val="531"/>
    <w:qFormat/>
    <w:uiPriority w:val="0"/>
    <w:pPr>
      <w:autoSpaceDE/>
      <w:autoSpaceDN/>
      <w:adjustRightInd/>
      <w:spacing w:line="360" w:lineRule="auto"/>
      <w:jc w:val="center"/>
    </w:pPr>
    <w:rPr>
      <w:rFonts w:ascii="Calibri Light" w:hAnsi="Calibri Light"/>
      <w:bCs/>
      <w:kern w:val="2"/>
    </w:rPr>
  </w:style>
  <w:style w:type="character" w:customStyle="1" w:styleId="533">
    <w:name w:val="headline-content"/>
    <w:qFormat/>
    <w:uiPriority w:val="0"/>
  </w:style>
  <w:style w:type="character" w:customStyle="1" w:styleId="534">
    <w:name w:val="Char Char1"/>
    <w:qFormat/>
    <w:uiPriority w:val="0"/>
    <w:rPr>
      <w:rFonts w:ascii="宋体" w:hAnsi="Courier New" w:eastAsia="宋体"/>
      <w:kern w:val="2"/>
      <w:sz w:val="21"/>
      <w:lang w:val="en-US" w:eastAsia="zh-CN" w:bidi="ar-SA"/>
    </w:rPr>
  </w:style>
  <w:style w:type="character" w:customStyle="1" w:styleId="535">
    <w:name w:val="Style5"/>
    <w:qFormat/>
    <w:uiPriority w:val="0"/>
    <w:rPr>
      <w:rFonts w:ascii="Calibri" w:hAnsi="宋体" w:eastAsia="宋体" w:cs="Times New Roman"/>
      <w:sz w:val="22"/>
      <w:szCs w:val="22"/>
      <w:lang w:eastAsia="zh-CN"/>
    </w:rPr>
  </w:style>
  <w:style w:type="character" w:customStyle="1" w:styleId="536">
    <w:name w:val="明显引用 Char"/>
    <w:link w:val="537"/>
    <w:qFormat/>
    <w:uiPriority w:val="0"/>
    <w:rPr>
      <w:rFonts w:ascii="Calibri" w:hAnsi="Calibri"/>
      <w:b/>
      <w:bCs/>
      <w:i/>
      <w:iCs/>
      <w:color w:val="4F81BD"/>
      <w:sz w:val="32"/>
      <w:szCs w:val="32"/>
    </w:rPr>
  </w:style>
  <w:style w:type="paragraph" w:customStyle="1" w:styleId="537">
    <w:name w:val="Intense Quote"/>
    <w:basedOn w:val="1"/>
    <w:next w:val="1"/>
    <w:link w:val="536"/>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538">
    <w:name w:val="明显参考1"/>
    <w:qFormat/>
    <w:uiPriority w:val="0"/>
    <w:rPr>
      <w:b/>
      <w:bCs/>
      <w:smallCaps/>
      <w:color w:val="C0504D"/>
      <w:spacing w:val="5"/>
      <w:u w:val="single"/>
    </w:rPr>
  </w:style>
  <w:style w:type="character" w:customStyle="1" w:styleId="539">
    <w:name w:val="引用 Char1"/>
    <w:qFormat/>
    <w:uiPriority w:val="99"/>
    <w:rPr>
      <w:rFonts w:ascii="Tahoma" w:hAnsi="Tahoma"/>
      <w:i/>
      <w:iCs/>
      <w:color w:val="000000"/>
      <w:kern w:val="2"/>
      <w:sz w:val="21"/>
      <w:szCs w:val="24"/>
    </w:rPr>
  </w:style>
  <w:style w:type="character" w:customStyle="1" w:styleId="540">
    <w:name w:val="style41"/>
    <w:qFormat/>
    <w:uiPriority w:val="0"/>
    <w:rPr>
      <w:rFonts w:ascii="仿宋_GB2312" w:eastAsia="仿宋_GB2312"/>
      <w:b/>
      <w:color w:val="auto"/>
      <w:sz w:val="32"/>
      <w:szCs w:val="32"/>
    </w:rPr>
  </w:style>
  <w:style w:type="character" w:customStyle="1" w:styleId="541">
    <w:name w:val="题注 Char"/>
    <w:qFormat/>
    <w:uiPriority w:val="0"/>
    <w:rPr>
      <w:rFonts w:ascii="Arial" w:hAnsi="Arial" w:eastAsia="黑体" w:cs="Arial"/>
    </w:rPr>
  </w:style>
  <w:style w:type="character" w:customStyle="1" w:styleId="542">
    <w:name w:val="副标题 Char1"/>
    <w:qFormat/>
    <w:uiPriority w:val="11"/>
    <w:rPr>
      <w:rFonts w:ascii="Cambria" w:hAnsi="Cambria" w:cs="Times New Roman"/>
      <w:b/>
      <w:bCs/>
      <w:kern w:val="28"/>
      <w:sz w:val="32"/>
      <w:szCs w:val="32"/>
    </w:rPr>
  </w:style>
  <w:style w:type="character" w:customStyle="1" w:styleId="543">
    <w:name w:val="Char Char Char Char Char Char Char Char Char"/>
    <w:qFormat/>
    <w:uiPriority w:val="0"/>
    <w:rPr>
      <w:rFonts w:ascii="宋体" w:hAnsi="Courier New" w:eastAsia="宋体"/>
      <w:b/>
      <w:sz w:val="21"/>
      <w:szCs w:val="21"/>
      <w:lang w:val="en-US" w:eastAsia="zh-CN" w:bidi="ar-SA"/>
    </w:rPr>
  </w:style>
  <w:style w:type="character" w:customStyle="1" w:styleId="544">
    <w:name w:val="宏文本 Char1"/>
    <w:semiHidden/>
    <w:qFormat/>
    <w:uiPriority w:val="99"/>
    <w:rPr>
      <w:rFonts w:ascii="Courier New" w:hAnsi="Courier New" w:cs="Courier New"/>
      <w:kern w:val="2"/>
      <w:sz w:val="24"/>
      <w:szCs w:val="24"/>
    </w:rPr>
  </w:style>
  <w:style w:type="character" w:customStyle="1" w:styleId="545">
    <w:name w:val="表格用 Char Char"/>
    <w:link w:val="546"/>
    <w:qFormat/>
    <w:locked/>
    <w:uiPriority w:val="0"/>
    <w:rPr>
      <w:sz w:val="21"/>
      <w:szCs w:val="24"/>
    </w:rPr>
  </w:style>
  <w:style w:type="paragraph" w:customStyle="1" w:styleId="546">
    <w:name w:val="表格用"/>
    <w:basedOn w:val="1"/>
    <w:link w:val="545"/>
    <w:qFormat/>
    <w:uiPriority w:val="0"/>
    <w:pPr>
      <w:ind w:firstLine="0" w:firstLineChars="0"/>
    </w:pPr>
    <w:rPr>
      <w:kern w:val="0"/>
    </w:rPr>
  </w:style>
  <w:style w:type="character" w:customStyle="1" w:styleId="547">
    <w:name w:val="正文文本 3 Char1"/>
    <w:basedOn w:val="61"/>
    <w:semiHidden/>
    <w:uiPriority w:val="99"/>
    <w:rPr>
      <w:kern w:val="2"/>
      <w:sz w:val="16"/>
      <w:szCs w:val="16"/>
    </w:rPr>
  </w:style>
  <w:style w:type="character" w:customStyle="1" w:styleId="548">
    <w:name w:val="一般段落 字符"/>
    <w:link w:val="549"/>
    <w:qFormat/>
    <w:locked/>
    <w:uiPriority w:val="0"/>
    <w:rPr>
      <w:sz w:val="24"/>
      <w:szCs w:val="24"/>
    </w:rPr>
  </w:style>
  <w:style w:type="paragraph" w:customStyle="1" w:styleId="549">
    <w:name w:val="一般段落"/>
    <w:basedOn w:val="1"/>
    <w:link w:val="548"/>
    <w:qFormat/>
    <w:uiPriority w:val="0"/>
    <w:pPr>
      <w:spacing w:line="360" w:lineRule="auto"/>
      <w:ind w:firstLine="420"/>
    </w:pPr>
    <w:rPr>
      <w:kern w:val="0"/>
      <w:sz w:val="24"/>
    </w:rPr>
  </w:style>
  <w:style w:type="character" w:customStyle="1" w:styleId="550">
    <w:name w:val="表格标题(居中) Char"/>
    <w:basedOn w:val="61"/>
    <w:link w:val="551"/>
    <w:qFormat/>
    <w:uiPriority w:val="0"/>
    <w:rPr>
      <w:rFonts w:ascii="Times New Roman" w:hAnsi="Times New Roman" w:eastAsia="黑体"/>
      <w:kern w:val="2"/>
      <w:sz w:val="24"/>
    </w:rPr>
  </w:style>
  <w:style w:type="paragraph" w:customStyle="1" w:styleId="551">
    <w:name w:val="表格标题(居中)"/>
    <w:basedOn w:val="1"/>
    <w:link w:val="550"/>
    <w:qFormat/>
    <w:uiPriority w:val="0"/>
    <w:pPr>
      <w:snapToGrid w:val="0"/>
      <w:spacing w:line="300" w:lineRule="auto"/>
      <w:jc w:val="center"/>
    </w:pPr>
    <w:rPr>
      <w:rFonts w:ascii="Times New Roman" w:hAnsi="Times New Roman" w:eastAsia="黑体"/>
      <w:sz w:val="24"/>
      <w:szCs w:val="20"/>
    </w:rPr>
  </w:style>
  <w:style w:type="character" w:customStyle="1" w:styleId="552">
    <w:name w:val="样式 样式 正文缩进(ALT+Z) + 首行缩进:  2 字符2 + 首行缩进:  2 字符 Char"/>
    <w:link w:val="553"/>
    <w:qFormat/>
    <w:uiPriority w:val="0"/>
    <w:rPr>
      <w:rFonts w:ascii="Times New Roman" w:hAnsi="Times New Roman"/>
      <w:kern w:val="2"/>
      <w:sz w:val="24"/>
    </w:rPr>
  </w:style>
  <w:style w:type="paragraph" w:customStyle="1" w:styleId="553">
    <w:name w:val="样式 样式 正文缩进(ALT+Z) + 首行缩进:  2 字符2 + 首行缩进:  2 字符"/>
    <w:basedOn w:val="1"/>
    <w:link w:val="552"/>
    <w:qFormat/>
    <w:uiPriority w:val="0"/>
    <w:pPr>
      <w:spacing w:line="288" w:lineRule="auto"/>
      <w:ind w:firstLine="480" w:firstLineChars="200"/>
    </w:pPr>
    <w:rPr>
      <w:sz w:val="24"/>
      <w:szCs w:val="20"/>
    </w:rPr>
  </w:style>
  <w:style w:type="character" w:customStyle="1" w:styleId="554">
    <w:name w:val="BZ_正文 Char"/>
    <w:basedOn w:val="61"/>
    <w:link w:val="555"/>
    <w:qFormat/>
    <w:uiPriority w:val="0"/>
    <w:rPr>
      <w:rFonts w:ascii="Times New Roman" w:hAnsi="Times New Roman"/>
      <w:kern w:val="2"/>
      <w:sz w:val="24"/>
      <w:szCs w:val="24"/>
    </w:rPr>
  </w:style>
  <w:style w:type="paragraph" w:customStyle="1" w:styleId="555">
    <w:name w:val="BZ_正文"/>
    <w:basedOn w:val="1"/>
    <w:link w:val="554"/>
    <w:qFormat/>
    <w:uiPriority w:val="0"/>
    <w:pPr>
      <w:widowControl/>
      <w:spacing w:line="360" w:lineRule="auto"/>
      <w:ind w:firstLine="200" w:firstLineChars="200"/>
    </w:pPr>
    <w:rPr>
      <w:rFonts w:ascii="Times New Roman" w:hAnsi="Times New Roman"/>
      <w:sz w:val="24"/>
    </w:rPr>
  </w:style>
  <w:style w:type="paragraph" w:customStyle="1" w:styleId="556">
    <w:name w:val="正文（首行缩进）"/>
    <w:basedOn w:val="3"/>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557">
    <w:name w:val="Table Paragraph"/>
    <w:basedOn w:val="1"/>
    <w:qFormat/>
    <w:uiPriority w:val="1"/>
    <w:pPr>
      <w:autoSpaceDE w:val="0"/>
      <w:autoSpaceDN w:val="0"/>
      <w:adjustRightInd w:val="0"/>
      <w:jc w:val="left"/>
    </w:pPr>
    <w:rPr>
      <w:kern w:val="0"/>
      <w:sz w:val="24"/>
    </w:rPr>
  </w:style>
  <w:style w:type="paragraph" w:customStyle="1" w:styleId="558">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55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60">
    <w:name w:val="封面中部"/>
    <w:basedOn w:val="1"/>
    <w:qFormat/>
    <w:uiPriority w:val="0"/>
    <w:pPr>
      <w:tabs>
        <w:tab w:val="left" w:pos="5040"/>
      </w:tabs>
      <w:spacing w:line="312" w:lineRule="atLeast"/>
    </w:pPr>
    <w:rPr>
      <w:rFonts w:ascii="昆仑仿宋" w:hAnsi="Times New Roman" w:eastAsia="昆仑仿宋"/>
      <w:sz w:val="32"/>
    </w:rPr>
  </w:style>
  <w:style w:type="paragraph" w:customStyle="1" w:styleId="561">
    <w:name w:val="样式 标题 3 + (中文) 黑体 小四 非加粗 段前: 7.8 磅 段后: 0 磅 行距: 固定值 20 磅"/>
    <w:basedOn w:val="7"/>
    <w:qFormat/>
    <w:uiPriority w:val="0"/>
    <w:pPr>
      <w:spacing w:before="0" w:after="0" w:line="400" w:lineRule="exact"/>
    </w:pPr>
    <w:rPr>
      <w:rFonts w:ascii="仿宋_GB2312" w:eastAsia="黑体" w:cs="宋体"/>
      <w:b w:val="0"/>
      <w:bCs w:val="0"/>
      <w:sz w:val="24"/>
      <w:szCs w:val="20"/>
    </w:rPr>
  </w:style>
  <w:style w:type="paragraph" w:customStyle="1" w:styleId="562">
    <w:name w:val="样式_4"/>
    <w:basedOn w:val="8"/>
    <w:next w:val="8"/>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563">
    <w:name w:val="BZ_四级标题"/>
    <w:basedOn w:val="8"/>
    <w:next w:val="555"/>
    <w:qFormat/>
    <w:uiPriority w:val="0"/>
    <w:pPr>
      <w:widowControl/>
      <w:spacing w:before="0" w:beforeLines="50" w:after="0" w:afterLines="50" w:line="240" w:lineRule="auto"/>
      <w:ind w:left="864" w:hanging="864"/>
    </w:pPr>
    <w:rPr>
      <w:rFonts w:ascii="Times New Roman" w:hAnsi="Times New Roman" w:eastAsia="黑体"/>
      <w:sz w:val="24"/>
      <w:lang w:val="en-US" w:eastAsia="zh-CN"/>
    </w:rPr>
  </w:style>
  <w:style w:type="paragraph" w:customStyle="1" w:styleId="56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65">
    <w:name w:val="Char12"/>
    <w:basedOn w:val="1"/>
    <w:qFormat/>
    <w:uiPriority w:val="0"/>
    <w:rPr>
      <w:rFonts w:ascii="Tahoma" w:hAnsi="Tahoma"/>
      <w:sz w:val="24"/>
      <w:szCs w:val="20"/>
    </w:rPr>
  </w:style>
  <w:style w:type="paragraph" w:customStyle="1" w:styleId="566">
    <w:name w:val="标准段落"/>
    <w:basedOn w:val="1"/>
    <w:qFormat/>
    <w:uiPriority w:val="0"/>
    <w:pPr>
      <w:spacing w:after="120" w:line="360" w:lineRule="auto"/>
      <w:ind w:firstLine="420"/>
    </w:pPr>
    <w:rPr>
      <w:rFonts w:ascii="黑体" w:hAnsi="宋体" w:eastAsia="黑体"/>
      <w:b/>
      <w:spacing w:val="6"/>
      <w:szCs w:val="22"/>
    </w:rPr>
  </w:style>
  <w:style w:type="paragraph" w:customStyle="1" w:styleId="567">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568">
    <w:name w:val="正文字缩2字"/>
    <w:basedOn w:val="1"/>
    <w:qFormat/>
    <w:uiPriority w:val="0"/>
    <w:pPr>
      <w:spacing w:before="60" w:after="60" w:line="360" w:lineRule="auto"/>
      <w:ind w:left="200" w:leftChars="200" w:firstLine="200" w:firstLineChars="200"/>
    </w:pPr>
    <w:rPr>
      <w:sz w:val="24"/>
    </w:rPr>
  </w:style>
  <w:style w:type="paragraph" w:customStyle="1" w:styleId="569">
    <w:name w:val="样式3"/>
    <w:basedOn w:val="8"/>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0">
    <w:name w:val="正文常用"/>
    <w:basedOn w:val="1"/>
    <w:qFormat/>
    <w:uiPriority w:val="0"/>
    <w:pPr>
      <w:spacing w:line="360" w:lineRule="auto"/>
      <w:ind w:firstLine="420"/>
    </w:pPr>
    <w:rPr>
      <w:rFonts w:ascii="宋体" w:hAnsi="宋体"/>
      <w:color w:val="000000"/>
      <w:sz w:val="24"/>
      <w:szCs w:val="21"/>
    </w:rPr>
  </w:style>
  <w:style w:type="paragraph" w:customStyle="1" w:styleId="57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szCs w:val="20"/>
    </w:rPr>
  </w:style>
  <w:style w:type="paragraph" w:customStyle="1" w:styleId="572">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573">
    <w:name w:val="三级条标题"/>
    <w:basedOn w:val="574"/>
    <w:next w:val="257"/>
    <w:qFormat/>
    <w:uiPriority w:val="0"/>
    <w:pPr>
      <w:numPr>
        <w:ilvl w:val="4"/>
        <w:numId w:val="11"/>
      </w:numPr>
      <w:tabs>
        <w:tab w:val="left" w:pos="360"/>
        <w:tab w:val="clear" w:pos="2580"/>
      </w:tabs>
      <w:outlineLvl w:val="4"/>
    </w:pPr>
  </w:style>
  <w:style w:type="paragraph" w:customStyle="1" w:styleId="574">
    <w:name w:val="二级条标题"/>
    <w:basedOn w:val="575"/>
    <w:next w:val="257"/>
    <w:qFormat/>
    <w:uiPriority w:val="0"/>
    <w:pPr>
      <w:numPr>
        <w:ilvl w:val="3"/>
        <w:numId w:val="11"/>
      </w:numPr>
      <w:tabs>
        <w:tab w:val="left" w:pos="360"/>
        <w:tab w:val="clear" w:pos="2160"/>
      </w:tabs>
      <w:outlineLvl w:val="3"/>
    </w:pPr>
  </w:style>
  <w:style w:type="paragraph" w:customStyle="1" w:styleId="575">
    <w:name w:val="一级条标题"/>
    <w:next w:val="257"/>
    <w:qFormat/>
    <w:uiPriority w:val="0"/>
    <w:pPr>
      <w:numPr>
        <w:ilvl w:val="2"/>
        <w:numId w:val="11"/>
      </w:numPr>
      <w:tabs>
        <w:tab w:val="left" w:pos="360"/>
        <w:tab w:val="clear" w:pos="1740"/>
      </w:tabs>
      <w:outlineLvl w:val="2"/>
    </w:pPr>
    <w:rPr>
      <w:rFonts w:eastAsia="黑体"/>
      <w:sz w:val="21"/>
      <w:lang w:val="en-US" w:eastAsia="zh-CN" w:bidi="ar-SA"/>
    </w:rPr>
  </w:style>
  <w:style w:type="paragraph" w:customStyle="1" w:styleId="576">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77">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78">
    <w:name w:val="正文缩进1"/>
    <w:basedOn w:val="1"/>
    <w:next w:val="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7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80">
    <w:name w:val="Revision1"/>
    <w:qFormat/>
    <w:uiPriority w:val="99"/>
    <w:rPr>
      <w:kern w:val="2"/>
      <w:sz w:val="21"/>
      <w:szCs w:val="24"/>
      <w:lang w:val="en-US" w:eastAsia="zh-CN" w:bidi="ar-SA"/>
    </w:rPr>
  </w:style>
  <w:style w:type="paragraph" w:customStyle="1" w:styleId="58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szCs w:val="20"/>
    </w:rPr>
  </w:style>
  <w:style w:type="paragraph" w:customStyle="1" w:styleId="582">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583">
    <w:name w:val="默认段落字体 Para Char Char Char Char"/>
    <w:basedOn w:val="1"/>
    <w:qFormat/>
    <w:uiPriority w:val="0"/>
    <w:rPr>
      <w:sz w:val="20"/>
    </w:rPr>
  </w:style>
  <w:style w:type="paragraph" w:customStyle="1" w:styleId="584">
    <w:name w:val="A 正文 Z 内标 2"/>
    <w:basedOn w:val="1"/>
    <w:qFormat/>
    <w:uiPriority w:val="0"/>
    <w:pPr>
      <w:widowControl/>
      <w:numPr>
        <w:ilvl w:val="0"/>
        <w:numId w:val="12"/>
      </w:numPr>
      <w:spacing w:line="360" w:lineRule="auto"/>
      <w:ind w:firstLine="0"/>
      <w:jc w:val="left"/>
    </w:pPr>
    <w:rPr>
      <w:rFonts w:ascii="宋体" w:hAnsi="宋体" w:cs="宋体"/>
      <w:kern w:val="0"/>
      <w:sz w:val="24"/>
    </w:rPr>
  </w:style>
  <w:style w:type="paragraph" w:customStyle="1" w:styleId="585">
    <w:name w:val="插图说明"/>
    <w:basedOn w:val="1"/>
    <w:qFormat/>
    <w:uiPriority w:val="0"/>
    <w:pPr>
      <w:adjustRightInd w:val="0"/>
      <w:spacing w:after="240"/>
      <w:ind w:firstLine="480" w:firstLineChars="200"/>
      <w:jc w:val="center"/>
      <w:textAlignment w:val="baseline"/>
    </w:pPr>
    <w:rPr>
      <w:rFonts w:ascii="Times New Roman" w:hAnsi="Times New Roman" w:eastAsia="黑体"/>
      <w:color w:val="FF0000"/>
      <w:kern w:val="0"/>
      <w:sz w:val="24"/>
    </w:rPr>
  </w:style>
  <w:style w:type="paragraph" w:customStyle="1" w:styleId="586">
    <w:name w:val="四级目录 Char Char Char Char Char"/>
    <w:next w:val="1"/>
    <w:qFormat/>
    <w:uiPriority w:val="0"/>
    <w:pPr>
      <w:spacing w:line="360" w:lineRule="auto"/>
      <w:ind w:left="200" w:leftChars="200"/>
    </w:pPr>
    <w:rPr>
      <w:lang w:val="en-US" w:eastAsia="zh-CN" w:bidi="ar-SA"/>
    </w:rPr>
  </w:style>
  <w:style w:type="paragraph" w:customStyle="1" w:styleId="587">
    <w:name w:val="[Normal]"/>
    <w:qFormat/>
    <w:uiPriority w:val="0"/>
    <w:rPr>
      <w:rFonts w:ascii="宋体" w:hAnsi="宋体"/>
      <w:sz w:val="24"/>
      <w:szCs w:val="22"/>
      <w:lang w:val="zh-CN" w:eastAsia="zh-CN" w:bidi="ar-SA"/>
    </w:rPr>
  </w:style>
  <w:style w:type="paragraph" w:customStyle="1" w:styleId="588">
    <w:name w:val="正文缩进2"/>
    <w:basedOn w:val="1"/>
    <w:qFormat/>
    <w:uiPriority w:val="0"/>
    <w:pPr>
      <w:ind w:firstLine="420"/>
    </w:pPr>
    <w:rPr>
      <w:szCs w:val="20"/>
    </w:rPr>
  </w:style>
  <w:style w:type="paragraph" w:customStyle="1" w:styleId="5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0">
    <w:name w:val="列项——（一级）"/>
    <w:qFormat/>
    <w:uiPriority w:val="0"/>
    <w:pPr>
      <w:widowControl w:val="0"/>
      <w:tabs>
        <w:tab w:val="left" w:pos="854"/>
        <w:tab w:val="left" w:pos="1260"/>
      </w:tabs>
      <w:ind w:left="1260" w:hanging="420"/>
      <w:jc w:val="both"/>
    </w:pPr>
    <w:rPr>
      <w:rFonts w:ascii="宋体"/>
      <w:sz w:val="21"/>
      <w:lang w:val="en-US" w:eastAsia="zh-CN" w:bidi="ar-SA"/>
    </w:rPr>
  </w:style>
  <w:style w:type="paragraph" w:customStyle="1" w:styleId="591">
    <w:name w:val="Char Char1 Char"/>
    <w:basedOn w:val="1"/>
    <w:qFormat/>
    <w:uiPriority w:val="0"/>
    <w:pPr>
      <w:spacing w:line="360" w:lineRule="auto"/>
    </w:pPr>
    <w:rPr>
      <w:sz w:val="24"/>
    </w:rPr>
  </w:style>
  <w:style w:type="paragraph" w:customStyle="1" w:styleId="592">
    <w:name w:val="图表1"/>
    <w:basedOn w:val="1"/>
    <w:qFormat/>
    <w:uiPriority w:val="0"/>
    <w:pPr>
      <w:jc w:val="center"/>
    </w:pPr>
    <w:rPr>
      <w:sz w:val="20"/>
    </w:rPr>
  </w:style>
  <w:style w:type="paragraph" w:customStyle="1" w:styleId="593">
    <w:name w:val="xl122"/>
    <w:basedOn w:val="1"/>
    <w:qFormat/>
    <w:uiPriority w:val="0"/>
    <w:pPr>
      <w:widowControl/>
      <w:shd w:val="clear" w:color="000000" w:fill="FFC000"/>
      <w:spacing w:before="100" w:beforeAutospacing="1" w:after="100" w:afterAutospacing="1"/>
      <w:jc w:val="left"/>
      <w:textAlignment w:val="bottom"/>
    </w:pPr>
    <w:rPr>
      <w:rFonts w:ascii="宋体" w:hAnsi="宋体" w:cs="宋体"/>
      <w:kern w:val="0"/>
      <w:sz w:val="20"/>
      <w:szCs w:val="20"/>
    </w:rPr>
  </w:style>
  <w:style w:type="paragraph" w:customStyle="1" w:styleId="594">
    <w:name w:val="列出段落1"/>
    <w:basedOn w:val="1"/>
    <w:qFormat/>
    <w:uiPriority w:val="34"/>
    <w:pPr>
      <w:ind w:firstLine="420" w:firstLineChars="200"/>
    </w:pPr>
    <w:rPr>
      <w:szCs w:val="20"/>
    </w:rPr>
  </w:style>
  <w:style w:type="paragraph" w:customStyle="1" w:styleId="595">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59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97">
    <w:name w:val="NICMAN Body Text"/>
    <w:basedOn w:val="1"/>
    <w:next w:val="25"/>
    <w:qFormat/>
    <w:uiPriority w:val="0"/>
    <w:pPr>
      <w:autoSpaceDE w:val="0"/>
      <w:autoSpaceDN w:val="0"/>
      <w:adjustRightInd w:val="0"/>
      <w:spacing w:after="120"/>
      <w:jc w:val="left"/>
    </w:pPr>
    <w:rPr>
      <w:kern w:val="0"/>
      <w:sz w:val="20"/>
      <w:szCs w:val="20"/>
    </w:rPr>
  </w:style>
  <w:style w:type="paragraph" w:customStyle="1" w:styleId="598">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5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0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601">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602">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603">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04">
    <w:name w:val="WPSOffice手动目录 2"/>
    <w:qFormat/>
    <w:uiPriority w:val="0"/>
    <w:pPr>
      <w:ind w:left="200" w:leftChars="200"/>
    </w:pPr>
    <w:rPr>
      <w:lang w:val="en-US" w:eastAsia="zh-CN" w:bidi="ar-SA"/>
    </w:rPr>
  </w:style>
  <w:style w:type="paragraph" w:customStyle="1" w:styleId="605">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606">
    <w:name w:val="BZ_五级标题"/>
    <w:basedOn w:val="9"/>
    <w:next w:val="555"/>
    <w:qFormat/>
    <w:uiPriority w:val="0"/>
    <w:pPr>
      <w:widowControl/>
      <w:spacing w:before="0" w:beforeLines="50" w:after="0" w:afterLines="50" w:line="240" w:lineRule="auto"/>
      <w:ind w:left="992" w:hanging="992"/>
    </w:pPr>
    <w:rPr>
      <w:rFonts w:ascii="Times New Roman" w:hAnsi="Times New Roman" w:eastAsia="黑体"/>
      <w:b w:val="0"/>
      <w:sz w:val="24"/>
      <w:szCs w:val="24"/>
      <w:lang w:val="en-US" w:eastAsia="zh-CN"/>
    </w:rPr>
  </w:style>
  <w:style w:type="paragraph" w:customStyle="1" w:styleId="607">
    <w:name w:val="1.1"/>
    <w:basedOn w:val="1"/>
    <w:next w:val="180"/>
    <w:qFormat/>
    <w:uiPriority w:val="99"/>
    <w:pPr>
      <w:keepNext/>
      <w:keepLines/>
      <w:numPr>
        <w:ilvl w:val="1"/>
        <w:numId w:val="0"/>
      </w:numPr>
      <w:tabs>
        <w:tab w:val="left" w:pos="-420"/>
      </w:tabs>
      <w:spacing w:line="360" w:lineRule="auto"/>
      <w:outlineLvl w:val="1"/>
    </w:pPr>
    <w:rPr>
      <w:rFonts w:ascii="Cambria" w:hAnsi="Times New Roman" w:eastAsia="仿宋_GB2312"/>
      <w:b/>
      <w:bCs/>
      <w:sz w:val="30"/>
      <w:szCs w:val="30"/>
    </w:rPr>
  </w:style>
  <w:style w:type="paragraph" w:customStyle="1" w:styleId="6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09">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10">
    <w:name w:val="正文表标题"/>
    <w:next w:val="257"/>
    <w:qFormat/>
    <w:uiPriority w:val="0"/>
    <w:pPr>
      <w:numPr>
        <w:ilvl w:val="0"/>
        <w:numId w:val="14"/>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61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12">
    <w:name w:val="￥正文"/>
    <w:basedOn w:val="1"/>
    <w:qFormat/>
    <w:uiPriority w:val="0"/>
    <w:pPr>
      <w:numPr>
        <w:ilvl w:val="0"/>
        <w:numId w:val="15"/>
      </w:numPr>
      <w:tabs>
        <w:tab w:val="clear" w:pos="708"/>
      </w:tabs>
      <w:adjustRightInd w:val="0"/>
      <w:spacing w:line="360" w:lineRule="auto"/>
      <w:ind w:left="0" w:firstLine="200" w:firstLineChars="200"/>
      <w:textAlignment w:val="baseline"/>
    </w:pPr>
    <w:rPr>
      <w:rFonts w:ascii="Times New Roman" w:hAnsi="Times New Roman"/>
      <w:kern w:val="0"/>
      <w:sz w:val="24"/>
      <w:szCs w:val="20"/>
    </w:rPr>
  </w:style>
  <w:style w:type="paragraph" w:customStyle="1" w:styleId="613">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4">
    <w:name w:val="顶行(ALT+X)"/>
    <w:basedOn w:val="1"/>
    <w:qFormat/>
    <w:uiPriority w:val="0"/>
    <w:pPr>
      <w:spacing w:line="360" w:lineRule="auto"/>
    </w:pPr>
    <w:rPr>
      <w:rFonts w:ascii="Times New Roman" w:hAnsi="Times New Roman"/>
      <w:sz w:val="24"/>
    </w:rPr>
  </w:style>
  <w:style w:type="paragraph" w:customStyle="1" w:styleId="615">
    <w:name w:val="Char Char Char Char12"/>
    <w:basedOn w:val="1"/>
    <w:qFormat/>
    <w:uiPriority w:val="0"/>
    <w:rPr>
      <w:rFonts w:ascii="Tahoma" w:hAnsi="Tahoma"/>
      <w:sz w:val="24"/>
      <w:szCs w:val="20"/>
    </w:rPr>
  </w:style>
  <w:style w:type="paragraph" w:customStyle="1" w:styleId="616">
    <w:name w:val="样式 标题 2 +"/>
    <w:basedOn w:val="6"/>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1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bCs/>
      <w:kern w:val="0"/>
      <w:sz w:val="24"/>
    </w:rPr>
  </w:style>
  <w:style w:type="paragraph" w:customStyle="1" w:styleId="618">
    <w:name w:val="默认段落字体 Para Char Char Char Char Char Char Char Char Char1 Char Char Char Char"/>
    <w:basedOn w:val="1"/>
    <w:qFormat/>
    <w:uiPriority w:val="0"/>
    <w:rPr>
      <w:rFonts w:ascii="Tahoma" w:hAnsi="Tahoma"/>
      <w:sz w:val="24"/>
      <w:szCs w:val="20"/>
    </w:rPr>
  </w:style>
  <w:style w:type="paragraph" w:customStyle="1" w:styleId="6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0">
    <w:name w:val="Y_章标题"/>
    <w:next w:val="1"/>
    <w:qFormat/>
    <w:uiPriority w:val="0"/>
    <w:pPr>
      <w:numPr>
        <w:ilvl w:val="0"/>
        <w:numId w:val="16"/>
      </w:numPr>
      <w:spacing w:beforeLines="50" w:afterLines="50"/>
      <w:jc w:val="both"/>
      <w:outlineLvl w:val="0"/>
    </w:pPr>
    <w:rPr>
      <w:rFonts w:ascii="黑体" w:eastAsia="黑体"/>
      <w:sz w:val="24"/>
      <w:szCs w:val="21"/>
      <w:lang w:val="en-US" w:eastAsia="zh-CN" w:bidi="ar-SA"/>
    </w:rPr>
  </w:style>
  <w:style w:type="paragraph" w:customStyle="1" w:styleId="62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22">
    <w:name w:val="简单回函地址"/>
    <w:basedOn w:val="1"/>
    <w:qFormat/>
    <w:uiPriority w:val="0"/>
  </w:style>
  <w:style w:type="paragraph" w:customStyle="1" w:styleId="623">
    <w:name w:val="前言、引言标题"/>
    <w:next w:val="1"/>
    <w:qFormat/>
    <w:uiPriority w:val="0"/>
    <w:pPr>
      <w:numPr>
        <w:ilvl w:val="0"/>
        <w:numId w:val="11"/>
      </w:numPr>
      <w:shd w:val="clear" w:color="FFFFFF" w:fill="FFFFFF"/>
      <w:spacing w:before="640" w:after="560"/>
      <w:jc w:val="center"/>
      <w:outlineLvl w:val="0"/>
    </w:pPr>
    <w:rPr>
      <w:rFonts w:ascii="黑体" w:eastAsia="黑体"/>
      <w:sz w:val="32"/>
      <w:lang w:val="en-US" w:eastAsia="zh-CN" w:bidi="ar-SA"/>
    </w:rPr>
  </w:style>
  <w:style w:type="paragraph" w:customStyle="1" w:styleId="624">
    <w:name w:val="表格文字"/>
    <w:basedOn w:val="1"/>
    <w:next w:val="25"/>
    <w:qFormat/>
    <w:uiPriority w:val="0"/>
    <w:pPr>
      <w:spacing w:line="420" w:lineRule="atLeast"/>
      <w:jc w:val="left"/>
    </w:pPr>
    <w:rPr>
      <w:szCs w:val="20"/>
    </w:rPr>
  </w:style>
  <w:style w:type="paragraph" w:customStyle="1" w:styleId="625">
    <w:name w:val="章标题"/>
    <w:next w:val="257"/>
    <w:qFormat/>
    <w:uiPriority w:val="0"/>
    <w:pPr>
      <w:numPr>
        <w:ilvl w:val="1"/>
        <w:numId w:val="11"/>
      </w:numPr>
      <w:tabs>
        <w:tab w:val="left" w:pos="360"/>
        <w:tab w:val="clear" w:pos="1320"/>
      </w:tabs>
      <w:spacing w:before="156" w:beforeLines="50" w:after="156" w:afterLines="50"/>
      <w:jc w:val="both"/>
      <w:outlineLvl w:val="1"/>
    </w:pPr>
    <w:rPr>
      <w:rFonts w:ascii="黑体" w:eastAsia="黑体"/>
      <w:sz w:val="21"/>
      <w:lang w:val="en-US" w:eastAsia="zh-CN" w:bidi="ar-SA"/>
    </w:rPr>
  </w:style>
  <w:style w:type="paragraph" w:customStyle="1" w:styleId="6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27">
    <w:name w:val="Char Char Char Char1"/>
    <w:basedOn w:val="1"/>
    <w:qFormat/>
    <w:uiPriority w:val="0"/>
    <w:rPr>
      <w:szCs w:val="20"/>
    </w:rPr>
  </w:style>
  <w:style w:type="paragraph" w:customStyle="1" w:styleId="6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9">
    <w:name w:val="subtitle 2"/>
    <w:basedOn w:val="1"/>
    <w:uiPriority w:val="0"/>
    <w:pPr>
      <w:spacing w:before="240" w:after="240" w:line="312" w:lineRule="atLeast"/>
    </w:pPr>
    <w:rPr>
      <w:rFonts w:ascii="Times New Roman" w:hAnsi="Times New Roman" w:eastAsia="黑体"/>
      <w:snapToGrid w:val="0"/>
      <w:kern w:val="0"/>
      <w:sz w:val="24"/>
      <w:szCs w:val="20"/>
    </w:rPr>
  </w:style>
  <w:style w:type="paragraph" w:customStyle="1" w:styleId="630">
    <w:name w:val="TOC 标题2"/>
    <w:basedOn w:val="5"/>
    <w:next w:val="1"/>
    <w:unhideWhenUsed/>
    <w:qFormat/>
    <w:uiPriority w:val="39"/>
    <w:pPr>
      <w:keepLines/>
      <w:widowControl/>
      <w:spacing w:before="480" w:line="276" w:lineRule="auto"/>
      <w:jc w:val="left"/>
      <w:outlineLvl w:val="9"/>
    </w:pPr>
    <w:rPr>
      <w:rFonts w:ascii="Cambria" w:hAnsi="Cambria" w:eastAsia="宋体" w:cs="Times New Roman"/>
      <w:color w:val="365F91"/>
      <w:kern w:val="0"/>
      <w:sz w:val="28"/>
      <w:szCs w:val="28"/>
      <w:lang w:val="en-US" w:eastAsia="zh-CN"/>
    </w:rPr>
  </w:style>
  <w:style w:type="paragraph" w:customStyle="1" w:styleId="631">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32">
    <w:name w:val="Char Char Char Char2"/>
    <w:basedOn w:val="20"/>
    <w:qFormat/>
    <w:uiPriority w:val="0"/>
    <w:pPr>
      <w:spacing w:line="360" w:lineRule="auto"/>
    </w:pPr>
    <w:rPr>
      <w:rFonts w:ascii="Tahoma" w:hAnsi="Tahoma"/>
      <w:sz w:val="24"/>
    </w:rPr>
  </w:style>
  <w:style w:type="paragraph" w:customStyle="1" w:styleId="633">
    <w:name w:val="_Style 25"/>
    <w:basedOn w:val="1"/>
    <w:qFormat/>
    <w:uiPriority w:val="0"/>
  </w:style>
  <w:style w:type="paragraph" w:customStyle="1" w:styleId="634">
    <w:name w:val="样式 首行缩进:  2 字符1"/>
    <w:basedOn w:val="1"/>
    <w:qFormat/>
    <w:uiPriority w:val="0"/>
    <w:pPr>
      <w:spacing w:line="360" w:lineRule="auto"/>
      <w:ind w:firstLine="540" w:firstLineChars="225"/>
    </w:pPr>
    <w:rPr>
      <w:sz w:val="24"/>
      <w:szCs w:val="20"/>
    </w:rPr>
  </w:style>
  <w:style w:type="paragraph" w:customStyle="1" w:styleId="6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36">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b/>
      <w:bCs/>
      <w:kern w:val="0"/>
      <w:sz w:val="20"/>
      <w:szCs w:val="20"/>
    </w:rPr>
  </w:style>
  <w:style w:type="paragraph" w:customStyle="1" w:styleId="637">
    <w:name w:val="xl136"/>
    <w:basedOn w:val="1"/>
    <w:qFormat/>
    <w:uiPriority w:val="0"/>
    <w:pPr>
      <w:widowControl/>
      <w:spacing w:before="100" w:beforeAutospacing="1" w:after="100" w:afterAutospacing="1"/>
      <w:jc w:val="left"/>
      <w:textAlignment w:val="bottom"/>
    </w:pPr>
    <w:rPr>
      <w:rFonts w:ascii="宋体" w:hAnsi="宋体" w:cs="宋体"/>
      <w:b/>
      <w:bCs/>
      <w:kern w:val="0"/>
      <w:sz w:val="24"/>
    </w:rPr>
  </w:style>
  <w:style w:type="paragraph" w:customStyle="1" w:styleId="63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39">
    <w:name w:val="编号，小四"/>
    <w:basedOn w:val="1"/>
    <w:qFormat/>
    <w:uiPriority w:val="0"/>
    <w:pPr>
      <w:numPr>
        <w:ilvl w:val="0"/>
        <w:numId w:val="17"/>
      </w:numPr>
      <w:spacing w:line="360" w:lineRule="auto"/>
    </w:pPr>
    <w:rPr>
      <w:rFonts w:ascii="Arial" w:hAnsi="Arial" w:cs="宋体"/>
      <w:sz w:val="24"/>
      <w:szCs w:val="20"/>
    </w:rPr>
  </w:style>
  <w:style w:type="paragraph" w:customStyle="1" w:styleId="640">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41">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42">
    <w:name w:val="xl141"/>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43">
    <w:name w:val="正文－恩普"/>
    <w:basedOn w:val="17"/>
    <w:qFormat/>
    <w:uiPriority w:val="0"/>
    <w:pPr>
      <w:adjustRightInd/>
      <w:spacing w:line="360" w:lineRule="auto"/>
      <w:ind w:firstLine="200" w:firstLineChars="200"/>
      <w:textAlignment w:val="auto"/>
    </w:pPr>
    <w:rPr>
      <w:rFonts w:ascii="仿宋_GB2312"/>
      <w:b/>
      <w:kern w:val="2"/>
      <w:sz w:val="24"/>
      <w:szCs w:val="24"/>
    </w:rPr>
  </w:style>
  <w:style w:type="paragraph" w:customStyle="1" w:styleId="64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45">
    <w:name w:val="居中(ALT+C)"/>
    <w:basedOn w:val="1"/>
    <w:qFormat/>
    <w:uiPriority w:val="0"/>
    <w:pPr>
      <w:snapToGrid w:val="0"/>
      <w:spacing w:line="360" w:lineRule="auto"/>
      <w:jc w:val="center"/>
    </w:pPr>
    <w:rPr>
      <w:rFonts w:ascii="Times New Roman" w:hAnsi="Times New Roman"/>
      <w:sz w:val="24"/>
    </w:rPr>
  </w:style>
  <w:style w:type="paragraph" w:customStyle="1" w:styleId="646">
    <w:name w:val="xl515"/>
    <w:basedOn w:val="1"/>
    <w:qFormat/>
    <w:uiPriority w:val="0"/>
    <w:pPr>
      <w:widowControl/>
      <w:spacing w:before="100" w:beforeAutospacing="1" w:after="100" w:afterAutospacing="1"/>
    </w:pPr>
    <w:rPr>
      <w:rFonts w:ascii="Times New Roman" w:hAnsi="Times New Roman"/>
      <w:kern w:val="0"/>
      <w:sz w:val="24"/>
    </w:rPr>
  </w:style>
  <w:style w:type="paragraph" w:customStyle="1" w:styleId="647">
    <w:name w:val="【注意】"/>
    <w:basedOn w:val="1"/>
    <w:next w:val="1"/>
    <w:qFormat/>
    <w:uiPriority w:val="0"/>
    <w:pPr>
      <w:spacing w:before="120" w:after="120"/>
      <w:jc w:val="left"/>
    </w:pPr>
    <w:rPr>
      <w:rFonts w:ascii="宋体" w:hAnsi="Arial"/>
      <w:szCs w:val="20"/>
    </w:rPr>
  </w:style>
  <w:style w:type="paragraph" w:customStyle="1" w:styleId="648">
    <w:name w:val="默认段落字体 Para Char Char Char Char Char Char Char Char Char Char Char Char"/>
    <w:basedOn w:val="20"/>
    <w:qFormat/>
    <w:uiPriority w:val="0"/>
    <w:pPr>
      <w:adjustRightInd w:val="0"/>
      <w:spacing w:line="436" w:lineRule="exact"/>
      <w:ind w:left="357"/>
      <w:jc w:val="left"/>
      <w:outlineLvl w:val="3"/>
    </w:pPr>
    <w:rPr>
      <w:rFonts w:ascii="Tahoma" w:hAnsi="Tahoma"/>
      <w:b/>
      <w:sz w:val="24"/>
      <w:lang w:val="en-US" w:eastAsia="zh-CN"/>
    </w:rPr>
  </w:style>
  <w:style w:type="paragraph" w:customStyle="1" w:styleId="64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650">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51">
    <w:name w:val="封面标准英文名称"/>
    <w:qFormat/>
    <w:uiPriority w:val="0"/>
    <w:pPr>
      <w:widowControl w:val="0"/>
      <w:spacing w:before="370" w:line="400" w:lineRule="exact"/>
      <w:jc w:val="center"/>
    </w:pPr>
    <w:rPr>
      <w:sz w:val="28"/>
      <w:lang w:val="en-US" w:eastAsia="zh-CN" w:bidi="ar-SA"/>
    </w:rPr>
  </w:style>
  <w:style w:type="paragraph" w:customStyle="1" w:styleId="6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53">
    <w:name w:val="Y_四级条标题"/>
    <w:basedOn w:val="654"/>
    <w:next w:val="1"/>
    <w:qFormat/>
    <w:uiPriority w:val="0"/>
    <w:pPr>
      <w:numPr>
        <w:ilvl w:val="4"/>
        <w:numId w:val="16"/>
      </w:numPr>
      <w:outlineLvl w:val="4"/>
    </w:pPr>
  </w:style>
  <w:style w:type="paragraph" w:customStyle="1" w:styleId="654">
    <w:name w:val="Y_三级条标题"/>
    <w:basedOn w:val="655"/>
    <w:next w:val="1"/>
    <w:qFormat/>
    <w:uiPriority w:val="0"/>
    <w:pPr>
      <w:numPr>
        <w:ilvl w:val="3"/>
        <w:numId w:val="16"/>
      </w:numPr>
      <w:outlineLvl w:val="3"/>
    </w:pPr>
  </w:style>
  <w:style w:type="paragraph" w:customStyle="1" w:styleId="655">
    <w:name w:val="Y_二级条标题"/>
    <w:basedOn w:val="656"/>
    <w:next w:val="1"/>
    <w:qFormat/>
    <w:uiPriority w:val="0"/>
    <w:pPr>
      <w:numPr>
        <w:ilvl w:val="2"/>
        <w:numId w:val="16"/>
      </w:numPr>
      <w:outlineLvl w:val="2"/>
    </w:pPr>
  </w:style>
  <w:style w:type="paragraph" w:customStyle="1" w:styleId="656">
    <w:name w:val="Y_一级条标题"/>
    <w:basedOn w:val="620"/>
    <w:next w:val="1"/>
    <w:qFormat/>
    <w:uiPriority w:val="0"/>
    <w:pPr>
      <w:numPr>
        <w:ilvl w:val="1"/>
        <w:numId w:val="16"/>
      </w:numPr>
      <w:outlineLvl w:val="1"/>
    </w:pPr>
  </w:style>
  <w:style w:type="paragraph" w:customStyle="1" w:styleId="657">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658">
    <w:name w:val="List Paragraph2"/>
    <w:basedOn w:val="1"/>
    <w:qFormat/>
    <w:uiPriority w:val="0"/>
    <w:pPr>
      <w:ind w:firstLine="420" w:firstLineChars="200"/>
    </w:pPr>
  </w:style>
  <w:style w:type="paragraph" w:customStyle="1" w:styleId="659">
    <w:name w:val="1级编号"/>
    <w:basedOn w:val="1"/>
    <w:qFormat/>
    <w:uiPriority w:val="0"/>
    <w:pPr>
      <w:numPr>
        <w:ilvl w:val="0"/>
        <w:numId w:val="18"/>
      </w:numPr>
      <w:spacing w:line="276" w:lineRule="auto"/>
      <w:ind w:left="993" w:hanging="573"/>
      <w:jc w:val="left"/>
    </w:pPr>
    <w:rPr>
      <w:rFonts w:ascii="Calibri" w:hAnsi="宋体"/>
      <w:szCs w:val="21"/>
    </w:rPr>
  </w:style>
  <w:style w:type="paragraph" w:customStyle="1" w:styleId="660">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61">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662">
    <w:name w:val="BZ_二级标题"/>
    <w:basedOn w:val="6"/>
    <w:next w:val="555"/>
    <w:qFormat/>
    <w:uiPriority w:val="0"/>
    <w:pPr>
      <w:widowControl/>
      <w:spacing w:before="120" w:beforeLines="50" w:after="120" w:afterLines="50" w:line="240" w:lineRule="auto"/>
      <w:ind w:left="576" w:hanging="576"/>
    </w:pPr>
    <w:rPr>
      <w:rFonts w:ascii="Times New Roman" w:hAnsi="Times New Roman" w:eastAsia="楷体"/>
      <w:lang w:val="en-US" w:eastAsia="zh-CN"/>
    </w:rPr>
  </w:style>
  <w:style w:type="paragraph" w:customStyle="1" w:styleId="663">
    <w:name w:val="_Style 256"/>
    <w:next w:val="1"/>
    <w:qFormat/>
    <w:uiPriority w:val="99"/>
    <w:pPr>
      <w:widowControl w:val="0"/>
      <w:jc w:val="both"/>
    </w:pPr>
    <w:rPr>
      <w:kern w:val="2"/>
      <w:sz w:val="21"/>
      <w:szCs w:val="24"/>
      <w:lang w:val="en-US" w:eastAsia="zh-CN" w:bidi="ar-SA"/>
    </w:rPr>
  </w:style>
  <w:style w:type="paragraph" w:customStyle="1" w:styleId="664">
    <w:name w:val="样式 正文缩进 + 首行缩进:  2 字符"/>
    <w:basedOn w:val="17"/>
    <w:qFormat/>
    <w:uiPriority w:val="0"/>
    <w:pPr>
      <w:adjustRightInd/>
      <w:spacing w:line="360" w:lineRule="auto"/>
      <w:ind w:firstLine="200" w:firstLineChars="200"/>
      <w:textAlignment w:val="auto"/>
    </w:pPr>
    <w:rPr>
      <w:rFonts w:cs="宋体"/>
      <w:kern w:val="2"/>
      <w:sz w:val="24"/>
    </w:rPr>
  </w:style>
  <w:style w:type="paragraph" w:customStyle="1" w:styleId="665">
    <w:name w:val="方案"/>
    <w:basedOn w:val="1"/>
    <w:uiPriority w:val="0"/>
    <w:pPr>
      <w:jc w:val="right"/>
    </w:pPr>
    <w:rPr>
      <w:rFonts w:ascii="Times New Roman" w:hAnsi="Times New Roman" w:eastAsia="黑体"/>
      <w:b/>
      <w:sz w:val="52"/>
    </w:rPr>
  </w:style>
  <w:style w:type="paragraph" w:customStyle="1" w:styleId="666">
    <w:name w:val="Pa5"/>
    <w:basedOn w:val="667"/>
    <w:next w:val="667"/>
    <w:qFormat/>
    <w:uiPriority w:val="0"/>
    <w:pPr>
      <w:spacing w:after="60" w:line="161" w:lineRule="atLeast"/>
    </w:pPr>
    <w:rPr>
      <w:rFonts w:ascii="Univers LT Std 57 Cn" w:hAnsi="Univers LT Std 57 Cn" w:cs="Times New Roman"/>
      <w:color w:val="auto"/>
    </w:rPr>
  </w:style>
  <w:style w:type="paragraph" w:customStyle="1" w:styleId="667">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668">
    <w:name w:val="Y_列项●（二级）"/>
    <w:basedOn w:val="669"/>
    <w:qFormat/>
    <w:uiPriority w:val="0"/>
    <w:pPr>
      <w:numPr>
        <w:ilvl w:val="2"/>
        <w:numId w:val="19"/>
      </w:numPr>
      <w:tabs>
        <w:tab w:val="left" w:pos="1457"/>
      </w:tabs>
      <w:ind w:left="1457" w:hanging="380"/>
    </w:pPr>
  </w:style>
  <w:style w:type="paragraph" w:customStyle="1" w:styleId="669">
    <w:name w:val="Y_列项——（一级）"/>
    <w:qFormat/>
    <w:uiPriority w:val="0"/>
    <w:pPr>
      <w:numPr>
        <w:ilvl w:val="1"/>
        <w:numId w:val="19"/>
      </w:numPr>
      <w:spacing w:after="200" w:line="300" w:lineRule="auto"/>
      <w:ind w:left="992" w:hanging="482"/>
      <w:jc w:val="both"/>
    </w:pPr>
    <w:rPr>
      <w:rFonts w:ascii="宋体"/>
      <w:kern w:val="2"/>
      <w:sz w:val="24"/>
      <w:szCs w:val="21"/>
      <w:lang w:val="en-US" w:eastAsia="zh-CN" w:bidi="ar-SA"/>
    </w:rPr>
  </w:style>
  <w:style w:type="paragraph" w:customStyle="1" w:styleId="6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71">
    <w:name w:val="基准样式"/>
    <w:basedOn w:val="1"/>
    <w:qFormat/>
    <w:uiPriority w:val="0"/>
    <w:pPr>
      <w:widowControl/>
      <w:adjustRightInd w:val="0"/>
      <w:spacing w:line="360" w:lineRule="auto"/>
      <w:ind w:firstLine="480" w:firstLineChars="200"/>
      <w:jc w:val="left"/>
      <w:textAlignment w:val="baseline"/>
    </w:pPr>
    <w:rPr>
      <w:kern w:val="44"/>
      <w:sz w:val="24"/>
    </w:rPr>
  </w:style>
  <w:style w:type="paragraph" w:customStyle="1" w:styleId="672">
    <w:name w:val="_Style 341"/>
    <w:next w:val="1"/>
    <w:unhideWhenUsed/>
    <w:uiPriority w:val="99"/>
    <w:pPr>
      <w:widowControl w:val="0"/>
      <w:jc w:val="both"/>
    </w:pPr>
    <w:rPr>
      <w:kern w:val="2"/>
      <w:sz w:val="21"/>
      <w:szCs w:val="24"/>
      <w:lang w:val="en-US" w:eastAsia="zh-CN" w:bidi="ar-SA"/>
    </w:rPr>
  </w:style>
  <w:style w:type="paragraph" w:customStyle="1" w:styleId="673">
    <w:name w:val="xl512"/>
    <w:basedOn w:val="1"/>
    <w:qFormat/>
    <w:uiPriority w:val="0"/>
    <w:pPr>
      <w:widowControl/>
      <w:spacing w:before="100" w:beforeAutospacing="1" w:after="100" w:afterAutospacing="1"/>
    </w:pPr>
    <w:rPr>
      <w:rFonts w:ascii="宋体" w:hAnsi="宋体" w:cs="宋体"/>
      <w:kern w:val="0"/>
      <w:sz w:val="24"/>
    </w:rPr>
  </w:style>
  <w:style w:type="paragraph" w:customStyle="1" w:styleId="674">
    <w:name w:val="Normal Indent1"/>
    <w:basedOn w:val="1"/>
    <w:qFormat/>
    <w:uiPriority w:val="0"/>
    <w:pPr>
      <w:ind w:firstLine="420" w:firstLineChars="200"/>
    </w:pPr>
  </w:style>
  <w:style w:type="paragraph" w:customStyle="1" w:styleId="675">
    <w:name w:val="样式 标题 4正文四级标题 + 宋体 小五 行距: 固定值 12 磅"/>
    <w:basedOn w:val="8"/>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676">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677">
    <w:name w:val="附录图标题"/>
    <w:basedOn w:val="1"/>
    <w:next w:val="257"/>
    <w:qFormat/>
    <w:uiPriority w:val="0"/>
    <w:pPr>
      <w:tabs>
        <w:tab w:val="left" w:pos="363"/>
      </w:tabs>
      <w:spacing w:beforeLines="50" w:afterLines="50"/>
      <w:jc w:val="center"/>
    </w:pPr>
    <w:rPr>
      <w:rFonts w:ascii="黑体" w:eastAsia="黑体"/>
      <w:szCs w:val="21"/>
    </w:rPr>
  </w:style>
  <w:style w:type="paragraph" w:customStyle="1" w:styleId="678">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679">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color w:val="000000"/>
      <w:kern w:val="0"/>
      <w:sz w:val="20"/>
      <w:szCs w:val="20"/>
    </w:rPr>
  </w:style>
  <w:style w:type="paragraph" w:customStyle="1" w:styleId="68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681">
    <w:name w:val="正文正"/>
    <w:basedOn w:val="1"/>
    <w:qFormat/>
    <w:uiPriority w:val="0"/>
    <w:pPr>
      <w:spacing w:line="560" w:lineRule="exact"/>
      <w:ind w:firstLine="561"/>
    </w:pPr>
    <w:rPr>
      <w:rFonts w:ascii="Calibri" w:hAnsi="Calibri" w:eastAsia="仿宋_GB2312" w:cs="Times New Roman"/>
      <w:sz w:val="28"/>
    </w:rPr>
  </w:style>
  <w:style w:type="paragraph" w:customStyle="1" w:styleId="6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3">
    <w:name w:val="正文5"/>
    <w:qFormat/>
    <w:uiPriority w:val="0"/>
    <w:pPr>
      <w:widowControl w:val="0"/>
      <w:jc w:val="both"/>
    </w:pPr>
    <w:rPr>
      <w:kern w:val="2"/>
      <w:sz w:val="21"/>
      <w:lang w:val="en-US" w:eastAsia="zh-CN" w:bidi="ar-SA"/>
    </w:rPr>
  </w:style>
  <w:style w:type="paragraph" w:customStyle="1" w:styleId="684">
    <w:name w:val="国正文"/>
    <w:basedOn w:val="1"/>
    <w:qFormat/>
    <w:uiPriority w:val="0"/>
    <w:pPr>
      <w:widowControl/>
      <w:numPr>
        <w:ilvl w:val="5"/>
        <w:numId w:val="19"/>
      </w:numPr>
      <w:spacing w:line="360" w:lineRule="auto"/>
      <w:ind w:right="34" w:rightChars="16" w:firstLine="566" w:firstLineChars="236"/>
      <w:jc w:val="left"/>
    </w:pPr>
    <w:rPr>
      <w:rFonts w:ascii="黑体" w:hAnsi="宋体" w:cs="宋体"/>
      <w:kern w:val="0"/>
      <w:sz w:val="24"/>
    </w:rPr>
  </w:style>
  <w:style w:type="paragraph" w:customStyle="1" w:styleId="68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686">
    <w:name w:val="图片"/>
    <w:basedOn w:val="1"/>
    <w:qFormat/>
    <w:uiPriority w:val="0"/>
    <w:pPr>
      <w:adjustRightInd w:val="0"/>
      <w:spacing w:line="300" w:lineRule="auto"/>
      <w:jc w:val="center"/>
      <w:textAlignment w:val="baseline"/>
    </w:pPr>
    <w:rPr>
      <w:rFonts w:ascii="Times New Roman" w:hAnsi="宋体"/>
      <w:kern w:val="0"/>
      <w:sz w:val="24"/>
    </w:rPr>
  </w:style>
  <w:style w:type="paragraph" w:customStyle="1" w:styleId="68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688">
    <w:name w:val="封面落款"/>
    <w:basedOn w:val="1"/>
    <w:qFormat/>
    <w:uiPriority w:val="0"/>
    <w:pPr>
      <w:adjustRightInd w:val="0"/>
      <w:spacing w:line="300" w:lineRule="auto"/>
      <w:jc w:val="center"/>
      <w:textAlignment w:val="baseline"/>
    </w:pPr>
    <w:rPr>
      <w:rFonts w:ascii="Times New Roman" w:hAnsi="Times New Roman"/>
      <w:spacing w:val="10"/>
      <w:kern w:val="0"/>
      <w:sz w:val="30"/>
      <w:szCs w:val="20"/>
    </w:rPr>
  </w:style>
  <w:style w:type="paragraph" w:customStyle="1" w:styleId="689">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69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691">
    <w:name w:val="正文段"/>
    <w:basedOn w:val="1"/>
    <w:qFormat/>
    <w:uiPriority w:val="0"/>
    <w:pPr>
      <w:widowControl/>
      <w:snapToGrid w:val="0"/>
      <w:spacing w:after="156" w:afterLines="50"/>
      <w:ind w:firstLine="200" w:firstLineChars="200"/>
    </w:pPr>
    <w:rPr>
      <w:kern w:val="0"/>
      <w:sz w:val="24"/>
      <w:szCs w:val="20"/>
    </w:rPr>
  </w:style>
  <w:style w:type="paragraph" w:customStyle="1" w:styleId="692">
    <w:name w:val="_Style 125"/>
    <w:basedOn w:val="1"/>
    <w:uiPriority w:val="0"/>
    <w:rPr>
      <w:rFonts w:ascii="Times New Roman" w:hAnsi="Times New Roman"/>
    </w:rPr>
  </w:style>
  <w:style w:type="paragraph" w:customStyle="1" w:styleId="693">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95">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96">
    <w:name w:val="blockquote"/>
    <w:basedOn w:val="1"/>
    <w:qFormat/>
    <w:uiPriority w:val="0"/>
    <w:pPr>
      <w:widowControl/>
      <w:spacing w:before="100" w:beforeAutospacing="1" w:after="100" w:afterAutospacing="1"/>
      <w:jc w:val="left"/>
    </w:pPr>
    <w:rPr>
      <w:rFonts w:ascii="宋体" w:hAnsi="宋体"/>
    </w:rPr>
  </w:style>
  <w:style w:type="paragraph" w:customStyle="1" w:styleId="6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698">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99">
    <w:name w:val="列出段落4"/>
    <w:basedOn w:val="1"/>
    <w:qFormat/>
    <w:uiPriority w:val="0"/>
    <w:pPr>
      <w:ind w:firstLine="420" w:firstLineChars="200"/>
    </w:pPr>
  </w:style>
  <w:style w:type="paragraph" w:customStyle="1" w:styleId="700">
    <w:name w:val="第一章"/>
    <w:basedOn w:val="1"/>
    <w:next w:val="607"/>
    <w:qFormat/>
    <w:uiPriority w:val="0"/>
    <w:pPr>
      <w:keepNext/>
      <w:keepLines/>
      <w:numPr>
        <w:ilvl w:val="2"/>
        <w:numId w:val="2"/>
      </w:numPr>
      <w:spacing w:beforeLines="50" w:afterLines="50" w:line="360" w:lineRule="auto"/>
      <w:ind w:left="0" w:firstLine="0"/>
      <w:outlineLvl w:val="0"/>
    </w:pPr>
    <w:rPr>
      <w:rFonts w:ascii="黑体" w:hAnsi="黑体" w:eastAsia="黑体"/>
      <w:bCs/>
      <w:kern w:val="44"/>
      <w:sz w:val="32"/>
      <w:szCs w:val="32"/>
    </w:rPr>
  </w:style>
  <w:style w:type="paragraph" w:customStyle="1" w:styleId="701">
    <w:name w:val="样式 行距: 固定值 27 磅"/>
    <w:basedOn w:val="1"/>
    <w:qFormat/>
    <w:uiPriority w:val="0"/>
    <w:pPr>
      <w:spacing w:line="560" w:lineRule="exact"/>
      <w:ind w:firstLine="200" w:firstLineChars="200"/>
    </w:pPr>
    <w:rPr>
      <w:rFonts w:ascii="Times New Roman" w:hAnsi="Times New Roman" w:eastAsia="仿宋_GB2312" w:cs="宋体"/>
      <w:kern w:val="0"/>
      <w:sz w:val="28"/>
      <w:szCs w:val="20"/>
    </w:rPr>
  </w:style>
  <w:style w:type="paragraph" w:customStyle="1" w:styleId="70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3">
    <w:name w:val="Char3"/>
    <w:basedOn w:val="1"/>
    <w:qFormat/>
    <w:uiPriority w:val="0"/>
    <w:rPr>
      <w:rFonts w:ascii="Tahoma" w:hAnsi="Tahoma"/>
      <w:sz w:val="24"/>
      <w:szCs w:val="20"/>
    </w:rPr>
  </w:style>
  <w:style w:type="paragraph" w:customStyle="1" w:styleId="704">
    <w:name w:val="目录0"/>
    <w:basedOn w:val="42"/>
    <w:qFormat/>
    <w:uiPriority w:val="0"/>
    <w:pPr>
      <w:widowControl/>
      <w:tabs>
        <w:tab w:val="left" w:pos="600"/>
        <w:tab w:val="right" w:leader="middleDot" w:pos="8931"/>
      </w:tabs>
      <w:spacing w:before="120" w:line="300" w:lineRule="auto"/>
      <w:ind w:left="0" w:firstLine="0" w:firstLineChars="0"/>
      <w:jc w:val="center"/>
    </w:pPr>
    <w:rPr>
      <w:rFonts w:ascii="Times New Roman" w:hAnsi="Times New Roman" w:eastAsia="黑体" w:cs="Times New Roman"/>
      <w:caps/>
      <w:color w:val="000000"/>
      <w:kern w:val="0"/>
      <w:sz w:val="32"/>
      <w:szCs w:val="28"/>
    </w:rPr>
  </w:style>
  <w:style w:type="paragraph" w:customStyle="1" w:styleId="705">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706">
    <w:name w:val="WPSOffice手动目录 1"/>
    <w:qFormat/>
    <w:uiPriority w:val="0"/>
    <w:rPr>
      <w:lang w:val="en-US" w:eastAsia="zh-CN" w:bidi="ar-SA"/>
    </w:rPr>
  </w:style>
  <w:style w:type="paragraph" w:styleId="707">
    <w:name w:val="No Spacing"/>
    <w:qFormat/>
    <w:uiPriority w:val="1"/>
    <w:pPr>
      <w:widowControl w:val="0"/>
      <w:ind w:firstLine="200" w:firstLineChars="200"/>
      <w:jc w:val="both"/>
    </w:pPr>
    <w:rPr>
      <w:kern w:val="2"/>
      <w:sz w:val="24"/>
      <w:szCs w:val="22"/>
      <w:lang w:val="en-US" w:eastAsia="zh-CN" w:bidi="ar-SA"/>
    </w:rPr>
  </w:style>
  <w:style w:type="paragraph" w:customStyle="1" w:styleId="708">
    <w:name w:val="封面上部"/>
    <w:basedOn w:val="1"/>
    <w:qFormat/>
    <w:uiPriority w:val="0"/>
    <w:pPr>
      <w:autoSpaceDE w:val="0"/>
      <w:autoSpaceDN w:val="0"/>
      <w:adjustRightInd w:val="0"/>
      <w:spacing w:line="312" w:lineRule="atLeast"/>
      <w:jc w:val="center"/>
      <w:textAlignment w:val="baseline"/>
    </w:pPr>
    <w:rPr>
      <w:rFonts w:ascii="黑体" w:hAnsi="Times New Roman" w:eastAsia="黑体"/>
      <w:kern w:val="0"/>
      <w:sz w:val="32"/>
      <w:szCs w:val="20"/>
    </w:rPr>
  </w:style>
  <w:style w:type="paragraph" w:customStyle="1" w:styleId="709">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710">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711">
    <w:name w:val="普通 (Web)"/>
    <w:basedOn w:val="1"/>
    <w:qFormat/>
    <w:uiPriority w:val="0"/>
    <w:pPr>
      <w:widowControl/>
      <w:spacing w:before="100" w:after="100"/>
      <w:jc w:val="left"/>
    </w:pPr>
    <w:rPr>
      <w:rFonts w:ascii="宋体" w:hAnsi="宋体"/>
      <w:kern w:val="0"/>
      <w:sz w:val="24"/>
    </w:rPr>
  </w:style>
  <w:style w:type="paragraph" w:customStyle="1" w:styleId="712">
    <w:name w:val="样式 样式 标题 31.1.1.标题 3H3Bold Headbhh3Heading 3 - oldLevel 3 He... ..."/>
    <w:basedOn w:val="1"/>
    <w:next w:val="1"/>
    <w:qFormat/>
    <w:uiPriority w:val="0"/>
    <w:pPr>
      <w:widowControl/>
      <w:numPr>
        <w:ilvl w:val="0"/>
        <w:numId w:val="20"/>
      </w:numPr>
      <w:tabs>
        <w:tab w:val="left" w:pos="0"/>
        <w:tab w:val="clear" w:pos="987"/>
      </w:tabs>
      <w:snapToGrid w:val="0"/>
      <w:spacing w:before="120" w:line="360" w:lineRule="auto"/>
      <w:ind w:left="0" w:firstLine="0"/>
      <w:jc w:val="left"/>
      <w:outlineLvl w:val="2"/>
    </w:pPr>
    <w:rPr>
      <w:rFonts w:ascii="宋体" w:hAnsi="Times New Roman" w:eastAsia="黑体"/>
      <w:kern w:val="0"/>
      <w:sz w:val="24"/>
    </w:rPr>
  </w:style>
  <w:style w:type="paragraph" w:customStyle="1" w:styleId="713">
    <w:name w:val="内文正文"/>
    <w:basedOn w:val="33"/>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714">
    <w:name w:val="正文 首行缩进:  2 字符 Char"/>
    <w:basedOn w:val="1"/>
    <w:qFormat/>
    <w:uiPriority w:val="0"/>
    <w:pPr>
      <w:spacing w:line="360" w:lineRule="auto"/>
      <w:ind w:firstLine="480"/>
    </w:pPr>
    <w:rPr>
      <w:rFonts w:cs="宋体"/>
      <w:sz w:val="24"/>
      <w:szCs w:val="20"/>
    </w:rPr>
  </w:style>
  <w:style w:type="paragraph" w:customStyle="1" w:styleId="715">
    <w:name w:val="样式 标题 3 + 黑体 小四 非加粗"/>
    <w:basedOn w:val="7"/>
    <w:qFormat/>
    <w:uiPriority w:val="0"/>
    <w:pPr>
      <w:spacing w:line="413" w:lineRule="auto"/>
    </w:pPr>
    <w:rPr>
      <w:rFonts w:ascii="黑体" w:hAnsi="黑体" w:eastAsia="黑体"/>
      <w:b w:val="0"/>
      <w:bCs w:val="0"/>
      <w:kern w:val="0"/>
      <w:sz w:val="24"/>
    </w:rPr>
  </w:style>
  <w:style w:type="paragraph" w:customStyle="1" w:styleId="716">
    <w:name w:val="列出段落2"/>
    <w:basedOn w:val="1"/>
    <w:qFormat/>
    <w:uiPriority w:val="34"/>
    <w:pPr>
      <w:spacing w:line="360" w:lineRule="auto"/>
      <w:ind w:firstLine="420" w:firstLineChars="200"/>
    </w:pPr>
    <w:rPr>
      <w:rFonts w:ascii="Calibri" w:hAnsi="Calibri"/>
      <w:sz w:val="24"/>
      <w:szCs w:val="22"/>
    </w:rPr>
  </w:style>
  <w:style w:type="paragraph" w:customStyle="1" w:styleId="717">
    <w:name w:val="哈哈表格"/>
    <w:basedOn w:val="1"/>
    <w:qFormat/>
    <w:uiPriority w:val="0"/>
    <w:pPr>
      <w:spacing w:line="360" w:lineRule="auto"/>
    </w:pPr>
    <w:rPr>
      <w:rFonts w:ascii="宋体" w:hAnsi="宋体" w:cs="宋体"/>
      <w:sz w:val="24"/>
      <w:szCs w:val="20"/>
    </w:rPr>
  </w:style>
  <w:style w:type="paragraph" w:customStyle="1" w:styleId="718">
    <w:name w:val="@箭头"/>
    <w:basedOn w:val="1"/>
    <w:qFormat/>
    <w:uiPriority w:val="99"/>
    <w:pPr>
      <w:numPr>
        <w:ilvl w:val="0"/>
        <w:numId w:val="21"/>
      </w:numPr>
      <w:spacing w:line="360" w:lineRule="auto"/>
      <w:ind w:firstLine="0"/>
    </w:pPr>
    <w:rPr>
      <w:sz w:val="24"/>
    </w:rPr>
  </w:style>
  <w:style w:type="paragraph" w:customStyle="1" w:styleId="719">
    <w:name w:val="_Style 11"/>
    <w:basedOn w:val="1"/>
    <w:qFormat/>
    <w:uiPriority w:val="0"/>
    <w:pPr>
      <w:tabs>
        <w:tab w:val="left" w:pos="360"/>
      </w:tabs>
    </w:pPr>
    <w:rPr>
      <w:szCs w:val="22"/>
    </w:rPr>
  </w:style>
  <w:style w:type="paragraph" w:customStyle="1" w:styleId="720">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2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722">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723">
    <w:name w:val="一级标题"/>
    <w:basedOn w:val="5"/>
    <w:qFormat/>
    <w:uiPriority w:val="0"/>
    <w:pPr>
      <w:keepLines/>
      <w:pageBreakBefore/>
      <w:tabs>
        <w:tab w:val="left" w:pos="225"/>
        <w:tab w:val="left" w:pos="360"/>
      </w:tabs>
      <w:spacing w:before="340" w:after="330" w:line="360" w:lineRule="auto"/>
    </w:pPr>
    <w:rPr>
      <w:rFonts w:ascii="宋体" w:hAnsi="宋体" w:eastAsia="宋体"/>
      <w:bCs w:val="0"/>
      <w:kern w:val="44"/>
      <w:sz w:val="36"/>
      <w:szCs w:val="44"/>
      <w:lang w:val="en-US" w:eastAsia="zh-CN"/>
    </w:rPr>
  </w:style>
  <w:style w:type="paragraph" w:customStyle="1" w:styleId="724">
    <w:name w:val="List Paragraph1"/>
    <w:basedOn w:val="1"/>
    <w:qFormat/>
    <w:uiPriority w:val="0"/>
    <w:pPr>
      <w:spacing w:line="360" w:lineRule="auto"/>
      <w:ind w:firstLine="420" w:firstLineChars="200"/>
    </w:pPr>
    <w:rPr>
      <w:rFonts w:ascii="Calibri" w:hAnsi="Calibri"/>
      <w:sz w:val="24"/>
      <w:szCs w:val="22"/>
    </w:rPr>
  </w:style>
  <w:style w:type="paragraph" w:customStyle="1" w:styleId="725">
    <w:name w:val="xl14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cs="宋体"/>
      <w:b/>
      <w:bCs/>
      <w:kern w:val="0"/>
      <w:sz w:val="20"/>
      <w:szCs w:val="20"/>
    </w:rPr>
  </w:style>
  <w:style w:type="paragraph" w:customStyle="1" w:styleId="726">
    <w:name w:val="列表段落1"/>
    <w:basedOn w:val="1"/>
    <w:qFormat/>
    <w:uiPriority w:val="34"/>
    <w:pPr>
      <w:adjustRightInd w:val="0"/>
      <w:snapToGrid w:val="0"/>
      <w:spacing w:line="360" w:lineRule="auto"/>
      <w:ind w:firstLine="420" w:firstLineChars="200"/>
      <w:jc w:val="left"/>
    </w:pPr>
    <w:rPr>
      <w:rFonts w:ascii="Times New Roman" w:hAnsi="Times New Roman" w:eastAsia="华文仿宋"/>
      <w:kern w:val="0"/>
      <w:sz w:val="24"/>
    </w:rPr>
  </w:style>
  <w:style w:type="paragraph" w:customStyle="1" w:styleId="727">
    <w:name w:val="图文字"/>
    <w:basedOn w:val="1"/>
    <w:next w:val="1"/>
    <w:qFormat/>
    <w:uiPriority w:val="0"/>
    <w:pPr>
      <w:spacing w:line="360" w:lineRule="auto"/>
      <w:ind w:firstLine="200" w:firstLineChars="200"/>
      <w:jc w:val="center"/>
    </w:pPr>
    <w:rPr>
      <w:rFonts w:ascii="Times New Roman" w:hAnsi="Times New Roman" w:cs="宋体"/>
      <w:color w:val="000000"/>
      <w:sz w:val="18"/>
      <w:szCs w:val="18"/>
    </w:rPr>
  </w:style>
  <w:style w:type="paragraph" w:customStyle="1" w:styleId="728">
    <w:name w:val="样式 样式 小四 首行缩进 +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729">
    <w:name w:val="Char Char3"/>
    <w:basedOn w:val="1"/>
    <w:qFormat/>
    <w:uiPriority w:val="0"/>
    <w:rPr>
      <w:rFonts w:ascii="仿宋_GB2312" w:eastAsia="仿宋_GB2312"/>
      <w:b/>
      <w:sz w:val="32"/>
      <w:szCs w:val="32"/>
    </w:rPr>
  </w:style>
  <w:style w:type="paragraph" w:customStyle="1" w:styleId="7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szCs w:val="20"/>
    </w:rPr>
  </w:style>
  <w:style w:type="paragraph" w:customStyle="1" w:styleId="732">
    <w:name w:val="Char Char Char2 Char11"/>
    <w:basedOn w:val="20"/>
    <w:qFormat/>
    <w:uiPriority w:val="0"/>
    <w:rPr>
      <w:rFonts w:ascii="Tahoma" w:hAnsi="Tahoma"/>
      <w:sz w:val="24"/>
      <w:lang w:val="en-US" w:eastAsia="zh-CN"/>
    </w:rPr>
  </w:style>
  <w:style w:type="paragraph" w:customStyle="1" w:styleId="733">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734">
    <w:name w:val="样式 四号 首行缩进:  1 厘米"/>
    <w:basedOn w:val="1"/>
    <w:qFormat/>
    <w:uiPriority w:val="0"/>
    <w:pPr>
      <w:spacing w:line="440" w:lineRule="exact"/>
      <w:ind w:firstLine="567"/>
    </w:pPr>
    <w:rPr>
      <w:rFonts w:cs="宋体"/>
      <w:sz w:val="28"/>
      <w:szCs w:val="20"/>
    </w:rPr>
  </w:style>
  <w:style w:type="paragraph" w:customStyle="1" w:styleId="735">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3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3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739">
    <w:name w:val="示例"/>
    <w:next w:val="1"/>
    <w:qFormat/>
    <w:uiPriority w:val="0"/>
    <w:pPr>
      <w:tabs>
        <w:tab w:val="left" w:pos="425"/>
        <w:tab w:val="left" w:pos="816"/>
      </w:tabs>
      <w:ind w:left="425" w:firstLine="419" w:firstLineChars="233"/>
      <w:jc w:val="both"/>
    </w:pPr>
    <w:rPr>
      <w:rFonts w:ascii="宋体"/>
      <w:sz w:val="18"/>
      <w:lang w:val="en-US" w:eastAsia="zh-CN" w:bidi="ar-SA"/>
    </w:rPr>
  </w:style>
  <w:style w:type="paragraph" w:customStyle="1" w:styleId="740">
    <w:name w:val="Char"/>
    <w:basedOn w:val="1"/>
    <w:qFormat/>
    <w:uiPriority w:val="0"/>
    <w:pPr>
      <w:widowControl/>
      <w:spacing w:line="400" w:lineRule="exact"/>
      <w:jc w:val="center"/>
    </w:pPr>
    <w:rPr>
      <w:rFonts w:ascii="Verdana" w:hAnsi="Verdana"/>
      <w:kern w:val="0"/>
      <w:szCs w:val="20"/>
      <w:lang w:eastAsia="en-US"/>
    </w:rPr>
  </w:style>
  <w:style w:type="paragraph" w:customStyle="1" w:styleId="741">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742">
    <w:name w:val="Char Char Char2"/>
    <w:basedOn w:val="1"/>
    <w:next w:val="1"/>
    <w:qFormat/>
    <w:uiPriority w:val="0"/>
    <w:pPr>
      <w:shd w:val="clear" w:color="auto" w:fill="000080"/>
    </w:pPr>
    <w:rPr>
      <w:rFonts w:ascii="Tahoma" w:hAnsi="Tahoma"/>
      <w:sz w:val="24"/>
    </w:rPr>
  </w:style>
  <w:style w:type="paragraph" w:customStyle="1" w:styleId="743">
    <w:name w:val="Char Char Char Char Char Char Char Char Char Char Char Char Char Char"/>
    <w:basedOn w:val="1"/>
    <w:qFormat/>
    <w:uiPriority w:val="0"/>
    <w:pPr>
      <w:widowControl/>
      <w:spacing w:after="160" w:line="240" w:lineRule="exact"/>
      <w:jc w:val="left"/>
    </w:pPr>
    <w:rPr>
      <w:bCs/>
    </w:rPr>
  </w:style>
  <w:style w:type="paragraph" w:customStyle="1" w:styleId="74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745">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746">
    <w:name w:val="xl146"/>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textAlignment w:val="bottom"/>
    </w:pPr>
    <w:rPr>
      <w:rFonts w:ascii="宋体" w:hAnsi="宋体" w:cs="宋体"/>
      <w:b/>
      <w:bCs/>
      <w:kern w:val="0"/>
      <w:sz w:val="20"/>
      <w:szCs w:val="20"/>
    </w:rPr>
  </w:style>
  <w:style w:type="paragraph" w:customStyle="1" w:styleId="747">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48">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49">
    <w:name w:val="正文空2格  1."/>
    <w:basedOn w:val="1"/>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50">
    <w:name w:val="列出段落6"/>
    <w:basedOn w:val="1"/>
    <w:qFormat/>
    <w:uiPriority w:val="0"/>
    <w:pPr>
      <w:ind w:firstLine="420" w:firstLineChars="200"/>
    </w:pPr>
  </w:style>
  <w:style w:type="paragraph" w:customStyle="1" w:styleId="751">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752">
    <w:name w:val="标题3"/>
    <w:basedOn w:val="7"/>
    <w:qFormat/>
    <w:uiPriority w:val="0"/>
    <w:pPr>
      <w:numPr>
        <w:ilvl w:val="2"/>
        <w:numId w:val="22"/>
      </w:numPr>
      <w:spacing w:line="416" w:lineRule="auto"/>
      <w:jc w:val="left"/>
    </w:pPr>
    <w:rPr>
      <w:rFonts w:eastAsia="黑体" w:cs="Arial"/>
    </w:rPr>
  </w:style>
  <w:style w:type="paragraph" w:customStyle="1" w:styleId="753">
    <w:name w:val="内文"/>
    <w:qFormat/>
    <w:uiPriority w:val="0"/>
    <w:pPr>
      <w:adjustRightInd w:val="0"/>
      <w:snapToGrid w:val="0"/>
      <w:spacing w:line="400" w:lineRule="exact"/>
      <w:ind w:firstLine="200" w:firstLineChars="200"/>
      <w:jc w:val="both"/>
    </w:pPr>
    <w:rPr>
      <w:rFonts w:ascii="Arial" w:hAnsi="Arial"/>
      <w:kern w:val="2"/>
      <w:sz w:val="21"/>
      <w:lang w:val="en-US" w:eastAsia="zh-CN" w:bidi="ar-SA"/>
    </w:rPr>
  </w:style>
  <w:style w:type="paragraph" w:customStyle="1" w:styleId="754">
    <w:name w:val="表格内容"/>
    <w:basedOn w:val="1"/>
    <w:qFormat/>
    <w:uiPriority w:val="0"/>
    <w:pPr>
      <w:adjustRightInd w:val="0"/>
      <w:jc w:val="left"/>
      <w:textAlignment w:val="baseline"/>
    </w:pPr>
    <w:rPr>
      <w:rFonts w:ascii="Times New Roman" w:hAnsi="宋体"/>
      <w:kern w:val="0"/>
      <w:szCs w:val="20"/>
    </w:rPr>
  </w:style>
  <w:style w:type="paragraph" w:customStyle="1" w:styleId="755">
    <w:name w:val="标题 3H"/>
    <w:basedOn w:val="7"/>
    <w:next w:val="17"/>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756">
    <w:name w:val="正文缩进2文字 Char Char Char Char"/>
    <w:basedOn w:val="1"/>
    <w:qFormat/>
    <w:uiPriority w:val="0"/>
    <w:pPr>
      <w:spacing w:beforeLines="50" w:afterLines="50" w:line="360" w:lineRule="auto"/>
      <w:ind w:firstLine="200" w:firstLineChars="200"/>
    </w:pPr>
    <w:rPr>
      <w:rFonts w:ascii="Times New Roman" w:hAnsi="Times New Roman"/>
      <w:sz w:val="24"/>
    </w:rPr>
  </w:style>
  <w:style w:type="paragraph" w:customStyle="1" w:styleId="757">
    <w:name w:val="Char Char Char Char Char Char Char Char Char Char Char Char Char"/>
    <w:basedOn w:val="1"/>
    <w:qFormat/>
    <w:uiPriority w:val="0"/>
  </w:style>
  <w:style w:type="paragraph" w:customStyle="1" w:styleId="758">
    <w:name w:val="1级"/>
    <w:basedOn w:val="5"/>
    <w:next w:val="2"/>
    <w:qFormat/>
    <w:uiPriority w:val="0"/>
    <w:pPr>
      <w:keepLines/>
      <w:pageBreakBefore/>
      <w:numPr>
        <w:ilvl w:val="0"/>
        <w:numId w:val="3"/>
      </w:numPr>
      <w:spacing w:before="340" w:after="330" w:line="578" w:lineRule="auto"/>
      <w:jc w:val="left"/>
    </w:pPr>
    <w:rPr>
      <w:rFonts w:ascii="Calibri" w:hAnsi="Calibri" w:eastAsia="宋体"/>
      <w:kern w:val="44"/>
      <w:sz w:val="32"/>
      <w:szCs w:val="32"/>
    </w:rPr>
  </w:style>
  <w:style w:type="paragraph" w:customStyle="1" w:styleId="75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760">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61">
    <w:name w:val="table wide"/>
    <w:basedOn w:val="1"/>
    <w:qFormat/>
    <w:uiPriority w:val="0"/>
    <w:pPr>
      <w:keepLines/>
      <w:widowControl/>
      <w:autoSpaceDE w:val="0"/>
      <w:autoSpaceDN w:val="0"/>
      <w:snapToGrid w:val="0"/>
      <w:spacing w:before="40" w:after="40" w:line="288" w:lineRule="auto"/>
      <w:jc w:val="center"/>
      <w:textAlignment w:val="bottom"/>
    </w:pPr>
    <w:rPr>
      <w:rFonts w:ascii="仿宋_GB2312" w:hAnsi="Times New Roman" w:eastAsia="仿宋_GB2312"/>
      <w:sz w:val="24"/>
    </w:rPr>
  </w:style>
  <w:style w:type="paragraph" w:customStyle="1" w:styleId="762">
    <w:name w:val="表格(ALT+T)"/>
    <w:basedOn w:val="1"/>
    <w:qFormat/>
    <w:uiPriority w:val="0"/>
    <w:pPr>
      <w:snapToGrid w:val="0"/>
      <w:jc w:val="center"/>
    </w:pPr>
    <w:rPr>
      <w:rFonts w:ascii="Times New Roman" w:hAnsi="Times New Roman"/>
    </w:rPr>
  </w:style>
  <w:style w:type="paragraph" w:customStyle="1" w:styleId="763">
    <w:name w:val="自加目录"/>
    <w:basedOn w:val="1"/>
    <w:qFormat/>
    <w:uiPriority w:val="0"/>
    <w:pPr>
      <w:tabs>
        <w:tab w:val="left" w:pos="425"/>
      </w:tabs>
      <w:adjustRightInd w:val="0"/>
      <w:spacing w:line="300" w:lineRule="auto"/>
      <w:ind w:left="425" w:hanging="425" w:firstLineChars="200"/>
      <w:jc w:val="left"/>
      <w:textAlignment w:val="baseline"/>
    </w:pPr>
    <w:rPr>
      <w:rFonts w:ascii="Times New Roman" w:hAnsi="Times New Roman" w:eastAsia="仿宋_GB2312"/>
      <w:kern w:val="0"/>
      <w:sz w:val="28"/>
      <w:szCs w:val="20"/>
    </w:rPr>
  </w:style>
  <w:style w:type="paragraph" w:styleId="764">
    <w:name w:val=""/>
    <w:unhideWhenUsed/>
    <w:uiPriority w:val="99"/>
    <w:rPr>
      <w:kern w:val="2"/>
      <w:sz w:val="21"/>
      <w:szCs w:val="24"/>
      <w:lang w:val="en-US" w:eastAsia="zh-CN" w:bidi="ar-SA"/>
    </w:rPr>
  </w:style>
  <w:style w:type="paragraph" w:customStyle="1" w:styleId="765">
    <w:name w:val="列出段落11"/>
    <w:basedOn w:val="1"/>
    <w:qFormat/>
    <w:uiPriority w:val="0"/>
    <w:pPr>
      <w:numPr>
        <w:ilvl w:val="4"/>
        <w:numId w:val="19"/>
      </w:numPr>
      <w:spacing w:line="360" w:lineRule="auto"/>
      <w:ind w:firstLine="420" w:firstLineChars="200"/>
    </w:pPr>
    <w:rPr>
      <w:sz w:val="24"/>
    </w:rPr>
  </w:style>
  <w:style w:type="paragraph" w:customStyle="1" w:styleId="766">
    <w:name w:val="xl124"/>
    <w:basedOn w:val="1"/>
    <w:qFormat/>
    <w:uiPriority w:val="0"/>
    <w:pPr>
      <w:widowControl/>
      <w:shd w:val="clear" w:color="000000" w:fill="FFC000"/>
      <w:spacing w:before="100" w:beforeAutospacing="1" w:after="100" w:afterAutospacing="1"/>
      <w:jc w:val="left"/>
      <w:textAlignment w:val="bottom"/>
    </w:pPr>
    <w:rPr>
      <w:rFonts w:ascii="宋体" w:hAnsi="宋体" w:cs="宋体"/>
      <w:kern w:val="0"/>
      <w:sz w:val="20"/>
      <w:szCs w:val="20"/>
    </w:rPr>
  </w:style>
  <w:style w:type="paragraph" w:customStyle="1" w:styleId="767">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68">
    <w:name w:val="H 4"/>
    <w:basedOn w:val="8"/>
    <w:next w:val="1"/>
    <w:qFormat/>
    <w:uiPriority w:val="0"/>
    <w:pPr>
      <w:spacing w:before="120" w:after="120" w:line="240" w:lineRule="auto"/>
      <w:jc w:val="both"/>
    </w:pPr>
    <w:rPr>
      <w:rFonts w:ascii="宋体" w:hAnsi="宋体" w:cs="Times New Roman"/>
      <w:szCs w:val="24"/>
      <w:lang w:val="zh-CN"/>
    </w:rPr>
  </w:style>
  <w:style w:type="paragraph" w:customStyle="1" w:styleId="7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70">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1">
    <w:name w:val="样式 标题 1H1Heading 0h11heading 1TOC标准章1. heading 1PIM 1h1..."/>
    <w:basedOn w:val="1"/>
    <w:next w:val="1"/>
    <w:qFormat/>
    <w:uiPriority w:val="0"/>
    <w:pPr>
      <w:widowControl/>
      <w:numPr>
        <w:ilvl w:val="0"/>
        <w:numId w:val="10"/>
      </w:numPr>
      <w:snapToGrid w:val="0"/>
      <w:spacing w:before="120" w:line="360" w:lineRule="auto"/>
      <w:ind w:firstLine="0"/>
      <w:jc w:val="left"/>
      <w:outlineLvl w:val="0"/>
    </w:pPr>
    <w:rPr>
      <w:rFonts w:ascii="Times New Roman" w:hAnsi="Times New Roman" w:eastAsia="黑体" w:cs="宋体"/>
      <w:b/>
      <w:kern w:val="0"/>
      <w:sz w:val="30"/>
      <w:szCs w:val="20"/>
    </w:rPr>
  </w:style>
  <w:style w:type="paragraph" w:customStyle="1" w:styleId="772">
    <w:name w:val="附表目录2"/>
    <w:qFormat/>
    <w:uiPriority w:val="0"/>
    <w:pPr>
      <w:widowControl w:val="0"/>
      <w:tabs>
        <w:tab w:val="left" w:pos="1304"/>
      </w:tabs>
      <w:adjustRightInd w:val="0"/>
      <w:spacing w:line="360" w:lineRule="auto"/>
      <w:ind w:left="1304" w:hanging="850"/>
      <w:jc w:val="both"/>
      <w:textAlignment w:val="baseline"/>
    </w:pPr>
    <w:rPr>
      <w:b/>
      <w:bCs/>
      <w:sz w:val="28"/>
      <w:szCs w:val="28"/>
      <w:lang w:val="en-US" w:eastAsia="zh-CN" w:bidi="ar-SA"/>
    </w:rPr>
  </w:style>
  <w:style w:type="paragraph" w:customStyle="1" w:styleId="773">
    <w:name w:val="Item List in Table"/>
    <w:qFormat/>
    <w:uiPriority w:val="0"/>
    <w:pPr>
      <w:tabs>
        <w:tab w:val="left" w:pos="284"/>
        <w:tab w:val="left" w:pos="720"/>
      </w:tabs>
      <w:spacing w:before="40" w:after="40"/>
      <w:ind w:left="720" w:hanging="720"/>
      <w:jc w:val="both"/>
    </w:pPr>
    <w:rPr>
      <w:rFonts w:cs="Arial"/>
      <w:kern w:val="2"/>
      <w:sz w:val="18"/>
      <w:szCs w:val="18"/>
      <w:lang w:val="en-US" w:eastAsia="zh-CN" w:bidi="ar-SA"/>
    </w:rPr>
  </w:style>
  <w:style w:type="paragraph" w:customStyle="1" w:styleId="7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775">
    <w:name w:val="标题 2P"/>
    <w:basedOn w:val="6"/>
    <w:next w:val="17"/>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776">
    <w:name w:val="样式_5"/>
    <w:basedOn w:val="9"/>
    <w:qFormat/>
    <w:uiPriority w:val="0"/>
    <w:pPr>
      <w:keepNext w:val="0"/>
      <w:adjustRightInd w:val="0"/>
      <w:spacing w:line="376" w:lineRule="auto"/>
      <w:textAlignment w:val="baseline"/>
    </w:pPr>
    <w:rPr>
      <w:rFonts w:ascii="宋体" w:hAnsi="宋体"/>
      <w:kern w:val="0"/>
      <w:sz w:val="18"/>
      <w:szCs w:val="18"/>
    </w:rPr>
  </w:style>
  <w:style w:type="paragraph" w:customStyle="1" w:styleId="777">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78">
    <w:name w:val="Char Char Char Char Char1 Char Char Char5 Char Char Char Char"/>
    <w:basedOn w:val="20"/>
    <w:qFormat/>
    <w:uiPriority w:val="0"/>
    <w:rPr>
      <w:rFonts w:ascii="Tahoma" w:hAnsi="Tahoma"/>
      <w:sz w:val="24"/>
      <w:lang w:val="en-US" w:eastAsia="zh-CN"/>
    </w:rPr>
  </w:style>
  <w:style w:type="paragraph" w:customStyle="1" w:styleId="779">
    <w:name w:val="C503-正文格式"/>
    <w:basedOn w:val="1"/>
    <w:qFormat/>
    <w:uiPriority w:val="0"/>
    <w:pPr>
      <w:adjustRightInd w:val="0"/>
      <w:spacing w:line="360" w:lineRule="auto"/>
      <w:ind w:firstLine="480" w:firstLineChars="200"/>
      <w:textAlignment w:val="baseline"/>
    </w:pPr>
    <w:rPr>
      <w:rFonts w:ascii="Times New Roman" w:hAnsi="Times New Roman" w:cs="宋体"/>
      <w:kern w:val="0"/>
      <w:sz w:val="24"/>
      <w:szCs w:val="20"/>
    </w:rPr>
  </w:style>
  <w:style w:type="paragraph" w:customStyle="1" w:styleId="78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81">
    <w:name w:val="xl51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8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783">
    <w:name w:val="样式 四号 行距: 1.5 倍行距"/>
    <w:basedOn w:val="1"/>
    <w:qFormat/>
    <w:uiPriority w:val="0"/>
    <w:pPr>
      <w:spacing w:line="312" w:lineRule="auto"/>
      <w:ind w:firstLine="202" w:firstLineChars="202"/>
    </w:pPr>
    <w:rPr>
      <w:rFonts w:cs="宋体"/>
      <w:sz w:val="24"/>
      <w:szCs w:val="20"/>
    </w:rPr>
  </w:style>
  <w:style w:type="paragraph" w:customStyle="1" w:styleId="78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785">
    <w:name w:val="修订1"/>
    <w:qFormat/>
    <w:uiPriority w:val="0"/>
    <w:rPr>
      <w:kern w:val="2"/>
      <w:sz w:val="21"/>
      <w:szCs w:val="24"/>
      <w:lang w:val="en-US" w:eastAsia="zh-CN" w:bidi="ar-SA"/>
    </w:rPr>
  </w:style>
  <w:style w:type="paragraph" w:customStyle="1" w:styleId="786">
    <w:name w:val="Char Char Char Char Char Char"/>
    <w:basedOn w:val="1"/>
    <w:qFormat/>
    <w:uiPriority w:val="0"/>
    <w:rPr>
      <w:rFonts w:ascii="Tahoma" w:hAnsi="Tahoma"/>
      <w:sz w:val="24"/>
      <w:szCs w:val="20"/>
    </w:rPr>
  </w:style>
  <w:style w:type="paragraph" w:customStyle="1" w:styleId="787">
    <w:name w:val="Char Char Char Char Char Char Char1"/>
    <w:basedOn w:val="1"/>
    <w:qFormat/>
    <w:uiPriority w:val="0"/>
    <w:pPr>
      <w:widowControl/>
      <w:spacing w:after="160" w:line="240" w:lineRule="exact"/>
      <w:jc w:val="left"/>
    </w:pPr>
    <w:rPr>
      <w:szCs w:val="20"/>
    </w:rPr>
  </w:style>
  <w:style w:type="paragraph" w:customStyle="1" w:styleId="788">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789">
    <w:name w:val="WPSOffice手动目录 3"/>
    <w:qFormat/>
    <w:uiPriority w:val="0"/>
    <w:pPr>
      <w:ind w:left="400" w:leftChars="400"/>
    </w:pPr>
    <w:rPr>
      <w:lang w:val="en-US" w:eastAsia="zh-CN" w:bidi="ar-SA"/>
    </w:rPr>
  </w:style>
  <w:style w:type="paragraph" w:customStyle="1" w:styleId="790">
    <w:name w:val="四级条标题"/>
    <w:basedOn w:val="573"/>
    <w:next w:val="1"/>
    <w:qFormat/>
    <w:uiPriority w:val="0"/>
    <w:pPr>
      <w:numPr>
        <w:ilvl w:val="5"/>
        <w:numId w:val="11"/>
      </w:numPr>
      <w:tabs>
        <w:tab w:val="clear" w:pos="3000"/>
      </w:tabs>
      <w:outlineLvl w:val="5"/>
    </w:pPr>
  </w:style>
  <w:style w:type="paragraph" w:customStyle="1" w:styleId="791">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9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793">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794">
    <w:name w:val="xl145"/>
    <w:basedOn w:val="1"/>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宋体" w:hAnsi="宋体" w:cs="宋体"/>
      <w:b/>
      <w:bCs/>
      <w:kern w:val="0"/>
      <w:sz w:val="20"/>
      <w:szCs w:val="20"/>
    </w:rPr>
  </w:style>
  <w:style w:type="paragraph" w:customStyle="1" w:styleId="79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796">
    <w:name w:val="BZ_一级标题"/>
    <w:basedOn w:val="5"/>
    <w:next w:val="555"/>
    <w:qFormat/>
    <w:uiPriority w:val="0"/>
    <w:pPr>
      <w:keepLines/>
      <w:widowControl/>
      <w:spacing w:before="120" w:beforeLines="50" w:after="120" w:afterLines="50"/>
      <w:ind w:left="432" w:hanging="432"/>
      <w:jc w:val="both"/>
    </w:pPr>
    <w:rPr>
      <w:rFonts w:ascii="Times New Roman" w:hAnsi="Times New Roman" w:eastAsia="华文中宋"/>
      <w:kern w:val="44"/>
      <w:sz w:val="36"/>
      <w:szCs w:val="36"/>
      <w:lang w:val="en-US" w:eastAsia="zh-CN"/>
    </w:rPr>
  </w:style>
  <w:style w:type="paragraph" w:customStyle="1" w:styleId="797">
    <w:name w:val="1 Char"/>
    <w:basedOn w:val="17"/>
    <w:qFormat/>
    <w:uiPriority w:val="0"/>
    <w:pPr>
      <w:adjustRightInd/>
      <w:spacing w:line="360" w:lineRule="auto"/>
      <w:ind w:firstLine="200" w:firstLineChars="200"/>
      <w:textAlignment w:val="auto"/>
    </w:pPr>
    <w:rPr>
      <w:rFonts w:ascii="仿宋_GB2312"/>
      <w:b/>
      <w:kern w:val="2"/>
      <w:szCs w:val="32"/>
    </w:rPr>
  </w:style>
  <w:style w:type="paragraph" w:customStyle="1" w:styleId="798">
    <w:name w:val="缩正文"/>
    <w:basedOn w:val="2"/>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799">
    <w:name w:val="首行缩进"/>
    <w:basedOn w:val="1"/>
    <w:qFormat/>
    <w:uiPriority w:val="0"/>
    <w:pPr>
      <w:ind w:firstLine="480" w:firstLineChars="200"/>
    </w:pPr>
    <w:rPr>
      <w:lang w:val="zh-CN"/>
    </w:rPr>
  </w:style>
  <w:style w:type="paragraph" w:customStyle="1" w:styleId="800">
    <w:name w:val="保留正文"/>
    <w:basedOn w:val="25"/>
    <w:qFormat/>
    <w:uiPriority w:val="0"/>
    <w:pPr>
      <w:keepNext/>
      <w:spacing w:after="160"/>
    </w:pPr>
    <w:rPr>
      <w:rFonts w:ascii="仿宋_GB2312"/>
      <w:b/>
    </w:rPr>
  </w:style>
  <w:style w:type="paragraph" w:customStyle="1" w:styleId="801">
    <w:name w:val="样式 日期 + 行距: 1.5 倍行距"/>
    <w:basedOn w:val="36"/>
    <w:qFormat/>
    <w:uiPriority w:val="0"/>
    <w:pPr>
      <w:spacing w:line="300" w:lineRule="auto"/>
      <w:ind w:firstLine="480" w:firstLineChars="200"/>
    </w:pPr>
    <w:rPr>
      <w:rFonts w:ascii="Times New Roman" w:hAnsi="Times New Roman"/>
      <w:spacing w:val="0"/>
      <w:kern w:val="0"/>
      <w:lang w:val="en-US" w:eastAsia="zh-CN"/>
    </w:rPr>
  </w:style>
  <w:style w:type="paragraph" w:customStyle="1" w:styleId="802">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803">
    <w:name w:val="!图片题注"/>
    <w:basedOn w:val="18"/>
    <w:next w:val="1"/>
    <w:qFormat/>
    <w:uiPriority w:val="0"/>
    <w:pPr>
      <w:autoSpaceDE/>
      <w:autoSpaceDN/>
      <w:spacing w:after="240" w:line="300" w:lineRule="auto"/>
      <w:ind w:firstLine="200" w:firstLineChars="200"/>
      <w:jc w:val="center"/>
      <w:textAlignment w:val="baseline"/>
    </w:pPr>
    <w:rPr>
      <w:rFonts w:ascii="Times New Roman" w:hAnsi="Times New Roman" w:cs="宋体"/>
      <w:sz w:val="24"/>
      <w:szCs w:val="24"/>
      <w:lang w:val="en-US" w:eastAsia="zh-CN"/>
    </w:rPr>
  </w:style>
  <w:style w:type="paragraph" w:customStyle="1" w:styleId="804">
    <w:name w:val="表格（小四）"/>
    <w:qFormat/>
    <w:uiPriority w:val="0"/>
    <w:pPr>
      <w:spacing w:line="300" w:lineRule="auto"/>
      <w:jc w:val="center"/>
    </w:pPr>
    <w:rPr>
      <w:sz w:val="24"/>
      <w:lang w:val="en-US" w:eastAsia="zh-CN" w:bidi="ar-SA"/>
    </w:rPr>
  </w:style>
  <w:style w:type="paragraph" w:customStyle="1" w:styleId="805">
    <w:name w:val="样式 标题 4 + 非加粗"/>
    <w:basedOn w:val="8"/>
    <w:qFormat/>
    <w:uiPriority w:val="0"/>
    <w:pPr>
      <w:keepNext w:val="0"/>
      <w:tabs>
        <w:tab w:val="left" w:pos="0"/>
      </w:tabs>
      <w:adjustRightInd w:val="0"/>
      <w:textAlignment w:val="baseline"/>
    </w:pPr>
    <w:rPr>
      <w:rFonts w:ascii="Arial" w:hAnsi="Arial" w:eastAsia="黑体"/>
      <w:sz w:val="24"/>
      <w:szCs w:val="20"/>
    </w:rPr>
  </w:style>
  <w:style w:type="paragraph" w:customStyle="1" w:styleId="806">
    <w:name w:val="l标题4"/>
    <w:next w:val="1"/>
    <w:qFormat/>
    <w:uiPriority w:val="0"/>
    <w:pPr>
      <w:keepNext/>
      <w:tabs>
        <w:tab w:val="left" w:pos="851"/>
      </w:tabs>
      <w:spacing w:before="120" w:after="120" w:line="360" w:lineRule="auto"/>
      <w:ind w:left="851" w:hanging="851"/>
      <w:outlineLvl w:val="3"/>
    </w:pPr>
    <w:rPr>
      <w:b/>
      <w:iCs/>
      <w:kern w:val="2"/>
      <w:sz w:val="28"/>
      <w:szCs w:val="28"/>
      <w:lang w:val="en-US" w:eastAsia="zh-CN" w:bidi="ar-SA"/>
    </w:rPr>
  </w:style>
  <w:style w:type="paragraph" w:customStyle="1" w:styleId="807">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809">
    <w:name w:val="xl123"/>
    <w:basedOn w:val="1"/>
    <w:qFormat/>
    <w:uiPriority w:val="0"/>
    <w:pPr>
      <w:widowControl/>
      <w:pBdr>
        <w:left w:val="single" w:color="auto" w:sz="4" w:space="0"/>
        <w:right w:val="single" w:color="auto" w:sz="4" w:space="0"/>
      </w:pBdr>
      <w:shd w:val="clear" w:color="000000" w:fill="FFC000"/>
      <w:spacing w:before="100" w:beforeAutospacing="1" w:after="100" w:afterAutospacing="1"/>
      <w:jc w:val="center"/>
    </w:pPr>
    <w:rPr>
      <w:rFonts w:ascii="宋体" w:hAnsi="宋体" w:cs="宋体"/>
      <w:color w:val="000000"/>
      <w:kern w:val="0"/>
      <w:sz w:val="20"/>
      <w:szCs w:val="20"/>
    </w:rPr>
  </w:style>
  <w:style w:type="paragraph" w:customStyle="1" w:styleId="81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811">
    <w:name w:val="Char Char Char Char Char Char Char Char Char1 Char"/>
    <w:basedOn w:val="1"/>
    <w:qFormat/>
    <w:uiPriority w:val="0"/>
  </w:style>
  <w:style w:type="paragraph" w:customStyle="1" w:styleId="81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813">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b/>
      <w:bCs/>
      <w:kern w:val="0"/>
      <w:sz w:val="20"/>
      <w:szCs w:val="20"/>
    </w:rPr>
  </w:style>
  <w:style w:type="paragraph" w:customStyle="1" w:styleId="814">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8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6">
    <w:name w:val="默认段落字体 Para Char"/>
    <w:basedOn w:val="1"/>
    <w:qFormat/>
    <w:uiPriority w:val="0"/>
    <w:pPr>
      <w:spacing w:before="156" w:beforeLines="50" w:after="156" w:afterLines="50"/>
    </w:pPr>
    <w:rPr>
      <w:rFonts w:ascii="Tahoma" w:hAnsi="Tahoma"/>
      <w:sz w:val="24"/>
      <w:szCs w:val="20"/>
    </w:rPr>
  </w:style>
  <w:style w:type="paragraph" w:customStyle="1" w:styleId="81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szCs w:val="20"/>
    </w:rPr>
  </w:style>
  <w:style w:type="paragraph" w:customStyle="1" w:styleId="818">
    <w:name w:val="文字"/>
    <w:basedOn w:val="1"/>
    <w:qFormat/>
    <w:uiPriority w:val="0"/>
    <w:pPr>
      <w:tabs>
        <w:tab w:val="left" w:pos="8520"/>
      </w:tabs>
      <w:spacing w:line="312" w:lineRule="auto"/>
      <w:ind w:right="-210" w:firstLine="556"/>
    </w:pPr>
    <w:rPr>
      <w:rFonts w:ascii="宋体"/>
      <w:sz w:val="28"/>
      <w:szCs w:val="20"/>
    </w:rPr>
  </w:style>
  <w:style w:type="paragraph" w:customStyle="1" w:styleId="819">
    <w:name w:val="xl125"/>
    <w:basedOn w:val="1"/>
    <w:qFormat/>
    <w:uiPriority w:val="0"/>
    <w:pPr>
      <w:widowControl/>
      <w:shd w:val="clear" w:color="000000" w:fill="FFC000"/>
      <w:spacing w:before="100" w:beforeAutospacing="1" w:after="100" w:afterAutospacing="1"/>
      <w:jc w:val="center"/>
      <w:textAlignment w:val="bottom"/>
    </w:pPr>
    <w:rPr>
      <w:rFonts w:ascii="宋体" w:hAnsi="宋体" w:cs="宋体"/>
      <w:kern w:val="0"/>
      <w:sz w:val="20"/>
      <w:szCs w:val="20"/>
    </w:rPr>
  </w:style>
  <w:style w:type="paragraph" w:customStyle="1" w:styleId="820">
    <w:name w:val="Char1 Char Char Char Char"/>
    <w:basedOn w:val="20"/>
    <w:qFormat/>
    <w:uiPriority w:val="0"/>
    <w:rPr>
      <w:rFonts w:ascii="Tahoma" w:hAnsi="Tahoma" w:cs="Tahoma"/>
      <w:kern w:val="0"/>
      <w:sz w:val="18"/>
    </w:rPr>
  </w:style>
  <w:style w:type="paragraph" w:customStyle="1" w:styleId="821">
    <w:name w:val="表格文字加粗"/>
    <w:basedOn w:val="624"/>
    <w:qFormat/>
    <w:uiPriority w:val="0"/>
    <w:pPr>
      <w:spacing w:line="240" w:lineRule="auto"/>
    </w:pPr>
    <w:rPr>
      <w:rFonts w:ascii="宋体" w:hAnsi="宋体" w:cs="宋体"/>
      <w:b/>
      <w:bCs/>
      <w:sz w:val="18"/>
      <w:szCs w:val="18"/>
    </w:rPr>
  </w:style>
  <w:style w:type="paragraph" w:customStyle="1" w:styleId="822">
    <w:name w:val="xl115"/>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823">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824">
    <w:name w:val="Char Char Char Char Char Char Char Char Char Char Char Char Char1"/>
    <w:basedOn w:val="1"/>
    <w:qFormat/>
    <w:uiPriority w:val="0"/>
    <w:rPr>
      <w:rFonts w:ascii="Tahoma" w:hAnsi="Tahoma"/>
      <w:sz w:val="24"/>
      <w:szCs w:val="20"/>
    </w:rPr>
  </w:style>
  <w:style w:type="paragraph" w:customStyle="1" w:styleId="825">
    <w:name w:val="列表段落2"/>
    <w:basedOn w:val="1"/>
    <w:qFormat/>
    <w:uiPriority w:val="34"/>
    <w:pPr>
      <w:spacing w:line="360" w:lineRule="auto"/>
      <w:ind w:firstLine="420" w:firstLineChars="200"/>
    </w:pPr>
    <w:rPr>
      <w:rFonts w:ascii="Times New Roman" w:hAnsi="Times New Roman"/>
      <w:sz w:val="24"/>
    </w:rPr>
  </w:style>
  <w:style w:type="paragraph" w:customStyle="1" w:styleId="826">
    <w:name w:val="xl5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27">
    <w:name w:val="p1"/>
    <w:basedOn w:val="1"/>
    <w:qFormat/>
    <w:uiPriority w:val="0"/>
    <w:pPr>
      <w:adjustRightInd w:val="0"/>
      <w:spacing w:line="300" w:lineRule="auto"/>
      <w:ind w:firstLine="480" w:firstLineChars="200"/>
      <w:jc w:val="left"/>
      <w:textAlignment w:val="baseline"/>
    </w:pPr>
    <w:rPr>
      <w:rFonts w:ascii="pingfang sc" w:hAnsi="pingfang sc" w:eastAsia="pingfang sc"/>
      <w:color w:val="000000"/>
      <w:kern w:val="0"/>
      <w:sz w:val="28"/>
      <w:szCs w:val="28"/>
    </w:rPr>
  </w:style>
  <w:style w:type="paragraph" w:customStyle="1" w:styleId="828">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829">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830">
    <w:name w:val="标题2"/>
    <w:basedOn w:val="6"/>
    <w:qFormat/>
    <w:uiPriority w:val="0"/>
    <w:pPr>
      <w:numPr>
        <w:ilvl w:val="1"/>
        <w:numId w:val="22"/>
      </w:numPr>
      <w:spacing w:before="240" w:after="240" w:line="360" w:lineRule="auto"/>
    </w:pPr>
    <w:rPr>
      <w:rFonts w:ascii="Times New Roman" w:hAnsi="Times New Roman"/>
      <w:sz w:val="36"/>
    </w:rPr>
  </w:style>
  <w:style w:type="paragraph" w:customStyle="1" w:styleId="83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83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833">
    <w:name w:val="BZ_六级标题"/>
    <w:basedOn w:val="10"/>
    <w:next w:val="555"/>
    <w:qFormat/>
    <w:uiPriority w:val="0"/>
    <w:pPr>
      <w:widowControl/>
      <w:spacing w:before="0" w:beforeLines="50" w:after="0" w:afterLines="50" w:line="240" w:lineRule="auto"/>
      <w:ind w:left="1134" w:hanging="1134"/>
    </w:pPr>
    <w:rPr>
      <w:rFonts w:ascii="Times New Roman" w:hAnsi="Times New Roman"/>
      <w:b w:val="0"/>
      <w:lang w:val="en-US" w:eastAsia="zh-CN"/>
    </w:rPr>
  </w:style>
  <w:style w:type="paragraph" w:customStyle="1" w:styleId="834">
    <w:name w:val="题目3"/>
    <w:next w:val="1"/>
    <w:qFormat/>
    <w:uiPriority w:val="0"/>
    <w:pPr>
      <w:adjustRightInd w:val="0"/>
      <w:snapToGrid w:val="0"/>
      <w:spacing w:line="288" w:lineRule="auto"/>
      <w:ind w:firstLine="840" w:firstLineChars="300"/>
    </w:pPr>
    <w:rPr>
      <w:kern w:val="2"/>
      <w:sz w:val="28"/>
      <w:szCs w:val="28"/>
      <w:lang w:val="en-US" w:eastAsia="zh-CN" w:bidi="ar-SA"/>
    </w:rPr>
  </w:style>
  <w:style w:type="paragraph" w:customStyle="1" w:styleId="835">
    <w:name w:val="Char Char Char Char11"/>
    <w:basedOn w:val="20"/>
    <w:qFormat/>
    <w:uiPriority w:val="0"/>
    <w:rPr>
      <w:rFonts w:ascii="Tahoma" w:hAnsi="Tahoma"/>
      <w:sz w:val="24"/>
    </w:rPr>
  </w:style>
  <w:style w:type="paragraph" w:customStyle="1" w:styleId="836">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837">
    <w:name w:val="样式 标题 2 + 居中"/>
    <w:basedOn w:val="6"/>
    <w:qFormat/>
    <w:uiPriority w:val="0"/>
    <w:pPr>
      <w:spacing w:before="100" w:beforeLines="50" w:beforeAutospacing="1" w:after="100" w:afterLines="50" w:afterAutospacing="1" w:line="360" w:lineRule="auto"/>
      <w:jc w:val="center"/>
    </w:pPr>
    <w:rPr>
      <w:rFonts w:cs="宋体"/>
      <w:szCs w:val="20"/>
    </w:rPr>
  </w:style>
  <w:style w:type="paragraph" w:customStyle="1" w:styleId="83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839">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8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41">
    <w:name w:val="_Style 33"/>
    <w:basedOn w:val="1"/>
    <w:qFormat/>
    <w:uiPriority w:val="0"/>
  </w:style>
  <w:style w:type="paragraph" w:customStyle="1" w:styleId="842">
    <w:name w:val="默认段落字体 Para Char Char Char Char Char Char Char Char Char1 Char Char Char Char Char Char Char"/>
    <w:basedOn w:val="20"/>
    <w:qFormat/>
    <w:uiPriority w:val="0"/>
    <w:rPr>
      <w:rFonts w:ascii="Tahoma" w:hAnsi="Tahoma"/>
      <w:sz w:val="24"/>
    </w:rPr>
  </w:style>
  <w:style w:type="paragraph" w:customStyle="1" w:styleId="843">
    <w:name w:val="图注(ALT+G)"/>
    <w:basedOn w:val="1"/>
    <w:next w:val="362"/>
    <w:qFormat/>
    <w:uiPriority w:val="0"/>
    <w:pPr>
      <w:snapToGrid w:val="0"/>
      <w:spacing w:line="360" w:lineRule="auto"/>
      <w:jc w:val="center"/>
    </w:pPr>
    <w:rPr>
      <w:rFonts w:ascii="Times New Roman" w:hAnsi="Times New Roman" w:cs="Arial"/>
      <w:b/>
      <w:szCs w:val="21"/>
    </w:rPr>
  </w:style>
  <w:style w:type="paragraph" w:customStyle="1" w:styleId="844">
    <w:name w:val="列出段落3"/>
    <w:basedOn w:val="1"/>
    <w:qFormat/>
    <w:uiPriority w:val="34"/>
    <w:pPr>
      <w:spacing w:line="360" w:lineRule="auto"/>
      <w:ind w:firstLine="420" w:firstLineChars="200"/>
    </w:pPr>
    <w:rPr>
      <w:rFonts w:ascii="Calibri" w:hAnsi="Calibri"/>
      <w:sz w:val="24"/>
      <w:szCs w:val="22"/>
    </w:rPr>
  </w:style>
  <w:style w:type="paragraph" w:customStyle="1" w:styleId="845">
    <w:name w:val="1"/>
    <w:basedOn w:val="1"/>
    <w:qFormat/>
    <w:uiPriority w:val="0"/>
  </w:style>
  <w:style w:type="paragraph" w:customStyle="1" w:styleId="846">
    <w:name w:val="样式6"/>
    <w:basedOn w:val="18"/>
    <w:qFormat/>
    <w:uiPriority w:val="0"/>
    <w:pPr>
      <w:keepNext/>
      <w:autoSpaceDE/>
      <w:autoSpaceDN/>
      <w:adjustRightInd/>
      <w:jc w:val="center"/>
    </w:pPr>
    <w:rPr>
      <w:rFonts w:ascii="宋体" w:hAnsi="宋体" w:eastAsia="宋体"/>
      <w:kern w:val="2"/>
    </w:rPr>
  </w:style>
  <w:style w:type="paragraph" w:customStyle="1" w:styleId="84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848">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849">
    <w:name w:val="样式 首行缩进:  2 字符"/>
    <w:basedOn w:val="1"/>
    <w:qFormat/>
    <w:uiPriority w:val="0"/>
    <w:pPr>
      <w:widowControl/>
      <w:numPr>
        <w:ilvl w:val="0"/>
        <w:numId w:val="23"/>
      </w:numPr>
    </w:pPr>
    <w:rPr>
      <w:rFonts w:ascii="宋体" w:hAnsi="宋体" w:cs="宋体"/>
      <w:bCs/>
      <w:color w:val="000000"/>
      <w:kern w:val="0"/>
      <w:sz w:val="24"/>
    </w:rPr>
  </w:style>
  <w:style w:type="paragraph" w:customStyle="1" w:styleId="850">
    <w:name w:val="Char Char Char Char3"/>
    <w:basedOn w:val="20"/>
    <w:qFormat/>
    <w:uiPriority w:val="0"/>
    <w:rPr>
      <w:rFonts w:ascii="Cambria" w:hAnsi="Cambria" w:eastAsia="仿宋_GB2312" w:cs="新宋体"/>
      <w:sz w:val="24"/>
    </w:rPr>
  </w:style>
  <w:style w:type="paragraph" w:customStyle="1" w:styleId="8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2">
    <w:name w:val="Compact"/>
    <w:basedOn w:val="25"/>
    <w:qFormat/>
    <w:uiPriority w:val="0"/>
    <w:pPr>
      <w:widowControl/>
      <w:spacing w:before="36" w:after="36"/>
      <w:jc w:val="left"/>
    </w:pPr>
    <w:rPr>
      <w:rFonts w:ascii="Calibri" w:hAnsi="Calibri" w:eastAsia="阿里巴巴普惠体 L" w:cs="Times New Roman"/>
      <w:kern w:val="0"/>
      <w:sz w:val="24"/>
      <w:lang w:val="en-US" w:eastAsia="en-US"/>
    </w:rPr>
  </w:style>
  <w:style w:type="paragraph" w:customStyle="1" w:styleId="853">
    <w:name w:val="正文111"/>
    <w:basedOn w:val="1"/>
    <w:qFormat/>
    <w:uiPriority w:val="0"/>
    <w:pPr>
      <w:spacing w:after="156" w:line="360" w:lineRule="auto"/>
      <w:ind w:firstLine="480" w:firstLineChars="200"/>
    </w:pPr>
    <w:rPr>
      <w:rFonts w:ascii="华文细黑" w:hAnsi="华文细黑" w:eastAsia="华文细黑" w:cs="宋体"/>
      <w:sz w:val="24"/>
      <w:szCs w:val="20"/>
    </w:rPr>
  </w:style>
  <w:style w:type="paragraph" w:customStyle="1" w:styleId="854">
    <w:name w:val="Blockquote"/>
    <w:basedOn w:val="1"/>
    <w:qFormat/>
    <w:uiPriority w:val="0"/>
    <w:pPr>
      <w:autoSpaceDE w:val="0"/>
      <w:autoSpaceDN w:val="0"/>
      <w:spacing w:before="100" w:after="100"/>
      <w:ind w:left="360" w:right="360"/>
      <w:jc w:val="left"/>
    </w:pPr>
    <w:rPr>
      <w:szCs w:val="20"/>
    </w:rPr>
  </w:style>
  <w:style w:type="paragraph" w:customStyle="1" w:styleId="855">
    <w:name w:val="表格正文"/>
    <w:basedOn w:val="17"/>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856">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857">
    <w:name w:val="招标文件－标准正文"/>
    <w:basedOn w:val="33"/>
    <w:qFormat/>
    <w:uiPriority w:val="0"/>
    <w:pPr>
      <w:spacing w:line="360" w:lineRule="auto"/>
    </w:pPr>
    <w:rPr>
      <w:rFonts w:ascii="Times New Roman" w:hAnsi="Times New Roman" w:cs="宋体"/>
      <w:color w:val="000000"/>
      <w:sz w:val="24"/>
    </w:rPr>
  </w:style>
  <w:style w:type="paragraph" w:customStyle="1" w:styleId="858">
    <w:name w:val="列出段落5"/>
    <w:basedOn w:val="1"/>
    <w:qFormat/>
    <w:uiPriority w:val="34"/>
    <w:pPr>
      <w:ind w:firstLine="420" w:firstLineChars="200"/>
    </w:pPr>
  </w:style>
  <w:style w:type="paragraph" w:customStyle="1" w:styleId="859">
    <w:name w:val="Char1 Char Char Char Char Char"/>
    <w:basedOn w:val="1"/>
    <w:uiPriority w:val="0"/>
    <w:rPr>
      <w:rFonts w:ascii="Tahoma" w:hAnsi="Tahoma" w:eastAsia="Times New Roman"/>
      <w:kern w:val="0"/>
      <w:sz w:val="24"/>
      <w:szCs w:val="20"/>
    </w:rPr>
  </w:style>
  <w:style w:type="paragraph" w:customStyle="1" w:styleId="860">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861">
    <w:name w:val="&quot;舟式样--正文&quot;"/>
    <w:basedOn w:val="1"/>
    <w:qFormat/>
    <w:uiPriority w:val="0"/>
    <w:pPr>
      <w:ind w:firstLine="200" w:firstLineChars="200"/>
    </w:pPr>
    <w:rPr>
      <w:rFonts w:ascii="仿宋_GB2312" w:eastAsia="仿宋_GB2312"/>
      <w:sz w:val="28"/>
      <w:szCs w:val="22"/>
    </w:rPr>
  </w:style>
  <w:style w:type="paragraph" w:customStyle="1" w:styleId="862">
    <w:name w:val="样式 样式 样式 正文缩进 + 首行缩进:  2 字符 + (西文) 宋体 + 首行缩进:  2 字符"/>
    <w:basedOn w:val="1"/>
    <w:qFormat/>
    <w:uiPriority w:val="0"/>
    <w:pPr>
      <w:numPr>
        <w:ilvl w:val="2"/>
        <w:numId w:val="24"/>
      </w:numPr>
      <w:adjustRightInd w:val="0"/>
      <w:spacing w:line="360" w:lineRule="auto"/>
      <w:ind w:left="0" w:firstLine="480" w:firstLineChars="200"/>
      <w:textAlignment w:val="baseline"/>
    </w:pPr>
    <w:rPr>
      <w:rFonts w:ascii="宋体" w:hAnsi="宋体" w:cs="宋体"/>
      <w:sz w:val="24"/>
      <w:szCs w:val="20"/>
    </w:rPr>
  </w:style>
  <w:style w:type="paragraph" w:customStyle="1" w:styleId="863">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864">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865">
    <w:name w:val="Char11"/>
    <w:basedOn w:val="1"/>
    <w:qFormat/>
    <w:uiPriority w:val="0"/>
    <w:rPr>
      <w:rFonts w:ascii="Tahoma" w:hAnsi="Tahoma"/>
      <w:sz w:val="24"/>
      <w:szCs w:val="20"/>
    </w:rPr>
  </w:style>
  <w:style w:type="paragraph" w:customStyle="1" w:styleId="866">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867">
    <w:name w:val="Char1 Char Char Char"/>
    <w:basedOn w:val="1"/>
    <w:qFormat/>
    <w:uiPriority w:val="0"/>
    <w:rPr>
      <w:szCs w:val="20"/>
    </w:rPr>
  </w:style>
  <w:style w:type="paragraph" w:customStyle="1" w:styleId="868">
    <w:name w:val="Char Char Char2 Char"/>
    <w:basedOn w:val="20"/>
    <w:qFormat/>
    <w:uiPriority w:val="0"/>
    <w:rPr>
      <w:rFonts w:ascii="Tahoma" w:hAnsi="Tahoma"/>
      <w:sz w:val="24"/>
      <w:lang w:val="en-US" w:eastAsia="zh-CN"/>
    </w:rPr>
  </w:style>
  <w:style w:type="paragraph" w:customStyle="1" w:styleId="869">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870">
    <w:name w:val="1.1.1 多级符号"/>
    <w:basedOn w:val="1"/>
    <w:qFormat/>
    <w:uiPriority w:val="0"/>
    <w:pPr>
      <w:widowControl/>
      <w:numPr>
        <w:ilvl w:val="2"/>
        <w:numId w:val="0"/>
      </w:numPr>
      <w:shd w:val="clear" w:color="auto" w:fill="F9F9F9"/>
      <w:tabs>
        <w:tab w:val="left" w:pos="567"/>
      </w:tabs>
      <w:spacing w:line="360" w:lineRule="auto"/>
      <w:ind w:left="680"/>
      <w:jc w:val="left"/>
      <w:outlineLvl w:val="2"/>
    </w:pPr>
    <w:rPr>
      <w:kern w:val="0"/>
      <w:sz w:val="24"/>
      <w:szCs w:val="22"/>
      <w:lang w:eastAsia="en-US" w:bidi="en-US"/>
    </w:rPr>
  </w:style>
  <w:style w:type="paragraph" w:customStyle="1" w:styleId="871">
    <w:name w:val="Table Heading"/>
    <w:qFormat/>
    <w:uiPriority w:val="0"/>
    <w:pPr>
      <w:keepNext/>
      <w:snapToGrid w:val="0"/>
      <w:spacing w:before="80" w:after="80"/>
      <w:jc w:val="center"/>
    </w:pPr>
    <w:rPr>
      <w:rFonts w:eastAsia="黑体" w:cs="Arial"/>
      <w:kern w:val="2"/>
      <w:sz w:val="18"/>
      <w:szCs w:val="18"/>
      <w:lang w:val="en-US" w:eastAsia="zh-CN" w:bidi="ar-SA"/>
    </w:rPr>
  </w:style>
  <w:style w:type="paragraph" w:customStyle="1" w:styleId="872">
    <w:name w:val="TOC 标题1"/>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873">
    <w:name w:val="a0"/>
    <w:basedOn w:val="1"/>
    <w:qFormat/>
    <w:uiPriority w:val="0"/>
    <w:pPr>
      <w:widowControl/>
      <w:snapToGrid w:val="0"/>
      <w:spacing w:before="60" w:after="60"/>
      <w:ind w:left="11"/>
      <w:jc w:val="center"/>
    </w:pPr>
    <w:rPr>
      <w:rFonts w:ascii="宋体" w:hAnsi="宋体" w:cs="宋体"/>
      <w:kern w:val="0"/>
      <w:szCs w:val="21"/>
    </w:rPr>
  </w:style>
  <w:style w:type="paragraph" w:customStyle="1" w:styleId="8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875">
    <w:name w:val="T 表格正文"/>
    <w:uiPriority w:val="0"/>
    <w:pPr>
      <w:snapToGrid w:val="0"/>
      <w:spacing w:before="60" w:after="60"/>
      <w:ind w:left="11"/>
      <w:jc w:val="center"/>
    </w:pPr>
    <w:rPr>
      <w:sz w:val="21"/>
      <w:lang w:val="en-US" w:eastAsia="zh-CN" w:bidi="ar-SA"/>
    </w:rPr>
  </w:style>
  <w:style w:type="paragraph" w:customStyle="1" w:styleId="876">
    <w:name w:val="正文new"/>
    <w:basedOn w:val="1"/>
    <w:qFormat/>
    <w:uiPriority w:val="0"/>
    <w:pPr>
      <w:widowControl/>
      <w:tabs>
        <w:tab w:val="left" w:pos="-360"/>
        <w:tab w:val="left" w:pos="900"/>
      </w:tabs>
      <w:spacing w:line="360" w:lineRule="auto"/>
      <w:ind w:firstLine="200" w:firstLineChars="200"/>
      <w:jc w:val="left"/>
    </w:pPr>
    <w:rPr>
      <w:rFonts w:ascii="宋体" w:hAnsi="宋体"/>
      <w:kern w:val="0"/>
      <w:sz w:val="24"/>
    </w:rPr>
  </w:style>
  <w:style w:type="paragraph" w:customStyle="1" w:styleId="877">
    <w:name w:val="样式 标题 5正文四级标题 + 宋体 小五 行距: 固定值 12 磅1"/>
    <w:basedOn w:val="9"/>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87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color w:val="000000"/>
      <w:kern w:val="0"/>
      <w:sz w:val="20"/>
      <w:szCs w:val="20"/>
    </w:rPr>
  </w:style>
  <w:style w:type="paragraph" w:customStyle="1" w:styleId="879">
    <w:name w:val="百姓X"/>
    <w:basedOn w:val="1"/>
    <w:uiPriority w:val="0"/>
    <w:pPr>
      <w:spacing w:before="120" w:after="120" w:line="360" w:lineRule="auto"/>
      <w:ind w:firstLine="540"/>
    </w:pPr>
    <w:rPr>
      <w:rFonts w:ascii="宋体" w:hAnsi="宋体"/>
      <w:sz w:val="24"/>
      <w:szCs w:val="28"/>
    </w:rPr>
  </w:style>
  <w:style w:type="paragraph" w:customStyle="1" w:styleId="88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8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882">
    <w:name w:val="xl5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83">
    <w:name w:val="样式 标题 3正文三级标题 + 小五 左 行距: 固定值 12 磅"/>
    <w:basedOn w:val="7"/>
    <w:qFormat/>
    <w:uiPriority w:val="0"/>
    <w:pPr>
      <w:spacing w:line="240" w:lineRule="exact"/>
      <w:jc w:val="left"/>
    </w:pPr>
    <w:rPr>
      <w:rFonts w:cs="宋体"/>
      <w:sz w:val="18"/>
      <w:szCs w:val="20"/>
    </w:rPr>
  </w:style>
  <w:style w:type="paragraph" w:customStyle="1" w:styleId="884">
    <w:name w:val="小强样式"/>
    <w:basedOn w:val="1"/>
    <w:qFormat/>
    <w:uiPriority w:val="0"/>
    <w:pPr>
      <w:adjustRightInd w:val="0"/>
      <w:spacing w:line="300" w:lineRule="auto"/>
      <w:ind w:firstLine="480" w:firstLineChars="200"/>
      <w:textAlignment w:val="baseline"/>
    </w:pPr>
    <w:rPr>
      <w:rFonts w:ascii="Times New Roman" w:hAnsi="Times New Roman"/>
      <w:kern w:val="0"/>
      <w:sz w:val="24"/>
      <w:szCs w:val="20"/>
    </w:rPr>
  </w:style>
  <w:style w:type="paragraph" w:customStyle="1" w:styleId="885">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886">
    <w:name w:val="编号正文"/>
    <w:basedOn w:val="25"/>
    <w:qFormat/>
    <w:uiPriority w:val="0"/>
    <w:pPr>
      <w:numPr>
        <w:ilvl w:val="0"/>
        <w:numId w:val="12"/>
      </w:numPr>
      <w:adjustRightInd w:val="0"/>
      <w:snapToGrid w:val="0"/>
      <w:spacing w:beforeLines="30" w:after="60" w:line="300" w:lineRule="auto"/>
      <w:jc w:val="left"/>
    </w:pPr>
    <w:rPr>
      <w:rFonts w:ascii="Times New Roman" w:hAnsi="Times New Roman"/>
      <w:kern w:val="0"/>
      <w:sz w:val="24"/>
      <w:szCs w:val="20"/>
    </w:rPr>
  </w:style>
  <w:style w:type="paragraph" w:customStyle="1" w:styleId="887">
    <w:name w:val="Y_五级条标题"/>
    <w:basedOn w:val="653"/>
    <w:next w:val="1"/>
    <w:qFormat/>
    <w:uiPriority w:val="0"/>
    <w:pPr>
      <w:numPr>
        <w:ilvl w:val="0"/>
        <w:numId w:val="19"/>
      </w:numPr>
      <w:outlineLvl w:val="5"/>
    </w:pPr>
  </w:style>
  <w:style w:type="paragraph" w:customStyle="1" w:styleId="888">
    <w:name w:val="方案文档"/>
    <w:basedOn w:val="1"/>
    <w:uiPriority w:val="0"/>
    <w:pPr>
      <w:spacing w:before="120" w:after="120" w:line="360" w:lineRule="auto"/>
      <w:ind w:left="210" w:leftChars="100" w:right="210" w:rightChars="100" w:firstLine="567"/>
    </w:pPr>
    <w:rPr>
      <w:rFonts w:ascii="Arial" w:hAnsi="Arial"/>
      <w:sz w:val="24"/>
    </w:rPr>
  </w:style>
  <w:style w:type="paragraph" w:customStyle="1" w:styleId="889">
    <w:name w:val="正文首行缩进1"/>
    <w:basedOn w:val="25"/>
    <w:uiPriority w:val="99"/>
    <w:pPr>
      <w:suppressAutoHyphens/>
      <w:ind w:firstLine="420"/>
      <w:jc w:val="left"/>
    </w:pPr>
    <w:rPr>
      <w:rFonts w:ascii="等线" w:hAnsi="等线" w:cs="等线"/>
      <w:kern w:val="1"/>
      <w:sz w:val="28"/>
      <w:lang w:val="en-US" w:eastAsia="ar-SA"/>
    </w:rPr>
  </w:style>
  <w:style w:type="paragraph" w:customStyle="1" w:styleId="890">
    <w:name w:val="标题 4P"/>
    <w:basedOn w:val="8"/>
    <w:next w:val="17"/>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891">
    <w:name w:val="注意事项"/>
    <w:basedOn w:val="1"/>
    <w:qFormat/>
    <w:uiPriority w:val="0"/>
    <w:pPr>
      <w:tabs>
        <w:tab w:val="left" w:pos="360"/>
      </w:tabs>
      <w:adjustRightInd w:val="0"/>
      <w:spacing w:before="60" w:after="60" w:line="360" w:lineRule="auto"/>
      <w:ind w:left="360" w:hanging="360" w:firstLineChars="200"/>
      <w:textAlignment w:val="baseline"/>
    </w:pPr>
    <w:rPr>
      <w:rFonts w:ascii="Times New Roman" w:hAnsi="Times New Roman"/>
      <w:b/>
      <w:bCs/>
      <w:kern w:val="0"/>
      <w:sz w:val="24"/>
    </w:rPr>
  </w:style>
  <w:style w:type="paragraph" w:customStyle="1" w:styleId="892">
    <w:name w:val="正文文本 4(ALT+9)"/>
    <w:basedOn w:val="24"/>
    <w:qFormat/>
    <w:uiPriority w:val="0"/>
    <w:pPr>
      <w:tabs>
        <w:tab w:val="left" w:pos="851"/>
      </w:tabs>
      <w:autoSpaceDE/>
      <w:autoSpaceDN/>
      <w:adjustRightInd/>
      <w:spacing w:after="120" w:line="360" w:lineRule="auto"/>
      <w:ind w:left="851" w:hanging="284"/>
      <w:jc w:val="both"/>
    </w:pPr>
    <w:rPr>
      <w:rFonts w:ascii="Times New Roman" w:hAnsi="Times New Roman"/>
      <w:kern w:val="2"/>
      <w:sz w:val="24"/>
      <w:szCs w:val="16"/>
      <w:lang w:val="en-US" w:eastAsia="zh-CN"/>
    </w:rPr>
  </w:style>
  <w:style w:type="paragraph" w:customStyle="1" w:styleId="893">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894">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89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896">
    <w:name w:val="CM106"/>
    <w:basedOn w:val="667"/>
    <w:next w:val="667"/>
    <w:qFormat/>
    <w:uiPriority w:val="0"/>
    <w:rPr>
      <w:rFonts w:cs="Times New Roman"/>
      <w:color w:val="auto"/>
    </w:rPr>
  </w:style>
  <w:style w:type="paragraph" w:customStyle="1" w:styleId="897">
    <w:name w:val="正文 A"/>
    <w:qFormat/>
    <w:uiPriority w:val="0"/>
    <w:pPr>
      <w:widowControl w:val="0"/>
      <w:spacing w:line="360" w:lineRule="auto"/>
      <w:jc w:val="both"/>
    </w:pPr>
    <w:rPr>
      <w:rFonts w:eastAsia="Times New Roman"/>
      <w:color w:val="000000"/>
      <w:kern w:val="2"/>
      <w:sz w:val="24"/>
      <w:szCs w:val="24"/>
      <w:lang w:val="en-US" w:eastAsia="zh-CN" w:bidi="ar-SA"/>
    </w:rPr>
  </w:style>
  <w:style w:type="paragraph" w:customStyle="1" w:styleId="898">
    <w:name w:val="Char1 Char Char Char Char1"/>
    <w:basedOn w:val="20"/>
    <w:qFormat/>
    <w:uiPriority w:val="0"/>
    <w:rPr>
      <w:rFonts w:ascii="Tahoma" w:hAnsi="Tahoma" w:cs="Tahoma"/>
      <w:kern w:val="0"/>
      <w:sz w:val="18"/>
    </w:rPr>
  </w:style>
  <w:style w:type="paragraph" w:customStyle="1" w:styleId="899">
    <w:name w:val="Bulleted List"/>
    <w:basedOn w:val="1"/>
    <w:qFormat/>
    <w:uiPriority w:val="0"/>
    <w:pPr>
      <w:numPr>
        <w:ilvl w:val="1"/>
        <w:numId w:val="25"/>
      </w:numPr>
      <w:tabs>
        <w:tab w:val="left" w:pos="420"/>
      </w:tabs>
    </w:pPr>
  </w:style>
  <w:style w:type="paragraph" w:customStyle="1" w:styleId="900">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901">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90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903">
    <w:name w:val="封面标题"/>
    <w:qFormat/>
    <w:uiPriority w:val="0"/>
    <w:pPr>
      <w:spacing w:line="360" w:lineRule="auto"/>
      <w:jc w:val="center"/>
    </w:pPr>
    <w:rPr>
      <w:b/>
      <w:color w:val="000000"/>
      <w:sz w:val="44"/>
      <w:lang w:val="en-US" w:eastAsia="zh-CN" w:bidi="ar-SA"/>
    </w:rPr>
  </w:style>
  <w:style w:type="paragraph" w:customStyle="1" w:styleId="904">
    <w:name w:val=" Char Char1 Char Char Char"/>
    <w:basedOn w:val="1"/>
    <w:uiPriority w:val="0"/>
    <w:rPr>
      <w:rFonts w:ascii="宋体" w:hAnsi="Times New Roman"/>
      <w:kern w:val="0"/>
      <w:sz w:val="20"/>
      <w:szCs w:val="20"/>
    </w:rPr>
  </w:style>
  <w:style w:type="paragraph" w:customStyle="1" w:styleId="905">
    <w:name w:val="默认段落字体 Para Char Char Char Char Char Char Char Char Char Char Char Char Char Char1"/>
    <w:basedOn w:val="20"/>
    <w:qFormat/>
    <w:uiPriority w:val="0"/>
    <w:rPr>
      <w:rFonts w:ascii="Tahoma" w:hAnsi="Tahoma" w:eastAsia="仿宋_GB2312"/>
      <w:sz w:val="24"/>
      <w:szCs w:val="28"/>
      <w:lang w:val="en-US" w:eastAsia="zh-CN"/>
    </w:rPr>
  </w:style>
  <w:style w:type="paragraph" w:customStyle="1" w:styleId="90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907">
    <w:name w:val="样式 小四 首行缩进:  2 字符"/>
    <w:basedOn w:val="1"/>
    <w:qFormat/>
    <w:uiPriority w:val="0"/>
    <w:pPr>
      <w:spacing w:line="360" w:lineRule="auto"/>
    </w:pPr>
    <w:rPr>
      <w:rFonts w:ascii="Times New Roman" w:hAnsi="Times New Roman" w:cs="宋体"/>
      <w:sz w:val="24"/>
    </w:rPr>
  </w:style>
  <w:style w:type="paragraph" w:customStyle="1" w:styleId="908">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909">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910">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911">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912">
    <w:name w:val="T4"/>
    <w:basedOn w:val="1"/>
    <w:uiPriority w:val="0"/>
    <w:pPr>
      <w:adjustRightInd w:val="0"/>
      <w:spacing w:line="360" w:lineRule="atLeast"/>
    </w:pPr>
    <w:rPr>
      <w:rFonts w:ascii="宋体" w:hAnsi="Times New Roman"/>
      <w:kern w:val="0"/>
      <w:sz w:val="22"/>
      <w:szCs w:val="20"/>
    </w:rPr>
  </w:style>
  <w:style w:type="paragraph" w:customStyle="1" w:styleId="913">
    <w:name w:val="纯文本1"/>
    <w:basedOn w:val="1"/>
    <w:qFormat/>
    <w:uiPriority w:val="0"/>
    <w:pPr>
      <w:adjustRightInd w:val="0"/>
      <w:textAlignment w:val="baseline"/>
    </w:pPr>
    <w:rPr>
      <w:rFonts w:ascii="宋体" w:hAnsi="Courier New" w:eastAsia="楷体_GB2312"/>
      <w:sz w:val="26"/>
      <w:szCs w:val="20"/>
    </w:rPr>
  </w:style>
  <w:style w:type="paragraph" w:customStyle="1" w:styleId="91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915">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16">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917">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918">
    <w:name w:val="正文文字表格居中"/>
    <w:basedOn w:val="1"/>
    <w:next w:val="52"/>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919">
    <w:name w:val="Y_列项◆（三级）"/>
    <w:basedOn w:val="668"/>
    <w:qFormat/>
    <w:uiPriority w:val="0"/>
    <w:pPr>
      <w:numPr>
        <w:ilvl w:val="3"/>
        <w:numId w:val="19"/>
      </w:numPr>
      <w:tabs>
        <w:tab w:val="left" w:pos="1928"/>
      </w:tabs>
      <w:ind w:left="1928" w:hanging="425"/>
    </w:pPr>
  </w:style>
  <w:style w:type="paragraph" w:customStyle="1" w:styleId="92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21">
    <w:name w:val="无间隔1"/>
    <w:qFormat/>
    <w:uiPriority w:val="1"/>
    <w:pPr>
      <w:widowControl w:val="0"/>
      <w:jc w:val="both"/>
    </w:pPr>
    <w:rPr>
      <w:kern w:val="2"/>
      <w:sz w:val="21"/>
      <w:szCs w:val="22"/>
      <w:lang w:val="en-US" w:eastAsia="zh-CN" w:bidi="ar-SA"/>
    </w:rPr>
  </w:style>
  <w:style w:type="paragraph" w:customStyle="1" w:styleId="922">
    <w:name w:val="（空）多级符号"/>
    <w:basedOn w:val="1"/>
    <w:qFormat/>
    <w:uiPriority w:val="99"/>
    <w:pPr>
      <w:widowControl/>
      <w:numPr>
        <w:ilvl w:val="4"/>
        <w:numId w:val="0"/>
      </w:numPr>
      <w:tabs>
        <w:tab w:val="left" w:pos="587"/>
      </w:tabs>
      <w:adjustRightInd w:val="0"/>
      <w:snapToGrid w:val="0"/>
      <w:spacing w:line="360" w:lineRule="auto"/>
      <w:ind w:right="100" w:rightChars="100"/>
      <w:jc w:val="left"/>
    </w:pPr>
    <w:rPr>
      <w:kern w:val="0"/>
      <w:sz w:val="24"/>
      <w:szCs w:val="22"/>
      <w:lang w:eastAsia="en-US" w:bidi="en-US"/>
    </w:rPr>
  </w:style>
  <w:style w:type="paragraph" w:customStyle="1" w:styleId="923">
    <w:name w:val="Style Heading 8 + 黑体 五号 Bold Left:  0.51 cm Hanging:  11.52 ch..."/>
    <w:basedOn w:val="12"/>
    <w:next w:val="17"/>
    <w:qFormat/>
    <w:uiPriority w:val="99"/>
    <w:pPr>
      <w:keepNext/>
      <w:keepLines w:val="0"/>
      <w:widowControl/>
      <w:numPr>
        <w:ilvl w:val="0"/>
        <w:numId w:val="26"/>
      </w:numPr>
      <w:tabs>
        <w:tab w:val="left" w:pos="225"/>
        <w:tab w:val="left" w:pos="680"/>
        <w:tab w:val="left" w:pos="3165"/>
        <w:tab w:val="clear" w:pos="1638"/>
      </w:tabs>
      <w:autoSpaceDE/>
      <w:autoSpaceDN/>
      <w:adjustRightInd/>
      <w:spacing w:before="0" w:beforeLines="50" w:after="0" w:afterLines="50" w:line="240" w:lineRule="auto"/>
      <w:jc w:val="both"/>
    </w:pPr>
    <w:rPr>
      <w:rFonts w:ascii="黑体" w:hAnsi="Tahoma" w:cs="宋体"/>
      <w:bCs/>
      <w:sz w:val="21"/>
      <w:szCs w:val="20"/>
      <w:lang w:val="en-US" w:eastAsia="zh-CN"/>
    </w:rPr>
  </w:style>
  <w:style w:type="paragraph" w:customStyle="1" w:styleId="924">
    <w:name w:val="五级条标题"/>
    <w:basedOn w:val="790"/>
    <w:next w:val="1"/>
    <w:qFormat/>
    <w:uiPriority w:val="0"/>
    <w:pPr>
      <w:numPr>
        <w:ilvl w:val="6"/>
        <w:numId w:val="11"/>
      </w:numPr>
      <w:tabs>
        <w:tab w:val="clear" w:pos="3420"/>
      </w:tabs>
      <w:outlineLvl w:val="6"/>
    </w:pPr>
  </w:style>
  <w:style w:type="paragraph" w:customStyle="1" w:styleId="925">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92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927">
    <w:name w:val="Char Char Char2 Char1"/>
    <w:basedOn w:val="20"/>
    <w:qFormat/>
    <w:uiPriority w:val="0"/>
    <w:rPr>
      <w:rFonts w:ascii="Tahoma" w:hAnsi="Tahoma"/>
      <w:sz w:val="24"/>
      <w:lang w:val="en-US" w:eastAsia="zh-CN"/>
    </w:rPr>
  </w:style>
  <w:style w:type="paragraph" w:customStyle="1" w:styleId="92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929">
    <w:name w:val="样式 样式 样式 小四 首行缩进 + 首行缩进:  2 字符 + 首行缩进:  0 字符"/>
    <w:basedOn w:val="728"/>
    <w:qFormat/>
    <w:uiPriority w:val="0"/>
    <w:pPr>
      <w:ind w:firstLine="0" w:firstLineChars="0"/>
      <w:jc w:val="center"/>
    </w:pPr>
  </w:style>
  <w:style w:type="paragraph" w:customStyle="1" w:styleId="930">
    <w:name w:val="xl144"/>
    <w:basedOn w:val="1"/>
    <w:qFormat/>
    <w:uiPriority w:val="0"/>
    <w:pPr>
      <w:widowControl/>
      <w:pBdr>
        <w:top w:val="single" w:color="auto" w:sz="4" w:space="0"/>
        <w:bottom w:val="single" w:color="auto" w:sz="4" w:space="0"/>
      </w:pBdr>
      <w:shd w:val="clear" w:color="000000" w:fill="FFC000"/>
      <w:spacing w:before="100" w:beforeAutospacing="1" w:after="100" w:afterAutospacing="1"/>
      <w:jc w:val="left"/>
      <w:textAlignment w:val="bottom"/>
    </w:pPr>
    <w:rPr>
      <w:rFonts w:ascii="宋体" w:hAnsi="宋体" w:cs="宋体"/>
      <w:b/>
      <w:bCs/>
      <w:kern w:val="0"/>
      <w:sz w:val="20"/>
      <w:szCs w:val="20"/>
    </w:rPr>
  </w:style>
  <w:style w:type="paragraph" w:customStyle="1" w:styleId="931">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932">
    <w:name w:val="Char Char Char2 Char2"/>
    <w:basedOn w:val="20"/>
    <w:qFormat/>
    <w:uiPriority w:val="0"/>
    <w:rPr>
      <w:rFonts w:ascii="Tahoma" w:hAnsi="Tahoma"/>
      <w:sz w:val="24"/>
      <w:lang w:val="en-US" w:eastAsia="zh-CN"/>
    </w:rPr>
  </w:style>
  <w:style w:type="paragraph" w:customStyle="1" w:styleId="93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9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35">
    <w:name w:val="编号1"/>
    <w:basedOn w:val="1"/>
    <w:qFormat/>
    <w:uiPriority w:val="0"/>
    <w:pPr>
      <w:spacing w:line="360" w:lineRule="auto"/>
      <w:jc w:val="left"/>
    </w:pPr>
    <w:rPr>
      <w:sz w:val="24"/>
    </w:rPr>
  </w:style>
  <w:style w:type="paragraph" w:customStyle="1" w:styleId="93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93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38">
    <w:name w:val="样式 标题 3 + 黑色 段前: 5 磅 段后: 5 磅 行距: 1.5 倍行距"/>
    <w:basedOn w:val="1"/>
    <w:qFormat/>
    <w:uiPriority w:val="0"/>
    <w:pPr>
      <w:ind w:left="855" w:hanging="855"/>
    </w:pPr>
    <w:rPr>
      <w:sz w:val="24"/>
      <w:szCs w:val="20"/>
    </w:rPr>
  </w:style>
  <w:style w:type="paragraph" w:customStyle="1" w:styleId="939">
    <w:name w:val="xl114"/>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94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94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942">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943">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9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94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bCs/>
      <w:kern w:val="0"/>
      <w:sz w:val="24"/>
    </w:rPr>
  </w:style>
  <w:style w:type="paragraph" w:customStyle="1" w:styleId="946">
    <w:name w:val="项目符1"/>
    <w:basedOn w:val="1"/>
    <w:next w:val="1"/>
    <w:qFormat/>
    <w:uiPriority w:val="0"/>
    <w:pPr>
      <w:numPr>
        <w:ilvl w:val="0"/>
        <w:numId w:val="9"/>
      </w:numPr>
      <w:spacing w:before="60" w:line="360" w:lineRule="auto"/>
    </w:pPr>
    <w:rPr>
      <w:spacing w:val="6"/>
      <w:szCs w:val="20"/>
    </w:rPr>
  </w:style>
  <w:style w:type="paragraph" w:customStyle="1" w:styleId="947">
    <w:name w:val="图表脚注"/>
    <w:next w:val="257"/>
    <w:qFormat/>
    <w:uiPriority w:val="0"/>
    <w:pPr>
      <w:tabs>
        <w:tab w:val="left" w:pos="3080"/>
      </w:tabs>
      <w:ind w:left="300" w:leftChars="200" w:hanging="100" w:hangingChars="100"/>
      <w:jc w:val="both"/>
    </w:pPr>
    <w:rPr>
      <w:rFonts w:ascii="宋体"/>
      <w:sz w:val="18"/>
      <w:lang w:val="en-US" w:eastAsia="zh-CN" w:bidi="ar-SA"/>
    </w:rPr>
  </w:style>
  <w:style w:type="paragraph" w:customStyle="1" w:styleId="9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949">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950">
    <w:name w:val="纯文本11"/>
    <w:basedOn w:val="1"/>
    <w:qFormat/>
    <w:uiPriority w:val="0"/>
    <w:pPr>
      <w:adjustRightInd w:val="0"/>
      <w:textAlignment w:val="baseline"/>
    </w:pPr>
    <w:rPr>
      <w:rFonts w:ascii="宋体" w:hAnsi="Courier New" w:eastAsia="楷体_GB2312"/>
      <w:sz w:val="26"/>
      <w:szCs w:val="20"/>
    </w:rPr>
  </w:style>
  <w:style w:type="paragraph" w:customStyle="1" w:styleId="95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952">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953">
    <w:name w:val="样式 标题 4正文四级标题 + 宋体 小五 行距: 固定值 12 磅1"/>
    <w:basedOn w:val="1"/>
    <w:qFormat/>
    <w:uiPriority w:val="0"/>
    <w:pPr>
      <w:tabs>
        <w:tab w:val="left" w:pos="2580"/>
      </w:tabs>
      <w:ind w:left="2580" w:hanging="420"/>
    </w:pPr>
    <w:rPr>
      <w:sz w:val="20"/>
    </w:rPr>
  </w:style>
  <w:style w:type="paragraph" w:customStyle="1" w:styleId="954">
    <w:name w:val="样式 !图片题注 + 首行缩进:  2 字符"/>
    <w:basedOn w:val="803"/>
    <w:qFormat/>
    <w:uiPriority w:val="0"/>
    <w:pPr>
      <w:ind w:firstLine="480"/>
    </w:pPr>
    <w:rPr>
      <w:szCs w:val="20"/>
    </w:rPr>
  </w:style>
  <w:style w:type="paragraph" w:customStyle="1" w:styleId="955">
    <w:name w:val="样式 标题 3h33rd level3Heading 3 - old + 居中 左侧:  9.8 毫米 首行缩进: ...1"/>
    <w:basedOn w:val="7"/>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956">
    <w:name w:val="说明正文"/>
    <w:basedOn w:val="1"/>
    <w:qFormat/>
    <w:uiPriority w:val="0"/>
    <w:pPr>
      <w:spacing w:line="360" w:lineRule="auto"/>
      <w:ind w:firstLine="480" w:firstLineChars="200"/>
    </w:pPr>
    <w:rPr>
      <w:rFonts w:ascii="宋体" w:hAnsi="宋体"/>
      <w:sz w:val="24"/>
    </w:rPr>
  </w:style>
  <w:style w:type="paragraph" w:customStyle="1" w:styleId="957">
    <w:name w:val="引言二级条标题"/>
    <w:basedOn w:val="958"/>
    <w:next w:val="257"/>
    <w:qFormat/>
    <w:uiPriority w:val="0"/>
    <w:pPr>
      <w:numPr>
        <w:ilvl w:val="1"/>
        <w:numId w:val="27"/>
      </w:numPr>
      <w:tabs>
        <w:tab w:val="left" w:pos="360"/>
        <w:tab w:val="left" w:pos="1200"/>
      </w:tabs>
    </w:pPr>
    <w:rPr>
      <w:b w:val="0"/>
    </w:rPr>
  </w:style>
  <w:style w:type="paragraph" w:customStyle="1" w:styleId="958">
    <w:name w:val="引言一级条标题"/>
    <w:basedOn w:val="1"/>
    <w:next w:val="257"/>
    <w:qFormat/>
    <w:uiPriority w:val="0"/>
    <w:pPr>
      <w:widowControl/>
      <w:numPr>
        <w:ilvl w:val="0"/>
        <w:numId w:val="11"/>
      </w:numPr>
    </w:pPr>
    <w:rPr>
      <w:rFonts w:eastAsia="黑体"/>
      <w:b/>
      <w:szCs w:val="20"/>
    </w:rPr>
  </w:style>
  <w:style w:type="paragraph" w:customStyle="1" w:styleId="959">
    <w:name w:val="正文图标题"/>
    <w:next w:val="257"/>
    <w:qFormat/>
    <w:uiPriority w:val="0"/>
    <w:pPr>
      <w:numPr>
        <w:ilvl w:val="0"/>
        <w:numId w:val="28"/>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960">
    <w:name w:val="附录标识"/>
    <w:basedOn w:val="1"/>
    <w:next w:val="257"/>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961">
    <w:name w:val="附录章标题"/>
    <w:next w:val="257"/>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2">
    <w:name w:val="1-正文1统一"/>
    <w:basedOn w:val="1"/>
    <w:qFormat/>
    <w:locked/>
    <w:uiPriority w:val="0"/>
    <w:pPr>
      <w:ind w:firstLine="480"/>
    </w:pPr>
    <w:rPr>
      <w:sz w:val="28"/>
    </w:rPr>
  </w:style>
  <w:style w:type="paragraph" w:customStyle="1" w:styleId="963">
    <w:name w:val="Other|1"/>
    <w:basedOn w:val="1"/>
    <w:qFormat/>
    <w:uiPriority w:val="0"/>
    <w:pPr>
      <w:widowControl w:val="0"/>
      <w:shd w:val="clear" w:color="auto" w:fill="auto"/>
      <w:spacing w:line="300" w:lineRule="exact"/>
    </w:pPr>
    <w:rPr>
      <w:rFonts w:ascii="宋体" w:hAnsi="宋体" w:eastAsia="宋体" w:cs="宋体"/>
      <w:sz w:val="19"/>
      <w:szCs w:val="19"/>
      <w:u w:val="none"/>
      <w:shd w:val="clear" w:color="auto" w:fill="auto"/>
      <w:lang w:val="zh-TW" w:eastAsia="zh-TW" w:bidi="zh-TW"/>
    </w:rPr>
  </w:style>
  <w:style w:type="table" w:customStyle="1" w:styleId="964">
    <w:name w:val="清单表 3 - 着色 11"/>
    <w:basedOn w:val="58"/>
    <w:qFormat/>
    <w:uiPriority w:val="48"/>
    <w:rPr>
      <w:rFonts w:ascii="Calibri" w:hAnsi="Calibri"/>
      <w:kern w:val="2"/>
      <w:sz w:val="21"/>
      <w:szCs w:val="22"/>
    </w:rPr>
    <w:tblPr>
      <w:tblStyle w:val="58"/>
      <w:tblBorders>
        <w:top w:val="single" w:color="5B9BD5" w:sz="4" w:space="0"/>
        <w:left w:val="single" w:color="5B9BD5" w:sz="4" w:space="0"/>
        <w:bottom w:val="single" w:color="5B9BD5" w:sz="4" w:space="0"/>
        <w:right w:val="single" w:color="5B9BD5" w:sz="4" w:space="0"/>
      </w:tblBorders>
    </w:tblPr>
    <w:tblStylePr w:type="firstRow">
      <w:rPr>
        <w:b/>
        <w:bCs/>
        <w:color w:val="FFFFFF"/>
      </w:rPr>
      <w:tblPr>
        <w:tblStyle w:val="58"/>
      </w:tblPr>
      <w:tcPr>
        <w:shd w:val="clear" w:color="auto" w:fill="5B9BD5"/>
      </w:tcPr>
    </w:tblStylePr>
    <w:tblStylePr w:type="lastRow">
      <w:rPr>
        <w:b/>
        <w:bCs/>
      </w:rPr>
      <w:tblPr>
        <w:tblStyle w:val="58"/>
      </w:tbl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blPr>
        <w:tblStyle w:val="58"/>
      </w:tblPr>
      <w:tcPr>
        <w:tcBorders>
          <w:top w:val="nil"/>
          <w:left w:val="nil"/>
          <w:bottom w:val="nil"/>
          <w:right w:val="nil"/>
          <w:insideH w:val="nil"/>
          <w:insideV w:val="nil"/>
          <w:tl2br w:val="nil"/>
          <w:tr2bl w:val="nil"/>
        </w:tcBorders>
        <w:shd w:val="clear" w:color="auto" w:fill="FFFFFF"/>
      </w:tcPr>
    </w:tblStylePr>
    <w:tblStylePr w:type="lastCol">
      <w:rPr>
        <w:b/>
        <w:bCs/>
      </w:rPr>
      <w:tblPr>
        <w:tblStyle w:val="58"/>
      </w:tblPr>
      <w:tcPr>
        <w:tcBorders>
          <w:top w:val="nil"/>
          <w:left w:val="nil"/>
          <w:bottom w:val="nil"/>
          <w:right w:val="nil"/>
          <w:insideH w:val="nil"/>
          <w:insideV w:val="nil"/>
          <w:tl2br w:val="nil"/>
          <w:tr2bl w:val="nil"/>
        </w:tcBorders>
        <w:shd w:val="clear" w:color="auto" w:fill="FFFFFF"/>
      </w:tcPr>
    </w:tblStylePr>
    <w:tblStylePr w:type="band1Vert">
      <w:tblPr>
        <w:tblStyle w:val="58"/>
      </w:tblPr>
      <w:tcPr>
        <w:tcBorders>
          <w:top w:val="nil"/>
          <w:left w:val="single" w:color="5B9BD5" w:sz="4" w:space="0"/>
          <w:bottom w:val="nil"/>
          <w:right w:val="single" w:color="5B9BD5" w:sz="4" w:space="0"/>
          <w:insideH w:val="nil"/>
          <w:insideV w:val="nil"/>
          <w:tl2br w:val="nil"/>
          <w:tr2bl w:val="nil"/>
        </w:tcBorders>
      </w:tcPr>
    </w:tblStylePr>
    <w:tblStylePr w:type="band1Horz">
      <w:tblPr>
        <w:tblStyle w:val="58"/>
      </w:tblPr>
      <w:tcPr>
        <w:tcBorders>
          <w:top w:val="single" w:color="5B9BD5" w:sz="4" w:space="0"/>
          <w:left w:val="nil"/>
          <w:bottom w:val="single" w:color="5B9BD5" w:sz="4" w:space="0"/>
          <w:right w:val="nil"/>
          <w:insideH w:val="nil"/>
          <w:insideV w:val="nil"/>
          <w:tl2br w:val="nil"/>
          <w:tr2bl w:val="nil"/>
        </w:tcBorders>
      </w:tcPr>
    </w:tblStylePr>
    <w:tblStylePr w:type="neCell">
      <w:tblPr>
        <w:tblStyle w:val="58"/>
      </w:tblPr>
      <w:tcPr>
        <w:tcBorders>
          <w:top w:val="nil"/>
          <w:left w:val="nil"/>
          <w:bottom w:val="nil"/>
          <w:right w:val="nil"/>
          <w:insideH w:val="nil"/>
          <w:insideV w:val="nil"/>
          <w:tl2br w:val="nil"/>
          <w:tr2bl w:val="nil"/>
        </w:tcBorders>
      </w:tcPr>
    </w:tblStylePr>
    <w:tblStylePr w:type="nwCell">
      <w:tblPr>
        <w:tblStyle w:val="58"/>
      </w:tblPr>
      <w:tcPr>
        <w:tcBorders>
          <w:top w:val="nil"/>
          <w:left w:val="nil"/>
          <w:bottom w:val="nil"/>
          <w:right w:val="nil"/>
          <w:insideH w:val="nil"/>
          <w:insideV w:val="nil"/>
          <w:tl2br w:val="nil"/>
          <w:tr2bl w:val="nil"/>
        </w:tcBorders>
      </w:tcPr>
    </w:tblStylePr>
    <w:tblStylePr w:type="seCell">
      <w:tblPr>
        <w:tblStyle w:val="58"/>
      </w:tblPr>
      <w:tcPr>
        <w:tcBorders>
          <w:top w:val="double" w:color="5B9BD5" w:sz="4" w:space="0"/>
          <w:left w:val="nil"/>
          <w:bottom w:val="nil"/>
          <w:right w:val="nil"/>
          <w:insideH w:val="nil"/>
          <w:insideV w:val="nil"/>
          <w:tl2br w:val="nil"/>
          <w:tr2bl w:val="nil"/>
        </w:tcBorders>
      </w:tcPr>
    </w:tblStylePr>
    <w:tblStylePr w:type="swCell">
      <w:tblPr>
        <w:tblStyle w:val="58"/>
      </w:tblPr>
      <w:tcPr>
        <w:tcBorders>
          <w:top w:val="double" w:color="5B9BD5" w:sz="4" w:space="0"/>
          <w:left w:val="nil"/>
          <w:bottom w:val="nil"/>
          <w:right w:val="nil"/>
          <w:insideH w:val="nil"/>
          <w:insideV w:val="nil"/>
          <w:tl2br w:val="nil"/>
          <w:tr2bl w:val="nil"/>
        </w:tcBorders>
      </w:tcPr>
    </w:tblStylePr>
  </w:style>
  <w:style w:type="table" w:customStyle="1" w:styleId="965">
    <w:name w:val="网格表 4 - 着色 51"/>
    <w:basedOn w:val="58"/>
    <w:qFormat/>
    <w:uiPriority w:val="49"/>
    <w:rPr>
      <w:rFonts w:ascii="Calibri" w:hAnsi="Calibri"/>
      <w:kern w:val="2"/>
      <w:sz w:val="21"/>
      <w:szCs w:val="22"/>
    </w:rPr>
    <w:tblPr>
      <w:tblStyle w:val="58"/>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blPr>
        <w:tblStyle w:val="58"/>
      </w:tbl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blPr>
        <w:tblStyle w:val="58"/>
      </w:tblPr>
      <w:tcPr>
        <w:tcBorders>
          <w:top w:val="double" w:color="4BACC6"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DAEEF3"/>
      </w:tcPr>
    </w:tblStylePr>
    <w:tblStylePr w:type="band1Horz">
      <w:tblPr>
        <w:tblStyle w:val="58"/>
      </w:tblPr>
      <w:tcPr>
        <w:shd w:val="clear" w:color="auto" w:fill="DAEEF3"/>
      </w:tcPr>
    </w:tblStylePr>
  </w:style>
  <w:style w:type="table" w:customStyle="1" w:styleId="966">
    <w:name w:val="浅色底纹1"/>
    <w:basedOn w:val="58"/>
    <w:qFormat/>
    <w:uiPriority w:val="60"/>
    <w:rPr>
      <w:rFonts w:ascii="Calibri" w:hAnsi="Calibri"/>
      <w:color w:val="000000"/>
    </w:rPr>
    <w:tblPr>
      <w:tblStyle w:val="58"/>
      <w:tblBorders>
        <w:top w:val="single" w:color="000000" w:sz="8" w:space="0"/>
        <w:bottom w:val="single" w:color="000000" w:sz="8" w:space="0"/>
      </w:tblBorders>
    </w:tblPr>
    <w:tblStylePr w:type="firstRow">
      <w:pPr>
        <w:spacing w:before="0" w:after="0" w:line="240" w:lineRule="auto"/>
      </w:pPr>
      <w:rPr>
        <w:b/>
        <w:bCs/>
      </w:rPr>
      <w:tblPr>
        <w:tblStyle w:val="58"/>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blStyle w:val="58"/>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tcBorders>
          <w:top w:val="nil"/>
          <w:left w:val="nil"/>
          <w:bottom w:val="nil"/>
          <w:right w:val="nil"/>
          <w:insideH w:val="nil"/>
          <w:insideV w:val="nil"/>
          <w:tl2br w:val="nil"/>
          <w:tr2bl w:val="nil"/>
        </w:tcBorders>
        <w:shd w:val="clear" w:color="auto" w:fill="C0C0C0"/>
      </w:tcPr>
    </w:tblStylePr>
    <w:tblStylePr w:type="band1Horz">
      <w:tblPr>
        <w:tblStyle w:val="58"/>
      </w:tblPr>
      <w:tcPr>
        <w:tcBorders>
          <w:top w:val="nil"/>
          <w:left w:val="nil"/>
          <w:bottom w:val="nil"/>
          <w:right w:val="nil"/>
          <w:insideH w:val="nil"/>
          <w:insideV w:val="nil"/>
          <w:tl2br w:val="nil"/>
          <w:tr2bl w:val="nil"/>
        </w:tcBorders>
        <w:shd w:val="clear" w:color="auto" w:fill="C0C0C0"/>
      </w:tcPr>
    </w:tblStylePr>
  </w:style>
  <w:style w:type="table" w:customStyle="1" w:styleId="967">
    <w:name w:val="浅色列表 - 强调文字颜色 11"/>
    <w:basedOn w:val="58"/>
    <w:qFormat/>
    <w:uiPriority w:val="61"/>
    <w:rPr>
      <w:rFonts w:ascii="Calibri" w:hAnsi="Calibri"/>
      <w:kern w:val="2"/>
      <w:sz w:val="21"/>
      <w:szCs w:val="22"/>
    </w:rPr>
    <w:tblPr>
      <w:tblStyle w:val="58"/>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blStyle w:val="58"/>
      </w:tblPr>
      <w:tcPr>
        <w:shd w:val="clear" w:color="auto" w:fill="4F81BD"/>
      </w:tcPr>
    </w:tblStylePr>
    <w:tblStylePr w:type="lastRow">
      <w:pPr>
        <w:spacing w:before="0" w:after="0" w:line="240" w:lineRule="auto"/>
      </w:pPr>
      <w:rPr>
        <w:b/>
        <w:bCs/>
      </w:rPr>
      <w:tblPr>
        <w:tblStyle w:val="58"/>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68">
    <w:name w:val="中等深浅底纹 2 - 强调文字颜色 11"/>
    <w:basedOn w:val="58"/>
    <w:qFormat/>
    <w:uiPriority w:val="64"/>
    <w:rPr>
      <w:rFonts w:ascii="Calibri" w:hAnsi="Calibri"/>
      <w:kern w:val="2"/>
      <w:sz w:val="21"/>
      <w:szCs w:val="22"/>
    </w:rPr>
    <w:tblPr>
      <w:tblStyle w:val="58"/>
      <w:tblBorders>
        <w:top w:val="single" w:color="auto" w:sz="18" w:space="0"/>
        <w:bottom w:val="single" w:color="auto" w:sz="18" w:space="0"/>
      </w:tblBorders>
    </w:tblPr>
    <w:tblStylePr w:type="firstRow">
      <w:pPr>
        <w:spacing w:before="0" w:after="0" w:line="240" w:lineRule="auto"/>
      </w:pPr>
      <w:rPr>
        <w:b/>
        <w:bCs/>
        <w:color w:val="FFFFFF"/>
      </w:rPr>
      <w:tblPr>
        <w:tblStyle w:val="58"/>
      </w:tbl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blPr>
        <w:tblStyle w:val="58"/>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blStyle w:val="58"/>
      </w:tbl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blPr>
        <w:tblStyle w:val="58"/>
      </w:tblPr>
      <w:tcPr>
        <w:tcBorders>
          <w:top w:val="nil"/>
          <w:left w:val="nil"/>
          <w:bottom w:val="nil"/>
          <w:right w:val="nil"/>
          <w:insideH w:val="nil"/>
          <w:insideV w:val="nil"/>
          <w:tl2br w:val="nil"/>
          <w:tr2bl w:val="nil"/>
        </w:tcBorders>
        <w:shd w:val="clear" w:color="auto" w:fill="4F81BD"/>
      </w:tcPr>
    </w:tblStylePr>
    <w:tblStylePr w:type="band1Vert">
      <w:tblPr>
        <w:tblStyle w:val="58"/>
      </w:tblPr>
      <w:tcPr>
        <w:tcBorders>
          <w:top w:val="nil"/>
          <w:left w:val="nil"/>
          <w:bottom w:val="nil"/>
          <w:right w:val="nil"/>
          <w:insideH w:val="nil"/>
          <w:insideV w:val="nil"/>
          <w:tl2br w:val="nil"/>
          <w:tr2bl w:val="nil"/>
        </w:tcBorders>
        <w:shd w:val="clear" w:color="auto" w:fill="D8D8D8"/>
      </w:tcPr>
    </w:tblStylePr>
    <w:tblStylePr w:type="band1Horz">
      <w:tblPr>
        <w:tblStyle w:val="58"/>
      </w:tblPr>
      <w:tcPr>
        <w:shd w:val="clear" w:color="auto" w:fill="D8D8D8"/>
      </w:tcPr>
    </w:tblStylePr>
    <w:tblStylePr w:type="neCell">
      <w:tblPr>
        <w:tblStyle w:val="58"/>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Style w:val="58"/>
      </w:tblPr>
      <w:tcPr>
        <w:tcBorders>
          <w:top w:val="single" w:color="auto" w:sz="18" w:space="0"/>
          <w:left w:val="nil"/>
          <w:bottom w:val="single" w:color="auto" w:sz="18" w:space="0"/>
          <w:right w:val="nil"/>
          <w:insideH w:val="nil"/>
          <w:insideV w:val="nil"/>
          <w:tl2br w:val="nil"/>
          <w:tr2bl w:val="nil"/>
        </w:tcBorders>
      </w:tcPr>
    </w:tblStylePr>
  </w:style>
  <w:style w:type="table" w:customStyle="1" w:styleId="969">
    <w:name w:val="浅色列表 - 强调文字颜色 51"/>
    <w:basedOn w:val="58"/>
    <w:qFormat/>
    <w:uiPriority w:val="61"/>
    <w:rPr>
      <w:rFonts w:ascii="Calibri" w:hAnsi="Calibri"/>
      <w:kern w:val="2"/>
      <w:sz w:val="21"/>
      <w:szCs w:val="22"/>
    </w:rPr>
    <w:tblPr>
      <w:tblStyle w:val="58"/>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blStyle w:val="58"/>
      </w:tblPr>
      <w:tcPr>
        <w:shd w:val="clear" w:color="auto" w:fill="4BACC6"/>
      </w:tcPr>
    </w:tblStylePr>
    <w:tblStylePr w:type="lastRow">
      <w:pPr>
        <w:spacing w:before="0" w:after="0" w:line="240" w:lineRule="auto"/>
      </w:pPr>
      <w:rPr>
        <w:b/>
        <w:bCs/>
      </w:rPr>
      <w:tblPr>
        <w:tblStyle w:val="58"/>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Style w:val="58"/>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970">
    <w:name w:val="浅色网格 - 强调文字颜色 11"/>
    <w:basedOn w:val="58"/>
    <w:qFormat/>
    <w:uiPriority w:val="62"/>
    <w:rPr>
      <w:rFonts w:ascii="Calibri" w:hAnsi="Calibri"/>
      <w:kern w:val="2"/>
      <w:sz w:val="21"/>
      <w:szCs w:val="22"/>
    </w:rPr>
    <w:tblPr>
      <w:tblStyle w:val="5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Univers LT Std 57 Cn" w:cs="Times New Roman"/>
        <w:b/>
        <w:bCs/>
      </w:rPr>
      <w:tblPr>
        <w:tblStyle w:val="58"/>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Univers LT Std 57 Cn" w:cs="Times New Roman"/>
        <w:b/>
        <w:bCs/>
      </w:rPr>
      <w:tblPr>
        <w:tblStyle w:val="58"/>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Univers LT Std 57 Cn" w:cs="Times New Roman"/>
        <w:b/>
        <w:bCs/>
      </w:rPr>
      <w:tblPr>
        <w:tblStyle w:val="58"/>
      </w:tblPr>
    </w:tblStylePr>
    <w:tblStylePr w:type="lastCol">
      <w:rPr>
        <w:rFonts w:eastAsia="Univers LT Std 57 Cn" w:cs="Times New Roman"/>
        <w:b/>
        <w:bCs/>
      </w:rPr>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58"/>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58"/>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971">
    <w:name w:val="浅色列表 - 强调文字颜色 12"/>
    <w:basedOn w:val="58"/>
    <w:unhideWhenUsed/>
    <w:qFormat/>
    <w:uiPriority w:val="61"/>
    <w:rPr>
      <w:rFonts w:ascii="Calibri" w:hAnsi="Calibri" w:eastAsia="宋体" w:cs="Times New Roman"/>
    </w:rPr>
    <w:tblPr>
      <w:tblStyle w:val="58"/>
      <w:tblBorders>
        <w:top w:val="single" w:color="4F81BD" w:sz="8" w:space="0"/>
        <w:left w:val="single" w:color="4F81BD" w:sz="8" w:space="0"/>
        <w:bottom w:val="single" w:color="4F81BD" w:sz="8" w:space="0"/>
        <w:right w:val="single" w:color="4F81BD" w:sz="8" w:space="0"/>
      </w:tblBorders>
    </w:tblPr>
    <w:tblStylePr w:type="firstRow">
      <w:pPr>
        <w:spacing w:beforeLines="0" w:beforeAutospacing="0" w:afterLines="0" w:afterAutospacing="0" w:line="240" w:lineRule="auto"/>
      </w:pPr>
      <w:rPr>
        <w:b/>
        <w:bCs/>
        <w:color w:val="FFFFFF"/>
      </w:rPr>
      <w:tblPr>
        <w:tblStyle w:val="58"/>
      </w:tblPr>
      <w:tcPr>
        <w:shd w:val="clear" w:color="auto" w:fill="4F81BD"/>
      </w:tcPr>
    </w:tblStylePr>
    <w:tblStylePr w:type="lastRow">
      <w:pPr>
        <w:spacing w:beforeLines="0" w:beforeAutospacing="0" w:afterLines="0" w:afterAutospacing="0" w:line="240" w:lineRule="auto"/>
      </w:pPr>
      <w:rPr>
        <w:b/>
        <w:bCs/>
      </w:rPr>
      <w:tblPr>
        <w:tblStyle w:val="58"/>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72">
    <w:name w:val="清单表 3 - 着色 31"/>
    <w:basedOn w:val="58"/>
    <w:qFormat/>
    <w:uiPriority w:val="48"/>
    <w:rPr>
      <w:rFonts w:ascii="Calibri" w:hAnsi="Calibri"/>
      <w:kern w:val="2"/>
      <w:sz w:val="21"/>
      <w:szCs w:val="22"/>
    </w:rPr>
    <w:tblPr>
      <w:tblStyle w:val="58"/>
      <w:tblBorders>
        <w:top w:val="single" w:color="A5A5A5" w:sz="4" w:space="0"/>
        <w:left w:val="single" w:color="A5A5A5" w:sz="4" w:space="0"/>
        <w:bottom w:val="single" w:color="A5A5A5" w:sz="4" w:space="0"/>
        <w:right w:val="single" w:color="A5A5A5" w:sz="4" w:space="0"/>
      </w:tblBorders>
    </w:tblPr>
    <w:tblStylePr w:type="firstRow">
      <w:rPr>
        <w:b/>
        <w:bCs/>
        <w:color w:val="FFFFFF"/>
      </w:rPr>
      <w:tblPr>
        <w:tblStyle w:val="58"/>
      </w:tblPr>
      <w:tcPr>
        <w:shd w:val="clear" w:color="auto" w:fill="A5A5A5"/>
      </w:tcPr>
    </w:tblStylePr>
    <w:tblStylePr w:type="lastRow">
      <w:rPr>
        <w:b/>
        <w:bCs/>
      </w:rPr>
      <w:tblPr>
        <w:tblStyle w:val="58"/>
      </w:tbl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blPr>
        <w:tblStyle w:val="58"/>
      </w:tblPr>
      <w:tcPr>
        <w:tcBorders>
          <w:top w:val="nil"/>
          <w:left w:val="nil"/>
          <w:bottom w:val="nil"/>
          <w:right w:val="nil"/>
          <w:insideH w:val="nil"/>
          <w:insideV w:val="nil"/>
          <w:tl2br w:val="nil"/>
          <w:tr2bl w:val="nil"/>
        </w:tcBorders>
        <w:shd w:val="clear" w:color="auto" w:fill="FFFFFF"/>
      </w:tcPr>
    </w:tblStylePr>
    <w:tblStylePr w:type="lastCol">
      <w:rPr>
        <w:b/>
        <w:bCs/>
      </w:rPr>
      <w:tblPr>
        <w:tblStyle w:val="58"/>
      </w:tblPr>
      <w:tcPr>
        <w:tcBorders>
          <w:top w:val="nil"/>
          <w:left w:val="nil"/>
          <w:bottom w:val="nil"/>
          <w:right w:val="nil"/>
          <w:insideH w:val="nil"/>
          <w:insideV w:val="nil"/>
          <w:tl2br w:val="nil"/>
          <w:tr2bl w:val="nil"/>
        </w:tcBorders>
        <w:shd w:val="clear" w:color="auto" w:fill="FFFFFF"/>
      </w:tcPr>
    </w:tblStylePr>
    <w:tblStylePr w:type="band1Vert">
      <w:tblPr>
        <w:tblStyle w:val="58"/>
      </w:tblPr>
      <w:tcPr>
        <w:tcBorders>
          <w:top w:val="nil"/>
          <w:left w:val="single" w:color="A5A5A5" w:sz="4" w:space="0"/>
          <w:bottom w:val="nil"/>
          <w:right w:val="single" w:color="A5A5A5" w:sz="4" w:space="0"/>
          <w:insideH w:val="nil"/>
          <w:insideV w:val="nil"/>
          <w:tl2br w:val="nil"/>
          <w:tr2bl w:val="nil"/>
        </w:tcBorders>
      </w:tcPr>
    </w:tblStylePr>
    <w:tblStylePr w:type="band1Horz">
      <w:tblPr>
        <w:tblStyle w:val="58"/>
      </w:tblPr>
      <w:tcPr>
        <w:tcBorders>
          <w:top w:val="single" w:color="A5A5A5" w:sz="4" w:space="0"/>
          <w:left w:val="nil"/>
          <w:bottom w:val="single" w:color="A5A5A5" w:sz="4" w:space="0"/>
          <w:right w:val="nil"/>
          <w:insideH w:val="nil"/>
          <w:insideV w:val="nil"/>
          <w:tl2br w:val="nil"/>
          <w:tr2bl w:val="nil"/>
        </w:tcBorders>
      </w:tcPr>
    </w:tblStylePr>
    <w:tblStylePr w:type="neCell">
      <w:tblPr>
        <w:tblStyle w:val="58"/>
      </w:tblPr>
      <w:tcPr>
        <w:tcBorders>
          <w:top w:val="nil"/>
          <w:left w:val="nil"/>
          <w:bottom w:val="nil"/>
          <w:right w:val="nil"/>
          <w:insideH w:val="nil"/>
          <w:insideV w:val="nil"/>
          <w:tl2br w:val="nil"/>
          <w:tr2bl w:val="nil"/>
        </w:tcBorders>
      </w:tcPr>
    </w:tblStylePr>
    <w:tblStylePr w:type="nwCell">
      <w:tblPr>
        <w:tblStyle w:val="58"/>
      </w:tblPr>
      <w:tcPr>
        <w:tcBorders>
          <w:top w:val="nil"/>
          <w:left w:val="nil"/>
          <w:bottom w:val="nil"/>
          <w:right w:val="nil"/>
          <w:insideH w:val="nil"/>
          <w:insideV w:val="nil"/>
          <w:tl2br w:val="nil"/>
          <w:tr2bl w:val="nil"/>
        </w:tcBorders>
      </w:tcPr>
    </w:tblStylePr>
    <w:tblStylePr w:type="seCell">
      <w:tblPr>
        <w:tblStyle w:val="58"/>
      </w:tblPr>
      <w:tcPr>
        <w:tcBorders>
          <w:top w:val="double" w:color="A5A5A5" w:sz="4" w:space="0"/>
          <w:left w:val="nil"/>
          <w:bottom w:val="nil"/>
          <w:right w:val="nil"/>
          <w:insideH w:val="nil"/>
          <w:insideV w:val="nil"/>
          <w:tl2br w:val="nil"/>
          <w:tr2bl w:val="nil"/>
        </w:tcBorders>
      </w:tcPr>
    </w:tblStylePr>
    <w:tblStylePr w:type="swCell">
      <w:tblPr>
        <w:tblStyle w:val="58"/>
      </w:tblPr>
      <w:tcPr>
        <w:tcBorders>
          <w:top w:val="double" w:color="A5A5A5" w:sz="4" w:space="0"/>
          <w:left w:val="nil"/>
          <w:bottom w:val="nil"/>
          <w:right w:val="nil"/>
          <w:insideH w:val="nil"/>
          <w:insideV w:val="nil"/>
          <w:tl2br w:val="nil"/>
          <w:tr2bl w:val="nil"/>
        </w:tcBorders>
      </w:tcPr>
    </w:tblStylePr>
  </w:style>
  <w:style w:type="table" w:customStyle="1" w:styleId="973">
    <w:name w:val="Table Normal"/>
    <w:semiHidden/>
    <w:qFormat/>
    <w:uiPriority w:val="2"/>
    <w:pPr>
      <w:widowControl w:val="0"/>
      <w:autoSpaceDE w:val="0"/>
      <w:autoSpaceDN w:val="0"/>
    </w:pPr>
    <w:rPr>
      <w:rFonts w:eastAsia="Times New Roman"/>
      <w:sz w:val="22"/>
      <w:szCs w:val="22"/>
      <w:lang w:val="en-US" w:eastAsia="en-US" w:bidi="ar-SA"/>
    </w:rPr>
    <w:tblPr>
      <w:tblStyle w:val="58"/>
      <w:tblCellMar>
        <w:top w:w="0" w:type="dxa"/>
        <w:left w:w="0" w:type="dxa"/>
        <w:bottom w:w="0" w:type="dxa"/>
        <w:right w:w="0" w:type="dxa"/>
      </w:tblCellMar>
    </w:tblPr>
  </w:style>
  <w:style w:type="table" w:customStyle="1" w:styleId="974">
    <w:name w:val="网格表 5 深色 - 着色 21"/>
    <w:basedOn w:val="58"/>
    <w:qFormat/>
    <w:uiPriority w:val="50"/>
    <w:tblPr>
      <w:tblStyle w:val="58"/>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blStyle w:val="58"/>
      </w:tbl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blPr>
        <w:tblStyle w:val="58"/>
      </w:tbl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blPr>
        <w:tblStyle w:val="58"/>
      </w:tbl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blPr>
        <w:tblStyle w:val="58"/>
      </w:tbl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blPr>
        <w:tblStyle w:val="58"/>
      </w:tblPr>
      <w:tcPr>
        <w:shd w:val="clear" w:color="auto" w:fill="F7CAAC"/>
      </w:tcPr>
    </w:tblStylePr>
    <w:tblStylePr w:type="band1Horz">
      <w:tblPr>
        <w:tblStyle w:val="58"/>
      </w:tblPr>
      <w:tcPr>
        <w:shd w:val="clear" w:color="auto" w:fill="F7CAAC"/>
      </w:tcPr>
    </w:tblStylePr>
  </w:style>
  <w:style w:type="table" w:customStyle="1" w:styleId="975">
    <w:name w:val="网格型浅色1"/>
    <w:basedOn w:val="58"/>
    <w:qFormat/>
    <w:uiPriority w:val="40"/>
    <w:rPr>
      <w:rFonts w:ascii="Calibri" w:hAnsi="Calibri"/>
    </w:rPr>
    <w:tblPr>
      <w:tblStyle w:val="58"/>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6">
    <w:name w:val="网格表 4 - 着色 31"/>
    <w:basedOn w:val="58"/>
    <w:qFormat/>
    <w:uiPriority w:val="49"/>
    <w:tblPr>
      <w:tblStyle w:val="58"/>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blStyle w:val="58"/>
      </w:tbl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blPr>
        <w:tblStyle w:val="58"/>
      </w:tblPr>
      <w:tcPr>
        <w:tcBorders>
          <w:top w:val="double" w:color="A5A5A5"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EDEDED"/>
      </w:tcPr>
    </w:tblStylePr>
    <w:tblStylePr w:type="band1Horz">
      <w:tblPr>
        <w:tblStyle w:val="58"/>
      </w:tblPr>
      <w:tcPr>
        <w:shd w:val="clear" w:color="auto" w:fill="EDEDED"/>
      </w:tcPr>
    </w:tblStylePr>
  </w:style>
  <w:style w:type="table" w:customStyle="1" w:styleId="977">
    <w:name w:val="网格型1"/>
    <w:basedOn w:val="58"/>
    <w:qFormat/>
    <w:uiPriority w:val="39"/>
    <w:rPr>
      <w:rFonts w:ascii="Calibri" w:hAnsi="Calibri" w:eastAsia="Times New Roman" w:cs="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浅色2"/>
    <w:basedOn w:val="58"/>
    <w:qFormat/>
    <w:uiPriority w:val="40"/>
    <w:rPr>
      <w:sz w:val="24"/>
      <w:szCs w:val="24"/>
    </w:rPr>
    <w:tblPr>
      <w:tblStyle w:val="58"/>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9">
    <w:name w:val="网格表 4 - 着色 11"/>
    <w:basedOn w:val="58"/>
    <w:qFormat/>
    <w:uiPriority w:val="49"/>
    <w:rPr>
      <w:rFonts w:ascii="Calibri" w:hAnsi="Calibri"/>
      <w:kern w:val="2"/>
      <w:sz w:val="21"/>
      <w:szCs w:val="22"/>
    </w:rPr>
    <w:tblPr>
      <w:tblStyle w:val="58"/>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blStyle w:val="58"/>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8"/>
      </w:tblPr>
      <w:tcPr>
        <w:tcBorders>
          <w:top w:val="double" w:color="5B9BD5"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DEEAF6"/>
      </w:tcPr>
    </w:tblStylePr>
    <w:tblStylePr w:type="band1Horz">
      <w:tblPr>
        <w:tblStyle w:val="58"/>
      </w:tblPr>
      <w:tcPr>
        <w:shd w:val="clear" w:color="auto" w:fill="DEEAF6"/>
      </w:tcPr>
    </w:tblStylePr>
  </w:style>
  <w:style w:type="table" w:customStyle="1" w:styleId="980">
    <w:name w:val="清单表 4 - 着色 11"/>
    <w:basedOn w:val="58"/>
    <w:qFormat/>
    <w:uiPriority w:val="49"/>
    <w:rPr>
      <w:rFonts w:ascii="Calibri" w:hAnsi="Calibri"/>
      <w:kern w:val="2"/>
      <w:sz w:val="21"/>
      <w:szCs w:val="22"/>
    </w:rPr>
    <w:tblPr>
      <w:tblStyle w:val="58"/>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blStyle w:val="58"/>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8"/>
      </w:tblPr>
      <w:tcPr>
        <w:tcBorders>
          <w:top w:val="double" w:color="9CC2E5"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DEEAF6"/>
      </w:tcPr>
    </w:tblStylePr>
    <w:tblStylePr w:type="band1Horz">
      <w:tblPr>
        <w:tblStyle w:val="58"/>
      </w:tblPr>
      <w:tcPr>
        <w:shd w:val="clear" w:color="auto" w:fill="DEEAF6"/>
      </w:tcPr>
    </w:tblStylePr>
  </w:style>
  <w:style w:type="table" w:customStyle="1" w:styleId="981">
    <w:name w:val="网格型111"/>
    <w:basedOn w:val="58"/>
    <w:qFormat/>
    <w:uiPriority w:val="59"/>
    <w:rPr>
      <w:rFonts w:ascii="等线" w:hAnsi="等线" w:eastAsia="等线" w:cs="等线"/>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2">
    <w:name w:val="bsharetext"/>
    <w:basedOn w:val="61"/>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header7.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theme/theme1.xml" Type="http://schemas.openxmlformats.org/officeDocument/2006/relationships/theme"/><Relationship Id="rId17" Target="media/image1.png" Type="http://schemas.openxmlformats.org/officeDocument/2006/relationships/image"/><Relationship Id="rId18" Target="media/image2.png" Type="http://schemas.openxmlformats.org/officeDocument/2006/relationships/imag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numbering.xml.rels><?xml version="1.0" encoding="UTF-8" standalone="yes"?><Relationships xmlns="http://schemas.openxmlformats.org/package/2006/relationships"><Relationship Id="rId1" Target="media/image3.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221</Pages>
  <Words>124110</Words>
  <Characters>153119</Characters>
  <Lines>390</Lines>
  <Paragraphs>109</Paragraphs>
  <TotalTime>5</TotalTime>
  <ScaleCrop>false</ScaleCrop>
  <LinksUpToDate>false</LinksUpToDate>
  <CharactersWithSpaces>158293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2021-07-04T23:44:00Z</dcterms:created>
  <dc:creator>can</dc:creator>
  <cp:lastModifiedBy>WPS_1701756769</cp:lastModifiedBy>
  <cp:lastPrinted>2023-02-20T02:14:36Z</cp:lastPrinted>
  <dcterms:modified xsi:type="dcterms:W3CDTF">2024-02-26T03:45:56Z</dcterms:modified>
  <cp:revision>6</cp:revision>
  <dc:title>温州市政府集中采购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71A517E6B3364D5FB0CEFB90E64546C2_13</vt:lpwstr>
  </property>
</Properties>
</file>