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outlineLvl w:val="0"/>
        <w:rPr>
          <w:rFonts w:hint="eastAsia" w:ascii="宋体" w:hAnsi="宋体" w:eastAsia="宋体" w:cs="宋体"/>
          <w:b/>
          <w:color w:val="auto"/>
          <w:sz w:val="72"/>
          <w:szCs w:val="72"/>
          <w:highlight w:val="none"/>
        </w:rPr>
      </w:pPr>
      <w:bookmarkStart w:id="0" w:name="_Toc26006"/>
      <w:bookmarkStart w:id="1" w:name="_Toc21891"/>
      <w:r>
        <w:rPr>
          <w:rFonts w:hint="eastAsia" w:ascii="宋体" w:hAnsi="宋体" w:eastAsia="宋体" w:cs="宋体"/>
          <w:b/>
          <w:bCs/>
          <w:color w:val="auto"/>
          <w:w w:val="95"/>
          <w:sz w:val="72"/>
          <w:szCs w:val="72"/>
          <w:highlight w:val="none"/>
          <w:lang w:val="zh-CN"/>
        </w:rPr>
        <w:t>竞争性磋商</w:t>
      </w:r>
      <w:r>
        <w:rPr>
          <w:rFonts w:hint="eastAsia" w:ascii="宋体" w:hAnsi="宋体" w:eastAsia="宋体" w:cs="宋体"/>
          <w:b/>
          <w:color w:val="auto"/>
          <w:sz w:val="72"/>
          <w:szCs w:val="72"/>
          <w:highlight w:val="none"/>
        </w:rPr>
        <w:t>文件</w:t>
      </w:r>
      <w:bookmarkEnd w:id="0"/>
      <w:bookmarkEnd w:id="1"/>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（电子交易）</w:t>
      </w:r>
    </w:p>
    <w:p>
      <w:pPr>
        <w:snapToGrid w:val="0"/>
        <w:spacing w:line="360" w:lineRule="auto"/>
        <w:jc w:val="center"/>
        <w:rPr>
          <w:rFonts w:hint="eastAsia" w:ascii="宋体" w:hAnsi="宋体" w:eastAsia="宋体" w:cs="宋体"/>
          <w:color w:val="auto"/>
          <w:sz w:val="30"/>
          <w:szCs w:val="30"/>
          <w:highlight w:val="none"/>
        </w:rPr>
      </w:pPr>
    </w:p>
    <w:p>
      <w:pPr>
        <w:snapToGrid w:val="0"/>
        <w:spacing w:line="360" w:lineRule="auto"/>
        <w:rPr>
          <w:rFonts w:hint="eastAsia" w:ascii="宋体" w:hAnsi="宋体" w:eastAsia="宋体" w:cs="宋体"/>
          <w:color w:val="auto"/>
          <w:sz w:val="30"/>
          <w:szCs w:val="30"/>
          <w:highlight w:val="none"/>
        </w:rPr>
      </w:pPr>
      <w:bookmarkStart w:id="2" w:name="_Toc30047"/>
    </w:p>
    <w:p>
      <w:pPr>
        <w:snapToGrid w:val="0"/>
        <w:spacing w:line="360" w:lineRule="auto"/>
        <w:jc w:val="left"/>
        <w:rPr>
          <w:rFonts w:hint="default" w:ascii="宋体" w:hAnsi="宋体" w:eastAsia="宋体" w:cs="宋体"/>
          <w:color w:val="auto"/>
          <w:sz w:val="32"/>
          <w:szCs w:val="32"/>
          <w:highlight w:val="none"/>
          <w:lang w:val="en-US"/>
        </w:rPr>
      </w:pPr>
      <w:r>
        <w:rPr>
          <w:rFonts w:hint="eastAsia" w:ascii="宋体" w:hAnsi="宋体" w:eastAsia="宋体" w:cs="宋体"/>
          <w:color w:val="auto"/>
          <w:sz w:val="32"/>
          <w:szCs w:val="32"/>
          <w:highlight w:val="none"/>
        </w:rPr>
        <w:t>项目编号</w:t>
      </w:r>
      <w:bookmarkEnd w:id="2"/>
      <w:r>
        <w:rPr>
          <w:rFonts w:hint="eastAsia" w:ascii="宋体" w:hAnsi="宋体" w:eastAsia="宋体" w:cs="宋体"/>
          <w:color w:val="auto"/>
          <w:sz w:val="32"/>
          <w:szCs w:val="32"/>
          <w:highlight w:val="none"/>
          <w:lang w:eastAsia="zh-CN"/>
        </w:rPr>
        <w:t>：</w:t>
      </w:r>
      <w:r>
        <w:rPr>
          <w:rFonts w:hint="eastAsia" w:ascii="宋体" w:hAnsi="宋体" w:cs="宋体"/>
          <w:color w:val="auto"/>
          <w:sz w:val="32"/>
          <w:szCs w:val="32"/>
          <w:highlight w:val="none"/>
          <w:lang w:eastAsia="zh-CN"/>
        </w:rPr>
        <w:t>2024NBHSWCS</w:t>
      </w:r>
      <w:r>
        <w:rPr>
          <w:rFonts w:hint="eastAsia" w:ascii="宋体" w:hAnsi="宋体" w:cs="宋体"/>
          <w:color w:val="auto"/>
          <w:sz w:val="32"/>
          <w:szCs w:val="32"/>
          <w:highlight w:val="none"/>
          <w:lang w:val="en-US" w:eastAsia="zh-CN"/>
        </w:rPr>
        <w:t>138</w:t>
      </w:r>
    </w:p>
    <w:p>
      <w:pPr>
        <w:snapToGrid w:val="0"/>
        <w:spacing w:line="360" w:lineRule="auto"/>
        <w:jc w:val="left"/>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项目名称：</w:t>
      </w:r>
      <w:r>
        <w:rPr>
          <w:rFonts w:hint="eastAsia" w:ascii="宋体" w:hAnsi="宋体" w:cs="宋体"/>
          <w:color w:val="auto"/>
          <w:sz w:val="32"/>
          <w:szCs w:val="32"/>
          <w:highlight w:val="none"/>
          <w:lang w:val="en-US" w:eastAsia="zh-CN"/>
        </w:rPr>
        <w:t>海曙区西门望春社区卫生服务中心住院楼装修改造项目</w:t>
      </w:r>
      <w:r>
        <w:rPr>
          <w:rFonts w:hint="eastAsia" w:ascii="宋体" w:hAnsi="宋体" w:eastAsia="宋体" w:cs="宋体"/>
          <w:color w:val="auto"/>
          <w:sz w:val="32"/>
          <w:szCs w:val="32"/>
          <w:highlight w:val="none"/>
          <w:lang w:val="en-US" w:eastAsia="zh-CN"/>
        </w:rPr>
        <w:t xml:space="preserve"> </w:t>
      </w: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widowControl w:val="0"/>
        <w:adjustRightInd w:val="0"/>
        <w:spacing w:before="0" w:beforeAutospacing="0" w:after="0" w:afterAutospacing="0" w:line="360" w:lineRule="auto"/>
        <w:jc w:val="center"/>
        <w:textAlignment w:val="auto"/>
        <w:rPr>
          <w:rFonts w:hint="eastAsia" w:ascii="宋体" w:hAnsi="宋体" w:eastAsia="宋体" w:cs="宋体"/>
          <w:color w:val="auto"/>
          <w:kern w:val="2"/>
          <w:sz w:val="24"/>
          <w:szCs w:val="24"/>
          <w:highlight w:val="none"/>
          <w:lang w:val="en-US" w:eastAsia="zh-CN" w:bidi="ar-SA"/>
        </w:rPr>
      </w:pPr>
    </w:p>
    <w:p>
      <w:pPr>
        <w:widowControl w:val="0"/>
        <w:adjustRightInd w:val="0"/>
        <w:spacing w:before="0" w:beforeAutospacing="0" w:after="0" w:afterAutospacing="0" w:line="360" w:lineRule="auto"/>
        <w:jc w:val="center"/>
        <w:textAlignment w:val="auto"/>
        <w:rPr>
          <w:rFonts w:hint="eastAsia" w:ascii="宋体" w:hAnsi="宋体" w:eastAsia="宋体" w:cs="宋体"/>
          <w:color w:val="auto"/>
          <w:kern w:val="2"/>
          <w:sz w:val="24"/>
          <w:szCs w:val="24"/>
          <w:highlight w:val="none"/>
          <w:lang w:val="en-US" w:eastAsia="zh-CN" w:bidi="ar-SA"/>
        </w:rPr>
      </w:pPr>
    </w:p>
    <w:p>
      <w:pPr>
        <w:widowControl w:val="0"/>
        <w:adjustRightInd w:val="0"/>
        <w:spacing w:before="0" w:beforeAutospacing="0" w:after="0" w:afterAutospacing="0" w:line="360" w:lineRule="auto"/>
        <w:jc w:val="center"/>
        <w:textAlignment w:val="auto"/>
        <w:rPr>
          <w:rFonts w:hint="eastAsia" w:ascii="宋体" w:hAnsi="宋体" w:eastAsia="宋体" w:cs="宋体"/>
          <w:b/>
          <w:color w:val="auto"/>
          <w:sz w:val="24"/>
          <w:highlight w:val="none"/>
        </w:rPr>
      </w:pPr>
    </w:p>
    <w:p>
      <w:pPr>
        <w:snapToGrid w:val="0"/>
        <w:spacing w:line="360" w:lineRule="auto"/>
        <w:jc w:val="center"/>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rPr>
      </w:pPr>
      <w:bookmarkStart w:id="3" w:name="_Toc24447"/>
    </w:p>
    <w:p>
      <w:pPr>
        <w:snapToGrid w:val="0"/>
        <w:spacing w:line="360" w:lineRule="auto"/>
        <w:ind w:firstLine="1600" w:firstLineChars="500"/>
        <w:jc w:val="both"/>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采购人：</w:t>
      </w:r>
      <w:bookmarkEnd w:id="3"/>
      <w:r>
        <w:rPr>
          <w:rFonts w:hint="eastAsia" w:ascii="宋体" w:hAnsi="宋体" w:cs="宋体"/>
          <w:color w:val="auto"/>
          <w:sz w:val="32"/>
          <w:szCs w:val="32"/>
          <w:highlight w:val="none"/>
          <w:lang w:eastAsia="zh-CN"/>
        </w:rPr>
        <w:t>宁波市海曙区西门望春社区卫生服务中心</w:t>
      </w:r>
    </w:p>
    <w:p>
      <w:pPr>
        <w:spacing w:line="360" w:lineRule="auto"/>
        <w:ind w:firstLine="1600" w:firstLineChars="500"/>
        <w:jc w:val="both"/>
        <w:rPr>
          <w:rFonts w:hint="eastAsia" w:ascii="宋体" w:hAnsi="宋体" w:eastAsia="宋体" w:cs="宋体"/>
          <w:bCs/>
          <w:color w:val="auto"/>
          <w:sz w:val="32"/>
          <w:szCs w:val="32"/>
          <w:highlight w:val="none"/>
          <w:lang w:eastAsia="zh-CN"/>
        </w:rPr>
      </w:pPr>
      <w:bookmarkStart w:id="4" w:name="_Toc7448"/>
      <w:r>
        <w:rPr>
          <w:rFonts w:hint="eastAsia" w:ascii="宋体" w:hAnsi="宋体" w:eastAsia="宋体" w:cs="宋体"/>
          <w:bCs/>
          <w:color w:val="auto"/>
          <w:sz w:val="32"/>
          <w:szCs w:val="32"/>
          <w:highlight w:val="none"/>
        </w:rPr>
        <w:t>采购代理机构：</w:t>
      </w:r>
      <w:bookmarkEnd w:id="4"/>
      <w:r>
        <w:rPr>
          <w:rFonts w:hint="eastAsia" w:ascii="宋体" w:hAnsi="宋体" w:cs="宋体"/>
          <w:bCs/>
          <w:color w:val="auto"/>
          <w:sz w:val="32"/>
          <w:szCs w:val="32"/>
          <w:highlight w:val="none"/>
          <w:lang w:eastAsia="zh-CN"/>
        </w:rPr>
        <w:t>宁波中基国际招标有限公司</w:t>
      </w:r>
    </w:p>
    <w:p>
      <w:pPr>
        <w:snapToGrid w:val="0"/>
        <w:spacing w:line="360" w:lineRule="auto"/>
        <w:jc w:val="center"/>
        <w:rPr>
          <w:rFonts w:hint="eastAsia" w:ascii="宋体" w:hAnsi="宋体" w:eastAsia="宋体" w:cs="宋体"/>
          <w:bCs/>
          <w:color w:val="auto"/>
          <w:sz w:val="32"/>
          <w:szCs w:val="32"/>
          <w:highlight w:val="none"/>
        </w:rPr>
      </w:pP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5" w:name="_Hlt67893495"/>
      <w:bookmarkEnd w:id="5"/>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sdt>
      <w:sdtPr>
        <w:rPr>
          <w:rFonts w:ascii="宋体" w:hAnsi="宋体" w:eastAsia="宋体" w:cs="Times New Roman"/>
          <w:kern w:val="2"/>
          <w:sz w:val="21"/>
          <w:szCs w:val="24"/>
          <w:highlight w:val="none"/>
          <w:lang w:val="en-US" w:eastAsia="zh-CN" w:bidi="ar-SA"/>
        </w:rPr>
        <w:id w:val="147465850"/>
        <w15:color w:val="DBDBDB"/>
        <w:docPartObj>
          <w:docPartGallery w:val="Table of Contents"/>
          <w:docPartUnique/>
        </w:docPartObj>
      </w:sdtPr>
      <w:sdtEndPr>
        <w:rPr>
          <w:rFonts w:hint="eastAsia" w:ascii="宋体" w:hAnsi="宋体" w:eastAsia="宋体" w:cs="宋体"/>
          <w:color w:val="auto"/>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965"/>
            <w:keepNext w:val="0"/>
            <w:keepLines w:val="0"/>
            <w:pageBreakBefore w:val="0"/>
            <w:tabs>
              <w:tab w:val="right" w:leader="dot" w:pos="9746"/>
            </w:tabs>
            <w:kinsoku/>
            <w:wordWrap/>
            <w:overflowPunct/>
            <w:topLinePunct w:val="0"/>
            <w:autoSpaceDE/>
            <w:autoSpaceDN/>
            <w:bidi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TOC \o "1-1" \h \u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fldChar w:fldCharType="begin"/>
          </w:r>
          <w:r>
            <w:rPr>
              <w:rFonts w:hint="eastAsia" w:ascii="宋体" w:hAnsi="宋体" w:eastAsia="宋体" w:cs="宋体"/>
              <w:sz w:val="32"/>
              <w:szCs w:val="32"/>
              <w:highlight w:val="none"/>
            </w:rPr>
            <w:instrText xml:space="preserve"> HYPERLINK \l _Toc4180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第一部分 竞争性磋商公告</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_Toc4180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3</w:t>
          </w:r>
          <w:r>
            <w:rPr>
              <w:rFonts w:hint="eastAsia" w:ascii="宋体" w:hAnsi="宋体" w:eastAsia="宋体" w:cs="宋体"/>
              <w:sz w:val="32"/>
              <w:szCs w:val="32"/>
              <w:highlight w:val="none"/>
            </w:rPr>
            <w:fldChar w:fldCharType="end"/>
          </w:r>
          <w:r>
            <w:rPr>
              <w:rFonts w:hint="eastAsia" w:ascii="宋体" w:hAnsi="宋体" w:eastAsia="宋体" w:cs="宋体"/>
              <w:color w:val="auto"/>
              <w:sz w:val="32"/>
              <w:szCs w:val="32"/>
              <w:highlight w:val="none"/>
            </w:rPr>
            <w:fldChar w:fldCharType="end"/>
          </w:r>
        </w:p>
        <w:p>
          <w:pPr>
            <w:pStyle w:val="965"/>
            <w:keepNext w:val="0"/>
            <w:keepLines w:val="0"/>
            <w:pageBreakBefore w:val="0"/>
            <w:tabs>
              <w:tab w:val="right" w:leader="dot" w:pos="9746"/>
            </w:tabs>
            <w:kinsoku/>
            <w:wordWrap/>
            <w:overflowPunct/>
            <w:topLinePunct w:val="0"/>
            <w:autoSpaceDE/>
            <w:autoSpaceDN/>
            <w:bidi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sz w:val="32"/>
              <w:szCs w:val="32"/>
              <w:highlight w:val="none"/>
            </w:rPr>
            <w:instrText xml:space="preserve"> HYPERLINK \l _Toc23841 </w:instrText>
          </w:r>
          <w:r>
            <w:rPr>
              <w:rFonts w:hint="eastAsia" w:ascii="宋体" w:hAnsi="宋体" w:eastAsia="宋体" w:cs="宋体"/>
              <w:sz w:val="32"/>
              <w:szCs w:val="32"/>
              <w:highlight w:val="none"/>
            </w:rPr>
            <w:fldChar w:fldCharType="separate"/>
          </w:r>
          <w:r>
            <w:rPr>
              <w:rFonts w:hint="eastAsia" w:ascii="宋体" w:hAnsi="宋体" w:eastAsia="宋体" w:cs="宋体"/>
              <w:snapToGrid/>
              <w:sz w:val="32"/>
              <w:szCs w:val="32"/>
              <w:highlight w:val="none"/>
            </w:rPr>
            <w:t>第二部分 供应商须知</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_Toc23841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7</w:t>
          </w:r>
          <w:r>
            <w:rPr>
              <w:rFonts w:hint="eastAsia" w:ascii="宋体" w:hAnsi="宋体" w:eastAsia="宋体" w:cs="宋体"/>
              <w:sz w:val="32"/>
              <w:szCs w:val="32"/>
              <w:highlight w:val="none"/>
            </w:rPr>
            <w:fldChar w:fldCharType="end"/>
          </w:r>
          <w:r>
            <w:rPr>
              <w:rFonts w:hint="eastAsia" w:ascii="宋体" w:hAnsi="宋体" w:eastAsia="宋体" w:cs="宋体"/>
              <w:color w:val="auto"/>
              <w:sz w:val="32"/>
              <w:szCs w:val="32"/>
              <w:highlight w:val="none"/>
            </w:rPr>
            <w:fldChar w:fldCharType="end"/>
          </w:r>
        </w:p>
        <w:p>
          <w:pPr>
            <w:pStyle w:val="965"/>
            <w:keepNext w:val="0"/>
            <w:keepLines w:val="0"/>
            <w:pageBreakBefore w:val="0"/>
            <w:tabs>
              <w:tab w:val="right" w:leader="dot" w:pos="9746"/>
            </w:tabs>
            <w:kinsoku/>
            <w:wordWrap/>
            <w:overflowPunct/>
            <w:topLinePunct w:val="0"/>
            <w:autoSpaceDE/>
            <w:autoSpaceDN/>
            <w:bidi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sz w:val="32"/>
              <w:szCs w:val="32"/>
              <w:highlight w:val="none"/>
            </w:rPr>
            <w:instrText xml:space="preserve"> HYPERLINK \l _Toc561 </w:instrText>
          </w:r>
          <w:r>
            <w:rPr>
              <w:rFonts w:hint="eastAsia" w:ascii="宋体" w:hAnsi="宋体" w:eastAsia="宋体" w:cs="宋体"/>
              <w:sz w:val="32"/>
              <w:szCs w:val="32"/>
              <w:highlight w:val="none"/>
            </w:rPr>
            <w:fldChar w:fldCharType="separate"/>
          </w:r>
          <w:r>
            <w:rPr>
              <w:rFonts w:hint="eastAsia" w:ascii="宋体" w:hAnsi="宋体" w:eastAsia="宋体" w:cs="宋体"/>
              <w:snapToGrid/>
              <w:sz w:val="32"/>
              <w:szCs w:val="32"/>
              <w:highlight w:val="none"/>
            </w:rPr>
            <w:t>第三部分 采购需求</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_Toc561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24</w:t>
          </w:r>
          <w:r>
            <w:rPr>
              <w:rFonts w:hint="eastAsia" w:ascii="宋体" w:hAnsi="宋体" w:eastAsia="宋体" w:cs="宋体"/>
              <w:sz w:val="32"/>
              <w:szCs w:val="32"/>
              <w:highlight w:val="none"/>
            </w:rPr>
            <w:fldChar w:fldCharType="end"/>
          </w:r>
          <w:r>
            <w:rPr>
              <w:rFonts w:hint="eastAsia" w:ascii="宋体" w:hAnsi="宋体" w:eastAsia="宋体" w:cs="宋体"/>
              <w:color w:val="auto"/>
              <w:sz w:val="32"/>
              <w:szCs w:val="32"/>
              <w:highlight w:val="none"/>
            </w:rPr>
            <w:fldChar w:fldCharType="end"/>
          </w:r>
        </w:p>
        <w:p>
          <w:pPr>
            <w:pStyle w:val="965"/>
            <w:keepNext w:val="0"/>
            <w:keepLines w:val="0"/>
            <w:pageBreakBefore w:val="0"/>
            <w:tabs>
              <w:tab w:val="right" w:leader="dot" w:pos="9746"/>
            </w:tabs>
            <w:kinsoku/>
            <w:wordWrap/>
            <w:overflowPunct/>
            <w:topLinePunct w:val="0"/>
            <w:autoSpaceDE/>
            <w:autoSpaceDN/>
            <w:bidi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sz w:val="32"/>
              <w:szCs w:val="32"/>
              <w:highlight w:val="none"/>
            </w:rPr>
            <w:instrText xml:space="preserve"> HYPERLINK \l _Toc31295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第四部分 评审办法</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_Toc31295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27</w:t>
          </w:r>
          <w:r>
            <w:rPr>
              <w:rFonts w:hint="eastAsia" w:ascii="宋体" w:hAnsi="宋体" w:eastAsia="宋体" w:cs="宋体"/>
              <w:sz w:val="32"/>
              <w:szCs w:val="32"/>
              <w:highlight w:val="none"/>
            </w:rPr>
            <w:fldChar w:fldCharType="end"/>
          </w:r>
          <w:r>
            <w:rPr>
              <w:rFonts w:hint="eastAsia" w:ascii="宋体" w:hAnsi="宋体" w:eastAsia="宋体" w:cs="宋体"/>
              <w:color w:val="auto"/>
              <w:sz w:val="32"/>
              <w:szCs w:val="32"/>
              <w:highlight w:val="none"/>
            </w:rPr>
            <w:fldChar w:fldCharType="end"/>
          </w:r>
        </w:p>
        <w:p>
          <w:pPr>
            <w:pStyle w:val="965"/>
            <w:keepNext w:val="0"/>
            <w:keepLines w:val="0"/>
            <w:pageBreakBefore w:val="0"/>
            <w:tabs>
              <w:tab w:val="right" w:leader="dot" w:pos="9746"/>
            </w:tabs>
            <w:kinsoku/>
            <w:wordWrap/>
            <w:overflowPunct/>
            <w:topLinePunct w:val="0"/>
            <w:autoSpaceDE/>
            <w:autoSpaceDN/>
            <w:bidi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sz w:val="32"/>
              <w:szCs w:val="32"/>
              <w:highlight w:val="none"/>
            </w:rPr>
            <w:instrText xml:space="preserve"> HYPERLINK \l _Toc27383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第五部分 拟签订的合同文本</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_Toc27383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37</w:t>
          </w:r>
          <w:r>
            <w:rPr>
              <w:rFonts w:hint="eastAsia" w:ascii="宋体" w:hAnsi="宋体" w:eastAsia="宋体" w:cs="宋体"/>
              <w:sz w:val="32"/>
              <w:szCs w:val="32"/>
              <w:highlight w:val="none"/>
            </w:rPr>
            <w:fldChar w:fldCharType="end"/>
          </w:r>
          <w:r>
            <w:rPr>
              <w:rFonts w:hint="eastAsia" w:ascii="宋体" w:hAnsi="宋体" w:eastAsia="宋体" w:cs="宋体"/>
              <w:color w:val="auto"/>
              <w:sz w:val="32"/>
              <w:szCs w:val="32"/>
              <w:highlight w:val="none"/>
            </w:rPr>
            <w:fldChar w:fldCharType="end"/>
          </w:r>
        </w:p>
        <w:p>
          <w:pPr>
            <w:pStyle w:val="965"/>
            <w:keepNext w:val="0"/>
            <w:keepLines w:val="0"/>
            <w:pageBreakBefore w:val="0"/>
            <w:tabs>
              <w:tab w:val="right" w:leader="dot" w:pos="9746"/>
            </w:tabs>
            <w:kinsoku/>
            <w:wordWrap/>
            <w:overflowPunct/>
            <w:topLinePunct w:val="0"/>
            <w:autoSpaceDE/>
            <w:autoSpaceDN/>
            <w:bidi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sz w:val="32"/>
              <w:szCs w:val="32"/>
              <w:highlight w:val="none"/>
            </w:rPr>
            <w:instrText xml:space="preserve"> HYPERLINK \l _Toc10046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第六部分 应提交的有关格式范例</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_Toc10046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58</w:t>
          </w:r>
          <w:r>
            <w:rPr>
              <w:rFonts w:hint="eastAsia" w:ascii="宋体" w:hAnsi="宋体" w:eastAsia="宋体" w:cs="宋体"/>
              <w:sz w:val="32"/>
              <w:szCs w:val="32"/>
              <w:highlight w:val="none"/>
            </w:rPr>
            <w:fldChar w:fldCharType="end"/>
          </w:r>
          <w:r>
            <w:rPr>
              <w:rFonts w:hint="eastAsia" w:ascii="宋体" w:hAnsi="宋体" w:eastAsia="宋体" w:cs="宋体"/>
              <w:color w:val="auto"/>
              <w:sz w:val="32"/>
              <w:szCs w:val="32"/>
              <w:highlight w:val="none"/>
            </w:rPr>
            <w:fldChar w:fldCharType="end"/>
          </w:r>
        </w:p>
        <w:p>
          <w:pPr>
            <w:keepNext w:val="0"/>
            <w:keepLines w:val="0"/>
            <w:pageBreakBefore w:val="0"/>
            <w:kinsoku/>
            <w:wordWrap/>
            <w:overflowPunct/>
            <w:topLinePunct w:val="0"/>
            <w:autoSpaceDE/>
            <w:autoSpaceDN/>
            <w:bidi w:val="0"/>
            <w:snapToGrid/>
            <w:spacing w:line="360" w:lineRule="auto"/>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end"/>
          </w:r>
        </w:p>
      </w:sdtContent>
    </w:sdt>
    <w:p>
      <w:pPr>
        <w:spacing w:line="360" w:lineRule="auto"/>
        <w:ind w:firstLine="1280" w:firstLineChars="400"/>
        <w:rPr>
          <w:rFonts w:hint="eastAsia" w:ascii="宋体" w:hAnsi="宋体" w:eastAsia="宋体" w:cs="宋体"/>
          <w:color w:val="auto"/>
          <w:sz w:val="32"/>
          <w:szCs w:val="32"/>
          <w:highlight w:val="none"/>
        </w:rPr>
      </w:pPr>
    </w:p>
    <w:p>
      <w:pPr>
        <w:spacing w:line="360" w:lineRule="auto"/>
        <w:ind w:firstLine="549" w:firstLineChars="229"/>
        <w:rPr>
          <w:rFonts w:hint="eastAsia" w:ascii="宋体" w:hAnsi="宋体" w:eastAsia="宋体" w:cs="宋体"/>
          <w:color w:val="auto"/>
          <w:sz w:val="24"/>
          <w:highlight w:val="none"/>
        </w:rPr>
      </w:pPr>
      <w:bookmarkStart w:id="6" w:name="_Hlt91233176"/>
      <w:bookmarkEnd w:id="6"/>
      <w:bookmarkStart w:id="7"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8" w:name="第一部分"/>
      <w:r>
        <w:rPr>
          <w:rFonts w:hint="eastAsia" w:ascii="宋体" w:hAnsi="宋体" w:eastAsia="宋体" w:cs="宋体"/>
          <w:b/>
          <w:color w:val="auto"/>
          <w:sz w:val="36"/>
          <w:szCs w:val="36"/>
          <w:highlight w:val="none"/>
        </w:rPr>
        <w:br w:type="page"/>
      </w:r>
      <w:bookmarkEnd w:id="7"/>
      <w:bookmarkEnd w:id="8"/>
      <w:bookmarkStart w:id="9" w:name="_Hlt74707423"/>
      <w:bookmarkEnd w:id="9"/>
      <w:bookmarkStart w:id="10" w:name="_Hlt74729822"/>
      <w:bookmarkEnd w:id="10"/>
      <w:bookmarkStart w:id="11" w:name="_Hlt74728647"/>
      <w:bookmarkEnd w:id="11"/>
      <w:bookmarkStart w:id="12" w:name="_Hlt74649545"/>
      <w:bookmarkEnd w:id="12"/>
      <w:bookmarkStart w:id="13" w:name="_Toc4180"/>
      <w:bookmarkStart w:id="14" w:name="第二部分"/>
      <w:bookmarkStart w:id="15" w:name="_Toc91899870"/>
      <w:bookmarkStart w:id="16" w:name="_Toc91899871"/>
      <w:r>
        <w:rPr>
          <w:rFonts w:hint="eastAsia" w:ascii="宋体" w:hAnsi="宋体" w:eastAsia="宋体" w:cs="宋体"/>
          <w:b/>
          <w:color w:val="auto"/>
          <w:sz w:val="36"/>
          <w:szCs w:val="20"/>
          <w:highlight w:val="none"/>
        </w:rPr>
        <w:t>第一部分 竞争性磋商公告</w:t>
      </w:r>
      <w:bookmarkEnd w:id="13"/>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eastAsia="zh-CN"/>
        </w:rPr>
        <w:t>海曙区西门望春社区卫生服务中心住院楼装修改造项目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采购项目的潜在供应商应在政采云平台（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https://www.zcygov.cn/）获取（下载）采购文件，并于</w:t>
      </w:r>
      <w:r>
        <w:rPr>
          <w:rFonts w:hint="eastAsia" w:ascii="宋体" w:hAnsi="宋体" w:cs="宋体"/>
          <w:color w:val="auto"/>
          <w:sz w:val="24"/>
          <w:highlight w:val="none"/>
          <w:u w:val="single"/>
          <w:lang w:eastAsia="zh-CN"/>
        </w:rPr>
        <w:t>2024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提交（上传）响应文件。</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napToGrid w:val="0"/>
        <w:spacing w:line="312" w:lineRule="auto"/>
        <w:ind w:firstLine="482" w:firstLineChars="200"/>
        <w:textAlignment w:val="auto"/>
        <w:rPr>
          <w:rFonts w:hint="default" w:ascii="宋体" w:hAnsi="宋体" w:eastAsia="宋体" w:cs="宋体"/>
          <w:color w:val="auto"/>
          <w:sz w:val="24"/>
          <w:highlight w:val="none"/>
          <w:lang w:val="en-US"/>
        </w:rPr>
      </w:pP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2024NBHSWCS</w:t>
      </w:r>
      <w:r>
        <w:rPr>
          <w:rFonts w:hint="eastAsia" w:ascii="宋体" w:hAnsi="宋体" w:cs="宋体"/>
          <w:color w:val="auto"/>
          <w:sz w:val="24"/>
          <w:highlight w:val="none"/>
          <w:lang w:val="en-US" w:eastAsia="zh-CN"/>
        </w:rPr>
        <w:t>138</w:t>
      </w:r>
    </w:p>
    <w:p>
      <w:pPr>
        <w:keepNext w:val="0"/>
        <w:keepLines w:val="0"/>
        <w:pageBreakBefore w:val="0"/>
        <w:kinsoku/>
        <w:wordWrap/>
        <w:overflowPunct/>
        <w:topLinePunct w:val="0"/>
        <w:autoSpaceDE/>
        <w:autoSpaceDN/>
        <w:bidi w:val="0"/>
        <w:adjustRightInd w:val="0"/>
        <w:snapToGrid w:val="0"/>
        <w:spacing w:line="312" w:lineRule="auto"/>
        <w:ind w:firstLine="482"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b/>
          <w:color w:val="auto"/>
          <w:sz w:val="24"/>
          <w:highlight w:val="none"/>
        </w:rPr>
        <w:t>项目名称：</w:t>
      </w:r>
      <w:r>
        <w:rPr>
          <w:rFonts w:hint="eastAsia" w:ascii="宋体" w:hAnsi="宋体" w:cs="宋体"/>
          <w:color w:val="auto"/>
          <w:sz w:val="24"/>
          <w:highlight w:val="none"/>
          <w:lang w:eastAsia="zh-CN"/>
        </w:rPr>
        <w:t>海曙区西门望春社区卫生服务中心住院楼装修改造项目</w:t>
      </w:r>
    </w:p>
    <w:p>
      <w:pPr>
        <w:keepNext w:val="0"/>
        <w:keepLines w:val="0"/>
        <w:pageBreakBefore w:val="0"/>
        <w:kinsoku/>
        <w:wordWrap/>
        <w:overflowPunct/>
        <w:topLinePunct w:val="0"/>
        <w:autoSpaceDE/>
        <w:autoSpaceDN/>
        <w:bidi w:val="0"/>
        <w:adjustRightInd w:val="0"/>
        <w:snapToGrid w:val="0"/>
        <w:spacing w:line="312" w:lineRule="auto"/>
        <w:ind w:firstLine="482" w:firstLineChars="200"/>
        <w:textAlignment w:val="auto"/>
        <w:rPr>
          <w:rFonts w:hint="eastAsia" w:ascii="宋体" w:hAnsi="宋体" w:eastAsia="宋体" w:cs="宋体"/>
          <w:color w:val="auto"/>
          <w:sz w:val="24"/>
          <w:highlight w:val="none"/>
          <w:lang w:val="en-US"/>
        </w:rPr>
      </w:pPr>
      <w:r>
        <w:rPr>
          <w:rFonts w:hint="eastAsia" w:ascii="宋体" w:hAnsi="宋体" w:eastAsia="宋体" w:cs="宋体"/>
          <w:b/>
          <w:color w:val="auto"/>
          <w:sz w:val="24"/>
          <w:highlight w:val="none"/>
        </w:rPr>
        <w:t>预算金额（元）：</w:t>
      </w:r>
      <w:r>
        <w:rPr>
          <w:rFonts w:hint="eastAsia" w:ascii="宋体" w:hAnsi="宋体" w:eastAsia="宋体" w:cs="宋体"/>
          <w:color w:val="auto"/>
          <w:sz w:val="24"/>
          <w:highlight w:val="none"/>
          <w:lang w:val="en-US" w:eastAsia="zh-CN"/>
        </w:rPr>
        <w:t>1685112.00</w:t>
      </w:r>
    </w:p>
    <w:p>
      <w:pPr>
        <w:keepNext w:val="0"/>
        <w:keepLines w:val="0"/>
        <w:pageBreakBefore w:val="0"/>
        <w:kinsoku/>
        <w:wordWrap/>
        <w:overflowPunct/>
        <w:topLinePunct w:val="0"/>
        <w:autoSpaceDE/>
        <w:autoSpaceDN/>
        <w:bidi w:val="0"/>
        <w:adjustRightInd w:val="0"/>
        <w:snapToGri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eastAsia="宋体" w:cs="宋体"/>
          <w:color w:val="auto"/>
          <w:sz w:val="24"/>
          <w:highlight w:val="none"/>
          <w:lang w:val="en-US" w:eastAsia="zh-CN"/>
        </w:rPr>
        <w:t>1685112.00</w:t>
      </w:r>
    </w:p>
    <w:p>
      <w:pPr>
        <w:pStyle w:val="5"/>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ascii="宋体" w:hAnsi="宋体" w:eastAsia="宋体" w:cs="宋体"/>
          <w:b w:val="0"/>
          <w:bCs/>
          <w:color w:val="auto"/>
          <w:sz w:val="24"/>
          <w:highlight w:val="none"/>
        </w:rPr>
        <w:t>主要工程内容：电气改造、</w:t>
      </w:r>
      <w:r>
        <w:rPr>
          <w:rFonts w:hint="eastAsia" w:hAnsi="宋体" w:cs="宋体"/>
          <w:b w:val="0"/>
          <w:bCs/>
          <w:color w:val="auto"/>
          <w:sz w:val="24"/>
          <w:highlight w:val="none"/>
          <w:lang w:val="en-US" w:eastAsia="zh-CN"/>
        </w:rPr>
        <w:t>给排水改造</w:t>
      </w:r>
      <w:r>
        <w:rPr>
          <w:rFonts w:hint="eastAsia" w:ascii="宋体" w:hAnsi="宋体" w:eastAsia="宋体" w:cs="宋体"/>
          <w:b w:val="0"/>
          <w:bCs/>
          <w:color w:val="auto"/>
          <w:sz w:val="24"/>
          <w:highlight w:val="none"/>
        </w:rPr>
        <w:t>、</w:t>
      </w:r>
      <w:r>
        <w:rPr>
          <w:rFonts w:hint="eastAsia" w:hAnsi="宋体" w:cs="宋体"/>
          <w:b w:val="0"/>
          <w:bCs/>
          <w:color w:val="auto"/>
          <w:sz w:val="24"/>
          <w:highlight w:val="none"/>
          <w:lang w:val="en-US" w:eastAsia="zh-CN"/>
        </w:rPr>
        <w:t>装修改造、信息化项目安装</w:t>
      </w:r>
      <w:r>
        <w:rPr>
          <w:rFonts w:hint="eastAsia" w:ascii="宋体" w:hAnsi="宋体" w:eastAsia="宋体" w:cs="宋体"/>
          <w:b w:val="0"/>
          <w:bCs/>
          <w:color w:val="auto"/>
          <w:sz w:val="24"/>
          <w:highlight w:val="none"/>
        </w:rPr>
        <w:t>等工程。</w:t>
      </w:r>
      <w:r>
        <w:rPr>
          <w:rFonts w:hint="eastAsia" w:ascii="宋体" w:hAnsi="宋体" w:eastAsia="宋体" w:cs="宋体"/>
          <w:bCs/>
          <w:snapToGrid/>
          <w:color w:val="auto"/>
          <w:kern w:val="2"/>
          <w:sz w:val="24"/>
          <w:szCs w:val="24"/>
          <w:highlight w:val="none"/>
          <w:lang w:eastAsia="zh-CN"/>
        </w:rPr>
        <w:t>具体以招标文件第三部分采购需求为准，供应商可点击本公告下方“浏览采购文件”查看采购需求。</w:t>
      </w:r>
    </w:p>
    <w:p>
      <w:pPr>
        <w:pStyle w:val="128"/>
        <w:keepNext w:val="0"/>
        <w:keepLines w:val="0"/>
        <w:pageBreakBefore w:val="0"/>
        <w:kinsoku/>
        <w:wordWrap/>
        <w:overflowPunct/>
        <w:topLinePunct w:val="0"/>
        <w:autoSpaceDE/>
        <w:autoSpaceDN/>
        <w:bidi w:val="0"/>
        <w:adjustRightInd w:val="0"/>
        <w:snapToGrid w:val="0"/>
        <w:spacing w:before="0" w:line="312" w:lineRule="auto"/>
        <w:ind w:firstLine="482"/>
        <w:textAlignment w:val="auto"/>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 w:val="0"/>
          <w:bCs/>
          <w:color w:val="auto"/>
          <w:highlight w:val="none"/>
        </w:rPr>
        <w:t>合同签订</w:t>
      </w:r>
      <w:r>
        <w:rPr>
          <w:rFonts w:hint="eastAsia" w:ascii="宋体" w:hAnsi="宋体" w:eastAsia="宋体" w:cs="宋体"/>
          <w:b w:val="0"/>
          <w:bCs/>
          <w:color w:val="auto"/>
          <w:highlight w:val="none"/>
          <w:lang w:eastAsia="zh-CN"/>
        </w:rPr>
        <w:t>生效</w:t>
      </w:r>
      <w:r>
        <w:rPr>
          <w:rFonts w:hint="eastAsia" w:ascii="宋体" w:hAnsi="宋体" w:eastAsia="宋体" w:cs="宋体"/>
          <w:b w:val="0"/>
          <w:bCs/>
          <w:color w:val="auto"/>
          <w:highlight w:val="none"/>
        </w:rPr>
        <w:t>后</w:t>
      </w:r>
      <w:r>
        <w:rPr>
          <w:rFonts w:hint="eastAsia" w:ascii="宋体" w:hAnsi="宋体" w:cs="宋体"/>
          <w:b w:val="0"/>
          <w:bCs/>
          <w:color w:val="auto"/>
          <w:highlight w:val="none"/>
          <w:lang w:val="en-US" w:eastAsia="zh-CN"/>
        </w:rPr>
        <w:t>60</w:t>
      </w:r>
      <w:r>
        <w:rPr>
          <w:rFonts w:hint="eastAsia" w:ascii="宋体" w:hAnsi="宋体" w:eastAsia="宋体" w:cs="宋体"/>
          <w:b w:val="0"/>
          <w:bCs/>
          <w:color w:val="auto"/>
          <w:highlight w:val="none"/>
        </w:rPr>
        <w:t>日历天内完成</w:t>
      </w:r>
      <w:r>
        <w:rPr>
          <w:rFonts w:hint="eastAsia" w:ascii="宋体" w:hAnsi="宋体" w:eastAsia="宋体" w:cs="宋体"/>
          <w:b w:val="0"/>
          <w:bCs/>
          <w:color w:val="auto"/>
          <w:highlight w:val="none"/>
          <w:lang w:eastAsia="zh-CN"/>
        </w:rPr>
        <w:t>工程施工</w:t>
      </w:r>
      <w:r>
        <w:rPr>
          <w:rFonts w:hint="eastAsia" w:ascii="宋体" w:hAnsi="宋体" w:eastAsia="宋体" w:cs="宋体"/>
          <w:b w:val="0"/>
          <w:bCs/>
          <w:color w:val="auto"/>
          <w:highlight w:val="none"/>
        </w:rPr>
        <w:t>，并通过验收。</w:t>
      </w:r>
    </w:p>
    <w:p>
      <w:pPr>
        <w:pStyle w:val="5"/>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本项目接受联合体：</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ascii="宋体" w:hAnsi="宋体" w:eastAsia="宋体" w:cs="宋体"/>
          <w:color w:val="auto"/>
          <w:sz w:val="24"/>
          <w:highlight w:val="none"/>
        </w:rPr>
        <w:t>是；</w:t>
      </w:r>
      <w:sdt>
        <w:sdtPr>
          <w:rPr>
            <w:rFonts w:hint="eastAsia" w:ascii="宋体" w:hAnsi="宋体" w:eastAsia="宋体" w:cs="宋体"/>
            <w:color w:val="auto"/>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color w:val="auto"/>
            <w:sz w:val="24"/>
            <w:highlight w:val="none"/>
          </w:rPr>
        </w:sdtEndPr>
        <w:sdtContent>
          <w:r>
            <w:rPr>
              <w:rFonts w:hint="eastAsia" w:ascii="MS Gothic" w:hAnsi="MS Gothic" w:eastAsia="宋体" w:cs="宋体"/>
              <w:snapToGrid w:val="0"/>
              <w:color w:val="auto"/>
              <w:kern w:val="28"/>
              <w:sz w:val="24"/>
              <w:szCs w:val="20"/>
              <w:highlight w:val="none"/>
              <w:lang w:val="en-US" w:eastAsia="zh-CN" w:bidi="ar-SA"/>
            </w:rPr>
            <w:t>☐</w:t>
          </w:r>
        </w:sdtContent>
      </w:sdt>
      <w:r>
        <w:rPr>
          <w:rFonts w:hint="eastAsia" w:ascii="宋体" w:hAnsi="宋体" w:eastAsia="宋体" w:cs="宋体"/>
          <w:color w:val="auto"/>
          <w:sz w:val="24"/>
          <w:highlight w:val="none"/>
        </w:rPr>
        <w:t>否</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w:t>
      </w:r>
      <w:bookmarkStart w:id="17" w:name="_Hlk101132948"/>
      <w:r>
        <w:rPr>
          <w:rFonts w:hint="eastAsia" w:ascii="宋体" w:hAnsi="宋体" w:eastAsia="宋体" w:cs="宋体"/>
          <w:b/>
          <w:color w:val="auto"/>
          <w:sz w:val="24"/>
          <w:highlight w:val="none"/>
        </w:rPr>
        <w:t>申请人的资格要求</w:t>
      </w:r>
      <w:bookmarkEnd w:id="17"/>
      <w:r>
        <w:rPr>
          <w:rFonts w:hint="eastAsia" w:ascii="宋体" w:hAnsi="宋体" w:eastAsia="宋体" w:cs="宋体"/>
          <w:b/>
          <w:color w:val="auto"/>
          <w:sz w:val="24"/>
          <w:highlight w:val="none"/>
        </w:rPr>
        <w:t>：</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rPr>
        <w:t>、中国政府采购网（www.ccgp.gov.cn）列入失信被执行人、重大税收违法案件当事人名单</w:t>
      </w:r>
      <w:r>
        <w:rPr>
          <w:rFonts w:hint="eastAsia" w:ascii="宋体" w:hAnsi="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lang w:val="en-US" w:eastAsia="zh-CN"/>
        </w:rPr>
        <w:t>即：重大税收违法失信主体</w:t>
      </w:r>
      <w:r>
        <w:rPr>
          <w:rFonts w:hint="eastAsia" w:ascii="宋体" w:hAnsi="宋体" w:cs="宋体"/>
          <w:snapToGrid w:val="0"/>
          <w:color w:val="auto"/>
          <w:kern w:val="28"/>
          <w:sz w:val="24"/>
          <w:szCs w:val="20"/>
          <w:highlight w:val="none"/>
          <w:lang w:val="en-US" w:eastAsia="zh-CN"/>
        </w:rPr>
        <w:t>）</w:t>
      </w:r>
      <w:r>
        <w:rPr>
          <w:rFonts w:hint="eastAsia" w:ascii="宋体" w:hAnsi="宋体" w:eastAsia="宋体" w:cs="宋体"/>
          <w:snapToGrid w:val="0"/>
          <w:color w:val="auto"/>
          <w:kern w:val="28"/>
          <w:sz w:val="24"/>
          <w:szCs w:val="20"/>
          <w:highlight w:val="none"/>
        </w:rPr>
        <w:t>、政府采购严重违法失信行为记录名单；</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以联合体形式参与的，提供联合协议</w:t>
      </w:r>
      <w:r>
        <w:rPr>
          <w:rFonts w:hint="eastAsia" w:ascii="宋体" w:hAnsi="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rPr>
        <w:t>本项目不接受联合体或者供应商不以联合体形式参与的，则不需要提供</w:t>
      </w:r>
      <w:r>
        <w:rPr>
          <w:rFonts w:hint="eastAsia" w:ascii="宋体" w:hAnsi="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rPr>
        <w:t xml:space="preserve"> ；</w:t>
      </w:r>
    </w:p>
    <w:p>
      <w:pPr>
        <w:keepNext w:val="0"/>
        <w:keepLines w:val="0"/>
        <w:pageBreakBefore w:val="0"/>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keepNext w:val="0"/>
        <w:keepLines w:val="0"/>
        <w:pageBreakBefore w:val="0"/>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无；</w:t>
      </w:r>
    </w:p>
    <w:p>
      <w:pPr>
        <w:keepNext w:val="0"/>
        <w:keepLines w:val="0"/>
        <w:pageBreakBefore w:val="0"/>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keepNext w:val="0"/>
        <w:keepLines w:val="0"/>
        <w:pageBreakBefore w:val="0"/>
        <w:kinsoku/>
        <w:wordWrap/>
        <w:overflowPunct/>
        <w:topLinePunct w:val="0"/>
        <w:autoSpaceDE/>
        <w:autoSpaceDN/>
        <w:bidi w:val="0"/>
        <w:adjustRightInd w:val="0"/>
        <w:spacing w:line="312" w:lineRule="auto"/>
        <w:ind w:firstLine="897" w:firstLineChars="374"/>
        <w:textAlignment w:val="auto"/>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sz w:val="24"/>
          <w:highlight w:val="none"/>
        </w:rPr>
        <w:t>工程全部由符合政策要求的中小企业承建，提供中小企业声明函；</w:t>
      </w:r>
    </w:p>
    <w:p>
      <w:pPr>
        <w:keepNext w:val="0"/>
        <w:keepLines w:val="0"/>
        <w:pageBreakBefore w:val="0"/>
        <w:kinsoku/>
        <w:wordWrap/>
        <w:overflowPunct/>
        <w:topLinePunct w:val="0"/>
        <w:autoSpaceDE/>
        <w:autoSpaceDN/>
        <w:bidi w:val="0"/>
        <w:adjustRightInd w:val="0"/>
        <w:spacing w:line="312" w:lineRule="auto"/>
        <w:ind w:firstLine="897" w:firstLineChars="374"/>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工程全部由符合政策要求的小微企业承建，提供中小企业声明函；</w:t>
      </w:r>
    </w:p>
    <w:p>
      <w:pPr>
        <w:keepNext w:val="0"/>
        <w:keepLines w:val="0"/>
        <w:pageBreakBefore w:val="0"/>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bookmarkStart w:id="18" w:name="_Hlk101132524"/>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eastAsia="宋体" w:cs="宋体"/>
          <w:color w:val="auto"/>
          <w:spacing w:val="8"/>
          <w:kern w:val="0"/>
          <w:sz w:val="24"/>
          <w:highlight w:val="none"/>
        </w:rPr>
        <w:t>如果供应商本身提供所有标的均由中小企业承建，并相应达到了前述比例要求，视同符合了资格条件，无需再与其他中小企业组成联合体参加政府采购活动，无需提供联合协议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bookmarkEnd w:id="18"/>
    <w:p>
      <w:pPr>
        <w:keepNext w:val="0"/>
        <w:keepLines w:val="0"/>
        <w:pageBreakBefore w:val="0"/>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w:t>
      </w:r>
      <w:r>
        <w:rPr>
          <w:rFonts w:hint="eastAsia" w:ascii="宋体" w:hAnsi="宋体" w:cs="宋体"/>
          <w:color w:val="auto"/>
          <w:sz w:val="24"/>
          <w:highlight w:val="none"/>
          <w:lang w:eastAsia="zh-CN"/>
        </w:rPr>
        <w:t>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eastAsia="宋体" w:cs="宋体"/>
          <w:color w:val="auto"/>
          <w:spacing w:val="8"/>
          <w:kern w:val="0"/>
          <w:sz w:val="24"/>
          <w:highlight w:val="none"/>
        </w:rPr>
        <w:t>如果供应商本身提供所有标的均由中小企业承建，并相应达到了前述比例要求，视同符合了资格条件，无需再向中小企业分包，无需提供分包意向协议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keepNext w:val="0"/>
        <w:keepLines w:val="0"/>
        <w:pageBreakBefore w:val="0"/>
        <w:widowControl/>
        <w:numPr>
          <w:ilvl w:val="0"/>
          <w:numId w:val="0"/>
        </w:numPr>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strike/>
          <w:color w:val="auto"/>
          <w:sz w:val="24"/>
          <w:highlight w:val="none"/>
          <w:lang w:val="en-US" w:eastAsia="zh-CN"/>
        </w:rPr>
      </w:pPr>
      <w:r>
        <w:rPr>
          <w:rFonts w:hint="eastAsia" w:ascii="宋体" w:hAnsi="宋体" w:eastAsia="宋体" w:cs="宋体"/>
          <w:strike w:val="0"/>
          <w:color w:val="auto"/>
          <w:kern w:val="2"/>
          <w:sz w:val="24"/>
          <w:szCs w:val="24"/>
          <w:highlight w:val="none"/>
          <w:lang w:val="en-US" w:eastAsia="zh-CN" w:bidi="ar-SA"/>
        </w:rPr>
        <w:t>4.</w:t>
      </w:r>
      <w:r>
        <w:rPr>
          <w:rFonts w:hint="eastAsia" w:ascii="宋体" w:hAnsi="宋体" w:eastAsia="宋体" w:cs="宋体"/>
          <w:color w:val="auto"/>
          <w:spacing w:val="8"/>
          <w:kern w:val="0"/>
          <w:sz w:val="24"/>
          <w:highlight w:val="none"/>
        </w:rPr>
        <w:t>本项目的特定资格要求：本次招标要求</w:t>
      </w:r>
      <w:r>
        <w:rPr>
          <w:rFonts w:hint="eastAsia" w:ascii="宋体" w:hAnsi="宋体" w:cs="宋体"/>
          <w:color w:val="auto"/>
          <w:spacing w:val="8"/>
          <w:kern w:val="0"/>
          <w:sz w:val="24"/>
          <w:highlight w:val="none"/>
          <w:lang w:val="en-US" w:eastAsia="zh-CN"/>
        </w:rPr>
        <w:t>供应商</w:t>
      </w:r>
      <w:r>
        <w:rPr>
          <w:rFonts w:hint="eastAsia" w:ascii="宋体" w:hAnsi="宋体" w:eastAsia="宋体" w:cs="宋体"/>
          <w:color w:val="auto"/>
          <w:spacing w:val="8"/>
          <w:kern w:val="0"/>
          <w:sz w:val="24"/>
          <w:highlight w:val="none"/>
        </w:rPr>
        <w:t>必须同时具备以下</w:t>
      </w:r>
      <w:r>
        <w:rPr>
          <w:rFonts w:hint="eastAsia" w:ascii="宋体" w:hAnsi="宋体" w:cs="宋体"/>
          <w:color w:val="auto"/>
          <w:spacing w:val="8"/>
          <w:kern w:val="0"/>
          <w:sz w:val="24"/>
          <w:highlight w:val="none"/>
          <w:lang w:val="en-US" w:eastAsia="zh-CN"/>
        </w:rPr>
        <w:t>①、②</w:t>
      </w:r>
      <w:r>
        <w:rPr>
          <w:rFonts w:hint="eastAsia" w:ascii="宋体" w:hAnsi="宋体" w:eastAsia="宋体" w:cs="宋体"/>
          <w:color w:val="auto"/>
          <w:spacing w:val="8"/>
          <w:kern w:val="0"/>
          <w:sz w:val="24"/>
          <w:highlight w:val="none"/>
        </w:rPr>
        <w:t>资质或由以下</w:t>
      </w:r>
      <w:r>
        <w:rPr>
          <w:rFonts w:hint="eastAsia" w:ascii="宋体" w:hAnsi="宋体" w:eastAsia="宋体" w:cs="宋体"/>
          <w:color w:val="auto"/>
          <w:spacing w:val="8"/>
          <w:kern w:val="0"/>
          <w:sz w:val="24"/>
          <w:highlight w:val="none"/>
          <w:lang w:val="en-US" w:eastAsia="zh-CN"/>
        </w:rPr>
        <w:t>①、②</w:t>
      </w:r>
      <w:r>
        <w:rPr>
          <w:rFonts w:hint="eastAsia" w:ascii="宋体" w:hAnsi="宋体" w:eastAsia="宋体" w:cs="宋体"/>
          <w:color w:val="auto"/>
          <w:spacing w:val="8"/>
          <w:kern w:val="0"/>
          <w:sz w:val="24"/>
          <w:highlight w:val="none"/>
        </w:rPr>
        <w:t>资质组成的联合体</w:t>
      </w:r>
      <w:r>
        <w:rPr>
          <w:rFonts w:hint="eastAsia" w:ascii="宋体" w:hAnsi="宋体" w:cs="宋体"/>
          <w:color w:val="auto"/>
          <w:spacing w:val="8"/>
          <w:kern w:val="0"/>
          <w:sz w:val="24"/>
          <w:highlight w:val="none"/>
          <w:lang w:eastAsia="zh-CN"/>
        </w:rPr>
        <w:t>：</w:t>
      </w:r>
      <w:r>
        <w:rPr>
          <w:rFonts w:hint="eastAsia" w:ascii="宋体" w:hAnsi="宋体" w:cs="宋体"/>
          <w:color w:val="auto"/>
          <w:spacing w:val="8"/>
          <w:kern w:val="0"/>
          <w:sz w:val="24"/>
          <w:highlight w:val="none"/>
          <w:lang w:val="en-US" w:eastAsia="zh-CN"/>
        </w:rPr>
        <w:t>①</w:t>
      </w:r>
      <w:r>
        <w:rPr>
          <w:rFonts w:hint="eastAsia" w:ascii="宋体" w:hAnsi="宋体" w:eastAsia="宋体" w:cs="宋体"/>
          <w:color w:val="auto"/>
          <w:spacing w:val="8"/>
          <w:kern w:val="0"/>
          <w:sz w:val="24"/>
          <w:highlight w:val="none"/>
          <w:lang w:eastAsia="zh-CN"/>
        </w:rPr>
        <w:t>建筑装饰装修工程专业承包</w:t>
      </w:r>
      <w:r>
        <w:rPr>
          <w:rFonts w:hint="eastAsia" w:ascii="宋体" w:hAnsi="宋体" w:cs="宋体"/>
          <w:color w:val="auto"/>
          <w:spacing w:val="8"/>
          <w:kern w:val="0"/>
          <w:sz w:val="24"/>
          <w:highlight w:val="none"/>
          <w:lang w:val="en-US" w:eastAsia="zh-CN"/>
        </w:rPr>
        <w:t>二级及以上</w:t>
      </w:r>
      <w:r>
        <w:rPr>
          <w:rFonts w:hint="eastAsia" w:ascii="宋体" w:hAnsi="宋体" w:eastAsia="宋体" w:cs="宋体"/>
          <w:color w:val="auto"/>
          <w:spacing w:val="8"/>
          <w:kern w:val="0"/>
          <w:sz w:val="24"/>
          <w:highlight w:val="none"/>
          <w:lang w:eastAsia="zh-CN"/>
        </w:rPr>
        <w:t>资质</w:t>
      </w:r>
      <w:r>
        <w:rPr>
          <w:rFonts w:hint="eastAsia" w:ascii="宋体" w:hAnsi="宋体" w:cs="宋体"/>
          <w:color w:val="auto"/>
          <w:spacing w:val="8"/>
          <w:kern w:val="0"/>
          <w:sz w:val="24"/>
          <w:highlight w:val="none"/>
          <w:lang w:val="en-US" w:eastAsia="zh-CN"/>
        </w:rPr>
        <w:t>或房屋建筑工程施工总承包企业三级及以上资质；②电子与智能化工程专业承包贰级及以上资质</w:t>
      </w:r>
      <w:r>
        <w:rPr>
          <w:rFonts w:hint="eastAsia" w:ascii="宋体" w:hAnsi="宋体" w:eastAsia="宋体" w:cs="宋体"/>
          <w:color w:val="auto"/>
          <w:spacing w:val="8"/>
          <w:kern w:val="0"/>
          <w:sz w:val="24"/>
          <w:highlight w:val="none"/>
          <w:lang w:eastAsia="zh-CN"/>
        </w:rPr>
        <w:t>。（</w:t>
      </w:r>
      <w:r>
        <w:rPr>
          <w:rFonts w:hint="eastAsia" w:ascii="宋体" w:hAnsi="宋体" w:eastAsia="宋体" w:cs="宋体"/>
          <w:color w:val="auto"/>
          <w:spacing w:val="8"/>
          <w:kern w:val="0"/>
          <w:sz w:val="24"/>
          <w:highlight w:val="none"/>
          <w:lang w:val="en-US" w:eastAsia="zh-CN"/>
        </w:rPr>
        <w:t>响应</w:t>
      </w:r>
      <w:r>
        <w:rPr>
          <w:rFonts w:hint="eastAsia" w:ascii="宋体" w:hAnsi="宋体" w:eastAsia="宋体" w:cs="宋体"/>
          <w:color w:val="auto"/>
          <w:spacing w:val="8"/>
          <w:kern w:val="0"/>
          <w:sz w:val="24"/>
          <w:highlight w:val="none"/>
          <w:lang w:eastAsia="zh-CN"/>
        </w:rPr>
        <w:t>文件中须提供证书复印件加盖公章）</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三、获取采购文件 </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cs="宋体"/>
          <w:b w:val="0"/>
          <w:bCs/>
          <w:color w:val="auto"/>
          <w:sz w:val="24"/>
          <w:highlight w:val="none"/>
          <w:lang w:eastAsia="zh-CN"/>
        </w:rPr>
        <w:t>2024</w:t>
      </w:r>
      <w:r>
        <w:rPr>
          <w:rFonts w:hint="eastAsia" w:ascii="宋体" w:hAnsi="宋体" w:eastAsia="宋体" w:cs="宋体"/>
          <w:b w:val="0"/>
          <w:bCs/>
          <w:color w:val="auto"/>
          <w:sz w:val="24"/>
          <w:highlight w:val="none"/>
        </w:rPr>
        <w:t>年</w:t>
      </w:r>
      <w:r>
        <w:rPr>
          <w:rFonts w:hint="eastAsia" w:ascii="宋体" w:hAnsi="宋体" w:cs="宋体"/>
          <w:b w:val="0"/>
          <w:bCs/>
          <w:color w:val="auto"/>
          <w:sz w:val="24"/>
          <w:highlight w:val="none"/>
          <w:lang w:val="en-US" w:eastAsia="zh-CN"/>
        </w:rPr>
        <w:t>04</w:t>
      </w:r>
      <w:r>
        <w:rPr>
          <w:rFonts w:hint="eastAsia" w:ascii="宋体" w:hAnsi="宋体" w:eastAsia="宋体" w:cs="宋体"/>
          <w:b w:val="0"/>
          <w:bCs/>
          <w:color w:val="auto"/>
          <w:sz w:val="24"/>
          <w:highlight w:val="none"/>
        </w:rPr>
        <w:t>月</w:t>
      </w:r>
      <w:r>
        <w:rPr>
          <w:rFonts w:hint="eastAsia" w:ascii="宋体" w:hAnsi="宋体" w:cs="宋体"/>
          <w:b w:val="0"/>
          <w:bCs/>
          <w:color w:val="auto"/>
          <w:sz w:val="24"/>
          <w:highlight w:val="none"/>
          <w:lang w:val="en-US" w:eastAsia="zh-CN"/>
        </w:rPr>
        <w:t>16</w:t>
      </w:r>
      <w:r>
        <w:rPr>
          <w:rFonts w:hint="eastAsia" w:ascii="宋体" w:hAnsi="宋体" w:eastAsia="宋体" w:cs="宋体"/>
          <w:b w:val="0"/>
          <w:bCs/>
          <w:color w:val="auto"/>
          <w:sz w:val="24"/>
          <w:highlight w:val="none"/>
        </w:rPr>
        <w:t>日至</w:t>
      </w:r>
      <w:r>
        <w:rPr>
          <w:rFonts w:hint="eastAsia" w:ascii="宋体" w:hAnsi="宋体" w:cs="宋体"/>
          <w:b w:val="0"/>
          <w:bCs/>
          <w:color w:val="auto"/>
          <w:sz w:val="24"/>
          <w:highlight w:val="none"/>
          <w:lang w:eastAsia="zh-CN"/>
        </w:rPr>
        <w:t>2024</w:t>
      </w:r>
      <w:r>
        <w:rPr>
          <w:rFonts w:hint="eastAsia" w:ascii="宋体" w:hAnsi="宋体" w:eastAsia="宋体" w:cs="宋体"/>
          <w:b w:val="0"/>
          <w:bCs/>
          <w:color w:val="auto"/>
          <w:sz w:val="24"/>
          <w:highlight w:val="none"/>
        </w:rPr>
        <w:t>年</w:t>
      </w:r>
      <w:r>
        <w:rPr>
          <w:rFonts w:hint="eastAsia" w:ascii="宋体" w:hAnsi="宋体" w:cs="宋体"/>
          <w:b w:val="0"/>
          <w:bCs/>
          <w:color w:val="auto"/>
          <w:sz w:val="24"/>
          <w:highlight w:val="none"/>
          <w:lang w:val="en-US" w:eastAsia="zh-CN"/>
        </w:rPr>
        <w:t>04</w:t>
      </w:r>
      <w:r>
        <w:rPr>
          <w:rFonts w:hint="eastAsia" w:ascii="宋体" w:hAnsi="宋体" w:eastAsia="宋体" w:cs="宋体"/>
          <w:b w:val="0"/>
          <w:bCs/>
          <w:color w:val="auto"/>
          <w:sz w:val="24"/>
          <w:highlight w:val="none"/>
        </w:rPr>
        <w:t>月</w:t>
      </w:r>
      <w:r>
        <w:rPr>
          <w:rFonts w:hint="eastAsia" w:ascii="宋体" w:hAnsi="宋体" w:cs="宋体"/>
          <w:b w:val="0"/>
          <w:bCs/>
          <w:color w:val="auto"/>
          <w:sz w:val="24"/>
          <w:highlight w:val="none"/>
          <w:lang w:val="en-US" w:eastAsia="zh-CN"/>
        </w:rPr>
        <w:t>23</w:t>
      </w:r>
      <w:r>
        <w:rPr>
          <w:rFonts w:hint="eastAsia" w:ascii="宋体" w:hAnsi="宋体" w:eastAsia="宋体" w:cs="宋体"/>
          <w:b w:val="0"/>
          <w:bCs/>
          <w:color w:val="auto"/>
          <w:sz w:val="24"/>
          <w:highlight w:val="non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四、响应文件提交（上传）</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截止时间：</w:t>
      </w:r>
      <w:r>
        <w:rPr>
          <w:rFonts w:hint="eastAsia" w:ascii="宋体" w:hAnsi="宋体" w:cs="宋体"/>
          <w:color w:val="auto"/>
          <w:sz w:val="24"/>
          <w:highlight w:val="none"/>
          <w:u w:val="single"/>
          <w:lang w:eastAsia="zh-CN"/>
        </w:rPr>
        <w:t>2024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r>
        <w:rPr>
          <w:rFonts w:hint="eastAsia" w:ascii="宋体" w:hAnsi="宋体" w:eastAsia="宋体" w:cs="宋体"/>
          <w:color w:val="auto"/>
          <w:sz w:val="24"/>
          <w:highlight w:val="none"/>
        </w:rPr>
        <w:t>（北京时间）</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宁波市海曙区公共资源交易中心二楼开标室（</w:t>
      </w:r>
      <w:r>
        <w:rPr>
          <w:rFonts w:hint="eastAsia" w:ascii="宋体" w:hAnsi="宋体" w:cs="宋体"/>
          <w:color w:val="auto"/>
          <w:sz w:val="24"/>
          <w:highlight w:val="none"/>
          <w:lang w:val="en-US" w:eastAsia="zh-CN"/>
        </w:rPr>
        <w:t>二</w:t>
      </w:r>
      <w:r>
        <w:rPr>
          <w:rFonts w:hint="eastAsia" w:ascii="宋体" w:hAnsi="宋体" w:eastAsia="宋体" w:cs="宋体"/>
          <w:color w:val="auto"/>
          <w:sz w:val="24"/>
          <w:highlight w:val="none"/>
        </w:rPr>
        <w:t xml:space="preserve">）[宁波市海曙区气象路58号(南门上)]。政府采购云平台（http://www.zcygov.cn/）。 </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五、响应文件开启 </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开启时间：</w:t>
      </w:r>
      <w:r>
        <w:rPr>
          <w:rFonts w:hint="eastAsia" w:ascii="宋体" w:hAnsi="宋体" w:cs="宋体"/>
          <w:color w:val="auto"/>
          <w:sz w:val="24"/>
          <w:highlight w:val="none"/>
          <w:u w:val="single"/>
          <w:lang w:eastAsia="zh-CN"/>
        </w:rPr>
        <w:t>2024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04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eastAsia="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eastAsia="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eastAsia="宋体" w:cs="宋体"/>
          <w:color w:val="auto"/>
          <w:sz w:val="24"/>
          <w:highlight w:val="none"/>
          <w:u w:val="single"/>
        </w:rPr>
        <w:t>分</w:t>
      </w:r>
    </w:p>
    <w:p>
      <w:pPr>
        <w:keepNext w:val="0"/>
        <w:keepLines w:val="0"/>
        <w:pageBreakBefore w:val="0"/>
        <w:kinsoku/>
        <w:wordWrap/>
        <w:overflowPunct/>
        <w:topLinePunct w:val="0"/>
        <w:autoSpaceDE/>
        <w:autoSpaceDN/>
        <w:bidi w:val="0"/>
        <w:adjustRightInd w:val="0"/>
        <w:spacing w:line="312"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宁波市海曙区公共资源交易中心二楼开标室（</w:t>
      </w:r>
      <w:r>
        <w:rPr>
          <w:rFonts w:hint="eastAsia" w:ascii="宋体" w:hAnsi="宋体" w:cs="宋体"/>
          <w:color w:val="auto"/>
          <w:sz w:val="24"/>
          <w:highlight w:val="none"/>
          <w:lang w:val="en-US" w:eastAsia="zh-CN"/>
        </w:rPr>
        <w:t>二</w:t>
      </w:r>
      <w:r>
        <w:rPr>
          <w:rFonts w:hint="eastAsia" w:ascii="宋体" w:hAnsi="宋体" w:eastAsia="宋体" w:cs="宋体"/>
          <w:color w:val="auto"/>
          <w:sz w:val="24"/>
          <w:highlight w:val="none"/>
        </w:rPr>
        <w:t>）[宁波市海曙区气象路58号(南门上)]。政府采购云平台（http://www.zcygov.cn/）。</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六、公告期限 </w:t>
      </w:r>
    </w:p>
    <w:p>
      <w:pPr>
        <w:keepNext w:val="0"/>
        <w:keepLines w:val="0"/>
        <w:pageBreakBefore w:val="0"/>
        <w:kinsoku/>
        <w:wordWrap/>
        <w:overflowPunct/>
        <w:topLinePunct w:val="0"/>
        <w:autoSpaceDE/>
        <w:autoSpaceDN/>
        <w:bidi w:val="0"/>
        <w:adjustRightIn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自本公告发布之日起3个工作日。</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七、其他补充事宜</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b/>
          <w:color w:val="auto"/>
          <w:kern w:val="0"/>
          <w:sz w:val="24"/>
          <w:highlight w:val="none"/>
        </w:rPr>
        <w:t>（1）需要落实的政府采购政策：</w:t>
      </w:r>
      <w:r>
        <w:rPr>
          <w:rFonts w:hint="eastAsia" w:cs="宋体" w:asciiTheme="minorEastAsia" w:hAnsiTheme="minorEastAsia" w:eastAsiaTheme="minorEastAsia"/>
          <w:color w:val="auto"/>
          <w:kern w:val="0"/>
          <w:sz w:val="24"/>
          <w:highlight w:val="none"/>
        </w:rPr>
        <w:t>包括节约资源、保护环境、</w:t>
      </w:r>
      <w:r>
        <w:rPr>
          <w:rFonts w:hint="eastAsia" w:cs="宋体" w:asciiTheme="minorEastAsia" w:hAnsiTheme="minorEastAsia" w:eastAsiaTheme="minorEastAsia"/>
          <w:color w:val="auto"/>
          <w:sz w:val="24"/>
          <w:highlight w:val="none"/>
        </w:rPr>
        <w:t>支持创新、</w:t>
      </w:r>
      <w:r>
        <w:rPr>
          <w:rFonts w:hint="eastAsia" w:cs="宋体" w:asciiTheme="minorEastAsia" w:hAnsiTheme="minorEastAsia" w:eastAsiaTheme="minorEastAsia"/>
          <w:color w:val="auto"/>
          <w:kern w:val="0"/>
          <w:sz w:val="24"/>
          <w:highlight w:val="none"/>
        </w:rPr>
        <w:t>促进中小企业发展等，详见磋商文件第三部分。</w:t>
      </w:r>
    </w:p>
    <w:p>
      <w:pPr>
        <w:keepNext w:val="0"/>
        <w:keepLines w:val="0"/>
        <w:pageBreakBefore w:val="0"/>
        <w:widowControl w:val="0"/>
        <w:kinsoku/>
        <w:wordWrap/>
        <w:overflowPunct/>
        <w:topLinePunct w:val="0"/>
        <w:autoSpaceDE/>
        <w:autoSpaceDN/>
        <w:bidi w:val="0"/>
        <w:adjustRightInd w:val="0"/>
        <w:spacing w:line="360" w:lineRule="auto"/>
        <w:ind w:firstLine="482" w:firstLineChars="200"/>
        <w:textAlignment w:val="auto"/>
        <w:outlineLvl w:val="9"/>
        <w:rPr>
          <w:rFonts w:hint="eastAsia" w:cs="仿宋_GB2312" w:asciiTheme="minorEastAsia" w:hAnsiTheme="minorEastAsia" w:eastAsiaTheme="minorEastAsia"/>
          <w:color w:val="auto"/>
          <w:sz w:val="24"/>
          <w:highlight w:val="none"/>
        </w:rPr>
      </w:pPr>
      <w:r>
        <w:rPr>
          <w:rFonts w:hint="eastAsia" w:cs="宋体" w:asciiTheme="minorEastAsia" w:hAnsiTheme="minorEastAsia" w:eastAsiaTheme="minorEastAsia"/>
          <w:b/>
          <w:color w:val="auto"/>
          <w:kern w:val="0"/>
          <w:sz w:val="24"/>
          <w:szCs w:val="20"/>
          <w:highlight w:val="none"/>
        </w:rPr>
        <w:t>（2）</w:t>
      </w:r>
      <w:r>
        <w:rPr>
          <w:rFonts w:hint="eastAsia" w:cs="仿宋_GB2312" w:asciiTheme="minorEastAsia" w:hAnsiTheme="minorEastAsia" w:eastAsiaTheme="minorEastAsia"/>
          <w:b/>
          <w:color w:val="auto"/>
          <w:sz w:val="24"/>
          <w:highlight w:val="none"/>
        </w:rPr>
        <w:t>电子交易的说明: 1）电子交易：</w:t>
      </w:r>
      <w:r>
        <w:rPr>
          <w:rFonts w:hint="eastAsia" w:cs="仿宋_GB2312" w:asciiTheme="minorEastAsia" w:hAnsiTheme="minorEastAsia" w:eastAsiaTheme="minorEastAsia"/>
          <w:color w:val="auto"/>
          <w:sz w:val="24"/>
          <w:highlight w:val="none"/>
        </w:rPr>
        <w:t>本项目以数据电文形式，依托“政府采购云平台（www.zcygov.cn）”进行采购活动，不接受纸质响应文件。</w:t>
      </w:r>
      <w:r>
        <w:rPr>
          <w:rFonts w:hint="eastAsia" w:cs="仿宋_GB2312" w:asciiTheme="minorEastAsia" w:hAnsiTheme="minorEastAsia" w:eastAsiaTheme="minorEastAsia"/>
          <w:b/>
          <w:color w:val="auto"/>
          <w:sz w:val="24"/>
          <w:highlight w:val="none"/>
        </w:rPr>
        <w:t>2）响应准备：</w:t>
      </w:r>
      <w:r>
        <w:rPr>
          <w:rFonts w:hint="eastAsia" w:cs="仿宋_GB2312" w:asciiTheme="minorEastAsia" w:hAnsiTheme="minorEastAsia" w:eastAsiaTheme="minorEastAsia"/>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color w:val="auto"/>
          <w:sz w:val="24"/>
          <w:highlight w:val="none"/>
        </w:rPr>
        <w:t>3）磋商文件的获取：</w:t>
      </w:r>
      <w:r>
        <w:rPr>
          <w:rFonts w:hint="eastAsia" w:cs="仿宋_GB2312" w:asciiTheme="minorEastAsia" w:hAnsiTheme="minorEastAsia" w:eastAsiaTheme="minorEastAsia"/>
          <w:color w:val="auto"/>
          <w:sz w:val="24"/>
          <w:highlight w:val="none"/>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color w:val="auto"/>
          <w:sz w:val="24"/>
          <w:highlight w:val="none"/>
        </w:rPr>
        <w:t>4）响应文件的制作：</w:t>
      </w:r>
      <w:r>
        <w:rPr>
          <w:rFonts w:hint="eastAsia" w:cs="仿宋_GB2312" w:asciiTheme="minorEastAsia" w:hAnsiTheme="minorEastAsia" w:eastAsiaTheme="minorEastAsia"/>
          <w:color w:val="auto"/>
          <w:sz w:val="24"/>
          <w:highlight w:val="none"/>
        </w:rPr>
        <w:t>在“政采云电子交易客户端”中完成“填写基本信息”、“导入投标文件”、“标书关联”、“标书检查”、“电子签名”、“生成电子标书”等操作。</w:t>
      </w:r>
      <w:r>
        <w:rPr>
          <w:rFonts w:cs="仿宋_GB2312" w:asciiTheme="minorEastAsia" w:hAnsiTheme="minorEastAsia" w:eastAsiaTheme="minorEastAsia"/>
          <w:b/>
          <w:color w:val="auto"/>
          <w:sz w:val="24"/>
          <w:highlight w:val="none"/>
        </w:rPr>
        <w:t>5）</w:t>
      </w:r>
      <w:r>
        <w:rPr>
          <w:rFonts w:hint="eastAsia" w:cs="仿宋_GB2312" w:asciiTheme="minorEastAsia" w:hAnsiTheme="minorEastAsia" w:eastAsiaTheme="minorEastAsia"/>
          <w:color w:val="auto"/>
          <w:sz w:val="24"/>
          <w:highlight w:val="none"/>
        </w:rPr>
        <w:t>采购人、</w:t>
      </w:r>
      <w:r>
        <w:rPr>
          <w:rFonts w:hint="eastAsia" w:cs="仿宋_GB2312" w:asciiTheme="minorEastAsia" w:hAnsiTheme="minorEastAsia" w:eastAsiaTheme="minorEastAsia"/>
          <w:color w:val="auto"/>
          <w:sz w:val="24"/>
          <w:highlight w:val="none"/>
          <w:lang w:eastAsia="zh-CN"/>
        </w:rPr>
        <w:t>采购代理机构</w:t>
      </w:r>
      <w:r>
        <w:rPr>
          <w:rFonts w:hint="eastAsia" w:cs="仿宋_GB2312" w:asciiTheme="minorEastAsia" w:hAnsiTheme="minorEastAsia" w:eastAsiaTheme="minorEastAsia"/>
          <w:color w:val="auto"/>
          <w:sz w:val="24"/>
          <w:highlight w:val="none"/>
        </w:rPr>
        <w:t>将依托政采云平台完成本项目的电子交易活动，平台不接受未按本公告约定方式获取磋商文件的供应商进行响应活动；</w:t>
      </w:r>
      <w:r>
        <w:rPr>
          <w:rFonts w:cs="仿宋_GB2312" w:asciiTheme="minorEastAsia" w:hAnsiTheme="minorEastAsia" w:eastAsiaTheme="minorEastAsia"/>
          <w:b/>
          <w:color w:val="auto"/>
          <w:sz w:val="24"/>
          <w:highlight w:val="none"/>
        </w:rPr>
        <w:t>6）</w:t>
      </w:r>
      <w:r>
        <w:rPr>
          <w:rFonts w:hint="eastAsia" w:cs="仿宋_GB2312" w:asciiTheme="minorEastAsia" w:hAnsiTheme="minorEastAsia" w:eastAsiaTheme="minorEastAsia"/>
          <w:color w:val="auto"/>
          <w:sz w:val="24"/>
          <w:highlight w:val="none"/>
        </w:rPr>
        <w:t>对未按上述方式获取磋商文件的供应商对该文件提出的质疑，采购人或采购代理机构将不予处理</w:t>
      </w:r>
      <w:r>
        <w:rPr>
          <w:rFonts w:hint="eastAsia" w:cs="仿宋_GB2312" w:asciiTheme="minorEastAsia" w:hAnsiTheme="minorEastAsia" w:eastAsiaTheme="minorEastAsia"/>
          <w:b/>
          <w:color w:val="auto"/>
          <w:sz w:val="24"/>
          <w:highlight w:val="none"/>
        </w:rPr>
        <w:t>；</w:t>
      </w:r>
      <w:r>
        <w:rPr>
          <w:rFonts w:cs="仿宋_GB2312" w:asciiTheme="minorEastAsia" w:hAnsiTheme="minorEastAsia" w:eastAsiaTheme="minorEastAsia"/>
          <w:b/>
          <w:color w:val="auto"/>
          <w:sz w:val="24"/>
          <w:highlight w:val="none"/>
        </w:rPr>
        <w:t>7）</w:t>
      </w:r>
      <w:r>
        <w:rPr>
          <w:rFonts w:hint="eastAsia" w:cs="仿宋_GB2312" w:asciiTheme="minorEastAsia" w:hAnsiTheme="minorEastAsia" w:eastAsiaTheme="minorEastAsia"/>
          <w:color w:val="auto"/>
          <w:sz w:val="24"/>
          <w:highlight w:val="none"/>
        </w:rPr>
        <w:t>不提供磋商文件纸质版；</w:t>
      </w:r>
      <w:r>
        <w:rPr>
          <w:rFonts w:cs="仿宋_GB2312" w:asciiTheme="minorEastAsia" w:hAnsiTheme="minorEastAsia" w:eastAsiaTheme="minorEastAsia"/>
          <w:b/>
          <w:color w:val="auto"/>
          <w:sz w:val="24"/>
          <w:highlight w:val="none"/>
        </w:rPr>
        <w:t>8</w:t>
      </w:r>
      <w:r>
        <w:rPr>
          <w:rFonts w:hint="eastAsia" w:cs="仿宋_GB2312" w:asciiTheme="minorEastAsia" w:hAnsiTheme="minorEastAsia" w:eastAsiaTheme="minorEastAsia"/>
          <w:b/>
          <w:color w:val="auto"/>
          <w:sz w:val="24"/>
          <w:highlight w:val="none"/>
        </w:rPr>
        <w:t>）响应文件的传输提交：</w:t>
      </w:r>
      <w:r>
        <w:rPr>
          <w:rFonts w:hint="eastAsia" w:cs="仿宋_GB2312" w:asciiTheme="minorEastAsia" w:hAnsiTheme="minorEastAsia" w:eastAsiaTheme="minorEastAsia"/>
          <w:color w:val="auto"/>
          <w:sz w:val="24"/>
          <w:highlight w:val="none"/>
        </w:rPr>
        <w:t>供应商在提交响应文件的截止时间前将加密的响应文件（文件后缀为：jmbs）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color w:val="auto"/>
          <w:sz w:val="24"/>
          <w:highlight w:val="none"/>
        </w:rPr>
        <w:t>9）响应文件的解密：</w:t>
      </w:r>
      <w:r>
        <w:rPr>
          <w:rFonts w:hint="eastAsia" w:cs="仿宋_GB2312" w:asciiTheme="minorEastAsia" w:hAnsiTheme="minorEastAsia" w:eastAsiaTheme="minorEastAsia"/>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color w:val="auto"/>
          <w:sz w:val="24"/>
          <w:highlight w:val="none"/>
        </w:rPr>
        <w:t>）具体操作指南</w:t>
      </w:r>
      <w:r>
        <w:rPr>
          <w:rFonts w:hint="eastAsia" w:cs="仿宋_GB2312" w:asciiTheme="minorEastAsia" w:hAnsiTheme="minorEastAsia" w:eastAsiaTheme="minorEastAsia"/>
          <w:color w:val="auto"/>
          <w:sz w:val="24"/>
          <w:highlight w:val="none"/>
        </w:rPr>
        <w:t>：详见政采云平台“服务中心-帮助文档-项目采购-操作流程-电子招投标-政府采购项目电子交易管理操作指南-供应商”。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宋体"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lang w:eastAsia="zh-CN"/>
        </w:rPr>
        <w:t>（</w:t>
      </w:r>
      <w:r>
        <w:rPr>
          <w:rFonts w:hint="eastAsia" w:cs="仿宋_GB2312" w:asciiTheme="minorEastAsia" w:hAnsiTheme="minorEastAsia" w:eastAsiaTheme="minorEastAsia"/>
          <w:color w:val="auto"/>
          <w:sz w:val="24"/>
          <w:highlight w:val="none"/>
          <w:lang w:val="en-US" w:eastAsia="zh-CN"/>
        </w:rPr>
        <w:t>3</w:t>
      </w:r>
      <w:r>
        <w:rPr>
          <w:rFonts w:hint="eastAsia" w:cs="仿宋_GB2312"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磋商文件公告期限与磋商公告的公告期限一致。</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海曙区“政采贷”助力中小企业金融服务，有需要的中标（成交）供应商请于网站http://haishu.nbggzy.cn/tzgg/360383.jhtml办理具体业务。</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5</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本《第一部分  邀请供应商》中二、申请人的资格要求：第一条中的“重大税收违法案件当事人名单”即为“重大税收违法失信主体”。</w:t>
      </w:r>
    </w:p>
    <w:p>
      <w:pPr>
        <w:keepNext w:val="0"/>
        <w:keepLines w:val="0"/>
        <w:pageBreakBefore w:val="0"/>
        <w:kinsoku/>
        <w:wordWrap/>
        <w:overflowPunct/>
        <w:topLinePunct w:val="0"/>
        <w:autoSpaceDE/>
        <w:autoSpaceDN/>
        <w:bidi w:val="0"/>
        <w:adjustRightInd w:val="0"/>
        <w:spacing w:line="312" w:lineRule="auto"/>
        <w:textAlignment w:val="auto"/>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val="en-US" w:eastAsia="zh-CN"/>
        </w:rPr>
        <w:t>（6）本公告发布媒体：浙江政府采购网（www.zjzfcg.gov.cn）、浙江省公共资源交易服务平台（zjpubservice.zjzwfw.gov.cn/index.html?citycode=3300）、宁波政府采购(www.nbzfcg.cn)、中国政府采购网（https://www.ccgp.gov.cn/）、宁波中基国际招标有限公司网（www.cbbidding.com）。</w:t>
      </w:r>
    </w:p>
    <w:p>
      <w:pPr>
        <w:keepNext w:val="0"/>
        <w:keepLines w:val="0"/>
        <w:pageBreakBefore w:val="0"/>
        <w:kinsoku/>
        <w:wordWrap/>
        <w:overflowPunct/>
        <w:topLinePunct w:val="0"/>
        <w:autoSpaceDE/>
        <w:autoSpaceDN/>
        <w:bidi w:val="0"/>
        <w:adjustRightInd w:val="0"/>
        <w:spacing w:line="312"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八、对本次采购提出询问、质疑、投诉，请按以下方式联系</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1.采购人信息</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宁波市海曙区西门望春社区卫生服务中心</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址：宁波市新芝路95弄6号</w:t>
      </w:r>
      <w:bookmarkStart w:id="523" w:name="_GoBack"/>
      <w:bookmarkEnd w:id="523"/>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项目联系人（询问）：章引辉</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 xml:space="preserve">项目联系方式（询问）：0574-55229608                               </w:t>
      </w:r>
      <w:r>
        <w:rPr>
          <w:rFonts w:hint="eastAsia" w:ascii="宋体" w:hAnsi="宋体" w:cs="宋体"/>
          <w:color w:val="auto"/>
          <w:sz w:val="24"/>
          <w:highlight w:val="none"/>
          <w:lang w:val="en-US" w:eastAsia="zh-CN"/>
        </w:rPr>
        <w:t xml:space="preserve">  </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质疑联系人：戴凤波</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质疑联系方式：0574-55229624</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2.采购代理机构信息            </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cs="宋体"/>
          <w:color w:val="auto"/>
          <w:sz w:val="24"/>
          <w:highlight w:val="none"/>
          <w:lang w:eastAsia="zh-CN"/>
        </w:rPr>
        <w:t>宁波中基国际招标有限公司</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val="en-US" w:eastAsia="zh-CN"/>
        </w:rPr>
        <w:t>宁波市鄞州区天童南路666号中基大厦19楼</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真：0574-87425373</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孔晖、周旭坤</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项目联系方式（询问）：0574-</w:t>
      </w:r>
      <w:r>
        <w:rPr>
          <w:rFonts w:hint="eastAsia" w:ascii="宋体" w:hAnsi="宋体" w:eastAsia="宋体" w:cs="宋体"/>
          <w:color w:val="auto"/>
          <w:sz w:val="24"/>
          <w:highlight w:val="none"/>
          <w:lang w:val="en-US" w:eastAsia="zh-CN"/>
        </w:rPr>
        <w:t>8742</w:t>
      </w:r>
      <w:r>
        <w:rPr>
          <w:rFonts w:hint="eastAsia" w:ascii="宋体" w:hAnsi="宋体" w:cs="宋体"/>
          <w:color w:val="auto"/>
          <w:sz w:val="24"/>
          <w:highlight w:val="none"/>
          <w:lang w:val="en-US" w:eastAsia="zh-CN"/>
        </w:rPr>
        <w:t>5279</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王莹巧</w:t>
      </w: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质疑联系方式：0574-</w:t>
      </w:r>
      <w:r>
        <w:rPr>
          <w:rFonts w:hint="eastAsia" w:ascii="宋体" w:hAnsi="宋体" w:eastAsia="宋体" w:cs="宋体"/>
          <w:color w:val="auto"/>
          <w:sz w:val="24"/>
          <w:highlight w:val="none"/>
          <w:lang w:val="en-US" w:eastAsia="zh-CN"/>
        </w:rPr>
        <w:t>87425583</w:t>
      </w:r>
    </w:p>
    <w:p>
      <w:pPr>
        <w:keepNext w:val="0"/>
        <w:keepLines w:val="0"/>
        <w:pageBreakBefore w:val="0"/>
        <w:kinsoku/>
        <w:wordWrap/>
        <w:overflowPunct/>
        <w:topLinePunct w:val="0"/>
        <w:autoSpaceDE/>
        <w:autoSpaceDN/>
        <w:bidi w:val="0"/>
        <w:adjustRightInd w:val="0"/>
        <w:spacing w:line="312" w:lineRule="auto"/>
        <w:ind w:firstLine="480"/>
        <w:textAlignment w:val="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3.同级政府采购监督管理部门：</w:t>
      </w:r>
    </w:p>
    <w:p>
      <w:pPr>
        <w:keepNext w:val="0"/>
        <w:keepLines w:val="0"/>
        <w:pageBreakBefore w:val="0"/>
        <w:kinsoku/>
        <w:wordWrap/>
        <w:overflowPunct/>
        <w:topLinePunct w:val="0"/>
        <w:autoSpaceDE/>
        <w:autoSpaceDN/>
        <w:bidi w:val="0"/>
        <w:adjustRightInd w:val="0"/>
        <w:spacing w:line="312" w:lineRule="auto"/>
        <w:ind w:firstLine="480"/>
        <w:textAlignment w:val="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名    称：宁波市海曙区政府采购管理办公室</w:t>
      </w:r>
    </w:p>
    <w:p>
      <w:pPr>
        <w:keepNext w:val="0"/>
        <w:keepLines w:val="0"/>
        <w:pageBreakBefore w:val="0"/>
        <w:kinsoku/>
        <w:wordWrap/>
        <w:overflowPunct/>
        <w:topLinePunct w:val="0"/>
        <w:autoSpaceDE/>
        <w:autoSpaceDN/>
        <w:bidi w:val="0"/>
        <w:adjustRightInd w:val="0"/>
        <w:spacing w:line="312" w:lineRule="auto"/>
        <w:ind w:firstLine="480"/>
        <w:textAlignment w:val="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    址：宁波市海曙区大梁街48号天之海大厦2楼</w:t>
      </w:r>
    </w:p>
    <w:p>
      <w:pPr>
        <w:keepNext w:val="0"/>
        <w:keepLines w:val="0"/>
        <w:pageBreakBefore w:val="0"/>
        <w:kinsoku/>
        <w:wordWrap/>
        <w:overflowPunct/>
        <w:topLinePunct w:val="0"/>
        <w:autoSpaceDE/>
        <w:autoSpaceDN/>
        <w:bidi w:val="0"/>
        <w:adjustRightInd w:val="0"/>
        <w:spacing w:line="312" w:lineRule="auto"/>
        <w:ind w:firstLine="480"/>
        <w:textAlignment w:val="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传    真：/   </w:t>
      </w:r>
    </w:p>
    <w:p>
      <w:pPr>
        <w:keepNext w:val="0"/>
        <w:keepLines w:val="0"/>
        <w:pageBreakBefore w:val="0"/>
        <w:kinsoku/>
        <w:wordWrap/>
        <w:overflowPunct/>
        <w:topLinePunct w:val="0"/>
        <w:autoSpaceDE/>
        <w:autoSpaceDN/>
        <w:bidi w:val="0"/>
        <w:adjustRightInd w:val="0"/>
        <w:spacing w:line="312" w:lineRule="auto"/>
        <w:ind w:firstLine="480"/>
        <w:textAlignment w:val="auto"/>
        <w:outlineLvl w:val="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联系人 ：王老师   </w:t>
      </w:r>
    </w:p>
    <w:p>
      <w:pPr>
        <w:keepNext w:val="0"/>
        <w:keepLines w:val="0"/>
        <w:pageBreakBefore w:val="0"/>
        <w:kinsoku/>
        <w:wordWrap/>
        <w:overflowPunct/>
        <w:topLinePunct w:val="0"/>
        <w:autoSpaceDE/>
        <w:autoSpaceDN/>
        <w:bidi w:val="0"/>
        <w:adjustRightInd w:val="0"/>
        <w:spacing w:line="312" w:lineRule="auto"/>
        <w:ind w:firstLine="480"/>
        <w:textAlignment w:val="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投诉电话：0574-87297540</w:t>
      </w:r>
    </w:p>
    <w:p>
      <w:pPr>
        <w:keepNext w:val="0"/>
        <w:keepLines w:val="0"/>
        <w:pageBreakBefore w:val="0"/>
        <w:kinsoku/>
        <w:wordWrap/>
        <w:overflowPunct/>
        <w:topLinePunct w:val="0"/>
        <w:autoSpaceDE/>
        <w:autoSpaceDN/>
        <w:bidi w:val="0"/>
        <w:adjustRightInd w:val="0"/>
        <w:spacing w:line="312" w:lineRule="auto"/>
        <w:ind w:firstLine="48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95763</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获取热线服务帮助。</w:t>
      </w:r>
    </w:p>
    <w:p>
      <w:pPr>
        <w:keepNext w:val="0"/>
        <w:keepLines w:val="0"/>
        <w:pageBreakBefore w:val="0"/>
        <w:kinsoku/>
        <w:wordWrap/>
        <w:overflowPunct/>
        <w:topLinePunct w:val="0"/>
        <w:autoSpaceDE/>
        <w:autoSpaceDN/>
        <w:bidi w:val="0"/>
        <w:adjustRightInd w:val="0"/>
        <w:snapToGrid w:val="0"/>
        <w:spacing w:line="312"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sectPr>
          <w:footerReference r:id="rId5" w:type="first"/>
          <w:footerReference r:id="rId3" w:type="default"/>
          <w:footerReference r:id="rId4" w:type="even"/>
          <w:pgSz w:w="11906" w:h="16838"/>
          <w:pgMar w:top="1440" w:right="1080" w:bottom="1440" w:left="1080" w:header="851" w:footer="992" w:gutter="0"/>
          <w:cols w:space="720" w:num="1"/>
          <w:titlePg/>
          <w:docGrid w:linePitch="312" w:charSpace="0"/>
        </w:sectPr>
      </w:pPr>
    </w:p>
    <w:p>
      <w:pPr>
        <w:pStyle w:val="32"/>
        <w:spacing w:line="360" w:lineRule="auto"/>
        <w:jc w:val="center"/>
        <w:outlineLvl w:val="0"/>
        <w:rPr>
          <w:rFonts w:hint="eastAsia" w:ascii="宋体" w:hAnsi="宋体" w:eastAsia="宋体" w:cs="宋体"/>
          <w:b/>
          <w:snapToGrid/>
          <w:color w:val="auto"/>
          <w:sz w:val="36"/>
          <w:szCs w:val="20"/>
          <w:highlight w:val="none"/>
        </w:rPr>
      </w:pPr>
      <w:bookmarkStart w:id="19" w:name="_Toc23841"/>
      <w:r>
        <w:rPr>
          <w:rFonts w:hint="eastAsia" w:ascii="宋体" w:hAnsi="宋体" w:eastAsia="宋体" w:cs="宋体"/>
          <w:b/>
          <w:snapToGrid/>
          <w:color w:val="auto"/>
          <w:sz w:val="36"/>
          <w:szCs w:val="20"/>
          <w:highlight w:val="none"/>
        </w:rPr>
        <w:t>第二部分</w:t>
      </w:r>
      <w:bookmarkEnd w:id="14"/>
      <w:r>
        <w:rPr>
          <w:rFonts w:hint="eastAsia" w:ascii="宋体" w:hAnsi="宋体" w:eastAsia="宋体" w:cs="宋体"/>
          <w:b/>
          <w:snapToGrid/>
          <w:color w:val="auto"/>
          <w:sz w:val="36"/>
          <w:szCs w:val="20"/>
          <w:highlight w:val="none"/>
        </w:rPr>
        <w:t xml:space="preserve"> 供应商须知</w:t>
      </w:r>
      <w:bookmarkEnd w:id="15"/>
      <w:bookmarkEnd w:id="19"/>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1971"/>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7290"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7290"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kern w:val="0"/>
                <w:sz w:val="24"/>
                <w:highlight w:val="none"/>
              </w:rPr>
              <w:t>工程</w:t>
            </w:r>
            <w:r>
              <w:rPr>
                <w:rFonts w:hint="eastAsia" w:ascii="宋体" w:hAnsi="宋体" w:eastAsia="宋体" w:cs="宋体"/>
                <w:color w:val="auto"/>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7290" w:type="dxa"/>
            <w:vAlign w:val="center"/>
          </w:tcPr>
          <w:p>
            <w:pPr>
              <w:snapToGrid w:val="0"/>
              <w:spacing w:line="360" w:lineRule="auto"/>
              <w:rPr>
                <w:rFonts w:hint="eastAsia" w:ascii="宋体" w:hAnsi="宋体" w:eastAsia="宋体" w:cs="宋体"/>
                <w:color w:val="auto"/>
                <w:highlight w:val="none"/>
                <w:lang w:val="en-US"/>
              </w:rPr>
            </w:pPr>
            <w:r>
              <w:rPr>
                <w:rFonts w:hint="eastAsia" w:ascii="宋体" w:hAnsi="宋体" w:eastAsia="宋体" w:cs="宋体"/>
                <w:color w:val="auto"/>
                <w:kern w:val="0"/>
                <w:sz w:val="24"/>
                <w:highlight w:val="none"/>
              </w:rPr>
              <w:t>（1）标的：</w:t>
            </w:r>
            <w:r>
              <w:rPr>
                <w:rFonts w:hint="eastAsia" w:ascii="宋体" w:hAnsi="宋体" w:cs="宋体"/>
                <w:color w:val="auto"/>
                <w:kern w:val="0"/>
                <w:sz w:val="24"/>
                <w:highlight w:val="none"/>
                <w:u w:val="single"/>
                <w:lang w:eastAsia="zh-CN"/>
              </w:rPr>
              <w:t>海曙区西门望春社区卫生服务中心住院楼装修改造</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建筑业</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7290" w:type="dxa"/>
            <w:vAlign w:val="center"/>
          </w:tcPr>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可以就</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r>
              <w:rPr>
                <w:rFonts w:hint="eastAsia" w:ascii="宋体" w:hAnsi="宋体" w:eastAsia="宋体" w:cs="宋体"/>
                <w:color w:val="auto"/>
                <w:kern w:val="0"/>
                <w:sz w:val="24"/>
                <w:highlight w:val="none"/>
                <w:lang w:eastAsia="zh-CN"/>
              </w:rPr>
              <w:t>，具体品牌详见清单</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7290" w:type="dxa"/>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p>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磋商前答疑会或现场考察</w:t>
            </w:r>
          </w:p>
        </w:tc>
        <w:tc>
          <w:tcPr>
            <w:tcW w:w="7290" w:type="dxa"/>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shd w:val="clear"/>
                </w:rPr>
              </w:sdtEndPr>
              <w:sdtContent>
                <w:r>
                  <w:rPr>
                    <w:rFonts w:hint="eastAsia" w:ascii="MS Gothic" w:hAnsi="MS Gothic" w:eastAsia="宋体" w:cs="宋体"/>
                    <w:color w:val="auto"/>
                    <w:kern w:val="0"/>
                    <w:sz w:val="24"/>
                    <w:szCs w:val="24"/>
                    <w:highlight w:val="none"/>
                    <w:shd w:val="clear"/>
                    <w:lang w:val="en-US" w:eastAsia="zh-CN" w:bidi="ar-SA"/>
                  </w:rPr>
                  <w:t>☐</w:t>
                </w:r>
              </w:sdtContent>
            </w:sdt>
            <w:r>
              <w:rPr>
                <w:rFonts w:hint="eastAsia" w:ascii="宋体" w:hAnsi="宋体" w:eastAsia="宋体" w:cs="宋体"/>
                <w:color w:val="auto"/>
                <w:kern w:val="0"/>
                <w:sz w:val="24"/>
                <w:highlight w:val="none"/>
                <w:shd w:val="clear"/>
              </w:rPr>
              <w:t>B组织</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。勘察现场所发生的费用由供应商自己承担。不论何种原因所造成，在勘察过程中，供应商自行对由此次踏勘现场而造成的死亡、人身伤害、财产损失、损害以及</w:t>
            </w:r>
            <w:r>
              <w:rPr>
                <w:rFonts w:hint="eastAsia" w:ascii="宋体" w:hAnsi="宋体" w:cs="宋体"/>
                <w:color w:val="auto"/>
                <w:sz w:val="24"/>
                <w:szCs w:val="20"/>
                <w:highlight w:val="none"/>
                <w:lang w:eastAsia="zh-CN"/>
              </w:rPr>
              <w:t>任何其他</w:t>
            </w:r>
            <w:r>
              <w:rPr>
                <w:rFonts w:hint="eastAsia" w:ascii="宋体" w:hAnsi="宋体" w:eastAsia="宋体" w:cs="宋体"/>
                <w:color w:val="auto"/>
                <w:sz w:val="24"/>
                <w:szCs w:val="20"/>
                <w:highlight w:val="none"/>
              </w:rPr>
              <w:t>损失、损害和引起的费用和开支承担责任。</w:t>
            </w:r>
            <w:r>
              <w:rPr>
                <w:rFonts w:hint="eastAsia" w:ascii="宋体" w:hAnsi="宋体" w:eastAsia="宋体" w:cs="宋体"/>
                <w:color w:val="auto"/>
                <w:sz w:val="24"/>
                <w:szCs w:val="20"/>
                <w:highlight w:val="none"/>
                <w:lang w:eastAsia="zh-CN"/>
              </w:rPr>
              <w:t>若因供应商自身原因未参加踏勘而对项目理解有误造成自身损失等后果均由供应商自己承担。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7290" w:type="dxa"/>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评审办法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。请供应商在上述时间内提供样品并按规定位置安装完毕。超过截止时间的，采购人或采购代理机构将不予接收，并将清场并封闭样品现场。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采购活动结束后，对于未成交供应商提供的样品，采购人、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将通知未成交供应商在规定的时间内取回，逾期未取回的，采购人、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不负保管义务；对于成交供应商提供的样品，采购人将进行保管、封存，并作为履约验收的参考。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971" w:type="dxa"/>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7290" w:type="dxa"/>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（1）在评审时安排每个供应商进行方案讲解演示。每个供应商时间不超过</w:t>
            </w:r>
            <w:r>
              <w:rPr>
                <w:rFonts w:hint="eastAsia" w:ascii="宋体" w:hAnsi="宋体" w:eastAsia="宋体" w:cs="宋体"/>
                <w:color w:val="auto"/>
                <w:kern w:val="0"/>
                <w:sz w:val="24"/>
                <w:highlight w:val="none"/>
                <w:u w:val="single"/>
              </w:rPr>
              <w:t>20</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分钟，讲解次序以响应文件解密时间先后次序为准，讲解演示人员不超过</w:t>
            </w:r>
            <w:r>
              <w:rPr>
                <w:rFonts w:hint="eastAsia" w:ascii="宋体" w:hAnsi="宋体" w:eastAsia="宋体" w:cs="宋体"/>
                <w:color w:val="auto"/>
                <w:kern w:val="0"/>
                <w:sz w:val="24"/>
                <w:highlight w:val="none"/>
                <w:u w:val="single"/>
              </w:rPr>
              <w:t>3</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人。讲解演示结束后按要求解答磋商小组提问。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方式二：现场讲解演示。现场讲解地点为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Merge w:val="restart"/>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971" w:type="dxa"/>
            <w:vMerge w:val="restart"/>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供应商应当提供的资格、资信证明文件</w:t>
            </w:r>
          </w:p>
        </w:tc>
        <w:tc>
          <w:tcPr>
            <w:tcW w:w="7290"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（1）资格证明文件：见采购文件第二部分11.1。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Merge w:val="continue"/>
            <w:vAlign w:val="center"/>
          </w:tcPr>
          <w:p>
            <w:pPr>
              <w:snapToGrid w:val="0"/>
              <w:spacing w:line="360" w:lineRule="auto"/>
              <w:jc w:val="center"/>
              <w:rPr>
                <w:rFonts w:hint="eastAsia" w:ascii="宋体" w:hAnsi="宋体" w:eastAsia="宋体" w:cs="宋体"/>
                <w:color w:val="auto"/>
                <w:sz w:val="24"/>
                <w:highlight w:val="none"/>
              </w:rPr>
            </w:pPr>
          </w:p>
        </w:tc>
        <w:tc>
          <w:tcPr>
            <w:tcW w:w="1971" w:type="dxa"/>
            <w:vMerge w:val="continue"/>
            <w:vAlign w:val="center"/>
          </w:tcPr>
          <w:p>
            <w:pPr>
              <w:snapToGrid w:val="0"/>
              <w:spacing w:line="360" w:lineRule="auto"/>
              <w:jc w:val="center"/>
              <w:rPr>
                <w:rFonts w:hint="eastAsia" w:ascii="宋体" w:hAnsi="宋体" w:eastAsia="宋体" w:cs="宋体"/>
                <w:b/>
                <w:color w:val="auto"/>
                <w:sz w:val="24"/>
                <w:highlight w:val="none"/>
              </w:rPr>
            </w:pPr>
          </w:p>
        </w:tc>
        <w:tc>
          <w:tcPr>
            <w:tcW w:w="7290"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7290" w:type="dxa"/>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72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有关本项目实施所需的所有费用（含税费）均计入报价。响应文件中价格全部采用人民币报价。</w:t>
            </w:r>
            <w:r>
              <w:rPr>
                <w:rFonts w:hint="eastAsia" w:ascii="宋体" w:hAnsi="宋体" w:eastAsia="宋体" w:cs="宋体"/>
                <w:color w:val="auto"/>
                <w:kern w:val="0"/>
                <w:sz w:val="24"/>
                <w:highlight w:val="none"/>
                <w:lang w:val="en-US" w:eastAsia="zh-CN"/>
              </w:rPr>
              <w:t>磋商</w:t>
            </w:r>
            <w:r>
              <w:rPr>
                <w:rFonts w:hint="eastAsia" w:ascii="宋体" w:hAnsi="宋体" w:eastAsia="宋体" w:cs="宋体"/>
                <w:color w:val="auto"/>
                <w:kern w:val="0"/>
                <w:sz w:val="24"/>
                <w:highlight w:val="none"/>
                <w:lang w:val="zh-CN"/>
              </w:rPr>
              <w:t>文件未列明，而供应商认为必需的费用也需列入报价。</w:t>
            </w:r>
            <w:r>
              <w:rPr>
                <w:rFonts w:hint="eastAsia" w:ascii="宋体" w:hAnsi="宋体" w:eastAsia="宋体" w:cs="宋体"/>
                <w:b/>
                <w:color w:val="auto"/>
                <w:kern w:val="0"/>
                <w:sz w:val="24"/>
                <w:highlight w:val="none"/>
                <w:lang w:val="zh-CN"/>
              </w:rPr>
              <w:t>提醒：验收时检测费用由采购人承担，不包含在总价中。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本项目投标总价（人民币报价）包括所有招标内容，投标价格包括但不限于设备费、材料费、运输、二次搬运、备品备件、检验检测费、安装调试费、安全生产、文明施工、验收、培训费用、售后服务、招标代理服务费、税、利润、政策性文件规定及合同包含的所有风险、责任等各项应有的费用，即完成招标内容及要求本项目所提供服务涉及的全部费用。注：供应商的最后报价（投标总价）与“报价单（初次报价）的投标总价”不一致的，《已标价工程量清单》的投标综合单价根据比例进行调整。计算公式：《已标价工程量清单（最后报价）》的投标综合单价=《已标价工程量清单（初次报价）》的投标综合单价×【最后报价（投标总价）/“报价单（初次报价）的投标总价”】。</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最后报价出现下列情形的，响应文件无效：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响应文件出现不是唯一的、有选择性最后报价的；</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最后报价超过采购文件中规定的预算金额或者最高限价的；</w:t>
            </w:r>
          </w:p>
          <w:p>
            <w:pPr>
              <w:spacing w:line="360" w:lineRule="auto"/>
              <w:ind w:firstLine="241" w:firstLineChars="100"/>
              <w:rPr>
                <w:rFonts w:hint="eastAsia" w:ascii="宋体" w:hAnsi="宋体" w:eastAsia="宋体" w:cs="宋体"/>
                <w:b/>
                <w:color w:val="auto"/>
                <w:sz w:val="24"/>
                <w:highlight w:val="none"/>
                <w:lang w:eastAsia="zh-CN"/>
              </w:rPr>
            </w:pPr>
            <w:r>
              <w:rPr>
                <w:rFonts w:hint="eastAsia" w:ascii="宋体" w:hAnsi="宋体" w:eastAsia="宋体" w:cs="宋体"/>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
                <w:color w:val="auto"/>
                <w:kern w:val="0"/>
                <w:sz w:val="24"/>
                <w:highlight w:val="none"/>
                <w:lang w:eastAsia="zh-CN"/>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供应商对根据修正原则修正后的报价不确认的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7290" w:type="dxa"/>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供应商成交后也可在“政采云”平台申请政采贷：操作路径：登录政采云平台</w:t>
            </w:r>
            <w:r>
              <w:rPr>
                <w:rFonts w:hint="eastAsia" w:ascii="宋体" w:hAnsi="宋体" w:cs="宋体"/>
                <w:snapToGrid w:val="0"/>
                <w:color w:val="auto"/>
                <w:kern w:val="28"/>
                <w:sz w:val="24"/>
                <w:highlight w:val="none"/>
                <w:lang w:eastAsia="zh-CN"/>
              </w:rPr>
              <w:t>－</w:t>
            </w:r>
            <w:r>
              <w:rPr>
                <w:rFonts w:hint="eastAsia" w:ascii="宋体" w:hAnsi="宋体" w:eastAsia="宋体" w:cs="宋体"/>
                <w:snapToGrid w:val="0"/>
                <w:color w:val="auto"/>
                <w:kern w:val="28"/>
                <w:sz w:val="24"/>
                <w:highlight w:val="none"/>
              </w:rPr>
              <w:t>金融服务中心</w:t>
            </w:r>
            <w:r>
              <w:rPr>
                <w:rFonts w:hint="eastAsia" w:ascii="宋体" w:hAnsi="宋体" w:cs="宋体"/>
                <w:snapToGrid w:val="0"/>
                <w:color w:val="auto"/>
                <w:kern w:val="28"/>
                <w:sz w:val="24"/>
                <w:highlight w:val="none"/>
                <w:lang w:eastAsia="zh-CN"/>
              </w:rPr>
              <w:t>－</w:t>
            </w:r>
            <w:r>
              <w:rPr>
                <w:rFonts w:hint="eastAsia" w:ascii="宋体" w:hAnsi="宋体" w:eastAsia="宋体" w:cs="宋体"/>
                <w:snapToGrid w:val="0"/>
                <w:color w:val="auto"/>
                <w:kern w:val="28"/>
                <w:sz w:val="24"/>
                <w:highlight w:val="none"/>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备份响应文件送达地点和签收人员</w:t>
            </w:r>
          </w:p>
        </w:tc>
        <w:tc>
          <w:tcPr>
            <w:tcW w:w="7290" w:type="dxa"/>
            <w:vAlign w:val="center"/>
          </w:tcPr>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供应商可以准备U盘存储的电子备份响应文件1份，按政府采购云平台要求制作的电子备份响应文件，以用于异常情况处理。</w:t>
            </w:r>
          </w:p>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如提供备份响应文件的，应于响应文件提交（上传）截止时间前，将以U盘存储的电子备份响应文件密封，递交至</w:t>
            </w:r>
            <w:r>
              <w:rPr>
                <w:rFonts w:hint="eastAsia" w:ascii="宋体" w:hAnsi="宋体" w:eastAsia="宋体" w:cs="宋体"/>
                <w:snapToGrid w:val="0"/>
                <w:color w:val="auto"/>
                <w:kern w:val="28"/>
                <w:sz w:val="24"/>
                <w:szCs w:val="24"/>
                <w:highlight w:val="none"/>
                <w:u w:val="single"/>
                <w:lang w:val="en-US" w:eastAsia="zh-CN" w:bidi="ar-SA"/>
              </w:rPr>
              <w:t>宁波市海曙区公共资源交易中心二楼开标室（南门上，宁波市海曙区气象路58号）</w:t>
            </w:r>
            <w:r>
              <w:rPr>
                <w:rFonts w:hint="eastAsia" w:ascii="宋体" w:hAnsi="宋体" w:eastAsia="宋体" w:cs="宋体"/>
                <w:snapToGrid w:val="0"/>
                <w:color w:val="auto"/>
                <w:kern w:val="28"/>
                <w:sz w:val="24"/>
                <w:szCs w:val="24"/>
                <w:highlight w:val="none"/>
                <w:lang w:val="en-US" w:eastAsia="zh-CN" w:bidi="ar-SA"/>
              </w:rPr>
              <w:t>，逾期送达或未密封将予以拒收。</w:t>
            </w:r>
          </w:p>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供应商可采用邮寄（含快递）方式递交备份响应文件。</w:t>
            </w:r>
          </w:p>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各供应商在规定时间前将备份响应文件邮寄至规定地点，由采购代理工作人员进行签收，各供应商自行考虑邮寄在途时间，邮寄过程中无论何种因素导致备份响应文件未按时递交的后果，均由供应商自行负责。备份响应文件递交时间以采购代理实际收到备份响应文件的时间为准。</w:t>
            </w:r>
          </w:p>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拟在开标前一个工作日的16:00前到件的邮寄地址为：</w:t>
            </w:r>
            <w:r>
              <w:rPr>
                <w:rFonts w:hint="eastAsia" w:ascii="宋体" w:hAnsi="宋体" w:eastAsia="宋体" w:cs="宋体"/>
                <w:snapToGrid w:val="0"/>
                <w:color w:val="auto"/>
                <w:kern w:val="28"/>
                <w:sz w:val="24"/>
                <w:szCs w:val="24"/>
                <w:highlight w:val="none"/>
                <w:u w:val="single"/>
                <w:lang w:val="en-US" w:eastAsia="zh-CN" w:bidi="ar-SA"/>
              </w:rPr>
              <w:t>宁波市鄞州区天童南路666号中基大厦19楼业务六部</w:t>
            </w:r>
            <w:r>
              <w:rPr>
                <w:rFonts w:hint="eastAsia" w:ascii="宋体" w:hAnsi="宋体" w:eastAsia="宋体" w:cs="宋体"/>
                <w:snapToGrid w:val="0"/>
                <w:color w:val="auto"/>
                <w:kern w:val="28"/>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default"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收件人</w:t>
            </w:r>
            <w:r>
              <w:rPr>
                <w:rFonts w:hint="eastAsia" w:ascii="宋体" w:hAnsi="宋体" w:eastAsia="宋体" w:cs="宋体"/>
                <w:snapToGrid w:val="0"/>
                <w:color w:val="auto"/>
                <w:kern w:val="28"/>
                <w:sz w:val="24"/>
                <w:szCs w:val="24"/>
                <w:highlight w:val="none"/>
                <w:u w:val="single"/>
                <w:lang w:val="en-US" w:eastAsia="zh-CN" w:bidi="ar-SA"/>
              </w:rPr>
              <w:t>：</w:t>
            </w:r>
            <w:r>
              <w:rPr>
                <w:rFonts w:hint="eastAsia" w:ascii="宋体" w:hAnsi="宋体" w:cs="宋体"/>
                <w:snapToGrid w:val="0"/>
                <w:color w:val="auto"/>
                <w:kern w:val="28"/>
                <w:sz w:val="24"/>
                <w:szCs w:val="24"/>
                <w:highlight w:val="none"/>
                <w:u w:val="single"/>
                <w:lang w:val="en-US" w:eastAsia="zh-CN" w:bidi="ar-SA"/>
              </w:rPr>
              <w:t>孔晖</w:t>
            </w:r>
            <w:r>
              <w:rPr>
                <w:rFonts w:hint="eastAsia" w:ascii="宋体" w:hAnsi="宋体" w:eastAsia="宋体" w:cs="宋体"/>
                <w:snapToGrid w:val="0"/>
                <w:color w:val="auto"/>
                <w:kern w:val="28"/>
                <w:sz w:val="24"/>
                <w:szCs w:val="24"/>
                <w:highlight w:val="none"/>
                <w:u w:val="single"/>
                <w:lang w:val="en-US" w:eastAsia="zh-CN" w:bidi="ar-SA"/>
              </w:rPr>
              <w:t xml:space="preserve"> </w:t>
            </w:r>
            <w:r>
              <w:rPr>
                <w:rFonts w:hint="eastAsia" w:ascii="宋体" w:hAnsi="宋体" w:eastAsia="宋体" w:cs="宋体"/>
                <w:snapToGrid w:val="0"/>
                <w:color w:val="auto"/>
                <w:kern w:val="28"/>
                <w:sz w:val="24"/>
                <w:szCs w:val="24"/>
                <w:highlight w:val="none"/>
                <w:lang w:val="en-US" w:eastAsia="zh-CN" w:bidi="ar-SA"/>
              </w:rPr>
              <w:t>联系方式：</w:t>
            </w:r>
            <w:r>
              <w:rPr>
                <w:rFonts w:hint="eastAsia" w:ascii="宋体" w:hAnsi="宋体" w:cs="宋体"/>
                <w:snapToGrid w:val="0"/>
                <w:color w:val="auto"/>
                <w:kern w:val="28"/>
                <w:sz w:val="24"/>
                <w:szCs w:val="24"/>
                <w:highlight w:val="none"/>
                <w:u w:val="single"/>
                <w:lang w:val="en-US" w:eastAsia="zh-CN" w:bidi="ar-SA"/>
              </w:rPr>
              <w:t>0574-87425279</w:t>
            </w:r>
          </w:p>
          <w:p>
            <w:pPr>
              <w:keepNext w:val="0"/>
              <w:keepLines w:val="0"/>
              <w:pageBreakBefore w:val="0"/>
              <w:widowControl w:val="0"/>
              <w:kinsoku/>
              <w:wordWrap/>
              <w:overflowPunct/>
              <w:topLinePunct w:val="0"/>
              <w:autoSpaceDE/>
              <w:autoSpaceDN/>
              <w:bidi w:val="0"/>
              <w:adjustRightInd w:val="0"/>
              <w:spacing w:line="336" w:lineRule="auto"/>
              <w:jc w:val="both"/>
              <w:textAlignment w:val="auto"/>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snapToGrid w:val="0"/>
                <w:color w:val="auto"/>
                <w:kern w:val="28"/>
                <w:sz w:val="24"/>
                <w:szCs w:val="24"/>
                <w:highlight w:val="none"/>
                <w:lang w:val="en-US" w:eastAsia="zh-CN" w:bidi="ar-SA"/>
              </w:rPr>
              <w:t>请各供应商确保密封包装在邮寄过程密封包装完好，因邮寄过程的密封破损造成不符合开标要求的，本采购代理及采购人概不负责。</w:t>
            </w:r>
          </w:p>
          <w:p>
            <w:pPr>
              <w:pStyle w:val="32"/>
              <w:spacing w:line="360" w:lineRule="auto"/>
              <w:rPr>
                <w:rFonts w:hint="eastAsia" w:ascii="宋体" w:hAnsi="宋体" w:eastAsia="宋体" w:cs="宋体"/>
                <w:color w:val="auto"/>
                <w:kern w:val="28"/>
                <w:sz w:val="24"/>
                <w:highlight w:val="none"/>
              </w:rPr>
            </w:pPr>
            <w:r>
              <w:rPr>
                <w:rFonts w:hint="eastAsia" w:ascii="宋体" w:hAnsi="宋体" w:eastAsia="宋体" w:cs="宋体"/>
                <w:b/>
                <w:bCs/>
                <w:snapToGrid w:val="0"/>
                <w:color w:val="auto"/>
                <w:kern w:val="28"/>
                <w:sz w:val="24"/>
                <w:szCs w:val="24"/>
                <w:highlight w:val="none"/>
                <w:lang w:val="en-US" w:eastAsia="zh-CN" w:bidi="ar-SA"/>
              </w:rPr>
              <w:t>采购人、采购代理机构不强制或变相强制供应商提交备份响应文件</w:t>
            </w:r>
            <w:r>
              <w:rPr>
                <w:rFonts w:hint="eastAsia" w:ascii="宋体" w:hAnsi="宋体" w:eastAsia="宋体" w:cs="宋体"/>
                <w:b/>
                <w:bCs/>
                <w:snapToGrid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其它说明</w:t>
            </w:r>
          </w:p>
        </w:tc>
        <w:tc>
          <w:tcPr>
            <w:tcW w:w="7290" w:type="dxa"/>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eastAsia="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jc w:val="center"/>
        </w:trPr>
        <w:tc>
          <w:tcPr>
            <w:tcW w:w="7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971" w:type="dxa"/>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招标代理服务费</w:t>
            </w:r>
          </w:p>
        </w:tc>
        <w:tc>
          <w:tcPr>
            <w:tcW w:w="7290" w:type="dxa"/>
            <w:vAlign w:val="center"/>
          </w:tcPr>
          <w:p>
            <w:pPr>
              <w:keepNext w:val="0"/>
              <w:keepLines w:val="0"/>
              <w:pageBreakBefore w:val="0"/>
              <w:widowControl w:val="0"/>
              <w:kinsoku/>
              <w:wordWrap/>
              <w:overflowPunct/>
              <w:topLinePunct w:val="0"/>
              <w:autoSpaceDE/>
              <w:autoSpaceDN/>
              <w:bidi w:val="0"/>
              <w:adjustRightInd w:val="0"/>
              <w:spacing w:line="336"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招标代理服务费的收取标准：</w:t>
            </w:r>
          </w:p>
          <w:p>
            <w:pPr>
              <w:keepNext w:val="0"/>
              <w:keepLines w:val="0"/>
              <w:pageBreakBefore w:val="0"/>
              <w:widowControl w:val="0"/>
              <w:kinsoku/>
              <w:wordWrap/>
              <w:overflowPunct/>
              <w:topLinePunct w:val="0"/>
              <w:autoSpaceDE/>
              <w:autoSpaceDN/>
              <w:bidi w:val="0"/>
              <w:adjustRightInd w:val="0"/>
              <w:spacing w:line="336"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采购代理机构按下表中</w:t>
            </w:r>
            <w:r>
              <w:rPr>
                <w:rFonts w:hint="eastAsia" w:ascii="宋体" w:hAnsi="宋体" w:eastAsia="宋体" w:cs="宋体"/>
                <w:color w:val="auto"/>
                <w:kern w:val="0"/>
                <w:sz w:val="24"/>
                <w:highlight w:val="none"/>
                <w:lang w:val="en-US" w:eastAsia="zh-CN"/>
              </w:rPr>
              <w:t>工程</w:t>
            </w:r>
            <w:r>
              <w:rPr>
                <w:rFonts w:hint="eastAsia" w:ascii="宋体" w:hAnsi="宋体" w:eastAsia="宋体" w:cs="宋体"/>
                <w:color w:val="auto"/>
                <w:kern w:val="0"/>
                <w:sz w:val="24"/>
                <w:highlight w:val="none"/>
              </w:rPr>
              <w:t>招标的标准（按差额定率累进法计算），以</w:t>
            </w:r>
            <w:r>
              <w:rPr>
                <w:rFonts w:hint="eastAsia" w:ascii="宋体" w:hAnsi="宋体" w:eastAsia="宋体" w:cs="宋体"/>
                <w:color w:val="auto"/>
                <w:kern w:val="0"/>
                <w:sz w:val="24"/>
                <w:highlight w:val="none"/>
                <w:lang w:val="en-US" w:eastAsia="zh-CN"/>
              </w:rPr>
              <w:t>成交</w:t>
            </w:r>
            <w:r>
              <w:rPr>
                <w:rFonts w:hint="eastAsia" w:ascii="宋体" w:hAnsi="宋体" w:eastAsia="宋体" w:cs="宋体"/>
                <w:color w:val="auto"/>
                <w:kern w:val="0"/>
                <w:sz w:val="24"/>
                <w:highlight w:val="none"/>
              </w:rPr>
              <w:t>金额为基准，向</w:t>
            </w:r>
            <w:r>
              <w:rPr>
                <w:rFonts w:hint="eastAsia" w:ascii="宋体" w:hAnsi="宋体" w:eastAsia="宋体" w:cs="宋体"/>
                <w:color w:val="auto"/>
                <w:kern w:val="0"/>
                <w:sz w:val="24"/>
                <w:highlight w:val="none"/>
                <w:lang w:eastAsia="zh-CN"/>
              </w:rPr>
              <w:t>成交人</w:t>
            </w:r>
            <w:r>
              <w:rPr>
                <w:rFonts w:hint="eastAsia" w:ascii="宋体" w:hAnsi="宋体" w:eastAsia="宋体" w:cs="宋体"/>
                <w:color w:val="auto"/>
                <w:kern w:val="0"/>
                <w:sz w:val="24"/>
                <w:highlight w:val="none"/>
              </w:rPr>
              <w:t>收取招标代理服务费。</w:t>
            </w:r>
          </w:p>
          <w:tbl>
            <w:tblPr>
              <w:tblStyle w:val="62"/>
              <w:tblW w:w="6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811"/>
              <w:gridCol w:w="956"/>
              <w:gridCol w:w="95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15300" to="30000">
                          <wpsCustomData:border w:val="single" w:color="auto" w:sz="4" w:space="0"/>
                        </wpsCustomData:diagonal>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snapToGrid/>
                    <w:spacing w:before="0" w:after="0" w:line="336" w:lineRule="auto"/>
                    <w:jc w:val="left"/>
                    <w:textAlignment w:val="auto"/>
                    <w:outlineLvl w:val="9"/>
                    <w:rPr>
                      <w:rFonts w:hint="eastAsia" w:ascii="宋体" w:hAnsi="宋体" w:eastAsia="宋体" w:cs="宋体"/>
                      <w:color w:val="auto"/>
                      <w:kern w:val="2"/>
                      <w:sz w:val="24"/>
                      <w:szCs w:val="24"/>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0" w:after="0" w:line="336" w:lineRule="auto"/>
                    <w:jc w:val="left"/>
                    <w:textAlignment w:val="auto"/>
                    <w:outlineLvl w:val="9"/>
                    <mc:AlternateContent>
                      <mc:Choice Requires="wpsCustomData">
                        <wpsCustomData:diagonalParaType/>
                      </mc:Choice>
                    </mc:AlternateConten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金额（万元）</w:t>
                  </w:r>
                </w:p>
                <w:p>
                  <w:pPr>
                    <w:keepNext w:val="0"/>
                    <w:keepLines w:val="0"/>
                    <w:pageBreakBefore w:val="0"/>
                    <w:widowControl w:val="0"/>
                    <w:kinsoku/>
                    <w:wordWrap/>
                    <w:overflowPunct/>
                    <w:topLinePunct w:val="0"/>
                    <w:autoSpaceDE/>
                    <w:autoSpaceDN/>
                    <w:bidi w:val="0"/>
                    <w:adjustRightInd/>
                    <w:snapToGrid/>
                    <w:spacing w:before="0" w:after="0" w:line="336" w:lineRule="auto"/>
                    <w:jc w:val="left"/>
                    <w:textAlignment w:val="auto"/>
                    <w:outlineLvl w:val="9"/>
                    <mc:AlternateContent>
                      <mc:Choice Requires="wpsCustomData">
                        <wpsCustomData:diagonalParaType/>
                      </mc:Choice>
                    </mc:AlternateContent>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费率</w:t>
                  </w:r>
                </w:p>
                <w:p>
                  <w:pPr>
                    <w:keepNext w:val="0"/>
                    <w:keepLines w:val="0"/>
                    <w:pageBreakBefore w:val="0"/>
                    <w:widowControl w:val="0"/>
                    <w:kinsoku/>
                    <w:wordWrap/>
                    <w:overflowPunct/>
                    <w:topLinePunct w:val="0"/>
                    <w:autoSpaceDE/>
                    <w:autoSpaceDN/>
                    <w:bidi w:val="0"/>
                    <w:adjustRightInd/>
                    <w:snapToGrid/>
                    <w:spacing w:before="0" w:after="0" w:line="336" w:lineRule="auto"/>
                    <w:jc w:val="left"/>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服务类型</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货物招标</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服务招标</w:t>
                  </w:r>
                </w:p>
              </w:tc>
              <w:tc>
                <w:tcPr>
                  <w:tcW w:w="957"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100以下</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1.5%</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1.5%</w:t>
                  </w:r>
                </w:p>
              </w:tc>
              <w:tc>
                <w:tcPr>
                  <w:tcW w:w="957"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100-500</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1.1%</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0.8%</w:t>
                  </w:r>
                </w:p>
              </w:tc>
              <w:tc>
                <w:tcPr>
                  <w:tcW w:w="957"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500-1000</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0.8%</w:t>
                  </w:r>
                </w:p>
              </w:tc>
              <w:tc>
                <w:tcPr>
                  <w:tcW w:w="956"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0.45%</w:t>
                  </w:r>
                </w:p>
              </w:tc>
              <w:tc>
                <w:tcPr>
                  <w:tcW w:w="957"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autoSpaceDE/>
                    <w:autoSpaceDN/>
                    <w:bidi w:val="0"/>
                    <w:adjustRightInd/>
                    <w:snapToGrid/>
                    <w:spacing w:before="0" w:after="0" w:line="336" w:lineRule="auto"/>
                    <w:jc w:val="center"/>
                    <w:textAlignment w:val="auto"/>
                    <w:outlineLvl w:val="9"/>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0.55%</w:t>
                  </w:r>
                </w:p>
              </w:tc>
            </w:tr>
          </w:tbl>
          <w:p>
            <w:pPr>
              <w:keepNext w:val="0"/>
              <w:keepLines w:val="0"/>
              <w:pageBreakBefore w:val="0"/>
              <w:widowControl w:val="0"/>
              <w:kinsoku/>
              <w:wordWrap/>
              <w:overflowPunct/>
              <w:topLinePunct w:val="0"/>
              <w:autoSpaceDE/>
              <w:autoSpaceDN/>
              <w:bidi w:val="0"/>
              <w:adjustRightInd w:val="0"/>
              <w:snapToGrid/>
              <w:spacing w:line="336" w:lineRule="auto"/>
              <w:textAlignment w:val="auto"/>
              <w:outlineLvl w:val="9"/>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关于本次采购的服务费汇入以下账户：</w:t>
            </w:r>
          </w:p>
          <w:p>
            <w:pPr>
              <w:keepNext w:val="0"/>
              <w:keepLines w:val="0"/>
              <w:pageBreakBefore w:val="0"/>
              <w:widowControl w:val="0"/>
              <w:kinsoku/>
              <w:wordWrap/>
              <w:overflowPunct/>
              <w:topLinePunct w:val="0"/>
              <w:autoSpaceDE/>
              <w:autoSpaceDN/>
              <w:bidi w:val="0"/>
              <w:adjustRightInd w:val="0"/>
              <w:snapToGrid/>
              <w:spacing w:line="336" w:lineRule="auto"/>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开户银行： 宁波银行科技支行</w:t>
            </w:r>
          </w:p>
          <w:p>
            <w:pPr>
              <w:keepNext w:val="0"/>
              <w:keepLines w:val="0"/>
              <w:pageBreakBefore w:val="0"/>
              <w:widowControl w:val="0"/>
              <w:kinsoku/>
              <w:wordWrap/>
              <w:overflowPunct/>
              <w:topLinePunct w:val="0"/>
              <w:autoSpaceDE/>
              <w:autoSpaceDN/>
              <w:bidi w:val="0"/>
              <w:adjustRightInd w:val="0"/>
              <w:snapToGrid/>
              <w:spacing w:line="336" w:lineRule="auto"/>
              <w:textAlignment w:val="auto"/>
              <w:outlineLvl w:val="9"/>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账    号： 31010122000005488</w:t>
            </w:r>
          </w:p>
          <w:p>
            <w:pPr>
              <w:keepNext w:val="0"/>
              <w:keepLines w:val="0"/>
              <w:pageBreakBefore w:val="0"/>
              <w:widowControl w:val="0"/>
              <w:kinsoku/>
              <w:wordWrap/>
              <w:overflowPunct/>
              <w:topLinePunct w:val="0"/>
              <w:autoSpaceDE/>
              <w:autoSpaceDN/>
              <w:bidi w:val="0"/>
              <w:adjustRightInd w:val="0"/>
              <w:snapToGrid/>
              <w:spacing w:line="336" w:lineRule="auto"/>
              <w:textAlignment w:val="auto"/>
              <w:outlineLvl w:val="9"/>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lang w:val="en-US" w:eastAsia="zh-CN"/>
              </w:rPr>
              <w:t>户    名： 宁波中基国际招标有限公司</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color w:val="auto"/>
                <w:kern w:val="0"/>
                <w:sz w:val="24"/>
                <w:highlight w:val="none"/>
                <w:lang w:val="en-US" w:eastAsia="zh-CN"/>
              </w:rPr>
              <w:t>注：成交人</w:t>
            </w:r>
            <w:r>
              <w:rPr>
                <w:rFonts w:hint="eastAsia" w:ascii="宋体" w:hAnsi="宋体" w:eastAsia="宋体" w:cs="宋体"/>
                <w:color w:val="auto"/>
                <w:kern w:val="0"/>
                <w:sz w:val="24"/>
                <w:highlight w:val="none"/>
              </w:rPr>
              <w:t>接到本公司通知后5个工作日内向本采购代理机构领取成交通知书（根据</w:t>
            </w:r>
            <w:r>
              <w:rPr>
                <w:rFonts w:hint="eastAsia" w:ascii="宋体" w:hAnsi="宋体" w:eastAsia="宋体" w:cs="宋体"/>
                <w:color w:val="auto"/>
                <w:kern w:val="0"/>
                <w:sz w:val="24"/>
                <w:highlight w:val="none"/>
                <w:lang w:val="en-US" w:eastAsia="zh-CN"/>
              </w:rPr>
              <w:t>成交人</w:t>
            </w:r>
            <w:r>
              <w:rPr>
                <w:rFonts w:hint="eastAsia" w:ascii="宋体" w:hAnsi="宋体" w:eastAsia="宋体" w:cs="宋体"/>
                <w:color w:val="auto"/>
                <w:kern w:val="0"/>
                <w:sz w:val="24"/>
                <w:highlight w:val="none"/>
              </w:rPr>
              <w:t>需求可采用邮寄或到采购代理机构现场领取）。</w:t>
            </w:r>
          </w:p>
        </w:tc>
      </w:tr>
      <w:bookmarkEnd w:id="16"/>
    </w:tbl>
    <w:p>
      <w:pPr>
        <w:widowControl/>
        <w:adjustRightInd/>
        <w:jc w:val="left"/>
        <w:rPr>
          <w:rFonts w:hint="eastAsia" w:ascii="宋体" w:hAnsi="宋体" w:eastAsia="宋体" w:cs="宋体"/>
          <w:b/>
          <w:color w:val="auto"/>
          <w:sz w:val="32"/>
          <w:szCs w:val="20"/>
          <w:highlight w:val="none"/>
        </w:rPr>
      </w:pPr>
      <w:bookmarkStart w:id="20" w:name="_Toc164416483"/>
      <w:bookmarkStart w:id="21" w:name="第三部分"/>
      <w:r>
        <w:rPr>
          <w:rFonts w:hint="eastAsia" w:ascii="宋体" w:hAnsi="宋体" w:eastAsia="宋体" w:cs="宋体"/>
          <w:b/>
          <w:color w:val="auto"/>
          <w:sz w:val="32"/>
          <w:szCs w:val="20"/>
          <w:highlight w:val="none"/>
        </w:rPr>
        <w:br w:type="page"/>
      </w:r>
    </w:p>
    <w:p>
      <w:pPr>
        <w:snapToGrid w:val="0"/>
        <w:spacing w:line="360" w:lineRule="auto"/>
        <w:jc w:val="center"/>
        <w:outlineLvl w:val="0"/>
        <w:rPr>
          <w:rFonts w:hint="eastAsia" w:ascii="宋体" w:hAnsi="宋体" w:eastAsia="宋体" w:cs="宋体"/>
          <w:b/>
          <w:color w:val="auto"/>
          <w:sz w:val="32"/>
          <w:szCs w:val="20"/>
          <w:highlight w:val="none"/>
        </w:rPr>
      </w:pPr>
      <w:bookmarkStart w:id="22" w:name="_Toc17569"/>
      <w:r>
        <w:rPr>
          <w:rFonts w:hint="eastAsia" w:ascii="宋体" w:hAnsi="宋体" w:eastAsia="宋体" w:cs="宋体"/>
          <w:b/>
          <w:color w:val="auto"/>
          <w:sz w:val="32"/>
          <w:szCs w:val="20"/>
          <w:highlight w:val="none"/>
        </w:rPr>
        <w:t>一、总则</w:t>
      </w:r>
      <w:bookmarkEnd w:id="22"/>
    </w:p>
    <w:p>
      <w:pPr>
        <w:snapToGrid w:val="0"/>
        <w:spacing w:line="360" w:lineRule="auto"/>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本采购文件适用于该项目的采购邀请、响应文件提交、响应文件开启、资格审查及信用信息查询、磋商、评审、成交供应商确定、合同、验收等行为（法律、法规另有规定的，从其规定）。</w:t>
      </w:r>
    </w:p>
    <w:p>
      <w:pPr>
        <w:snapToGrid w:val="0"/>
        <w:spacing w:line="360" w:lineRule="auto"/>
        <w:outlineLvl w:val="0"/>
        <w:rPr>
          <w:rFonts w:hint="eastAsia" w:ascii="宋体" w:hAnsi="宋体" w:eastAsia="宋体" w:cs="宋体"/>
          <w:b/>
          <w:color w:val="auto"/>
          <w:sz w:val="24"/>
          <w:highlight w:val="none"/>
        </w:rPr>
      </w:pPr>
      <w:bookmarkStart w:id="23" w:name="_Toc18298"/>
      <w:r>
        <w:rPr>
          <w:rFonts w:hint="eastAsia" w:ascii="宋体" w:hAnsi="宋体" w:eastAsia="宋体" w:cs="宋体"/>
          <w:b/>
          <w:color w:val="auto"/>
          <w:sz w:val="24"/>
          <w:highlight w:val="none"/>
        </w:rPr>
        <w:t>2.定义</w:t>
      </w:r>
      <w:bookmarkEnd w:id="23"/>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“采购人”系指竞争性磋商公告中载明的本项目的采购人。</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”系指竞争性磋商公告中载明的本项目的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“供应商”系指是指提交响应文件和报价、参与竞争性磋商采购活动的法人、其他组织或者自然人。</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“成交人”系指经评审确定的成交供应商。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“响应文件”系指供应商提交的资格文件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商务技术文件</w:t>
      </w:r>
      <w:r>
        <w:rPr>
          <w:rFonts w:hint="eastAsia" w:ascii="宋体" w:hAnsi="宋体" w:eastAsia="宋体" w:cs="宋体"/>
          <w:color w:val="auto"/>
          <w:sz w:val="24"/>
          <w:highlight w:val="none"/>
          <w:lang w:eastAsia="zh-CN"/>
        </w:rPr>
        <w:t>、报价文件</w:t>
      </w:r>
      <w:r>
        <w:rPr>
          <w:rFonts w:hint="eastAsia" w:ascii="宋体" w:hAnsi="宋体" w:eastAsia="宋体" w:cs="宋体"/>
          <w:color w:val="auto"/>
          <w:sz w:val="24"/>
          <w:highlight w:val="none"/>
        </w:rPr>
        <w:t>。供应商提交最后报价后，最后报价是供应商响应文件的有效组成部分。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2.7 </w:t>
      </w:r>
      <w:r>
        <w:rPr>
          <w:rFonts w:hint="eastAsia" w:ascii="宋体" w:hAnsi="宋体" w:eastAsia="宋体" w:cs="宋体"/>
          <w:color w:val="auto"/>
          <w:sz w:val="24"/>
          <w:highlight w:val="none"/>
        </w:rPr>
        <w:t>“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 xml:space="preserve">8 </w:t>
      </w:r>
      <w:r>
        <w:rPr>
          <w:rFonts w:hint="eastAsia" w:ascii="宋体" w:hAnsi="宋体" w:eastAsia="宋体" w:cs="宋体"/>
          <w:color w:val="auto"/>
          <w:sz w:val="24"/>
          <w:highlight w:val="none"/>
        </w:rPr>
        <w:t>“电子交易平台”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指本项目政府采购活动所依托的政府采购云平台（https://www.zcygov.cn/）。</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2.9 “书面形式”包括数据电文形式与纸质形式。数据电文形式与纸质形式的采购活动具有同等法律效力。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 xml:space="preserve">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”系指不适用本项目的要求，“※”系指磋商过程中可能实质性变动的内容。</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w:t>
      </w:r>
      <w:r>
        <w:rPr>
          <w:rFonts w:hint="eastAsia" w:ascii="宋体" w:hAnsi="宋体" w:eastAsia="宋体" w:cs="宋体"/>
          <w:color w:val="auto"/>
          <w:sz w:val="24"/>
          <w:highlight w:val="none"/>
          <w:lang w:val="en-US" w:eastAsia="zh-CN"/>
        </w:rPr>
        <w:t>竞争性磋商文件</w:t>
      </w:r>
      <w:r>
        <w:rPr>
          <w:rFonts w:hint="eastAsia" w:ascii="宋体" w:hAnsi="宋体" w:eastAsia="宋体" w:cs="宋体"/>
          <w:color w:val="auto"/>
          <w:sz w:val="24"/>
          <w:highlight w:val="none"/>
        </w:rPr>
        <w:t>要求提供相关产品认证证书。▲</w:t>
      </w:r>
      <w:r>
        <w:rPr>
          <w:rFonts w:hint="eastAsia" w:ascii="宋体" w:hAnsi="宋体" w:eastAsia="宋体" w:cs="宋体"/>
          <w:b/>
          <w:color w:val="auto"/>
          <w:sz w:val="24"/>
          <w:highlight w:val="none"/>
        </w:rPr>
        <w:t>采购人拟采购的产品属于政府强制采购的节能产品品目清单范围的，供应商未按采购文件要求提供国家确定的认证机构出具的、处于有效期之内的节能产品认证证书的，响应文件无效。</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pStyle w:val="3"/>
        <w:tabs>
          <w:tab w:val="left" w:pos="0"/>
          <w:tab w:val="clear" w:pos="432"/>
        </w:tabs>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在政府采购活动中，供应商提供的工程符合下列情形的，享受中小企业扶持政策：</w:t>
      </w:r>
      <w:r>
        <w:rPr>
          <w:rFonts w:hint="eastAsia" w:ascii="宋体" w:hAnsi="宋体" w:eastAsia="宋体" w:cs="宋体"/>
          <w:color w:val="auto"/>
          <w:sz w:val="24"/>
          <w:highlight w:val="none"/>
        </w:rPr>
        <w:t>在工程采购项目中，工程由中小企业承建，即工程施工单位为中小企业</w:t>
      </w:r>
      <w:r>
        <w:rPr>
          <w:rFonts w:hint="eastAsia" w:ascii="宋体" w:hAnsi="宋体" w:eastAsia="宋体" w:cs="宋体"/>
          <w:color w:val="auto"/>
          <w:kern w:val="0"/>
          <w:sz w:val="24"/>
          <w:highlight w:val="none"/>
        </w:rPr>
        <w:t>。</w:t>
      </w:r>
    </w:p>
    <w:p>
      <w:pPr>
        <w:widowControl/>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3.3.3对于未预留份额专门面向中小企业的政府采购工程项目，以及预留份额政府采购工程项目中的非预留部分标项，对小型和微型企业的最后报价给予</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%的扣除，用扣除后的价格参与评审。接受大中型企业与小微企业组成联合体或者允许大中型企业向一家或者多家小微企业分包的政府采购工程项目，对于</w:t>
      </w:r>
      <w:bookmarkStart w:id="24" w:name="_Hlk101132181"/>
      <w:r>
        <w:rPr>
          <w:rFonts w:hint="eastAsia" w:ascii="宋体" w:hAnsi="宋体" w:eastAsia="宋体" w:cs="宋体"/>
          <w:color w:val="auto"/>
          <w:sz w:val="24"/>
          <w:highlight w:val="none"/>
        </w:rPr>
        <w:t>联合协议或者分包意向协议约定小微企业的合同份额占到合同总金额30%以上的</w:t>
      </w:r>
      <w:bookmarkEnd w:id="24"/>
      <w:r>
        <w:rPr>
          <w:rFonts w:hint="eastAsia" w:ascii="宋体" w:hAnsi="宋体" w:eastAsia="宋体" w:cs="宋体"/>
          <w:color w:val="auto"/>
          <w:sz w:val="24"/>
          <w:highlight w:val="none"/>
        </w:rPr>
        <w:t>，对联合体或者大中型企业的报价给予</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napToGrid w:val="0"/>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4.1在线询问、质疑、投诉</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根据《浙江省财政厅关于进一步促进政府采购公平竞争打造最优营商环境的通知》（浙财采监（2021）22号）文件关于“健全行政裁决机制”要求，鼓励供应商在线提起询问，路径为：政采云</w:t>
      </w:r>
      <w:r>
        <w:rPr>
          <w:rFonts w:hint="eastAsia" w:cs="宋体"/>
          <w:color w:val="auto"/>
          <w:highlight w:val="none"/>
          <w:lang w:eastAsia="zh-CN"/>
        </w:rPr>
        <w:t>－</w:t>
      </w:r>
      <w:r>
        <w:rPr>
          <w:rFonts w:hint="eastAsia" w:ascii="宋体" w:hAnsi="宋体" w:eastAsia="宋体" w:cs="宋体"/>
          <w:color w:val="auto"/>
          <w:highlight w:val="none"/>
        </w:rPr>
        <w:t>项目采购</w:t>
      </w:r>
      <w:r>
        <w:rPr>
          <w:rFonts w:hint="eastAsia" w:cs="宋体"/>
          <w:color w:val="auto"/>
          <w:highlight w:val="none"/>
          <w:lang w:eastAsia="zh-CN"/>
        </w:rPr>
        <w:t>－</w:t>
      </w:r>
      <w:r>
        <w:rPr>
          <w:rFonts w:hint="eastAsia" w:ascii="宋体" w:hAnsi="宋体" w:eastAsia="宋体" w:cs="宋体"/>
          <w:color w:val="auto"/>
          <w:highlight w:val="none"/>
        </w:rPr>
        <w:t>询问质疑投诉</w:t>
      </w:r>
      <w:r>
        <w:rPr>
          <w:rFonts w:hint="eastAsia" w:cs="宋体"/>
          <w:color w:val="auto"/>
          <w:highlight w:val="none"/>
          <w:lang w:eastAsia="zh-CN"/>
        </w:rPr>
        <w:t>－</w:t>
      </w:r>
      <w:r>
        <w:rPr>
          <w:rFonts w:hint="eastAsia" w:ascii="宋体" w:hAnsi="宋体" w:eastAsia="宋体" w:cs="宋体"/>
          <w:color w:val="auto"/>
          <w:highlight w:val="none"/>
        </w:rPr>
        <w:t>询问列表；鼓励供应商在线提起质疑，路径为：政采云</w:t>
      </w:r>
      <w:r>
        <w:rPr>
          <w:rFonts w:hint="eastAsia" w:cs="宋体"/>
          <w:color w:val="auto"/>
          <w:highlight w:val="none"/>
          <w:lang w:eastAsia="zh-CN"/>
        </w:rPr>
        <w:t>－</w:t>
      </w:r>
      <w:r>
        <w:rPr>
          <w:rFonts w:hint="eastAsia" w:ascii="宋体" w:hAnsi="宋体" w:eastAsia="宋体" w:cs="宋体"/>
          <w:color w:val="auto"/>
          <w:highlight w:val="none"/>
        </w:rPr>
        <w:t>项目采购</w:t>
      </w:r>
      <w:r>
        <w:rPr>
          <w:rFonts w:hint="eastAsia" w:cs="宋体"/>
          <w:color w:val="auto"/>
          <w:highlight w:val="none"/>
          <w:lang w:eastAsia="zh-CN"/>
        </w:rPr>
        <w:t>－</w:t>
      </w:r>
      <w:r>
        <w:rPr>
          <w:rFonts w:hint="eastAsia" w:ascii="宋体" w:hAnsi="宋体" w:eastAsia="宋体" w:cs="宋体"/>
          <w:color w:val="auto"/>
          <w:highlight w:val="none"/>
        </w:rPr>
        <w:t>询问质疑投诉</w:t>
      </w:r>
      <w:r>
        <w:rPr>
          <w:rFonts w:hint="eastAsia" w:cs="宋体"/>
          <w:color w:val="auto"/>
          <w:highlight w:val="none"/>
          <w:lang w:eastAsia="zh-CN"/>
        </w:rPr>
        <w:t>－</w:t>
      </w:r>
      <w:r>
        <w:rPr>
          <w:rFonts w:hint="eastAsia" w:ascii="宋体" w:hAnsi="宋体" w:eastAsia="宋体" w:cs="宋体"/>
          <w:color w:val="auto"/>
          <w:highlight w:val="none"/>
        </w:rPr>
        <w:t>质疑列表。质疑供应商对在线质疑答复不满意的，可在线提起投诉，路径为：浙江政府服务网</w:t>
      </w:r>
      <w:r>
        <w:rPr>
          <w:rFonts w:hint="eastAsia" w:cs="宋体"/>
          <w:color w:val="auto"/>
          <w:highlight w:val="none"/>
          <w:lang w:eastAsia="zh-CN"/>
        </w:rPr>
        <w:t>－</w:t>
      </w:r>
      <w:r>
        <w:rPr>
          <w:rFonts w:hint="eastAsia" w:ascii="宋体" w:hAnsi="宋体" w:eastAsia="宋体" w:cs="宋体"/>
          <w:color w:val="auto"/>
          <w:highlight w:val="none"/>
        </w:rPr>
        <w:t>政府采购投诉处理</w:t>
      </w:r>
      <w:r>
        <w:rPr>
          <w:rFonts w:hint="eastAsia" w:cs="宋体"/>
          <w:color w:val="auto"/>
          <w:highlight w:val="none"/>
          <w:lang w:eastAsia="zh-CN"/>
        </w:rPr>
        <w:t>－</w:t>
      </w:r>
      <w:r>
        <w:rPr>
          <w:rFonts w:hint="eastAsia" w:ascii="宋体" w:hAnsi="宋体" w:eastAsia="宋体" w:cs="宋体"/>
          <w:color w:val="auto"/>
          <w:highlight w:val="none"/>
        </w:rPr>
        <w:t>在线办理。</w:t>
      </w:r>
    </w:p>
    <w:p>
      <w:pPr>
        <w:autoSpaceDE w:val="0"/>
        <w:autoSpaceDN w:val="0"/>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2"/>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.1提出质疑的供应商应当是参与所质疑项目采购活动的供应商。潜在供应商已依法获取其可质疑的采购文件的，可以对该文件提出质疑。</w:t>
      </w:r>
    </w:p>
    <w:p>
      <w:pPr>
        <w:pStyle w:val="32"/>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.2供应商认为采购文件、采购过程和成交结果使自己的权益受到损害的，可以在知道或者应知其权益受到损害之日起七个工作日内，以书面形式向采购人或者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4.3.2.1对采购文件提出质疑的，质疑期限为供应商获得采购文件之日或者采购文件公告期限届满之日起计算。</w:t>
      </w:r>
    </w:p>
    <w:p>
      <w:pPr>
        <w:pStyle w:val="32"/>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w:t>
      </w:r>
    </w:p>
    <w:p>
      <w:pPr>
        <w:pStyle w:val="32"/>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4.3.2.3对采购结果提出质疑的，质疑期限自采购结果公告期限届满之日起计算。</w:t>
      </w:r>
    </w:p>
    <w:p>
      <w:pPr>
        <w:pStyle w:val="32"/>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2"/>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4.3.3.1供应商的姓名或者名称、地址、邮编、联系人及联系电话；</w:t>
      </w:r>
    </w:p>
    <w:p>
      <w:pPr>
        <w:pStyle w:val="32"/>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4.3.3.2质疑项目的名称、编号；</w:t>
      </w:r>
    </w:p>
    <w:p>
      <w:pPr>
        <w:pStyle w:val="32"/>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4.3.3.3具体、明确的质疑事项和与质疑事项相关的请求；</w:t>
      </w:r>
    </w:p>
    <w:p>
      <w:pPr>
        <w:pStyle w:val="32"/>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4.3.3.4事实依据；</w:t>
      </w:r>
    </w:p>
    <w:p>
      <w:pPr>
        <w:pStyle w:val="32"/>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4.3.3.5必要的法律依据；</w:t>
      </w:r>
    </w:p>
    <w:p>
      <w:pPr>
        <w:pStyle w:val="32"/>
        <w:snapToGrid w:val="0"/>
        <w:spacing w:line="360" w:lineRule="auto"/>
        <w:ind w:firstLine="720" w:firstLineChars="3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6"/>
        <w:shd w:val="clear" w:color="auto"/>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宋体" w:hAnsi="宋体" w:eastAsia="宋体" w:cs="宋体"/>
          <w:color w:val="auto"/>
          <w:sz w:val="24"/>
          <w:highlight w:val="none"/>
        </w:rPr>
        <w:t>根据《</w:t>
      </w:r>
      <w:r>
        <w:rPr>
          <w:rFonts w:hint="eastAsia" w:ascii="宋体" w:hAnsi="宋体" w:eastAsia="宋体" w:cs="宋体"/>
          <w:color w:val="auto"/>
          <w:sz w:val="24"/>
          <w:highlight w:val="none"/>
          <w:lang w:val="en-US" w:eastAsia="zh-CN"/>
        </w:rPr>
        <w:t>浙江省财政厅</w:t>
      </w:r>
      <w:r>
        <w:rPr>
          <w:rFonts w:hint="eastAsia" w:ascii="宋体" w:hAnsi="宋体" w:eastAsia="宋体" w:cs="宋体"/>
          <w:color w:val="auto"/>
          <w:sz w:val="24"/>
          <w:highlight w:val="none"/>
        </w:rPr>
        <w:t>关于进一步加强政府采购公</w:t>
      </w:r>
      <w:r>
        <w:rPr>
          <w:rFonts w:hint="eastAsia" w:ascii="宋体" w:hAnsi="宋体" w:eastAsia="宋体" w:cs="宋体"/>
          <w:color w:val="auto"/>
          <w:sz w:val="24"/>
          <w:highlight w:val="none"/>
          <w:lang w:val="en-US" w:eastAsia="zh-CN"/>
        </w:rPr>
        <w:t>平竞争打造最</w:t>
      </w:r>
      <w:r>
        <w:rPr>
          <w:rFonts w:hint="eastAsia" w:ascii="宋体" w:hAnsi="宋体" w:eastAsia="宋体" w:cs="宋体"/>
          <w:color w:val="auto"/>
          <w:sz w:val="24"/>
          <w:highlight w:val="none"/>
        </w:rPr>
        <w:t>优营商环境的通知》（</w:t>
      </w:r>
      <w:r>
        <w:rPr>
          <w:rFonts w:hint="eastAsia" w:ascii="宋体" w:hAnsi="宋体" w:eastAsia="宋体" w:cs="宋体"/>
          <w:color w:val="auto"/>
          <w:sz w:val="24"/>
          <w:highlight w:val="none"/>
          <w:lang w:val="en-US" w:eastAsia="zh-CN"/>
        </w:rPr>
        <w:t>浙</w:t>
      </w:r>
      <w:r>
        <w:rPr>
          <w:rFonts w:hint="eastAsia" w:ascii="宋体" w:hAnsi="宋体" w:eastAsia="宋体" w:cs="宋体"/>
          <w:color w:val="auto"/>
          <w:sz w:val="24"/>
          <w:highlight w:val="none"/>
        </w:rPr>
        <w:t>财采监〔2021〕</w:t>
      </w:r>
      <w:r>
        <w:rPr>
          <w:rFonts w:hint="eastAsia" w:ascii="宋体" w:hAnsi="宋体" w:eastAsia="宋体" w:cs="宋体"/>
          <w:color w:val="auto"/>
          <w:sz w:val="24"/>
          <w:highlight w:val="none"/>
          <w:lang w:val="en-US" w:eastAsia="zh-CN"/>
        </w:rPr>
        <w:t>22</w:t>
      </w:r>
      <w:r>
        <w:rPr>
          <w:rFonts w:hint="eastAsia" w:ascii="宋体" w:hAnsi="宋体" w:eastAsia="宋体" w:cs="宋体"/>
          <w:color w:val="auto"/>
          <w:sz w:val="24"/>
          <w:highlight w:val="none"/>
        </w:rPr>
        <w:t>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在质疑回复后5个工作日内，在浙江政府采购网的“其他公告”栏目公开质疑答复，答复内容应当完整。质疑函作为附件上传。</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的答复不满意或者采购人、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未在规定的时间内作出答复的，可以在答复期满后十五个工作日内向同级政府采购监督管理部门提出投诉。</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6"/>
        <w:shd w:val="clear" w:color="auto"/>
        <w:snapToGrid w:val="0"/>
        <w:spacing w:after="240" w:afterAutospacing="0" w:line="360" w:lineRule="auto"/>
        <w:ind w:firstLine="480" w:firstLineChars="200"/>
        <w:contextualSpacing/>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4.5.5投诉材料</w:t>
      </w:r>
      <w:r>
        <w:rPr>
          <w:rFonts w:hint="eastAsia" w:ascii="宋体" w:hAnsi="宋体" w:eastAsia="宋体" w:cs="宋体"/>
          <w:color w:val="auto"/>
          <w:highlight w:val="none"/>
          <w:lang w:val="en-US" w:eastAsia="zh-CN"/>
        </w:rPr>
        <w:t>寄送相关信息详见《第一部分  竞争性磋商公告》“</w:t>
      </w:r>
      <w:r>
        <w:rPr>
          <w:rFonts w:hint="eastAsia" w:ascii="宋体" w:hAnsi="宋体" w:eastAsia="宋体" w:cs="宋体"/>
          <w:color w:val="auto"/>
          <w:highlight w:val="none"/>
        </w:rPr>
        <w:t>同级政府采购监督管理部门</w:t>
      </w:r>
      <w:r>
        <w:rPr>
          <w:rFonts w:hint="eastAsia" w:ascii="宋体" w:hAnsi="宋体" w:eastAsia="宋体" w:cs="宋体"/>
          <w:color w:val="auto"/>
          <w:highlight w:val="none"/>
          <w:lang w:val="en-US" w:eastAsia="zh-CN"/>
        </w:rPr>
        <w:t>”。</w:t>
      </w:r>
    </w:p>
    <w:p>
      <w:pPr>
        <w:pStyle w:val="886"/>
        <w:shd w:val="clear" w:color="auto"/>
        <w:adjustRightInd w:val="0"/>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28"/>
        <w:snapToGrid w:val="0"/>
        <w:spacing w:before="0"/>
        <w:ind w:firstLine="360"/>
        <w:rPr>
          <w:rFonts w:hint="eastAsia" w:ascii="宋体" w:hAnsi="宋体" w:eastAsia="宋体" w:cs="宋体"/>
          <w:color w:val="auto"/>
          <w:sz w:val="18"/>
          <w:szCs w:val="18"/>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25" w:name="_Toc21397"/>
      <w:r>
        <w:rPr>
          <w:rFonts w:hint="eastAsia" w:ascii="宋体" w:hAnsi="宋体" w:eastAsia="宋体" w:cs="宋体"/>
          <w:b/>
          <w:color w:val="auto"/>
          <w:sz w:val="32"/>
          <w:szCs w:val="20"/>
          <w:highlight w:val="none"/>
        </w:rPr>
        <w:t>二、采购文件的构成、澄清、修改</w:t>
      </w:r>
      <w:bookmarkEnd w:id="25"/>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5．采购文件的构成</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采购文件包括下列文件及附件：</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5.1.1竞争性磋商公告；</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5.1.2供应商须知；</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5.1.4评审办法；</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澄清或者修改的内容为采购文件的组成部分</w:t>
      </w:r>
      <w:r>
        <w:rPr>
          <w:rFonts w:hint="eastAsia" w:ascii="宋体" w:hAnsi="宋体" w:eastAsia="宋体" w:cs="宋体"/>
          <w:color w:val="auto"/>
          <w:sz w:val="24"/>
          <w:highlight w:val="none"/>
        </w:rPr>
        <w:t>。</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采购文件的澄清、修改</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6.1已获取采购文件的潜在供应商，若有问题需要澄清，应于响应文件提交（上传）截止时间前，以书面形式向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6.3澄清或者修改的内容可能影响响应文件编制的，采购人、采购代理机构应当在提交首次响应文件截止时间至少5日前，通过电子交易平台通知所有获取磋商文件的供应商；不足5日的，采购人、采购代理机构应当顺延提交首次响应文件截止时间。</w:t>
      </w:r>
    </w:p>
    <w:p>
      <w:pPr>
        <w:pStyle w:val="128"/>
        <w:snapToGrid w:val="0"/>
        <w:spacing w:before="0"/>
        <w:ind w:firstLine="480"/>
        <w:rPr>
          <w:rFonts w:hint="eastAsia" w:ascii="宋体" w:hAnsi="宋体" w:eastAsia="宋体" w:cs="宋体"/>
          <w:color w:val="auto"/>
          <w:sz w:val="18"/>
          <w:szCs w:val="18"/>
          <w:highlight w:val="none"/>
          <w:lang w:val="en-US"/>
        </w:rPr>
      </w:pPr>
      <w:r>
        <w:rPr>
          <w:rFonts w:hint="eastAsia" w:ascii="宋体" w:hAnsi="宋体" w:eastAsia="宋体" w:cs="宋体"/>
          <w:b/>
          <w:color w:val="auto"/>
          <w:highlight w:val="none"/>
        </w:rPr>
        <w:t>▲</w:t>
      </w:r>
      <w:r>
        <w:rPr>
          <w:rFonts w:hint="eastAsia" w:ascii="宋体" w:hAnsi="宋体" w:eastAsia="宋体" w:cs="宋体"/>
          <w:b/>
          <w:color w:val="auto"/>
          <w:szCs w:val="21"/>
          <w:highlight w:val="none"/>
        </w:rPr>
        <w:t>响应文件未按</w:t>
      </w:r>
      <w:r>
        <w:rPr>
          <w:rFonts w:hint="eastAsia" w:ascii="宋体" w:hAnsi="宋体" w:eastAsia="宋体" w:cs="宋体"/>
          <w:color w:val="auto"/>
          <w:highlight w:val="none"/>
          <w:lang w:val="en-US" w:eastAsia="zh-CN"/>
        </w:rPr>
        <w:t>磋商</w:t>
      </w:r>
      <w:r>
        <w:rPr>
          <w:rFonts w:hint="eastAsia" w:ascii="宋体" w:hAnsi="宋体" w:eastAsia="宋体" w:cs="宋体"/>
          <w:b/>
          <w:color w:val="auto"/>
          <w:szCs w:val="21"/>
          <w:highlight w:val="none"/>
        </w:rPr>
        <w:t>文件的澄清、修改的内容编制，又不符合实质性要求的，响应无效。</w:t>
      </w:r>
    </w:p>
    <w:p>
      <w:pPr>
        <w:snapToGrid w:val="0"/>
        <w:spacing w:line="360" w:lineRule="auto"/>
        <w:jc w:val="center"/>
        <w:outlineLvl w:val="9"/>
        <w:rPr>
          <w:rFonts w:hint="eastAsia" w:ascii="宋体" w:hAnsi="宋体" w:eastAsia="宋体" w:cs="宋体"/>
          <w:b/>
          <w:color w:val="auto"/>
          <w:sz w:val="32"/>
          <w:szCs w:val="20"/>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26" w:name="_Toc28479"/>
      <w:r>
        <w:rPr>
          <w:rFonts w:hint="eastAsia" w:ascii="宋体" w:hAnsi="宋体" w:eastAsia="宋体" w:cs="宋体"/>
          <w:b/>
          <w:color w:val="auto"/>
          <w:sz w:val="32"/>
          <w:szCs w:val="20"/>
          <w:highlight w:val="none"/>
        </w:rPr>
        <w:t>三、提交响应文件</w:t>
      </w:r>
      <w:bookmarkEnd w:id="26"/>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采购文件的获取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详见竞争性磋商公告中获取采购文件的时间期限、地点、方式及采购文件售价。</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8.磋商前答疑会或现场考察</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采购人组织潜在供应商现场考察或者召开磋商前答疑会的，潜在供应商按第二部分供应商须知前附表的规定参加现场考察或者磋商前答疑会。</w:t>
      </w:r>
    </w:p>
    <w:p>
      <w:pPr>
        <w:pStyle w:val="32"/>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9.磋商保证金</w:t>
      </w:r>
    </w:p>
    <w:p>
      <w:pPr>
        <w:pStyle w:val="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本项目不需缴纳磋商保证金。</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响应文件的语言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响应文件及供应商与采购有关的来往通知、函件和文件均应使用中文。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响应文件的组成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bookmarkStart w:id="27" w:name="_Hlk101259339"/>
      <w:r>
        <w:rPr>
          <w:rFonts w:hint="eastAsia" w:ascii="宋体" w:hAnsi="宋体" w:eastAsia="宋体" w:cs="宋体"/>
          <w:snapToGrid w:val="0"/>
          <w:color w:val="auto"/>
          <w:kern w:val="28"/>
          <w:sz w:val="24"/>
          <w:szCs w:val="20"/>
          <w:highlight w:val="none"/>
        </w:rPr>
        <w:t>联合协议</w:t>
      </w:r>
      <w:bookmarkStart w:id="28" w:name="_Hlk101257010"/>
      <w:r>
        <w:rPr>
          <w:rFonts w:hint="eastAsia" w:ascii="宋体" w:hAnsi="宋体" w:eastAsia="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bookmarkEnd w:id="27"/>
      <w:bookmarkEnd w:id="28"/>
      <w:r>
        <w:rPr>
          <w:rFonts w:hint="eastAsia" w:ascii="宋体" w:hAnsi="宋体" w:eastAsia="宋体" w:cs="宋体"/>
          <w:snapToGrid w:val="0"/>
          <w:color w:val="auto"/>
          <w:kern w:val="28"/>
          <w:sz w:val="24"/>
          <w:szCs w:val="20"/>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11.2.1响应函；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11.2.3分包意向协议（如果有</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11.2.5评审标准相应的商务技术资料；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11.2.6商务技术偏离表；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11.3.1报价单；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11.3.2已标价工程量清单；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11.3.3中小企业声明函。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响应文件含有采购人不能接受的附加条件的，响应文件无效；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供应商提供虚假材料的，响应文件无效。</w:t>
      </w:r>
    </w:p>
    <w:p>
      <w:pPr>
        <w:pStyle w:val="128"/>
        <w:snapToGrid w:val="0"/>
        <w:spacing w:before="0"/>
        <w:ind w:firstLine="0" w:firstLineChars="0"/>
        <w:outlineLvl w:val="0"/>
        <w:rPr>
          <w:rFonts w:hint="eastAsia" w:ascii="宋体" w:hAnsi="宋体" w:eastAsia="宋体" w:cs="宋体"/>
          <w:b/>
          <w:color w:val="auto"/>
          <w:szCs w:val="24"/>
          <w:highlight w:val="none"/>
        </w:rPr>
      </w:pPr>
      <w:bookmarkStart w:id="29" w:name="_Toc8830"/>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响应文件的编制</w:t>
      </w:r>
      <w:r>
        <w:rPr>
          <w:rFonts w:hint="eastAsia" w:ascii="宋体" w:hAnsi="宋体" w:eastAsia="宋体" w:cs="宋体"/>
          <w:b/>
          <w:color w:val="auto"/>
          <w:szCs w:val="24"/>
          <w:highlight w:val="none"/>
          <w:lang w:val="en-US" w:eastAsia="zh-CN"/>
        </w:rPr>
        <w:t>（文件后缀为：jmbs）</w:t>
      </w:r>
      <w:bookmarkEnd w:id="29"/>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napToGrid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13.响应文件的签署、盖章</w:t>
      </w:r>
    </w:p>
    <w:p>
      <w:pPr>
        <w:pStyle w:val="128"/>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13.1响应文件按照采购文件第六部分格式要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▲供应商的响应文件未按照采购文件要求签署、盖章的，其响应文件无效</w:t>
      </w:r>
      <w:r>
        <w:rPr>
          <w:rFonts w:hint="eastAsia" w:ascii="宋体" w:hAnsi="宋体" w:eastAsia="宋体" w:cs="宋体"/>
          <w:color w:val="auto"/>
          <w:szCs w:val="24"/>
          <w:highlight w:val="none"/>
        </w:rPr>
        <w:t>。</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13.2为确保网上操作合法、有效和安全，供应商应当在响应文件提交（上传）截止时间前完成在“政府采购云平台”的身份认证，确保在电子投标过程中能够对相关数据电文进行加密和使用电子签名。</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13.3采购文件对响应文件签署、盖章的要求适用于电子签名。</w:t>
      </w:r>
    </w:p>
    <w:p>
      <w:pPr>
        <w:pStyle w:val="128"/>
        <w:snapToGrid w:val="0"/>
        <w:spacing w:before="0"/>
        <w:ind w:firstLine="0" w:firstLineChars="0"/>
        <w:rPr>
          <w:rFonts w:hint="eastAsia" w:ascii="宋体" w:hAnsi="宋体" w:eastAsia="宋体" w:cs="宋体"/>
          <w:b/>
          <w:color w:val="auto"/>
          <w:szCs w:val="24"/>
          <w:highlight w:val="none"/>
        </w:rPr>
      </w:pPr>
    </w:p>
    <w:p>
      <w:pPr>
        <w:pStyle w:val="12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响应文件的提交、补充、修改、撤回</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.2 在响应截止时间以后，不能补充、修改响应文件。</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.3 在提交“最后报价”后，供应商不能退出磋商。</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w:t>
      </w:r>
      <w:r>
        <w:rPr>
          <w:rFonts w:hint="eastAsia" w:ascii="宋体" w:hAnsi="宋体" w:eastAsia="宋体" w:cs="宋体"/>
          <w:color w:val="auto"/>
          <w:szCs w:val="24"/>
          <w:highlight w:val="none"/>
          <w:lang w:val="en-US" w:eastAsia="zh-CN"/>
        </w:rPr>
        <w:t>4</w:t>
      </w:r>
      <w:r>
        <w:rPr>
          <w:rFonts w:hint="eastAsia" w:ascii="宋体" w:hAnsi="宋体" w:eastAsia="宋体" w:cs="宋体"/>
          <w:color w:val="auto"/>
          <w:szCs w:val="24"/>
          <w:highlight w:val="none"/>
        </w:rPr>
        <w:t>电子交易平台收到响应文件，将妥善保存并即时向供应商发出确认回执通知。在响应文件提交（上传）截止时间前，除供应商补充、修改或者撤回响应文件外，任何单位和个人不得解密或提取响应文件。</w:t>
      </w:r>
    </w:p>
    <w:p>
      <w:pPr>
        <w:pStyle w:val="128"/>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可以视情况延长响应文件提交的截止时间。在上述情况下，</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与供应商以前在响应文件提交截止时间方面的全部权利、责任和义务，将适用于延长至新的响应文件提交截止时间。</w:t>
      </w:r>
    </w:p>
    <w:p>
      <w:pPr>
        <w:pStyle w:val="32"/>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15.备份响应文件（文件后缀为：</w:t>
      </w:r>
      <w:r>
        <w:rPr>
          <w:rFonts w:hint="eastAsia" w:ascii="宋体" w:hAnsi="宋体" w:eastAsia="宋体" w:cs="宋体"/>
          <w:b/>
          <w:color w:val="auto"/>
          <w:sz w:val="24"/>
          <w:szCs w:val="24"/>
          <w:highlight w:val="none"/>
          <w:lang w:val="en-US" w:eastAsia="zh-CN"/>
        </w:rPr>
        <w:t>bfbs</w:t>
      </w:r>
      <w:r>
        <w:rPr>
          <w:rFonts w:hint="eastAsia" w:ascii="宋体" w:hAnsi="宋体" w:eastAsia="宋体" w:cs="宋体"/>
          <w:b/>
          <w:color w:val="auto"/>
          <w:sz w:val="24"/>
          <w:szCs w:val="24"/>
          <w:highlight w:val="none"/>
        </w:rPr>
        <w:t>）</w:t>
      </w:r>
    </w:p>
    <w:p>
      <w:pPr>
        <w:pStyle w:val="32"/>
        <w:snapToGrid w:val="0"/>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15.1供应商在电子交易平台传输递交响应文件后，还可以在响应文件提交（上传）截止时间前直接提交或者以邮政快递方式递交备份响应文件1份，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不强制或变相强制供应商提交备份响应文件。</w:t>
      </w:r>
    </w:p>
    <w:p>
      <w:pPr>
        <w:pStyle w:val="32"/>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15.2备份响应文件须在“政采云投标客户端”制作生成，并储存在</w:t>
      </w:r>
      <w:r>
        <w:rPr>
          <w:rFonts w:hint="eastAsia" w:ascii="宋体" w:hAnsi="宋体" w:eastAsia="宋体" w:cs="宋体"/>
          <w:color w:val="auto"/>
          <w:sz w:val="24"/>
          <w:szCs w:val="24"/>
          <w:highlight w:val="none"/>
          <w:lang w:val="en-US" w:eastAsia="zh-CN"/>
        </w:rPr>
        <w:t>U盘</w:t>
      </w:r>
      <w:r>
        <w:rPr>
          <w:rFonts w:hint="eastAsia" w:ascii="宋体" w:hAnsi="宋体" w:eastAsia="宋体" w:cs="宋体"/>
          <w:color w:val="auto"/>
          <w:sz w:val="24"/>
          <w:szCs w:val="24"/>
          <w:highlight w:val="none"/>
        </w:rPr>
        <w:t>中。备份响应文件应当密封包装并在包装上加盖公章并注明采购项目名称，供应商名称</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联合体参与的，包装物封面需注明联合体，并注明联合体成员各方的名称和联合协议中约定的牵头人的名称</w:t>
      </w:r>
      <w:r>
        <w:rPr>
          <w:rFonts w:hint="eastAsia" w:hAnsi="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存储、密封规定的备份响应文件将被视为无效或者被拒绝接收。</w:t>
      </w:r>
    </w:p>
    <w:p>
      <w:pPr>
        <w:pStyle w:val="3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w:t>
      </w:r>
      <w:r>
        <w:rPr>
          <w:rFonts w:hint="eastAsia" w:ascii="宋体" w:hAnsi="宋体" w:eastAsia="宋体" w:cs="宋体"/>
          <w:color w:val="auto"/>
          <w:sz w:val="24"/>
          <w:szCs w:val="24"/>
          <w:highlight w:val="none"/>
          <w:lang w:val="en-US" w:eastAsia="zh-CN"/>
        </w:rPr>
        <w:t>直接提交备份响应文件的，供应商应于响应截止时间前在磋商文件第三部分供应商须知前附表规定的地点将备份响应文件提交给采购代理机构，采购代理机构将拒绝接受逾期送达的备份响应文件。</w:t>
      </w:r>
    </w:p>
    <w:p>
      <w:pPr>
        <w:pStyle w:val="3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15.4以邮政快递方式递交备份响应文件的，供应商应先将备份响应文件按要求密封和标记，再进行邮政快递包装后邮寄。</w:t>
      </w:r>
      <w:r>
        <w:rPr>
          <w:rFonts w:hint="eastAsia" w:ascii="宋体" w:hAnsi="宋体" w:eastAsia="宋体" w:cs="宋体"/>
          <w:color w:val="auto"/>
          <w:sz w:val="24"/>
          <w:szCs w:val="24"/>
          <w:highlight w:val="none"/>
          <w:lang w:val="en-US" w:eastAsia="zh-CN"/>
        </w:rPr>
        <w:t>备份响应文件须按磋商文件第三部分供应商须知前附表规定时间和地点送达</w:t>
      </w:r>
      <w:r>
        <w:rPr>
          <w:rFonts w:hint="eastAsia" w:ascii="宋体" w:hAnsi="宋体" w:eastAsia="宋体" w:cs="宋体"/>
          <w:snapToGrid/>
          <w:color w:val="auto"/>
          <w:sz w:val="24"/>
          <w:szCs w:val="24"/>
          <w:highlight w:val="none"/>
        </w:rPr>
        <w:t>；</w:t>
      </w:r>
      <w:r>
        <w:rPr>
          <w:rFonts w:hint="eastAsia" w:ascii="宋体" w:hAnsi="宋体" w:eastAsia="宋体" w:cs="宋体"/>
          <w:color w:val="auto"/>
          <w:sz w:val="24"/>
          <w:szCs w:val="24"/>
          <w:highlight w:val="none"/>
        </w:rPr>
        <w:t>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将拒绝接受逾期送达的备份响应文件。邮寄过程中，电子备份响应文件发生泄露、遗失、损坏或延期送达等情况的，由供应商自行负责。</w:t>
      </w:r>
    </w:p>
    <w:p>
      <w:pPr>
        <w:pStyle w:val="32"/>
        <w:snapToGrid w:val="0"/>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▲15.5供应商仅提交备份响应文件，未在电子交易平台传输递交响应文件的，响应文件无效。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16.响应文件的无效处理</w:t>
      </w:r>
    </w:p>
    <w:p>
      <w:pPr>
        <w:pStyle w:val="24"/>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有采购文件第四部分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的情形之一的，响应文件无效：</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17.响应文件有效期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17.1响应文件有效期为从提交响应文件的截止之日起90天。▲</w:t>
      </w:r>
      <w:r>
        <w:rPr>
          <w:rFonts w:hint="eastAsia" w:ascii="宋体" w:hAnsi="宋体" w:eastAsia="宋体" w:cs="宋体"/>
          <w:b/>
          <w:color w:val="auto"/>
          <w:sz w:val="24"/>
          <w:szCs w:val="20"/>
          <w:highlight w:val="none"/>
        </w:rPr>
        <w:t>供应商的响应文件中承</w:t>
      </w:r>
      <w:r>
        <w:rPr>
          <w:rFonts w:hint="eastAsia" w:ascii="宋体" w:hAnsi="宋体" w:eastAsia="宋体" w:cs="宋体"/>
          <w:b/>
          <w:color w:val="auto"/>
          <w:sz w:val="24"/>
          <w:szCs w:val="21"/>
          <w:highlight w:val="none"/>
        </w:rPr>
        <w:t>诺的响应文件有效期少于采购文件中载明的响应文件有效期的，响应文件无效。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17.2响应文件合格投递后，自响应文件提交截止时间起，在响应文件有效期内有效。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17.3在原定响应文件有效期满之前，如果出现特殊情况，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可以以书面形式通知供应商延长响应文件有效期。供应商同意延长的，不得要求或被允许修改其响应文件，供应商拒绝延长的，其响应文件无效。</w:t>
      </w:r>
    </w:p>
    <w:p>
      <w:pPr>
        <w:pStyle w:val="128"/>
        <w:spacing w:before="0"/>
        <w:ind w:firstLine="643"/>
        <w:rPr>
          <w:rFonts w:hint="eastAsia" w:ascii="宋体" w:hAnsi="宋体" w:eastAsia="宋体" w:cs="宋体"/>
          <w:b/>
          <w:color w:val="auto"/>
          <w:sz w:val="32"/>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30" w:name="_Toc25467"/>
      <w:r>
        <w:rPr>
          <w:rFonts w:hint="eastAsia" w:ascii="宋体" w:hAnsi="宋体" w:eastAsia="宋体" w:cs="宋体"/>
          <w:b/>
          <w:color w:val="auto"/>
          <w:sz w:val="32"/>
          <w:szCs w:val="20"/>
          <w:highlight w:val="none"/>
        </w:rPr>
        <w:t>四、响应文件开启、资格审查与信用信息查询</w:t>
      </w:r>
      <w:bookmarkEnd w:id="30"/>
    </w:p>
    <w:p>
      <w:pPr>
        <w:pStyle w:val="554"/>
        <w:spacing w:before="0" w:line="360" w:lineRule="auto"/>
        <w:ind w:left="0" w:firstLine="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18.响应文件开启</w:t>
      </w:r>
      <w:r>
        <w:rPr>
          <w:rFonts w:hint="eastAsia" w:ascii="宋体" w:hAnsi="宋体" w:eastAsia="宋体" w:cs="宋体"/>
          <w:color w:val="auto"/>
          <w:sz w:val="24"/>
          <w:highlight w:val="none"/>
        </w:rPr>
        <w:t xml:space="preserve"> </w:t>
      </w:r>
    </w:p>
    <w:p>
      <w:pPr>
        <w:pStyle w:val="554"/>
        <w:snapToGrid w:val="0"/>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按照采购文件规定的时间通过电子交易平台组织响应文件开启，所有供应商均应当准时在线参加。供应商不足3家的，不得开启。</w:t>
      </w:r>
    </w:p>
    <w:p>
      <w:pPr>
        <w:pStyle w:val="554"/>
        <w:snapToGrid w:val="0"/>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18.2响应文件开启时，电子交易平台按响应文件开启时间自动提取所有响应文件。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依托电子交易平台发起开始解密指令，供应商按照平台提示和采购文件的规定在半小时内完成在线解密。</w:t>
      </w:r>
    </w:p>
    <w:p>
      <w:pPr>
        <w:pStyle w:val="554"/>
        <w:snapToGrid w:val="0"/>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18.3</w:t>
      </w:r>
      <w:r>
        <w:rPr>
          <w:rFonts w:hint="eastAsia" w:ascii="宋体" w:hAnsi="宋体" w:eastAsia="宋体" w:cs="宋体"/>
          <w:b/>
          <w:bCs/>
          <w:color w:val="auto"/>
          <w:sz w:val="24"/>
          <w:highlight w:val="none"/>
        </w:rPr>
        <w:t>响应文件未按时解密，供应商提供了备份响应文件的，以备份响应文件作为依据，否则视为响应文件撤回。响应文件已按时解密的，备份响应文件自动失效。</w:t>
      </w:r>
    </w:p>
    <w:p>
      <w:pPr>
        <w:pStyle w:val="554"/>
        <w:spacing w:before="0" w:line="360" w:lineRule="auto"/>
        <w:ind w:left="0" w:firstLine="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磋商小组依据法律法规和采购文件的规定，对供应商的资格进行审查。</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供应商未按照采购文件要求提供与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供应商不具备采购文件中规定的资格要求，其响应文件无效。</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对未通过资格审查的供应商，采购人或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合格供应商不足3家的，不再评审。</w:t>
      </w:r>
    </w:p>
    <w:p>
      <w:pPr>
        <w:pStyle w:val="128"/>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eastAsia="宋体" w:cs="宋体"/>
          <w:color w:val="auto"/>
          <w:kern w:val="0"/>
          <w:szCs w:val="24"/>
          <w:highlight w:val="none"/>
        </w:rPr>
        <w:t>www.creditchina.gov.cn)、中国政府采购网</w:t>
      </w:r>
      <w:r>
        <w:rPr>
          <w:rFonts w:hint="eastAsia" w:ascii="宋体" w:hAnsi="宋体" w:cs="宋体"/>
          <w:color w:val="auto"/>
          <w:kern w:val="0"/>
          <w:szCs w:val="24"/>
          <w:highlight w:val="none"/>
          <w:lang w:eastAsia="zh-CN"/>
        </w:rPr>
        <w:t>（</w:t>
      </w:r>
      <w:r>
        <w:rPr>
          <w:rFonts w:hint="eastAsia" w:ascii="宋体" w:hAnsi="宋体" w:eastAsia="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eastAsia="宋体" w:cs="宋体"/>
          <w:color w:val="auto"/>
          <w:kern w:val="0"/>
          <w:szCs w:val="24"/>
          <w:highlight w:val="none"/>
        </w:rPr>
        <w:t>渠道查询供应商接受资格审查时的信用记录。</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20.2信用信息查询记录和证据留存的具体方式：现场查询的供应商的信用记录、查询结果经确认后将与采购文件一起存档。</w:t>
      </w:r>
    </w:p>
    <w:p>
      <w:pPr>
        <w:pStyle w:val="128"/>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w:t>
      </w:r>
      <w:r>
        <w:rPr>
          <w:rFonts w:hint="eastAsia" w:ascii="宋体" w:hAnsi="宋体" w:cs="宋体"/>
          <w:color w:val="auto"/>
          <w:kern w:val="0"/>
          <w:szCs w:val="24"/>
          <w:highlight w:val="none"/>
          <w:lang w:eastAsia="zh-CN"/>
        </w:rPr>
        <w:t>（</w:t>
      </w:r>
      <w:r>
        <w:rPr>
          <w:rFonts w:hint="eastAsia" w:ascii="宋体" w:hAnsi="宋体" w:eastAsia="宋体" w:cs="宋体"/>
          <w:color w:val="auto"/>
          <w:kern w:val="0"/>
          <w:szCs w:val="24"/>
          <w:highlight w:val="none"/>
          <w:lang w:val="en-US" w:eastAsia="zh-CN"/>
        </w:rPr>
        <w:t>即：重大税收违法失信主体</w:t>
      </w:r>
      <w:r>
        <w:rPr>
          <w:rFonts w:hint="eastAsia" w:ascii="宋体" w:hAnsi="宋体" w:cs="宋体"/>
          <w:color w:val="auto"/>
          <w:kern w:val="0"/>
          <w:szCs w:val="24"/>
          <w:highlight w:val="none"/>
          <w:lang w:val="en-US" w:eastAsia="zh-CN"/>
        </w:rPr>
        <w:t>）</w:t>
      </w:r>
      <w:r>
        <w:rPr>
          <w:rFonts w:hint="eastAsia" w:ascii="宋体" w:hAnsi="宋体" w:eastAsia="宋体" w:cs="宋体"/>
          <w:color w:val="auto"/>
          <w:kern w:val="0"/>
          <w:szCs w:val="24"/>
          <w:highlight w:val="none"/>
        </w:rPr>
        <w:t>、政府采购严重违法失信行为记录名单的供应商将被拒绝参与政府采购活动。</w:t>
      </w:r>
    </w:p>
    <w:p>
      <w:pPr>
        <w:pStyle w:val="128"/>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28"/>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31" w:name="_Toc2054"/>
      <w:r>
        <w:rPr>
          <w:rFonts w:hint="eastAsia" w:ascii="宋体" w:hAnsi="宋体" w:eastAsia="宋体" w:cs="宋体"/>
          <w:b/>
          <w:color w:val="auto"/>
          <w:sz w:val="32"/>
          <w:szCs w:val="20"/>
          <w:highlight w:val="none"/>
        </w:rPr>
        <w:t>五、评审</w:t>
      </w:r>
      <w:bookmarkEnd w:id="31"/>
    </w:p>
    <w:p>
      <w:pPr>
        <w:spacing w:line="360" w:lineRule="auto"/>
        <w:rPr>
          <w:rFonts w:hint="eastAsia" w:ascii="宋体" w:hAnsi="宋体" w:eastAsia="宋体" w:cs="宋体"/>
          <w:b/>
          <w:color w:val="auto"/>
          <w:sz w:val="24"/>
          <w:highlight w:val="none"/>
        </w:rPr>
      </w:pPr>
      <w:bookmarkStart w:id="32"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eastAsia="宋体" w:cs="宋体"/>
          <w:b/>
          <w:color w:val="auto"/>
          <w:sz w:val="24"/>
          <w:highlight w:val="none"/>
        </w:rPr>
        <w:t>详见采购文件第四部分评审办法。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33" w:name="_Toc15567"/>
      <w:r>
        <w:rPr>
          <w:rFonts w:hint="eastAsia" w:ascii="宋体" w:hAnsi="宋体" w:eastAsia="宋体" w:cs="宋体"/>
          <w:b/>
          <w:color w:val="auto"/>
          <w:sz w:val="32"/>
          <w:szCs w:val="20"/>
          <w:highlight w:val="none"/>
        </w:rPr>
        <w:t>六、成交供应商确定</w:t>
      </w:r>
      <w:bookmarkEnd w:id="33"/>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确定成交供应商</w:t>
      </w:r>
    </w:p>
    <w:p>
      <w:pPr>
        <w:pStyle w:val="128"/>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宋体" w:hAnsi="宋体" w:eastAsia="宋体" w:cs="宋体"/>
          <w:color w:val="auto"/>
          <w:szCs w:val="24"/>
          <w:highlight w:val="none"/>
          <w:lang w:val="en-US" w:eastAsia="zh-CN"/>
        </w:rPr>
        <w:t>5</w:t>
      </w:r>
      <w:r>
        <w:rPr>
          <w:rFonts w:hint="eastAsia" w:ascii="宋体" w:hAnsi="宋体" w:eastAsia="宋体" w:cs="宋体"/>
          <w:color w:val="auto"/>
          <w:szCs w:val="24"/>
          <w:highlight w:val="none"/>
        </w:rPr>
        <w:t>个工作日内在线确定中标或者成交供应商。中标、成交通知书和中标、成交结果公告应当在规定时间内同时发出。</w:t>
      </w:r>
      <w:r>
        <w:rPr>
          <w:rFonts w:hint="eastAsia" w:ascii="宋体" w:hAnsi="宋体" w:eastAsia="宋体" w:cs="宋体"/>
          <w:b/>
          <w:bCs/>
          <w:color w:val="auto"/>
          <w:sz w:val="24"/>
          <w:highlight w:val="none"/>
          <w:lang w:val="en-US" w:eastAsia="zh-CN"/>
        </w:rPr>
        <w:t>注：</w:t>
      </w:r>
      <w:r>
        <w:rPr>
          <w:rFonts w:hint="eastAsia" w:ascii="宋体" w:hAnsi="宋体" w:eastAsia="宋体" w:cs="宋体"/>
          <w:b/>
          <w:bCs/>
          <w:color w:val="auto"/>
          <w:sz w:val="24"/>
          <w:highlight w:val="none"/>
        </w:rPr>
        <w:t>按评审后得分由高到低顺序确定</w:t>
      </w: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名</w:t>
      </w:r>
      <w:r>
        <w:rPr>
          <w:rFonts w:hint="eastAsia" w:ascii="宋体" w:hAnsi="宋体" w:eastAsia="宋体" w:cs="宋体"/>
          <w:b/>
          <w:bCs/>
          <w:color w:val="auto"/>
          <w:sz w:val="24"/>
          <w:highlight w:val="none"/>
          <w:lang w:val="en-US" w:eastAsia="zh-CN"/>
        </w:rPr>
        <w:t>成交</w:t>
      </w:r>
      <w:r>
        <w:rPr>
          <w:rFonts w:hint="eastAsia" w:ascii="宋体" w:hAnsi="宋体" w:eastAsia="宋体" w:cs="宋体"/>
          <w:b/>
          <w:bCs/>
          <w:color w:val="auto"/>
          <w:sz w:val="24"/>
          <w:highlight w:val="none"/>
        </w:rPr>
        <w:t>人</w:t>
      </w:r>
      <w:r>
        <w:rPr>
          <w:rFonts w:hint="eastAsia" w:ascii="宋体" w:hAnsi="宋体" w:eastAsia="宋体" w:cs="宋体"/>
          <w:b/>
          <w:bCs/>
          <w:color w:val="auto"/>
          <w:sz w:val="24"/>
          <w:highlight w:val="none"/>
          <w:lang w:eastAsia="zh-CN"/>
        </w:rPr>
        <w:t>。</w:t>
      </w:r>
    </w:p>
    <w:p>
      <w:pPr>
        <w:pStyle w:val="128"/>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成交通知与成交结果公告</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23.1自成交供应商确定之日起</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通过电子交易平台向成交供应商发出成交通知书，同时编制发布采购结果公告。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也可以以纸质形式进行成交通知。</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23.2成交结果公告内容包括采购人及其委托的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34" w:name="_Toc27747"/>
      <w:r>
        <w:rPr>
          <w:rFonts w:hint="eastAsia" w:ascii="宋体" w:hAnsi="宋体" w:eastAsia="宋体" w:cs="宋体"/>
          <w:b/>
          <w:color w:val="auto"/>
          <w:sz w:val="32"/>
          <w:szCs w:val="20"/>
          <w:highlight w:val="none"/>
        </w:rPr>
        <w:t>七、合同授予</w:t>
      </w:r>
      <w:bookmarkEnd w:id="34"/>
    </w:p>
    <w:p>
      <w:pPr>
        <w:pStyle w:val="24"/>
        <w:snapToGrid w:val="0"/>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4"/>
        <w:snapToGrid w:val="0"/>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snapToGrid w:val="0"/>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w:t>
      </w:r>
      <w:r>
        <w:rPr>
          <w:rFonts w:hint="eastAsia" w:ascii="宋体" w:hAnsi="宋体" w:eastAsia="宋体" w:cs="宋体"/>
          <w:color w:val="auto"/>
          <w:kern w:val="0"/>
          <w:sz w:val="24"/>
          <w:highlight w:val="none"/>
          <w:lang w:val="en-US" w:eastAsia="zh-CN"/>
        </w:rPr>
        <w:t>30</w:t>
      </w:r>
      <w:r>
        <w:rPr>
          <w:rFonts w:hint="eastAsia" w:ascii="宋体" w:hAnsi="宋体" w:eastAsia="宋体" w:cs="宋体"/>
          <w:color w:val="auto"/>
          <w:kern w:val="0"/>
          <w:sz w:val="24"/>
          <w:highlight w:val="none"/>
        </w:rPr>
        <w:t>日内，与成交供应商按照采购文件确定的事项签订政府采购合同。</w:t>
      </w:r>
    </w:p>
    <w:p>
      <w:pPr>
        <w:pStyle w:val="128"/>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25.4成交供应商拒绝与采购人签订合同的，采购人可以按照评审报告推荐的成交候选人名单排序，确定下一候选人为成交供应商，也可以重新开展政府采购活动。拒绝与采购人签订合同的成交供应商应承担</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代理服务费、评审专家劳务报酬等相关费用。</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25.5采购合同由采购人与成交供应商根据采购文件、响应文件等内容通过政府采购电子交易平台在线签订，自动备案。</w:t>
      </w:r>
    </w:p>
    <w:p>
      <w:pPr>
        <w:pStyle w:val="24"/>
        <w:snapToGrid w:val="0"/>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napToGrid w:val="0"/>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。确需收取履约保证金的，履约保证金缴纳最高</w:t>
      </w:r>
      <w:r>
        <w:rPr>
          <w:rFonts w:hint="eastAsia" w:ascii="宋体" w:hAnsi="宋体" w:cs="宋体"/>
          <w:color w:val="auto"/>
          <w:sz w:val="24"/>
          <w:highlight w:val="none"/>
          <w:lang w:eastAsia="zh-CN"/>
        </w:rPr>
        <w:t>比例</w:t>
      </w:r>
      <w:r>
        <w:rPr>
          <w:rFonts w:hint="eastAsia" w:ascii="宋体" w:hAnsi="宋体" w:eastAsia="宋体" w:cs="宋体"/>
          <w:color w:val="auto"/>
          <w:sz w:val="24"/>
          <w:highlight w:val="none"/>
        </w:rPr>
        <w:t>不超过</w:t>
      </w:r>
      <w:r>
        <w:rPr>
          <w:rFonts w:hint="eastAsia" w:ascii="宋体" w:hAnsi="宋体" w:eastAsia="宋体" w:cs="宋体"/>
          <w:color w:val="auto"/>
          <w:kern w:val="2"/>
          <w:sz w:val="24"/>
          <w:highlight w:val="none"/>
        </w:rPr>
        <w:t>合同金额的1%，鼓励根据项目特点、供应商诚信等因素免收履约保证金或降低缴纳比例。</w:t>
      </w:r>
      <w:r>
        <w:rPr>
          <w:rFonts w:hint="eastAsia" w:ascii="宋体" w:hAnsi="宋体" w:eastAsia="宋体" w:cs="宋体"/>
          <w:color w:val="auto"/>
          <w:sz w:val="24"/>
          <w:highlight w:val="none"/>
        </w:rPr>
        <w:t>采购单位鼓励供应商采取履约保函形式提供信用保证；供应商提供保函的，采购单位不得拒收。项目验收结束后应及时退还，延迟退还的，应当按照合同约定和法律规定承担相应的赔偿责任。</w:t>
      </w:r>
    </w:p>
    <w:p>
      <w:pPr>
        <w:pStyle w:val="3"/>
        <w:snapToGrid w:val="0"/>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rFonts w:hint="eastAsia" w:ascii="宋体" w:hAnsi="宋体" w:eastAsia="宋体" w:cs="宋体"/>
          <w:color w:val="auto"/>
          <w:highlight w:val="none"/>
        </w:rPr>
      </w:pPr>
      <w:r>
        <w:rPr>
          <w:rFonts w:hint="eastAsia" w:ascii="宋体" w:hAnsi="宋体" w:eastAsia="宋体" w:cs="宋体"/>
          <w:b/>
          <w:bCs/>
          <w:color w:val="auto"/>
          <w:kern w:val="2"/>
          <w:sz w:val="24"/>
          <w:szCs w:val="32"/>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kern w:val="2"/>
          <w:sz w:val="24"/>
          <w:highlight w:val="none"/>
        </w:rPr>
        <w:t>采购单位应当在政府采购合同中约定预付款，对中小企业合同预付款比例原则上不低于合同金额的40</w:t>
      </w:r>
      <w:r>
        <w:rPr>
          <w:rFonts w:hint="eastAsia" w:ascii="宋体" w:hAnsi="宋体" w:cs="宋体"/>
          <w:color w:val="auto"/>
          <w:kern w:val="2"/>
          <w:sz w:val="24"/>
          <w:highlight w:val="none"/>
          <w:lang w:val="en-US" w:eastAsia="zh-CN"/>
        </w:rPr>
        <w:t>%</w:t>
      </w:r>
      <w:r>
        <w:rPr>
          <w:rFonts w:hint="eastAsia" w:ascii="宋体" w:hAnsi="宋体" w:eastAsia="宋体" w:cs="宋体"/>
          <w:color w:val="auto"/>
          <w:kern w:val="2"/>
          <w:sz w:val="24"/>
          <w:highlight w:val="none"/>
        </w:rPr>
        <w:t>，不高于合同金额的70%；项目分年安排预算的，每年预付款比例</w:t>
      </w:r>
      <w:r>
        <w:rPr>
          <w:rFonts w:hint="eastAsia" w:ascii="宋体" w:hAnsi="宋体" w:eastAsia="宋体" w:cs="宋体"/>
          <w:color w:val="auto"/>
          <w:sz w:val="24"/>
          <w:highlight w:val="none"/>
        </w:rPr>
        <w:t>不低于</w:t>
      </w:r>
      <w:r>
        <w:rPr>
          <w:rFonts w:hint="eastAsia" w:ascii="宋体" w:hAnsi="宋体" w:eastAsia="宋体" w:cs="宋体"/>
          <w:color w:val="auto"/>
          <w:kern w:val="2"/>
          <w:sz w:val="24"/>
          <w:highlight w:val="none"/>
        </w:rPr>
        <w:t>项目年度计划支付资金额的40</w:t>
      </w:r>
      <w:r>
        <w:rPr>
          <w:rFonts w:hint="eastAsia" w:ascii="宋体" w:hAnsi="宋体" w:cs="宋体"/>
          <w:color w:val="auto"/>
          <w:kern w:val="2"/>
          <w:sz w:val="24"/>
          <w:highlight w:val="none"/>
          <w:lang w:val="en-US" w:eastAsia="zh-CN"/>
        </w:rPr>
        <w:t>%</w:t>
      </w:r>
      <w:r>
        <w:rPr>
          <w:rFonts w:hint="eastAsia" w:ascii="宋体" w:hAnsi="宋体" w:eastAsia="宋体" w:cs="宋体"/>
          <w:color w:val="auto"/>
          <w:kern w:val="2"/>
          <w:sz w:val="24"/>
          <w:highlight w:val="none"/>
        </w:rPr>
        <w:t>，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w:t>
      </w:r>
      <w:r>
        <w:rPr>
          <w:rFonts w:hint="eastAsia" w:ascii="宋体" w:hAnsi="宋体" w:eastAsia="宋体" w:cs="宋体"/>
          <w:color w:val="auto"/>
          <w:kern w:val="2"/>
          <w:sz w:val="24"/>
          <w:highlight w:val="none"/>
          <w:lang w:val="en-US" w:eastAsia="zh-CN"/>
        </w:rPr>
        <w:t>7</w:t>
      </w:r>
      <w:r>
        <w:rPr>
          <w:rFonts w:hint="eastAsia" w:ascii="宋体" w:hAnsi="宋体" w:eastAsia="宋体" w:cs="宋体"/>
          <w:color w:val="auto"/>
          <w:kern w:val="2"/>
          <w:sz w:val="24"/>
          <w:highlight w:val="none"/>
        </w:rPr>
        <w:t>个工作日内支付。政府采购工程以及与工程建设有关的货物、服务，采用招标方式采购的，预付款从其相关规定。供应商可登录政采云前台大厅选择金融服务</w:t>
      </w:r>
      <w:r>
        <w:rPr>
          <w:rFonts w:hint="eastAsia" w:ascii="宋体" w:hAnsi="宋体" w:cs="宋体"/>
          <w:color w:val="auto"/>
          <w:kern w:val="2"/>
          <w:sz w:val="24"/>
          <w:highlight w:val="none"/>
          <w:lang w:eastAsia="zh-CN"/>
        </w:rPr>
        <w:t>－</w:t>
      </w:r>
      <w:r>
        <w:rPr>
          <w:rFonts w:hint="eastAsia" w:ascii="宋体" w:hAnsi="宋体" w:eastAsia="宋体" w:cs="宋体"/>
          <w:color w:val="auto"/>
          <w:kern w:val="2"/>
          <w:sz w:val="24"/>
          <w:highlight w:val="none"/>
        </w:rPr>
        <w:t>【保函保险服务】出具预付款保函，具体步骤：选择产品—填写供应商信息—选择中标项目—确认信息—等待保险/保函受理—确认保单—支付保费—成功出单。政采云金融专线400-903-9583。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35" w:name="_Toc5199"/>
      <w:r>
        <w:rPr>
          <w:rFonts w:hint="eastAsia" w:ascii="宋体" w:hAnsi="宋体" w:eastAsia="宋体" w:cs="宋体"/>
          <w:b/>
          <w:color w:val="auto"/>
          <w:sz w:val="32"/>
          <w:szCs w:val="20"/>
          <w:highlight w:val="none"/>
        </w:rPr>
        <w:t>八、电子交易活动的中止</w:t>
      </w:r>
      <w:bookmarkEnd w:id="35"/>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kern w:val="2"/>
          <w:szCs w:val="20"/>
          <w:highlight w:val="none"/>
        </w:rPr>
        <w:t>2</w:t>
      </w:r>
      <w:r>
        <w:rPr>
          <w:rFonts w:hint="eastAsia" w:ascii="宋体" w:hAnsi="宋体" w:eastAsia="宋体" w:cs="宋体"/>
          <w:b/>
          <w:bCs/>
          <w:color w:val="auto"/>
          <w:kern w:val="2"/>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28"/>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28"/>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jc w:val="center"/>
        <w:outlineLvl w:val="0"/>
        <w:rPr>
          <w:rFonts w:hint="eastAsia" w:ascii="宋体" w:hAnsi="宋体" w:eastAsia="宋体" w:cs="宋体"/>
          <w:b/>
          <w:color w:val="auto"/>
          <w:sz w:val="32"/>
          <w:szCs w:val="20"/>
          <w:highlight w:val="none"/>
        </w:rPr>
      </w:pPr>
      <w:bookmarkStart w:id="36" w:name="_Toc22338"/>
      <w:r>
        <w:rPr>
          <w:rFonts w:hint="eastAsia" w:ascii="宋体" w:hAnsi="宋体" w:eastAsia="宋体" w:cs="宋体"/>
          <w:b/>
          <w:color w:val="auto"/>
          <w:sz w:val="32"/>
          <w:szCs w:val="20"/>
          <w:highlight w:val="none"/>
        </w:rPr>
        <w:t>九、验收</w:t>
      </w:r>
      <w:bookmarkEnd w:id="36"/>
    </w:p>
    <w:p>
      <w:pPr>
        <w:pStyle w:val="24"/>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32"/>
    <w:p>
      <w:pPr>
        <w:tabs>
          <w:tab w:val="left" w:pos="0"/>
        </w:tabs>
        <w:spacing w:line="360" w:lineRule="auto"/>
        <w:ind w:firstLine="480"/>
        <w:rPr>
          <w:rFonts w:hint="eastAsia" w:ascii="宋体" w:hAnsi="宋体" w:eastAsia="宋体" w:cs="宋体"/>
          <w:color w:val="auto"/>
          <w:kern w:val="0"/>
          <w:sz w:val="24"/>
          <w:highlight w:val="none"/>
        </w:rPr>
      </w:pPr>
      <w:bookmarkStart w:id="37" w:name="_Hlt74730295"/>
      <w:bookmarkEnd w:id="37"/>
      <w:bookmarkStart w:id="38" w:name="_Hlt75236011"/>
      <w:bookmarkEnd w:id="38"/>
      <w:bookmarkStart w:id="39" w:name="_Hlt68403820"/>
      <w:bookmarkEnd w:id="39"/>
      <w:bookmarkStart w:id="40" w:name="_Hlt68073093"/>
      <w:bookmarkEnd w:id="40"/>
      <w:bookmarkStart w:id="41" w:name="_Hlt68072990"/>
      <w:bookmarkEnd w:id="41"/>
      <w:bookmarkStart w:id="42" w:name="_Hlt74714665"/>
      <w:bookmarkEnd w:id="42"/>
      <w:bookmarkStart w:id="43" w:name="_Hlt74729768"/>
      <w:bookmarkEnd w:id="43"/>
      <w:bookmarkStart w:id="44" w:name="_Hlt68072998"/>
      <w:bookmarkEnd w:id="44"/>
      <w:bookmarkStart w:id="45" w:name="_Hlt68057669"/>
      <w:bookmarkEnd w:id="45"/>
      <w:bookmarkStart w:id="46" w:name="_Hlt75236290"/>
      <w:bookmarkEnd w:id="46"/>
      <w:bookmarkStart w:id="47" w:name="_Hlt74707468"/>
      <w:bookmarkEnd w:id="47"/>
      <w:bookmarkStart w:id="48" w:name="_Hlt75236101"/>
      <w:bookmarkEnd w:id="48"/>
    </w:p>
    <w:p>
      <w:pPr>
        <w:pStyle w:val="23"/>
        <w:rPr>
          <w:rFonts w:hint="eastAsia" w:ascii="宋体" w:hAnsi="宋体" w:eastAsia="宋体" w:cs="宋体"/>
          <w:color w:val="auto"/>
          <w:kern w:val="0"/>
          <w:sz w:val="24"/>
          <w:highlight w:val="none"/>
        </w:rPr>
      </w:pPr>
    </w:p>
    <w:p>
      <w:pPr>
        <w:pStyle w:val="60"/>
        <w:rPr>
          <w:rFonts w:hint="eastAsia" w:ascii="宋体" w:hAnsi="宋体" w:eastAsia="宋体" w:cs="宋体"/>
          <w:color w:val="auto"/>
          <w:highlight w:val="none"/>
        </w:rPr>
        <w:sectPr>
          <w:pgSz w:w="11906" w:h="16838"/>
          <w:pgMar w:top="1440" w:right="1080" w:bottom="1440" w:left="1080" w:header="851" w:footer="992" w:gutter="0"/>
          <w:cols w:space="720" w:num="1"/>
          <w:titlePg/>
          <w:docGrid w:linePitch="312" w:charSpace="0"/>
        </w:sectPr>
      </w:pPr>
    </w:p>
    <w:bookmarkEnd w:id="20"/>
    <w:bookmarkEnd w:id="21"/>
    <w:p>
      <w:pPr>
        <w:pStyle w:val="32"/>
        <w:spacing w:line="360" w:lineRule="auto"/>
        <w:jc w:val="center"/>
        <w:outlineLvl w:val="0"/>
        <w:rPr>
          <w:rFonts w:hint="eastAsia" w:ascii="宋体" w:hAnsi="宋体" w:eastAsia="宋体" w:cs="宋体"/>
          <w:b/>
          <w:snapToGrid/>
          <w:color w:val="auto"/>
          <w:sz w:val="36"/>
          <w:szCs w:val="20"/>
          <w:highlight w:val="none"/>
        </w:rPr>
      </w:pPr>
      <w:bookmarkStart w:id="49" w:name="_Toc561"/>
      <w:bookmarkStart w:id="50" w:name="第四部分"/>
      <w:r>
        <w:rPr>
          <w:rFonts w:hint="eastAsia" w:ascii="宋体" w:hAnsi="宋体" w:eastAsia="宋体" w:cs="宋体"/>
          <w:b/>
          <w:snapToGrid/>
          <w:color w:val="auto"/>
          <w:sz w:val="36"/>
          <w:szCs w:val="20"/>
          <w:highlight w:val="none"/>
        </w:rPr>
        <w:t>第三部分 采购需求</w:t>
      </w:r>
      <w:bookmarkEnd w:id="49"/>
    </w:p>
    <w:p>
      <w:pPr>
        <w:adjustRightInd/>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一、重要商务条款一览表</w:t>
      </w:r>
    </w:p>
    <w:tbl>
      <w:tblPr>
        <w:tblStyle w:val="62"/>
        <w:tblW w:w="969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5"/>
        <w:gridCol w:w="80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1、合同履</w:t>
            </w:r>
            <w:r>
              <w:rPr>
                <w:rFonts w:hint="eastAsia" w:ascii="宋体" w:hAnsi="宋体" w:cs="宋体"/>
                <w:b/>
                <w:bCs/>
                <w:color w:val="auto"/>
                <w:sz w:val="24"/>
                <w:szCs w:val="24"/>
                <w:highlight w:val="none"/>
                <w:lang w:val="en-US" w:eastAsia="zh-CN"/>
              </w:rPr>
              <w:t>约</w:t>
            </w:r>
            <w:r>
              <w:rPr>
                <w:rFonts w:hint="eastAsia" w:ascii="宋体" w:hAnsi="宋体" w:eastAsia="宋体" w:cs="宋体"/>
                <w:b/>
                <w:bCs/>
                <w:color w:val="auto"/>
                <w:sz w:val="24"/>
                <w:szCs w:val="24"/>
                <w:highlight w:val="none"/>
              </w:rPr>
              <w:t>期限（工期）</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详见“第一部分  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服务</w:t>
            </w:r>
            <w:r>
              <w:rPr>
                <w:rFonts w:hint="eastAsia" w:ascii="宋体" w:hAnsi="宋体" w:eastAsia="宋体" w:cs="宋体"/>
                <w:b/>
                <w:bCs/>
                <w:color w:val="auto"/>
                <w:sz w:val="24"/>
                <w:szCs w:val="24"/>
                <w:highlight w:val="none"/>
              </w:rPr>
              <w:t>地点</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采购人指定地点</w:t>
            </w:r>
            <w:r>
              <w:rPr>
                <w:rFonts w:hint="eastAsia" w:ascii="宋体" w:hAnsi="宋体" w:eastAsia="宋体" w:cs="宋体"/>
                <w:color w:val="auto"/>
                <w:sz w:val="24"/>
                <w:szCs w:val="24"/>
                <w:highlight w:val="none"/>
                <w:lang w:eastAsia="zh-CN"/>
              </w:rPr>
              <w:t>（西门中心住院楼）</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3、履约保证金</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1、履约保证金金额：合同金额的</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2、履约保证金形式：银行汇票（电汇）、银行保函、保险保单或支票（仅限于使用宁波大市区范围内的银行开具的支票）等形式；</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3、担保收件人：采购人；</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4、履约保证金的退取：项目验收合格后，根据实际履约情况扣除相应违约金后无息退还履约保证金（但如</w:t>
            </w:r>
            <w:r>
              <w:rPr>
                <w:rFonts w:hint="eastAsia" w:ascii="宋体" w:hAnsi="宋体" w:eastAsia="宋体" w:cs="宋体"/>
                <w:color w:val="auto"/>
                <w:sz w:val="24"/>
                <w:szCs w:val="24"/>
                <w:highlight w:val="none"/>
                <w:lang w:val="en-US" w:eastAsia="zh-CN"/>
              </w:rPr>
              <w:t>成交人</w:t>
            </w:r>
            <w:r>
              <w:rPr>
                <w:rFonts w:hint="eastAsia" w:ascii="宋体" w:hAnsi="宋体" w:eastAsia="宋体" w:cs="宋体"/>
                <w:color w:val="auto"/>
                <w:sz w:val="24"/>
                <w:szCs w:val="24"/>
                <w:highlight w:val="none"/>
              </w:rPr>
              <w:t>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rPr>
              <w:t>4、付款方式</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、合同生效及具备实施条件后7个工作日内，采购人支付合同总价（扣除未确定的暂定金额、暂列金额、甲供材料费用）的40%；</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2、工程初验通过后7个工作日内，采购人支付至合同总价（扣除未确定的暂定金额、暂列金额、甲供材料费用）的80%；</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3、工程竣工验收（终验）合格后，根据相关部门核准的决算价，付清尾款。</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注：具体条款以双方签订的合同约定为准。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5、质量保修期</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1、质量保修期不少于2年</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质量保修期从</w:t>
            </w:r>
            <w:r>
              <w:rPr>
                <w:rFonts w:hint="eastAsia" w:ascii="宋体" w:hAnsi="宋体" w:cs="宋体"/>
                <w:color w:val="auto"/>
                <w:sz w:val="24"/>
                <w:szCs w:val="24"/>
                <w:highlight w:val="none"/>
                <w:lang w:val="en-US" w:eastAsia="zh-CN"/>
              </w:rPr>
              <w:t>采购</w:t>
            </w:r>
            <w:r>
              <w:rPr>
                <w:rFonts w:hint="eastAsia" w:ascii="宋体" w:hAnsi="宋体" w:eastAsia="宋体" w:cs="宋体"/>
                <w:color w:val="auto"/>
                <w:sz w:val="24"/>
                <w:szCs w:val="24"/>
                <w:highlight w:val="none"/>
              </w:rPr>
              <w:t>人批准的竣工验收通过之日起计算。</w:t>
            </w:r>
          </w:p>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2、质量保修期内供应商须免费负责修理和替换任何由于</w:t>
            </w:r>
            <w:r>
              <w:rPr>
                <w:rFonts w:hint="eastAsia" w:ascii="宋体" w:hAnsi="宋体" w:cs="宋体"/>
                <w:color w:val="auto"/>
                <w:sz w:val="24"/>
                <w:szCs w:val="24"/>
                <w:highlight w:val="none"/>
                <w:lang w:val="en-US" w:eastAsia="zh-CN"/>
              </w:rPr>
              <w:t>改造、</w:t>
            </w:r>
            <w:r>
              <w:rPr>
                <w:rFonts w:hint="eastAsia" w:ascii="宋体" w:hAnsi="宋体" w:eastAsia="宋体" w:cs="宋体"/>
                <w:color w:val="auto"/>
                <w:sz w:val="24"/>
                <w:szCs w:val="24"/>
                <w:highlight w:val="none"/>
              </w:rPr>
              <w:t>配件自身的质量问题造成的损坏。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6、免费维修的响应期限</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质量保修期内，一旦发生质量问题，供应商保证在接到通知后30分钟内作出响应，2小时内到现场进行维修、更换，费用由供应商负责。如供应商在接到通知的2小时内没有答复或处理问题，则视为供应商承认质量问题并承担由此而发生的一切费用。质量保修期间的一切质量问题，更换部件及</w:t>
            </w:r>
            <w:r>
              <w:rPr>
                <w:rFonts w:hint="eastAsia" w:ascii="宋体" w:hAnsi="宋体" w:cs="宋体"/>
                <w:color w:val="auto"/>
                <w:sz w:val="24"/>
                <w:szCs w:val="24"/>
                <w:highlight w:val="none"/>
                <w:lang w:val="en-US" w:eastAsia="zh-CN"/>
              </w:rPr>
              <w:t>工程</w:t>
            </w:r>
            <w:r>
              <w:rPr>
                <w:rFonts w:hint="eastAsia" w:ascii="宋体" w:hAnsi="宋体" w:eastAsia="宋体" w:cs="宋体"/>
                <w:color w:val="auto"/>
                <w:sz w:val="24"/>
                <w:szCs w:val="24"/>
                <w:highlight w:val="none"/>
              </w:rPr>
              <w:t>本身质量原因造成的直接经济损失应全部由供应商自行负责，更换时间不得超过48小时。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、其他说明</w:t>
            </w:r>
          </w:p>
        </w:tc>
        <w:tc>
          <w:tcPr>
            <w:tcW w:w="80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1、本招标所提的要求仅为主要要求，不应作为完整的详细的要求；</w:t>
            </w:r>
          </w:p>
          <w:p>
            <w:pPr>
              <w:keepNext w:val="0"/>
              <w:keepLines w:val="0"/>
              <w:pageBreakBefore w:val="0"/>
              <w:widowControl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2、供应商应负责保护采购人的利益不受损害；一切由于文字、商标和技术专利侵权引起的法律裁决、诉讼及其费用均与采购人无关。</w:t>
            </w:r>
          </w:p>
        </w:tc>
      </w:tr>
    </w:tbl>
    <w:p>
      <w:pPr>
        <w:spacing w:line="360" w:lineRule="auto"/>
        <w:jc w:val="left"/>
        <w:rPr>
          <w:rFonts w:hint="eastAsia" w:ascii="宋体" w:hAnsi="宋体" w:eastAsia="宋体" w:cs="宋体"/>
          <w:color w:val="auto"/>
          <w:sz w:val="24"/>
          <w:highlight w:val="none"/>
          <w:u w:val="single"/>
          <w:lang w:eastAsia="zh-CN"/>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w:t>
      </w:r>
      <w:r>
        <w:rPr>
          <w:rFonts w:hint="eastAsia" w:ascii="宋体" w:hAnsi="宋体" w:eastAsia="宋体" w:cs="宋体"/>
          <w:b/>
          <w:color w:val="auto"/>
          <w:sz w:val="24"/>
          <w:highlight w:val="none"/>
        </w:rPr>
        <w:t>工程概况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1、本工程位于西门中心住院楼。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2、主要工程内容：电气改造、给排水改造、装修改造、信息化项目安装等工程。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三、技术要求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按照国家及地方颁发的现行相关建筑工程施工及验收规范、标准，组织实施本项目工程的施工。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成交人必须在施工前对所有参加施工的人员和该项目的施工标的进行相关的人身和财产保险投保。</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Chars="0" w:firstLine="480" w:firstLineChars="20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2、其他技术要求详见</w:t>
      </w:r>
      <w:r>
        <w:rPr>
          <w:rFonts w:hint="eastAsia" w:ascii="宋体" w:hAnsi="宋体" w:eastAsia="宋体" w:cs="宋体"/>
          <w:b/>
          <w:bCs/>
          <w:color w:val="auto"/>
          <w:sz w:val="24"/>
          <w:szCs w:val="24"/>
          <w:highlight w:val="none"/>
          <w:lang w:val="en-US" w:eastAsia="zh-CN"/>
        </w:rPr>
        <w:t>附件工程量清单（控制价编制说明）及图纸（另册）</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宋体" w:hAnsi="宋体" w:eastAsia="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四、其他要求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1、设备安装、调试和验收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供应商须负责完成本项目涉及的整体规划、安装调试、服务实施等相关工作，须详细确认和理解用户原有情况、本次项目的建设目标和服务要求，并严格根据用户方项目进度安排完成实施工作，如有偏差由供应商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（2）成交人应保证其提供的</w:t>
      </w:r>
      <w:r>
        <w:rPr>
          <w:rFonts w:hint="eastAsia" w:ascii="宋体" w:hAnsi="宋体" w:cs="宋体"/>
          <w:color w:val="auto"/>
          <w:sz w:val="24"/>
          <w:szCs w:val="24"/>
          <w:highlight w:val="none"/>
          <w:lang w:val="en-US" w:eastAsia="zh-CN" w:bidi="ar-SA"/>
        </w:rPr>
        <w:t>施工工程</w:t>
      </w:r>
      <w:r>
        <w:rPr>
          <w:rFonts w:hint="eastAsia" w:ascii="宋体" w:hAnsi="宋体" w:eastAsia="宋体" w:cs="宋体"/>
          <w:color w:val="auto"/>
          <w:sz w:val="24"/>
          <w:szCs w:val="24"/>
          <w:highlight w:val="none"/>
          <w:lang w:val="en-US" w:eastAsia="zh-CN" w:bidi="ar-SA"/>
        </w:rPr>
        <w:t>在正常使用和保养条件下，在使用寿命期内应具有满意的性能。成交人应对由于工艺或材料的缺陷而产生的故障负完全责任。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cs="宋体"/>
          <w:color w:val="auto"/>
          <w:sz w:val="24"/>
          <w:szCs w:val="24"/>
          <w:highlight w:val="none"/>
          <w:lang w:val="en-US" w:eastAsia="zh-CN" w:bidi="ar-SA"/>
        </w:rPr>
        <w:t>3</w:t>
      </w:r>
      <w:r>
        <w:rPr>
          <w:rFonts w:hint="eastAsia" w:ascii="宋体" w:hAnsi="宋体" w:eastAsia="宋体" w:cs="宋体"/>
          <w:color w:val="auto"/>
          <w:sz w:val="24"/>
          <w:szCs w:val="24"/>
          <w:highlight w:val="none"/>
          <w:lang w:val="en-US" w:eastAsia="zh-CN" w:bidi="ar-SA"/>
        </w:rPr>
        <w:t>）成交人须保证所配置的产品有合法的使用权，并有相应的使用许可证。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cs="宋体"/>
          <w:color w:val="auto"/>
          <w:sz w:val="24"/>
          <w:szCs w:val="24"/>
          <w:highlight w:val="none"/>
          <w:lang w:val="en-US" w:eastAsia="zh-CN" w:bidi="ar-SA"/>
        </w:rPr>
        <w:t>4</w:t>
      </w:r>
      <w:r>
        <w:rPr>
          <w:rFonts w:hint="eastAsia" w:ascii="宋体" w:hAnsi="宋体" w:eastAsia="宋体" w:cs="宋体"/>
          <w:color w:val="auto"/>
          <w:sz w:val="24"/>
          <w:szCs w:val="24"/>
          <w:highlight w:val="none"/>
          <w:lang w:val="en-US" w:eastAsia="zh-CN" w:bidi="ar-SA"/>
        </w:rPr>
        <w:t>）成交人需对整体项目方案的可行性负责，根据用户要求完成本项目的所有实施工作，解决实施过程中的全部技术问题。如在项目实施过程中出现无法实施或者缺少相关设备不能满足用户需求的情况应免费提供相关设备与配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cs="宋体"/>
          <w:color w:val="auto"/>
          <w:sz w:val="24"/>
          <w:szCs w:val="24"/>
          <w:highlight w:val="none"/>
          <w:lang w:val="en-US" w:eastAsia="zh-CN" w:bidi="ar-SA"/>
        </w:rPr>
        <w:t>5</w:t>
      </w:r>
      <w:r>
        <w:rPr>
          <w:rFonts w:hint="eastAsia" w:ascii="宋体" w:hAnsi="宋体" w:eastAsia="宋体" w:cs="宋体"/>
          <w:color w:val="auto"/>
          <w:sz w:val="24"/>
          <w:szCs w:val="24"/>
          <w:highlight w:val="none"/>
          <w:lang w:val="en-US" w:eastAsia="zh-CN" w:bidi="ar-SA"/>
        </w:rPr>
        <w:t>）以上所有与（多次）安装、迁移、调试和验收相关的费用均需计入投标总价。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2、作业要求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安全生产要求：成交人须严格遵守《安全生产法》《建设工程安全生产管理条例》和《安全生产许可证条例》等法律法规，项目负责人和安全管理人员认真履行安全生产管理职责，负责工程现场的施工安全；施工过程中发生的一切非采购人原因的安全事故由成交人全权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（2）文明施工要求：在施工过程中，必须做到文明施工。工序衔接交叉合理，交接责任明确，施工场地整洁、卫生、道路畅通，有必要的围护和遮挡措施等。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成交人必须为全体作业员工购买社会和人身意外保险、公众责任保险费等其他保险，必须重视安全生产工作，确保不出安全生产责任事故。如发生安全生产责任事故或公众安全事故（含交通事故），一切责任及损失由成交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3、施工要求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在项目实施中须达到的施工要求国家标准如下：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《建筑工程施工质量验收统一标准》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《建筑给水排水及采暖工程施工质量验收规范》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《建筑电气工程施工质量验收规范》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《给水排水管道工程施工及验收规范》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《建筑施工安全检查标准》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kern w:val="2"/>
          <w:sz w:val="24"/>
          <w:szCs w:val="24"/>
          <w:highlight w:val="none"/>
          <w:lang w:val="en-US" w:eastAsia="zh-CN" w:bidi="ar-SA"/>
        </w:rPr>
        <w:t>注：</w:t>
      </w:r>
      <w:r>
        <w:rPr>
          <w:rFonts w:hint="eastAsia" w:ascii="宋体" w:hAnsi="宋体" w:eastAsia="宋体" w:cs="宋体"/>
          <w:color w:val="auto"/>
          <w:kern w:val="2"/>
          <w:sz w:val="24"/>
          <w:szCs w:val="24"/>
          <w:highlight w:val="none"/>
          <w:lang w:val="en-US" w:eastAsia="zh-CN" w:bidi="ar-SA"/>
        </w:rPr>
        <w:t>如标准有更新，以最新文件为准。本项目</w:t>
      </w:r>
      <w:r>
        <w:rPr>
          <w:rFonts w:hint="eastAsia" w:ascii="宋体" w:hAnsi="宋体" w:eastAsia="宋体" w:cs="宋体"/>
          <w:bCs/>
          <w:color w:val="auto"/>
          <w:kern w:val="2"/>
          <w:sz w:val="24"/>
          <w:szCs w:val="24"/>
          <w:highlight w:val="none"/>
          <w:lang w:val="en-US" w:eastAsia="zh-CN" w:bidi="ar-SA"/>
        </w:rPr>
        <w:t>按照国家及地方颁发的现行相关施工及验收规范、标准，组织实施本项目工程的施工。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宋体" w:hAnsi="宋体" w:cs="宋体"/>
          <w:b/>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lang w:val="en-US" w:eastAsia="zh-CN"/>
        </w:rPr>
        <w:t>、投标要求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供应商需在响应文件中提供业绩、履约能力和政策加分的相关证明材料，提供服务团队的人员资质证明材料和人员管理方案（包括人员层级管理以及组织架构、考核方案、人员管理规范等内容），提供完善的整体方案</w:t>
      </w:r>
      <w:r>
        <w:rPr>
          <w:rFonts w:hint="eastAsia" w:ascii="宋体" w:hAnsi="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【包括组织方案（组织管理结构、现场布置、管理运作流程等内容）</w:t>
      </w:r>
      <w:r>
        <w:rPr>
          <w:rFonts w:hint="eastAsia" w:ascii="宋体" w:hAnsi="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质量保证、进度安排及保障等措施</w:t>
      </w:r>
      <w:r>
        <w:rPr>
          <w:rFonts w:hint="eastAsia" w:ascii="宋体" w:hAnsi="宋体" w:cs="宋体"/>
          <w:color w:val="auto"/>
          <w:sz w:val="24"/>
          <w:szCs w:val="24"/>
          <w:highlight w:val="none"/>
          <w:lang w:val="en-US" w:eastAsia="zh-CN" w:bidi="ar-SA"/>
        </w:rPr>
        <w:t>。</w:t>
      </w:r>
      <w:r>
        <w:rPr>
          <w:rFonts w:hint="eastAsia" w:ascii="宋体" w:hAnsi="宋体" w:eastAsia="宋体" w:cs="宋体"/>
          <w:color w:val="auto"/>
          <w:sz w:val="24"/>
          <w:szCs w:val="24"/>
          <w:highlight w:val="none"/>
          <w:lang w:val="en-US" w:eastAsia="zh-CN" w:bidi="ar-SA"/>
        </w:rPr>
        <w:t>现场管理措施。服务保障体系、施工质量检测鉴定、技术操作规程等措施。安全生产、文明施工的安排、技术和组织管理措施等内容。拟投入的主要施工机械设备的选用和布置等内容。应急处理方案。】，重难点分析及相应解决方案，售后服务方案【包括服务的便捷性情况（响应时间及到达现场的时间），质保期方案、售后服务优惠承诺、售后服务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36"/>
          <w:szCs w:val="20"/>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24"/>
          <w:highlight w:val="none"/>
        </w:rPr>
        <w:br w:type="page"/>
      </w:r>
      <w:bookmarkStart w:id="51" w:name="_Toc31295"/>
      <w:r>
        <w:rPr>
          <w:rFonts w:hint="eastAsia" w:ascii="宋体" w:hAnsi="宋体" w:eastAsia="宋体" w:cs="宋体"/>
          <w:b/>
          <w:color w:val="auto"/>
          <w:sz w:val="36"/>
          <w:szCs w:val="20"/>
          <w:highlight w:val="none"/>
        </w:rPr>
        <w:t>第四部分</w:t>
      </w:r>
      <w:bookmarkStart w:id="52" w:name="_Toc184314438"/>
      <w:bookmarkEnd w:id="52"/>
      <w:bookmarkStart w:id="53" w:name="_Toc184314482"/>
      <w:bookmarkEnd w:id="53"/>
      <w:bookmarkStart w:id="54" w:name="_Toc184310322"/>
      <w:bookmarkEnd w:id="54"/>
      <w:bookmarkStart w:id="55" w:name="_Toc184308095"/>
      <w:bookmarkEnd w:id="55"/>
      <w:bookmarkStart w:id="56" w:name="_Toc184310314"/>
      <w:bookmarkEnd w:id="56"/>
      <w:bookmarkStart w:id="57" w:name="_Toc184313251"/>
      <w:bookmarkEnd w:id="57"/>
      <w:bookmarkStart w:id="58" w:name="_Toc184308048"/>
      <w:bookmarkEnd w:id="58"/>
      <w:bookmarkStart w:id="59" w:name="_Toc184312129"/>
      <w:bookmarkEnd w:id="59"/>
      <w:bookmarkStart w:id="60" w:name="_Toc184312078"/>
      <w:bookmarkEnd w:id="60"/>
      <w:bookmarkStart w:id="61" w:name="_Toc184314462"/>
      <w:bookmarkEnd w:id="61"/>
      <w:bookmarkStart w:id="62" w:name="_Toc184308073"/>
      <w:bookmarkEnd w:id="62"/>
      <w:bookmarkStart w:id="63" w:name="_Toc184310282"/>
      <w:bookmarkEnd w:id="63"/>
      <w:bookmarkStart w:id="64" w:name="_Toc184310304"/>
      <w:bookmarkEnd w:id="64"/>
      <w:bookmarkStart w:id="65" w:name="_Toc184308057"/>
      <w:bookmarkEnd w:id="65"/>
      <w:bookmarkStart w:id="66" w:name="_Toc184308076"/>
      <w:bookmarkEnd w:id="66"/>
      <w:bookmarkStart w:id="67" w:name="_Toc184313257"/>
      <w:bookmarkEnd w:id="67"/>
      <w:bookmarkStart w:id="68" w:name="_Toc184312102"/>
      <w:bookmarkEnd w:id="68"/>
      <w:bookmarkStart w:id="69" w:name="_Toc184313299"/>
      <w:bookmarkEnd w:id="69"/>
      <w:bookmarkStart w:id="70" w:name="_Toc184310313"/>
      <w:bookmarkEnd w:id="70"/>
      <w:bookmarkStart w:id="71" w:name="_Toc184308096"/>
      <w:bookmarkEnd w:id="71"/>
      <w:bookmarkStart w:id="72" w:name="_Toc184310278"/>
      <w:bookmarkEnd w:id="72"/>
      <w:bookmarkStart w:id="73" w:name="_Toc184314453"/>
      <w:bookmarkEnd w:id="73"/>
      <w:bookmarkStart w:id="74" w:name="_Toc184314415"/>
      <w:bookmarkEnd w:id="74"/>
      <w:bookmarkStart w:id="75" w:name="_Toc184313282"/>
      <w:bookmarkEnd w:id="75"/>
      <w:bookmarkStart w:id="76" w:name="_Toc184314432"/>
      <w:bookmarkEnd w:id="76"/>
      <w:bookmarkStart w:id="77" w:name="_Toc184308070"/>
      <w:bookmarkEnd w:id="77"/>
      <w:bookmarkStart w:id="78" w:name="_Toc184310281"/>
      <w:bookmarkEnd w:id="78"/>
      <w:bookmarkStart w:id="79" w:name="_Toc184312071"/>
      <w:bookmarkEnd w:id="79"/>
      <w:bookmarkStart w:id="80" w:name="_Toc184314446"/>
      <w:bookmarkEnd w:id="80"/>
      <w:bookmarkStart w:id="81" w:name="_Toc184314429"/>
      <w:bookmarkEnd w:id="81"/>
      <w:bookmarkStart w:id="82" w:name="_Toc184312079"/>
      <w:bookmarkEnd w:id="82"/>
      <w:bookmarkStart w:id="83" w:name="_Toc184310292"/>
      <w:bookmarkEnd w:id="83"/>
      <w:bookmarkStart w:id="84" w:name="_Toc184310336"/>
      <w:bookmarkEnd w:id="84"/>
      <w:bookmarkStart w:id="85" w:name="_Toc184312111"/>
      <w:bookmarkEnd w:id="85"/>
      <w:bookmarkStart w:id="86" w:name="_Toc184313238"/>
      <w:bookmarkEnd w:id="86"/>
      <w:bookmarkStart w:id="87" w:name="_Toc184308086"/>
      <w:bookmarkEnd w:id="87"/>
      <w:bookmarkStart w:id="88" w:name="_Toc184308075"/>
      <w:bookmarkEnd w:id="88"/>
      <w:bookmarkStart w:id="89" w:name="_Toc184308039"/>
      <w:bookmarkEnd w:id="89"/>
      <w:bookmarkStart w:id="90" w:name="_Toc184308051"/>
      <w:bookmarkEnd w:id="90"/>
      <w:bookmarkStart w:id="91" w:name="_Toc184314457"/>
      <w:bookmarkEnd w:id="91"/>
      <w:bookmarkStart w:id="92" w:name="_Toc184314418"/>
      <w:bookmarkEnd w:id="92"/>
      <w:bookmarkStart w:id="93" w:name="_Toc184314434"/>
      <w:bookmarkEnd w:id="93"/>
      <w:bookmarkStart w:id="94" w:name="_Toc184313295"/>
      <w:bookmarkEnd w:id="94"/>
      <w:bookmarkStart w:id="95" w:name="_Toc184314459"/>
      <w:bookmarkEnd w:id="95"/>
      <w:bookmarkStart w:id="96" w:name="_Toc184314416"/>
      <w:bookmarkEnd w:id="96"/>
      <w:bookmarkStart w:id="97" w:name="_Toc184312132"/>
      <w:bookmarkEnd w:id="97"/>
      <w:bookmarkStart w:id="98" w:name="_Toc184313302"/>
      <w:bookmarkEnd w:id="98"/>
      <w:bookmarkStart w:id="99" w:name="_Toc184313294"/>
      <w:bookmarkEnd w:id="99"/>
      <w:bookmarkStart w:id="100" w:name="_Toc184312108"/>
      <w:bookmarkEnd w:id="100"/>
      <w:bookmarkStart w:id="101" w:name="_Toc184314465"/>
      <w:bookmarkEnd w:id="101"/>
      <w:bookmarkStart w:id="102" w:name="_Toc184312103"/>
      <w:bookmarkEnd w:id="102"/>
      <w:bookmarkStart w:id="103" w:name="_Toc184310273"/>
      <w:bookmarkEnd w:id="103"/>
      <w:bookmarkStart w:id="104" w:name="_Toc184314456"/>
      <w:bookmarkEnd w:id="104"/>
      <w:bookmarkStart w:id="105" w:name="_Toc184314476"/>
      <w:bookmarkEnd w:id="105"/>
      <w:bookmarkStart w:id="106" w:name="_Toc184313263"/>
      <w:bookmarkEnd w:id="106"/>
      <w:bookmarkStart w:id="107" w:name="_Toc184313277"/>
      <w:bookmarkEnd w:id="107"/>
      <w:bookmarkStart w:id="108" w:name="_Toc184313261"/>
      <w:bookmarkEnd w:id="108"/>
      <w:bookmarkStart w:id="109" w:name="_Toc184308044"/>
      <w:bookmarkEnd w:id="109"/>
      <w:bookmarkStart w:id="110" w:name="_Toc184312120"/>
      <w:bookmarkEnd w:id="110"/>
      <w:bookmarkStart w:id="111" w:name="_Toc184313244"/>
      <w:bookmarkEnd w:id="111"/>
      <w:bookmarkStart w:id="112" w:name="_Toc184310320"/>
      <w:bookmarkEnd w:id="112"/>
      <w:bookmarkStart w:id="113" w:name="_Toc184313285"/>
      <w:bookmarkEnd w:id="113"/>
      <w:bookmarkStart w:id="114" w:name="_Toc184310295"/>
      <w:bookmarkEnd w:id="114"/>
      <w:bookmarkStart w:id="115" w:name="_Toc184313268"/>
      <w:bookmarkEnd w:id="115"/>
      <w:bookmarkStart w:id="116" w:name="_Toc184313281"/>
      <w:bookmarkEnd w:id="116"/>
      <w:bookmarkStart w:id="117" w:name="_Toc184313308"/>
      <w:bookmarkEnd w:id="117"/>
      <w:bookmarkStart w:id="118" w:name="_Toc184308064"/>
      <w:bookmarkEnd w:id="118"/>
      <w:bookmarkStart w:id="119" w:name="_Toc184312116"/>
      <w:bookmarkEnd w:id="119"/>
      <w:bookmarkStart w:id="120" w:name="_Toc184313249"/>
      <w:bookmarkEnd w:id="120"/>
      <w:bookmarkStart w:id="121" w:name="_Toc184312130"/>
      <w:bookmarkEnd w:id="121"/>
      <w:bookmarkStart w:id="122" w:name="_Toc184308091"/>
      <w:bookmarkEnd w:id="122"/>
      <w:bookmarkStart w:id="123" w:name="_Toc184310324"/>
      <w:bookmarkEnd w:id="123"/>
      <w:bookmarkStart w:id="124" w:name="_Toc184312125"/>
      <w:bookmarkEnd w:id="124"/>
      <w:bookmarkStart w:id="125" w:name="_Toc184313297"/>
      <w:bookmarkEnd w:id="125"/>
      <w:bookmarkStart w:id="126" w:name="_Toc184308058"/>
      <w:bookmarkEnd w:id="126"/>
      <w:bookmarkStart w:id="127" w:name="_Toc184312084"/>
      <w:bookmarkEnd w:id="127"/>
      <w:bookmarkStart w:id="128" w:name="_Toc184308092"/>
      <w:bookmarkEnd w:id="128"/>
      <w:bookmarkStart w:id="129" w:name="_Toc184314440"/>
      <w:bookmarkEnd w:id="129"/>
      <w:bookmarkStart w:id="130" w:name="_Toc184308049"/>
      <w:bookmarkEnd w:id="130"/>
      <w:bookmarkStart w:id="131" w:name="_Toc184308094"/>
      <w:bookmarkEnd w:id="131"/>
      <w:bookmarkStart w:id="132" w:name="_Toc184313275"/>
      <w:bookmarkEnd w:id="132"/>
      <w:bookmarkStart w:id="133" w:name="_Toc184312097"/>
      <w:bookmarkEnd w:id="133"/>
      <w:bookmarkStart w:id="134" w:name="_Toc184310334"/>
      <w:bookmarkEnd w:id="134"/>
      <w:bookmarkStart w:id="135" w:name="_Toc184312119"/>
      <w:bookmarkEnd w:id="135"/>
      <w:bookmarkStart w:id="136" w:name="_Toc184314449"/>
      <w:bookmarkEnd w:id="136"/>
      <w:bookmarkStart w:id="137" w:name="_Toc184312131"/>
      <w:bookmarkEnd w:id="137"/>
      <w:bookmarkStart w:id="138" w:name="_Toc184313273"/>
      <w:bookmarkEnd w:id="138"/>
      <w:bookmarkStart w:id="139" w:name="_Toc184314423"/>
      <w:bookmarkEnd w:id="139"/>
      <w:bookmarkStart w:id="140" w:name="_Toc184313292"/>
      <w:bookmarkEnd w:id="140"/>
      <w:bookmarkStart w:id="141" w:name="_Toc184313272"/>
      <w:bookmarkEnd w:id="141"/>
      <w:bookmarkStart w:id="142" w:name="_Toc184310297"/>
      <w:bookmarkEnd w:id="142"/>
      <w:bookmarkStart w:id="143" w:name="_Toc184314474"/>
      <w:bookmarkEnd w:id="143"/>
      <w:bookmarkStart w:id="144" w:name="_Toc184308047"/>
      <w:bookmarkEnd w:id="144"/>
      <w:bookmarkStart w:id="145" w:name="_Toc184313278"/>
      <w:bookmarkEnd w:id="145"/>
      <w:bookmarkStart w:id="146" w:name="_Toc184310325"/>
      <w:bookmarkEnd w:id="146"/>
      <w:bookmarkStart w:id="147" w:name="_Toc184312124"/>
      <w:bookmarkEnd w:id="147"/>
      <w:bookmarkStart w:id="148" w:name="_Toc184314431"/>
      <w:bookmarkEnd w:id="148"/>
      <w:bookmarkStart w:id="149" w:name="_Toc184310309"/>
      <w:bookmarkEnd w:id="149"/>
      <w:bookmarkStart w:id="150" w:name="_Toc184314448"/>
      <w:bookmarkEnd w:id="150"/>
      <w:bookmarkStart w:id="151" w:name="_Toc184313240"/>
      <w:bookmarkEnd w:id="151"/>
      <w:bookmarkStart w:id="152" w:name="_Toc184308106"/>
      <w:bookmarkEnd w:id="152"/>
      <w:bookmarkStart w:id="153" w:name="_Toc184310337"/>
      <w:bookmarkEnd w:id="153"/>
      <w:bookmarkStart w:id="154" w:name="_Toc184314480"/>
      <w:bookmarkEnd w:id="154"/>
      <w:bookmarkStart w:id="155" w:name="_Toc184310331"/>
      <w:bookmarkEnd w:id="155"/>
      <w:bookmarkStart w:id="156" w:name="_Toc184308037"/>
      <w:bookmarkEnd w:id="156"/>
      <w:bookmarkStart w:id="157" w:name="_Toc184312136"/>
      <w:bookmarkEnd w:id="157"/>
      <w:bookmarkStart w:id="158" w:name="_Toc184312105"/>
      <w:bookmarkEnd w:id="158"/>
      <w:bookmarkStart w:id="159" w:name="_Toc184313246"/>
      <w:bookmarkEnd w:id="159"/>
      <w:bookmarkStart w:id="160" w:name="_Toc184314424"/>
      <w:bookmarkEnd w:id="160"/>
      <w:bookmarkStart w:id="161" w:name="_Toc184313264"/>
      <w:bookmarkEnd w:id="161"/>
      <w:bookmarkStart w:id="162" w:name="_Toc184313266"/>
      <w:bookmarkEnd w:id="162"/>
      <w:bookmarkStart w:id="163" w:name="_Toc184308036"/>
      <w:bookmarkEnd w:id="163"/>
      <w:bookmarkStart w:id="164" w:name="_Toc184314445"/>
      <w:bookmarkEnd w:id="164"/>
      <w:bookmarkStart w:id="165" w:name="_Toc184312127"/>
      <w:bookmarkEnd w:id="165"/>
      <w:bookmarkStart w:id="166" w:name="_Toc184308061"/>
      <w:bookmarkEnd w:id="166"/>
      <w:bookmarkStart w:id="167" w:name="_Toc184310319"/>
      <w:bookmarkEnd w:id="167"/>
      <w:bookmarkStart w:id="168" w:name="_Toc184313248"/>
      <w:bookmarkEnd w:id="168"/>
      <w:bookmarkStart w:id="169" w:name="_Toc184314443"/>
      <w:bookmarkEnd w:id="169"/>
      <w:bookmarkStart w:id="170" w:name="_Toc184314481"/>
      <w:bookmarkEnd w:id="170"/>
      <w:bookmarkStart w:id="171" w:name="_Toc184308089"/>
      <w:bookmarkEnd w:id="171"/>
      <w:bookmarkStart w:id="172" w:name="_Toc184314425"/>
      <w:bookmarkEnd w:id="172"/>
      <w:bookmarkStart w:id="173" w:name="_Toc184313280"/>
      <w:bookmarkEnd w:id="173"/>
      <w:bookmarkStart w:id="174" w:name="_Toc184312126"/>
      <w:bookmarkEnd w:id="174"/>
      <w:bookmarkStart w:id="175" w:name="_Toc184312113"/>
      <w:bookmarkEnd w:id="175"/>
      <w:bookmarkStart w:id="176" w:name="_Toc184312110"/>
      <w:bookmarkEnd w:id="176"/>
      <w:bookmarkStart w:id="177" w:name="_Toc184313286"/>
      <w:bookmarkEnd w:id="177"/>
      <w:bookmarkStart w:id="178" w:name="_Toc184308043"/>
      <w:bookmarkEnd w:id="178"/>
      <w:bookmarkStart w:id="179" w:name="_Toc184308041"/>
      <w:bookmarkEnd w:id="179"/>
      <w:bookmarkStart w:id="180" w:name="_Toc184308084"/>
      <w:bookmarkEnd w:id="180"/>
      <w:bookmarkStart w:id="181" w:name="_Toc184310303"/>
      <w:bookmarkEnd w:id="181"/>
      <w:bookmarkStart w:id="182" w:name="_Toc184308066"/>
      <w:bookmarkEnd w:id="182"/>
      <w:bookmarkStart w:id="183" w:name="_Toc184308081"/>
      <w:bookmarkEnd w:id="183"/>
      <w:bookmarkStart w:id="184" w:name="_Toc184313298"/>
      <w:bookmarkEnd w:id="184"/>
      <w:bookmarkStart w:id="185" w:name="_Toc184312096"/>
      <w:bookmarkEnd w:id="185"/>
      <w:bookmarkStart w:id="186" w:name="_Toc184312099"/>
      <w:bookmarkEnd w:id="186"/>
      <w:bookmarkStart w:id="187" w:name="_Toc184314479"/>
      <w:bookmarkEnd w:id="187"/>
      <w:bookmarkStart w:id="188" w:name="_Toc184310298"/>
      <w:bookmarkEnd w:id="188"/>
      <w:bookmarkStart w:id="189" w:name="_Toc184312095"/>
      <w:bookmarkEnd w:id="189"/>
      <w:bookmarkStart w:id="190" w:name="_Toc184313304"/>
      <w:bookmarkEnd w:id="190"/>
      <w:bookmarkStart w:id="191" w:name="_Toc184308083"/>
      <w:bookmarkEnd w:id="191"/>
      <w:bookmarkStart w:id="192" w:name="_Toc184310344"/>
      <w:bookmarkEnd w:id="192"/>
      <w:bookmarkStart w:id="193" w:name="_Toc184310318"/>
      <w:bookmarkEnd w:id="193"/>
      <w:bookmarkStart w:id="194" w:name="_Toc184308069"/>
      <w:bookmarkEnd w:id="194"/>
      <w:bookmarkStart w:id="195" w:name="_Toc184312115"/>
      <w:bookmarkEnd w:id="195"/>
      <w:bookmarkStart w:id="196" w:name="_Toc184313283"/>
      <w:bookmarkEnd w:id="196"/>
      <w:bookmarkStart w:id="197" w:name="_Toc184312109"/>
      <w:bookmarkEnd w:id="197"/>
      <w:bookmarkStart w:id="198" w:name="_Toc184308059"/>
      <w:bookmarkEnd w:id="198"/>
      <w:bookmarkStart w:id="199" w:name="_Toc184310307"/>
      <w:bookmarkEnd w:id="199"/>
      <w:bookmarkStart w:id="200" w:name="_Toc184308097"/>
      <w:bookmarkEnd w:id="200"/>
      <w:bookmarkStart w:id="201" w:name="_Toc184310308"/>
      <w:bookmarkEnd w:id="201"/>
      <w:bookmarkStart w:id="202" w:name="_Toc184312118"/>
      <w:bookmarkEnd w:id="202"/>
      <w:bookmarkStart w:id="203" w:name="_Toc184312107"/>
      <w:bookmarkEnd w:id="203"/>
      <w:bookmarkStart w:id="204" w:name="_Toc184312137"/>
      <w:bookmarkEnd w:id="204"/>
      <w:bookmarkStart w:id="205" w:name="_Toc184310316"/>
      <w:bookmarkEnd w:id="205"/>
      <w:bookmarkStart w:id="206" w:name="_Toc184308068"/>
      <w:bookmarkEnd w:id="206"/>
      <w:bookmarkStart w:id="207" w:name="_Toc184314426"/>
      <w:bookmarkEnd w:id="207"/>
      <w:bookmarkStart w:id="208" w:name="_Toc184314467"/>
      <w:bookmarkEnd w:id="208"/>
      <w:bookmarkStart w:id="209" w:name="_Toc184308040"/>
      <w:bookmarkEnd w:id="209"/>
      <w:bookmarkStart w:id="210" w:name="_Toc184308062"/>
      <w:bookmarkEnd w:id="210"/>
      <w:bookmarkStart w:id="211" w:name="_Toc184310343"/>
      <w:bookmarkEnd w:id="211"/>
      <w:bookmarkStart w:id="212" w:name="_Toc184314428"/>
      <w:bookmarkEnd w:id="212"/>
      <w:bookmarkStart w:id="213" w:name="_Toc184308054"/>
      <w:bookmarkEnd w:id="213"/>
      <w:bookmarkStart w:id="214" w:name="_Toc184310293"/>
      <w:bookmarkEnd w:id="214"/>
      <w:bookmarkStart w:id="215" w:name="_Toc184313284"/>
      <w:bookmarkEnd w:id="215"/>
      <w:bookmarkStart w:id="216" w:name="_Toc184313250"/>
      <w:bookmarkEnd w:id="216"/>
      <w:bookmarkStart w:id="217" w:name="_Toc184308063"/>
      <w:bookmarkEnd w:id="217"/>
      <w:bookmarkStart w:id="218" w:name="_Toc184313258"/>
      <w:bookmarkEnd w:id="218"/>
      <w:bookmarkStart w:id="219" w:name="_Toc184310342"/>
      <w:bookmarkEnd w:id="219"/>
      <w:bookmarkStart w:id="220" w:name="_Toc184314442"/>
      <w:bookmarkEnd w:id="220"/>
      <w:bookmarkStart w:id="221" w:name="_Toc184312123"/>
      <w:bookmarkEnd w:id="221"/>
      <w:bookmarkStart w:id="222" w:name="_Toc184308038"/>
      <w:bookmarkEnd w:id="222"/>
      <w:bookmarkStart w:id="223" w:name="_Toc184314447"/>
      <w:bookmarkEnd w:id="223"/>
      <w:bookmarkStart w:id="224" w:name="_Toc184312075"/>
      <w:bookmarkEnd w:id="224"/>
      <w:bookmarkStart w:id="225" w:name="_Toc184313300"/>
      <w:bookmarkEnd w:id="225"/>
      <w:bookmarkStart w:id="226" w:name="_Toc184314441"/>
      <w:bookmarkEnd w:id="226"/>
      <w:bookmarkStart w:id="227" w:name="_Toc184312080"/>
      <w:bookmarkEnd w:id="227"/>
      <w:bookmarkStart w:id="228" w:name="_Toc184312090"/>
      <w:bookmarkEnd w:id="228"/>
      <w:bookmarkStart w:id="229" w:name="_Toc184312081"/>
      <w:bookmarkEnd w:id="229"/>
      <w:bookmarkStart w:id="230" w:name="_Toc184313296"/>
      <w:bookmarkEnd w:id="230"/>
      <w:bookmarkStart w:id="231" w:name="_Toc184313260"/>
      <w:bookmarkEnd w:id="231"/>
      <w:bookmarkStart w:id="232" w:name="_Toc184314419"/>
      <w:bookmarkEnd w:id="232"/>
      <w:bookmarkStart w:id="233" w:name="_Toc184310299"/>
      <w:bookmarkEnd w:id="233"/>
      <w:bookmarkStart w:id="234" w:name="_Toc184312067"/>
      <w:bookmarkEnd w:id="234"/>
      <w:bookmarkStart w:id="235" w:name="_Toc184310275"/>
      <w:bookmarkEnd w:id="235"/>
      <w:bookmarkStart w:id="236" w:name="_Toc184312114"/>
      <w:bookmarkEnd w:id="236"/>
      <w:bookmarkStart w:id="237" w:name="_Toc184312069"/>
      <w:bookmarkEnd w:id="237"/>
      <w:bookmarkStart w:id="238" w:name="_Toc184310311"/>
      <w:bookmarkEnd w:id="238"/>
      <w:bookmarkStart w:id="239" w:name="_Toc184310279"/>
      <w:bookmarkEnd w:id="239"/>
      <w:bookmarkStart w:id="240" w:name="_Toc184314421"/>
      <w:bookmarkEnd w:id="240"/>
      <w:bookmarkStart w:id="241" w:name="_Toc184314450"/>
      <w:bookmarkEnd w:id="241"/>
      <w:bookmarkStart w:id="242" w:name="_Toc184312117"/>
      <w:bookmarkEnd w:id="242"/>
      <w:bookmarkStart w:id="243" w:name="_Toc184313239"/>
      <w:bookmarkEnd w:id="243"/>
      <w:bookmarkStart w:id="244" w:name="_Toc184308072"/>
      <w:bookmarkEnd w:id="244"/>
      <w:bookmarkStart w:id="245" w:name="_Toc184314410"/>
      <w:bookmarkEnd w:id="245"/>
      <w:bookmarkStart w:id="246" w:name="_Toc184310274"/>
      <w:bookmarkEnd w:id="246"/>
      <w:bookmarkStart w:id="247" w:name="_Toc184314444"/>
      <w:bookmarkEnd w:id="247"/>
      <w:bookmarkStart w:id="248" w:name="_Toc184314458"/>
      <w:bookmarkEnd w:id="248"/>
      <w:bookmarkStart w:id="249" w:name="_Toc184310306"/>
      <w:bookmarkEnd w:id="249"/>
      <w:bookmarkStart w:id="250" w:name="_Toc184313287"/>
      <w:bookmarkEnd w:id="250"/>
      <w:bookmarkStart w:id="251" w:name="_Toc184308067"/>
      <w:bookmarkEnd w:id="251"/>
      <w:bookmarkStart w:id="252" w:name="_Toc184312072"/>
      <w:bookmarkEnd w:id="252"/>
      <w:bookmarkStart w:id="253" w:name="_Toc184313247"/>
      <w:bookmarkEnd w:id="253"/>
      <w:bookmarkStart w:id="254" w:name="_Toc184312128"/>
      <w:bookmarkEnd w:id="254"/>
      <w:bookmarkStart w:id="255" w:name="_Toc184313306"/>
      <w:bookmarkEnd w:id="255"/>
      <w:bookmarkStart w:id="256" w:name="_Toc184310323"/>
      <w:bookmarkEnd w:id="256"/>
      <w:bookmarkStart w:id="257" w:name="_Toc184310339"/>
      <w:bookmarkEnd w:id="257"/>
      <w:bookmarkStart w:id="258" w:name="_Toc184314411"/>
      <w:bookmarkEnd w:id="258"/>
      <w:bookmarkStart w:id="259" w:name="_Toc184308087"/>
      <w:bookmarkEnd w:id="259"/>
      <w:bookmarkStart w:id="260" w:name="_Toc184313307"/>
      <w:bookmarkEnd w:id="260"/>
      <w:bookmarkStart w:id="261" w:name="_Toc184312094"/>
      <w:bookmarkEnd w:id="261"/>
      <w:bookmarkStart w:id="262" w:name="_Toc184314439"/>
      <w:bookmarkEnd w:id="262"/>
      <w:bookmarkStart w:id="263" w:name="_Toc184314468"/>
      <w:bookmarkEnd w:id="263"/>
      <w:bookmarkStart w:id="264" w:name="_Toc184313310"/>
      <w:bookmarkEnd w:id="264"/>
      <w:bookmarkStart w:id="265" w:name="_Toc184314471"/>
      <w:bookmarkEnd w:id="265"/>
      <w:bookmarkStart w:id="266" w:name="_Toc184313245"/>
      <w:bookmarkEnd w:id="266"/>
      <w:bookmarkStart w:id="267" w:name="_Toc184308102"/>
      <w:bookmarkEnd w:id="267"/>
      <w:bookmarkStart w:id="268" w:name="_Toc184312074"/>
      <w:bookmarkEnd w:id="268"/>
      <w:bookmarkStart w:id="269" w:name="_Toc184314466"/>
      <w:bookmarkEnd w:id="269"/>
      <w:bookmarkStart w:id="270" w:name="_Toc184310329"/>
      <w:bookmarkEnd w:id="270"/>
      <w:bookmarkStart w:id="271" w:name="_Toc184310330"/>
      <w:bookmarkEnd w:id="271"/>
      <w:bookmarkStart w:id="272" w:name="_Toc184310338"/>
      <w:bookmarkEnd w:id="272"/>
      <w:bookmarkStart w:id="273" w:name="_Toc184310305"/>
      <w:bookmarkEnd w:id="273"/>
      <w:bookmarkStart w:id="274" w:name="_Toc184310300"/>
      <w:bookmarkEnd w:id="274"/>
      <w:bookmarkStart w:id="275" w:name="_Toc184312070"/>
      <w:bookmarkEnd w:id="275"/>
      <w:bookmarkStart w:id="276" w:name="_Toc184313309"/>
      <w:bookmarkEnd w:id="276"/>
      <w:bookmarkStart w:id="277" w:name="_Toc184313253"/>
      <w:bookmarkEnd w:id="277"/>
      <w:bookmarkStart w:id="278" w:name="_Toc184310285"/>
      <w:bookmarkEnd w:id="278"/>
      <w:bookmarkStart w:id="279" w:name="_Toc184310296"/>
      <w:bookmarkEnd w:id="279"/>
      <w:bookmarkStart w:id="280" w:name="_Toc184313265"/>
      <w:bookmarkEnd w:id="280"/>
      <w:bookmarkStart w:id="281" w:name="_Toc184314413"/>
      <w:bookmarkEnd w:id="281"/>
      <w:bookmarkStart w:id="282" w:name="_Toc184312093"/>
      <w:bookmarkEnd w:id="282"/>
      <w:bookmarkStart w:id="283" w:name="_Toc184313279"/>
      <w:bookmarkEnd w:id="283"/>
      <w:bookmarkStart w:id="284" w:name="_Toc184313256"/>
      <w:bookmarkEnd w:id="284"/>
      <w:bookmarkStart w:id="285" w:name="_Toc184308082"/>
      <w:bookmarkEnd w:id="285"/>
      <w:bookmarkStart w:id="286" w:name="_Toc184312100"/>
      <w:bookmarkEnd w:id="286"/>
      <w:bookmarkStart w:id="287" w:name="_Toc184310291"/>
      <w:bookmarkEnd w:id="287"/>
      <w:bookmarkStart w:id="288" w:name="_Toc184312098"/>
      <w:bookmarkEnd w:id="288"/>
      <w:bookmarkStart w:id="289" w:name="_Toc184314417"/>
      <w:bookmarkEnd w:id="289"/>
      <w:bookmarkStart w:id="290" w:name="_Toc184313303"/>
      <w:bookmarkEnd w:id="290"/>
      <w:bookmarkStart w:id="291" w:name="_Toc184314433"/>
      <w:bookmarkEnd w:id="291"/>
      <w:bookmarkStart w:id="292" w:name="_Toc184308053"/>
      <w:bookmarkEnd w:id="292"/>
      <w:bookmarkStart w:id="293" w:name="_Toc184308078"/>
      <w:bookmarkEnd w:id="293"/>
      <w:bookmarkStart w:id="294" w:name="_Toc184310286"/>
      <w:bookmarkEnd w:id="294"/>
      <w:bookmarkStart w:id="295" w:name="_Toc184310276"/>
      <w:bookmarkEnd w:id="295"/>
      <w:bookmarkStart w:id="296" w:name="_Toc184308065"/>
      <w:bookmarkEnd w:id="296"/>
      <w:bookmarkStart w:id="297" w:name="_Toc184312085"/>
      <w:bookmarkEnd w:id="297"/>
      <w:bookmarkStart w:id="298" w:name="_Toc184313288"/>
      <w:bookmarkEnd w:id="298"/>
      <w:bookmarkStart w:id="299" w:name="_Toc184314435"/>
      <w:bookmarkEnd w:id="299"/>
      <w:bookmarkStart w:id="300" w:name="_Toc184308042"/>
      <w:bookmarkEnd w:id="300"/>
      <w:bookmarkStart w:id="301" w:name="_Toc184310277"/>
      <w:bookmarkEnd w:id="301"/>
      <w:bookmarkStart w:id="302" w:name="_Toc184310340"/>
      <w:bookmarkEnd w:id="302"/>
      <w:bookmarkStart w:id="303" w:name="_Toc184312135"/>
      <w:bookmarkEnd w:id="303"/>
      <w:bookmarkStart w:id="304" w:name="_Toc184312092"/>
      <w:bookmarkEnd w:id="304"/>
      <w:bookmarkStart w:id="305" w:name="_Toc184312134"/>
      <w:bookmarkEnd w:id="305"/>
      <w:bookmarkStart w:id="306" w:name="_Toc184308045"/>
      <w:bookmarkEnd w:id="306"/>
      <w:bookmarkStart w:id="307" w:name="_Toc184312082"/>
      <w:bookmarkEnd w:id="307"/>
      <w:bookmarkStart w:id="308" w:name="_Toc184313271"/>
      <w:bookmarkEnd w:id="308"/>
      <w:bookmarkStart w:id="309" w:name="_Toc184308098"/>
      <w:bookmarkEnd w:id="309"/>
      <w:bookmarkStart w:id="310" w:name="_Toc184308060"/>
      <w:bookmarkEnd w:id="310"/>
      <w:bookmarkStart w:id="311" w:name="_Toc184310315"/>
      <w:bookmarkEnd w:id="311"/>
      <w:bookmarkStart w:id="312" w:name="_Toc184312133"/>
      <w:bookmarkEnd w:id="312"/>
      <w:bookmarkStart w:id="313" w:name="_Toc184312076"/>
      <w:bookmarkEnd w:id="313"/>
      <w:bookmarkStart w:id="314" w:name="_Toc184313270"/>
      <w:bookmarkEnd w:id="314"/>
      <w:bookmarkStart w:id="315" w:name="_Toc184310332"/>
      <w:bookmarkEnd w:id="315"/>
      <w:bookmarkStart w:id="316" w:name="_Toc184313305"/>
      <w:bookmarkEnd w:id="316"/>
      <w:bookmarkStart w:id="317" w:name="_Toc184313274"/>
      <w:bookmarkEnd w:id="317"/>
      <w:bookmarkStart w:id="318" w:name="_Toc184314422"/>
      <w:bookmarkEnd w:id="318"/>
      <w:bookmarkStart w:id="319" w:name="_Toc184314436"/>
      <w:bookmarkEnd w:id="319"/>
      <w:bookmarkStart w:id="320" w:name="_Toc184314430"/>
      <w:bookmarkEnd w:id="320"/>
      <w:bookmarkStart w:id="321" w:name="_Toc184310280"/>
      <w:bookmarkEnd w:id="321"/>
      <w:bookmarkStart w:id="322" w:name="_Toc184314477"/>
      <w:bookmarkEnd w:id="322"/>
      <w:bookmarkStart w:id="323" w:name="_Toc184310302"/>
      <w:bookmarkEnd w:id="323"/>
      <w:bookmarkStart w:id="324" w:name="_Toc184314475"/>
      <w:bookmarkEnd w:id="324"/>
      <w:bookmarkStart w:id="325" w:name="_Toc184312106"/>
      <w:bookmarkEnd w:id="325"/>
      <w:bookmarkStart w:id="326" w:name="_Toc184308100"/>
      <w:bookmarkEnd w:id="326"/>
      <w:bookmarkStart w:id="327" w:name="_Toc184308052"/>
      <w:bookmarkEnd w:id="327"/>
      <w:bookmarkStart w:id="328" w:name="_Toc184308080"/>
      <w:bookmarkEnd w:id="328"/>
      <w:bookmarkStart w:id="329" w:name="_Toc184308108"/>
      <w:bookmarkEnd w:id="329"/>
      <w:bookmarkStart w:id="330" w:name="_Toc184312073"/>
      <w:bookmarkEnd w:id="330"/>
      <w:bookmarkStart w:id="331" w:name="_Toc184314469"/>
      <w:bookmarkEnd w:id="331"/>
      <w:bookmarkStart w:id="332" w:name="_Toc184314454"/>
      <w:bookmarkEnd w:id="332"/>
      <w:bookmarkStart w:id="333" w:name="_Toc184314464"/>
      <w:bookmarkEnd w:id="333"/>
      <w:bookmarkStart w:id="334" w:name="_Toc184312077"/>
      <w:bookmarkEnd w:id="334"/>
      <w:bookmarkStart w:id="335" w:name="_Toc184314473"/>
      <w:bookmarkEnd w:id="335"/>
      <w:bookmarkStart w:id="336" w:name="_Toc184314478"/>
      <w:bookmarkEnd w:id="336"/>
      <w:bookmarkStart w:id="337" w:name="_Toc184313259"/>
      <w:bookmarkEnd w:id="337"/>
      <w:bookmarkStart w:id="338" w:name="_Toc184308093"/>
      <w:bookmarkEnd w:id="338"/>
      <w:bookmarkStart w:id="339" w:name="_Toc184312089"/>
      <w:bookmarkEnd w:id="339"/>
      <w:bookmarkStart w:id="340" w:name="_Toc184310290"/>
      <w:bookmarkEnd w:id="340"/>
      <w:bookmarkStart w:id="341" w:name="_Toc184310287"/>
      <w:bookmarkEnd w:id="341"/>
      <w:bookmarkStart w:id="342" w:name="_Toc184313267"/>
      <w:bookmarkEnd w:id="342"/>
      <w:bookmarkStart w:id="343" w:name="_Toc184308046"/>
      <w:bookmarkEnd w:id="343"/>
      <w:bookmarkStart w:id="344" w:name="_Toc184312101"/>
      <w:bookmarkEnd w:id="344"/>
      <w:bookmarkStart w:id="345" w:name="_Toc184312088"/>
      <w:bookmarkEnd w:id="345"/>
      <w:bookmarkStart w:id="346" w:name="_Toc184308085"/>
      <w:bookmarkEnd w:id="346"/>
      <w:bookmarkStart w:id="347" w:name="_Toc184310341"/>
      <w:bookmarkEnd w:id="347"/>
      <w:bookmarkStart w:id="348" w:name="_Toc184310321"/>
      <w:bookmarkEnd w:id="348"/>
      <w:bookmarkStart w:id="349" w:name="_Toc184312083"/>
      <w:bookmarkEnd w:id="349"/>
      <w:bookmarkStart w:id="350" w:name="_Toc184313290"/>
      <w:bookmarkEnd w:id="350"/>
      <w:bookmarkStart w:id="351" w:name="_Toc184310317"/>
      <w:bookmarkEnd w:id="351"/>
      <w:bookmarkStart w:id="352" w:name="_Toc184308074"/>
      <w:bookmarkEnd w:id="352"/>
      <w:bookmarkStart w:id="353" w:name="_Toc184310326"/>
      <w:bookmarkEnd w:id="353"/>
      <w:bookmarkStart w:id="354" w:name="_Toc184310333"/>
      <w:bookmarkEnd w:id="354"/>
      <w:bookmarkStart w:id="355" w:name="_Toc184308088"/>
      <w:bookmarkEnd w:id="355"/>
      <w:bookmarkStart w:id="356" w:name="_Toc184308105"/>
      <w:bookmarkEnd w:id="356"/>
      <w:bookmarkStart w:id="357" w:name="_Toc184314455"/>
      <w:bookmarkEnd w:id="357"/>
      <w:bookmarkStart w:id="358" w:name="_Toc184314420"/>
      <w:bookmarkEnd w:id="358"/>
      <w:bookmarkStart w:id="359" w:name="_Toc184313255"/>
      <w:bookmarkEnd w:id="359"/>
      <w:bookmarkStart w:id="360" w:name="_Toc184313291"/>
      <w:bookmarkEnd w:id="360"/>
      <w:bookmarkStart w:id="361" w:name="_Toc184314461"/>
      <w:bookmarkEnd w:id="361"/>
      <w:bookmarkStart w:id="362" w:name="_Toc184313241"/>
      <w:bookmarkEnd w:id="362"/>
      <w:bookmarkStart w:id="363" w:name="_Toc184308050"/>
      <w:bookmarkEnd w:id="363"/>
      <w:bookmarkStart w:id="364" w:name="_Toc184308104"/>
      <w:bookmarkEnd w:id="364"/>
      <w:bookmarkStart w:id="365" w:name="_Toc184310283"/>
      <w:bookmarkEnd w:id="365"/>
      <w:bookmarkStart w:id="366" w:name="_Toc184312121"/>
      <w:bookmarkEnd w:id="366"/>
      <w:bookmarkStart w:id="367" w:name="_Toc184308055"/>
      <w:bookmarkEnd w:id="367"/>
      <w:bookmarkStart w:id="368" w:name="_Toc184313269"/>
      <w:bookmarkEnd w:id="368"/>
      <w:bookmarkStart w:id="369" w:name="_Toc184308079"/>
      <w:bookmarkEnd w:id="369"/>
      <w:bookmarkStart w:id="370" w:name="_Toc184308099"/>
      <w:bookmarkEnd w:id="370"/>
      <w:bookmarkStart w:id="371" w:name="_Toc184314437"/>
      <w:bookmarkEnd w:id="371"/>
      <w:bookmarkStart w:id="372" w:name="_Toc184308071"/>
      <w:bookmarkEnd w:id="372"/>
      <w:bookmarkStart w:id="373" w:name="_Toc184313293"/>
      <w:bookmarkEnd w:id="373"/>
      <w:bookmarkStart w:id="374" w:name="_Toc184310310"/>
      <w:bookmarkEnd w:id="374"/>
      <w:bookmarkStart w:id="375" w:name="_Toc184308101"/>
      <w:bookmarkEnd w:id="375"/>
      <w:bookmarkStart w:id="376" w:name="_Toc184308056"/>
      <w:bookmarkEnd w:id="376"/>
      <w:bookmarkStart w:id="377" w:name="_Toc184313289"/>
      <w:bookmarkEnd w:id="377"/>
      <w:bookmarkStart w:id="378" w:name="_Toc184313252"/>
      <w:bookmarkEnd w:id="378"/>
      <w:bookmarkStart w:id="379" w:name="_Toc184310294"/>
      <w:bookmarkEnd w:id="379"/>
      <w:bookmarkStart w:id="380" w:name="_Toc184310284"/>
      <w:bookmarkEnd w:id="380"/>
      <w:bookmarkStart w:id="381" w:name="_Toc184314460"/>
      <w:bookmarkEnd w:id="381"/>
      <w:bookmarkStart w:id="382" w:name="_Toc184314451"/>
      <w:bookmarkEnd w:id="382"/>
      <w:bookmarkStart w:id="383" w:name="_Toc184314414"/>
      <w:bookmarkEnd w:id="383"/>
      <w:bookmarkStart w:id="384" w:name="_Toc184310327"/>
      <w:bookmarkEnd w:id="384"/>
      <w:bookmarkStart w:id="385" w:name="_Toc184313301"/>
      <w:bookmarkEnd w:id="385"/>
      <w:bookmarkStart w:id="386" w:name="_Toc184310272"/>
      <w:bookmarkEnd w:id="386"/>
      <w:bookmarkStart w:id="387" w:name="_Toc184308090"/>
      <w:bookmarkEnd w:id="387"/>
      <w:bookmarkStart w:id="388" w:name="_Toc184312138"/>
      <w:bookmarkEnd w:id="388"/>
      <w:bookmarkStart w:id="389" w:name="_Toc184313254"/>
      <w:bookmarkEnd w:id="389"/>
      <w:bookmarkStart w:id="390" w:name="_Toc184312086"/>
      <w:bookmarkEnd w:id="390"/>
      <w:bookmarkStart w:id="391" w:name="_Toc184310335"/>
      <w:bookmarkEnd w:id="391"/>
      <w:bookmarkStart w:id="392" w:name="_Toc184313242"/>
      <w:bookmarkEnd w:id="392"/>
      <w:bookmarkStart w:id="393" w:name="_Toc184313276"/>
      <w:bookmarkEnd w:id="393"/>
      <w:bookmarkStart w:id="394" w:name="_Toc184310301"/>
      <w:bookmarkEnd w:id="394"/>
      <w:bookmarkStart w:id="395" w:name="_Toc184312087"/>
      <w:bookmarkEnd w:id="395"/>
      <w:bookmarkStart w:id="396" w:name="_Toc184313243"/>
      <w:bookmarkEnd w:id="396"/>
      <w:bookmarkStart w:id="397" w:name="_Toc184308107"/>
      <w:bookmarkEnd w:id="397"/>
      <w:bookmarkStart w:id="398" w:name="_Toc184308103"/>
      <w:bookmarkEnd w:id="398"/>
      <w:bookmarkStart w:id="399" w:name="_Toc184310288"/>
      <w:bookmarkEnd w:id="399"/>
      <w:bookmarkStart w:id="400" w:name="_Toc184310312"/>
      <w:bookmarkEnd w:id="400"/>
      <w:bookmarkStart w:id="401" w:name="_Toc184308077"/>
      <w:bookmarkEnd w:id="401"/>
      <w:bookmarkStart w:id="402" w:name="_Toc184312104"/>
      <w:bookmarkEnd w:id="402"/>
      <w:bookmarkStart w:id="403" w:name="_Toc184310289"/>
      <w:bookmarkEnd w:id="403"/>
      <w:bookmarkStart w:id="404" w:name="_Toc184312112"/>
      <w:bookmarkEnd w:id="404"/>
      <w:bookmarkStart w:id="405" w:name="_Toc184314463"/>
      <w:bookmarkEnd w:id="405"/>
      <w:bookmarkStart w:id="406" w:name="_Toc184310328"/>
      <w:bookmarkEnd w:id="406"/>
      <w:bookmarkStart w:id="407" w:name="_Toc184314412"/>
      <w:bookmarkEnd w:id="407"/>
      <w:bookmarkStart w:id="408" w:name="_Toc184312091"/>
      <w:bookmarkEnd w:id="408"/>
      <w:bookmarkStart w:id="409" w:name="_Toc184314470"/>
      <w:bookmarkEnd w:id="409"/>
      <w:bookmarkStart w:id="410" w:name="_Toc184314472"/>
      <w:bookmarkEnd w:id="410"/>
      <w:bookmarkStart w:id="411" w:name="_Toc184313262"/>
      <w:bookmarkEnd w:id="411"/>
      <w:bookmarkStart w:id="412" w:name="_Toc184312122"/>
      <w:bookmarkEnd w:id="412"/>
      <w:bookmarkStart w:id="413" w:name="_Toc184314452"/>
      <w:bookmarkEnd w:id="413"/>
      <w:bookmarkStart w:id="414" w:name="_Toc184312068"/>
      <w:bookmarkEnd w:id="414"/>
      <w:bookmarkStart w:id="415" w:name="_Toc184314427"/>
      <w:bookmarkEnd w:id="415"/>
      <w:bookmarkStart w:id="416" w:name="_Toc184312139"/>
      <w:bookmarkEnd w:id="416"/>
      <w:r>
        <w:rPr>
          <w:rFonts w:hint="eastAsia" w:ascii="宋体" w:hAnsi="宋体" w:eastAsia="宋体" w:cs="宋体"/>
          <w:b/>
          <w:color w:val="auto"/>
          <w:sz w:val="36"/>
          <w:szCs w:val="20"/>
          <w:highlight w:val="none"/>
        </w:rPr>
        <w:t xml:space="preserve"> 评审办法</w:t>
      </w:r>
      <w:bookmarkEnd w:id="51"/>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评审办法前附表</w:t>
      </w:r>
    </w:p>
    <w:tbl>
      <w:tblPr>
        <w:tblStyle w:val="62"/>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156"/>
        <w:gridCol w:w="6286"/>
        <w:gridCol w:w="671"/>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10" w:type="dxa"/>
            <w:gridSpan w:val="3"/>
            <w:shd w:val="clear" w:color="auto" w:fill="auto"/>
            <w:vAlign w:val="center"/>
          </w:tcPr>
          <w:p>
            <w:pPr>
              <w:keepNext w:val="0"/>
              <w:keepLines w:val="0"/>
              <w:pageBreakBefore w:val="0"/>
              <w:kinsoku/>
              <w:wordWrap/>
              <w:overflowPunct/>
              <w:topLinePunct w:val="0"/>
              <w:bidi w:val="0"/>
              <w:adjustRightInd/>
              <w:snapToGrid/>
              <w:spacing w:line="240" w:lineRule="auto"/>
              <w:ind w:firstLine="3795" w:firstLineChars="18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评分内容</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restart"/>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技术商务分</w:t>
            </w:r>
          </w:p>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0分</w:t>
            </w:r>
          </w:p>
        </w:tc>
        <w:tc>
          <w:tcPr>
            <w:tcW w:w="1156" w:type="dxa"/>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1、业绩（</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自20</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年1月1日至今（以合同签订日期为准），供应商具有</w:t>
            </w:r>
            <w:r>
              <w:rPr>
                <w:rFonts w:hint="eastAsia" w:ascii="宋体" w:hAnsi="宋体" w:cs="宋体"/>
                <w:color w:val="auto"/>
                <w:sz w:val="21"/>
                <w:szCs w:val="21"/>
                <w:highlight w:val="none"/>
                <w:lang w:val="en-US" w:eastAsia="zh-CN"/>
              </w:rPr>
              <w:t>类似房建</w:t>
            </w:r>
            <w:r>
              <w:rPr>
                <w:rFonts w:hint="eastAsia" w:ascii="宋体" w:hAnsi="宋体" w:eastAsia="宋体" w:cs="宋体"/>
                <w:color w:val="auto"/>
                <w:sz w:val="21"/>
                <w:szCs w:val="21"/>
                <w:highlight w:val="none"/>
              </w:rPr>
              <w:t>工程施工且经验收合格的业绩，每具有一个得0.5分。本项最高得</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p>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bCs/>
                <w:color w:val="auto"/>
                <w:sz w:val="21"/>
                <w:szCs w:val="21"/>
                <w:highlight w:val="none"/>
              </w:rPr>
              <w:t>响应文件中须同时提供合同复印件和行政主管单位出具的竣工验收合格证明材料复印件并加盖公章，未提供或提供不全的不得分。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0.5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restart"/>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服务团队（1</w:t>
            </w:r>
            <w:r>
              <w:rPr>
                <w:rFonts w:hint="eastAsia" w:ascii="宋体" w:hAnsi="宋体" w:cs="宋体"/>
                <w:bCs/>
                <w:color w:val="auto"/>
                <w:sz w:val="21"/>
                <w:szCs w:val="21"/>
                <w:highlight w:val="none"/>
                <w:lang w:val="en-US" w:eastAsia="zh-CN"/>
              </w:rPr>
              <w:t>4.5</w:t>
            </w:r>
            <w:r>
              <w:rPr>
                <w:rFonts w:hint="eastAsia" w:ascii="宋体" w:hAnsi="宋体" w:eastAsia="宋体" w:cs="宋体"/>
                <w:bCs/>
                <w:color w:val="auto"/>
                <w:sz w:val="21"/>
                <w:szCs w:val="21"/>
                <w:highlight w:val="none"/>
              </w:rPr>
              <w:t>分）</w:t>
            </w: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根据</w:t>
            </w:r>
            <w:r>
              <w:rPr>
                <w:rFonts w:hint="eastAsia" w:ascii="宋体" w:hAnsi="宋体" w:eastAsia="宋体" w:cs="宋体"/>
                <w:color w:val="auto"/>
                <w:sz w:val="21"/>
                <w:szCs w:val="21"/>
                <w:highlight w:val="none"/>
              </w:rPr>
              <w:t>供应商拟投入本项目</w:t>
            </w:r>
            <w:r>
              <w:rPr>
                <w:rFonts w:hint="eastAsia" w:ascii="宋体" w:hAnsi="宋体" w:eastAsia="宋体" w:cs="宋体"/>
                <w:color w:val="auto"/>
                <w:sz w:val="21"/>
                <w:szCs w:val="21"/>
                <w:highlight w:val="none"/>
                <w:lang w:val="en-US" w:eastAsia="zh-CN"/>
              </w:rPr>
              <w:t>项目经理</w:t>
            </w:r>
            <w:r>
              <w:rPr>
                <w:rFonts w:hint="eastAsia" w:ascii="宋体" w:hAnsi="宋体" w:eastAsia="宋体" w:cs="宋体"/>
                <w:color w:val="auto"/>
                <w:sz w:val="21"/>
                <w:szCs w:val="21"/>
                <w:highlight w:val="none"/>
                <w:lang w:eastAsia="zh-CN"/>
              </w:rPr>
              <w:t>的</w:t>
            </w:r>
            <w:r>
              <w:rPr>
                <w:rFonts w:hint="eastAsia" w:ascii="宋体" w:hAnsi="宋体" w:cs="宋体"/>
                <w:color w:val="auto"/>
                <w:sz w:val="21"/>
                <w:szCs w:val="21"/>
                <w:highlight w:val="none"/>
                <w:lang w:val="en-US" w:eastAsia="zh-CN"/>
              </w:rPr>
              <w:t>资质、经验水平、服务能力进行综合评议，满分3</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项目经理</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资质</w:t>
            </w:r>
            <w:r>
              <w:rPr>
                <w:rFonts w:hint="eastAsia" w:ascii="宋体" w:hAnsi="宋体" w:cs="宋体"/>
                <w:color w:val="auto"/>
                <w:sz w:val="21"/>
                <w:szCs w:val="21"/>
                <w:highlight w:val="none"/>
                <w:lang w:val="en-US" w:eastAsia="zh-CN"/>
              </w:rPr>
              <w:t>高</w:t>
            </w:r>
            <w:r>
              <w:rPr>
                <w:rFonts w:hint="eastAsia" w:ascii="宋体" w:hAnsi="宋体" w:eastAsia="宋体" w:cs="宋体"/>
                <w:color w:val="auto"/>
                <w:sz w:val="21"/>
                <w:szCs w:val="21"/>
                <w:highlight w:val="none"/>
                <w:lang w:val="en-US" w:eastAsia="zh-CN"/>
              </w:rPr>
              <w:t>、经验水平</w:t>
            </w:r>
            <w:r>
              <w:rPr>
                <w:rFonts w:hint="eastAsia" w:ascii="宋体" w:hAnsi="宋体" w:cs="宋体"/>
                <w:color w:val="auto"/>
                <w:sz w:val="21"/>
                <w:szCs w:val="21"/>
                <w:highlight w:val="none"/>
                <w:lang w:val="en-US" w:eastAsia="zh-CN"/>
              </w:rPr>
              <w:t>丰富</w:t>
            </w:r>
            <w:r>
              <w:rPr>
                <w:rFonts w:hint="eastAsia" w:ascii="宋体" w:hAnsi="宋体" w:eastAsia="宋体" w:cs="宋体"/>
                <w:color w:val="auto"/>
                <w:sz w:val="21"/>
                <w:szCs w:val="21"/>
                <w:highlight w:val="none"/>
                <w:lang w:val="en-US" w:eastAsia="zh-CN"/>
              </w:rPr>
              <w:t>、服务能力</w:t>
            </w:r>
            <w:r>
              <w:rPr>
                <w:rFonts w:hint="eastAsia" w:ascii="宋体" w:hAnsi="宋体" w:cs="宋体"/>
                <w:color w:val="auto"/>
                <w:sz w:val="21"/>
                <w:szCs w:val="21"/>
                <w:highlight w:val="none"/>
                <w:lang w:val="en-US" w:eastAsia="zh-CN"/>
              </w:rPr>
              <w:t>强</w:t>
            </w:r>
            <w:r>
              <w:rPr>
                <w:rFonts w:hint="eastAsia" w:ascii="宋体" w:hAnsi="宋体" w:eastAsia="宋体" w:cs="宋体"/>
                <w:color w:val="auto"/>
                <w:sz w:val="21"/>
                <w:szCs w:val="21"/>
                <w:highlight w:val="none"/>
              </w:rPr>
              <w:t>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项目经理</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资质</w:t>
            </w:r>
            <w:r>
              <w:rPr>
                <w:rFonts w:hint="eastAsia" w:ascii="宋体" w:hAnsi="宋体" w:cs="宋体"/>
                <w:color w:val="auto"/>
                <w:sz w:val="21"/>
                <w:szCs w:val="21"/>
                <w:highlight w:val="none"/>
                <w:lang w:val="en-US" w:eastAsia="zh-CN"/>
              </w:rPr>
              <w:t>较好</w:t>
            </w:r>
            <w:r>
              <w:rPr>
                <w:rFonts w:hint="eastAsia" w:ascii="宋体" w:hAnsi="宋体" w:eastAsia="宋体" w:cs="宋体"/>
                <w:color w:val="auto"/>
                <w:sz w:val="21"/>
                <w:szCs w:val="21"/>
                <w:highlight w:val="none"/>
                <w:lang w:val="en-US" w:eastAsia="zh-CN"/>
              </w:rPr>
              <w:t>、经验水平</w:t>
            </w:r>
            <w:r>
              <w:rPr>
                <w:rFonts w:hint="eastAsia" w:ascii="宋体" w:hAnsi="宋体" w:cs="宋体"/>
                <w:color w:val="auto"/>
                <w:sz w:val="21"/>
                <w:szCs w:val="21"/>
                <w:highlight w:val="none"/>
                <w:lang w:val="en-US" w:eastAsia="zh-CN"/>
              </w:rPr>
              <w:t>较</w:t>
            </w:r>
            <w:r>
              <w:rPr>
                <w:rFonts w:hint="eastAsia" w:ascii="宋体" w:hAnsi="宋体" w:eastAsia="宋体" w:cs="宋体"/>
                <w:color w:val="auto"/>
                <w:sz w:val="21"/>
                <w:szCs w:val="21"/>
                <w:highlight w:val="none"/>
                <w:lang w:val="en-US" w:eastAsia="zh-CN"/>
              </w:rPr>
              <w:t>丰富、服务能力</w:t>
            </w:r>
            <w:r>
              <w:rPr>
                <w:rFonts w:hint="eastAsia" w:ascii="宋体" w:hAnsi="宋体" w:cs="宋体"/>
                <w:color w:val="auto"/>
                <w:sz w:val="21"/>
                <w:szCs w:val="21"/>
                <w:highlight w:val="none"/>
                <w:lang w:val="en-US" w:eastAsia="zh-CN"/>
              </w:rPr>
              <w:t>较</w:t>
            </w:r>
            <w:r>
              <w:rPr>
                <w:rFonts w:hint="eastAsia" w:ascii="宋体" w:hAnsi="宋体" w:eastAsia="宋体" w:cs="宋体"/>
                <w:color w:val="auto"/>
                <w:sz w:val="21"/>
                <w:szCs w:val="21"/>
                <w:highlight w:val="none"/>
                <w:lang w:val="en-US" w:eastAsia="zh-CN"/>
              </w:rPr>
              <w:t>强</w:t>
            </w:r>
            <w:r>
              <w:rPr>
                <w:rFonts w:hint="eastAsia" w:ascii="宋体" w:hAnsi="宋体" w:eastAsia="宋体" w:cs="宋体"/>
                <w:color w:val="auto"/>
                <w:sz w:val="21"/>
                <w:szCs w:val="21"/>
                <w:highlight w:val="none"/>
              </w:rPr>
              <w:t>的得</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项目经理</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资质</w:t>
            </w:r>
            <w:r>
              <w:rPr>
                <w:rFonts w:hint="eastAsia" w:ascii="宋体" w:hAnsi="宋体" w:cs="宋体"/>
                <w:color w:val="auto"/>
                <w:sz w:val="21"/>
                <w:szCs w:val="21"/>
                <w:highlight w:val="none"/>
                <w:lang w:val="en-US" w:eastAsia="zh-CN"/>
              </w:rPr>
              <w:t>一般</w:t>
            </w:r>
            <w:r>
              <w:rPr>
                <w:rFonts w:hint="eastAsia" w:ascii="宋体" w:hAnsi="宋体" w:eastAsia="宋体" w:cs="宋体"/>
                <w:color w:val="auto"/>
                <w:sz w:val="21"/>
                <w:szCs w:val="21"/>
                <w:highlight w:val="none"/>
                <w:lang w:val="en-US" w:eastAsia="zh-CN"/>
              </w:rPr>
              <w:t>、经验一般、服务能力一般</w:t>
            </w:r>
            <w:r>
              <w:rPr>
                <w:rFonts w:hint="eastAsia" w:ascii="宋体" w:hAnsi="宋体" w:eastAsia="宋体" w:cs="宋体"/>
                <w:color w:val="auto"/>
                <w:sz w:val="21"/>
                <w:szCs w:val="21"/>
                <w:highlight w:val="none"/>
              </w:rPr>
              <w:t>的得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无相关内容不得分。</w:t>
            </w:r>
          </w:p>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注：响应文件中须同时提供证书复印件和距开标日近三个月</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rPr>
              <w:t>为其缴纳的社保证明，未提供或提供不全的不得分。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3</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napToGrid/>
                <w:color w:val="auto"/>
                <w:sz w:val="21"/>
                <w:szCs w:val="21"/>
                <w:highlight w:val="none"/>
                <w:lang w:val="en-US"/>
              </w:rPr>
              <w:t>（</w:t>
            </w:r>
            <w:r>
              <w:rPr>
                <w:rFonts w:hint="eastAsia" w:ascii="宋体" w:hAnsi="宋体" w:eastAsia="宋体" w:cs="宋体"/>
                <w:snapToGrid/>
                <w:color w:val="auto"/>
                <w:sz w:val="21"/>
                <w:szCs w:val="21"/>
                <w:highlight w:val="none"/>
                <w:lang w:val="en-US" w:eastAsia="zh-CN"/>
              </w:rPr>
              <w:t>2</w:t>
            </w:r>
            <w:r>
              <w:rPr>
                <w:rFonts w:hint="eastAsia" w:ascii="宋体" w:hAnsi="宋体" w:eastAsia="宋体" w:cs="宋体"/>
                <w:snapToGrid/>
                <w:color w:val="auto"/>
                <w:sz w:val="21"/>
                <w:szCs w:val="21"/>
                <w:highlight w:val="none"/>
                <w:lang w:val="en-US"/>
              </w:rPr>
              <w:t>）供应商拟投入本项目团队成员中</w:t>
            </w:r>
            <w:r>
              <w:rPr>
                <w:rFonts w:hint="eastAsia" w:ascii="宋体" w:hAnsi="宋体" w:cs="宋体"/>
                <w:snapToGrid/>
                <w:color w:val="auto"/>
                <w:sz w:val="21"/>
                <w:szCs w:val="21"/>
                <w:highlight w:val="none"/>
                <w:lang w:val="en-US" w:eastAsia="zh-CN"/>
              </w:rPr>
              <w:t>（除项目经理外）</w:t>
            </w:r>
            <w:r>
              <w:rPr>
                <w:rFonts w:hint="eastAsia" w:ascii="宋体" w:hAnsi="宋体" w:eastAsia="宋体" w:cs="宋体"/>
                <w:snapToGrid/>
                <w:color w:val="auto"/>
                <w:sz w:val="21"/>
                <w:szCs w:val="21"/>
                <w:highlight w:val="none"/>
                <w:lang w:val="en-US"/>
              </w:rPr>
              <w:t>具有</w:t>
            </w:r>
            <w:r>
              <w:rPr>
                <w:rFonts w:hint="eastAsia" w:ascii="宋体" w:hAnsi="宋体" w:eastAsia="宋体" w:cs="宋体"/>
                <w:snapToGrid/>
                <w:color w:val="auto"/>
                <w:sz w:val="21"/>
                <w:szCs w:val="21"/>
                <w:highlight w:val="none"/>
                <w:lang w:val="en-US" w:eastAsia="zh-CN"/>
              </w:rPr>
              <w:t>电气工程师</w:t>
            </w:r>
            <w:r>
              <w:rPr>
                <w:rFonts w:hint="eastAsia" w:ascii="宋体" w:hAnsi="宋体" w:cs="宋体"/>
                <w:snapToGrid/>
                <w:color w:val="auto"/>
                <w:sz w:val="21"/>
                <w:szCs w:val="21"/>
                <w:highlight w:val="none"/>
                <w:lang w:val="en-US" w:eastAsia="zh-CN"/>
              </w:rPr>
              <w:t>的</w:t>
            </w:r>
            <w:r>
              <w:rPr>
                <w:rFonts w:hint="eastAsia" w:ascii="宋体" w:hAnsi="宋体" w:eastAsia="宋体" w:cs="宋体"/>
                <w:snapToGrid/>
                <w:color w:val="auto"/>
                <w:sz w:val="21"/>
                <w:szCs w:val="21"/>
                <w:highlight w:val="none"/>
                <w:lang w:val="en-US" w:eastAsia="zh-CN"/>
              </w:rPr>
              <w:t>；每具有一</w:t>
            </w:r>
            <w:r>
              <w:rPr>
                <w:rFonts w:hint="eastAsia" w:ascii="宋体" w:hAnsi="宋体" w:cs="宋体"/>
                <w:snapToGrid/>
                <w:color w:val="auto"/>
                <w:sz w:val="21"/>
                <w:szCs w:val="21"/>
                <w:highlight w:val="none"/>
                <w:lang w:val="en-US" w:eastAsia="zh-CN"/>
              </w:rPr>
              <w:t>人</w:t>
            </w:r>
            <w:r>
              <w:rPr>
                <w:rFonts w:hint="eastAsia" w:ascii="宋体" w:hAnsi="宋体" w:eastAsia="宋体" w:cs="宋体"/>
                <w:snapToGrid/>
                <w:color w:val="auto"/>
                <w:sz w:val="21"/>
                <w:szCs w:val="21"/>
                <w:highlight w:val="none"/>
                <w:lang w:val="en-US" w:eastAsia="zh-CN"/>
              </w:rPr>
              <w:t>得</w:t>
            </w:r>
            <w:r>
              <w:rPr>
                <w:rFonts w:hint="eastAsia" w:ascii="宋体" w:hAnsi="宋体" w:cs="宋体"/>
                <w:snapToGrid/>
                <w:color w:val="auto"/>
                <w:sz w:val="21"/>
                <w:szCs w:val="21"/>
                <w:highlight w:val="none"/>
                <w:lang w:val="en-US" w:eastAsia="zh-CN"/>
              </w:rPr>
              <w:t>2</w:t>
            </w:r>
            <w:r>
              <w:rPr>
                <w:rFonts w:hint="eastAsia" w:ascii="宋体" w:hAnsi="宋体" w:eastAsia="宋体" w:cs="宋体"/>
                <w:snapToGrid/>
                <w:color w:val="auto"/>
                <w:sz w:val="21"/>
                <w:szCs w:val="21"/>
                <w:highlight w:val="none"/>
                <w:lang w:val="en-US" w:eastAsia="zh-CN"/>
              </w:rPr>
              <w:t>分，本项最高得</w:t>
            </w:r>
            <w:r>
              <w:rPr>
                <w:rFonts w:hint="eastAsia" w:ascii="宋体" w:hAnsi="宋体" w:cs="宋体"/>
                <w:snapToGrid/>
                <w:color w:val="auto"/>
                <w:sz w:val="21"/>
                <w:szCs w:val="21"/>
                <w:highlight w:val="none"/>
                <w:lang w:val="en-US" w:eastAsia="zh-CN"/>
              </w:rPr>
              <w:t>2</w:t>
            </w:r>
            <w:r>
              <w:rPr>
                <w:rFonts w:hint="eastAsia" w:ascii="宋体" w:hAnsi="宋体" w:eastAsia="宋体" w:cs="宋体"/>
                <w:snapToGrid/>
                <w:color w:val="auto"/>
                <w:sz w:val="21"/>
                <w:szCs w:val="21"/>
                <w:highlight w:val="none"/>
                <w:lang w:val="en-US" w:eastAsia="zh-CN"/>
              </w:rPr>
              <w:t>分。</w:t>
            </w:r>
          </w:p>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注：响应文件中须同时提供证书复印件和距开标日近三个月</w:t>
            </w: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 xml:space="preserve">为其缴纳的社保证明，未提供或提供不全的不得分。   </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）根据供应商提供的针对本项目的人员</w:t>
            </w:r>
            <w:r>
              <w:rPr>
                <w:rFonts w:hint="eastAsia" w:ascii="宋体" w:hAnsi="宋体" w:cs="宋体"/>
                <w:color w:val="auto"/>
                <w:sz w:val="21"/>
                <w:szCs w:val="21"/>
                <w:highlight w:val="none"/>
                <w:lang w:val="en-US" w:eastAsia="zh-CN"/>
              </w:rPr>
              <w:t>架构</w:t>
            </w:r>
            <w:r>
              <w:rPr>
                <w:rFonts w:hint="eastAsia" w:ascii="宋体" w:hAnsi="宋体" w:eastAsia="宋体" w:cs="宋体"/>
                <w:color w:val="auto"/>
                <w:sz w:val="21"/>
                <w:szCs w:val="21"/>
                <w:highlight w:val="none"/>
              </w:rPr>
              <w:t>方案：人员层级管理以及组织架构等内容进行评议。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方案内容详尽可行且合理的得</w:t>
            </w:r>
            <w:r>
              <w:rPr>
                <w:rFonts w:hint="eastAsia" w:ascii="宋体" w:hAnsi="宋体" w:cs="宋体"/>
                <w:color w:val="auto"/>
                <w:sz w:val="21"/>
                <w:szCs w:val="21"/>
                <w:highlight w:val="none"/>
                <w:lang w:val="en-US" w:eastAsia="zh-CN"/>
              </w:rPr>
              <w:t>4.5</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w:t>
            </w:r>
            <w:r>
              <w:rPr>
                <w:rFonts w:hint="eastAsia" w:ascii="宋体" w:hAnsi="宋体" w:cs="宋体"/>
                <w:color w:val="auto"/>
                <w:sz w:val="21"/>
                <w:szCs w:val="21"/>
                <w:highlight w:val="none"/>
                <w:lang w:val="en-US" w:eastAsia="zh-CN"/>
              </w:rPr>
              <w:t>较详尽</w:t>
            </w:r>
            <w:r>
              <w:rPr>
                <w:rFonts w:hint="eastAsia" w:ascii="宋体" w:hAnsi="宋体" w:eastAsia="宋体" w:cs="宋体"/>
                <w:color w:val="auto"/>
                <w:sz w:val="21"/>
                <w:szCs w:val="21"/>
                <w:highlight w:val="none"/>
              </w:rPr>
              <w:t>且</w:t>
            </w:r>
            <w:r>
              <w:rPr>
                <w:rFonts w:hint="eastAsia" w:ascii="宋体" w:hAnsi="宋体" w:cs="宋体"/>
                <w:color w:val="auto"/>
                <w:sz w:val="21"/>
                <w:szCs w:val="21"/>
                <w:highlight w:val="none"/>
                <w:lang w:val="en-US" w:eastAsia="zh-CN"/>
              </w:rPr>
              <w:t>较</w:t>
            </w:r>
            <w:r>
              <w:rPr>
                <w:rFonts w:hint="eastAsia" w:ascii="宋体" w:hAnsi="宋体" w:eastAsia="宋体" w:cs="宋体"/>
                <w:color w:val="auto"/>
                <w:sz w:val="21"/>
                <w:szCs w:val="21"/>
                <w:highlight w:val="none"/>
              </w:rPr>
              <w:t>合理的得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方案内容简单基本可行且基本合理的得1分；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4.5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）根据供应商提供的针对本项目的人员管理方案：人员考核方案、人员管理规范等内容进行评议。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方案内容详尽可行且合理的得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w:t>
            </w:r>
            <w:r>
              <w:rPr>
                <w:rFonts w:hint="eastAsia" w:ascii="宋体" w:hAnsi="宋体" w:cs="宋体"/>
                <w:color w:val="auto"/>
                <w:sz w:val="21"/>
                <w:szCs w:val="21"/>
                <w:highlight w:val="none"/>
                <w:lang w:val="en-US" w:eastAsia="zh-CN"/>
              </w:rPr>
              <w:t>较详尽</w:t>
            </w:r>
            <w:r>
              <w:rPr>
                <w:rFonts w:hint="eastAsia" w:ascii="宋体" w:hAnsi="宋体" w:eastAsia="宋体" w:cs="宋体"/>
                <w:color w:val="auto"/>
                <w:sz w:val="21"/>
                <w:szCs w:val="21"/>
                <w:highlight w:val="none"/>
              </w:rPr>
              <w:t>且</w:t>
            </w:r>
            <w:r>
              <w:rPr>
                <w:rFonts w:hint="eastAsia" w:ascii="宋体" w:hAnsi="宋体" w:cs="宋体"/>
                <w:color w:val="auto"/>
                <w:sz w:val="21"/>
                <w:szCs w:val="21"/>
                <w:highlight w:val="none"/>
                <w:lang w:val="en-US" w:eastAsia="zh-CN"/>
              </w:rPr>
              <w:t>较</w:t>
            </w:r>
            <w:r>
              <w:rPr>
                <w:rFonts w:hint="eastAsia" w:ascii="宋体" w:hAnsi="宋体" w:eastAsia="宋体" w:cs="宋体"/>
                <w:color w:val="auto"/>
                <w:sz w:val="21"/>
                <w:szCs w:val="21"/>
                <w:highlight w:val="none"/>
              </w:rPr>
              <w:t>合理的得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方案内容简单基本可行且基本合理的得1分；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leftChars="0" w:hanging="42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restart"/>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lang w:val="zh-CN"/>
              </w:rPr>
              <w:t>整体方案（</w:t>
            </w:r>
            <w:r>
              <w:rPr>
                <w:rFonts w:hint="eastAsia" w:ascii="宋体" w:hAnsi="宋体" w:cs="宋体"/>
                <w:bCs/>
                <w:color w:val="auto"/>
                <w:sz w:val="21"/>
                <w:szCs w:val="21"/>
                <w:highlight w:val="none"/>
                <w:lang w:val="en-US" w:eastAsia="zh-CN"/>
              </w:rPr>
              <w:t>55</w:t>
            </w:r>
            <w:r>
              <w:rPr>
                <w:rFonts w:hint="eastAsia" w:ascii="宋体" w:hAnsi="宋体" w:eastAsia="宋体" w:cs="宋体"/>
                <w:bCs/>
                <w:color w:val="auto"/>
                <w:sz w:val="21"/>
                <w:szCs w:val="21"/>
                <w:highlight w:val="none"/>
              </w:rPr>
              <w:t>分）</w:t>
            </w: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zh-CN"/>
              </w:rPr>
              <w:t>根据供应商针对本项目的组织方案（</w:t>
            </w:r>
            <w:r>
              <w:rPr>
                <w:rFonts w:hint="eastAsia" w:ascii="宋体" w:hAnsi="宋体" w:eastAsia="宋体" w:cs="宋体"/>
                <w:color w:val="auto"/>
                <w:sz w:val="21"/>
                <w:szCs w:val="21"/>
                <w:highlight w:val="none"/>
              </w:rPr>
              <w:t>组织管理结构、现场布置、管理运作流程等内容</w:t>
            </w:r>
            <w:r>
              <w:rPr>
                <w:rFonts w:hint="eastAsia" w:ascii="宋体" w:hAnsi="宋体" w:eastAsia="宋体" w:cs="宋体"/>
                <w:bCs/>
                <w:color w:val="auto"/>
                <w:sz w:val="21"/>
                <w:szCs w:val="21"/>
                <w:highlight w:val="none"/>
                <w:lang w:val="zh-CN"/>
              </w:rPr>
              <w:t>）进行评议。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组织方案</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组织方案</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组织方案</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组织方案</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lang w:val="zh-CN"/>
              </w:rPr>
              <w:t>（</w:t>
            </w:r>
            <w:r>
              <w:rPr>
                <w:rFonts w:hint="eastAsia"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lang w:val="zh-CN"/>
              </w:rPr>
              <w:t>）根据供应商针对本项目的质量保证、进度安排</w:t>
            </w:r>
            <w:r>
              <w:rPr>
                <w:rFonts w:hint="eastAsia" w:ascii="宋体" w:hAnsi="宋体" w:eastAsia="宋体" w:cs="宋体"/>
                <w:bCs/>
                <w:color w:val="auto"/>
                <w:sz w:val="21"/>
                <w:szCs w:val="21"/>
                <w:highlight w:val="none"/>
              </w:rPr>
              <w:t>及保障</w:t>
            </w:r>
            <w:r>
              <w:rPr>
                <w:rFonts w:hint="eastAsia" w:ascii="宋体" w:hAnsi="宋体" w:eastAsia="宋体" w:cs="宋体"/>
                <w:bCs/>
                <w:color w:val="auto"/>
                <w:sz w:val="21"/>
                <w:szCs w:val="21"/>
                <w:highlight w:val="none"/>
                <w:lang w:val="zh-CN"/>
              </w:rPr>
              <w:t>等措施进行评议。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eastAsia="宋体" w:cs="宋体"/>
                <w:bCs/>
                <w:color w:val="auto"/>
                <w:sz w:val="21"/>
                <w:szCs w:val="21"/>
                <w:highlight w:val="none"/>
                <w:lang w:val="zh-CN"/>
              </w:rPr>
              <w:t>根据供应商针对本项目的工作内容和特点（</w:t>
            </w:r>
            <w:r>
              <w:rPr>
                <w:rFonts w:hint="eastAsia" w:ascii="宋体" w:hAnsi="宋体" w:cs="宋体"/>
                <w:bCs/>
                <w:color w:val="auto"/>
                <w:sz w:val="21"/>
                <w:szCs w:val="21"/>
                <w:highlight w:val="none"/>
                <w:lang w:val="en-US" w:eastAsia="zh-CN"/>
              </w:rPr>
              <w:t>医疗机构</w:t>
            </w:r>
            <w:r>
              <w:rPr>
                <w:rFonts w:hint="eastAsia" w:ascii="宋体" w:hAnsi="宋体" w:eastAsia="宋体" w:cs="宋体"/>
                <w:bCs/>
                <w:color w:val="auto"/>
                <w:sz w:val="21"/>
                <w:szCs w:val="21"/>
                <w:highlight w:val="none"/>
                <w:lang w:val="zh-CN"/>
              </w:rPr>
              <w:t>），能否根据行业标准，采取有效的</w:t>
            </w:r>
            <w:r>
              <w:rPr>
                <w:rFonts w:hint="eastAsia" w:ascii="宋体" w:hAnsi="宋体" w:cs="宋体"/>
                <w:bCs/>
                <w:color w:val="auto"/>
                <w:sz w:val="21"/>
                <w:szCs w:val="21"/>
                <w:highlight w:val="none"/>
                <w:lang w:val="en-US" w:eastAsia="zh-CN"/>
              </w:rPr>
              <w:t>施工保护</w:t>
            </w:r>
            <w:r>
              <w:rPr>
                <w:rFonts w:hint="eastAsia" w:ascii="宋体" w:hAnsi="宋体" w:eastAsia="宋体" w:cs="宋体"/>
                <w:bCs/>
                <w:color w:val="auto"/>
                <w:sz w:val="21"/>
                <w:szCs w:val="21"/>
                <w:highlight w:val="none"/>
              </w:rPr>
              <w:t>措施</w:t>
            </w:r>
            <w:r>
              <w:rPr>
                <w:rFonts w:hint="eastAsia" w:ascii="宋体" w:hAnsi="宋体" w:eastAsia="宋体" w:cs="宋体"/>
                <w:bCs/>
                <w:color w:val="auto"/>
                <w:sz w:val="21"/>
                <w:szCs w:val="21"/>
                <w:highlight w:val="none"/>
                <w:lang w:val="zh-CN"/>
              </w:rPr>
              <w:t>，</w:t>
            </w:r>
            <w:r>
              <w:rPr>
                <w:rFonts w:hint="eastAsia" w:ascii="宋体" w:hAnsi="宋体" w:eastAsia="宋体" w:cs="宋体"/>
                <w:bCs/>
                <w:color w:val="auto"/>
                <w:sz w:val="21"/>
                <w:szCs w:val="21"/>
                <w:highlight w:val="none"/>
              </w:rPr>
              <w:t>保证</w:t>
            </w:r>
            <w:r>
              <w:rPr>
                <w:rFonts w:hint="eastAsia" w:ascii="宋体" w:hAnsi="宋体" w:cs="宋体"/>
                <w:bCs/>
                <w:color w:val="auto"/>
                <w:sz w:val="21"/>
                <w:szCs w:val="21"/>
                <w:highlight w:val="none"/>
                <w:lang w:val="en-US" w:eastAsia="zh-CN"/>
              </w:rPr>
              <w:t>医疗机构工作</w:t>
            </w:r>
            <w:r>
              <w:rPr>
                <w:rFonts w:hint="eastAsia" w:ascii="宋体" w:hAnsi="宋体" w:eastAsia="宋体" w:cs="宋体"/>
                <w:bCs/>
                <w:color w:val="auto"/>
                <w:sz w:val="21"/>
                <w:szCs w:val="21"/>
                <w:highlight w:val="none"/>
              </w:rPr>
              <w:t>不受消极影响或伤害</w:t>
            </w:r>
            <w:r>
              <w:rPr>
                <w:rFonts w:hint="eastAsia" w:ascii="宋体" w:hAnsi="宋体" w:eastAsia="宋体" w:cs="宋体"/>
                <w:bCs/>
                <w:color w:val="auto"/>
                <w:sz w:val="21"/>
                <w:szCs w:val="21"/>
                <w:highlight w:val="none"/>
                <w:lang w:val="zh-CN"/>
              </w:rPr>
              <w:t>的</w:t>
            </w:r>
            <w:r>
              <w:rPr>
                <w:rFonts w:hint="eastAsia" w:ascii="宋体" w:hAnsi="宋体" w:eastAsia="宋体" w:cs="宋体"/>
                <w:bCs/>
                <w:color w:val="auto"/>
                <w:sz w:val="21"/>
                <w:szCs w:val="21"/>
                <w:highlight w:val="none"/>
              </w:rPr>
              <w:t>情况进行评议。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top"/>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（4）根据供应商提供的就</w:t>
            </w:r>
            <w:r>
              <w:rPr>
                <w:rFonts w:hint="eastAsia" w:ascii="宋体" w:hAnsi="宋体" w:eastAsia="宋体" w:cs="宋体"/>
                <w:bCs/>
                <w:color w:val="auto"/>
                <w:sz w:val="21"/>
                <w:szCs w:val="21"/>
                <w:highlight w:val="none"/>
                <w:lang w:val="en-US" w:eastAsia="zh-CN"/>
              </w:rPr>
              <w:t>电气改造</w:t>
            </w:r>
            <w:r>
              <w:rPr>
                <w:rFonts w:hint="eastAsia" w:ascii="宋体" w:hAnsi="宋体" w:eastAsia="宋体" w:cs="宋体"/>
                <w:bCs/>
                <w:color w:val="auto"/>
                <w:sz w:val="21"/>
                <w:szCs w:val="21"/>
                <w:highlight w:val="none"/>
              </w:rPr>
              <w:t>、现场管理等措施（体现出对本项目各方面有充分了解和有价值的实施措施）进行评议。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leftChars="0" w:hanging="42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top"/>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rPr>
              <w:t>）根据供应商提供的就</w:t>
            </w:r>
            <w:r>
              <w:rPr>
                <w:rFonts w:hint="eastAsia" w:ascii="宋体" w:hAnsi="宋体" w:eastAsia="宋体" w:cs="宋体"/>
                <w:bCs/>
                <w:color w:val="auto"/>
                <w:sz w:val="21"/>
                <w:szCs w:val="21"/>
                <w:highlight w:val="none"/>
                <w:lang w:val="en-US" w:eastAsia="zh-CN"/>
              </w:rPr>
              <w:t>给排水改造</w:t>
            </w:r>
            <w:r>
              <w:rPr>
                <w:rFonts w:hint="eastAsia" w:ascii="宋体" w:hAnsi="宋体" w:eastAsia="宋体" w:cs="宋体"/>
                <w:bCs/>
                <w:color w:val="auto"/>
                <w:sz w:val="21"/>
                <w:szCs w:val="21"/>
                <w:highlight w:val="none"/>
              </w:rPr>
              <w:t>、现场管理等措施（体现出对本项目各方面有充分了解和有价值的实施措施）进行评议。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leftChars="0" w:hanging="42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top"/>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6</w:t>
            </w:r>
            <w:r>
              <w:rPr>
                <w:rFonts w:hint="eastAsia" w:ascii="宋体" w:hAnsi="宋体" w:eastAsia="宋体" w:cs="宋体"/>
                <w:bCs/>
                <w:color w:val="auto"/>
                <w:sz w:val="21"/>
                <w:szCs w:val="21"/>
                <w:highlight w:val="none"/>
              </w:rPr>
              <w:t>）根据供应商提供的就</w:t>
            </w:r>
            <w:r>
              <w:rPr>
                <w:rFonts w:hint="eastAsia" w:ascii="宋体" w:hAnsi="宋体" w:eastAsia="宋体" w:cs="宋体"/>
                <w:bCs/>
                <w:color w:val="auto"/>
                <w:sz w:val="21"/>
                <w:szCs w:val="21"/>
                <w:highlight w:val="none"/>
                <w:lang w:val="en-US" w:eastAsia="zh-CN"/>
              </w:rPr>
              <w:t>装修改造</w:t>
            </w:r>
            <w:r>
              <w:rPr>
                <w:rFonts w:hint="eastAsia" w:ascii="宋体" w:hAnsi="宋体" w:eastAsia="宋体" w:cs="宋体"/>
                <w:bCs/>
                <w:color w:val="auto"/>
                <w:sz w:val="21"/>
                <w:szCs w:val="21"/>
                <w:highlight w:val="none"/>
              </w:rPr>
              <w:t>、现场管理等措施（体现出对本项目各方面有充分了解和有价值的实施措施）进行评议。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leftChars="0" w:hanging="42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r>
              <w:rPr>
                <w:rFonts w:hint="eastAsia" w:ascii="宋体" w:hAnsi="宋体" w:cs="宋体"/>
                <w:bCs/>
                <w:color w:val="auto"/>
                <w:sz w:val="21"/>
                <w:szCs w:val="21"/>
                <w:highlight w:val="none"/>
                <w:lang w:val="en-US" w:eastAsia="zh-CN"/>
              </w:rPr>
              <w:t>7</w:t>
            </w:r>
            <w:r>
              <w:rPr>
                <w:rFonts w:hint="eastAsia" w:ascii="宋体" w:hAnsi="宋体" w:eastAsia="宋体" w:cs="宋体"/>
                <w:bCs/>
                <w:color w:val="auto"/>
                <w:sz w:val="21"/>
                <w:szCs w:val="21"/>
                <w:highlight w:val="none"/>
              </w:rPr>
              <w:t>）根据供应商提供的就</w:t>
            </w:r>
            <w:r>
              <w:rPr>
                <w:rFonts w:hint="eastAsia" w:ascii="宋体" w:hAnsi="宋体" w:cs="宋体"/>
                <w:bCs/>
                <w:color w:val="auto"/>
                <w:sz w:val="21"/>
                <w:szCs w:val="21"/>
                <w:highlight w:val="none"/>
                <w:lang w:val="en-US" w:eastAsia="zh-CN"/>
              </w:rPr>
              <w:t>信息化项目</w:t>
            </w:r>
            <w:r>
              <w:rPr>
                <w:rFonts w:hint="eastAsia" w:ascii="宋体" w:hAnsi="宋体" w:eastAsia="宋体" w:cs="宋体"/>
                <w:bCs/>
                <w:color w:val="auto"/>
                <w:sz w:val="21"/>
                <w:szCs w:val="21"/>
                <w:highlight w:val="none"/>
              </w:rPr>
              <w:t>安装、现场管理等措施（体现出对本项目各方面有充分了解和有价值的实施措施）进行评议。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lang w:val="zh-CN"/>
              </w:rPr>
            </w:pPr>
            <w:r>
              <w:rPr>
                <w:rFonts w:hint="eastAsia" w:ascii="宋体" w:hAnsi="宋体" w:eastAsia="宋体" w:cs="宋体"/>
                <w:bCs/>
                <w:color w:val="auto"/>
                <w:sz w:val="21"/>
                <w:szCs w:val="21"/>
                <w:highlight w:val="none"/>
              </w:rPr>
              <w:t>（</w:t>
            </w:r>
            <w:r>
              <w:rPr>
                <w:rFonts w:hint="eastAsia" w:ascii="宋体" w:hAnsi="宋体" w:cs="宋体"/>
                <w:bCs/>
                <w:color w:val="auto"/>
                <w:sz w:val="21"/>
                <w:szCs w:val="21"/>
                <w:highlight w:val="none"/>
                <w:lang w:val="en-US" w:eastAsia="zh-CN"/>
              </w:rPr>
              <w:t>8</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zh-CN"/>
              </w:rPr>
              <w:t>根据供应商针对本项目的</w:t>
            </w:r>
            <w:r>
              <w:rPr>
                <w:rFonts w:hint="eastAsia" w:ascii="宋体" w:hAnsi="宋体" w:eastAsia="宋体" w:cs="宋体"/>
                <w:bCs/>
                <w:color w:val="auto"/>
                <w:sz w:val="21"/>
                <w:szCs w:val="21"/>
                <w:highlight w:val="none"/>
              </w:rPr>
              <w:t>服务保障体系、</w:t>
            </w:r>
            <w:r>
              <w:rPr>
                <w:rFonts w:hint="eastAsia" w:ascii="宋体" w:hAnsi="宋体" w:eastAsia="宋体" w:cs="宋体"/>
                <w:color w:val="auto"/>
                <w:sz w:val="21"/>
                <w:szCs w:val="21"/>
                <w:highlight w:val="none"/>
              </w:rPr>
              <w:t>施工质量检测鉴定、技术操作规程等措施内</w:t>
            </w:r>
            <w:r>
              <w:rPr>
                <w:rFonts w:hint="eastAsia" w:ascii="宋体" w:hAnsi="宋体" w:eastAsia="宋体" w:cs="宋体"/>
                <w:bCs/>
                <w:color w:val="auto"/>
                <w:sz w:val="21"/>
                <w:szCs w:val="21"/>
                <w:highlight w:val="none"/>
              </w:rPr>
              <w:t>容</w:t>
            </w:r>
            <w:r>
              <w:rPr>
                <w:rFonts w:hint="eastAsia" w:ascii="宋体" w:hAnsi="宋体" w:eastAsia="宋体" w:cs="宋体"/>
                <w:bCs/>
                <w:color w:val="auto"/>
                <w:sz w:val="21"/>
                <w:szCs w:val="21"/>
                <w:highlight w:val="none"/>
                <w:lang w:val="zh-CN"/>
              </w:rPr>
              <w:t>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完全适应本项目，内容详尽可行且合理的得</w:t>
            </w:r>
            <w:r>
              <w:rPr>
                <w:rFonts w:hint="eastAsia" w:ascii="宋体" w:hAnsi="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lang w:val="zh-CN"/>
              </w:rPr>
              <w:t>措施</w:t>
            </w:r>
            <w:r>
              <w:rPr>
                <w:rFonts w:hint="eastAsia" w:ascii="宋体" w:hAnsi="宋体" w:eastAsia="宋体" w:cs="宋体"/>
                <w:color w:val="auto"/>
                <w:kern w:val="0"/>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zh-CN"/>
              </w:rPr>
              <w:t>根据供应商针对本项目的安全生产、文明施工的安排、技术和组织管理措施等内容进行评议。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措施</w:t>
            </w:r>
            <w:r>
              <w:rPr>
                <w:rFonts w:hint="eastAsia" w:ascii="宋体" w:hAnsi="宋体" w:eastAsia="宋体" w:cs="宋体"/>
                <w:color w:val="auto"/>
                <w:sz w:val="21"/>
                <w:szCs w:val="21"/>
                <w:highlight w:val="none"/>
              </w:rPr>
              <w:t>完全适应本项目，内容详尽可行且合理的得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措施</w:t>
            </w:r>
            <w:r>
              <w:rPr>
                <w:rFonts w:hint="eastAsia" w:ascii="宋体" w:hAnsi="宋体" w:eastAsia="宋体" w:cs="宋体"/>
                <w:color w:val="auto"/>
                <w:sz w:val="21"/>
                <w:szCs w:val="21"/>
                <w:highlight w:val="none"/>
              </w:rPr>
              <w:t>较适应本项目，内容较详尽可行且较合理的得3分；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措施</w:t>
            </w:r>
            <w:r>
              <w:rPr>
                <w:rFonts w:hint="eastAsia" w:ascii="宋体" w:hAnsi="宋体" w:eastAsia="宋体" w:cs="宋体"/>
                <w:color w:val="auto"/>
                <w:sz w:val="21"/>
                <w:szCs w:val="21"/>
                <w:highlight w:val="none"/>
              </w:rPr>
              <w:t>基本适应本项目，内容简单基本可行且基本合理的得2分；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措施</w:t>
            </w:r>
            <w:r>
              <w:rPr>
                <w:rFonts w:hint="eastAsia" w:ascii="宋体" w:hAnsi="宋体" w:eastAsia="宋体" w:cs="宋体"/>
                <w:color w:val="auto"/>
                <w:sz w:val="21"/>
                <w:szCs w:val="21"/>
                <w:highlight w:val="none"/>
              </w:rPr>
              <w:t>欠适应本项目，内容欠完整欠可行且欠合理的得1分；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jc w:val="left"/>
              <w:textAlignment w:val="auto"/>
              <w:rPr>
                <w:rFonts w:hint="eastAsia" w:ascii="宋体" w:hAnsi="宋体" w:eastAsia="宋体" w:cs="宋体"/>
                <w:bCs/>
                <w:color w:val="auto"/>
                <w:sz w:val="21"/>
                <w:szCs w:val="21"/>
                <w:highlight w:val="none"/>
                <w:lang w:val="zh-CN"/>
              </w:rPr>
            </w:pP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w:t>
            </w:r>
            <w:r>
              <w:rPr>
                <w:rFonts w:hint="eastAsia" w:ascii="宋体" w:hAnsi="宋体" w:eastAsia="宋体" w:cs="宋体"/>
                <w:bCs/>
                <w:color w:val="auto"/>
                <w:sz w:val="21"/>
                <w:szCs w:val="21"/>
                <w:highlight w:val="none"/>
                <w:lang w:val="zh-CN"/>
              </w:rPr>
              <w:t>根据供应商针对本项目</w:t>
            </w:r>
            <w:r>
              <w:rPr>
                <w:rFonts w:hint="eastAsia" w:ascii="宋体" w:hAnsi="宋体" w:eastAsia="宋体" w:cs="宋体"/>
                <w:bCs/>
                <w:color w:val="auto"/>
                <w:sz w:val="21"/>
                <w:szCs w:val="21"/>
                <w:highlight w:val="none"/>
              </w:rPr>
              <w:t>拟投入的</w:t>
            </w:r>
            <w:r>
              <w:rPr>
                <w:rFonts w:hint="eastAsia" w:ascii="宋体" w:hAnsi="宋体" w:eastAsia="宋体" w:cs="宋体"/>
                <w:color w:val="auto"/>
                <w:kern w:val="0"/>
                <w:sz w:val="21"/>
                <w:szCs w:val="21"/>
                <w:highlight w:val="none"/>
              </w:rPr>
              <w:t>主要施工机械设备的选用和布置</w:t>
            </w:r>
            <w:r>
              <w:rPr>
                <w:rFonts w:hint="eastAsia" w:ascii="宋体" w:hAnsi="宋体" w:eastAsia="宋体" w:cs="宋体"/>
                <w:bCs/>
                <w:color w:val="auto"/>
                <w:sz w:val="21"/>
                <w:szCs w:val="21"/>
                <w:highlight w:val="none"/>
                <w:lang w:val="zh-CN"/>
              </w:rPr>
              <w:t>等内容进行评议。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设备投入符合项目特征、种类齐全，布置方案完善且合理可行的得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设备投入较符合项目特征、种类较齐全，布置方案较完善且较合理可行的得3分；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设备投入基本符合项目特征、种类稍齐全，布置方案稍完善且稍合理可行的得2分；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设备投入欠符合项目特征、种类欠齐全，布置方案欠完善且欠合理可行的得1分；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）根据供应商提供的针对本项目制定的</w:t>
            </w:r>
            <w:r>
              <w:rPr>
                <w:rFonts w:hint="eastAsia" w:ascii="宋体" w:hAnsi="宋体" w:eastAsia="宋体" w:cs="宋体"/>
                <w:snapToGrid w:val="0"/>
                <w:color w:val="auto"/>
                <w:spacing w:val="-4"/>
                <w:sz w:val="21"/>
                <w:szCs w:val="21"/>
                <w:highlight w:val="none"/>
              </w:rPr>
              <w:t>应急处理方案</w:t>
            </w:r>
            <w:r>
              <w:rPr>
                <w:rFonts w:hint="eastAsia" w:ascii="宋体" w:hAnsi="宋体" w:eastAsia="宋体" w:cs="宋体"/>
                <w:color w:val="auto"/>
                <w:sz w:val="21"/>
                <w:szCs w:val="21"/>
                <w:highlight w:val="none"/>
              </w:rPr>
              <w:t>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spacing w:val="-4"/>
                <w:sz w:val="21"/>
                <w:szCs w:val="21"/>
                <w:highlight w:val="none"/>
              </w:rPr>
              <w:t>方案</w:t>
            </w:r>
            <w:r>
              <w:rPr>
                <w:rFonts w:hint="eastAsia" w:ascii="宋体" w:hAnsi="宋体" w:eastAsia="宋体" w:cs="宋体"/>
                <w:color w:val="auto"/>
                <w:sz w:val="21"/>
                <w:szCs w:val="21"/>
                <w:highlight w:val="none"/>
              </w:rPr>
              <w:t>内容详尽可行且合理的得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spacing w:val="-4"/>
                <w:sz w:val="21"/>
                <w:szCs w:val="21"/>
                <w:highlight w:val="none"/>
              </w:rPr>
              <w:t>方案</w:t>
            </w:r>
            <w:r>
              <w:rPr>
                <w:rFonts w:hint="eastAsia" w:ascii="宋体" w:hAnsi="宋体" w:eastAsia="宋体" w:cs="宋体"/>
                <w:color w:val="auto"/>
                <w:sz w:val="21"/>
                <w:szCs w:val="21"/>
                <w:highlight w:val="none"/>
              </w:rPr>
              <w:t>内容较详尽可行且较合理的得3分；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spacing w:val="-4"/>
                <w:sz w:val="21"/>
                <w:szCs w:val="21"/>
                <w:highlight w:val="none"/>
              </w:rPr>
              <w:t>方案</w:t>
            </w:r>
            <w:r>
              <w:rPr>
                <w:rFonts w:hint="eastAsia" w:ascii="宋体" w:hAnsi="宋体" w:eastAsia="宋体" w:cs="宋体"/>
                <w:color w:val="auto"/>
                <w:sz w:val="21"/>
                <w:szCs w:val="21"/>
                <w:highlight w:val="none"/>
              </w:rPr>
              <w:t>内容简单基本可行且基本合理的得2分；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spacing w:val="-4"/>
                <w:sz w:val="21"/>
                <w:szCs w:val="21"/>
                <w:highlight w:val="none"/>
              </w:rPr>
              <w:t>方案</w:t>
            </w:r>
            <w:r>
              <w:rPr>
                <w:rFonts w:hint="eastAsia" w:ascii="宋体" w:hAnsi="宋体" w:eastAsia="宋体" w:cs="宋体"/>
                <w:color w:val="auto"/>
                <w:sz w:val="21"/>
                <w:szCs w:val="21"/>
                <w:highlight w:val="none"/>
              </w:rPr>
              <w:t>内容欠完整欠可行且欠合理的得1分；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restart"/>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rPr>
              <w:t>、重难点分析及相应解决方案（10分）</w:t>
            </w:r>
          </w:p>
        </w:tc>
        <w:tc>
          <w:tcPr>
            <w:tcW w:w="6286" w:type="dxa"/>
            <w:shd w:val="clear" w:color="auto" w:fill="auto"/>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（1）根据供应商针对本项目的难点、重点问题的调查剖析、预测以及可能造成的影响等情况进行评议。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完全适应本项目，内容详尽可行且合理的得5分；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较适应本项目，内容较详尽可行且较合理的得4分；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基本适应本项目，内容简单基本可行且基本合理的得3分；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不适应本项目，内容不完整不可行且不合理的得2分；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bCs/>
                <w:color w:val="auto"/>
                <w:sz w:val="21"/>
                <w:szCs w:val="21"/>
                <w:highlight w:val="none"/>
              </w:rPr>
            </w:pPr>
          </w:p>
        </w:tc>
        <w:tc>
          <w:tcPr>
            <w:tcW w:w="6286" w:type="dxa"/>
            <w:shd w:val="clear" w:color="auto" w:fill="auto"/>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（2）根据供应商针对本项目的难点、重点问题的克服解决措施建议、具体实施安排和实施方式方法等情况进行评议。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完全适应本项目，内容详尽可行且合理的得5分；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较适应本项目，内容较详尽可行且较合理的得4分；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基本适应本项目，内容简单基本可行且基本合理的得3分；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不适应本项目，内容不完整不可行且不合理的得2分；</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无相关内容不得分。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restart"/>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rPr>
              <w:t>、售后服务方案（10分）</w:t>
            </w:r>
          </w:p>
        </w:tc>
        <w:tc>
          <w:tcPr>
            <w:tcW w:w="6286"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宋体" w:hAnsi="宋体" w:eastAsia="宋体" w:cs="宋体"/>
                <w:snapToGrid w:val="0"/>
                <w:color w:val="auto"/>
                <w:kern w:val="2"/>
                <w:sz w:val="21"/>
                <w:szCs w:val="21"/>
                <w:highlight w:val="none"/>
                <w:lang w:val="zh-CN" w:eastAsia="zh-CN" w:bidi="ar-SA"/>
              </w:rPr>
            </w:pPr>
            <w:r>
              <w:rPr>
                <w:rFonts w:hint="eastAsia" w:ascii="宋体" w:hAnsi="宋体" w:eastAsia="宋体" w:cs="宋体"/>
                <w:snapToGrid w:val="0"/>
                <w:color w:val="auto"/>
                <w:kern w:val="2"/>
                <w:sz w:val="21"/>
                <w:szCs w:val="21"/>
                <w:highlight w:val="none"/>
                <w:lang w:val="zh-CN" w:eastAsia="zh-CN" w:bidi="ar-SA"/>
              </w:rPr>
              <w:t>（1）评委根据供应商提供的服务的便捷性情况（响应时间及到达现场的时间）进行评议。</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0" w:hanging="42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接到采购人通知能在30分钟及以内响应且到达时间在2小时及以内的得5分；</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0" w:hanging="42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接到采购人通知能在1小时及以内响应且到达时间在12小时及以内的得4分；</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0" w:hanging="42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接到采购人通知能在2小时及以内响应且到达时间在24小时及以内的得3分；</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0" w:hanging="42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接到采购人通知能在4小时及以内响应且到达时间在48小时及以内的得2分；</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0" w:hanging="42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接到采购人通知响应时间超过4小时或到达时间超出48小时的得1分。</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20" w:hanging="420"/>
              <w:jc w:val="both"/>
              <w:textAlignment w:val="auto"/>
              <w:rPr>
                <w:rFonts w:hint="eastAsia" w:ascii="宋体" w:hAnsi="宋体" w:eastAsia="宋体" w:cs="宋体"/>
                <w:snapToGrid/>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无相关内容不得分。</w:t>
            </w:r>
          </w:p>
          <w:p>
            <w:pPr>
              <w:keepNext w:val="0"/>
              <w:keepLines w:val="0"/>
              <w:pageBreakBefore w:val="0"/>
              <w:widowControl w:val="0"/>
              <w:numPr>
                <w:ilvl w:val="-1"/>
                <w:numId w:val="0"/>
              </w:numPr>
              <w:kinsoku/>
              <w:wordWrap/>
              <w:overflowPunct/>
              <w:topLinePunct w:val="0"/>
              <w:autoSpaceDE w:val="0"/>
              <w:autoSpaceDN w:val="0"/>
              <w:bidi w:val="0"/>
              <w:adjustRightInd w:val="0"/>
              <w:snapToGrid/>
              <w:spacing w:line="240" w:lineRule="auto"/>
              <w:ind w:left="0" w:firstLine="0"/>
              <w:jc w:val="both"/>
              <w:textAlignment w:val="auto"/>
              <w:rPr>
                <w:rFonts w:hint="eastAsia" w:ascii="宋体" w:hAnsi="宋体" w:eastAsia="宋体" w:cs="宋体"/>
                <w:snapToGrid w:val="0"/>
                <w:color w:val="auto"/>
                <w:kern w:val="2"/>
                <w:sz w:val="21"/>
                <w:szCs w:val="21"/>
                <w:highlight w:val="none"/>
                <w:lang w:val="en-US" w:eastAsia="zh-CN" w:bidi="ar-SA"/>
              </w:rPr>
            </w:pPr>
            <w:r>
              <w:rPr>
                <w:rFonts w:hint="eastAsia" w:ascii="宋体" w:hAnsi="宋体" w:eastAsia="宋体" w:cs="宋体"/>
                <w:snapToGrid/>
                <w:color w:val="auto"/>
                <w:kern w:val="2"/>
                <w:sz w:val="21"/>
                <w:szCs w:val="21"/>
                <w:highlight w:val="none"/>
                <w:lang w:val="en-US" w:eastAsia="zh-CN" w:bidi="ar-SA"/>
              </w:rPr>
              <w:t xml:space="preserve">注：供应商须在响应文件中提供承诺函（格式自拟），未提供或内容不全的不得分。  </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客</w:t>
            </w:r>
            <w:r>
              <w:rPr>
                <w:rFonts w:hint="eastAsia" w:ascii="宋体" w:hAnsi="宋体" w:eastAsia="宋体" w:cs="宋体"/>
                <w:color w:val="auto"/>
                <w:sz w:val="21"/>
                <w:szCs w:val="21"/>
                <w:highlight w:val="none"/>
              </w:rPr>
              <w:t>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c>
          <w:tcPr>
            <w:tcW w:w="1156" w:type="dxa"/>
            <w:vMerge w:val="continue"/>
            <w:shd w:val="clear" w:color="auto" w:fill="auto"/>
            <w:vAlign w:val="center"/>
          </w:tcPr>
          <w:p>
            <w:pPr>
              <w:keepNext w:val="0"/>
              <w:keepLines w:val="0"/>
              <w:pageBreakBefore w:val="0"/>
              <w:kinsoku/>
              <w:wordWrap/>
              <w:overflowPunct/>
              <w:topLinePunct w:val="0"/>
              <w:bidi w:val="0"/>
              <w:adjustRightInd/>
              <w:snapToGrid/>
              <w:spacing w:line="240" w:lineRule="auto"/>
              <w:jc w:val="left"/>
              <w:textAlignment w:val="auto"/>
              <w:rPr>
                <w:rFonts w:hint="eastAsia" w:ascii="宋体" w:hAnsi="宋体" w:eastAsia="宋体" w:cs="宋体"/>
                <w:bCs/>
                <w:color w:val="auto"/>
                <w:sz w:val="21"/>
                <w:szCs w:val="21"/>
                <w:highlight w:val="none"/>
              </w:rPr>
            </w:pPr>
          </w:p>
        </w:tc>
        <w:tc>
          <w:tcPr>
            <w:tcW w:w="6286" w:type="dxa"/>
            <w:shd w:val="clear" w:color="auto" w:fill="auto"/>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（2）根据各供应商的质量保修期方案、售后服务优惠承诺、售后服务保障进行评议。</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完全适应本项目，内容详尽可行且合理的得5分；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较适应本项目，内容较详尽可行且较合理的得4分；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基本适应本项目，内容简单基本可行且基本合理的得3分；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方案</w:t>
            </w:r>
            <w:r>
              <w:rPr>
                <w:rFonts w:hint="eastAsia" w:ascii="宋体" w:hAnsi="宋体" w:eastAsia="宋体" w:cs="宋体"/>
                <w:color w:val="auto"/>
                <w:kern w:val="0"/>
                <w:sz w:val="21"/>
                <w:szCs w:val="21"/>
                <w:highlight w:val="none"/>
              </w:rPr>
              <w:t>欠适应本项目，内容欠完整欠可行且欠合理的得2分；</w:t>
            </w:r>
          </w:p>
          <w:p>
            <w:pPr>
              <w:keepNext w:val="0"/>
              <w:keepLines w:val="0"/>
              <w:pageBreakBefore w:val="0"/>
              <w:widowControl/>
              <w:numPr>
                <w:ilvl w:val="0"/>
                <w:numId w:val="2"/>
              </w:numPr>
              <w:pBdr>
                <w:top w:val="none" w:color="auto" w:sz="0" w:space="1"/>
                <w:left w:val="none" w:color="auto" w:sz="0" w:space="4"/>
                <w:bottom w:val="none" w:color="auto" w:sz="0" w:space="1"/>
                <w:right w:val="none" w:color="auto" w:sz="0" w:space="4"/>
              </w:pBdr>
              <w:kinsoku/>
              <w:wordWrap/>
              <w:overflowPunct/>
              <w:topLinePunct w:val="0"/>
              <w:bidi w:val="0"/>
              <w:adjustRightInd/>
              <w:snapToGrid/>
              <w:spacing w:line="240" w:lineRule="auto"/>
              <w:ind w:left="420" w:hanging="420"/>
              <w:jc w:val="left"/>
              <w:textAlignment w:val="auto"/>
              <w:rPr>
                <w:rFonts w:hint="eastAsia" w:ascii="宋体" w:hAnsi="宋体" w:eastAsia="宋体" w:cs="宋体"/>
                <w:bCs/>
                <w:color w:val="auto"/>
                <w:sz w:val="21"/>
                <w:szCs w:val="21"/>
                <w:highlight w:val="none"/>
              </w:rPr>
            </w:pPr>
            <w:r>
              <w:rPr>
                <w:rFonts w:hint="eastAsia" w:ascii="宋体" w:hAnsi="宋体" w:eastAsia="宋体" w:cs="宋体"/>
                <w:color w:val="auto"/>
                <w:kern w:val="0"/>
                <w:sz w:val="21"/>
                <w:szCs w:val="21"/>
                <w:highlight w:val="none"/>
              </w:rPr>
              <w:t>无相关</w:t>
            </w:r>
            <w:r>
              <w:rPr>
                <w:rFonts w:hint="eastAsia" w:ascii="宋体" w:hAnsi="宋体" w:eastAsia="宋体" w:cs="宋体"/>
                <w:bCs/>
                <w:color w:val="auto"/>
                <w:sz w:val="21"/>
                <w:szCs w:val="21"/>
                <w:highlight w:val="none"/>
              </w:rPr>
              <w:t>内容</w:t>
            </w:r>
            <w:r>
              <w:rPr>
                <w:rFonts w:hint="eastAsia" w:ascii="宋体" w:hAnsi="宋体" w:eastAsia="宋体" w:cs="宋体"/>
                <w:color w:val="auto"/>
                <w:kern w:val="0"/>
                <w:sz w:val="21"/>
                <w:szCs w:val="21"/>
                <w:highlight w:val="none"/>
              </w:rPr>
              <w:t>不得分。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6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w:t>
            </w:r>
          </w:p>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7442" w:type="dxa"/>
            <w:gridSpan w:val="2"/>
            <w:shd w:val="clear" w:color="auto" w:fill="auto"/>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基准价=所有有效投标中的参与评审的价格最低的报价</w:t>
            </w:r>
          </w:p>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参与评审的价格=投标报价</w:t>
            </w:r>
          </w:p>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基准价得</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参与评审的价格最低的供应商得满分</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分，其余供应商得分为：</w:t>
            </w:r>
          </w:p>
          <w:p>
            <w:pPr>
              <w:keepNext w:val="0"/>
              <w:keepLines w:val="0"/>
              <w:pageBreakBefore w:val="0"/>
              <w:widowControl/>
              <w:kinsoku/>
              <w:wordWrap/>
              <w:overflowPunct/>
              <w:topLinePunct w:val="0"/>
              <w:bidi w:val="0"/>
              <w:adjustRightInd/>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报价得分=（基准价/参与评审的价格）×</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%×100</w:t>
            </w:r>
          </w:p>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bCs/>
                <w:color w:val="auto"/>
                <w:kern w:val="0"/>
                <w:sz w:val="21"/>
                <w:szCs w:val="21"/>
                <w:highlight w:val="none"/>
              </w:rPr>
              <w:t>投标报价是指磋商结束后，磋商小组要求所有实质性响应的供应商在规定时间内提交的最后报价。</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778"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310" w:type="dxa"/>
            <w:gridSpan w:val="3"/>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满分100分</w:t>
            </w:r>
          </w:p>
        </w:tc>
        <w:tc>
          <w:tcPr>
            <w:tcW w:w="671" w:type="dxa"/>
            <w:shd w:val="clear" w:color="auto" w:fill="auto"/>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778" w:type="dxa"/>
            <w:shd w:val="clear" w:color="auto" w:fill="auto"/>
            <w:noWrap/>
            <w:vAlign w:val="center"/>
          </w:tcPr>
          <w:p>
            <w:pPr>
              <w:keepNext w:val="0"/>
              <w:keepLines w:val="0"/>
              <w:pageBreakBefore w:val="0"/>
              <w:kinsoku/>
              <w:wordWrap/>
              <w:overflowPunct/>
              <w:topLinePunct w:val="0"/>
              <w:bidi w:val="0"/>
              <w:adjustRightInd/>
              <w:snapToGrid/>
              <w:spacing w:line="240" w:lineRule="auto"/>
              <w:jc w:val="center"/>
              <w:textAlignment w:val="auto"/>
              <w:rPr>
                <w:rFonts w:hint="eastAsia" w:ascii="宋体" w:hAnsi="宋体" w:eastAsia="宋体" w:cs="宋体"/>
                <w:color w:val="auto"/>
                <w:sz w:val="21"/>
                <w:szCs w:val="21"/>
                <w:highlight w:val="none"/>
              </w:rPr>
            </w:pP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1、供应商编制响应文件时，建议按此目录（序号和内容）提供评审标准相应的商务技术资料。2、小数点后保留二位数。3、各磋商小组成员自行按以上参考分值评分。4、重大事件由磋商小组集体讨论，应当按照少数服从多数的原则作出结论。</w:t>
      </w:r>
    </w:p>
    <w:p>
      <w:pPr>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br w:type="page"/>
      </w:r>
    </w:p>
    <w:p>
      <w:pPr>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一、评审方法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综合评分法，是指响应文件满足磋商文件全部实质性要求且按评审因素的量化指标评审得分最高的供应商为成交候选供应商的评审方法。</w:t>
      </w:r>
    </w:p>
    <w:p>
      <w:pPr>
        <w:snapToGrid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二、评审标准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评审标准：</w:t>
      </w:r>
      <w:r>
        <w:rPr>
          <w:rFonts w:hint="eastAsia" w:ascii="宋体" w:hAnsi="宋体" w:eastAsia="宋体" w:cs="宋体"/>
          <w:color w:val="auto"/>
          <w:kern w:val="0"/>
          <w:sz w:val="24"/>
          <w:highlight w:val="none"/>
        </w:rPr>
        <w:t>见评审办法前附表。</w:t>
      </w:r>
    </w:p>
    <w:p>
      <w:pPr>
        <w:snapToGrid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三、评审程序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磋商小组应当对符合资格的供应商的响应文件进行符合性审查，以确定其是否满足采购文件的实质性要求。不满足采购文件的实质性要求的，响应文件无效。</w:t>
      </w:r>
    </w:p>
    <w:p>
      <w:pPr>
        <w:spacing w:line="360" w:lineRule="auto"/>
        <w:ind w:firstLine="472" w:firstLineChars="196"/>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3.2 磋商。</w:t>
      </w:r>
      <w:r>
        <w:rPr>
          <w:rFonts w:hint="eastAsia" w:ascii="宋体" w:hAnsi="宋体" w:eastAsia="宋体" w:cs="宋体"/>
          <w:color w:val="auto"/>
          <w:sz w:val="24"/>
          <w:highlight w:val="none"/>
        </w:rPr>
        <w:t>磋商小组将对确定为实质性响应本采购文件的响应文件进行详细评价和比较，主要就资信、服务方案内容、服务承诺等磋商小组认为与本次采购有关的因素与</w:t>
      </w:r>
      <w:r>
        <w:rPr>
          <w:rFonts w:hint="eastAsia" w:ascii="宋体" w:hAnsi="宋体" w:eastAsia="宋体" w:cs="宋体"/>
          <w:color w:val="auto"/>
          <w:kern w:val="0"/>
          <w:sz w:val="24"/>
          <w:highlight w:val="none"/>
        </w:rPr>
        <w:t>符合性审查合格的</w:t>
      </w:r>
      <w:r>
        <w:rPr>
          <w:rFonts w:hint="eastAsia" w:ascii="宋体" w:hAnsi="宋体" w:eastAsia="宋体" w:cs="宋体"/>
          <w:color w:val="auto"/>
          <w:sz w:val="24"/>
          <w:highlight w:val="none"/>
        </w:rPr>
        <w:t>供应商逐一进行磋商。</w:t>
      </w:r>
      <w:r>
        <w:rPr>
          <w:rFonts w:hint="eastAsia" w:asciiTheme="minorEastAsia" w:hAnsiTheme="minorEastAsia" w:eastAsiaTheme="minorEastAsia"/>
          <w:b/>
          <w:bCs/>
          <w:color w:val="auto"/>
          <w:sz w:val="24"/>
          <w:szCs w:val="24"/>
          <w:highlight w:val="none"/>
        </w:rPr>
        <w:t>如磋商小组认定磋商文件技术、服务要求以及合同草案条款无需进行变动且供应商应答明确，则以书面形式（政采云系统发出磋商响应函或邮件形式等）通知所有符合性审查合格的供应商，视作与供应商进行磋商。</w:t>
      </w:r>
    </w:p>
    <w:p>
      <w:pPr>
        <w:spacing w:line="360" w:lineRule="auto"/>
        <w:ind w:firstLine="470" w:firstLineChars="196"/>
        <w:rPr>
          <w:rFonts w:hint="eastAsia" w:ascii="宋体" w:hAnsi="宋体" w:eastAsia="宋体" w:cs="宋体"/>
          <w:b/>
          <w:color w:val="auto"/>
          <w:sz w:val="24"/>
          <w:highlight w:val="none"/>
        </w:rPr>
      </w:pPr>
      <w:r>
        <w:rPr>
          <w:rFonts w:hint="eastAsia" w:ascii="宋体" w:hAnsi="宋体" w:eastAsia="宋体" w:cs="宋体"/>
          <w:bCs/>
          <w:color w:val="auto"/>
          <w:sz w:val="24"/>
          <w:highlight w:val="none"/>
        </w:rPr>
        <w:t xml:space="preserve">3.2.1 </w:t>
      </w:r>
      <w:r>
        <w:rPr>
          <w:rFonts w:hint="eastAsia" w:ascii="宋体" w:hAnsi="宋体" w:eastAsia="宋体" w:cs="宋体"/>
          <w:color w:val="auto"/>
          <w:sz w:val="24"/>
          <w:highlight w:val="none"/>
        </w:rPr>
        <w:t>供应商逐家回答磋商小组的提问；</w:t>
      </w:r>
      <w:r>
        <w:rPr>
          <w:rFonts w:hint="eastAsia" w:ascii="宋体" w:hAnsi="宋体" w:eastAsia="宋体" w:cs="宋体"/>
          <w:b/>
          <w:color w:val="auto"/>
          <w:sz w:val="24"/>
          <w:highlight w:val="none"/>
        </w:rPr>
        <w:t>逐家磋商一次为一个轮次，磋商轮次根据实际情况进行。</w:t>
      </w:r>
    </w:p>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bCs/>
          <w:color w:val="auto"/>
          <w:sz w:val="24"/>
          <w:highlight w:val="none"/>
        </w:rPr>
        <w:t xml:space="preserve">3.2.2 </w:t>
      </w:r>
      <w:r>
        <w:rPr>
          <w:rFonts w:hint="eastAsia" w:ascii="宋体" w:hAnsi="宋体" w:eastAsia="宋体" w:cs="宋体"/>
          <w:color w:val="auto"/>
          <w:sz w:val="24"/>
          <w:highlight w:val="none"/>
        </w:rPr>
        <w:t>供应商应按磋商小组通知的时间在线或以邮件回复做出承诺或回复，承诺或回复的内容须由供应商法定代表人或授权代表签署，并作为响应文件的补充部分。</w:t>
      </w:r>
    </w:p>
    <w:p>
      <w:pPr>
        <w:spacing w:line="360" w:lineRule="auto"/>
        <w:ind w:firstLine="470" w:firstLineChars="196"/>
        <w:rPr>
          <w:rFonts w:hint="eastAsia" w:ascii="宋体" w:hAnsi="宋体" w:eastAsia="宋体" w:cs="宋体"/>
          <w:bCs/>
          <w:color w:val="auto"/>
          <w:kern w:val="0"/>
          <w:sz w:val="24"/>
          <w:highlight w:val="none"/>
        </w:rPr>
      </w:pPr>
      <w:r>
        <w:rPr>
          <w:rFonts w:hint="eastAsia" w:ascii="宋体" w:hAnsi="宋体" w:eastAsia="宋体" w:cs="宋体"/>
          <w:color w:val="auto"/>
          <w:sz w:val="24"/>
          <w:highlight w:val="none"/>
        </w:rPr>
        <w:t xml:space="preserve">3.2.3 </w:t>
      </w:r>
      <w:r>
        <w:rPr>
          <w:rFonts w:hint="eastAsia" w:ascii="宋体" w:hAnsi="宋体" w:eastAsia="宋体" w:cs="宋体"/>
          <w:b/>
          <w:bCs/>
          <w:color w:val="auto"/>
          <w:sz w:val="24"/>
          <w:highlight w:val="none"/>
        </w:rPr>
        <w:t>在磋商过程中，磋商小组可以根据磋商文件和磋商情况实质性变动采购需求中的“※”号技术、服务要求以及合同草案中的“※”号条款，但不得变动磋商文件中的其他内容。</w:t>
      </w:r>
      <w:r>
        <w:rPr>
          <w:rFonts w:hint="eastAsia" w:ascii="宋体" w:hAnsi="宋体" w:eastAsia="宋体" w:cs="宋体"/>
          <w:color w:val="auto"/>
          <w:sz w:val="24"/>
          <w:highlight w:val="none"/>
        </w:rPr>
        <w:t>实质性变动的内容，须经采购人代表确认。磋商文件有实质性变动的，磋商小组将以书面形式通知所有</w:t>
      </w:r>
      <w:r>
        <w:rPr>
          <w:rFonts w:hint="eastAsia" w:ascii="宋体" w:hAnsi="宋体" w:eastAsia="宋体" w:cs="宋体"/>
          <w:color w:val="auto"/>
          <w:kern w:val="0"/>
          <w:sz w:val="24"/>
          <w:highlight w:val="none"/>
        </w:rPr>
        <w:t>符合性审查合格的</w:t>
      </w:r>
      <w:r>
        <w:rPr>
          <w:rFonts w:hint="eastAsia" w:ascii="宋体" w:hAnsi="宋体" w:eastAsia="宋体" w:cs="宋体"/>
          <w:color w:val="auto"/>
          <w:sz w:val="24"/>
          <w:highlight w:val="none"/>
        </w:rPr>
        <w:t xml:space="preserve">供应商。 </w:t>
      </w:r>
    </w:p>
    <w:p>
      <w:pPr>
        <w:spacing w:line="360" w:lineRule="auto"/>
        <w:ind w:firstLine="472" w:firstLineChars="196"/>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3.3最后报价</w:t>
      </w:r>
    </w:p>
    <w:p>
      <w:pPr>
        <w:spacing w:line="360" w:lineRule="auto"/>
        <w:ind w:firstLine="470" w:firstLineChars="19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3.3.1 磋商文件能够详细列明采购标的的技术、服务要求的，磋商结束后，磋商小组应当要求所有符合性审查合格的供应商在规定时间内提交最后报价，提交最后报价的供应商不得少于3家。</w:t>
      </w:r>
    </w:p>
    <w:p>
      <w:pPr>
        <w:spacing w:line="360" w:lineRule="auto"/>
        <w:ind w:firstLine="470" w:firstLineChars="19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360" w:lineRule="auto"/>
        <w:ind w:firstLine="470" w:firstLineChars="196"/>
        <w:rPr>
          <w:rFonts w:hint="eastAsia" w:ascii="宋体" w:hAnsi="宋体" w:eastAsia="宋体" w:cs="宋体"/>
          <w:color w:val="auto"/>
          <w:kern w:val="0"/>
          <w:sz w:val="24"/>
          <w:highlight w:val="none"/>
          <w:lang w:eastAsia="zh-CN"/>
        </w:rPr>
      </w:pPr>
      <w:r>
        <w:rPr>
          <w:rFonts w:hint="eastAsia" w:ascii="宋体" w:hAnsi="宋体" w:eastAsia="宋体" w:cs="宋体"/>
          <w:color w:val="auto"/>
          <w:kern w:val="0"/>
          <w:sz w:val="24"/>
          <w:highlight w:val="none"/>
        </w:rPr>
        <w:t>3.3.3 已提交响应文件的供应商，在提交最后报价之前，可以根据磋商情况退出磋商</w:t>
      </w:r>
      <w:r>
        <w:rPr>
          <w:rFonts w:hint="eastAsia" w:ascii="宋体" w:hAnsi="宋体" w:eastAsia="宋体" w:cs="宋体"/>
          <w:color w:val="auto"/>
          <w:kern w:val="0"/>
          <w:sz w:val="24"/>
          <w:highlight w:val="none"/>
          <w:lang w:eastAsia="zh-CN"/>
        </w:rPr>
        <w:t>。如供应商未按磋商小组的要求在规定的时间内提交最后报价的，视为退出磋商。</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3.4 综合评分。</w:t>
      </w:r>
      <w:r>
        <w:rPr>
          <w:rFonts w:hint="eastAsia" w:ascii="宋体" w:hAnsi="宋体" w:eastAsia="宋体" w:cs="宋体"/>
          <w:bCs/>
          <w:color w:val="auto"/>
          <w:kern w:val="0"/>
          <w:sz w:val="24"/>
          <w:highlight w:val="none"/>
        </w:rPr>
        <w:t>经磋商确定最终采购需求和提交最后报价的供应商后，</w:t>
      </w:r>
      <w:r>
        <w:rPr>
          <w:rFonts w:hint="eastAsia" w:ascii="宋体" w:hAnsi="宋体" w:eastAsia="宋体" w:cs="宋体"/>
          <w:color w:val="auto"/>
          <w:kern w:val="0"/>
          <w:sz w:val="24"/>
          <w:highlight w:val="none"/>
        </w:rPr>
        <w:t>磋商小组应当按照采购文件中规定的评审标准，对符合性审查合格的响应文件进行综合评分。磋商文件中没有规定的评审标准不得作为评审依据。</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3.5汇总商务技术得分。</w:t>
      </w:r>
      <w:r>
        <w:rPr>
          <w:rFonts w:hint="eastAsia" w:ascii="宋体" w:hAnsi="宋体" w:eastAsia="宋体" w:cs="宋体"/>
          <w:color w:val="auto"/>
          <w:kern w:val="0"/>
          <w:sz w:val="24"/>
          <w:highlight w:val="none"/>
        </w:rPr>
        <w:t>磋商小组各成员应当独立对每个供应商的商务和技术文件进行评价，并汇总商务技术得分情况。磋商小组成员个人主观打分偏离所有磋商小组成员主观打分平均值30%以上的，由磋商小组启动评分畸高、畸低行为认定程序，磋商小组组长应提醒相关评审人员进行复核或书面说明理由，评审人员拒绝说明的，由现场监督员据实记录；评审人员的评审、修改记录应保留原件，随项目其他资料一并存档。</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3.6报价评审。</w:t>
      </w:r>
    </w:p>
    <w:p>
      <w:pPr>
        <w:pStyle w:val="128"/>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3.6.1响应文件报价出现前后不一致的，按照下列规定修正</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修正原则</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3.6.1.1响应文件中已标价工程量清单内容与响应文件中相应内容不一致的，以已标价工程量清单为准</w:t>
      </w:r>
      <w:r>
        <w:rPr>
          <w:rFonts w:hint="eastAsia" w:ascii="宋体" w:hAnsi="宋体" w:cs="宋体"/>
          <w:color w:val="auto"/>
          <w:kern w:val="0"/>
          <w:szCs w:val="24"/>
          <w:highlight w:val="none"/>
          <w:lang w:eastAsia="zh-CN"/>
        </w:rPr>
        <w:t>；</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3.6.1.2大写金额和小写金额不一致的，以大写金额为准</w:t>
      </w:r>
      <w:r>
        <w:rPr>
          <w:rFonts w:hint="eastAsia" w:ascii="宋体" w:hAnsi="宋体" w:cs="宋体"/>
          <w:color w:val="auto"/>
          <w:kern w:val="0"/>
          <w:szCs w:val="24"/>
          <w:highlight w:val="none"/>
          <w:lang w:eastAsia="zh-CN"/>
        </w:rPr>
        <w:t>；</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3.6.1.3单价金额小数点或者百分比有明显错位的，以已标价工程量清单的总价为准，并修改单价</w:t>
      </w:r>
      <w:r>
        <w:rPr>
          <w:rFonts w:hint="eastAsia" w:ascii="宋体" w:hAnsi="宋体" w:cs="宋体"/>
          <w:color w:val="auto"/>
          <w:kern w:val="0"/>
          <w:szCs w:val="24"/>
          <w:highlight w:val="none"/>
          <w:lang w:eastAsia="zh-CN"/>
        </w:rPr>
        <w:t>；</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3.6.1.4总价金额与按单价汇总金额不一致的，以单价金额计算结果为准。</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3.6.1.5同时出现两种以上不一致的，按照3.6.1规定的顺序修正。修正后的报价经供应商确认后产生约束力。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3.6.2响应文件出现不是唯一的、有选择性最后报价的，响应文件无效。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3.6.3最后报价超过采购文件中规定的预算金额或者最高限价的，响应文件无效。</w:t>
      </w:r>
    </w:p>
    <w:p>
      <w:pPr>
        <w:pStyle w:val="128"/>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3.6.4对于未预留份额专门面向中小企业的政府采购工程项目，以及预留份额政府采购工程项目中的非预留部分标项，对小型和微型企业的最后报价给予</w:t>
      </w:r>
      <w:r>
        <w:rPr>
          <w:rFonts w:hint="eastAsia" w:ascii="宋体" w:hAnsi="宋体" w:eastAsia="宋体" w:cs="宋体"/>
          <w:color w:val="auto"/>
          <w:kern w:val="0"/>
          <w:szCs w:val="24"/>
          <w:highlight w:val="none"/>
          <w:lang w:val="en-US" w:eastAsia="zh-CN"/>
        </w:rPr>
        <w:t>3</w:t>
      </w:r>
      <w:r>
        <w:rPr>
          <w:rFonts w:hint="eastAsia" w:ascii="宋体" w:hAnsi="宋体" w:eastAsia="宋体" w:cs="宋体"/>
          <w:color w:val="auto"/>
          <w:kern w:val="0"/>
          <w:szCs w:val="24"/>
          <w:highlight w:val="none"/>
        </w:rPr>
        <w:t>%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w:t>
      </w:r>
      <w:r>
        <w:rPr>
          <w:rFonts w:hint="eastAsia" w:ascii="宋体" w:hAnsi="宋体" w:eastAsia="宋体" w:cs="宋体"/>
          <w:color w:val="auto"/>
          <w:kern w:val="0"/>
          <w:szCs w:val="24"/>
          <w:highlight w:val="none"/>
          <w:lang w:val="en-US" w:eastAsia="zh-CN"/>
        </w:rPr>
        <w:t>1</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3.7排序与推荐。</w:t>
      </w:r>
      <w:r>
        <w:rPr>
          <w:rFonts w:hint="eastAsia" w:ascii="宋体" w:hAnsi="宋体" w:eastAsia="宋体" w:cs="宋体"/>
          <w:color w:val="auto"/>
          <w:kern w:val="0"/>
          <w:sz w:val="24"/>
          <w:highlight w:val="none"/>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3.8编写评审报告。</w:t>
      </w:r>
      <w:r>
        <w:rPr>
          <w:rFonts w:hint="eastAsia" w:ascii="宋体" w:hAnsi="宋体" w:eastAsia="宋体" w:cs="宋体"/>
          <w:color w:val="auto"/>
          <w:kern w:val="0"/>
          <w:sz w:val="24"/>
          <w:highlight w:val="none"/>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snapToGrid w:val="0"/>
        <w:spacing w:line="360" w:lineRule="auto"/>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四、评审中的其他事项</w:t>
      </w:r>
    </w:p>
    <w:p>
      <w:pPr>
        <w:pStyle w:val="128"/>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4.1供应商澄清、说明或者补正。</w:t>
      </w:r>
      <w:r>
        <w:rPr>
          <w:rFonts w:hint="eastAsia" w:ascii="宋体" w:hAnsi="宋体" w:eastAsia="宋体" w:cs="宋体"/>
          <w:color w:val="auto"/>
          <w:kern w:val="0"/>
          <w:szCs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4"/>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4.2响应文件无效。</w:t>
      </w:r>
      <w:r>
        <w:rPr>
          <w:rFonts w:hint="eastAsia" w:ascii="宋体" w:hAnsi="宋体" w:eastAsia="宋体" w:cs="宋体"/>
          <w:color w:val="auto"/>
          <w:szCs w:val="21"/>
          <w:highlight w:val="none"/>
        </w:rPr>
        <w:t>有下列情形之一的，响应文件无效：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4.2.1供应商不具备采购文件中规定的资格要求的（供应商未提供有效的资格文件的，视为供应商不具备采购文件中规定的资格要求）；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4.2.2响应文件未按照采购文件要求签署、盖章的；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4.2.3采购人拟采购的产品属于政府强制采购的节能产品品目清单范围的，供应商未按采购文件要求提供国家确定的认证机构出具的、处于有效期之内的节能产品认证证书的；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4.2.4响应文件含有采购人不能接受的附加条件的；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4.2.5响应文件中承诺的响应文件有效期少于采购文件中载明的响应文件有效期的；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4.2.6响应文件出现不是唯一的、有选择性最后报价的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4.2.7最后报价超过采购文件中规定的预算金额或者最高限价的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4.2.9供应商对根据修正原则修正后的报价不确认的；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4.2.10供应商提供虚假材料响应的；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4.2.11供应商有恶意串通、妨碍其他供应商的竞争行为、损害采购人或者其他供应商的合法权益情形的；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4.2.12供应商仅提交备份响应文件，未在电子交易平台传输递交响应文件的，响应文件无效；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4.2.13 响应文件不满足采购文件</w:t>
      </w:r>
      <w:r>
        <w:rPr>
          <w:rFonts w:hint="eastAsia" w:ascii="宋体" w:hAnsi="宋体" w:cs="宋体"/>
          <w:color w:val="auto"/>
          <w:kern w:val="0"/>
          <w:sz w:val="24"/>
          <w:highlight w:val="none"/>
          <w:lang w:eastAsia="zh-CN"/>
        </w:rPr>
        <w:t>的其他</w:t>
      </w:r>
      <w:r>
        <w:rPr>
          <w:rFonts w:hint="eastAsia" w:ascii="宋体" w:hAnsi="宋体" w:eastAsia="宋体" w:cs="宋体"/>
          <w:color w:val="auto"/>
          <w:kern w:val="0"/>
          <w:sz w:val="24"/>
          <w:highlight w:val="none"/>
        </w:rPr>
        <w:t>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5.终止竞争性磋商采购活动。</w:t>
      </w:r>
      <w:r>
        <w:rPr>
          <w:rFonts w:hint="eastAsia" w:ascii="宋体" w:hAnsi="宋体" w:eastAsia="宋体" w:cs="宋体"/>
          <w:color w:val="auto"/>
          <w:highlight w:val="none"/>
        </w:rPr>
        <w:t>出现下列情形之一的，采购人或者采购代理机构应当终止竞争性磋商采购活动，发布项目终止公告并说明原因，重新开展采购活动：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5.1因情况变化，不再符合规定的竞争性磋商采购方式适用情形的；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5.3除本办法第二十一条第三款规定的情形外，在采购过程中符合要求的供应商或者报价未超过采购预算的供应商不足3家的。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5.4在采购活动中因重大变故，采购任务取消的，采购人或者采购代理机构应当终止采购活动，通知所有参加采购活动的供应商，并将项目实施情况和采购任务取消原因报送本级财政部门。</w:t>
      </w:r>
    </w:p>
    <w:p>
      <w:pPr>
        <w:pStyle w:val="24"/>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6.重新开展采购。</w:t>
      </w:r>
      <w:r>
        <w:rPr>
          <w:rFonts w:hint="eastAsia" w:ascii="宋体" w:hAnsi="宋体" w:eastAsia="宋体" w:cs="宋体"/>
          <w:color w:val="auto"/>
          <w:highlight w:val="none"/>
        </w:rPr>
        <w:t>有政府采购法第七十一条、第七十二条规定的违法行为之一，影响或者可能影响成交结果的，依照下列规定处理：</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6.1未确定成交供应商的，终止本次政府采购活动，重新开展政府采购活动。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6.2已确定成交供应商但尚未签订政府采购合同的，成交结果无效，从合格的成交候选供应商中另行确定成交供应商；没有合格的成交候选供应商的，重新开展政府采购活动。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6.3政府采购合同已签订但尚未履行的，撤销合同，从合格的成交候选供应商中另行确定成交供应商；没有合格的成交候选供应商的，重新开展政府采购活动。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6.4政府采购合同已经履行，给采购人、供应商造成损失的，由责任人承担赔偿责任。</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6.5政府采购当事人有其他违反政府采购法或者政府采购法实施条例等法律法规规定的行为，经改正后仍然影响或者可能影响成交结果或者依法被认定为成交无效的，依照6.1-6.4规定处理。</w:t>
      </w:r>
    </w:p>
    <w:p>
      <w:pPr>
        <w:keepNext w:val="0"/>
        <w:keepLines w:val="0"/>
        <w:pageBreakBefore w:val="0"/>
        <w:widowControl w:val="0"/>
        <w:kinsoku/>
        <w:wordWrap/>
        <w:overflowPunct/>
        <w:topLinePunct w:val="0"/>
        <w:autoSpaceDE/>
        <w:autoSpaceDN/>
        <w:bidi w:val="0"/>
        <w:adjustRightInd w:val="0"/>
        <w:spacing w:before="0" w:line="348" w:lineRule="auto"/>
        <w:ind w:firstLine="643" w:firstLineChars="200"/>
        <w:jc w:val="center"/>
        <w:textAlignment w:val="auto"/>
        <w:outlineLvl w:val="9"/>
        <w:rPr>
          <w:rFonts w:hint="eastAsia" w:ascii="宋体" w:hAnsi="宋体" w:eastAsia="宋体" w:cs="宋体"/>
          <w:b/>
          <w:color w:val="auto"/>
          <w:kern w:val="2"/>
          <w:sz w:val="32"/>
          <w:szCs w:val="20"/>
          <w:highlight w:val="none"/>
          <w:lang w:val="en-US" w:eastAsia="zh-CN" w:bidi="ar-SA"/>
        </w:rPr>
      </w:pPr>
      <w:r>
        <w:rPr>
          <w:rFonts w:hint="eastAsia" w:ascii="宋体" w:hAnsi="宋体" w:eastAsia="宋体" w:cs="宋体"/>
          <w:b/>
          <w:color w:val="auto"/>
          <w:kern w:val="2"/>
          <w:sz w:val="32"/>
          <w:szCs w:val="20"/>
          <w:highlight w:val="none"/>
          <w:lang w:val="en-US" w:eastAsia="zh-CN" w:bidi="ar-SA"/>
        </w:rPr>
        <w:t>五、磋商小组的组成</w:t>
      </w:r>
    </w:p>
    <w:p>
      <w:pPr>
        <w:keepNext w:val="0"/>
        <w:keepLines w:val="0"/>
        <w:pageBreakBefore w:val="0"/>
        <w:widowControl w:val="0"/>
        <w:kinsoku/>
        <w:wordWrap/>
        <w:overflowPunct/>
        <w:topLinePunct w:val="0"/>
        <w:autoSpaceDE/>
        <w:autoSpaceDN/>
        <w:bidi w:val="0"/>
        <w:adjustRightInd w:val="0"/>
        <w:spacing w:before="0" w:line="348" w:lineRule="auto"/>
        <w:ind w:firstLine="0" w:firstLineChars="0"/>
        <w:jc w:val="both"/>
        <w:textAlignment w:val="auto"/>
        <w:outlineLvl w:val="9"/>
        <w:rPr>
          <w:rFonts w:hint="eastAsia" w:ascii="宋体" w:hAnsi="宋体" w:eastAsia="宋体" w:cs="宋体"/>
          <w:b/>
          <w:color w:val="auto"/>
          <w:kern w:val="0"/>
          <w:sz w:val="24"/>
          <w:szCs w:val="20"/>
          <w:highlight w:val="none"/>
          <w:lang w:val="en-US" w:eastAsia="zh-CN" w:bidi="ar-SA"/>
        </w:rPr>
      </w:pPr>
      <w:r>
        <w:rPr>
          <w:rFonts w:hint="eastAsia" w:ascii="宋体" w:hAnsi="宋体" w:eastAsia="宋体" w:cs="宋体"/>
          <w:b/>
          <w:color w:val="auto"/>
          <w:kern w:val="0"/>
          <w:sz w:val="24"/>
          <w:szCs w:val="20"/>
          <w:highlight w:val="none"/>
          <w:lang w:val="en-US" w:eastAsia="zh-CN" w:bidi="ar-SA"/>
        </w:rPr>
        <w:t>1.磋商小组的组成。</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采用竞争性磋商方式的政府采购项目，评审专家应当从政府采购评审专家库内相关专业的专家名单中随机抽取。符合《政府采购竞争性磋商采购方式管理暂行办法》的通知</w:t>
      </w:r>
      <w:r>
        <w:rPr>
          <w:rFonts w:hint="eastAsia" w:ascii="宋体" w:hAnsi="宋体" w:cs="宋体"/>
          <w:color w:val="auto"/>
          <w:kern w:val="2"/>
          <w:sz w:val="24"/>
          <w:szCs w:val="20"/>
          <w:highlight w:val="none"/>
          <w:lang w:val="en-US" w:eastAsia="zh-CN" w:bidi="ar-SA"/>
        </w:rPr>
        <w:t>（</w:t>
      </w:r>
      <w:r>
        <w:rPr>
          <w:rFonts w:hint="eastAsia" w:ascii="宋体" w:hAnsi="宋体" w:eastAsia="宋体" w:cs="宋体"/>
          <w:color w:val="auto"/>
          <w:kern w:val="2"/>
          <w:sz w:val="24"/>
          <w:szCs w:val="20"/>
          <w:highlight w:val="none"/>
          <w:lang w:val="en-US" w:eastAsia="zh-CN" w:bidi="ar-SA"/>
        </w:rPr>
        <w:t>财库〔2014〕214号</w:t>
      </w:r>
      <w:r>
        <w:rPr>
          <w:rFonts w:hint="eastAsia" w:ascii="宋体" w:hAnsi="宋体" w:cs="宋体"/>
          <w:color w:val="auto"/>
          <w:kern w:val="2"/>
          <w:sz w:val="24"/>
          <w:szCs w:val="20"/>
          <w:highlight w:val="none"/>
          <w:lang w:val="en-US" w:eastAsia="zh-CN" w:bidi="ar-SA"/>
        </w:rPr>
        <w:t>）</w:t>
      </w:r>
      <w:r>
        <w:rPr>
          <w:rFonts w:hint="eastAsia" w:ascii="宋体" w:hAnsi="宋体" w:eastAsia="宋体" w:cs="宋体"/>
          <w:color w:val="auto"/>
          <w:kern w:val="2"/>
          <w:sz w:val="24"/>
          <w:szCs w:val="20"/>
          <w:highlight w:val="none"/>
          <w:lang w:val="en-US" w:eastAsia="zh-CN" w:bidi="ar-SA"/>
        </w:rPr>
        <w:t>第三条第四项规定情形的项目，以及情况特殊、通过随机方式难以确定合适的评审专家的项目，经主管预算单位同意，可以自行选定评审专家。技术复杂、专业性强的采购项目，评审专家中应当包含1名法律专家。</w:t>
      </w:r>
    </w:p>
    <w:p>
      <w:pPr>
        <w:keepNext w:val="0"/>
        <w:keepLines w:val="0"/>
        <w:pageBreakBefore w:val="0"/>
        <w:kinsoku/>
        <w:wordWrap/>
        <w:overflowPunct/>
        <w:topLinePunct w:val="0"/>
        <w:autoSpaceDE/>
        <w:autoSpaceDN/>
        <w:bidi w:val="0"/>
        <w:snapToGrid w:val="0"/>
        <w:spacing w:line="348" w:lineRule="auto"/>
        <w:textAlignment w:val="auto"/>
        <w:outlineLvl w:val="9"/>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2.磋商小组的组成人员的回避。</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在政府采购活动中，磋商小组的组成人员与供应商有下列利害关系之一的，应当回避：</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2.1参加采购活动前三年内，与供应商存在劳动关系，或者担任过供应商的董事、监事，或者是供应商的控股股东或实际控制人；</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2.2与供应商的法定代表人或者负责人有夫妻、直系血亲、三代以内旁系血亲或者近姻亲关系；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2.3与供应商有其他可能影响政府采购活动公平、公正进行的关系。</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2.4参与过采购项目进口产品论证。</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2.5通过随机抽到本单位的评审专家，采购人已经指定了采购人代表，该评审专家应当回避，采购人自行选定相应专业领域评审专家情形除外。</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2.6法律、法规、规章规定应当回避以及其他可能影响公正评审的.</w:t>
      </w:r>
    </w:p>
    <w:p>
      <w:pPr>
        <w:keepNext w:val="0"/>
        <w:keepLines w:val="0"/>
        <w:pageBreakBefore w:val="0"/>
        <w:kinsoku/>
        <w:wordWrap/>
        <w:overflowPunct/>
        <w:topLinePunct w:val="0"/>
        <w:autoSpaceDE/>
        <w:autoSpaceDN/>
        <w:bidi w:val="0"/>
        <w:snapToGrid w:val="0"/>
        <w:spacing w:line="348" w:lineRule="auto"/>
        <w:ind w:left="120" w:leftChars="57" w:firstLine="482" w:firstLineChars="150"/>
        <w:jc w:val="center"/>
        <w:textAlignment w:val="auto"/>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highlight w:val="none"/>
          <w:lang w:val="en-US" w:eastAsia="zh-CN"/>
        </w:rPr>
        <w:t>六</w:t>
      </w:r>
      <w:r>
        <w:rPr>
          <w:rFonts w:hint="eastAsia" w:ascii="宋体" w:hAnsi="宋体" w:eastAsia="宋体" w:cs="宋体"/>
          <w:b/>
          <w:color w:val="auto"/>
          <w:sz w:val="32"/>
          <w:highlight w:val="none"/>
        </w:rPr>
        <w:t>、磋商小组的职责</w:t>
      </w:r>
    </w:p>
    <w:p>
      <w:pPr>
        <w:keepNext w:val="0"/>
        <w:keepLines w:val="0"/>
        <w:pageBreakBefore w:val="0"/>
        <w:widowControl w:val="0"/>
        <w:kinsoku/>
        <w:wordWrap/>
        <w:overflowPunct/>
        <w:topLinePunct w:val="0"/>
        <w:autoSpaceDE/>
        <w:autoSpaceDN/>
        <w:bidi w:val="0"/>
        <w:adjustRightInd w:val="0"/>
        <w:spacing w:before="0" w:line="348" w:lineRule="auto"/>
        <w:ind w:firstLine="0" w:firstLineChars="0"/>
        <w:jc w:val="both"/>
        <w:textAlignment w:val="auto"/>
        <w:outlineLvl w:val="9"/>
        <w:rPr>
          <w:rFonts w:hint="eastAsia" w:ascii="宋体" w:hAnsi="宋体" w:eastAsia="宋体" w:cs="宋体"/>
          <w:b/>
          <w:color w:val="auto"/>
          <w:kern w:val="0"/>
          <w:sz w:val="24"/>
          <w:szCs w:val="24"/>
          <w:highlight w:val="none"/>
          <w:lang w:val="en-US" w:eastAsia="zh-CN" w:bidi="ar-SA"/>
        </w:rPr>
      </w:pPr>
      <w:r>
        <w:rPr>
          <w:rFonts w:hint="eastAsia" w:ascii="宋体" w:hAnsi="宋体" w:eastAsia="宋体" w:cs="宋体"/>
          <w:b/>
          <w:color w:val="auto"/>
          <w:kern w:val="0"/>
          <w:sz w:val="24"/>
          <w:szCs w:val="24"/>
          <w:highlight w:val="none"/>
          <w:lang w:val="en-US" w:eastAsia="zh-CN" w:bidi="ar-SA"/>
        </w:rPr>
        <w:t>1.磋商小组负责具体评审事务，并独立履行下列职责：</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1.1</w:t>
      </w:r>
      <w:r>
        <w:rPr>
          <w:rFonts w:hint="eastAsia" w:ascii="宋体" w:hAnsi="宋体" w:eastAsia="宋体" w:cs="宋体"/>
          <w:color w:val="auto"/>
          <w:kern w:val="2"/>
          <w:sz w:val="24"/>
          <w:szCs w:val="24"/>
          <w:highlight w:val="none"/>
          <w:lang w:val="en-US" w:eastAsia="zh-CN" w:bidi="ar-SA"/>
        </w:rPr>
        <w:t>对供应商的资格进行审查；</w:t>
      </w:r>
      <w:r>
        <w:rPr>
          <w:rFonts w:hint="eastAsia" w:ascii="宋体" w:hAnsi="宋体" w:eastAsia="宋体" w:cs="宋体"/>
          <w:color w:val="auto"/>
          <w:kern w:val="2"/>
          <w:sz w:val="24"/>
          <w:szCs w:val="20"/>
          <w:highlight w:val="none"/>
          <w:lang w:val="en-US" w:eastAsia="zh-CN" w:bidi="ar-SA"/>
        </w:rPr>
        <w:t>对响应文件的有效性、完整性和响应程度进行审查；</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1.2审查、评价响应文件是否符合磋商文件的商务、技术等实质性要求；</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1.3要求供应商对响应文件有关事项作出澄清、说明或者更正；</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1.4磋商小组集中与单一供应商分别进行磋商；</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1.5确定磋商文件的变动情况，并确定提交最后报价的供应商；</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1.6根据磋商文件确定的评审办法及评审标准对提交最后报价的供应商的响应文件和最后报价采用综合评分法进行综合评分；</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1.7编制评审报告，确定成交候选人名单，以及根据采购人委托直接确定成交人；</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1.8向采购人、采购代理机构或者有关部门报告评审中发现的违法行为；</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1.9法律、法规、规章、磋商文件等</w:t>
      </w:r>
      <w:r>
        <w:rPr>
          <w:rFonts w:hint="eastAsia" w:ascii="宋体" w:hAnsi="宋体" w:cs="宋体"/>
          <w:color w:val="auto"/>
          <w:kern w:val="2"/>
          <w:sz w:val="24"/>
          <w:szCs w:val="20"/>
          <w:highlight w:val="none"/>
          <w:lang w:val="en-US" w:eastAsia="zh-CN" w:bidi="ar-SA"/>
        </w:rPr>
        <w:t>规定的其他事项</w:t>
      </w:r>
      <w:r>
        <w:rPr>
          <w:rFonts w:hint="eastAsia" w:ascii="宋体" w:hAnsi="宋体" w:eastAsia="宋体" w:cs="宋体"/>
          <w:color w:val="auto"/>
          <w:kern w:val="2"/>
          <w:sz w:val="24"/>
          <w:szCs w:val="20"/>
          <w:highlight w:val="none"/>
          <w:lang w:val="en-US" w:eastAsia="zh-CN" w:bidi="ar-SA"/>
        </w:rPr>
        <w:t>。</w:t>
      </w:r>
    </w:p>
    <w:p>
      <w:pPr>
        <w:keepNext w:val="0"/>
        <w:keepLines w:val="0"/>
        <w:pageBreakBefore w:val="0"/>
        <w:widowControl w:val="0"/>
        <w:kinsoku/>
        <w:wordWrap/>
        <w:overflowPunct/>
        <w:topLinePunct w:val="0"/>
        <w:autoSpaceDE/>
        <w:autoSpaceDN/>
        <w:bidi w:val="0"/>
        <w:adjustRightInd w:val="0"/>
        <w:spacing w:before="0" w:line="348" w:lineRule="auto"/>
        <w:ind w:firstLine="0" w:firstLineChars="0"/>
        <w:jc w:val="both"/>
        <w:textAlignment w:val="auto"/>
        <w:outlineLvl w:val="9"/>
        <w:rPr>
          <w:rFonts w:hint="eastAsia" w:ascii="宋体" w:hAnsi="宋体" w:eastAsia="宋体" w:cs="宋体"/>
          <w:b/>
          <w:color w:val="auto"/>
          <w:kern w:val="0"/>
          <w:sz w:val="24"/>
          <w:szCs w:val="24"/>
          <w:highlight w:val="none"/>
          <w:lang w:val="en-US" w:eastAsia="zh-CN" w:bidi="ar-SA"/>
        </w:rPr>
      </w:pPr>
      <w:r>
        <w:rPr>
          <w:rFonts w:hint="eastAsia" w:ascii="宋体" w:hAnsi="宋体" w:eastAsia="宋体" w:cs="宋体"/>
          <w:b/>
          <w:color w:val="auto"/>
          <w:kern w:val="0"/>
          <w:sz w:val="24"/>
          <w:szCs w:val="24"/>
          <w:highlight w:val="none"/>
          <w:lang w:val="en-US" w:eastAsia="zh-CN" w:bidi="ar-SA"/>
        </w:rPr>
        <w:t>2.磋商小组及其成员不得有下列行为：</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2.1确定参与本项目至评审结束前私自接触供应商；</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 xml:space="preserve">2.2接受供应商提出的“超出响应文件的范围或者改变响应文件的实质性内容”的澄清、说明或者更正； </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2.3违反评审纪律发表倾向性意见或者征询采购人的倾向性意见；</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2.4对需要专业判断的主观评审因素协商评分；</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2.5在评审过程中擅离职守，影响评审程序正常进行的；</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2.6记录、复制或者带走任何评审资料；</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2.7其他不遵守评审纪律的行为。</w:t>
      </w:r>
    </w:p>
    <w:p>
      <w:pPr>
        <w:keepNext w:val="0"/>
        <w:keepLines w:val="0"/>
        <w:pageBreakBefore w:val="0"/>
        <w:widowControl w:val="0"/>
        <w:kinsoku/>
        <w:wordWrap/>
        <w:overflowPunct/>
        <w:topLinePunct w:val="0"/>
        <w:autoSpaceDE/>
        <w:autoSpaceDN/>
        <w:bidi w:val="0"/>
        <w:adjustRightInd w:val="0"/>
        <w:spacing w:before="0" w:line="348" w:lineRule="auto"/>
        <w:ind w:firstLine="48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kern w:val="2"/>
          <w:sz w:val="24"/>
          <w:szCs w:val="20"/>
          <w:highlight w:val="none"/>
          <w:lang w:val="en-US" w:eastAsia="zh-CN" w:bidi="ar-SA"/>
        </w:rPr>
        <w:t>磋商小组成员有2.1-2.5行为之一的，其评审意见无效，并不得获取评审劳务报酬和报销异地评审差旅费。</w:t>
      </w:r>
    </w:p>
    <w:p>
      <w:pPr>
        <w:rPr>
          <w:rFonts w:hint="eastAsia" w:ascii="宋体" w:hAnsi="宋体" w:eastAsia="宋体" w:cs="宋体"/>
          <w:color w:val="auto"/>
          <w:highlight w:val="none"/>
        </w:rPr>
      </w:pPr>
    </w:p>
    <w:p>
      <w:pPr>
        <w:pStyle w:val="5"/>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rPr>
          <w:rFonts w:hint="eastAsia" w:ascii="宋体" w:hAnsi="宋体" w:eastAsia="宋体" w:cs="宋体"/>
          <w:color w:val="auto"/>
          <w:highlight w:val="none"/>
        </w:rPr>
        <w:sectPr>
          <w:pgSz w:w="11907" w:h="16840"/>
          <w:pgMar w:top="1440" w:right="1080" w:bottom="1440" w:left="1080" w:header="851" w:footer="851" w:gutter="0"/>
          <w:cols w:space="720" w:num="1"/>
        </w:sectPr>
      </w:pPr>
    </w:p>
    <w:bookmarkEnd w:id="50"/>
    <w:p>
      <w:pPr>
        <w:spacing w:line="360" w:lineRule="auto"/>
        <w:jc w:val="center"/>
        <w:outlineLvl w:val="0"/>
        <w:rPr>
          <w:rFonts w:hint="eastAsia" w:ascii="宋体" w:hAnsi="宋体" w:eastAsia="宋体" w:cs="宋体"/>
          <w:b/>
          <w:color w:val="auto"/>
          <w:sz w:val="36"/>
          <w:szCs w:val="36"/>
          <w:highlight w:val="none"/>
        </w:rPr>
      </w:pPr>
      <w:bookmarkStart w:id="417" w:name="_Toc27383"/>
      <w:bookmarkStart w:id="418" w:name="第五部分"/>
      <w:bookmarkStart w:id="419" w:name="_Toc86217003"/>
      <w:r>
        <w:rPr>
          <w:rFonts w:hint="eastAsia" w:ascii="宋体" w:hAnsi="宋体" w:eastAsia="宋体" w:cs="宋体"/>
          <w:b/>
          <w:color w:val="auto"/>
          <w:sz w:val="36"/>
          <w:szCs w:val="36"/>
          <w:highlight w:val="none"/>
        </w:rPr>
        <w:t>第五部分 拟签订的合同文本</w:t>
      </w:r>
      <w:bookmarkEnd w:id="417"/>
    </w:p>
    <w:p>
      <w:pPr>
        <w:snapToGrid w:val="0"/>
        <w:spacing w:line="360" w:lineRule="auto"/>
        <w:ind w:firstLine="480" w:firstLineChars="200"/>
        <w:jc w:val="left"/>
        <w:rPr>
          <w:rFonts w:hint="eastAsia" w:ascii="宋体" w:hAnsi="宋体" w:eastAsia="宋体" w:cs="宋体"/>
          <w:snapToGrid w:val="0"/>
          <w:color w:val="auto"/>
          <w:kern w:val="0"/>
          <w:sz w:val="24"/>
          <w:szCs w:val="20"/>
          <w:highlight w:val="none"/>
        </w:rPr>
      </w:pPr>
      <w:r>
        <w:rPr>
          <w:rFonts w:hint="eastAsia" w:ascii="宋体" w:hAnsi="宋体" w:eastAsia="宋体" w:cs="宋体"/>
          <w:snapToGrid w:val="0"/>
          <w:color w:val="auto"/>
          <w:kern w:val="0"/>
          <w:sz w:val="24"/>
          <w:szCs w:val="20"/>
          <w:highlight w:val="none"/>
        </w:rPr>
        <w:t>参考住房城乡建设部、原国家工商行政管理总局制定的《建设工程施工合同（示范文本）》（GF-2017-0201）。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auto"/>
          <w:kern w:val="44"/>
          <w:sz w:val="24"/>
          <w:szCs w:val="2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auto"/>
          <w:kern w:val="44"/>
          <w:sz w:val="24"/>
          <w:szCs w:val="2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auto"/>
          <w:kern w:val="44"/>
          <w:sz w:val="24"/>
          <w:szCs w:val="20"/>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44"/>
          <w:sz w:val="24"/>
          <w:szCs w:val="20"/>
          <w:highlight w:val="none"/>
        </w:rPr>
        <w:br w:type="page"/>
      </w:r>
    </w:p>
    <w:p>
      <w:pPr>
        <w:keepNext/>
        <w:keepLines/>
        <w:numPr>
          <w:ilvl w:val="1"/>
          <w:numId w:val="0"/>
        </w:numPr>
        <w:snapToGrid w:val="0"/>
        <w:spacing w:before="100" w:line="360" w:lineRule="auto"/>
        <w:jc w:val="center"/>
        <w:outlineLvl w:val="0"/>
        <w:rPr>
          <w:rFonts w:hint="eastAsia" w:ascii="宋体" w:hAnsi="宋体" w:eastAsia="宋体" w:cs="宋体"/>
          <w:snapToGrid w:val="0"/>
          <w:color w:val="auto"/>
          <w:kern w:val="44"/>
          <w:sz w:val="28"/>
          <w:szCs w:val="20"/>
          <w:highlight w:val="none"/>
        </w:rPr>
      </w:pPr>
      <w:bookmarkStart w:id="420" w:name="_Toc984"/>
      <w:bookmarkStart w:id="421" w:name="_Toc32130"/>
      <w:bookmarkStart w:id="422" w:name="_Toc97299497"/>
      <w:r>
        <w:rPr>
          <w:rFonts w:hint="eastAsia" w:ascii="宋体" w:hAnsi="宋体" w:eastAsia="宋体" w:cs="宋体"/>
          <w:snapToGrid w:val="0"/>
          <w:color w:val="auto"/>
          <w:kern w:val="44"/>
          <w:sz w:val="28"/>
          <w:szCs w:val="20"/>
          <w:highlight w:val="none"/>
        </w:rPr>
        <w:t>第一部分  合同协议书</w:t>
      </w:r>
      <w:bookmarkEnd w:id="420"/>
      <w:bookmarkEnd w:id="421"/>
      <w:bookmarkEnd w:id="422"/>
    </w:p>
    <w:p>
      <w:pPr>
        <w:snapToGrid w:val="0"/>
        <w:spacing w:line="360" w:lineRule="auto"/>
        <w:ind w:firstLine="470" w:firstLineChars="196"/>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发包人（全称）：</w:t>
      </w:r>
      <w:r>
        <w:rPr>
          <w:rFonts w:hint="eastAsia" w:ascii="宋体" w:hAnsi="宋体" w:eastAsia="宋体" w:cs="宋体"/>
          <w:snapToGrid w:val="0"/>
          <w:color w:val="auto"/>
          <w:kern w:val="0"/>
          <w:sz w:val="24"/>
          <w:highlight w:val="none"/>
          <w:u w:val="single"/>
        </w:rPr>
        <w:t xml:space="preserve">    </w:t>
      </w:r>
      <w:bookmarkStart w:id="423" w:name="SOA_hhxys_fbr"/>
      <w:r>
        <w:rPr>
          <w:rFonts w:hint="eastAsia" w:ascii="宋体" w:hAnsi="宋体" w:eastAsia="宋体" w:cs="宋体"/>
          <w:snapToGrid w:val="0"/>
          <w:color w:val="auto"/>
          <w:kern w:val="0"/>
          <w:sz w:val="24"/>
          <w:highlight w:val="none"/>
          <w:u w:val="single"/>
        </w:rPr>
        <w:t xml:space="preserve">                  </w:t>
      </w:r>
      <w:bookmarkEnd w:id="423"/>
      <w:r>
        <w:rPr>
          <w:rFonts w:hint="eastAsia" w:ascii="宋体" w:hAnsi="宋体" w:eastAsia="宋体" w:cs="宋体"/>
          <w:snapToGrid w:val="0"/>
          <w:color w:val="auto"/>
          <w:kern w:val="0"/>
          <w:sz w:val="24"/>
          <w:highlight w:val="none"/>
          <w:u w:val="single"/>
        </w:rPr>
        <w:t xml:space="preserve"> </w:t>
      </w:r>
    </w:p>
    <w:p>
      <w:pPr>
        <w:snapToGrid w:val="0"/>
        <w:spacing w:line="360" w:lineRule="auto"/>
        <w:ind w:firstLine="470" w:firstLineChars="196"/>
        <w:rPr>
          <w:rFonts w:hint="eastAsia" w:ascii="宋体" w:hAnsi="宋体" w:eastAsia="宋体" w:cs="宋体"/>
          <w:b/>
          <w:snapToGrid w:val="0"/>
          <w:color w:val="auto"/>
          <w:kern w:val="0"/>
          <w:sz w:val="24"/>
          <w:highlight w:val="none"/>
          <w:u w:val="single"/>
        </w:rPr>
      </w:pPr>
      <w:r>
        <w:rPr>
          <w:rFonts w:hint="eastAsia" w:ascii="宋体" w:hAnsi="宋体" w:eastAsia="宋体" w:cs="宋体"/>
          <w:snapToGrid w:val="0"/>
          <w:color w:val="auto"/>
          <w:kern w:val="0"/>
          <w:sz w:val="24"/>
          <w:highlight w:val="none"/>
        </w:rPr>
        <w:t>承包人（全称）：</w:t>
      </w:r>
      <w:r>
        <w:rPr>
          <w:rFonts w:hint="eastAsia" w:ascii="宋体" w:hAnsi="宋体" w:eastAsia="宋体" w:cs="宋体"/>
          <w:snapToGrid w:val="0"/>
          <w:color w:val="auto"/>
          <w:kern w:val="0"/>
          <w:sz w:val="24"/>
          <w:highlight w:val="none"/>
          <w:u w:val="single"/>
        </w:rPr>
        <w:t xml:space="preserve">                  </w:t>
      </w:r>
      <w:bookmarkStart w:id="424" w:name="SOA_hhxys_cb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b/>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u w:val="single"/>
        </w:rPr>
        <w:t xml:space="preserve">    </w:t>
      </w:r>
      <w:bookmarkEnd w:id="424"/>
      <w:r>
        <w:rPr>
          <w:rFonts w:hint="eastAsia" w:ascii="宋体" w:hAnsi="宋体" w:eastAsia="宋体" w:cs="宋体"/>
          <w:snapToGrid w:val="0"/>
          <w:color w:val="auto"/>
          <w:kern w:val="0"/>
          <w:sz w:val="24"/>
          <w:highlight w:val="none"/>
          <w:u w:val="singl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根据《中华人民共和国民法典》、 《中华人民共和国建筑法》及有关法律规定，遵循平等、自愿、公平和诚实信用的原则，双方就</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工程施工及有关事项协商一致，共同达成如下协议：</w:t>
      </w:r>
    </w:p>
    <w:p>
      <w:pPr>
        <w:snapToGrid w:val="0"/>
        <w:spacing w:before="24" w:beforeLines="10" w:after="24" w:afterLines="10" w:line="360" w:lineRule="auto"/>
        <w:outlineLvl w:val="1"/>
        <w:rPr>
          <w:rFonts w:hint="eastAsia" w:ascii="宋体" w:hAnsi="宋体" w:eastAsia="宋体" w:cs="宋体"/>
          <w:b/>
          <w:bCs/>
          <w:snapToGrid w:val="0"/>
          <w:color w:val="auto"/>
          <w:kern w:val="0"/>
          <w:sz w:val="24"/>
          <w:highlight w:val="none"/>
        </w:rPr>
      </w:pPr>
      <w:bookmarkStart w:id="425" w:name="_Toc97299498"/>
      <w:bookmarkStart w:id="426" w:name="_Toc361220410"/>
      <w:r>
        <w:rPr>
          <w:rFonts w:hint="eastAsia" w:ascii="宋体" w:hAnsi="宋体" w:eastAsia="宋体" w:cs="宋体"/>
          <w:b/>
          <w:bCs/>
          <w:snapToGrid w:val="0"/>
          <w:color w:val="auto"/>
          <w:kern w:val="0"/>
          <w:sz w:val="24"/>
          <w:highlight w:val="none"/>
        </w:rPr>
        <w:t>一、工程概况</w:t>
      </w:r>
      <w:bookmarkEnd w:id="425"/>
      <w:bookmarkEnd w:id="426"/>
    </w:p>
    <w:p>
      <w:pPr>
        <w:snapToGrid w:val="0"/>
        <w:spacing w:line="360" w:lineRule="auto"/>
        <w:ind w:firstLine="470" w:firstLineChars="196"/>
        <w:rPr>
          <w:rFonts w:hint="eastAsia" w:ascii="宋体" w:hAnsi="宋体" w:eastAsia="宋体" w:cs="宋体"/>
          <w:snapToGrid w:val="0"/>
          <w:color w:val="auto"/>
          <w:kern w:val="0"/>
          <w:sz w:val="24"/>
          <w:highlight w:val="none"/>
          <w:u w:val="single"/>
        </w:rPr>
      </w:pPr>
      <w:r>
        <w:rPr>
          <w:rFonts w:hint="eastAsia" w:ascii="宋体" w:hAnsi="宋体" w:eastAsia="宋体" w:cs="宋体"/>
          <w:bCs/>
          <w:snapToGrid w:val="0"/>
          <w:color w:val="auto"/>
          <w:kern w:val="0"/>
          <w:sz w:val="24"/>
          <w:highlight w:val="none"/>
        </w:rPr>
        <w:t>1.工程名称</w:t>
      </w:r>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u w:val="single"/>
          <w:lang w:eastAsia="zh-CN"/>
        </w:rPr>
        <w:t>海曙区西门望春社区卫生服务中心住院楼装修改造项目</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snapToGrid w:val="0"/>
        <w:spacing w:line="360" w:lineRule="auto"/>
        <w:ind w:firstLine="470" w:firstLineChars="196"/>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2.工程地点：</w:t>
      </w:r>
      <w:r>
        <w:rPr>
          <w:rFonts w:hint="eastAsia" w:ascii="宋体" w:hAnsi="宋体" w:eastAsia="宋体" w:cs="宋体"/>
          <w:snapToGrid w:val="0"/>
          <w:color w:val="auto"/>
          <w:kern w:val="0"/>
          <w:sz w:val="24"/>
          <w:highlight w:val="none"/>
          <w:u w:val="single"/>
        </w:rPr>
        <w:t xml:space="preserve"> 宁波市海曙区西门望春社区卫生服务中心 </w:t>
      </w:r>
      <w:r>
        <w:rPr>
          <w:rFonts w:hint="eastAsia" w:ascii="宋体" w:hAnsi="宋体" w:eastAsia="宋体" w:cs="宋体"/>
          <w:snapToGrid w:val="0"/>
          <w:color w:val="auto"/>
          <w:kern w:val="0"/>
          <w:sz w:val="24"/>
          <w:highlight w:val="none"/>
        </w:rPr>
        <w:t>。</w:t>
      </w:r>
    </w:p>
    <w:p>
      <w:pPr>
        <w:snapToGrid w:val="0"/>
        <w:spacing w:line="360" w:lineRule="auto"/>
        <w:ind w:firstLine="470" w:firstLineChars="196"/>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3.工程立项批准文号：</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u w:val="single"/>
          <w:lang w:val="en-US" w:eastAsia="zh-CN"/>
        </w:rPr>
        <w:t>/</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w:t>
      </w:r>
    </w:p>
    <w:p>
      <w:pPr>
        <w:snapToGrid w:val="0"/>
        <w:spacing w:line="360" w:lineRule="auto"/>
        <w:ind w:firstLine="470" w:firstLineChars="196"/>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4.资金来源：</w:t>
      </w:r>
      <w:r>
        <w:rPr>
          <w:rFonts w:hint="eastAsia" w:ascii="宋体" w:hAnsi="宋体" w:eastAsia="宋体" w:cs="宋体"/>
          <w:snapToGrid w:val="0"/>
          <w:color w:val="auto"/>
          <w:kern w:val="0"/>
          <w:sz w:val="24"/>
          <w:highlight w:val="none"/>
          <w:u w:val="single"/>
        </w:rPr>
        <w:t>        </w:t>
      </w:r>
      <w:r>
        <w:rPr>
          <w:rFonts w:hint="eastAsia" w:ascii="宋体" w:hAnsi="宋体" w:eastAsia="宋体" w:cs="宋体"/>
          <w:bCs/>
          <w:snapToGrid w:val="0"/>
          <w:color w:val="auto"/>
          <w:kern w:val="0"/>
          <w:sz w:val="24"/>
          <w:highlight w:val="none"/>
        </w:rPr>
        <w:t>。</w:t>
      </w:r>
    </w:p>
    <w:p>
      <w:pPr>
        <w:snapToGrid w:val="0"/>
        <w:spacing w:line="360" w:lineRule="auto"/>
        <w:ind w:firstLine="463" w:firstLineChars="193"/>
        <w:rPr>
          <w:rFonts w:hint="eastAsia" w:ascii="宋体" w:hAnsi="宋体" w:eastAsia="宋体" w:cs="宋体"/>
          <w:snapToGrid w:val="0"/>
          <w:color w:val="auto"/>
          <w:kern w:val="0"/>
          <w:sz w:val="24"/>
          <w:highlight w:val="none"/>
        </w:rPr>
      </w:pPr>
      <w:r>
        <w:rPr>
          <w:rFonts w:hint="eastAsia" w:ascii="宋体" w:hAnsi="宋体" w:eastAsia="宋体" w:cs="宋体"/>
          <w:bCs/>
          <w:snapToGrid w:val="0"/>
          <w:color w:val="auto"/>
          <w:kern w:val="0"/>
          <w:sz w:val="24"/>
          <w:highlight w:val="none"/>
        </w:rPr>
        <w:t>5.工程内容：</w:t>
      </w:r>
      <w:r>
        <w:rPr>
          <w:rFonts w:hint="eastAsia" w:ascii="宋体" w:hAnsi="宋体" w:cs="宋体"/>
          <w:color w:val="auto"/>
          <w:sz w:val="24"/>
          <w:highlight w:val="none"/>
          <w:lang w:eastAsia="zh-CN"/>
        </w:rPr>
        <w:t>海曙区西门望春社区卫生服务中心住院楼装修改造项目</w:t>
      </w:r>
    </w:p>
    <w:p>
      <w:pPr>
        <w:snapToGrid w:val="0"/>
        <w:spacing w:line="360" w:lineRule="auto"/>
        <w:ind w:firstLine="470" w:firstLineChars="196"/>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6.工程承包范围：</w:t>
      </w:r>
    </w:p>
    <w:p>
      <w:pPr>
        <w:snapToGrid w:val="0"/>
        <w:spacing w:line="360" w:lineRule="auto"/>
        <w:ind w:firstLine="463" w:firstLineChars="193"/>
        <w:rPr>
          <w:rFonts w:hint="eastAsia" w:ascii="宋体" w:hAnsi="宋体" w:eastAsia="宋体" w:cs="宋体"/>
          <w:bCs/>
          <w:snapToGrid w:val="0"/>
          <w:color w:val="auto"/>
          <w:kern w:val="0"/>
          <w:sz w:val="24"/>
          <w:highlight w:val="none"/>
          <w:lang w:eastAsia="zh-CN"/>
        </w:rPr>
      </w:pPr>
      <w:bookmarkStart w:id="427" w:name="_Toc361220411"/>
      <w:r>
        <w:rPr>
          <w:rFonts w:hint="eastAsia" w:ascii="宋体" w:hAnsi="宋体" w:eastAsia="宋体" w:cs="宋体"/>
          <w:bCs/>
          <w:snapToGrid w:val="0"/>
          <w:color w:val="auto"/>
          <w:kern w:val="0"/>
          <w:sz w:val="24"/>
          <w:highlight w:val="none"/>
        </w:rPr>
        <w:t>本项目为（</w:t>
      </w:r>
      <w:r>
        <w:rPr>
          <w:rFonts w:hint="eastAsia" w:ascii="宋体" w:hAnsi="宋体" w:cs="宋体"/>
          <w:bCs/>
          <w:snapToGrid w:val="0"/>
          <w:color w:val="auto"/>
          <w:kern w:val="0"/>
          <w:sz w:val="24"/>
          <w:highlight w:val="none"/>
          <w:lang w:eastAsia="zh-CN"/>
        </w:rPr>
        <w:t>海曙区西门望春社区卫生服务中心住院楼装修改造项目</w:t>
      </w:r>
      <w:r>
        <w:rPr>
          <w:rFonts w:hint="eastAsia" w:ascii="宋体" w:hAnsi="宋体" w:eastAsia="宋体" w:cs="宋体"/>
          <w:bCs/>
          <w:snapToGrid w:val="0"/>
          <w:color w:val="auto"/>
          <w:kern w:val="0"/>
          <w:sz w:val="24"/>
          <w:highlight w:val="none"/>
        </w:rPr>
        <w:t>）项目，详见图纸、工程量清单以及采购文件要求</w:t>
      </w:r>
      <w:r>
        <w:rPr>
          <w:rFonts w:hint="eastAsia" w:ascii="宋体" w:hAnsi="宋体" w:cs="宋体"/>
          <w:bCs/>
          <w:snapToGrid w:val="0"/>
          <w:color w:val="auto"/>
          <w:kern w:val="0"/>
          <w:sz w:val="24"/>
          <w:highlight w:val="none"/>
          <w:lang w:eastAsia="zh-CN"/>
        </w:rPr>
        <w:t>。</w:t>
      </w:r>
    </w:p>
    <w:p>
      <w:pPr>
        <w:snapToGrid w:val="0"/>
        <w:spacing w:line="360" w:lineRule="auto"/>
        <w:outlineLvl w:val="1"/>
        <w:rPr>
          <w:rFonts w:hint="eastAsia" w:ascii="宋体" w:hAnsi="宋体" w:eastAsia="宋体" w:cs="宋体"/>
          <w:b/>
          <w:bCs/>
          <w:snapToGrid w:val="0"/>
          <w:color w:val="auto"/>
          <w:kern w:val="0"/>
          <w:sz w:val="24"/>
          <w:highlight w:val="none"/>
        </w:rPr>
      </w:pPr>
      <w:bookmarkStart w:id="428" w:name="_Toc97299499"/>
      <w:r>
        <w:rPr>
          <w:rFonts w:hint="eastAsia" w:ascii="宋体" w:hAnsi="宋体" w:eastAsia="宋体" w:cs="宋体"/>
          <w:b/>
          <w:bCs/>
          <w:snapToGrid w:val="0"/>
          <w:color w:val="auto"/>
          <w:kern w:val="0"/>
          <w:sz w:val="24"/>
          <w:highlight w:val="none"/>
        </w:rPr>
        <w:t>二、合同工期</w:t>
      </w:r>
      <w:bookmarkEnd w:id="427"/>
      <w:bookmarkEnd w:id="428"/>
    </w:p>
    <w:p>
      <w:pPr>
        <w:snapToGrid w:val="0"/>
        <w:spacing w:line="360" w:lineRule="auto"/>
        <w:ind w:firstLine="459"/>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计划开工日期：</w:t>
      </w:r>
      <w:r>
        <w:rPr>
          <w:rFonts w:hint="eastAsia" w:ascii="宋体" w:hAnsi="宋体" w:eastAsia="宋体" w:cs="宋体"/>
          <w:snapToGrid w:val="0"/>
          <w:color w:val="auto"/>
          <w:kern w:val="0"/>
          <w:sz w:val="24"/>
          <w:highlight w:val="none"/>
          <w:u w:val="single"/>
        </w:rPr>
        <w:t xml:space="preserve">20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w:t>
      </w:r>
    </w:p>
    <w:p>
      <w:pPr>
        <w:snapToGrid w:val="0"/>
        <w:spacing w:line="360" w:lineRule="auto"/>
        <w:ind w:firstLine="459"/>
        <w:rPr>
          <w:rFonts w:hint="eastAsia" w:ascii="宋体" w:hAnsi="宋体" w:eastAsia="宋体" w:cs="宋体"/>
          <w:snapToGrid w:val="0"/>
          <w:color w:val="auto"/>
          <w:kern w:val="0"/>
          <w:sz w:val="24"/>
          <w:highlight w:val="none"/>
        </w:rPr>
      </w:pPr>
      <w:bookmarkStart w:id="429" w:name="SOA_hhxys_jgn"/>
      <w:r>
        <w:rPr>
          <w:rFonts w:hint="eastAsia" w:ascii="宋体" w:hAnsi="宋体" w:eastAsia="宋体" w:cs="宋体"/>
          <w:snapToGrid w:val="0"/>
          <w:color w:val="auto"/>
          <w:kern w:val="0"/>
          <w:sz w:val="24"/>
          <w:highlight w:val="none"/>
        </w:rPr>
        <w:t>计划竣工日期：</w:t>
      </w:r>
      <w:r>
        <w:rPr>
          <w:rFonts w:hint="eastAsia" w:ascii="宋体" w:hAnsi="宋体" w:eastAsia="宋体" w:cs="宋体"/>
          <w:snapToGrid w:val="0"/>
          <w:color w:val="auto"/>
          <w:kern w:val="0"/>
          <w:sz w:val="24"/>
          <w:highlight w:val="none"/>
          <w:u w:val="single"/>
        </w:rPr>
        <w:t xml:space="preserve">20  </w:t>
      </w:r>
      <w:r>
        <w:rPr>
          <w:rFonts w:hint="eastAsia" w:ascii="宋体" w:hAnsi="宋体" w:eastAsia="宋体" w:cs="宋体"/>
          <w:snapToGrid w:val="0"/>
          <w:color w:val="auto"/>
          <w:kern w:val="0"/>
          <w:sz w:val="24"/>
          <w:highlight w:val="none"/>
        </w:rPr>
        <w:t>年</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月</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日；</w:t>
      </w:r>
      <w:bookmarkEnd w:id="429"/>
    </w:p>
    <w:p>
      <w:pPr>
        <w:snapToGrid w:val="0"/>
        <w:spacing w:line="360" w:lineRule="auto"/>
        <w:ind w:firstLine="459"/>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工期总日历天数：</w:t>
      </w:r>
      <w:r>
        <w:rPr>
          <w:rFonts w:hint="eastAsia" w:ascii="宋体" w:hAnsi="宋体" w:eastAsia="宋体" w:cs="宋体"/>
          <w:snapToGrid w:val="0"/>
          <w:color w:val="auto"/>
          <w:kern w:val="0"/>
          <w:sz w:val="24"/>
          <w:highlight w:val="none"/>
          <w:u w:val="single"/>
        </w:rPr>
        <w:t xml:space="preserve"> </w:t>
      </w:r>
      <w:r>
        <w:rPr>
          <w:rFonts w:hint="eastAsia" w:ascii="宋体" w:hAnsi="宋体" w:cs="宋体"/>
          <w:snapToGrid w:val="0"/>
          <w:color w:val="auto"/>
          <w:kern w:val="0"/>
          <w:sz w:val="24"/>
          <w:highlight w:val="none"/>
          <w:u w:val="single"/>
          <w:lang w:val="en-US" w:eastAsia="zh-CN"/>
        </w:rPr>
        <w:t>60</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天。工期总日历天数与根据前述计划开竣工日期计算的工期天数不一致的，以工期总日历天数为准。</w:t>
      </w:r>
    </w:p>
    <w:p>
      <w:pPr>
        <w:snapToGrid w:val="0"/>
        <w:spacing w:line="360" w:lineRule="auto"/>
        <w:outlineLvl w:val="1"/>
        <w:rPr>
          <w:rFonts w:hint="eastAsia" w:ascii="宋体" w:hAnsi="宋体" w:eastAsia="宋体" w:cs="宋体"/>
          <w:b/>
          <w:bCs/>
          <w:snapToGrid w:val="0"/>
          <w:color w:val="auto"/>
          <w:kern w:val="0"/>
          <w:sz w:val="24"/>
          <w:highlight w:val="none"/>
        </w:rPr>
      </w:pPr>
      <w:bookmarkStart w:id="430" w:name="_Toc361220412"/>
      <w:bookmarkStart w:id="431" w:name="_Toc97299500"/>
      <w:r>
        <w:rPr>
          <w:rFonts w:hint="eastAsia" w:ascii="宋体" w:hAnsi="宋体" w:eastAsia="宋体" w:cs="宋体"/>
          <w:b/>
          <w:bCs/>
          <w:snapToGrid w:val="0"/>
          <w:color w:val="auto"/>
          <w:kern w:val="0"/>
          <w:sz w:val="24"/>
          <w:highlight w:val="none"/>
        </w:rPr>
        <w:t>三、质量标准</w:t>
      </w:r>
      <w:bookmarkEnd w:id="430"/>
      <w:bookmarkEnd w:id="431"/>
    </w:p>
    <w:p>
      <w:pPr>
        <w:snapToGrid w:val="0"/>
        <w:spacing w:line="360" w:lineRule="auto"/>
        <w:ind w:firstLine="459"/>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工程质量符合</w:t>
      </w:r>
      <w:r>
        <w:rPr>
          <w:rFonts w:hint="eastAsia" w:ascii="宋体" w:hAnsi="宋体" w:eastAsia="宋体" w:cs="宋体"/>
          <w:snapToGrid w:val="0"/>
          <w:color w:val="auto"/>
          <w:kern w:val="0"/>
          <w:sz w:val="24"/>
          <w:highlight w:val="none"/>
          <w:u w:val="single"/>
        </w:rPr>
        <w:t></w:t>
      </w:r>
      <w:bookmarkStart w:id="432" w:name="SOA_hhxys_zlbz"/>
      <w:r>
        <w:rPr>
          <w:rFonts w:hint="eastAsia" w:ascii="宋体" w:hAnsi="宋体" w:eastAsia="宋体" w:cs="宋体"/>
          <w:snapToGrid w:val="0"/>
          <w:color w:val="auto"/>
          <w:kern w:val="0"/>
          <w:sz w:val="24"/>
          <w:highlight w:val="none"/>
          <w:u w:val="single"/>
        </w:rPr>
        <w:t xml:space="preserve">       </w:t>
      </w:r>
      <w:bookmarkEnd w:id="432"/>
      <w:r>
        <w:rPr>
          <w:rFonts w:hint="eastAsia" w:ascii="宋体" w:hAnsi="宋体" w:eastAsia="宋体" w:cs="宋体"/>
          <w:snapToGrid w:val="0"/>
          <w:color w:val="auto"/>
          <w:kern w:val="0"/>
          <w:sz w:val="24"/>
          <w:highlight w:val="none"/>
          <w:u w:val="single"/>
        </w:rPr>
        <w:t></w:t>
      </w:r>
      <w:r>
        <w:rPr>
          <w:rFonts w:hint="eastAsia" w:ascii="宋体" w:hAnsi="宋体" w:eastAsia="宋体" w:cs="宋体"/>
          <w:snapToGrid w:val="0"/>
          <w:color w:val="auto"/>
          <w:kern w:val="0"/>
          <w:sz w:val="24"/>
          <w:highlight w:val="none"/>
        </w:rPr>
        <w:t>标准。</w:t>
      </w:r>
    </w:p>
    <w:p>
      <w:pPr>
        <w:snapToGrid w:val="0"/>
        <w:spacing w:line="360" w:lineRule="auto"/>
        <w:outlineLvl w:val="1"/>
        <w:rPr>
          <w:rFonts w:hint="eastAsia" w:ascii="宋体" w:hAnsi="宋体" w:eastAsia="宋体" w:cs="宋体"/>
          <w:b/>
          <w:bCs/>
          <w:snapToGrid w:val="0"/>
          <w:color w:val="auto"/>
          <w:kern w:val="0"/>
          <w:sz w:val="24"/>
          <w:highlight w:val="none"/>
        </w:rPr>
      </w:pPr>
      <w:bookmarkStart w:id="433" w:name="_Toc97299501"/>
      <w:bookmarkStart w:id="434" w:name="_Toc361220413"/>
      <w:r>
        <w:rPr>
          <w:rFonts w:hint="eastAsia" w:ascii="宋体" w:hAnsi="宋体" w:eastAsia="宋体" w:cs="宋体"/>
          <w:b/>
          <w:bCs/>
          <w:snapToGrid w:val="0"/>
          <w:color w:val="auto"/>
          <w:kern w:val="0"/>
          <w:sz w:val="24"/>
          <w:highlight w:val="none"/>
        </w:rPr>
        <w:t>四、签约合同价与合同价格形式</w:t>
      </w:r>
      <w:bookmarkEnd w:id="433"/>
      <w:bookmarkEnd w:id="434"/>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1.签约合同价为：</w:t>
      </w:r>
    </w:p>
    <w:p>
      <w:pPr>
        <w:snapToGrid w:val="0"/>
        <w:spacing w:line="360" w:lineRule="auto"/>
        <w:ind w:firstLine="600" w:firstLineChars="25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人民币（大写）</w:t>
      </w:r>
      <w:bookmarkStart w:id="435" w:name="SOA_hhxys_htjdx"/>
      <w:r>
        <w:rPr>
          <w:rFonts w:hint="eastAsia" w:ascii="宋体" w:hAnsi="宋体" w:eastAsia="宋体" w:cs="宋体"/>
          <w:snapToGrid w:val="0"/>
          <w:color w:val="auto"/>
          <w:kern w:val="0"/>
          <w:sz w:val="24"/>
          <w:highlight w:val="none"/>
          <w:u w:val="single"/>
        </w:rPr>
        <w:t xml:space="preserve">                   </w:t>
      </w:r>
      <w:bookmarkEnd w:id="435"/>
      <w:r>
        <w:rPr>
          <w:rFonts w:hint="eastAsia" w:ascii="宋体" w:hAnsi="宋体" w:eastAsia="宋体" w:cs="宋体"/>
          <w:snapToGrid w:val="0"/>
          <w:color w:val="auto"/>
          <w:kern w:val="0"/>
          <w:sz w:val="24"/>
          <w:highlight w:val="none"/>
        </w:rPr>
        <w:t>(¥</w:t>
      </w:r>
      <w:r>
        <w:rPr>
          <w:rFonts w:hint="eastAsia" w:ascii="宋体" w:hAnsi="宋体" w:eastAsia="宋体" w:cs="宋体"/>
          <w:snapToGrid w:val="0"/>
          <w:color w:val="auto"/>
          <w:kern w:val="0"/>
          <w:sz w:val="24"/>
          <w:highlight w:val="none"/>
          <w:u w:val="single"/>
        </w:rPr>
        <w:t xml:space="preserve"> </w:t>
      </w:r>
      <w:bookmarkStart w:id="436" w:name="SOA_hhxys_htjxx"/>
      <w:r>
        <w:rPr>
          <w:rFonts w:hint="eastAsia" w:ascii="宋体" w:hAnsi="宋体" w:eastAsia="宋体" w:cs="宋体"/>
          <w:snapToGrid w:val="0"/>
          <w:color w:val="auto"/>
          <w:kern w:val="0"/>
          <w:sz w:val="24"/>
          <w:highlight w:val="none"/>
          <w:u w:val="single"/>
        </w:rPr>
        <w:t xml:space="preserve">            </w:t>
      </w:r>
      <w:bookmarkEnd w:id="436"/>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元</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其中：</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（1）安全文明施工费：</w:t>
      </w:r>
    </w:p>
    <w:p>
      <w:pPr>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人民币（大写）</w:t>
      </w:r>
      <w:bookmarkStart w:id="437" w:name="SOA_hhxys_wmsgfdx"/>
      <w:r>
        <w:rPr>
          <w:rFonts w:hint="eastAsia" w:ascii="宋体" w:hAnsi="宋体" w:eastAsia="宋体" w:cs="宋体"/>
          <w:snapToGrid w:val="0"/>
          <w:color w:val="auto"/>
          <w:kern w:val="0"/>
          <w:sz w:val="24"/>
          <w:highlight w:val="none"/>
          <w:u w:val="single"/>
        </w:rPr>
        <w:t xml:space="preserve">                </w:t>
      </w:r>
      <w:bookmarkEnd w:id="437"/>
      <w:r>
        <w:rPr>
          <w:rFonts w:hint="eastAsia" w:ascii="宋体" w:hAnsi="宋体" w:eastAsia="宋体" w:cs="宋体"/>
          <w:snapToGrid w:val="0"/>
          <w:color w:val="auto"/>
          <w:kern w:val="0"/>
          <w:sz w:val="24"/>
          <w:highlight w:val="none"/>
        </w:rPr>
        <w:t>(¥</w:t>
      </w:r>
      <w:bookmarkStart w:id="438" w:name="SOA_hhxys_wmsgfxx"/>
      <w:r>
        <w:rPr>
          <w:rFonts w:hint="eastAsia" w:ascii="宋体" w:hAnsi="宋体" w:eastAsia="宋体" w:cs="宋体"/>
          <w:snapToGrid w:val="0"/>
          <w:color w:val="auto"/>
          <w:kern w:val="0"/>
          <w:sz w:val="24"/>
          <w:highlight w:val="none"/>
          <w:u w:val="single"/>
        </w:rPr>
        <w:t xml:space="preserve">                  </w:t>
      </w:r>
      <w:bookmarkEnd w:id="438"/>
      <w:r>
        <w:rPr>
          <w:rFonts w:hint="eastAsia" w:ascii="宋体" w:hAnsi="宋体" w:eastAsia="宋体" w:cs="宋体"/>
          <w:snapToGrid w:val="0"/>
          <w:color w:val="auto"/>
          <w:kern w:val="0"/>
          <w:sz w:val="24"/>
          <w:highlight w:val="none"/>
        </w:rPr>
        <w:t>元</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（2）材料和工程设备暂估价金额：</w:t>
      </w:r>
    </w:p>
    <w:p>
      <w:pPr>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人民币（大写）</w:t>
      </w:r>
      <w:bookmarkStart w:id="439" w:name="SOA_hhxys_sbzgjdx"/>
      <w:r>
        <w:rPr>
          <w:rFonts w:hint="eastAsia" w:ascii="宋体" w:hAnsi="宋体" w:eastAsia="宋体" w:cs="宋体"/>
          <w:snapToGrid w:val="0"/>
          <w:color w:val="auto"/>
          <w:kern w:val="0"/>
          <w:sz w:val="24"/>
          <w:highlight w:val="none"/>
          <w:u w:val="single"/>
        </w:rPr>
        <w:t xml:space="preserve">       </w:t>
      </w:r>
      <w:bookmarkEnd w:id="439"/>
      <w:r>
        <w:rPr>
          <w:rFonts w:hint="eastAsia" w:ascii="宋体" w:hAnsi="宋体" w:eastAsia="宋体" w:cs="宋体"/>
          <w:snapToGrid w:val="0"/>
          <w:color w:val="auto"/>
          <w:kern w:val="0"/>
          <w:sz w:val="24"/>
          <w:highlight w:val="none"/>
        </w:rPr>
        <w:t>(¥</w:t>
      </w:r>
      <w:bookmarkStart w:id="440" w:name="SOA_hhxys_sbzgjxx"/>
      <w:r>
        <w:rPr>
          <w:rFonts w:hint="eastAsia" w:ascii="宋体" w:hAnsi="宋体" w:eastAsia="宋体" w:cs="宋体"/>
          <w:snapToGrid w:val="0"/>
          <w:color w:val="auto"/>
          <w:kern w:val="0"/>
          <w:sz w:val="24"/>
          <w:highlight w:val="none"/>
          <w:u w:val="single"/>
        </w:rPr>
        <w:t xml:space="preserve">      </w:t>
      </w:r>
      <w:bookmarkEnd w:id="440"/>
      <w:r>
        <w:rPr>
          <w:rFonts w:hint="eastAsia" w:ascii="宋体" w:hAnsi="宋体" w:eastAsia="宋体" w:cs="宋体"/>
          <w:snapToGrid w:val="0"/>
          <w:color w:val="auto"/>
          <w:kern w:val="0"/>
          <w:sz w:val="24"/>
          <w:highlight w:val="none"/>
        </w:rPr>
        <w:t>元</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（3）专业工程暂估价金额：</w:t>
      </w:r>
    </w:p>
    <w:p>
      <w:pPr>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人民币（大写）</w:t>
      </w:r>
      <w:bookmarkStart w:id="441" w:name="SOA_hhxys_gczgjdx"/>
      <w:r>
        <w:rPr>
          <w:rFonts w:hint="eastAsia" w:ascii="宋体" w:hAnsi="宋体" w:eastAsia="宋体" w:cs="宋体"/>
          <w:snapToGrid w:val="0"/>
          <w:color w:val="auto"/>
          <w:kern w:val="0"/>
          <w:sz w:val="24"/>
          <w:highlight w:val="none"/>
          <w:u w:val="single"/>
        </w:rPr>
        <w:t xml:space="preserve">       </w:t>
      </w:r>
      <w:bookmarkEnd w:id="441"/>
      <w:r>
        <w:rPr>
          <w:rFonts w:hint="eastAsia" w:ascii="宋体" w:hAnsi="宋体" w:eastAsia="宋体" w:cs="宋体"/>
          <w:snapToGrid w:val="0"/>
          <w:color w:val="auto"/>
          <w:kern w:val="0"/>
          <w:sz w:val="24"/>
          <w:highlight w:val="none"/>
        </w:rPr>
        <w:t>(¥</w:t>
      </w:r>
      <w:bookmarkStart w:id="442" w:name="SOA_hhxys_gczgjxx"/>
      <w:r>
        <w:rPr>
          <w:rFonts w:hint="eastAsia" w:ascii="宋体" w:hAnsi="宋体" w:eastAsia="宋体" w:cs="宋体"/>
          <w:snapToGrid w:val="0"/>
          <w:color w:val="auto"/>
          <w:kern w:val="0"/>
          <w:sz w:val="24"/>
          <w:highlight w:val="none"/>
          <w:u w:val="single"/>
        </w:rPr>
        <w:t xml:space="preserve">       </w:t>
      </w:r>
      <w:bookmarkEnd w:id="442"/>
      <w:r>
        <w:rPr>
          <w:rFonts w:hint="eastAsia" w:ascii="宋体" w:hAnsi="宋体" w:eastAsia="宋体" w:cs="宋体"/>
          <w:snapToGrid w:val="0"/>
          <w:color w:val="auto"/>
          <w:kern w:val="0"/>
          <w:sz w:val="24"/>
          <w:highlight w:val="none"/>
        </w:rPr>
        <w:t>元</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（4）暂列金额：</w:t>
      </w:r>
    </w:p>
    <w:p>
      <w:pPr>
        <w:snapToGrid w:val="0"/>
        <w:spacing w:line="360" w:lineRule="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人民币（大写）</w:t>
      </w:r>
      <w:bookmarkStart w:id="443" w:name="SOA_hhxys_zljedx"/>
      <w:r>
        <w:rPr>
          <w:rFonts w:hint="eastAsia" w:ascii="宋体" w:hAnsi="宋体" w:eastAsia="宋体" w:cs="宋体"/>
          <w:snapToGrid w:val="0"/>
          <w:color w:val="auto"/>
          <w:kern w:val="0"/>
          <w:sz w:val="24"/>
          <w:highlight w:val="none"/>
          <w:u w:val="single"/>
        </w:rPr>
        <w:t xml:space="preserve">       </w:t>
      </w:r>
      <w:bookmarkEnd w:id="443"/>
      <w:r>
        <w:rPr>
          <w:rFonts w:hint="eastAsia" w:ascii="宋体" w:hAnsi="宋体" w:eastAsia="宋体" w:cs="宋体"/>
          <w:snapToGrid w:val="0"/>
          <w:color w:val="auto"/>
          <w:kern w:val="0"/>
          <w:sz w:val="24"/>
          <w:highlight w:val="none"/>
        </w:rPr>
        <w:t>(¥</w:t>
      </w:r>
      <w:bookmarkStart w:id="444" w:name="SOA_hhxys_zljexx"/>
      <w:r>
        <w:rPr>
          <w:rFonts w:hint="eastAsia" w:ascii="宋体" w:hAnsi="宋体" w:eastAsia="宋体" w:cs="宋体"/>
          <w:snapToGrid w:val="0"/>
          <w:color w:val="auto"/>
          <w:kern w:val="0"/>
          <w:sz w:val="24"/>
          <w:highlight w:val="none"/>
          <w:u w:val="single"/>
        </w:rPr>
        <w:t xml:space="preserve">        </w:t>
      </w:r>
      <w:bookmarkEnd w:id="444"/>
      <w:r>
        <w:rPr>
          <w:rFonts w:hint="eastAsia" w:ascii="宋体" w:hAnsi="宋体" w:eastAsia="宋体" w:cs="宋体"/>
          <w:snapToGrid w:val="0"/>
          <w:color w:val="auto"/>
          <w:kern w:val="0"/>
          <w:sz w:val="24"/>
          <w:highlight w:val="none"/>
        </w:rPr>
        <w:t>元</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2.合同价格形式：</w:t>
      </w:r>
      <w:r>
        <w:rPr>
          <w:rFonts w:hint="eastAsia" w:ascii="宋体" w:hAnsi="宋体" w:eastAsia="宋体" w:cs="宋体"/>
          <w:snapToGrid w:val="0"/>
          <w:color w:val="auto"/>
          <w:kern w:val="0"/>
          <w:sz w:val="24"/>
          <w:highlight w:val="none"/>
          <w:u w:val="single"/>
        </w:rPr>
        <w:t></w:t>
      </w:r>
      <w:bookmarkStart w:id="445" w:name="SOA_hhxys_htjgxs"/>
      <w:r>
        <w:rPr>
          <w:rFonts w:hint="eastAsia" w:ascii="宋体" w:hAnsi="宋体" w:eastAsia="宋体" w:cs="宋体"/>
          <w:snapToGrid w:val="0"/>
          <w:color w:val="auto"/>
          <w:kern w:val="0"/>
          <w:sz w:val="24"/>
          <w:highlight w:val="none"/>
          <w:u w:val="single"/>
        </w:rPr>
        <w:t xml:space="preserve">  </w:t>
      </w:r>
      <w:bookmarkEnd w:id="445"/>
      <w:r>
        <w:rPr>
          <w:rFonts w:hint="eastAsia" w:ascii="宋体" w:hAnsi="宋体" w:eastAsia="宋体" w:cs="宋体"/>
          <w:snapToGrid w:val="0"/>
          <w:color w:val="auto"/>
          <w:kern w:val="0"/>
          <w:sz w:val="24"/>
          <w:highlight w:val="none"/>
          <w:u w:val="single"/>
        </w:rPr>
        <w:t xml:space="preserve">      </w:t>
      </w:r>
      <w:r>
        <w:rPr>
          <w:rFonts w:hint="eastAsia" w:ascii="宋体" w:hAnsi="宋体" w:eastAsia="宋体" w:cs="宋体"/>
          <w:snapToGrid w:val="0"/>
          <w:color w:val="auto"/>
          <w:kern w:val="0"/>
          <w:sz w:val="24"/>
          <w:highlight w:val="none"/>
        </w:rPr>
        <w:t>。</w:t>
      </w:r>
    </w:p>
    <w:p>
      <w:pPr>
        <w:snapToGrid w:val="0"/>
        <w:spacing w:line="360" w:lineRule="auto"/>
        <w:outlineLvl w:val="1"/>
        <w:rPr>
          <w:rFonts w:hint="eastAsia" w:ascii="宋体" w:hAnsi="宋体" w:eastAsia="宋体" w:cs="宋体"/>
          <w:b/>
          <w:bCs/>
          <w:snapToGrid w:val="0"/>
          <w:color w:val="auto"/>
          <w:kern w:val="0"/>
          <w:sz w:val="24"/>
          <w:highlight w:val="none"/>
        </w:rPr>
      </w:pPr>
      <w:bookmarkStart w:id="446" w:name="_Toc97299502"/>
      <w:bookmarkStart w:id="447" w:name="_Toc361220414"/>
      <w:r>
        <w:rPr>
          <w:rFonts w:hint="eastAsia" w:ascii="宋体" w:hAnsi="宋体" w:eastAsia="宋体" w:cs="宋体"/>
          <w:b/>
          <w:bCs/>
          <w:snapToGrid w:val="0"/>
          <w:color w:val="auto"/>
          <w:kern w:val="0"/>
          <w:sz w:val="24"/>
          <w:highlight w:val="none"/>
        </w:rPr>
        <w:t>五、项目经理</w:t>
      </w:r>
      <w:bookmarkEnd w:id="446"/>
      <w:bookmarkEnd w:id="447"/>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承包人项目经理：</w:t>
      </w:r>
      <w:r>
        <w:rPr>
          <w:rFonts w:hint="eastAsia" w:ascii="宋体" w:hAnsi="宋体" w:eastAsia="宋体" w:cs="宋体"/>
          <w:snapToGrid w:val="0"/>
          <w:color w:val="auto"/>
          <w:kern w:val="0"/>
          <w:sz w:val="24"/>
          <w:highlight w:val="none"/>
          <w:u w:val="single"/>
        </w:rPr>
        <w:t></w:t>
      </w:r>
      <w:bookmarkStart w:id="448" w:name="SOA_hhxys_cbrxmjl"/>
      <w:r>
        <w:rPr>
          <w:rFonts w:hint="eastAsia" w:ascii="宋体" w:hAnsi="宋体" w:eastAsia="宋体" w:cs="宋体"/>
          <w:snapToGrid w:val="0"/>
          <w:color w:val="auto"/>
          <w:kern w:val="0"/>
          <w:sz w:val="24"/>
          <w:highlight w:val="none"/>
          <w:u w:val="single"/>
        </w:rPr>
        <w:t xml:space="preserve">        </w:t>
      </w:r>
      <w:bookmarkEnd w:id="448"/>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w:t>
      </w:r>
    </w:p>
    <w:p>
      <w:pPr>
        <w:snapToGrid w:val="0"/>
        <w:spacing w:line="360" w:lineRule="auto"/>
        <w:outlineLvl w:val="1"/>
        <w:rPr>
          <w:rFonts w:hint="eastAsia" w:ascii="宋体" w:hAnsi="宋体" w:eastAsia="宋体" w:cs="宋体"/>
          <w:b/>
          <w:bCs/>
          <w:snapToGrid w:val="0"/>
          <w:color w:val="auto"/>
          <w:kern w:val="0"/>
          <w:sz w:val="24"/>
          <w:highlight w:val="none"/>
        </w:rPr>
      </w:pPr>
      <w:bookmarkStart w:id="449" w:name="_Toc361220415"/>
      <w:bookmarkStart w:id="450" w:name="_Toc97299503"/>
      <w:r>
        <w:rPr>
          <w:rFonts w:hint="eastAsia" w:ascii="宋体" w:hAnsi="宋体" w:eastAsia="宋体" w:cs="宋体"/>
          <w:b/>
          <w:bCs/>
          <w:snapToGrid w:val="0"/>
          <w:color w:val="auto"/>
          <w:kern w:val="0"/>
          <w:sz w:val="24"/>
          <w:highlight w:val="none"/>
        </w:rPr>
        <w:t>六、合同文件构成</w:t>
      </w:r>
      <w:bookmarkEnd w:id="449"/>
      <w:bookmarkEnd w:id="450"/>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本协议书与下列文件一起构成合同文件：</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（1）成交通知书（如果有）；</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（2）响应函及其附录（如果有）； </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（3）专用合同条款及其附件；</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（4）通用合同条款；</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（5）技术标准和要求；</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（6）图纸；</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（7）已标价工程量清单或预算书；</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（8）其他合同文件。</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在合同订立及履行过程中形成的与合同有关的文件均构成合同文件组成部分。</w:t>
      </w:r>
    </w:p>
    <w:p>
      <w:pPr>
        <w:autoSpaceDE w:val="0"/>
        <w:autoSpaceDN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outlineLvl w:val="1"/>
        <w:rPr>
          <w:rFonts w:hint="eastAsia" w:ascii="宋体" w:hAnsi="宋体" w:eastAsia="宋体" w:cs="宋体"/>
          <w:b/>
          <w:bCs/>
          <w:snapToGrid w:val="0"/>
          <w:color w:val="auto"/>
          <w:kern w:val="0"/>
          <w:sz w:val="24"/>
          <w:highlight w:val="none"/>
        </w:rPr>
      </w:pPr>
      <w:bookmarkStart w:id="451" w:name="_Toc97299504"/>
      <w:bookmarkStart w:id="452" w:name="_Toc361220416"/>
      <w:r>
        <w:rPr>
          <w:rFonts w:hint="eastAsia" w:ascii="宋体" w:hAnsi="宋体" w:eastAsia="宋体" w:cs="宋体"/>
          <w:b/>
          <w:bCs/>
          <w:snapToGrid w:val="0"/>
          <w:color w:val="auto"/>
          <w:kern w:val="0"/>
          <w:sz w:val="24"/>
          <w:highlight w:val="none"/>
        </w:rPr>
        <w:t>七、承诺</w:t>
      </w:r>
      <w:bookmarkEnd w:id="451"/>
      <w:bookmarkEnd w:id="452"/>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1.发包人承诺按照法律规定履行项目审批手续、筹集工程建设资金并按照合同约定的期限和方式支付合同价款。</w:t>
      </w:r>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3.发包人和承包人通过政府采购形式签订合同的，双方理解并承诺不再就同一工程另行签订与合同实质性内容相背离的协议。</w:t>
      </w:r>
    </w:p>
    <w:p>
      <w:pPr>
        <w:snapToGrid w:val="0"/>
        <w:spacing w:line="360" w:lineRule="auto"/>
        <w:outlineLvl w:val="1"/>
        <w:rPr>
          <w:rFonts w:hint="eastAsia" w:ascii="宋体" w:hAnsi="宋体" w:eastAsia="宋体" w:cs="宋体"/>
          <w:b/>
          <w:bCs/>
          <w:snapToGrid w:val="0"/>
          <w:color w:val="auto"/>
          <w:kern w:val="0"/>
          <w:sz w:val="24"/>
          <w:highlight w:val="none"/>
        </w:rPr>
      </w:pPr>
      <w:bookmarkStart w:id="453" w:name="_Toc361220417"/>
      <w:bookmarkStart w:id="454" w:name="_Toc97299505"/>
      <w:r>
        <w:rPr>
          <w:rFonts w:hint="eastAsia" w:ascii="宋体" w:hAnsi="宋体" w:eastAsia="宋体" w:cs="宋体"/>
          <w:b/>
          <w:bCs/>
          <w:snapToGrid w:val="0"/>
          <w:color w:val="auto"/>
          <w:kern w:val="0"/>
          <w:sz w:val="24"/>
          <w:highlight w:val="none"/>
        </w:rPr>
        <w:t>八、词语含义</w:t>
      </w:r>
      <w:bookmarkEnd w:id="453"/>
      <w:bookmarkEnd w:id="454"/>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本协议书中词语含义与第二部分通用合同条款中赋予的含义相同。</w:t>
      </w:r>
    </w:p>
    <w:p>
      <w:pPr>
        <w:snapToGrid w:val="0"/>
        <w:spacing w:line="360" w:lineRule="auto"/>
        <w:outlineLvl w:val="1"/>
        <w:rPr>
          <w:rFonts w:hint="eastAsia" w:ascii="宋体" w:hAnsi="宋体" w:eastAsia="宋体" w:cs="宋体"/>
          <w:b/>
          <w:bCs/>
          <w:snapToGrid w:val="0"/>
          <w:color w:val="auto"/>
          <w:kern w:val="0"/>
          <w:sz w:val="24"/>
          <w:highlight w:val="none"/>
        </w:rPr>
      </w:pPr>
      <w:bookmarkStart w:id="455" w:name="_Toc361220418"/>
      <w:bookmarkStart w:id="456" w:name="_Toc97299506"/>
      <w:r>
        <w:rPr>
          <w:rFonts w:hint="eastAsia" w:ascii="宋体" w:hAnsi="宋体" w:eastAsia="宋体" w:cs="宋体"/>
          <w:b/>
          <w:bCs/>
          <w:snapToGrid w:val="0"/>
          <w:color w:val="auto"/>
          <w:kern w:val="0"/>
          <w:sz w:val="24"/>
          <w:highlight w:val="none"/>
        </w:rPr>
        <w:t>九、签订时间</w:t>
      </w:r>
      <w:bookmarkEnd w:id="455"/>
      <w:bookmarkEnd w:id="456"/>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本合同于</w:t>
      </w:r>
      <w:bookmarkStart w:id="457" w:name="SOA_hhxys_htqdn"/>
      <w:r>
        <w:rPr>
          <w:rFonts w:hint="eastAsia" w:ascii="宋体" w:hAnsi="宋体" w:eastAsia="宋体" w:cs="宋体"/>
          <w:bCs/>
          <w:snapToGrid w:val="0"/>
          <w:color w:val="auto"/>
          <w:kern w:val="0"/>
          <w:sz w:val="24"/>
          <w:highlight w:val="none"/>
          <w:u w:val="single"/>
        </w:rPr>
        <w:t xml:space="preserve">      </w:t>
      </w:r>
      <w:bookmarkEnd w:id="457"/>
      <w:r>
        <w:rPr>
          <w:rFonts w:hint="eastAsia" w:ascii="宋体" w:hAnsi="宋体" w:eastAsia="宋体" w:cs="宋体"/>
          <w:bCs/>
          <w:snapToGrid w:val="0"/>
          <w:color w:val="auto"/>
          <w:kern w:val="0"/>
          <w:sz w:val="24"/>
          <w:highlight w:val="none"/>
        </w:rPr>
        <w:t>年</w:t>
      </w:r>
      <w:bookmarkStart w:id="458" w:name="SOA_hhxys_htqdy"/>
      <w:r>
        <w:rPr>
          <w:rFonts w:hint="eastAsia" w:ascii="宋体" w:hAnsi="宋体" w:eastAsia="宋体" w:cs="宋体"/>
          <w:bCs/>
          <w:snapToGrid w:val="0"/>
          <w:color w:val="auto"/>
          <w:kern w:val="0"/>
          <w:sz w:val="24"/>
          <w:highlight w:val="none"/>
          <w:u w:val="single"/>
        </w:rPr>
        <w:t xml:space="preserve">      </w:t>
      </w:r>
      <w:bookmarkEnd w:id="458"/>
      <w:r>
        <w:rPr>
          <w:rFonts w:hint="eastAsia" w:ascii="宋体" w:hAnsi="宋体" w:eastAsia="宋体" w:cs="宋体"/>
          <w:bCs/>
          <w:snapToGrid w:val="0"/>
          <w:color w:val="auto"/>
          <w:kern w:val="0"/>
          <w:sz w:val="24"/>
          <w:highlight w:val="none"/>
        </w:rPr>
        <w:t>月</w:t>
      </w:r>
      <w:bookmarkStart w:id="459" w:name="SOA_hhxys_htqdr"/>
      <w:r>
        <w:rPr>
          <w:rFonts w:hint="eastAsia" w:ascii="宋体" w:hAnsi="宋体" w:eastAsia="宋体" w:cs="宋体"/>
          <w:bCs/>
          <w:snapToGrid w:val="0"/>
          <w:color w:val="auto"/>
          <w:kern w:val="0"/>
          <w:sz w:val="24"/>
          <w:highlight w:val="none"/>
          <w:u w:val="single"/>
        </w:rPr>
        <w:t xml:space="preserve">      </w:t>
      </w:r>
      <w:bookmarkEnd w:id="459"/>
      <w:r>
        <w:rPr>
          <w:rFonts w:hint="eastAsia" w:ascii="宋体" w:hAnsi="宋体" w:eastAsia="宋体" w:cs="宋体"/>
          <w:bCs/>
          <w:snapToGrid w:val="0"/>
          <w:color w:val="auto"/>
          <w:kern w:val="0"/>
          <w:sz w:val="24"/>
          <w:highlight w:val="none"/>
        </w:rPr>
        <w:t>日签订。</w:t>
      </w:r>
    </w:p>
    <w:p>
      <w:pPr>
        <w:snapToGrid w:val="0"/>
        <w:spacing w:line="360" w:lineRule="auto"/>
        <w:outlineLvl w:val="1"/>
        <w:rPr>
          <w:rFonts w:hint="eastAsia" w:ascii="宋体" w:hAnsi="宋体" w:eastAsia="宋体" w:cs="宋体"/>
          <w:b/>
          <w:bCs/>
          <w:snapToGrid w:val="0"/>
          <w:color w:val="auto"/>
          <w:kern w:val="0"/>
          <w:sz w:val="24"/>
          <w:highlight w:val="none"/>
        </w:rPr>
      </w:pPr>
      <w:bookmarkStart w:id="460" w:name="_Toc361220419"/>
      <w:bookmarkStart w:id="461" w:name="_Toc97299507"/>
      <w:r>
        <w:rPr>
          <w:rFonts w:hint="eastAsia" w:ascii="宋体" w:hAnsi="宋体" w:eastAsia="宋体" w:cs="宋体"/>
          <w:b/>
          <w:bCs/>
          <w:snapToGrid w:val="0"/>
          <w:color w:val="auto"/>
          <w:kern w:val="0"/>
          <w:sz w:val="24"/>
          <w:highlight w:val="none"/>
        </w:rPr>
        <w:t>十、签订地点</w:t>
      </w:r>
      <w:bookmarkEnd w:id="460"/>
      <w:bookmarkEnd w:id="461"/>
    </w:p>
    <w:p>
      <w:pPr>
        <w:snapToGrid w:val="0"/>
        <w:spacing w:line="360" w:lineRule="auto"/>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 xml:space="preserve">    本合同在</w:t>
      </w:r>
      <w:r>
        <w:rPr>
          <w:rFonts w:hint="eastAsia" w:ascii="宋体" w:hAnsi="宋体" w:eastAsia="宋体" w:cs="宋体"/>
          <w:bCs/>
          <w:snapToGrid w:val="0"/>
          <w:color w:val="auto"/>
          <w:kern w:val="0"/>
          <w:sz w:val="24"/>
          <w:highlight w:val="none"/>
          <w:u w:val="single"/>
        </w:rPr>
        <w:t xml:space="preserve">   </w:t>
      </w:r>
      <w:bookmarkStart w:id="462" w:name="SOA_zyht_htqddd"/>
      <w:r>
        <w:rPr>
          <w:rFonts w:hint="eastAsia" w:ascii="宋体" w:hAnsi="宋体" w:eastAsia="宋体" w:cs="宋体"/>
          <w:bCs/>
          <w:snapToGrid w:val="0"/>
          <w:color w:val="auto"/>
          <w:kern w:val="0"/>
          <w:sz w:val="24"/>
          <w:highlight w:val="none"/>
          <w:u w:val="single"/>
        </w:rPr>
        <w:t xml:space="preserve">  宁波市</w:t>
      </w:r>
      <w:r>
        <w:rPr>
          <w:rFonts w:hint="eastAsia" w:ascii="宋体" w:hAnsi="宋体" w:cs="宋体"/>
          <w:bCs/>
          <w:snapToGrid w:val="0"/>
          <w:color w:val="auto"/>
          <w:kern w:val="0"/>
          <w:sz w:val="24"/>
          <w:highlight w:val="none"/>
          <w:u w:val="single"/>
          <w:lang w:val="en-US" w:eastAsia="zh-CN"/>
        </w:rPr>
        <w:t>海曙区</w:t>
      </w:r>
      <w:r>
        <w:rPr>
          <w:rFonts w:hint="eastAsia" w:ascii="宋体" w:hAnsi="宋体" w:eastAsia="宋体" w:cs="宋体"/>
          <w:bCs/>
          <w:snapToGrid w:val="0"/>
          <w:color w:val="auto"/>
          <w:kern w:val="0"/>
          <w:sz w:val="24"/>
          <w:highlight w:val="none"/>
          <w:u w:val="single"/>
        </w:rPr>
        <w:t xml:space="preserve">   </w:t>
      </w:r>
      <w:bookmarkEnd w:id="462"/>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签订。</w:t>
      </w:r>
    </w:p>
    <w:p>
      <w:pPr>
        <w:snapToGrid w:val="0"/>
        <w:spacing w:line="360" w:lineRule="auto"/>
        <w:outlineLvl w:val="1"/>
        <w:rPr>
          <w:rFonts w:hint="eastAsia" w:ascii="宋体" w:hAnsi="宋体" w:eastAsia="宋体" w:cs="宋体"/>
          <w:b/>
          <w:bCs/>
          <w:snapToGrid w:val="0"/>
          <w:color w:val="auto"/>
          <w:kern w:val="0"/>
          <w:sz w:val="24"/>
          <w:highlight w:val="none"/>
        </w:rPr>
      </w:pPr>
      <w:bookmarkStart w:id="463" w:name="_Toc97299508"/>
      <w:bookmarkStart w:id="464" w:name="_Toc361220420"/>
      <w:r>
        <w:rPr>
          <w:rFonts w:hint="eastAsia" w:ascii="宋体" w:hAnsi="宋体" w:eastAsia="宋体" w:cs="宋体"/>
          <w:b/>
          <w:bCs/>
          <w:snapToGrid w:val="0"/>
          <w:color w:val="auto"/>
          <w:kern w:val="0"/>
          <w:sz w:val="24"/>
          <w:highlight w:val="none"/>
        </w:rPr>
        <w:t>十一、补充协议</w:t>
      </w:r>
      <w:bookmarkEnd w:id="463"/>
      <w:bookmarkEnd w:id="464"/>
    </w:p>
    <w:p>
      <w:pPr>
        <w:snapToGrid w:val="0"/>
        <w:spacing w:line="360" w:lineRule="auto"/>
        <w:ind w:firstLine="480" w:firstLineChars="200"/>
        <w:rPr>
          <w:rFonts w:hint="eastAsia" w:ascii="宋体" w:hAnsi="宋体" w:eastAsia="宋体" w:cs="宋体"/>
          <w:b/>
          <w:bCs/>
          <w:snapToGrid w:val="0"/>
          <w:color w:val="auto"/>
          <w:kern w:val="0"/>
          <w:sz w:val="24"/>
          <w:highlight w:val="none"/>
        </w:rPr>
      </w:pPr>
      <w:r>
        <w:rPr>
          <w:rFonts w:hint="eastAsia" w:ascii="宋体" w:hAnsi="宋体" w:eastAsia="宋体" w:cs="宋体"/>
          <w:bCs/>
          <w:snapToGrid w:val="0"/>
          <w:color w:val="auto"/>
          <w:kern w:val="0"/>
          <w:sz w:val="24"/>
          <w:highlight w:val="none"/>
        </w:rPr>
        <w:t>合同未尽事宜，合同当事人另行签订补充协议，补充协议是合同的组成部分。</w:t>
      </w:r>
    </w:p>
    <w:p>
      <w:pPr>
        <w:snapToGrid w:val="0"/>
        <w:spacing w:line="360" w:lineRule="auto"/>
        <w:outlineLvl w:val="1"/>
        <w:rPr>
          <w:rFonts w:hint="eastAsia" w:ascii="宋体" w:hAnsi="宋体" w:eastAsia="宋体" w:cs="宋体"/>
          <w:b/>
          <w:bCs/>
          <w:snapToGrid w:val="0"/>
          <w:color w:val="auto"/>
          <w:kern w:val="0"/>
          <w:sz w:val="24"/>
          <w:highlight w:val="none"/>
        </w:rPr>
      </w:pPr>
      <w:bookmarkStart w:id="465" w:name="_Toc361220421"/>
      <w:bookmarkStart w:id="466" w:name="_Toc97299509"/>
      <w:r>
        <w:rPr>
          <w:rFonts w:hint="eastAsia" w:ascii="宋体" w:hAnsi="宋体" w:eastAsia="宋体" w:cs="宋体"/>
          <w:b/>
          <w:bCs/>
          <w:snapToGrid w:val="0"/>
          <w:color w:val="auto"/>
          <w:kern w:val="0"/>
          <w:sz w:val="24"/>
          <w:highlight w:val="none"/>
        </w:rPr>
        <w:t>十二、合同生效</w:t>
      </w:r>
      <w:bookmarkEnd w:id="465"/>
      <w:bookmarkEnd w:id="466"/>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本合同自</w:t>
      </w:r>
      <w:r>
        <w:rPr>
          <w:rFonts w:hint="eastAsia" w:ascii="宋体" w:hAnsi="宋体" w:eastAsia="宋体" w:cs="宋体"/>
          <w:bCs/>
          <w:snapToGrid w:val="0"/>
          <w:color w:val="auto"/>
          <w:kern w:val="0"/>
          <w:sz w:val="24"/>
          <w:highlight w:val="none"/>
          <w:u w:val="single"/>
        </w:rPr>
        <w:t xml:space="preserve">  </w:t>
      </w:r>
      <w:bookmarkStart w:id="467" w:name="SOA_hhxys_htsx"/>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u w:val="single"/>
        </w:rPr>
        <w:t xml:space="preserve">   </w:t>
      </w:r>
      <w:bookmarkEnd w:id="467"/>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生效。</w:t>
      </w:r>
    </w:p>
    <w:p>
      <w:pPr>
        <w:snapToGrid w:val="0"/>
        <w:spacing w:line="360" w:lineRule="auto"/>
        <w:outlineLvl w:val="1"/>
        <w:rPr>
          <w:rFonts w:hint="eastAsia" w:ascii="宋体" w:hAnsi="宋体" w:eastAsia="宋体" w:cs="宋体"/>
          <w:b/>
          <w:bCs/>
          <w:snapToGrid w:val="0"/>
          <w:color w:val="auto"/>
          <w:kern w:val="0"/>
          <w:sz w:val="24"/>
          <w:highlight w:val="none"/>
        </w:rPr>
      </w:pPr>
      <w:bookmarkStart w:id="468" w:name="_Toc97299510"/>
      <w:bookmarkStart w:id="469" w:name="_Toc361220422"/>
      <w:r>
        <w:rPr>
          <w:rFonts w:hint="eastAsia" w:ascii="宋体" w:hAnsi="宋体" w:eastAsia="宋体" w:cs="宋体"/>
          <w:b/>
          <w:bCs/>
          <w:snapToGrid w:val="0"/>
          <w:color w:val="auto"/>
          <w:kern w:val="0"/>
          <w:sz w:val="24"/>
          <w:highlight w:val="none"/>
        </w:rPr>
        <w:t>十三、合同份数</w:t>
      </w:r>
      <w:bookmarkEnd w:id="468"/>
      <w:bookmarkEnd w:id="469"/>
    </w:p>
    <w:p>
      <w:pPr>
        <w:snapToGrid w:val="0"/>
        <w:spacing w:line="360" w:lineRule="auto"/>
        <w:ind w:left="210" w:leftChars="100" w:firstLine="240" w:firstLineChars="10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本合同一式</w:t>
      </w:r>
      <w:r>
        <w:rPr>
          <w:rFonts w:hint="eastAsia" w:ascii="宋体" w:hAnsi="宋体" w:eastAsia="宋体" w:cs="宋体"/>
          <w:b/>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份，均具有同等法律效力，发包人执</w:t>
      </w:r>
      <w:r>
        <w:rPr>
          <w:rFonts w:hint="eastAsia" w:ascii="宋体" w:hAnsi="宋体" w:eastAsia="宋体" w:cs="宋体"/>
          <w:bCs/>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份，承包人执</w:t>
      </w:r>
      <w:r>
        <w:rPr>
          <w:rFonts w:hint="eastAsia" w:ascii="宋体" w:hAnsi="宋体" w:eastAsia="宋体" w:cs="宋体"/>
          <w:b/>
          <w:snapToGrid w:val="0"/>
          <w:color w:val="auto"/>
          <w:kern w:val="0"/>
          <w:sz w:val="24"/>
          <w:highlight w:val="none"/>
          <w:u w:val="single"/>
        </w:rPr>
        <w:t xml:space="preserve">  </w:t>
      </w:r>
      <w:r>
        <w:rPr>
          <w:rFonts w:hint="eastAsia" w:ascii="宋体" w:hAnsi="宋体" w:eastAsia="宋体" w:cs="宋体"/>
          <w:bCs/>
          <w:snapToGrid w:val="0"/>
          <w:color w:val="auto"/>
          <w:kern w:val="0"/>
          <w:sz w:val="24"/>
          <w:highlight w:val="none"/>
        </w:rPr>
        <w:t>份。</w:t>
      </w:r>
    </w:p>
    <w:p>
      <w:pPr>
        <w:snapToGrid w:val="0"/>
        <w:spacing w:line="360" w:lineRule="auto"/>
        <w:ind w:firstLine="480" w:firstLineChars="200"/>
        <w:rPr>
          <w:rFonts w:hint="eastAsia" w:ascii="宋体" w:hAnsi="宋体" w:eastAsia="宋体" w:cs="宋体"/>
          <w:snapToGrid w:val="0"/>
          <w:color w:val="auto"/>
          <w:kern w:val="0"/>
          <w:sz w:val="24"/>
          <w:highlight w:val="none"/>
        </w:rPr>
      </w:pP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发包人：  </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公章</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 xml:space="preserve">承包人：  </w:t>
      </w:r>
      <w:r>
        <w:rPr>
          <w:rFonts w:hint="eastAsia" w:ascii="宋体" w:hAnsi="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公章</w:t>
      </w:r>
      <w:r>
        <w:rPr>
          <w:rFonts w:hint="eastAsia" w:ascii="宋体" w:hAnsi="宋体" w:cs="宋体"/>
          <w:snapToGrid w:val="0"/>
          <w:color w:val="auto"/>
          <w:kern w:val="0"/>
          <w:sz w:val="24"/>
          <w:highlight w:val="none"/>
          <w:lang w:eastAsia="zh-CN"/>
        </w:rPr>
        <w:t>）</w:t>
      </w:r>
    </w:p>
    <w:p>
      <w:pPr>
        <w:snapToGrid w:val="0"/>
        <w:spacing w:line="360" w:lineRule="auto"/>
        <w:ind w:firstLine="480" w:firstLineChars="200"/>
        <w:rPr>
          <w:rFonts w:hint="eastAsia" w:ascii="宋体" w:hAnsi="宋体" w:eastAsia="宋体" w:cs="宋体"/>
          <w:bCs/>
          <w:snapToGrid w:val="0"/>
          <w:color w:val="auto"/>
          <w:kern w:val="0"/>
          <w:sz w:val="24"/>
          <w:highlight w:val="none"/>
        </w:rPr>
      </w:pPr>
      <w:r>
        <w:rPr>
          <w:rFonts w:hint="eastAsia" w:ascii="宋体" w:hAnsi="宋体" w:eastAsia="宋体" w:cs="宋体"/>
          <w:snapToGrid w:val="0"/>
          <w:color w:val="auto"/>
          <w:kern w:val="0"/>
          <w:sz w:val="24"/>
          <w:highlight w:val="none"/>
        </w:rPr>
        <w:t>法定代表人或其委托代理人：</w:t>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法定代表人或其委托代理人：</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（签字）</w:t>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ab/>
      </w:r>
      <w:r>
        <w:rPr>
          <w:rFonts w:hint="eastAsia" w:ascii="宋体" w:hAnsi="宋体" w:eastAsia="宋体" w:cs="宋体"/>
          <w:snapToGrid w:val="0"/>
          <w:color w:val="auto"/>
          <w:kern w:val="0"/>
          <w:sz w:val="24"/>
          <w:highlight w:val="none"/>
        </w:rPr>
        <w:t>（签字）</w:t>
      </w:r>
    </w:p>
    <w:p>
      <w:pPr>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组织机构代码：</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组织机构代码：</w:t>
      </w:r>
      <w:bookmarkStart w:id="470" w:name="SOA_hhxys_zjjgdm1"/>
      <w:r>
        <w:rPr>
          <w:rFonts w:hint="eastAsia" w:ascii="宋体" w:hAnsi="宋体" w:eastAsia="宋体" w:cs="宋体"/>
          <w:snapToGrid w:val="0"/>
          <w:color w:val="auto"/>
          <w:kern w:val="0"/>
          <w:sz w:val="24"/>
          <w:highlight w:val="none"/>
          <w:u w:val="single"/>
        </w:rPr>
        <w:t xml:space="preserve">      </w:t>
      </w:r>
      <w:bookmarkEnd w:id="470"/>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地  址：</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地  址：</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邮政编码：</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邮政编码：</w:t>
      </w:r>
      <w:bookmarkStart w:id="471" w:name="SOA_hhxys_cbryb"/>
      <w:r>
        <w:rPr>
          <w:rFonts w:hint="eastAsia" w:ascii="宋体" w:hAnsi="宋体" w:eastAsia="宋体" w:cs="宋体"/>
          <w:snapToGrid w:val="0"/>
          <w:color w:val="auto"/>
          <w:kern w:val="0"/>
          <w:sz w:val="24"/>
          <w:highlight w:val="none"/>
          <w:u w:val="single"/>
        </w:rPr>
        <w:t xml:space="preserve">             </w:t>
      </w:r>
      <w:bookmarkEnd w:id="471"/>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法定代表人：</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法定代表人：</w:t>
      </w:r>
      <w:bookmarkStart w:id="472" w:name="SOA_hhxys_fddbr1"/>
      <w:r>
        <w:rPr>
          <w:rFonts w:hint="eastAsia" w:ascii="宋体" w:hAnsi="宋体" w:eastAsia="宋体" w:cs="宋体"/>
          <w:snapToGrid w:val="0"/>
          <w:color w:val="auto"/>
          <w:kern w:val="0"/>
          <w:sz w:val="24"/>
          <w:highlight w:val="none"/>
          <w:u w:val="single"/>
        </w:rPr>
        <w:t xml:space="preserve">     </w:t>
      </w:r>
      <w:bookmarkEnd w:id="472"/>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委托代理人：</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委托代理人：</w:t>
      </w:r>
      <w:bookmarkStart w:id="473" w:name="SOA_hhxys_wtdlr1"/>
      <w:r>
        <w:rPr>
          <w:rFonts w:hint="eastAsia" w:ascii="宋体" w:hAnsi="宋体" w:eastAsia="宋体" w:cs="宋体"/>
          <w:snapToGrid w:val="0"/>
          <w:color w:val="auto"/>
          <w:kern w:val="0"/>
          <w:sz w:val="24"/>
          <w:highlight w:val="none"/>
          <w:u w:val="single"/>
        </w:rPr>
        <w:t xml:space="preserve">    </w:t>
      </w:r>
      <w:bookmarkEnd w:id="473"/>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电  话：</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电  话：</w:t>
      </w:r>
      <w:bookmarkStart w:id="474" w:name="SOA_hhxys_cbrdh"/>
      <w:r>
        <w:rPr>
          <w:rFonts w:hint="eastAsia" w:ascii="宋体" w:hAnsi="宋体" w:eastAsia="宋体" w:cs="宋体"/>
          <w:snapToGrid w:val="0"/>
          <w:color w:val="auto"/>
          <w:kern w:val="0"/>
          <w:sz w:val="24"/>
          <w:highlight w:val="none"/>
          <w:u w:val="single"/>
        </w:rPr>
        <w:t xml:space="preserve">            </w:t>
      </w:r>
      <w:bookmarkEnd w:id="474"/>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传  真：</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传  真：</w:t>
      </w:r>
      <w:bookmarkStart w:id="475" w:name="SOA_hhxys_cbrcz"/>
      <w:r>
        <w:rPr>
          <w:rFonts w:hint="eastAsia" w:ascii="宋体" w:hAnsi="宋体" w:eastAsia="宋体" w:cs="宋体"/>
          <w:snapToGrid w:val="0"/>
          <w:color w:val="auto"/>
          <w:kern w:val="0"/>
          <w:sz w:val="24"/>
          <w:highlight w:val="none"/>
          <w:u w:val="single"/>
        </w:rPr>
        <w:t xml:space="preserve">              </w:t>
      </w:r>
      <w:bookmarkEnd w:id="475"/>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电子信箱：</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电子信箱：</w:t>
      </w:r>
      <w:bookmarkStart w:id="476" w:name="SOA_hhxys_cbrdzxx"/>
      <w:r>
        <w:rPr>
          <w:rFonts w:hint="eastAsia" w:ascii="宋体" w:hAnsi="宋体" w:eastAsia="宋体" w:cs="宋体"/>
          <w:snapToGrid w:val="0"/>
          <w:color w:val="auto"/>
          <w:kern w:val="0"/>
          <w:sz w:val="24"/>
          <w:highlight w:val="none"/>
          <w:u w:val="single"/>
        </w:rPr>
        <w:t xml:space="preserve">      </w:t>
      </w:r>
      <w:bookmarkEnd w:id="476"/>
      <w:r>
        <w:rPr>
          <w:rFonts w:hint="eastAsia" w:ascii="宋体" w:hAnsi="宋体" w:eastAsia="宋体" w:cs="宋体"/>
          <w:snapToGrid w:val="0"/>
          <w:color w:val="auto"/>
          <w:kern w:val="0"/>
          <w:sz w:val="24"/>
          <w:highlight w:val="none"/>
          <w:u w:val="singl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开户银行：</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开户银行：</w:t>
      </w:r>
      <w:r>
        <w:rPr>
          <w:rFonts w:hint="eastAsia" w:ascii="宋体" w:hAnsi="宋体" w:eastAsia="宋体" w:cs="宋体"/>
          <w:snapToGrid w:val="0"/>
          <w:color w:val="auto"/>
          <w:kern w:val="0"/>
          <w:sz w:val="24"/>
          <w:highlight w:val="none"/>
          <w:u w:val="single"/>
        </w:rPr>
        <w:t xml:space="preserve">                 </w:t>
      </w:r>
    </w:p>
    <w:p>
      <w:pPr>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账  号：</w:t>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u w:val="single"/>
        </w:rPr>
        <w:tab/>
      </w:r>
      <w:r>
        <w:rPr>
          <w:rFonts w:hint="eastAsia" w:ascii="宋体" w:hAnsi="宋体" w:eastAsia="宋体" w:cs="宋体"/>
          <w:snapToGrid w:val="0"/>
          <w:color w:val="auto"/>
          <w:kern w:val="0"/>
          <w:sz w:val="24"/>
          <w:highlight w:val="none"/>
        </w:rPr>
        <w:t>账  号：</w:t>
      </w:r>
      <w:r>
        <w:rPr>
          <w:rFonts w:hint="eastAsia" w:ascii="宋体" w:hAnsi="宋体" w:eastAsia="宋体" w:cs="宋体"/>
          <w:snapToGrid w:val="0"/>
          <w:color w:val="auto"/>
          <w:kern w:val="0"/>
          <w:sz w:val="24"/>
          <w:highlight w:val="none"/>
          <w:u w:val="single"/>
        </w:rPr>
        <w:t></w:t>
      </w:r>
      <w:bookmarkStart w:id="477" w:name="SOA_hhxys_cbrzh"/>
      <w:r>
        <w:rPr>
          <w:rFonts w:hint="eastAsia" w:ascii="宋体" w:hAnsi="宋体" w:eastAsia="宋体" w:cs="宋体"/>
          <w:snapToGrid w:val="0"/>
          <w:color w:val="auto"/>
          <w:kern w:val="0"/>
          <w:sz w:val="24"/>
          <w:highlight w:val="none"/>
          <w:u w:val="single"/>
        </w:rPr>
        <w:t xml:space="preserve"> </w:t>
      </w:r>
      <w:bookmarkEnd w:id="477"/>
      <w:r>
        <w:rPr>
          <w:rFonts w:hint="eastAsia" w:ascii="宋体" w:hAnsi="宋体" w:eastAsia="宋体" w:cs="宋体"/>
          <w:snapToGrid w:val="0"/>
          <w:color w:val="auto"/>
          <w:kern w:val="0"/>
          <w:sz w:val="24"/>
          <w:highlight w:val="none"/>
          <w:u w:val="single"/>
        </w:rPr>
        <w:t xml:space="preserve">        </w:t>
      </w:r>
    </w:p>
    <w:p>
      <w:pPr>
        <w:pStyle w:val="964"/>
        <w:ind w:firstLine="0" w:firstLineChars="0"/>
        <w:jc w:val="center"/>
        <w:outlineLvl w:val="0"/>
        <w:rPr>
          <w:rFonts w:hint="eastAsia" w:ascii="宋体" w:hAnsi="宋体" w:eastAsia="宋体" w:cs="宋体"/>
          <w:color w:val="auto"/>
          <w:sz w:val="21"/>
          <w:szCs w:val="21"/>
          <w:highlight w:val="none"/>
        </w:rPr>
      </w:pPr>
      <w:r>
        <w:rPr>
          <w:rFonts w:hint="eastAsia" w:ascii="宋体" w:hAnsi="宋体" w:eastAsia="宋体" w:cs="宋体"/>
          <w:snapToGrid w:val="0"/>
          <w:color w:val="auto"/>
          <w:sz w:val="24"/>
          <w:highlight w:val="none"/>
        </w:rPr>
        <w:br w:type="page"/>
      </w:r>
      <w:bookmarkStart w:id="478" w:name="_Toc22278"/>
      <w:bookmarkStart w:id="479" w:name="_Toc22301"/>
      <w:bookmarkStart w:id="480" w:name="_Toc534620509"/>
      <w:bookmarkStart w:id="481" w:name="_Toc249091536"/>
      <w:r>
        <w:rPr>
          <w:rFonts w:hint="eastAsia" w:ascii="宋体" w:hAnsi="宋体" w:eastAsia="宋体" w:cs="宋体"/>
          <w:b/>
          <w:color w:val="auto"/>
          <w:kern w:val="2"/>
          <w:sz w:val="32"/>
          <w:szCs w:val="32"/>
          <w:highlight w:val="none"/>
        </w:rPr>
        <w:t>第</w:t>
      </w:r>
      <w:r>
        <w:rPr>
          <w:rFonts w:hint="eastAsia" w:ascii="宋体" w:hAnsi="宋体" w:cs="宋体"/>
          <w:b/>
          <w:color w:val="auto"/>
          <w:kern w:val="2"/>
          <w:sz w:val="32"/>
          <w:szCs w:val="32"/>
          <w:highlight w:val="none"/>
          <w:lang w:val="en-US" w:eastAsia="zh-CN"/>
        </w:rPr>
        <w:t>二部分</w:t>
      </w:r>
      <w:r>
        <w:rPr>
          <w:rFonts w:hint="eastAsia" w:ascii="宋体" w:hAnsi="宋体" w:eastAsia="宋体" w:cs="宋体"/>
          <w:b/>
          <w:color w:val="auto"/>
          <w:kern w:val="2"/>
          <w:sz w:val="32"/>
          <w:szCs w:val="32"/>
          <w:highlight w:val="none"/>
        </w:rPr>
        <w:t xml:space="preserve"> 合同条款及格式</w:t>
      </w:r>
      <w:r>
        <w:rPr>
          <w:rFonts w:hint="eastAsia" w:ascii="宋体" w:hAnsi="宋体" w:eastAsia="宋体" w:cs="宋体"/>
          <w:b/>
          <w:color w:val="auto"/>
          <w:highlight w:val="none"/>
        </w:rPr>
        <w:br w:type="textWrapping"/>
      </w:r>
      <w:bookmarkEnd w:id="478"/>
      <w:bookmarkEnd w:id="479"/>
    </w:p>
    <w:p>
      <w:pPr>
        <w:pageBreakBefore w:val="0"/>
        <w:widowControl w:val="0"/>
        <w:kinsoku/>
        <w:wordWrap/>
        <w:overflowPunct/>
        <w:topLinePunct w:val="0"/>
        <w:bidi w:val="0"/>
        <w:adjustRightInd/>
        <w:spacing w:line="240" w:lineRule="auto"/>
        <w:ind w:firstLine="413" w:firstLineChars="196"/>
        <w:jc w:val="center"/>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通用合同条款</w:t>
      </w:r>
    </w:p>
    <w:p>
      <w:pPr>
        <w:pageBreakBefore w:val="0"/>
        <w:widowControl w:val="0"/>
        <w:kinsoku/>
        <w:wordWrap/>
        <w:overflowPunct/>
        <w:topLinePunct w:val="0"/>
        <w:bidi w:val="0"/>
        <w:adjustRightInd/>
        <w:spacing w:line="24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通用合同条款直接引用中国建筑工业出版社出版的《建设工程施工合同（示范文本）》（GF-2017-0201）第二部分“通用合同条款”内容。</w:t>
      </w:r>
    </w:p>
    <w:p>
      <w:pPr>
        <w:pageBreakBefore w:val="0"/>
        <w:widowControl w:val="0"/>
        <w:kinsoku/>
        <w:wordWrap/>
        <w:overflowPunct/>
        <w:topLinePunct w:val="0"/>
        <w:bidi w:val="0"/>
        <w:adjustRightInd/>
        <w:spacing w:line="240" w:lineRule="auto"/>
        <w:ind w:firstLine="411" w:firstLineChars="196"/>
        <w:jc w:val="center"/>
        <w:rPr>
          <w:rFonts w:hint="eastAsia" w:ascii="宋体" w:hAnsi="宋体" w:eastAsia="宋体" w:cs="宋体"/>
          <w:b/>
          <w:bCs/>
          <w:color w:val="auto"/>
          <w:sz w:val="20"/>
          <w:highlight w:val="none"/>
        </w:rPr>
      </w:pPr>
      <w:r>
        <w:rPr>
          <w:rFonts w:hint="eastAsia" w:ascii="宋体" w:hAnsi="宋体" w:eastAsia="宋体" w:cs="宋体"/>
          <w:color w:val="auto"/>
          <w:szCs w:val="32"/>
          <w:highlight w:val="none"/>
        </w:rPr>
        <w:t>专用条款</w:t>
      </w:r>
    </w:p>
    <w:p>
      <w:pPr>
        <w:pageBreakBefore w:val="0"/>
        <w:widowControl w:val="0"/>
        <w:kinsoku/>
        <w:wordWrap/>
        <w:overflowPunct/>
        <w:topLinePunct w:val="0"/>
        <w:bidi w:val="0"/>
        <w:adjustRightInd/>
        <w:spacing w:line="240" w:lineRule="auto"/>
        <w:ind w:firstLine="413" w:firstLineChars="196"/>
        <w:rPr>
          <w:rFonts w:hint="eastAsia" w:ascii="宋体" w:hAnsi="宋体" w:eastAsia="宋体" w:cs="宋体"/>
          <w:b/>
          <w:bCs/>
          <w:color w:val="auto"/>
          <w:highlight w:val="none"/>
        </w:rPr>
      </w:pPr>
      <w:bookmarkStart w:id="482" w:name="_Hlk89720399"/>
      <w:r>
        <w:rPr>
          <w:rFonts w:hint="eastAsia" w:ascii="宋体" w:hAnsi="宋体" w:eastAsia="宋体" w:cs="宋体"/>
          <w:b/>
          <w:bCs/>
          <w:color w:val="auto"/>
          <w:highlight w:val="none"/>
        </w:rPr>
        <w:t>以下为招标人提出的涉及投标人的主要条款，投标人须在投标文件中承诺是否同意。（以下称</w:t>
      </w:r>
      <w:r>
        <w:rPr>
          <w:rFonts w:hint="eastAsia" w:ascii="宋体" w:hAnsi="宋体" w:cs="宋体"/>
          <w:b/>
          <w:bCs/>
          <w:color w:val="auto"/>
          <w:highlight w:val="none"/>
          <w:lang w:eastAsia="zh-CN"/>
        </w:rPr>
        <w:t>宁波市海曙区西门望春社区卫生服务中心</w:t>
      </w:r>
      <w:r>
        <w:rPr>
          <w:rFonts w:hint="eastAsia" w:ascii="宋体" w:hAnsi="宋体" w:eastAsia="宋体" w:cs="宋体"/>
          <w:b/>
          <w:bCs/>
          <w:color w:val="auto"/>
          <w:highlight w:val="none"/>
        </w:rPr>
        <w:t>为发包人，称成交人为承包人）</w:t>
      </w:r>
    </w:p>
    <w:bookmarkEnd w:id="482"/>
    <w:p>
      <w:pPr>
        <w:pageBreakBefore w:val="0"/>
        <w:widowControl w:val="0"/>
        <w:kinsoku/>
        <w:wordWrap/>
        <w:overflowPunct/>
        <w:topLinePunct w:val="0"/>
        <w:bidi w:val="0"/>
        <w:adjustRightInd/>
        <w:spacing w:line="24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本工程的通用合同条款，采用住房和城乡建设部、国家工商行政管理总局颁发的《建设工程施工合同（示范文本）》（GF-2017-0201）的通用合同条款。</w:t>
      </w:r>
    </w:p>
    <w:p>
      <w:pPr>
        <w:pageBreakBefore w:val="0"/>
        <w:widowControl w:val="0"/>
        <w:kinsoku/>
        <w:wordWrap/>
        <w:overflowPunct/>
        <w:topLinePunct w:val="0"/>
        <w:bidi w:val="0"/>
        <w:adjustRightInd/>
        <w:spacing w:line="24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专用合同条款主要内容如下：</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 一般约定</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 词语定义</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1.1.1合同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1.1.1.10其他合同文件包括：</w:t>
      </w:r>
      <w:r>
        <w:rPr>
          <w:rFonts w:hint="eastAsia" w:ascii="宋体" w:hAnsi="宋体" w:eastAsia="宋体" w:cs="宋体"/>
          <w:b/>
          <w:bCs/>
          <w:color w:val="auto"/>
          <w:highlight w:val="none"/>
          <w:u w:val="single"/>
        </w:rPr>
        <w:t>投标报价资料、工程的洽商、变更等书面协议或文件、承包人按规定办理的保险合同、本项目内全过程管理、跟踪审计等相关合同等。</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 合同当事人及其他相关方</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1.1.2.4监理人：</w:t>
      </w:r>
      <w:r>
        <w:rPr>
          <w:rFonts w:hint="eastAsia" w:ascii="宋体" w:hAnsi="宋体" w:eastAsia="宋体" w:cs="宋体"/>
          <w:b/>
          <w:bCs/>
          <w:color w:val="auto"/>
          <w:highlight w:val="none"/>
          <w:u w:val="single"/>
        </w:rPr>
        <w:t xml:space="preserve">         </w:t>
      </w:r>
      <w:r>
        <w:rPr>
          <w:rFonts w:hint="eastAsia" w:ascii="宋体" w:hAnsi="宋体" w:eastAsia="宋体" w:cs="宋体"/>
          <w:color w:val="auto"/>
          <w:highlight w:val="none"/>
        </w:rPr>
        <w:t xml:space="preserve">。 </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1.1.2.5 设计人：</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名    称：</w:t>
      </w:r>
      <w:r>
        <w:rPr>
          <w:rFonts w:hint="eastAsia" w:ascii="宋体" w:hAnsi="宋体" w:eastAsia="宋体" w:cs="宋体"/>
          <w:b/>
          <w:bCs/>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资质类别和等级：</w:t>
      </w:r>
      <w:r>
        <w:rPr>
          <w:rFonts w:hint="eastAsia" w:ascii="宋体" w:hAnsi="宋体" w:eastAsia="宋体" w:cs="宋体"/>
          <w:b/>
          <w:bCs/>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1.3法律 </w:t>
      </w:r>
    </w:p>
    <w:p>
      <w:pPr>
        <w:pageBreakBefore w:val="0"/>
        <w:widowControl w:val="0"/>
        <w:kinsoku/>
        <w:wordWrap/>
        <w:overflowPunct/>
        <w:topLinePunct w:val="0"/>
        <w:autoSpaceDE w:val="0"/>
        <w:autoSpaceDN w:val="0"/>
        <w:bidi w:val="0"/>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适用于合同的其他规范性文件：国家、浙江省、宁波市有关工程建设的法规、规章及规范性文件（如有冲突，按就高原则处理）。</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 标准和规范</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1.4.1适用于工程的标准规范包括：国家、浙江省、宁波市有关工程建设的法规、规章及规范性文件（如有矛盾或不一致的，以其中要求更严格的为准）。</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 合同文件的优先顺序</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合同文件组成及优先顺序为：</w:t>
      </w:r>
      <w:r>
        <w:rPr>
          <w:rFonts w:hint="eastAsia" w:ascii="宋体" w:hAnsi="宋体" w:eastAsia="宋体" w:cs="宋体"/>
          <w:color w:val="auto"/>
          <w:highlight w:val="none"/>
          <w:u w:val="single"/>
        </w:rPr>
        <w:t>合同协议书、通用合同条款和专用合同条款三部分组成，优先适用专用条款。</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 图纸和承包人文件</w:t>
      </w:r>
      <w:r>
        <w:rPr>
          <w:rFonts w:hint="eastAsia" w:ascii="宋体" w:hAnsi="宋体" w:eastAsia="宋体" w:cs="宋体"/>
          <w:color w:val="auto"/>
          <w:highlight w:val="none"/>
        </w:rPr>
        <w:tab/>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1.6.1 图纸的提供</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发包人向承包人提供图纸的期限：</w:t>
      </w:r>
      <w:r>
        <w:rPr>
          <w:rFonts w:hint="eastAsia" w:ascii="宋体" w:hAnsi="宋体" w:eastAsia="宋体" w:cs="宋体"/>
          <w:b/>
          <w:bCs/>
          <w:color w:val="auto"/>
          <w:highlight w:val="none"/>
          <w:u w:val="single"/>
        </w:rPr>
        <w:t>合同签订后5日内提供</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发包人向承包人提供图纸的数量：</w:t>
      </w:r>
      <w:r>
        <w:rPr>
          <w:rFonts w:hint="eastAsia" w:ascii="宋体" w:hAnsi="宋体" w:eastAsia="宋体" w:cs="宋体"/>
          <w:b/>
          <w:bCs/>
          <w:color w:val="auto"/>
          <w:highlight w:val="none"/>
          <w:u w:val="single"/>
        </w:rPr>
        <w:t>4套（包括承包人制作竣工图资料的图纸），另外需增加的，费用由承包人承担</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发包人向承包人提供图纸的内容：</w:t>
      </w:r>
      <w:r>
        <w:rPr>
          <w:rFonts w:hint="eastAsia" w:ascii="宋体" w:hAnsi="宋体" w:eastAsia="宋体" w:cs="宋体"/>
          <w:b/>
          <w:bCs/>
          <w:color w:val="auto"/>
          <w:highlight w:val="none"/>
          <w:u w:val="single"/>
        </w:rPr>
        <w:t>工程承包范围内的各专业工程</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1.6.4 承包人文件</w:t>
      </w:r>
    </w:p>
    <w:p>
      <w:pPr>
        <w:pageBreakBefore w:val="0"/>
        <w:widowControl w:val="0"/>
        <w:kinsoku/>
        <w:wordWrap/>
        <w:overflowPunct/>
        <w:topLinePunct w:val="0"/>
        <w:bidi w:val="0"/>
        <w:adjustRightInd/>
        <w:snapToGrid w:val="0"/>
        <w:spacing w:line="240" w:lineRule="auto"/>
        <w:ind w:firstLine="415" w:firstLineChars="198"/>
        <w:rPr>
          <w:rFonts w:hint="eastAsia" w:ascii="宋体" w:hAnsi="宋体" w:eastAsia="宋体" w:cs="宋体"/>
          <w:color w:val="auto"/>
          <w:highlight w:val="none"/>
        </w:rPr>
      </w:pPr>
      <w:r>
        <w:rPr>
          <w:rFonts w:hint="eastAsia" w:ascii="宋体" w:hAnsi="宋体" w:eastAsia="宋体" w:cs="宋体"/>
          <w:color w:val="auto"/>
          <w:highlight w:val="none"/>
        </w:rPr>
        <w:t>需要由承包人提供的文件，包括：</w:t>
      </w:r>
      <w:r>
        <w:rPr>
          <w:rFonts w:hint="eastAsia" w:ascii="宋体" w:hAnsi="宋体" w:eastAsia="宋体" w:cs="宋体"/>
          <w:b/>
          <w:bCs/>
          <w:color w:val="auto"/>
          <w:highlight w:val="none"/>
          <w:u w:val="single"/>
        </w:rPr>
        <w:t>施工组织设计、工程进度计划、专项施工方案、加工图、大样图、协调配合图等</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承包人提供的文件的期限为：</w:t>
      </w:r>
      <w:r>
        <w:rPr>
          <w:rFonts w:hint="eastAsia" w:ascii="宋体" w:hAnsi="宋体" w:eastAsia="宋体" w:cs="宋体"/>
          <w:b/>
          <w:bCs/>
          <w:color w:val="auto"/>
          <w:highlight w:val="none"/>
          <w:u w:val="single"/>
        </w:rPr>
        <w:t>施工组织设计、工程进度计划在工程开工前7天，其他文件在相应专项工程或部位施工前7天；</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承包人提供的文件的数量为：</w:t>
      </w:r>
      <w:r>
        <w:rPr>
          <w:rFonts w:hint="eastAsia" w:ascii="宋体" w:hAnsi="宋体" w:eastAsia="宋体" w:cs="宋体"/>
          <w:b/>
          <w:bCs/>
          <w:color w:val="auto"/>
          <w:highlight w:val="none"/>
          <w:u w:val="single"/>
        </w:rPr>
        <w:t>一式六套</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1.6.5 现场图纸准备</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关于现场图纸准备的约定：</w:t>
      </w:r>
      <w:r>
        <w:rPr>
          <w:rFonts w:hint="eastAsia" w:ascii="宋体" w:hAnsi="宋体" w:eastAsia="宋体" w:cs="宋体"/>
          <w:b/>
          <w:bCs/>
          <w:color w:val="auto"/>
          <w:highlight w:val="none"/>
          <w:u w:val="single"/>
        </w:rPr>
        <w:t>承包人在施工现场保存至少一套完整的图纸和承包人文件</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 联络</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1.7.1发包人和承包人应当在</w:t>
      </w:r>
      <w:r>
        <w:rPr>
          <w:rFonts w:hint="eastAsia" w:ascii="宋体" w:hAnsi="宋体" w:eastAsia="宋体" w:cs="宋体"/>
          <w:b/>
          <w:bCs/>
          <w:color w:val="auto"/>
          <w:highlight w:val="none"/>
          <w:u w:val="single"/>
        </w:rPr>
        <w:t>7</w:t>
      </w:r>
      <w:r>
        <w:rPr>
          <w:rFonts w:hint="eastAsia" w:ascii="宋体" w:hAnsi="宋体" w:eastAsia="宋体" w:cs="宋体"/>
          <w:color w:val="auto"/>
          <w:highlight w:val="none"/>
        </w:rPr>
        <w:t>天内将与合同有关的通知、批准、证明、证书、指示、指令、要求、请求、同意、意见、确定和决定等书面函件送达对方当事人。</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1.7.2 发包人接收文件的地点：</w:t>
      </w:r>
      <w:r>
        <w:rPr>
          <w:rFonts w:hint="eastAsia" w:ascii="宋体" w:hAnsi="宋体" w:eastAsia="宋体" w:cs="宋体"/>
          <w:b/>
          <w:bCs/>
          <w:color w:val="auto"/>
          <w:highlight w:val="none"/>
          <w:u w:val="single"/>
        </w:rPr>
        <w:t>全过程管理单位驻项目办公所在地</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发包人指定的接收人为：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承包人接收文件的地点：</w:t>
      </w:r>
      <w:r>
        <w:rPr>
          <w:rFonts w:hint="eastAsia" w:ascii="宋体" w:hAnsi="宋体" w:eastAsia="宋体" w:cs="宋体"/>
          <w:b/>
          <w:bCs/>
          <w:color w:val="auto"/>
          <w:highlight w:val="none"/>
          <w:u w:val="single"/>
        </w:rPr>
        <w:t>承包人驻项目办公所在地</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承包人指定的接收人为：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监理人接收文件的地点：</w:t>
      </w:r>
      <w:r>
        <w:rPr>
          <w:rFonts w:hint="eastAsia" w:ascii="宋体" w:hAnsi="宋体" w:eastAsia="宋体" w:cs="宋体"/>
          <w:b/>
          <w:bCs/>
          <w:color w:val="auto"/>
          <w:highlight w:val="none"/>
          <w:u w:val="single"/>
        </w:rPr>
        <w:t>监理人驻项目办公所在地</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监理人指定的接收人为：</w:t>
      </w:r>
      <w:r>
        <w:rPr>
          <w:rFonts w:hint="eastAsia" w:ascii="宋体" w:hAnsi="宋体" w:eastAsia="宋体" w:cs="宋体"/>
          <w:b/>
          <w:bCs/>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 交通运输</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1.10.1 出入现场的权利</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关于出入现场的权利的约定：</w:t>
      </w:r>
      <w:r>
        <w:rPr>
          <w:rFonts w:hint="eastAsia" w:ascii="宋体" w:hAnsi="宋体" w:eastAsia="宋体" w:cs="宋体"/>
          <w:b/>
          <w:bCs/>
          <w:color w:val="auto"/>
          <w:highlight w:val="none"/>
          <w:u w:val="single"/>
        </w:rPr>
        <w:t>执行通用条款</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1.10.3 场内交通</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关于场外交通和场内交通的边界的约定：</w:t>
      </w:r>
      <w:r>
        <w:rPr>
          <w:rFonts w:hint="eastAsia" w:ascii="宋体" w:hAnsi="宋体" w:eastAsia="宋体" w:cs="宋体"/>
          <w:b/>
          <w:bCs/>
          <w:color w:val="auto"/>
          <w:highlight w:val="none"/>
          <w:u w:val="single"/>
        </w:rPr>
        <w:t>以发包人提供的施工区域划分图纸为准</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关于发包人向承包人免费提供满足工程施工需要的场内道路和交通设施的约定：</w:t>
      </w:r>
      <w:r>
        <w:rPr>
          <w:rFonts w:hint="eastAsia" w:ascii="宋体" w:hAnsi="宋体" w:eastAsia="宋体" w:cs="宋体"/>
          <w:b/>
          <w:bCs/>
          <w:color w:val="auto"/>
          <w:highlight w:val="none"/>
          <w:u w:val="single"/>
        </w:rPr>
        <w:t>无</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1.10.4超大件和超重件的运输</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运输超大件或超重件所需的道路和桥梁临时加固改造费用和其他有关费用由</w:t>
      </w:r>
      <w:r>
        <w:rPr>
          <w:rFonts w:hint="eastAsia" w:ascii="宋体" w:hAnsi="宋体" w:eastAsia="宋体" w:cs="宋体"/>
          <w:b/>
          <w:bCs/>
          <w:color w:val="auto"/>
          <w:highlight w:val="none"/>
          <w:u w:val="single"/>
        </w:rPr>
        <w:t>承包人</w:t>
      </w:r>
      <w:r>
        <w:rPr>
          <w:rFonts w:hint="eastAsia" w:ascii="宋体" w:hAnsi="宋体" w:eastAsia="宋体" w:cs="宋体"/>
          <w:color w:val="auto"/>
          <w:highlight w:val="none"/>
        </w:rPr>
        <w:t>承担。</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 知识产权</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b/>
          <w:bCs/>
          <w:color w:val="auto"/>
          <w:highlight w:val="none"/>
          <w:u w:val="single"/>
        </w:rPr>
        <w:t>执行通用条款</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关于发包人提供的上述文件的使用限制的要求：</w:t>
      </w:r>
      <w:r>
        <w:rPr>
          <w:rFonts w:hint="eastAsia" w:ascii="宋体" w:hAnsi="宋体" w:eastAsia="宋体" w:cs="宋体"/>
          <w:b/>
          <w:bCs/>
          <w:color w:val="auto"/>
          <w:highlight w:val="none"/>
          <w:u w:val="single"/>
        </w:rPr>
        <w:t>执行通用条款</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1.11.2 关于承包人为实施工程所编制文件的著作权的归属：</w:t>
      </w:r>
      <w:r>
        <w:rPr>
          <w:rFonts w:hint="eastAsia" w:ascii="宋体" w:hAnsi="宋体" w:eastAsia="宋体" w:cs="宋体"/>
          <w:b/>
          <w:bCs/>
          <w:color w:val="auto"/>
          <w:highlight w:val="none"/>
          <w:u w:val="single"/>
        </w:rPr>
        <w:t>发包人。</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关于承包人提供的上述文件的使用限制的要求：</w:t>
      </w:r>
      <w:r>
        <w:rPr>
          <w:rFonts w:hint="eastAsia" w:ascii="宋体" w:hAnsi="宋体" w:eastAsia="宋体" w:cs="宋体"/>
          <w:b/>
          <w:bCs/>
          <w:color w:val="auto"/>
          <w:highlight w:val="none"/>
          <w:u w:val="single"/>
        </w:rPr>
        <w:t>执行通用条款</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b/>
          <w:bCs/>
          <w:color w:val="auto"/>
          <w:highlight w:val="none"/>
          <w:u w:val="single"/>
        </w:rPr>
      </w:pPr>
      <w:r>
        <w:rPr>
          <w:rFonts w:hint="eastAsia" w:ascii="宋体" w:hAnsi="宋体" w:eastAsia="宋体" w:cs="宋体"/>
          <w:color w:val="auto"/>
          <w:highlight w:val="none"/>
        </w:rPr>
        <w:t>1.11.4 承包人在施工过程中所采用的专利、专有技术、技术秘密的使用费的承担方式：</w:t>
      </w:r>
      <w:r>
        <w:rPr>
          <w:rFonts w:hint="eastAsia" w:ascii="宋体" w:hAnsi="宋体" w:eastAsia="宋体" w:cs="宋体"/>
          <w:b/>
          <w:bCs/>
          <w:color w:val="auto"/>
          <w:highlight w:val="none"/>
          <w:u w:val="single"/>
        </w:rPr>
        <w:t>由承包人自行负责，与发包人无涉。</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1.13工程量清单错误的修正</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出现工程量清单错误时，是否调整合同价格：</w:t>
      </w:r>
      <w:r>
        <w:rPr>
          <w:rFonts w:hint="eastAsia" w:ascii="宋体" w:hAnsi="宋体" w:eastAsia="宋体" w:cs="宋体"/>
          <w:b/>
          <w:bCs/>
          <w:color w:val="auto"/>
          <w:highlight w:val="none"/>
          <w:u w:val="single"/>
        </w:rPr>
        <w:t>是</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11" w:firstLineChars="196"/>
        <w:rPr>
          <w:rFonts w:hint="eastAsia" w:ascii="宋体" w:hAnsi="宋体" w:eastAsia="宋体" w:cs="宋体"/>
          <w:color w:val="auto"/>
          <w:highlight w:val="none"/>
        </w:rPr>
      </w:pPr>
      <w:r>
        <w:rPr>
          <w:rFonts w:hint="eastAsia" w:ascii="宋体" w:hAnsi="宋体" w:eastAsia="宋体" w:cs="宋体"/>
          <w:color w:val="auto"/>
          <w:highlight w:val="none"/>
        </w:rPr>
        <w:t>允许调整合同价格的工程量偏差范围：</w:t>
      </w:r>
    </w:p>
    <w:p>
      <w:pPr>
        <w:pageBreakBefore w:val="0"/>
        <w:widowControl w:val="0"/>
        <w:kinsoku/>
        <w:wordWrap/>
        <w:overflowPunct/>
        <w:topLinePunct w:val="0"/>
        <w:bidi w:val="0"/>
        <w:adjustRightInd/>
        <w:snapToGrid w:val="0"/>
        <w:spacing w:line="240" w:lineRule="auto"/>
        <w:ind w:firstLine="413" w:firstLineChars="196"/>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（1）发生下列情况之一的，项目的工程量均应按实调整：</w:t>
      </w:r>
    </w:p>
    <w:p>
      <w:pPr>
        <w:pageBreakBefore w:val="0"/>
        <w:widowControl w:val="0"/>
        <w:kinsoku/>
        <w:wordWrap/>
        <w:overflowPunct/>
        <w:topLinePunct w:val="0"/>
        <w:bidi w:val="0"/>
        <w:adjustRightInd/>
        <w:snapToGrid w:val="0"/>
        <w:spacing w:line="240" w:lineRule="auto"/>
        <w:ind w:firstLine="413" w:firstLineChars="196"/>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（a）发包人提供的工程量清单的项目或数量有误；</w:t>
      </w:r>
    </w:p>
    <w:p>
      <w:pPr>
        <w:pageBreakBefore w:val="0"/>
        <w:widowControl w:val="0"/>
        <w:kinsoku/>
        <w:wordWrap/>
        <w:overflowPunct/>
        <w:topLinePunct w:val="0"/>
        <w:bidi w:val="0"/>
        <w:adjustRightInd/>
        <w:snapToGrid w:val="0"/>
        <w:spacing w:line="240" w:lineRule="auto"/>
        <w:ind w:left="42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（b）设计变更引起的工程项目或数量增减；</w:t>
      </w:r>
    </w:p>
    <w:p>
      <w:pPr>
        <w:pageBreakBefore w:val="0"/>
        <w:widowControl w:val="0"/>
        <w:kinsoku/>
        <w:wordWrap/>
        <w:overflowPunct/>
        <w:topLinePunct w:val="0"/>
        <w:bidi w:val="0"/>
        <w:adjustRightInd/>
        <w:snapToGrid w:val="0"/>
        <w:spacing w:line="240" w:lineRule="auto"/>
        <w:ind w:left="42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（c）经发包人确认的签证；</w:t>
      </w:r>
    </w:p>
    <w:p>
      <w:pPr>
        <w:pageBreakBefore w:val="0"/>
        <w:widowControl w:val="0"/>
        <w:kinsoku/>
        <w:wordWrap/>
        <w:overflowPunct/>
        <w:topLinePunct w:val="0"/>
        <w:bidi w:val="0"/>
        <w:adjustRightInd/>
        <w:snapToGrid w:val="0"/>
        <w:spacing w:line="240" w:lineRule="auto"/>
        <w:ind w:left="42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（d）发包人提供的暂定工程量部分。</w:t>
      </w:r>
    </w:p>
    <w:p>
      <w:pPr>
        <w:pageBreakBefore w:val="0"/>
        <w:widowControl w:val="0"/>
        <w:kinsoku/>
        <w:wordWrap/>
        <w:overflowPunct/>
        <w:topLinePunct w:val="0"/>
        <w:bidi w:val="0"/>
        <w:adjustRightInd/>
        <w:snapToGrid w:val="0"/>
        <w:spacing w:line="240" w:lineRule="auto"/>
        <w:ind w:firstLine="413" w:firstLineChars="196"/>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（2）暂定工程量、变更的工程量应根据设计图纸及其变更联系单，按有关工程量计算规则计算确定，并经发包人或其委托的咨询单位工程师审定确认。</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2. 发包人</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 发包人代表</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rPr>
        <w:t>发包人对发包人代表的授权范围如下：</w:t>
      </w:r>
      <w:r>
        <w:rPr>
          <w:rFonts w:hint="eastAsia" w:ascii="宋体" w:hAnsi="宋体" w:eastAsia="宋体" w:cs="宋体"/>
          <w:b/>
          <w:bCs/>
          <w:color w:val="auto"/>
          <w:highlight w:val="none"/>
          <w:u w:val="single"/>
        </w:rPr>
        <w:t>代表发包人履行发包人对工程建设管理的权利和义务，签发（或会签）各项工程联系单，对承包人、监理人有监督、协调的权利。工程价款洽商、索赔事项的处理、合同的变更等事项，由发包人代表在监理人（全过程管理单位）的配合下完成，但最终需经发包人同意。</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 施工现场、施工条件和基础资料的提供</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2.4.1 提供施工现场</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关于发包人移交施工现场的期限要求：</w:t>
      </w:r>
      <w:r>
        <w:rPr>
          <w:rFonts w:hint="eastAsia" w:ascii="宋体" w:hAnsi="宋体" w:eastAsia="宋体" w:cs="宋体"/>
          <w:b/>
          <w:bCs/>
          <w:color w:val="auto"/>
          <w:highlight w:val="none"/>
          <w:u w:val="single"/>
        </w:rPr>
        <w:t>开工前。</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2.4.2 提供施工条件</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b/>
          <w:bCs/>
          <w:color w:val="auto"/>
          <w:highlight w:val="none"/>
          <w:u w:val="single"/>
        </w:rPr>
      </w:pPr>
      <w:r>
        <w:rPr>
          <w:rFonts w:hint="eastAsia" w:ascii="宋体" w:hAnsi="宋体" w:eastAsia="宋体" w:cs="宋体"/>
          <w:color w:val="auto"/>
          <w:highlight w:val="none"/>
        </w:rPr>
        <w:t>关于发包人应负责提供施工所需要的条件，包括：</w:t>
      </w:r>
      <w:r>
        <w:rPr>
          <w:rFonts w:hint="eastAsia" w:ascii="宋体" w:hAnsi="宋体" w:eastAsia="宋体" w:cs="宋体"/>
          <w:b/>
          <w:bCs/>
          <w:color w:val="auto"/>
          <w:highlight w:val="none"/>
          <w:u w:val="single"/>
        </w:rPr>
        <w:t>发包人已经使施工现场初步具备施工条件（除工程量清单中列明由承包人实施的项目外），后续工作及遗留问题由承包人自行负责解决，发包人不再支付任何其他费用（如遇特殊情况，双方协商解决）。</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施工用水、电由发包人在开工前五天接至工地，承包人负责将水电线路接至施工所需的地点，相关材料及人工费用由承包人承担；承包人负责保管发包人移交的水电线路及设备，费用由承包人承担；电讯设施由承包人自行解决，费用由承包人承担。发包人不提供设备材料堆放场地、办公场所及住宿场所。</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发包人仅提供通往指定区域的道路。场地内临时道路及出入通道的修建及养护由承包人负责，工程完工前承包人应对因施工造成的原有道路、排水等设施的损坏进行修缮，恢复原有使用功能，并包括到养护、道路部门或周边道路施工单位办理所有相关手续。施工中应保证现有道路的正常通行。</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2.5 资金来源证明及支付担保</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发包人是否提供支付担保：</w:t>
      </w:r>
      <w:r>
        <w:rPr>
          <w:rFonts w:hint="eastAsia" w:ascii="宋体" w:hAnsi="宋体" w:eastAsia="宋体" w:cs="宋体"/>
          <w:b/>
          <w:bCs/>
          <w:color w:val="auto"/>
          <w:highlight w:val="none"/>
          <w:u w:val="single"/>
        </w:rPr>
        <w:t>否</w:t>
      </w:r>
      <w:r>
        <w:rPr>
          <w:rFonts w:hint="eastAsia" w:ascii="宋体" w:hAnsi="宋体" w:eastAsia="宋体" w:cs="宋体"/>
          <w:color w:val="auto"/>
          <w:highlight w:val="none"/>
        </w:rPr>
        <w:t>。</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3. 承包人</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3.1 承包人的一般义务</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（9）承包人提交的竣工资料的内容：</w:t>
      </w:r>
      <w:r>
        <w:rPr>
          <w:rFonts w:hint="eastAsia" w:ascii="宋体" w:hAnsi="宋体" w:eastAsia="宋体" w:cs="宋体"/>
          <w:b/>
          <w:bCs/>
          <w:color w:val="auto"/>
          <w:highlight w:val="none"/>
          <w:u w:val="single"/>
        </w:rPr>
        <w:t>满足竣工验收要求。</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在工程具备竣工验收条件后一个月内向发包人提供竣工图4套，竣工资料4套，电子光盘1套，并按《建设工程档案资料规范》相关规范等规定整理相关工程资料。如因资料不符合有关部门的要求，而产生的资料整理费用由承包人承担。</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承包人需要提交的竣工资料套数：</w:t>
      </w:r>
      <w:r>
        <w:rPr>
          <w:rFonts w:hint="eastAsia" w:ascii="宋体" w:hAnsi="宋体" w:eastAsia="宋体" w:cs="宋体"/>
          <w:b/>
          <w:bCs/>
          <w:color w:val="auto"/>
          <w:highlight w:val="none"/>
          <w:u w:val="single"/>
        </w:rPr>
        <w:t xml:space="preserve">4套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承包人提交的竣工资料的费用承担：</w:t>
      </w:r>
      <w:r>
        <w:rPr>
          <w:rFonts w:hint="eastAsia" w:ascii="宋体" w:hAnsi="宋体" w:eastAsia="宋体" w:cs="宋体"/>
          <w:b/>
          <w:bCs/>
          <w:color w:val="auto"/>
          <w:highlight w:val="none"/>
          <w:u w:val="single"/>
        </w:rPr>
        <w:t>承包人自行承担。</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承包人提交的竣工资料移交时间：</w:t>
      </w:r>
      <w:r>
        <w:rPr>
          <w:rFonts w:hint="eastAsia" w:ascii="宋体" w:hAnsi="宋体" w:eastAsia="宋体" w:cs="宋体"/>
          <w:b/>
          <w:bCs/>
          <w:color w:val="auto"/>
          <w:highlight w:val="none"/>
          <w:u w:val="single"/>
        </w:rPr>
        <w:t xml:space="preserve">在具备竣工验收合格条件后1个月内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承包人提交的竣工资料形式要求：</w:t>
      </w:r>
      <w:r>
        <w:rPr>
          <w:rFonts w:hint="eastAsia" w:ascii="宋体" w:hAnsi="宋体" w:eastAsia="宋体" w:cs="宋体"/>
          <w:b/>
          <w:bCs/>
          <w:color w:val="auto"/>
          <w:highlight w:val="none"/>
          <w:u w:val="single"/>
        </w:rPr>
        <w:t>包括纸质及电子资料</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b/>
          <w:bCs/>
          <w:color w:val="auto"/>
          <w:highlight w:val="none"/>
          <w:u w:val="single"/>
        </w:rPr>
      </w:pPr>
      <w:r>
        <w:rPr>
          <w:rFonts w:hint="eastAsia" w:ascii="宋体" w:hAnsi="宋体" w:eastAsia="宋体" w:cs="宋体"/>
          <w:color w:val="auto"/>
          <w:highlight w:val="none"/>
        </w:rPr>
        <w:t>（10）承包人应履行的其他义务：</w:t>
      </w:r>
      <w:r>
        <w:rPr>
          <w:rFonts w:hint="eastAsia" w:ascii="宋体" w:hAnsi="宋体" w:eastAsia="宋体" w:cs="宋体"/>
          <w:b/>
          <w:bCs/>
          <w:color w:val="auto"/>
          <w:highlight w:val="none"/>
          <w:u w:val="single"/>
        </w:rPr>
        <w:t>竣工图的编制规定：</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a、施工中没有设计变更，竣工后由承包人在发包人提供的施工图纸加盖竣工图章，经监理人签字确认后提交发包人；</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b、施工中只有零星的少量设计变更，承包人在施工图变更位置注明，并连同经发包人同意的变更签证，竣工后由承包人加盖竣工图章，经监理人签字确认后交发包人；</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c、施工中对原设计变更较多，原施工图难于作为竣工图，应由承包人组织重新绘制竣工图并经监理人签字确认后提交发包人，并由承包人承担制作竣工图的相应费用。</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 项目经理</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3.2.1承包人委派的项目经理及其执业行为应遵守通用条款约定，违反约定的，按本专用条款约定，承担违约责任。</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承包人项目经理必须与承包人投标时所承诺的人员一致，并在根据本合同约定的开工日期前到任。项目经理不得违反建设行政主管部门和文物管理部门对项目经理的管理规定。未经发包人书面许可，承包人不得更换项目经理。承包人项目经理以及项目管理机构关键岗位人员的姓名、职称、身份证号、执业资格证书号、注册证书号、执业印章号、</w:t>
      </w:r>
      <w:bookmarkStart w:id="483" w:name="_Hlk89720459"/>
      <w:r>
        <w:rPr>
          <w:rFonts w:hint="eastAsia" w:ascii="宋体" w:hAnsi="宋体" w:eastAsia="宋体" w:cs="宋体"/>
          <w:color w:val="auto"/>
          <w:highlight w:val="none"/>
        </w:rPr>
        <w:t>安全生产考核合格证书号等资料应当在合同协议书中载明或通过其他书面形式向发包人进行提供。</w:t>
      </w:r>
    </w:p>
    <w:bookmarkEnd w:id="483"/>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（2）承包人对项目经理的授权范围如下：在承包人授权范围内履行承包人的职权，对工程建设的质量、安全、工期以及工程造价控制负责，所有上报给发包人的文件均需项目经理签字。</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bookmarkStart w:id="484" w:name="_Hlk89720499"/>
      <w:r>
        <w:rPr>
          <w:rFonts w:hint="eastAsia" w:ascii="宋体" w:hAnsi="宋体" w:eastAsia="宋体" w:cs="宋体"/>
          <w:color w:val="auto"/>
          <w:highlight w:val="none"/>
        </w:rPr>
        <w:t>承包人未提交劳动合同，以及没有为项目经理缴纳社会保险证明的违约责任：发包人有权解除合同，由此造成的费用增加和工期延误损失及给发包人造成的一切损失均由承包人承担。</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（4）关于项目经理每月在施工现场的时间要求：每月在施工现场时间不得少于</w:t>
      </w:r>
      <w:r>
        <w:rPr>
          <w:rFonts w:hint="eastAsia" w:ascii="宋体" w:hAnsi="宋体" w:eastAsia="宋体" w:cs="宋体"/>
          <w:b/>
          <w:bCs/>
          <w:color w:val="auto"/>
          <w:highlight w:val="none"/>
          <w:u w:val="single"/>
        </w:rPr>
        <w:t xml:space="preserve"> 24</w:t>
      </w:r>
      <w:r>
        <w:rPr>
          <w:rFonts w:hint="eastAsia" w:ascii="宋体" w:hAnsi="宋体" w:eastAsia="宋体" w:cs="宋体"/>
          <w:color w:val="auto"/>
          <w:highlight w:val="none"/>
        </w:rPr>
        <w:t>天，且重要工程例会及验收环节等必须由项目经理参加。如果项目经理到岗时间达不到要求的，根据实际到岗时间与约定到岗时间的差额，每差1天（不到一天按一天计算），承包人应向发包人支付违约金1000元，违约金从</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中承诺的“未履行项目经理及主要施工管理人员到场承诺违约金限额”中扣除，该项限额不足时，发包人有权向承包人追偿。有特殊情况少于上述时间的，批准要求按通用条款执行。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发包人对项目经理未按约定到岗的违约处理，应根据监理人对项目经理的考勤结果进行。</w:t>
      </w:r>
    </w:p>
    <w:bookmarkEnd w:id="484"/>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（5）项目经理未经批准，擅自离开施工现场的违约责任：处违约金</w:t>
      </w:r>
      <w:r>
        <w:rPr>
          <w:rFonts w:hint="eastAsia" w:ascii="宋体" w:hAnsi="宋体" w:eastAsia="宋体" w:cs="宋体"/>
          <w:b/>
          <w:bCs/>
          <w:color w:val="auto"/>
          <w:highlight w:val="none"/>
          <w:u w:val="single"/>
        </w:rPr>
        <w:t>1000</w:t>
      </w:r>
      <w:r>
        <w:rPr>
          <w:rFonts w:hint="eastAsia" w:ascii="宋体" w:hAnsi="宋体" w:eastAsia="宋体" w:cs="宋体"/>
          <w:color w:val="auto"/>
          <w:highlight w:val="none"/>
        </w:rPr>
        <w:t>元/次，违约金从</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中承诺的“未履行项目经理及主要施工管理人员到场承诺违约金限额”中扣除，该项限额不足时，发包人有权向承包人追偿。</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发包人对项目经理擅自离开施工现场的违约处理，应根据监理人对项目经理的考勤结果进行。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3.2.3 承包人擅自更换项目经理的违约责任：处违约金</w:t>
      </w:r>
      <w:r>
        <w:rPr>
          <w:rFonts w:hint="eastAsia" w:ascii="宋体" w:hAnsi="宋体" w:eastAsia="宋体" w:cs="宋体"/>
          <w:b/>
          <w:bCs/>
          <w:color w:val="auto"/>
          <w:highlight w:val="none"/>
          <w:u w:val="single"/>
        </w:rPr>
        <w:t>10000</w:t>
      </w:r>
      <w:r>
        <w:rPr>
          <w:rFonts w:hint="eastAsia" w:ascii="宋体" w:hAnsi="宋体" w:eastAsia="宋体" w:cs="宋体"/>
          <w:color w:val="auto"/>
          <w:highlight w:val="none"/>
        </w:rPr>
        <w:t>元/次，违约金从</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的“未履行项目经理及主要施工管理人员到场承诺违约金限额”中扣除，该项限额不足时，发包人有权向承包人追偿，且有权拒绝接受其擅自更换的项目经理。发包人书面拒绝后承包人仍然擅自更换的，发包人有权解除合同，由此造成的费用增加和工期延误损失及给发包人造成的一切损失均由承包人承担。</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3.2.4 承包人无正当理由拒绝更换项目经理的违约责任：发包人认为项目经理无法履行职责的，应提供相关证明材料，并签发《整改通知书》，承包人在收到《整改通知书》后仍无改善的，发包人有权要求承包人更换项目经理。承包人无正当理由拒绝更换的，发包人可以一次性扣除承包人</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中承诺的“未履行项目经理及主要施工管理人员到场承诺违约金限额”。</w:t>
      </w:r>
      <w:bookmarkStart w:id="485" w:name="_Hlk89720791"/>
      <w:r>
        <w:rPr>
          <w:rFonts w:hint="eastAsia" w:ascii="宋体" w:hAnsi="宋体" w:eastAsia="宋体" w:cs="宋体"/>
          <w:color w:val="auto"/>
          <w:highlight w:val="none"/>
        </w:rPr>
        <w:t>情节严重的，发包人有权解除合同，由此造成的费用增加和工期延误损失及给发包人造成的一切损失由承包人承担。</w:t>
      </w:r>
    </w:p>
    <w:bookmarkEnd w:id="485"/>
    <w:p>
      <w:pPr>
        <w:pageBreakBefore w:val="0"/>
        <w:widowControl w:val="0"/>
        <w:kinsoku/>
        <w:wordWrap/>
        <w:overflowPunct/>
        <w:topLinePunct w:val="0"/>
        <w:bidi w:val="0"/>
        <w:adjustRightInd/>
        <w:snapToGrid w:val="0"/>
        <w:spacing w:before="120" w:line="240" w:lineRule="auto"/>
        <w:ind w:firstLine="401" w:firstLineChars="190"/>
        <w:rPr>
          <w:rFonts w:hint="eastAsia" w:ascii="宋体" w:hAnsi="宋体" w:eastAsia="宋体" w:cs="宋体"/>
          <w:b/>
          <w:bCs/>
          <w:color w:val="auto"/>
          <w:highlight w:val="none"/>
        </w:rPr>
      </w:pPr>
      <w:r>
        <w:rPr>
          <w:rFonts w:hint="eastAsia" w:ascii="宋体" w:hAnsi="宋体" w:eastAsia="宋体" w:cs="宋体"/>
          <w:b/>
          <w:bCs/>
          <w:color w:val="auto"/>
          <w:highlight w:val="none"/>
        </w:rPr>
        <w:t>3.3 承包人人员</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3.3.1 承包人应接到开工通知后7天内提交与投标时所承诺的人员一致的项目管理机构及施工现场管理人员安排报告。</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3.3.3 承包人无正当理由拒绝撤换主要施工管理人员的违约责任：发包人认为主要施工管理人员（指技术负责人、安全员、施工员、质量员）无法履行职责的，应提供相关证明材料，并签发《整改通知书》。承包人在收到《整改通知书》后仍无改善的，发包人有权要求承包人更换管理人员。承包人无正当理由拒绝更换的，发包人可以一次性扣除承包人</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中承诺中的“未履行项目经理及主要施工管理人员到场承诺违约金限额”。情节严重的，发包人有权解除合同，由此造成的费用增加和工期延误损失及给发包人造成的一切损失由承包人承担。</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3.3.4 承包人主要施工管理人员离开施工现场的批准要求：安全员、施工员每月在施工管理现场不得少于</w:t>
      </w:r>
      <w:r>
        <w:rPr>
          <w:rFonts w:hint="eastAsia" w:ascii="宋体" w:hAnsi="宋体" w:eastAsia="宋体" w:cs="宋体"/>
          <w:b/>
          <w:bCs/>
          <w:color w:val="auto"/>
          <w:highlight w:val="none"/>
          <w:u w:val="single"/>
        </w:rPr>
        <w:t>24</w:t>
      </w:r>
      <w:r>
        <w:rPr>
          <w:rFonts w:hint="eastAsia" w:ascii="宋体" w:hAnsi="宋体" w:eastAsia="宋体" w:cs="宋体"/>
          <w:color w:val="auto"/>
          <w:highlight w:val="none"/>
        </w:rPr>
        <w:t>天，其他主要施工管理人员每月在施工管理现场不得少于</w:t>
      </w:r>
      <w:r>
        <w:rPr>
          <w:rFonts w:hint="eastAsia" w:ascii="宋体" w:hAnsi="宋体" w:eastAsia="宋体" w:cs="宋体"/>
          <w:b/>
          <w:bCs/>
          <w:color w:val="auto"/>
          <w:highlight w:val="none"/>
          <w:u w:val="single"/>
        </w:rPr>
        <w:t>24</w:t>
      </w:r>
      <w:r>
        <w:rPr>
          <w:rFonts w:hint="eastAsia" w:ascii="宋体" w:hAnsi="宋体" w:eastAsia="宋体" w:cs="宋体"/>
          <w:color w:val="auto"/>
          <w:highlight w:val="none"/>
        </w:rPr>
        <w:t>天，有特殊情况少于上述时间的，批准要求按通用条款执行。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3.3.5 承包人擅自更换主要施工管理人员的违约责任：处违约金</w:t>
      </w:r>
      <w:r>
        <w:rPr>
          <w:rFonts w:hint="eastAsia" w:ascii="宋体" w:hAnsi="宋体" w:eastAsia="宋体" w:cs="宋体"/>
          <w:b/>
          <w:bCs/>
          <w:color w:val="auto"/>
          <w:highlight w:val="none"/>
          <w:u w:val="single"/>
        </w:rPr>
        <w:t>800</w:t>
      </w:r>
      <w:r>
        <w:rPr>
          <w:rFonts w:hint="eastAsia" w:ascii="宋体" w:hAnsi="宋体" w:eastAsia="宋体" w:cs="宋体"/>
          <w:color w:val="auto"/>
          <w:highlight w:val="none"/>
        </w:rPr>
        <w:t>元/人/次，违约金从</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中承诺中的“未履行项目经理及主要施工管理人员到场承诺违约金限额”中扣除，该项限额不足时，发包人有权向承包人追偿，且有权拒绝接受其擅自更换的主要施工管理人员。</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承包人主要施工管理人员擅自离开施工现场的违约责任：处违约</w:t>
      </w:r>
      <w:r>
        <w:rPr>
          <w:rFonts w:hint="eastAsia" w:ascii="宋体" w:hAnsi="宋体" w:eastAsia="宋体" w:cs="宋体"/>
          <w:b/>
          <w:bCs/>
          <w:color w:val="auto"/>
          <w:highlight w:val="none"/>
          <w:u w:val="single"/>
        </w:rPr>
        <w:t>500</w:t>
      </w:r>
      <w:r>
        <w:rPr>
          <w:rFonts w:hint="eastAsia" w:ascii="宋体" w:hAnsi="宋体" w:eastAsia="宋体" w:cs="宋体"/>
          <w:color w:val="auto"/>
          <w:highlight w:val="none"/>
        </w:rPr>
        <w:t>元/人/次，违约金从</w:t>
      </w:r>
      <w:r>
        <w:rPr>
          <w:rFonts w:hint="eastAsia" w:ascii="宋体" w:hAnsi="宋体" w:cs="宋体"/>
          <w:color w:val="auto"/>
          <w:highlight w:val="none"/>
          <w:lang w:eastAsia="zh-CN"/>
        </w:rPr>
        <w:t>投标附录</w:t>
      </w:r>
      <w:r>
        <w:rPr>
          <w:rFonts w:hint="eastAsia" w:ascii="宋体" w:hAnsi="宋体" w:eastAsia="宋体" w:cs="宋体"/>
          <w:color w:val="auto"/>
          <w:highlight w:val="none"/>
        </w:rPr>
        <w:t>中承诺的“未履行项目经理及主要施工管理人员到场承诺违约金限额”中扣除，该项限额不足时，发包人有权向承包人追偿，情节严重的发包人有权解除合同。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bookmarkStart w:id="486" w:name="_Hlk89720873"/>
      <w:r>
        <w:rPr>
          <w:rFonts w:hint="eastAsia" w:ascii="宋体" w:hAnsi="宋体" w:eastAsia="宋体" w:cs="宋体"/>
          <w:color w:val="auto"/>
          <w:highlight w:val="none"/>
        </w:rPr>
        <w:t>发包人书面拒绝后承包人仍然擅自更换的，发包人有权解除合同，</w:t>
      </w:r>
      <w:bookmarkEnd w:id="486"/>
      <w:r>
        <w:rPr>
          <w:rFonts w:hint="eastAsia" w:ascii="宋体" w:hAnsi="宋体" w:eastAsia="宋体" w:cs="宋体"/>
          <w:color w:val="auto"/>
          <w:highlight w:val="none"/>
        </w:rPr>
        <w:t>由此造成的费用增加和工期延误损失及给发包人造成的一切损失均由承包人承担。</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 分包</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3.5.1 分包的一般约定</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禁止分包的工程包括：</w:t>
      </w:r>
      <w:r>
        <w:rPr>
          <w:rFonts w:hint="eastAsia" w:ascii="宋体" w:hAnsi="宋体" w:eastAsia="宋体" w:cs="宋体"/>
          <w:b/>
          <w:bCs/>
          <w:color w:val="auto"/>
          <w:highlight w:val="none"/>
          <w:u w:val="single"/>
        </w:rPr>
        <w:t>主体结构、关键性工作</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b/>
          <w:bCs/>
          <w:color w:val="auto"/>
          <w:highlight w:val="none"/>
          <w:u w:val="single"/>
          <w:lang w:eastAsia="zh-CN"/>
        </w:rPr>
      </w:pPr>
      <w:r>
        <w:rPr>
          <w:rFonts w:hint="eastAsia" w:ascii="宋体" w:hAnsi="宋体" w:eastAsia="宋体" w:cs="宋体"/>
          <w:color w:val="auto"/>
          <w:highlight w:val="none"/>
        </w:rPr>
        <w:t>主体结构、关键性工作的范围：</w:t>
      </w:r>
      <w:r>
        <w:rPr>
          <w:rFonts w:hint="eastAsia" w:ascii="宋体" w:hAnsi="宋体" w:cs="宋体"/>
          <w:b/>
          <w:bCs/>
          <w:color w:val="auto"/>
          <w:highlight w:val="none"/>
          <w:u w:val="single"/>
          <w:lang w:val="en-US" w:eastAsia="zh-CN"/>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3.5.2分包的确定</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b/>
          <w:bCs/>
          <w:color w:val="auto"/>
          <w:highlight w:val="none"/>
          <w:u w:val="single"/>
        </w:rPr>
      </w:pPr>
      <w:r>
        <w:rPr>
          <w:rFonts w:hint="eastAsia" w:ascii="宋体" w:hAnsi="宋体" w:eastAsia="宋体" w:cs="宋体"/>
          <w:color w:val="auto"/>
          <w:highlight w:val="none"/>
        </w:rPr>
        <w:t>允许分包的专业工程包括：</w:t>
      </w:r>
      <w:r>
        <w:rPr>
          <w:rFonts w:hint="eastAsia" w:ascii="宋体" w:hAnsi="宋体" w:eastAsia="宋体" w:cs="宋体"/>
          <w:b/>
          <w:bCs/>
          <w:color w:val="auto"/>
          <w:highlight w:val="none"/>
          <w:u w:val="singl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其他关于分包的约定：</w:t>
      </w:r>
      <w:r>
        <w:rPr>
          <w:rFonts w:hint="eastAsia" w:ascii="宋体" w:hAnsi="宋体" w:eastAsia="宋体" w:cs="宋体"/>
          <w:b/>
          <w:bCs/>
          <w:color w:val="auto"/>
          <w:highlight w:val="none"/>
          <w:u w:val="singl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3.6 工程照管与成品、半成品保护</w:t>
      </w:r>
    </w:p>
    <w:p>
      <w:pPr>
        <w:pageBreakBefore w:val="0"/>
        <w:widowControl w:val="0"/>
        <w:kinsoku/>
        <w:wordWrap/>
        <w:overflowPunct/>
        <w:topLinePunct w:val="0"/>
        <w:bidi w:val="0"/>
        <w:adjustRightInd/>
        <w:snapToGrid w:val="0"/>
        <w:spacing w:before="120" w:after="120" w:line="240" w:lineRule="auto"/>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承包人负责照管工程及工程相关的材料、工程设备的起始时间：</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 xml:space="preserve"> 执行通用条款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3.7 履约担保</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承包人是否提供履约担保：</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 xml:space="preserve">是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bookmarkStart w:id="487" w:name="_Hlk89720919"/>
      <w:r>
        <w:rPr>
          <w:rFonts w:hint="eastAsia" w:ascii="宋体" w:hAnsi="宋体" w:eastAsia="宋体" w:cs="宋体"/>
          <w:color w:val="auto"/>
          <w:highlight w:val="none"/>
        </w:rPr>
        <w:t>履约保证金金额：合同金额的1%；履约保证金形式：银行汇票（电汇）、银行保函、保险保单或支票（仅限于使用宁波大市区范围内的银行开具的支票）等形式；担保收件人：</w:t>
      </w:r>
      <w:r>
        <w:rPr>
          <w:rFonts w:hint="eastAsia" w:ascii="宋体" w:hAnsi="宋体" w:eastAsia="宋体" w:cs="宋体"/>
          <w:color w:val="auto"/>
          <w:highlight w:val="none"/>
          <w:lang w:val="en-US" w:eastAsia="zh-CN"/>
        </w:rPr>
        <w:t>发包人</w:t>
      </w:r>
      <w:r>
        <w:rPr>
          <w:rFonts w:hint="eastAsia" w:ascii="宋体" w:hAnsi="宋体" w:eastAsia="宋体" w:cs="宋体"/>
          <w:color w:val="auto"/>
          <w:highlight w:val="none"/>
        </w:rPr>
        <w:t>；履约保证金的退取：项目验收合格后，根据实际履约情况扣除相应违约金后无息退还履约保证金（但如</w:t>
      </w:r>
      <w:r>
        <w:rPr>
          <w:rFonts w:hint="eastAsia" w:ascii="宋体" w:hAnsi="宋体" w:eastAsia="宋体" w:cs="宋体"/>
          <w:color w:val="auto"/>
          <w:highlight w:val="none"/>
          <w:lang w:val="en-US" w:eastAsia="zh-CN"/>
        </w:rPr>
        <w:t>承包人</w:t>
      </w:r>
      <w:r>
        <w:rPr>
          <w:rFonts w:hint="eastAsia" w:ascii="宋体" w:hAnsi="宋体" w:eastAsia="宋体" w:cs="宋体"/>
          <w:color w:val="auto"/>
          <w:highlight w:val="none"/>
        </w:rPr>
        <w:t>未能履行合同规定的任何义务，</w:t>
      </w:r>
      <w:r>
        <w:rPr>
          <w:rFonts w:hint="eastAsia" w:ascii="宋体" w:hAnsi="宋体" w:eastAsia="宋体" w:cs="宋体"/>
          <w:color w:val="auto"/>
          <w:highlight w:val="none"/>
          <w:lang w:val="en-US" w:eastAsia="zh-CN"/>
        </w:rPr>
        <w:t>发包人</w:t>
      </w:r>
      <w:r>
        <w:rPr>
          <w:rFonts w:hint="eastAsia" w:ascii="宋体" w:hAnsi="宋体" w:eastAsia="宋体" w:cs="宋体"/>
          <w:color w:val="auto"/>
          <w:highlight w:val="none"/>
        </w:rPr>
        <w:t>有权从履约保证金中得到补偿）。</w:t>
      </w:r>
    </w:p>
    <w:bookmarkEnd w:id="487"/>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4. 监理人</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4.1监理人的一般规定</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关于监理人的监理内容：</w:t>
      </w:r>
      <w:r>
        <w:rPr>
          <w:rFonts w:hint="eastAsia" w:ascii="宋体" w:hAnsi="宋体" w:eastAsia="宋体" w:cs="宋体"/>
          <w:b/>
          <w:bCs/>
          <w:color w:val="auto"/>
          <w:highlight w:val="none"/>
          <w:u w:val="single"/>
        </w:rPr>
        <w:t>工程建设监理合同授予监理人的权利</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关于监理人的监理权限：</w:t>
      </w:r>
      <w:r>
        <w:rPr>
          <w:rFonts w:hint="eastAsia" w:ascii="宋体" w:hAnsi="宋体" w:eastAsia="宋体" w:cs="宋体"/>
          <w:b/>
          <w:bCs/>
          <w:color w:val="auto"/>
          <w:highlight w:val="none"/>
          <w:u w:val="single"/>
        </w:rPr>
        <w:t>涉及费用、工期、图纸更改等工程变更指令和付款、暂停工程施工指令的下达权需取得发包人同意方可执行</w:t>
      </w:r>
      <w:r>
        <w:rPr>
          <w:rFonts w:hint="eastAsia" w:ascii="宋体" w:hAnsi="宋体" w:eastAsia="宋体" w:cs="宋体"/>
          <w:color w:val="auto"/>
          <w:highlight w:val="none"/>
        </w:rPr>
        <w:t xml:space="preserve">。 </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关于监理人在施工现场的办公场所的提供和费用承担的约定：</w:t>
      </w:r>
      <w:r>
        <w:rPr>
          <w:rFonts w:hint="eastAsia" w:ascii="宋体" w:hAnsi="宋体" w:eastAsia="宋体" w:cs="宋体"/>
          <w:b/>
          <w:bCs/>
          <w:color w:val="auto"/>
          <w:highlight w:val="none"/>
          <w:u w:val="single"/>
        </w:rPr>
        <w:t>执行通用条款</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4.4 商定或确定</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当合同当事人对需要商定或确定的事项不能达成一致时，总监理工程师应按照合同约定作出公正确定，应在合同当事人会商之日起</w:t>
      </w:r>
      <w:r>
        <w:rPr>
          <w:rFonts w:hint="eastAsia" w:ascii="宋体" w:hAnsi="宋体" w:eastAsia="宋体" w:cs="宋体"/>
          <w:b/>
          <w:bCs/>
          <w:color w:val="auto"/>
          <w:highlight w:val="none"/>
          <w:u w:val="single"/>
        </w:rPr>
        <w:t>7</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天内提供书面确定意见。</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5. 工程质量</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5.1 质量要求</w:t>
      </w:r>
    </w:p>
    <w:p>
      <w:pPr>
        <w:pStyle w:val="23"/>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在项目实施中须达到的施工要求国家标准如下：</w:t>
      </w:r>
    </w:p>
    <w:p>
      <w:pPr>
        <w:pStyle w:val="23"/>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 xml:space="preserve">《建筑工程施工质量验收统一标准》 </w:t>
      </w:r>
    </w:p>
    <w:p>
      <w:pPr>
        <w:pStyle w:val="23"/>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《建筑给水排水及采暖工程施工质量验收规范》</w:t>
      </w:r>
    </w:p>
    <w:p>
      <w:pPr>
        <w:pStyle w:val="23"/>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 xml:space="preserve">《建筑电气工程施工质量验收规范》 </w:t>
      </w:r>
    </w:p>
    <w:p>
      <w:pPr>
        <w:pStyle w:val="23"/>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《给水排水管道工程施工及验收规范》</w:t>
      </w:r>
    </w:p>
    <w:p>
      <w:pPr>
        <w:pStyle w:val="23"/>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 xml:space="preserve">《建筑施工安全检查标准》 </w:t>
      </w:r>
    </w:p>
    <w:p>
      <w:pPr>
        <w:pStyle w:val="60"/>
        <w:pageBreakBefore w:val="0"/>
        <w:widowControl w:val="0"/>
        <w:numPr>
          <w:ilvl w:val="0"/>
          <w:numId w:val="0"/>
        </w:numPr>
        <w:kinsoku/>
        <w:wordWrap/>
        <w:overflowPunct/>
        <w:topLinePunct w:val="0"/>
        <w:bidi w:val="0"/>
        <w:adjustRightInd/>
        <w:snapToGrid w:val="0"/>
        <w:spacing w:after="120" w:line="24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注：如标准有更新，以最新文件为准。本项目按照国家及地方颁发的现行相关施工及验收规范、标准，组织实施本项目工程的施工。</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5.1.1 特殊质量标准和要求：</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关于工程奖项的约定：</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 隐蔽工程检查</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5.3.2承包人提前通知监理人隐蔽工程检查的期限的约定：承包人应在共同检查前</w:t>
      </w:r>
      <w:r>
        <w:rPr>
          <w:rFonts w:hint="eastAsia" w:ascii="宋体" w:hAnsi="宋体" w:eastAsia="宋体" w:cs="宋体"/>
          <w:b/>
          <w:bCs/>
          <w:color w:val="auto"/>
          <w:highlight w:val="none"/>
          <w:u w:val="single"/>
        </w:rPr>
        <w:t>24</w:t>
      </w:r>
      <w:r>
        <w:rPr>
          <w:rFonts w:hint="eastAsia" w:ascii="宋体" w:hAnsi="宋体" w:eastAsia="宋体" w:cs="宋体"/>
          <w:color w:val="auto"/>
          <w:highlight w:val="none"/>
        </w:rPr>
        <w:t>小时书面通知监理人检查 。</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监理人不能按时进行检查时，应提前</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24</w:t>
      </w:r>
      <w:r>
        <w:rPr>
          <w:rFonts w:hint="eastAsia" w:ascii="宋体" w:hAnsi="宋体" w:eastAsia="宋体" w:cs="宋体"/>
          <w:color w:val="auto"/>
          <w:highlight w:val="none"/>
        </w:rPr>
        <w:t>小时提交书面延期要求。延期最长不得超过：</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48</w:t>
      </w:r>
      <w:r>
        <w:rPr>
          <w:rFonts w:hint="eastAsia" w:ascii="宋体" w:hAnsi="宋体" w:eastAsia="宋体" w:cs="宋体"/>
          <w:color w:val="auto"/>
          <w:highlight w:val="none"/>
        </w:rPr>
        <w:t>小时。</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6. 安全文明施工与环境保护</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6.1.1 项目安全生产的达标目标及相应事项的约定：</w:t>
      </w:r>
      <w:r>
        <w:rPr>
          <w:rFonts w:hint="eastAsia" w:ascii="宋体" w:hAnsi="宋体" w:eastAsia="宋体" w:cs="宋体"/>
          <w:b/>
          <w:bCs/>
          <w:color w:val="auto"/>
          <w:highlight w:val="none"/>
          <w:u w:val="single"/>
        </w:rPr>
        <w:t>合格</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6.1.4 关于治安保卫的特别约定：</w:t>
      </w:r>
      <w:r>
        <w:rPr>
          <w:rFonts w:hint="eastAsia" w:ascii="宋体" w:hAnsi="宋体" w:eastAsia="宋体" w:cs="宋体"/>
          <w:b/>
          <w:bCs/>
          <w:color w:val="auto"/>
          <w:highlight w:val="none"/>
          <w:u w:val="single"/>
        </w:rPr>
        <w:t>执行通用条款</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6.1.5文明施工应按《宁波市建设工程文明施工管理规定》文件要求执行。</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6.1.6 关于安全文明施工费支付比例和支付期限的约定：/。</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7. 工期和进度</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7.1 施工组织设计</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7.1.1 合同当事人约定的施工组织设计应包括的其他内容：</w:t>
      </w:r>
      <w:r>
        <w:rPr>
          <w:rFonts w:hint="eastAsia" w:ascii="宋体" w:hAnsi="宋体" w:eastAsia="宋体" w:cs="宋体"/>
          <w:b/>
          <w:bCs/>
          <w:color w:val="auto"/>
          <w:highlight w:val="none"/>
          <w:u w:val="single"/>
        </w:rPr>
        <w:t>各分部分项施工方案与技术措施、工程进度管理体系与措施、工程质量管理体系与措施、安全生产文明施工管理体系与措施、环境保护管理体系与措施等</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7.1.2 施工组织设计的提交和修改：</w:t>
      </w:r>
      <w:r>
        <w:rPr>
          <w:rFonts w:hint="eastAsia" w:ascii="宋体" w:hAnsi="宋体" w:eastAsia="宋体" w:cs="宋体"/>
          <w:b/>
          <w:bCs/>
          <w:color w:val="auto"/>
          <w:highlight w:val="none"/>
          <w:u w:val="single"/>
        </w:rPr>
        <w:t>按通用条款约定执行</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7.2 施工进度计划</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7.2.2 施工进度计划的修订</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施工进度计划的编制和修订：</w:t>
      </w:r>
      <w:r>
        <w:rPr>
          <w:rFonts w:hint="eastAsia" w:ascii="宋体" w:hAnsi="宋体" w:eastAsia="宋体" w:cs="宋体"/>
          <w:b/>
          <w:bCs/>
          <w:color w:val="auto"/>
          <w:highlight w:val="none"/>
          <w:u w:val="single"/>
        </w:rPr>
        <w:t>按通用条款约定执行。</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7.3.1 开工准备</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关于承包人提交工程开工报审表的期限：</w:t>
      </w:r>
      <w:r>
        <w:rPr>
          <w:rFonts w:hint="eastAsia" w:ascii="宋体" w:hAnsi="宋体" w:eastAsia="宋体" w:cs="宋体"/>
          <w:b/>
          <w:bCs/>
          <w:color w:val="auto"/>
          <w:highlight w:val="none"/>
          <w:u w:val="single"/>
        </w:rPr>
        <w:t xml:space="preserve">按第7.1款[施工组织设计]约定的时间 </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关于发包人应完成的其他开工准备工作及期限：</w:t>
      </w:r>
      <w:r>
        <w:rPr>
          <w:rFonts w:hint="eastAsia" w:ascii="宋体" w:hAnsi="宋体" w:eastAsia="宋体" w:cs="宋体"/>
          <w:b/>
          <w:bCs/>
          <w:color w:val="auto"/>
          <w:highlight w:val="none"/>
          <w:u w:val="single"/>
        </w:rPr>
        <w:t>在第7.3.2项[开工通知]载明的开工日期前7天获得开工所需的各项行政审批和许可手续</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关于承包人应完成的其他开工准备工作及期限： </w:t>
      </w:r>
      <w:r>
        <w:rPr>
          <w:rFonts w:hint="eastAsia" w:ascii="宋体" w:hAnsi="宋体" w:eastAsia="宋体" w:cs="宋体"/>
          <w:b/>
          <w:bCs/>
          <w:color w:val="auto"/>
          <w:highlight w:val="none"/>
          <w:u w:val="single"/>
        </w:rPr>
        <w:t>在第7.3.2项[开工通知]载明的开工日期前7天签订材料、工程设备、周转材料等的采购合同，确定劳动力、材料、机械的进场安排</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7.3.2 开工通知</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因发包人原因造成监理人未能在通用条款规定的期限内发出开工通知的，承包人有权提出价格调整要求，或者解除合同。</w:t>
      </w:r>
    </w:p>
    <w:p>
      <w:pPr>
        <w:pageBreakBefore w:val="0"/>
        <w:widowControl w:val="0"/>
        <w:kinsoku/>
        <w:wordWrap/>
        <w:overflowPunct/>
        <w:topLinePunct w:val="0"/>
        <w:bidi w:val="0"/>
        <w:adjustRightInd/>
        <w:snapToGrid w:val="0"/>
        <w:spacing w:before="120" w:line="240" w:lineRule="auto"/>
        <w:ind w:firstLine="399" w:firstLineChars="190"/>
        <w:rPr>
          <w:rFonts w:hint="eastAsia" w:ascii="宋体" w:hAnsi="宋体" w:eastAsia="宋体" w:cs="宋体"/>
          <w:color w:val="auto"/>
          <w:highlight w:val="none"/>
        </w:rPr>
      </w:pPr>
      <w:r>
        <w:rPr>
          <w:rFonts w:hint="eastAsia" w:ascii="宋体" w:hAnsi="宋体" w:eastAsia="宋体" w:cs="宋体"/>
          <w:color w:val="auto"/>
          <w:highlight w:val="none"/>
        </w:rPr>
        <w:t>7.4 测量放线</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7.4.1 发包人通过监理人向承包人提供测量基准点、基准线和水准点及其书面资料的期限：</w:t>
      </w:r>
      <w:r>
        <w:rPr>
          <w:rFonts w:hint="eastAsia" w:ascii="宋体" w:hAnsi="宋体" w:eastAsia="宋体" w:cs="宋体"/>
          <w:b/>
          <w:bCs/>
          <w:color w:val="auto"/>
          <w:highlight w:val="none"/>
          <w:u w:val="single"/>
        </w:rPr>
        <w:t>不得晚于在第7.3.2项[开工通知]载明的开工日期前7天</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7.5 工期延误</w:t>
      </w:r>
    </w:p>
    <w:p>
      <w:pPr>
        <w:pageBreakBefore w:val="0"/>
        <w:widowControl w:val="0"/>
        <w:kinsoku/>
        <w:wordWrap/>
        <w:overflowPunct/>
        <w:topLinePunct w:val="0"/>
        <w:bidi w:val="0"/>
        <w:adjustRightInd/>
        <w:snapToGrid w:val="0"/>
        <w:spacing w:before="120" w:line="240" w:lineRule="auto"/>
        <w:ind w:firstLine="399" w:firstLineChars="190"/>
        <w:rPr>
          <w:rFonts w:hint="eastAsia" w:ascii="宋体" w:hAnsi="宋体" w:eastAsia="宋体" w:cs="宋体"/>
          <w:color w:val="auto"/>
          <w:highlight w:val="none"/>
        </w:rPr>
      </w:pPr>
      <w:r>
        <w:rPr>
          <w:rFonts w:hint="eastAsia" w:ascii="宋体" w:hAnsi="宋体" w:eastAsia="宋体" w:cs="宋体"/>
          <w:color w:val="auto"/>
          <w:highlight w:val="none"/>
        </w:rPr>
        <w:t>7.5.1 因发包人原因导致工期延误</w:t>
      </w:r>
    </w:p>
    <w:p>
      <w:pPr>
        <w:pageBreakBefore w:val="0"/>
        <w:widowControl w:val="0"/>
        <w:kinsoku/>
        <w:wordWrap/>
        <w:overflowPunct/>
        <w:topLinePunct w:val="0"/>
        <w:bidi w:val="0"/>
        <w:adjustRightInd/>
        <w:snapToGrid w:val="0"/>
        <w:spacing w:before="120" w:line="240" w:lineRule="auto"/>
        <w:ind w:firstLine="399" w:firstLineChars="190"/>
        <w:rPr>
          <w:rFonts w:hint="eastAsia" w:ascii="宋体" w:hAnsi="宋体" w:eastAsia="宋体" w:cs="宋体"/>
          <w:color w:val="auto"/>
          <w:highlight w:val="none"/>
        </w:rPr>
      </w:pPr>
      <w:r>
        <w:rPr>
          <w:rFonts w:hint="eastAsia" w:ascii="宋体" w:hAnsi="宋体" w:eastAsia="宋体" w:cs="宋体"/>
          <w:color w:val="auto"/>
          <w:highlight w:val="none"/>
        </w:rPr>
        <w:t xml:space="preserve">（7）因发包人原因导致工期延误的其他情形： </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 xml:space="preserve"> 。</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7.5.2 因承包人原因导致工期延误</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因承包人原因造成工期延误，逾期竣工违约金的计算方法根据“</w:t>
      </w:r>
      <w:r>
        <w:rPr>
          <w:rFonts w:hint="eastAsia" w:ascii="宋体" w:hAnsi="宋体" w:cs="宋体"/>
          <w:color w:val="auto"/>
          <w:highlight w:val="none"/>
          <w:lang w:eastAsia="zh-CN"/>
        </w:rPr>
        <w:t>投标附录</w:t>
      </w:r>
      <w:r>
        <w:rPr>
          <w:rFonts w:hint="eastAsia" w:ascii="宋体" w:hAnsi="宋体" w:eastAsia="宋体" w:cs="宋体"/>
          <w:color w:val="auto"/>
          <w:highlight w:val="none"/>
        </w:rPr>
        <w:t>”承诺确定，为</w:t>
      </w:r>
      <w:r>
        <w:rPr>
          <w:rFonts w:hint="eastAsia" w:ascii="宋体" w:hAnsi="宋体" w:eastAsia="宋体" w:cs="宋体"/>
          <w:b/>
          <w:bCs/>
          <w:color w:val="auto"/>
          <w:highlight w:val="none"/>
          <w:u w:val="single"/>
        </w:rPr>
        <w:t>1000</w:t>
      </w:r>
      <w:r>
        <w:rPr>
          <w:rFonts w:hint="eastAsia" w:ascii="宋体" w:hAnsi="宋体" w:eastAsia="宋体" w:cs="宋体"/>
          <w:color w:val="auto"/>
          <w:highlight w:val="none"/>
        </w:rPr>
        <w:t>元/天。</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因承包人原因造成工期延误，逾期竣工违约金的上限根据“</w:t>
      </w:r>
      <w:r>
        <w:rPr>
          <w:rFonts w:hint="eastAsia" w:ascii="宋体" w:hAnsi="宋体" w:cs="宋体"/>
          <w:color w:val="auto"/>
          <w:highlight w:val="none"/>
          <w:lang w:eastAsia="zh-CN"/>
        </w:rPr>
        <w:t>投标附录</w:t>
      </w:r>
      <w:r>
        <w:rPr>
          <w:rFonts w:hint="eastAsia" w:ascii="宋体" w:hAnsi="宋体" w:eastAsia="宋体" w:cs="宋体"/>
          <w:color w:val="auto"/>
          <w:highlight w:val="none"/>
        </w:rPr>
        <w:t>”承诺确定，为合同金额的</w:t>
      </w:r>
      <w:r>
        <w:rPr>
          <w:rFonts w:hint="eastAsia" w:ascii="宋体" w:hAnsi="宋体" w:eastAsia="宋体" w:cs="宋体"/>
          <w:color w:val="auto"/>
          <w:highlight w:val="none"/>
          <w:u w:val="single"/>
        </w:rPr>
        <w:t xml:space="preserve"> 3</w:t>
      </w:r>
      <w:r>
        <w:rPr>
          <w:rFonts w:hint="eastAsia" w:ascii="宋体" w:hAnsi="宋体" w:eastAsia="宋体" w:cs="宋体"/>
          <w:color w:val="auto"/>
          <w:highlight w:val="none"/>
        </w:rPr>
        <w:t>%</w:t>
      </w:r>
      <w:r>
        <w:rPr>
          <w:rFonts w:hint="eastAsia" w:ascii="宋体" w:hAnsi="宋体" w:cs="宋体"/>
          <w:color w:val="auto"/>
          <w:highlight w:val="none"/>
          <w:lang w:eastAsia="zh-CN"/>
        </w:rPr>
        <w:t>，</w:t>
      </w:r>
      <w:r>
        <w:rPr>
          <w:rFonts w:hint="eastAsia" w:ascii="宋体" w:hAnsi="宋体" w:eastAsia="宋体" w:cs="宋体"/>
          <w:color w:val="auto"/>
          <w:highlight w:val="none"/>
        </w:rPr>
        <w:t>该项限额不足时，发包人有权向承包人追偿。</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7.6 不利物质条件</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不利物质条件的其他情形和有关约定：</w:t>
      </w:r>
      <w:r>
        <w:rPr>
          <w:rFonts w:hint="eastAsia" w:ascii="宋体" w:hAnsi="宋体" w:eastAsia="宋体" w:cs="宋体"/>
          <w:b/>
          <w:bCs/>
          <w:color w:val="auto"/>
          <w:highlight w:val="none"/>
          <w:u w:val="single"/>
        </w:rPr>
        <w:t>地勘资料未涉及的地下管道、地雷、岩层等，但不包括气候条件。</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7.7异常恶劣的气候条件</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发包人和承包人同意以下情形视为异常恶劣的气候条件：/</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7.9 提前竣工的奖励</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7.9.2提前竣工的奖励：</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8. 材料与设备</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8.8 施工设备和临时设施</w:t>
      </w:r>
    </w:p>
    <w:p>
      <w:pPr>
        <w:pageBreakBefore w:val="0"/>
        <w:widowControl w:val="0"/>
        <w:kinsoku/>
        <w:wordWrap/>
        <w:overflowPunct/>
        <w:topLinePunct w:val="0"/>
        <w:autoSpaceDE w:val="0"/>
        <w:autoSpaceDN w:val="0"/>
        <w:bidi w:val="0"/>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8.8.1 承包人提供的施工设备和临时设施</w:t>
      </w:r>
    </w:p>
    <w:p>
      <w:pPr>
        <w:pageBreakBefore w:val="0"/>
        <w:widowControl w:val="0"/>
        <w:kinsoku/>
        <w:wordWrap/>
        <w:overflowPunct/>
        <w:topLinePunct w:val="0"/>
        <w:autoSpaceDE w:val="0"/>
        <w:autoSpaceDN w:val="0"/>
        <w:bidi w:val="0"/>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关于修建临时设施费用承担的约定：</w:t>
      </w:r>
      <w:r>
        <w:rPr>
          <w:rFonts w:hint="eastAsia" w:ascii="宋体" w:hAnsi="宋体" w:eastAsia="宋体" w:cs="宋体"/>
          <w:b/>
          <w:bCs/>
          <w:color w:val="auto"/>
          <w:highlight w:val="none"/>
          <w:u w:val="single"/>
        </w:rPr>
        <w:t>承包人自行承担</w:t>
      </w:r>
      <w:r>
        <w:rPr>
          <w:rFonts w:hint="eastAsia" w:ascii="宋体" w:hAnsi="宋体" w:eastAsia="宋体" w:cs="宋体"/>
          <w:color w:val="auto"/>
          <w:highlight w:val="none"/>
        </w:rPr>
        <w:t>。</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10. 变更</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10.1变更的范围</w:t>
      </w:r>
    </w:p>
    <w:p>
      <w:pPr>
        <w:pageBreakBefore w:val="0"/>
        <w:widowControl w:val="0"/>
        <w:kinsoku/>
        <w:wordWrap/>
        <w:overflowPunct/>
        <w:topLinePunct w:val="0"/>
        <w:bidi w:val="0"/>
        <w:adjustRightInd/>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合同双方当事人约</w:t>
      </w:r>
      <w:r>
        <w:rPr>
          <w:rFonts w:hint="eastAsia" w:ascii="宋体" w:hAnsi="宋体" w:eastAsia="宋体" w:cs="宋体"/>
          <w:color w:val="auto"/>
          <w:highlight w:val="none"/>
          <w:u w:val="single"/>
        </w:rPr>
        <w:t>定：合同履行过程中发生以下各项情形发</w:t>
      </w:r>
      <w:r>
        <w:rPr>
          <w:rFonts w:hint="eastAsia" w:ascii="宋体" w:hAnsi="宋体" w:eastAsia="宋体" w:cs="宋体"/>
          <w:color w:val="auto"/>
          <w:highlight w:val="none"/>
        </w:rPr>
        <w:t>生的，应按照本条约定进行合同变更。</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律</w:t>
      </w:r>
      <w:r>
        <w:rPr>
          <w:rFonts w:hint="eastAsia" w:ascii="宋体" w:hAnsi="宋体" w:eastAsia="宋体" w:cs="宋体"/>
          <w:color w:val="auto"/>
          <w:spacing w:val="-2"/>
          <w:highlight w:val="none"/>
        </w:rPr>
        <w:t>法</w:t>
      </w:r>
      <w:r>
        <w:rPr>
          <w:rFonts w:hint="eastAsia" w:ascii="宋体" w:hAnsi="宋体" w:eastAsia="宋体" w:cs="宋体"/>
          <w:color w:val="auto"/>
          <w:highlight w:val="none"/>
        </w:rPr>
        <w:t>规</w:t>
      </w:r>
      <w:r>
        <w:rPr>
          <w:rFonts w:hint="eastAsia" w:ascii="宋体" w:hAnsi="宋体" w:eastAsia="宋体" w:cs="宋体"/>
          <w:color w:val="auto"/>
          <w:spacing w:val="-2"/>
          <w:highlight w:val="none"/>
        </w:rPr>
        <w:t>变化</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程</w:t>
      </w:r>
      <w:r>
        <w:rPr>
          <w:rFonts w:hint="eastAsia" w:ascii="宋体" w:hAnsi="宋体" w:eastAsia="宋体" w:cs="宋体"/>
          <w:color w:val="auto"/>
          <w:spacing w:val="-2"/>
          <w:highlight w:val="none"/>
        </w:rPr>
        <w:t>变</w:t>
      </w:r>
      <w:r>
        <w:rPr>
          <w:rFonts w:hint="eastAsia" w:ascii="宋体" w:hAnsi="宋体" w:eastAsia="宋体" w:cs="宋体"/>
          <w:color w:val="auto"/>
          <w:highlight w:val="none"/>
        </w:rPr>
        <w:t>更；</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目</w:t>
      </w:r>
      <w:r>
        <w:rPr>
          <w:rFonts w:hint="eastAsia" w:ascii="宋体" w:hAnsi="宋体" w:eastAsia="宋体" w:cs="宋体"/>
          <w:color w:val="auto"/>
          <w:spacing w:val="-2"/>
          <w:highlight w:val="none"/>
        </w:rPr>
        <w:t>特</w:t>
      </w:r>
      <w:r>
        <w:rPr>
          <w:rFonts w:hint="eastAsia" w:ascii="宋体" w:hAnsi="宋体" w:eastAsia="宋体" w:cs="宋体"/>
          <w:color w:val="auto"/>
          <w:highlight w:val="none"/>
        </w:rPr>
        <w:t>征</w:t>
      </w:r>
      <w:r>
        <w:rPr>
          <w:rFonts w:hint="eastAsia" w:ascii="宋体" w:hAnsi="宋体" w:eastAsia="宋体" w:cs="宋体"/>
          <w:color w:val="auto"/>
          <w:spacing w:val="-2"/>
          <w:highlight w:val="none"/>
        </w:rPr>
        <w:t>描</w:t>
      </w:r>
      <w:r>
        <w:rPr>
          <w:rFonts w:hint="eastAsia" w:ascii="宋体" w:hAnsi="宋体" w:eastAsia="宋体" w:cs="宋体"/>
          <w:color w:val="auto"/>
          <w:highlight w:val="none"/>
        </w:rPr>
        <w:t>述</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符；</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程</w:t>
      </w:r>
      <w:r>
        <w:rPr>
          <w:rFonts w:hint="eastAsia" w:ascii="宋体" w:hAnsi="宋体" w:eastAsia="宋体" w:cs="宋体"/>
          <w:color w:val="auto"/>
          <w:spacing w:val="-2"/>
          <w:highlight w:val="none"/>
        </w:rPr>
        <w:t>量</w:t>
      </w:r>
      <w:r>
        <w:rPr>
          <w:rFonts w:hint="eastAsia" w:ascii="宋体" w:hAnsi="宋体" w:eastAsia="宋体" w:cs="宋体"/>
          <w:color w:val="auto"/>
          <w:highlight w:val="none"/>
        </w:rPr>
        <w:t>清</w:t>
      </w:r>
      <w:r>
        <w:rPr>
          <w:rFonts w:hint="eastAsia" w:ascii="宋体" w:hAnsi="宋体" w:eastAsia="宋体" w:cs="宋体"/>
          <w:color w:val="auto"/>
          <w:spacing w:val="-2"/>
          <w:highlight w:val="none"/>
        </w:rPr>
        <w:t>单</w:t>
      </w:r>
      <w:r>
        <w:rPr>
          <w:rFonts w:hint="eastAsia" w:ascii="宋体" w:hAnsi="宋体" w:eastAsia="宋体" w:cs="宋体"/>
          <w:color w:val="auto"/>
          <w:highlight w:val="none"/>
        </w:rPr>
        <w:t>缺</w:t>
      </w:r>
      <w:r>
        <w:rPr>
          <w:rFonts w:hint="eastAsia" w:ascii="宋体" w:hAnsi="宋体" w:eastAsia="宋体" w:cs="宋体"/>
          <w:color w:val="auto"/>
          <w:spacing w:val="-2"/>
          <w:highlight w:val="none"/>
        </w:rPr>
        <w:t>项</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工</w:t>
      </w:r>
      <w:r>
        <w:rPr>
          <w:rFonts w:hint="eastAsia" w:ascii="宋体" w:hAnsi="宋体" w:eastAsia="宋体" w:cs="宋体"/>
          <w:color w:val="auto"/>
          <w:highlight w:val="none"/>
        </w:rPr>
        <w:t>程</w:t>
      </w:r>
      <w:r>
        <w:rPr>
          <w:rFonts w:hint="eastAsia" w:ascii="宋体" w:hAnsi="宋体" w:eastAsia="宋体" w:cs="宋体"/>
          <w:color w:val="auto"/>
          <w:spacing w:val="-2"/>
          <w:highlight w:val="none"/>
        </w:rPr>
        <w:t>量</w:t>
      </w:r>
      <w:r>
        <w:rPr>
          <w:rFonts w:hint="eastAsia" w:ascii="宋体" w:hAnsi="宋体" w:eastAsia="宋体" w:cs="宋体"/>
          <w:color w:val="auto"/>
          <w:highlight w:val="none"/>
        </w:rPr>
        <w:t>偏</w:t>
      </w:r>
      <w:r>
        <w:rPr>
          <w:rFonts w:hint="eastAsia" w:ascii="宋体" w:hAnsi="宋体" w:eastAsia="宋体" w:cs="宋体"/>
          <w:color w:val="auto"/>
          <w:spacing w:val="-2"/>
          <w:highlight w:val="none"/>
        </w:rPr>
        <w:t>差</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暂</w:t>
      </w:r>
      <w:r>
        <w:rPr>
          <w:rFonts w:hint="eastAsia" w:ascii="宋体" w:hAnsi="宋体" w:eastAsia="宋体" w:cs="宋体"/>
          <w:color w:val="auto"/>
          <w:highlight w:val="none"/>
        </w:rPr>
        <w:t>估</w:t>
      </w:r>
      <w:r>
        <w:rPr>
          <w:rFonts w:hint="eastAsia" w:ascii="宋体" w:hAnsi="宋体" w:eastAsia="宋体" w:cs="宋体"/>
          <w:color w:val="auto"/>
          <w:spacing w:val="-2"/>
          <w:highlight w:val="none"/>
        </w:rPr>
        <w:t>价、暂定价</w:t>
      </w:r>
      <w:r>
        <w:rPr>
          <w:rFonts w:hint="eastAsia" w:ascii="宋体" w:hAnsi="宋体" w:eastAsia="宋体" w:cs="宋体"/>
          <w:color w:val="auto"/>
          <w:highlight w:val="none"/>
        </w:rPr>
        <w:t>；</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现</w:t>
      </w:r>
      <w:r>
        <w:rPr>
          <w:rFonts w:hint="eastAsia" w:ascii="宋体" w:hAnsi="宋体" w:eastAsia="宋体" w:cs="宋体"/>
          <w:color w:val="auto"/>
          <w:highlight w:val="none"/>
        </w:rPr>
        <w:t>场</w:t>
      </w:r>
      <w:r>
        <w:rPr>
          <w:rFonts w:hint="eastAsia" w:ascii="宋体" w:hAnsi="宋体" w:eastAsia="宋体" w:cs="宋体"/>
          <w:color w:val="auto"/>
          <w:spacing w:val="-2"/>
          <w:highlight w:val="none"/>
        </w:rPr>
        <w:t>签</w:t>
      </w:r>
      <w:r>
        <w:rPr>
          <w:rFonts w:hint="eastAsia" w:ascii="宋体" w:hAnsi="宋体" w:eastAsia="宋体" w:cs="宋体"/>
          <w:color w:val="auto"/>
          <w:highlight w:val="none"/>
        </w:rPr>
        <w:t>证；</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8</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不</w:t>
      </w:r>
      <w:r>
        <w:rPr>
          <w:rFonts w:hint="eastAsia" w:ascii="宋体" w:hAnsi="宋体" w:eastAsia="宋体" w:cs="宋体"/>
          <w:color w:val="auto"/>
          <w:highlight w:val="none"/>
        </w:rPr>
        <w:t>可</w:t>
      </w:r>
      <w:r>
        <w:rPr>
          <w:rFonts w:hint="eastAsia" w:ascii="宋体" w:hAnsi="宋体" w:eastAsia="宋体" w:cs="宋体"/>
          <w:color w:val="auto"/>
          <w:spacing w:val="-2"/>
          <w:highlight w:val="none"/>
        </w:rPr>
        <w:t>抗</w:t>
      </w:r>
      <w:r>
        <w:rPr>
          <w:rFonts w:hint="eastAsia" w:ascii="宋体" w:hAnsi="宋体" w:eastAsia="宋体" w:cs="宋体"/>
          <w:color w:val="auto"/>
          <w:highlight w:val="none"/>
        </w:rPr>
        <w:t>力；</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9</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误</w:t>
      </w:r>
      <w:r>
        <w:rPr>
          <w:rFonts w:hint="eastAsia" w:ascii="宋体" w:hAnsi="宋体" w:eastAsia="宋体" w:cs="宋体"/>
          <w:color w:val="auto"/>
          <w:highlight w:val="none"/>
        </w:rPr>
        <w:t>期</w:t>
      </w:r>
      <w:r>
        <w:rPr>
          <w:rFonts w:hint="eastAsia" w:ascii="宋体" w:hAnsi="宋体" w:eastAsia="宋体" w:cs="宋体"/>
          <w:color w:val="auto"/>
          <w:spacing w:val="-2"/>
          <w:highlight w:val="none"/>
        </w:rPr>
        <w:t>赔</w:t>
      </w:r>
      <w:r>
        <w:rPr>
          <w:rFonts w:hint="eastAsia" w:ascii="宋体" w:hAnsi="宋体" w:eastAsia="宋体" w:cs="宋体"/>
          <w:color w:val="auto"/>
          <w:highlight w:val="none"/>
        </w:rPr>
        <w:t>偿；</w:t>
      </w:r>
    </w:p>
    <w:p>
      <w:pPr>
        <w:pageBreakBefore w:val="0"/>
        <w:widowControl w:val="0"/>
        <w:kinsoku/>
        <w:wordWrap/>
        <w:overflowPunct/>
        <w:topLinePunct w:val="0"/>
        <w:autoSpaceDE w:val="0"/>
        <w:autoSpaceDN w:val="0"/>
        <w:bidi w:val="0"/>
        <w:spacing w:line="240" w:lineRule="auto"/>
        <w:ind w:left="524" w:right="-20"/>
        <w:rPr>
          <w:rFonts w:hint="eastAsia" w:ascii="宋体" w:hAnsi="宋体" w:eastAsia="宋体" w:cs="宋体"/>
          <w:color w:val="auto"/>
          <w:highlight w:val="none"/>
        </w:rPr>
      </w:pPr>
      <w:r>
        <w:rPr>
          <w:rFonts w:hint="eastAsia" w:ascii="宋体" w:hAnsi="宋体" w:eastAsia="宋体" w:cs="宋体"/>
          <w:color w:val="auto"/>
          <w:highlight w:val="none"/>
        </w:rPr>
        <w:t>10</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施</w:t>
      </w:r>
      <w:r>
        <w:rPr>
          <w:rFonts w:hint="eastAsia" w:ascii="宋体" w:hAnsi="宋体" w:eastAsia="宋体" w:cs="宋体"/>
          <w:color w:val="auto"/>
          <w:highlight w:val="none"/>
        </w:rPr>
        <w:t>工</w:t>
      </w:r>
      <w:r>
        <w:rPr>
          <w:rFonts w:hint="eastAsia" w:ascii="宋体" w:hAnsi="宋体" w:eastAsia="宋体" w:cs="宋体"/>
          <w:color w:val="auto"/>
          <w:spacing w:val="-2"/>
          <w:highlight w:val="none"/>
        </w:rPr>
        <w:t>索</w:t>
      </w:r>
      <w:r>
        <w:rPr>
          <w:rFonts w:hint="eastAsia" w:ascii="宋体" w:hAnsi="宋体" w:eastAsia="宋体" w:cs="宋体"/>
          <w:color w:val="auto"/>
          <w:highlight w:val="none"/>
        </w:rPr>
        <w:t>赔；</w:t>
      </w:r>
    </w:p>
    <w:p>
      <w:pPr>
        <w:pageBreakBefore w:val="0"/>
        <w:widowControl w:val="0"/>
        <w:kinsoku/>
        <w:wordWrap/>
        <w:overflowPunct/>
        <w:topLinePunct w:val="0"/>
        <w:bidi w:val="0"/>
        <w:adjustRightInd/>
        <w:snapToGrid w:val="0"/>
        <w:spacing w:line="24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cs="宋体"/>
          <w:color w:val="auto"/>
          <w:highlight w:val="none"/>
          <w:lang w:eastAsia="zh-CN"/>
        </w:rPr>
        <w:t>）</w:t>
      </w:r>
      <w:r>
        <w:rPr>
          <w:rFonts w:hint="eastAsia" w:ascii="宋体" w:hAnsi="宋体" w:eastAsia="宋体" w:cs="宋体"/>
          <w:color w:val="auto"/>
          <w:spacing w:val="-2"/>
          <w:highlight w:val="none"/>
        </w:rPr>
        <w:t>暂</w:t>
      </w:r>
      <w:r>
        <w:rPr>
          <w:rFonts w:hint="eastAsia" w:ascii="宋体" w:hAnsi="宋体" w:eastAsia="宋体" w:cs="宋体"/>
          <w:color w:val="auto"/>
          <w:highlight w:val="none"/>
        </w:rPr>
        <w:t>列</w:t>
      </w:r>
      <w:r>
        <w:rPr>
          <w:rFonts w:hint="eastAsia" w:ascii="宋体" w:hAnsi="宋体" w:eastAsia="宋体" w:cs="宋体"/>
          <w:color w:val="auto"/>
          <w:spacing w:val="-2"/>
          <w:highlight w:val="none"/>
        </w:rPr>
        <w:t>金</w:t>
      </w:r>
      <w:r>
        <w:rPr>
          <w:rFonts w:hint="eastAsia" w:ascii="宋体" w:hAnsi="宋体" w:eastAsia="宋体" w:cs="宋体"/>
          <w:color w:val="auto"/>
          <w:highlight w:val="none"/>
        </w:rPr>
        <w:t>额；</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10.4 变更估价</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10.4.1 变更估价原则</w:t>
      </w:r>
    </w:p>
    <w:p>
      <w:pPr>
        <w:pageBreakBefore w:val="0"/>
        <w:widowControl w:val="0"/>
        <w:kinsoku/>
        <w:wordWrap/>
        <w:overflowPunct/>
        <w:topLinePunct w:val="0"/>
        <w:bidi w:val="0"/>
        <w:adjustRightInd/>
        <w:snapToGrid w:val="0"/>
        <w:spacing w:line="240" w:lineRule="auto"/>
        <w:ind w:firstLine="412" w:firstLineChars="200"/>
        <w:jc w:val="left"/>
        <w:rPr>
          <w:rFonts w:hint="eastAsia" w:ascii="宋体" w:hAnsi="宋体" w:eastAsia="宋体" w:cs="宋体"/>
          <w:color w:val="auto"/>
          <w:highlight w:val="none"/>
        </w:rPr>
      </w:pPr>
      <w:r>
        <w:rPr>
          <w:rFonts w:hint="eastAsia" w:ascii="宋体" w:hAnsi="宋体" w:eastAsia="宋体" w:cs="宋体"/>
          <w:color w:val="auto"/>
          <w:spacing w:val="-2"/>
          <w:highlight w:val="none"/>
        </w:rPr>
        <w:t>10.4.1.1 关于变更单价的约定：</w:t>
      </w:r>
      <w:r>
        <w:rPr>
          <w:rFonts w:hint="eastAsia" w:ascii="宋体" w:hAnsi="宋体" w:eastAsia="宋体" w:cs="宋体"/>
          <w:color w:val="auto"/>
          <w:highlight w:val="none"/>
        </w:rPr>
        <w:t xml:space="preserve"> </w:t>
      </w:r>
    </w:p>
    <w:p>
      <w:pPr>
        <w:pageBreakBefore w:val="0"/>
        <w:widowControl w:val="0"/>
        <w:kinsoku/>
        <w:wordWrap/>
        <w:overflowPunct/>
        <w:topLinePunct w:val="0"/>
        <w:autoSpaceDE w:val="0"/>
        <w:autoSpaceDN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（1）已标价的工程量清单或预算书有相同项目的，按照相同项目单价认定。</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已标价的工程量清单或预算书中无相同项目，但有类似项目的，参照类似项目单价（若有二个及以上类似项目且单价不一致的，参照单价较低的类似项目单价）按以下原则计算确定：某种材料（或半成品及成品）等级、标准变化的，清单组合子目不变，仅调整不同的材料价格；清单项目某一特征或工程内容变化，不影响其他特征及工程内容价格的，其他特征组合标准不变，仅调整发生变化的组合子目价格。</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（3）当实际工程量与招标工程量清单或预算书中列明的该项工程量出现偏差时，该部分单价可选</w:t>
      </w:r>
      <w:r>
        <w:rPr>
          <w:rFonts w:hint="eastAsia" w:ascii="宋体" w:hAnsi="宋体" w:eastAsia="宋体" w:cs="宋体"/>
          <w:color w:val="auto"/>
          <w:spacing w:val="-2"/>
          <w:highlight w:val="none"/>
          <w:u w:val="single"/>
        </w:rPr>
        <w:t xml:space="preserve">  B  </w:t>
      </w:r>
      <w:r>
        <w:rPr>
          <w:rFonts w:hint="eastAsia" w:ascii="宋体" w:hAnsi="宋体" w:eastAsia="宋体" w:cs="宋体"/>
          <w:color w:val="auto"/>
          <w:spacing w:val="-2"/>
          <w:highlight w:val="none"/>
        </w:rPr>
        <w:t>（A/ B）方式调整：</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A.变更导致实际完成的变更工程量与已标价的工程量清单或预算书中列明的该项目工程量的变化幅度超过15%的，增加部分的工程量的综合单价（或工料单价）应予调整；当工程量减少15%以上时，减少后剩余部分的工程量的综合单价（或工料单价）应予调整。</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B.合价金额占合同总价2%及以上的分部分项清单项目，其工程量增加或减少超过本项目工程量15%及以上时，或合价金额占合同总价不到2%的分部分项清单项目，但其工程量增加或减少超过本项目工程数量25%及以上时，其增加部分工程量或减少后剩余部分工程量的相应单价应予调整。</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（4）已标价的工程量清单或预算书中无相同项目及类似项目单价的，应由承包人根据变更工程资料、计量规则和计价办法、工程造价管理机构发布的信息价格</w:t>
      </w:r>
      <w:r>
        <w:rPr>
          <w:rFonts w:hint="eastAsia" w:ascii="宋体" w:hAnsi="宋体" w:eastAsia="宋体" w:cs="宋体"/>
          <w:color w:val="auto"/>
          <w:highlight w:val="none"/>
        </w:rPr>
        <w:t>和承包人报价浮动率</w:t>
      </w:r>
      <w:r>
        <w:rPr>
          <w:rFonts w:hint="eastAsia" w:ascii="宋体" w:hAnsi="宋体" w:eastAsia="宋体" w:cs="宋体"/>
          <w:color w:val="auto"/>
          <w:spacing w:val="-2"/>
          <w:highlight w:val="none"/>
        </w:rPr>
        <w:t>提出变更工程项目的单价，并应报发包人确认后调整。</w:t>
      </w:r>
      <w:r>
        <w:rPr>
          <w:rFonts w:hint="eastAsia" w:ascii="宋体" w:hAnsi="宋体" w:eastAsia="宋体" w:cs="宋体"/>
          <w:color w:val="auto"/>
          <w:highlight w:val="none"/>
        </w:rPr>
        <w:t>浮动率=（成交价/招标控制价-1）*100%，成交价及招标控制价均指剔除了暂估价、暂列金、其他不可竞争费用后的价格。</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5）已标价的工程量清单或预算书中无相同项目及类似项目单价的，且工程造价管理机构发布的信息价格缺价的，应由承包人根据变更工程资料、计量规则和计价办法，通过市场询查等方式取得有合理依据的市场价格提出变更工程项目的单价，并应报发包人确认后调整。</w:t>
      </w:r>
    </w:p>
    <w:p>
      <w:pPr>
        <w:pageBreakBefore w:val="0"/>
        <w:widowControl w:val="0"/>
        <w:kinsoku/>
        <w:wordWrap/>
        <w:overflowPunct/>
        <w:topLinePunct w:val="0"/>
        <w:bidi w:val="0"/>
        <w:adjustRightInd/>
        <w:snapToGrid w:val="0"/>
        <w:spacing w:line="240" w:lineRule="auto"/>
        <w:ind w:left="-42" w:leftChars="-20" w:firstLine="403" w:firstLineChars="196"/>
        <w:rPr>
          <w:rFonts w:hint="eastAsia" w:ascii="宋体" w:hAnsi="宋体" w:eastAsia="宋体" w:cs="宋体"/>
          <w:b/>
          <w:bCs/>
          <w:color w:val="auto"/>
          <w:highlight w:val="none"/>
          <w:u w:val="single"/>
        </w:rPr>
      </w:pPr>
      <w:r>
        <w:rPr>
          <w:rFonts w:hint="eastAsia" w:ascii="宋体" w:hAnsi="宋体" w:eastAsia="宋体" w:cs="宋体"/>
          <w:color w:val="auto"/>
          <w:spacing w:val="-2"/>
          <w:highlight w:val="none"/>
        </w:rPr>
        <w:t>（6）施工中出现施工图纸或设计变更与工程量清单项目特征描述不符的，发承包双方应按新的项目特征确定相应工程量清单项目，按本条款（1）—（5）</w:t>
      </w:r>
      <w:r>
        <w:rPr>
          <w:rFonts w:hint="eastAsia" w:ascii="宋体" w:hAnsi="宋体" w:eastAsia="宋体" w:cs="宋体"/>
          <w:color w:val="auto"/>
          <w:highlight w:val="none"/>
        </w:rPr>
        <w:t>及计价依据、规则</w:t>
      </w:r>
      <w:r>
        <w:rPr>
          <w:rFonts w:hint="eastAsia" w:ascii="宋体" w:hAnsi="宋体" w:eastAsia="宋体" w:cs="宋体"/>
          <w:color w:val="auto"/>
          <w:spacing w:val="-2"/>
          <w:highlight w:val="none"/>
        </w:rPr>
        <w:t>的规定重新确定相应工程量清单或预算书项目的综合单价，并调整合同价格。</w:t>
      </w:r>
    </w:p>
    <w:p>
      <w:pPr>
        <w:pageBreakBefore w:val="0"/>
        <w:widowControl w:val="0"/>
        <w:kinsoku/>
        <w:wordWrap/>
        <w:overflowPunct/>
        <w:topLinePunct w:val="0"/>
        <w:bidi w:val="0"/>
        <w:adjustRightInd/>
        <w:snapToGrid w:val="0"/>
        <w:spacing w:line="240" w:lineRule="auto"/>
        <w:ind w:firstLine="403" w:firstLineChars="196"/>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计价依据、规则：1、</w:t>
      </w:r>
      <w:r>
        <w:rPr>
          <w:rFonts w:hint="eastAsia" w:ascii="宋体" w:hAnsi="宋体" w:eastAsia="宋体" w:cs="宋体"/>
          <w:color w:val="auto"/>
          <w:spacing w:val="-2"/>
          <w:highlight w:val="none"/>
          <w:lang w:val="en-US" w:eastAsia="zh-CN"/>
        </w:rPr>
        <w:t>工程量：根据艺城设计有限公司设计的施工图。2、</w:t>
      </w:r>
      <w:r>
        <w:rPr>
          <w:rFonts w:hint="eastAsia" w:ascii="宋体" w:hAnsi="宋体" w:eastAsia="宋体" w:cs="宋体"/>
          <w:color w:val="auto"/>
          <w:spacing w:val="-2"/>
          <w:highlight w:val="none"/>
        </w:rPr>
        <w:t>信息价：材料价格根据《宁波建设工程造价信息</w:t>
      </w:r>
      <w:r>
        <w:rPr>
          <w:rFonts w:hint="eastAsia" w:ascii="宋体" w:hAnsi="宋体" w:cs="宋体"/>
          <w:color w:val="auto"/>
          <w:spacing w:val="-2"/>
          <w:highlight w:val="none"/>
          <w:lang w:eastAsia="zh-CN"/>
        </w:rPr>
        <w:t>》</w:t>
      </w:r>
      <w:r>
        <w:rPr>
          <w:rFonts w:hint="eastAsia" w:ascii="宋体" w:hAnsi="宋体" w:eastAsia="宋体" w:cs="宋体"/>
          <w:color w:val="auto"/>
          <w:spacing w:val="-2"/>
          <w:highlight w:val="none"/>
          <w:lang w:eastAsia="zh-CN"/>
        </w:rPr>
        <w:t>（</w:t>
      </w:r>
      <w:r>
        <w:rPr>
          <w:rFonts w:hint="eastAsia" w:ascii="宋体" w:hAnsi="宋体" w:eastAsia="宋体" w:cs="宋体"/>
          <w:color w:val="auto"/>
          <w:spacing w:val="-2"/>
          <w:highlight w:val="none"/>
          <w:lang w:val="en-US" w:eastAsia="zh-CN"/>
        </w:rPr>
        <w:t>2024年2月刊综合版）</w:t>
      </w:r>
      <w:r>
        <w:rPr>
          <w:rFonts w:hint="eastAsia" w:ascii="宋体" w:hAnsi="宋体" w:eastAsia="宋体" w:cs="宋体"/>
          <w:color w:val="auto"/>
          <w:spacing w:val="-2"/>
          <w:highlight w:val="none"/>
        </w:rPr>
        <w:t>市区除税价格，《宁波建设工程造价信息》没有的参照《浙江造价信息》（</w:t>
      </w:r>
      <w:r>
        <w:rPr>
          <w:rFonts w:hint="eastAsia" w:ascii="宋体" w:hAnsi="宋体" w:eastAsia="宋体" w:cs="宋体"/>
          <w:color w:val="auto"/>
          <w:spacing w:val="-2"/>
          <w:highlight w:val="none"/>
          <w:lang w:val="en-US" w:eastAsia="zh-CN"/>
        </w:rPr>
        <w:t>2024年第2期</w:t>
      </w:r>
      <w:r>
        <w:rPr>
          <w:rFonts w:hint="eastAsia" w:ascii="宋体" w:hAnsi="宋体" w:eastAsia="宋体" w:cs="宋体"/>
          <w:color w:val="auto"/>
          <w:spacing w:val="-2"/>
          <w:highlight w:val="none"/>
        </w:rPr>
        <w:t>）除税价格；人工价格根据《宁波建设工程造价信息》（</w:t>
      </w:r>
      <w:r>
        <w:rPr>
          <w:rFonts w:hint="eastAsia" w:ascii="宋体" w:hAnsi="宋体" w:eastAsia="宋体" w:cs="宋体"/>
          <w:color w:val="auto"/>
          <w:spacing w:val="-2"/>
          <w:highlight w:val="none"/>
          <w:lang w:val="en-US" w:eastAsia="zh-CN"/>
        </w:rPr>
        <w:t>2024年2月刊综合版</w:t>
      </w:r>
      <w:r>
        <w:rPr>
          <w:rFonts w:hint="eastAsia" w:ascii="宋体" w:hAnsi="宋体" w:eastAsia="宋体" w:cs="宋体"/>
          <w:color w:val="auto"/>
          <w:spacing w:val="-2"/>
          <w:highlight w:val="none"/>
        </w:rPr>
        <w:t>）价格。</w:t>
      </w:r>
      <w:r>
        <w:rPr>
          <w:rFonts w:hint="eastAsia" w:ascii="宋体" w:hAnsi="宋体" w:eastAsia="宋体" w:cs="宋体"/>
          <w:color w:val="auto"/>
          <w:spacing w:val="-2"/>
          <w:highlight w:val="none"/>
          <w:lang w:val="en-US" w:eastAsia="zh-CN"/>
        </w:rPr>
        <w:t>3</w:t>
      </w:r>
      <w:r>
        <w:rPr>
          <w:rFonts w:hint="eastAsia" w:ascii="宋体" w:hAnsi="宋体" w:eastAsia="宋体" w:cs="宋体"/>
          <w:color w:val="auto"/>
          <w:spacing w:val="-2"/>
          <w:highlight w:val="none"/>
        </w:rPr>
        <w:t>、 ①管理费费率、利润费率按</w:t>
      </w:r>
      <w:r>
        <w:rPr>
          <w:rFonts w:hint="eastAsia" w:ascii="宋体" w:hAnsi="宋体" w:eastAsia="宋体" w:cs="宋体"/>
          <w:color w:val="auto"/>
          <w:spacing w:val="-2"/>
          <w:highlight w:val="none"/>
          <w:lang w:val="en-US" w:eastAsia="zh-CN"/>
        </w:rPr>
        <w:t>单独装饰工程</w:t>
      </w:r>
      <w:r>
        <w:rPr>
          <w:rFonts w:hint="eastAsia" w:ascii="宋体" w:hAnsi="宋体" w:eastAsia="宋体" w:cs="宋体"/>
          <w:color w:val="auto"/>
          <w:spacing w:val="-2"/>
          <w:highlight w:val="none"/>
        </w:rPr>
        <w:t>中值计取，</w:t>
      </w:r>
      <w:r>
        <w:rPr>
          <w:rFonts w:hint="eastAsia" w:ascii="宋体" w:hAnsi="宋体" w:eastAsia="宋体" w:cs="宋体"/>
          <w:color w:val="auto"/>
          <w:spacing w:val="-2"/>
          <w:highlight w:val="none"/>
          <w:lang w:val="en-US" w:eastAsia="zh-CN"/>
        </w:rPr>
        <w:t>电气</w:t>
      </w:r>
      <w:r>
        <w:rPr>
          <w:rFonts w:hint="eastAsia" w:ascii="宋体" w:hAnsi="宋体" w:eastAsia="宋体" w:cs="宋体"/>
          <w:color w:val="auto"/>
          <w:spacing w:val="-2"/>
          <w:highlight w:val="none"/>
        </w:rPr>
        <w:t>、</w:t>
      </w:r>
      <w:r>
        <w:rPr>
          <w:rFonts w:hint="eastAsia" w:ascii="宋体" w:hAnsi="宋体" w:eastAsia="宋体" w:cs="宋体"/>
          <w:color w:val="auto"/>
          <w:spacing w:val="-2"/>
          <w:highlight w:val="none"/>
          <w:lang w:val="en-US" w:eastAsia="zh-CN"/>
        </w:rPr>
        <w:t>给排水</w:t>
      </w:r>
      <w:r>
        <w:rPr>
          <w:rFonts w:hint="eastAsia" w:ascii="宋体" w:hAnsi="宋体" w:eastAsia="宋体" w:cs="宋体"/>
          <w:color w:val="auto"/>
          <w:spacing w:val="-2"/>
          <w:highlight w:val="none"/>
        </w:rPr>
        <w:t>管理费费率、利润费率按水、电、暖、通风及自控安装工程中值计取；②规费费率按</w:t>
      </w:r>
      <w:r>
        <w:rPr>
          <w:rFonts w:hint="eastAsia" w:ascii="宋体" w:hAnsi="宋体" w:eastAsia="宋体" w:cs="宋体"/>
          <w:color w:val="auto"/>
          <w:spacing w:val="-2"/>
          <w:highlight w:val="none"/>
          <w:lang w:val="en-US" w:eastAsia="zh-CN"/>
        </w:rPr>
        <w:t>单独装饰</w:t>
      </w:r>
      <w:r>
        <w:rPr>
          <w:rFonts w:hint="eastAsia" w:ascii="宋体" w:hAnsi="宋体" w:eastAsia="宋体" w:cs="宋体"/>
          <w:color w:val="auto"/>
          <w:spacing w:val="-2"/>
          <w:highlight w:val="none"/>
        </w:rPr>
        <w:t>工程费率</w:t>
      </w:r>
      <w:r>
        <w:rPr>
          <w:rFonts w:hint="eastAsia" w:ascii="宋体" w:hAnsi="宋体" w:eastAsia="宋体" w:cs="宋体"/>
          <w:color w:val="auto"/>
          <w:spacing w:val="-2"/>
          <w:highlight w:val="none"/>
          <w:lang w:val="en-US" w:eastAsia="zh-CN"/>
        </w:rPr>
        <w:t>27.92</w:t>
      </w:r>
      <w:r>
        <w:rPr>
          <w:rFonts w:hint="eastAsia" w:ascii="宋体" w:hAnsi="宋体" w:eastAsia="宋体" w:cs="宋体"/>
          <w:color w:val="auto"/>
          <w:spacing w:val="-2"/>
          <w:highlight w:val="none"/>
        </w:rPr>
        <w:t>%乘以系数0.3计取，</w:t>
      </w:r>
      <w:r>
        <w:rPr>
          <w:rFonts w:hint="eastAsia" w:ascii="宋体" w:hAnsi="宋体" w:eastAsia="宋体" w:cs="宋体"/>
          <w:color w:val="auto"/>
          <w:spacing w:val="-2"/>
          <w:highlight w:val="none"/>
          <w:lang w:val="en-US" w:eastAsia="zh-CN"/>
        </w:rPr>
        <w:t>强弱电</w:t>
      </w:r>
      <w:r>
        <w:rPr>
          <w:rFonts w:hint="eastAsia" w:ascii="宋体" w:hAnsi="宋体" w:eastAsia="宋体" w:cs="宋体"/>
          <w:color w:val="auto"/>
          <w:spacing w:val="-2"/>
          <w:highlight w:val="none"/>
        </w:rPr>
        <w:t>、</w:t>
      </w:r>
      <w:r>
        <w:rPr>
          <w:rFonts w:hint="eastAsia" w:ascii="宋体" w:hAnsi="宋体" w:eastAsia="宋体" w:cs="宋体"/>
          <w:color w:val="auto"/>
          <w:spacing w:val="-2"/>
          <w:highlight w:val="none"/>
          <w:lang w:val="en-US" w:eastAsia="zh-CN"/>
        </w:rPr>
        <w:t>给排水</w:t>
      </w:r>
      <w:r>
        <w:rPr>
          <w:rFonts w:hint="eastAsia" w:ascii="宋体" w:hAnsi="宋体" w:eastAsia="宋体" w:cs="宋体"/>
          <w:color w:val="auto"/>
          <w:spacing w:val="-2"/>
          <w:highlight w:val="none"/>
        </w:rPr>
        <w:t>规费费率按水、电、暖、通风及自控安装工程费率3</w:t>
      </w:r>
      <w:r>
        <w:rPr>
          <w:rFonts w:hint="eastAsia" w:ascii="宋体" w:hAnsi="宋体" w:eastAsia="宋体" w:cs="宋体"/>
          <w:color w:val="auto"/>
          <w:spacing w:val="-2"/>
          <w:highlight w:val="none"/>
          <w:lang w:val="en-US" w:eastAsia="zh-CN"/>
        </w:rPr>
        <w:t>0</w:t>
      </w:r>
      <w:r>
        <w:rPr>
          <w:rFonts w:hint="eastAsia" w:ascii="宋体" w:hAnsi="宋体" w:eastAsia="宋体" w:cs="宋体"/>
          <w:color w:val="auto"/>
          <w:spacing w:val="-2"/>
          <w:highlight w:val="none"/>
        </w:rPr>
        <w:t>.63%乘以系数0.3计取；③安全文明施工费按市区一般工程中值计取；④提前竣工增加费、行车行人干扰增加费、优质工程增加费、创市标化工地增加费、特殊地区增加费均不予计取。</w:t>
      </w:r>
    </w:p>
    <w:p>
      <w:pPr>
        <w:pageBreakBefore w:val="0"/>
        <w:widowControl w:val="0"/>
        <w:kinsoku/>
        <w:wordWrap/>
        <w:overflowPunct/>
        <w:topLinePunct w:val="0"/>
        <w:bidi w:val="0"/>
        <w:adjustRightInd/>
        <w:snapToGrid w:val="0"/>
        <w:spacing w:line="240" w:lineRule="auto"/>
        <w:ind w:firstLine="411" w:firstLineChars="196"/>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u w:val="single"/>
          <w:lang w:val="en-US" w:eastAsia="zh-CN"/>
        </w:rPr>
        <w:t>编制原则及办法</w:t>
      </w:r>
    </w:p>
    <w:p>
      <w:pPr>
        <w:pageBreakBefore w:val="0"/>
        <w:widowControl w:val="0"/>
        <w:kinsoku/>
        <w:wordWrap/>
        <w:overflowPunct/>
        <w:topLinePunct w:val="0"/>
        <w:bidi w:val="0"/>
        <w:adjustRightInd/>
        <w:snapToGrid w:val="0"/>
        <w:spacing w:line="240" w:lineRule="auto"/>
        <w:ind w:firstLine="411" w:firstLineChars="19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1、编制方法：采用综合单价法编制。计税方法：增值税一般计税法。</w:t>
      </w:r>
    </w:p>
    <w:p>
      <w:pPr>
        <w:pageBreakBefore w:val="0"/>
        <w:widowControl w:val="0"/>
        <w:kinsoku/>
        <w:wordWrap/>
        <w:overflowPunct/>
        <w:topLinePunct w:val="0"/>
        <w:bidi w:val="0"/>
        <w:adjustRightInd/>
        <w:snapToGrid w:val="0"/>
        <w:spacing w:line="240" w:lineRule="auto"/>
        <w:ind w:firstLine="411" w:firstLineChars="19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2、工程量：根据建设单位提供的施工图纸、现勘查结合计算规则计算。</w:t>
      </w:r>
    </w:p>
    <w:p>
      <w:pPr>
        <w:pageBreakBefore w:val="0"/>
        <w:widowControl w:val="0"/>
        <w:kinsoku/>
        <w:wordWrap/>
        <w:overflowPunct/>
        <w:topLinePunct w:val="0"/>
        <w:bidi w:val="0"/>
        <w:adjustRightInd/>
        <w:snapToGrid w:val="0"/>
        <w:spacing w:line="240" w:lineRule="auto"/>
        <w:ind w:firstLine="411" w:firstLineChars="19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3、人工信息价</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含机上人工</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rPr>
        <w:t>按《宁波建设工程造价信息》</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综合版</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lang w:val="en-US" w:eastAsia="zh-CN"/>
        </w:rPr>
        <w:t>2024年2月</w:t>
      </w:r>
      <w:r>
        <w:rPr>
          <w:rFonts w:hint="eastAsia" w:ascii="宋体" w:hAnsi="宋体" w:eastAsia="宋体" w:cs="宋体"/>
          <w:color w:val="auto"/>
          <w:highlight w:val="none"/>
          <w:u w:val="single"/>
        </w:rPr>
        <w:t>刊信息价。</w:t>
      </w:r>
    </w:p>
    <w:p>
      <w:pPr>
        <w:pageBreakBefore w:val="0"/>
        <w:widowControl w:val="0"/>
        <w:kinsoku/>
        <w:wordWrap/>
        <w:overflowPunct/>
        <w:topLinePunct w:val="0"/>
        <w:bidi w:val="0"/>
        <w:adjustRightInd/>
        <w:snapToGrid w:val="0"/>
        <w:spacing w:line="240" w:lineRule="auto"/>
        <w:ind w:firstLine="411" w:firstLineChars="19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4、材料价格选用先后顺序</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含机械燃料动力费</w:t>
      </w:r>
      <w:r>
        <w:rPr>
          <w:rFonts w:hint="eastAsia" w:ascii="宋体" w:hAnsi="宋体" w:cs="宋体"/>
          <w:color w:val="auto"/>
          <w:highlight w:val="none"/>
          <w:u w:val="single"/>
          <w:lang w:eastAsia="zh-CN"/>
        </w:rPr>
        <w:t>）</w:t>
      </w:r>
      <w:r>
        <w:rPr>
          <w:rFonts w:hint="eastAsia" w:ascii="宋体" w:hAnsi="宋体" w:eastAsia="宋体" w:cs="宋体"/>
          <w:color w:val="auto"/>
          <w:highlight w:val="none"/>
          <w:u w:val="single"/>
        </w:rPr>
        <w:t>:《宁波建设工程造价信息</w:t>
      </w:r>
      <w:r>
        <w:rPr>
          <w:rFonts w:hint="eastAsia" w:ascii="宋体" w:hAnsi="宋体" w:eastAsia="宋体" w:cs="宋体"/>
          <w:color w:val="auto"/>
          <w:highlight w:val="none"/>
          <w:u w:val="single"/>
          <w:lang w:eastAsia="zh-CN"/>
        </w:rPr>
        <w:t>（</w:t>
      </w:r>
      <w:r>
        <w:rPr>
          <w:rFonts w:hint="eastAsia" w:ascii="宋体" w:hAnsi="宋体" w:eastAsia="宋体" w:cs="宋体"/>
          <w:color w:val="auto"/>
          <w:highlight w:val="none"/>
          <w:u w:val="single"/>
          <w:lang w:val="en-US" w:eastAsia="zh-CN"/>
        </w:rPr>
        <w:t>2024年2月刊综合版）</w:t>
      </w:r>
      <w:r>
        <w:rPr>
          <w:rFonts w:hint="eastAsia" w:ascii="宋体" w:hAnsi="宋体" w:eastAsia="宋体" w:cs="宋体"/>
          <w:color w:val="auto"/>
          <w:highlight w:val="none"/>
          <w:u w:val="single"/>
        </w:rPr>
        <w:t>市区除税价格，《宁波建设工程造价信息》没有的参照《浙江造价信息》（</w:t>
      </w:r>
      <w:r>
        <w:rPr>
          <w:rFonts w:hint="eastAsia" w:ascii="宋体" w:hAnsi="宋体" w:eastAsia="宋体" w:cs="宋体"/>
          <w:color w:val="auto"/>
          <w:highlight w:val="none"/>
          <w:u w:val="single"/>
          <w:lang w:val="en-US" w:eastAsia="zh-CN"/>
        </w:rPr>
        <w:t>2024年第2期</w:t>
      </w:r>
      <w:r>
        <w:rPr>
          <w:rFonts w:hint="eastAsia" w:ascii="宋体" w:hAnsi="宋体" w:eastAsia="宋体" w:cs="宋体"/>
          <w:color w:val="auto"/>
          <w:highlight w:val="none"/>
          <w:u w:val="single"/>
        </w:rPr>
        <w:t>）除税价格、无信息价的材料或设备采用市场价。以上信息价、市场价均按除税价计取。</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10.4.1.2 关于变更措施项目费的约定：</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分部分项工程量清单非承包人原因的工程变更，造成施工组织设计或施工方案变更，以及分部分项工程量变化，引起措施项目数量、内容发生变化，应调整措施项目费。其中采用综合单价计价的措施项目，根据发承包双方确认的工程量和根据第10.4.1.1 目约定的原则计算单价并提出措施费；采用以“项”计价的措施项目，根据有标价的工程量清单中的措施项目和金额或发承包双方确认调整后的措施项目和金额计算，按项部分结算不做调整。</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（1）原措施费中已有的措施项目，按原措施费的组价方法调整。</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原措施费没有的措施项目，承包人根据实际措施项目内容、规定的工程取费类别、现行计价依据并按中标浮动率浮动后提出措施费。浮动率=（成交价/招标控制价—1）*100%，成交价及招标控制价均指剔除了暂估价、暂定价、暂列金额后的价格。</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10.4.1.3 关于其他项目费变更的约定：</w:t>
      </w:r>
    </w:p>
    <w:p>
      <w:pPr>
        <w:pageBreakBefore w:val="0"/>
        <w:widowControl w:val="0"/>
        <w:numPr>
          <w:ilvl w:val="0"/>
          <w:numId w:val="3"/>
        </w:numPr>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承包人应发包人要求完成合同以外的项目、工作，或者发生应由发包人承担责任的事件，承包人应按合同约定的时间、程序向发包人提出费用或责任事件确认的书面资料，办理现场签证。现场签证作为其中结算、竣工结算的依据。发包人在现场签证时涉及工程量、价、费等内容的，按合同约定的时间，由具备工程计价资格的人员核对，并详细、明确签署相应意见，否则视为认同承包人提出的内容及金额。</w:t>
      </w:r>
    </w:p>
    <w:p>
      <w:pPr>
        <w:pageBreakBefore w:val="0"/>
        <w:widowControl w:val="0"/>
        <w:numPr>
          <w:ilvl w:val="0"/>
          <w:numId w:val="3"/>
        </w:numPr>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总承包服务费依据合同约定金额计算。</w:t>
      </w:r>
    </w:p>
    <w:p>
      <w:pPr>
        <w:pageBreakBefore w:val="0"/>
        <w:widowControl w:val="0"/>
        <w:kinsoku/>
        <w:wordWrap/>
        <w:overflowPunct/>
        <w:topLinePunct w:val="0"/>
        <w:bidi w:val="0"/>
        <w:snapToGrid w:val="0"/>
        <w:spacing w:line="240" w:lineRule="auto"/>
        <w:ind w:firstLine="412" w:firstLineChars="200"/>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（3）计日工按发包人实际签证确认的事项所发生的数量计算。</w:t>
      </w:r>
    </w:p>
    <w:p>
      <w:pPr>
        <w:pageBreakBefore w:val="0"/>
        <w:widowControl w:val="0"/>
        <w:kinsoku/>
        <w:wordWrap/>
        <w:overflowPunct/>
        <w:topLinePunct w:val="0"/>
        <w:bidi w:val="0"/>
        <w:adjustRightInd/>
        <w:snapToGrid w:val="0"/>
        <w:spacing w:line="240" w:lineRule="auto"/>
        <w:ind w:left="-42" w:leftChars="-20" w:firstLine="403" w:firstLineChars="196"/>
        <w:rPr>
          <w:rFonts w:hint="eastAsia" w:ascii="宋体" w:hAnsi="宋体" w:eastAsia="宋体" w:cs="宋体"/>
          <w:b/>
          <w:bCs/>
          <w:color w:val="auto"/>
          <w:highlight w:val="none"/>
          <w:u w:val="single"/>
        </w:rPr>
      </w:pPr>
      <w:r>
        <w:rPr>
          <w:rFonts w:hint="eastAsia" w:ascii="宋体" w:hAnsi="宋体" w:eastAsia="宋体" w:cs="宋体"/>
          <w:color w:val="auto"/>
          <w:spacing w:val="-2"/>
          <w:highlight w:val="none"/>
        </w:rPr>
        <w:t>（4）暂列金额在减去工程价款调整与索赔、现场签证等金额后，如有余额，归还发包人。</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10.8 暂列金额</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合同当事人关于暂列金额使用的约定：</w:t>
      </w:r>
      <w:r>
        <w:rPr>
          <w:rFonts w:hint="eastAsia" w:ascii="宋体" w:hAnsi="宋体" w:eastAsia="宋体" w:cs="宋体"/>
          <w:b/>
          <w:bCs/>
          <w:color w:val="auto"/>
          <w:highlight w:val="none"/>
          <w:u w:val="single"/>
        </w:rPr>
        <w:t>由发包人通过监理人发出使用指令</w:t>
      </w:r>
      <w:r>
        <w:rPr>
          <w:rFonts w:hint="eastAsia" w:ascii="宋体" w:hAnsi="宋体" w:eastAsia="宋体" w:cs="宋体"/>
          <w:color w:val="auto"/>
          <w:highlight w:val="none"/>
        </w:rPr>
        <w:t>。</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11. 价格调整</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11.1 市场价格波动引起的调整</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市场价格波动是否调整合同价格的约定：</w:t>
      </w:r>
      <w:r>
        <w:rPr>
          <w:rFonts w:hint="eastAsia" w:ascii="宋体" w:hAnsi="宋体" w:eastAsia="宋体" w:cs="宋体"/>
          <w:b/>
          <w:bCs/>
          <w:color w:val="auto"/>
          <w:highlight w:val="none"/>
          <w:u w:val="single"/>
          <w:lang w:val="en-US" w:eastAsia="zh-CN"/>
        </w:rPr>
        <w:t>施工期间</w:t>
      </w:r>
      <w:r>
        <w:rPr>
          <w:rFonts w:hint="eastAsia" w:ascii="宋体" w:hAnsi="宋体" w:eastAsia="宋体" w:cs="宋体"/>
          <w:b/>
          <w:bCs/>
          <w:color w:val="auto"/>
          <w:highlight w:val="none"/>
          <w:u w:val="single"/>
        </w:rPr>
        <w:t>因市场价格波动引起的变化不予调整。</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12. 合同价格、计量与支付</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12.1 合同价格形式</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本合同采用合同当事人签订的合同协议书中约定的价格形式，即：</w:t>
      </w:r>
      <w:r>
        <w:rPr>
          <w:rFonts w:hint="eastAsia" w:ascii="宋体" w:hAnsi="宋体" w:eastAsia="宋体" w:cs="宋体"/>
          <w:b/>
          <w:bCs/>
          <w:color w:val="auto"/>
          <w:highlight w:val="none"/>
          <w:u w:val="single"/>
        </w:rPr>
        <w:t>单价合同</w:t>
      </w:r>
      <w:r>
        <w:rPr>
          <w:rFonts w:hint="eastAsia" w:ascii="宋体" w:hAnsi="宋体" w:eastAsia="宋体" w:cs="宋体"/>
          <w:color w:val="auto"/>
          <w:highlight w:val="none"/>
        </w:rPr>
        <w:t>。其中：</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1.本项目工程量均按实结算。</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2.投标人自行踏勘现场后掌握的实际情况结合招标人提供的工程量清单对项目进行报价，若施工方式与工程量清单描述的项目特征及作法存在差异则均按实际情况重新组价调整（组价方式见合同10.4.1款内容）。</w:t>
      </w:r>
    </w:p>
    <w:p>
      <w:pPr>
        <w:pageBreakBefore w:val="0"/>
        <w:widowControl w:val="0"/>
        <w:kinsoku/>
        <w:wordWrap/>
        <w:overflowPunct/>
        <w:topLinePunct w:val="0"/>
        <w:bidi w:val="0"/>
        <w:snapToGrid w:val="0"/>
        <w:spacing w:line="24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12.2 预付款</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12.2.1 预付款的支付</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预付款支付比例或金额：</w:t>
      </w:r>
      <w:r>
        <w:rPr>
          <w:rFonts w:hint="eastAsia" w:ascii="宋体" w:hAnsi="宋体" w:eastAsia="宋体" w:cs="宋体"/>
          <w:b/>
          <w:bCs/>
          <w:color w:val="auto"/>
          <w:highlight w:val="none"/>
          <w:u w:val="single"/>
        </w:rPr>
        <w:t>合同价的40%</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12.3 计量</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关于工程量计算原则约定：按现行的工程量计算规则执行。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关于计量周期及本合同计量方式和程序的约定：执行通用条款</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12.4 工程进度款支付</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highlight w:val="none"/>
        </w:rPr>
        <w:t>关于付款的约定：</w:t>
      </w:r>
      <w:r>
        <w:rPr>
          <w:rFonts w:hint="eastAsia" w:ascii="宋体" w:hAnsi="宋体" w:cs="宋体"/>
          <w:b/>
          <w:bCs/>
          <w:color w:val="auto"/>
          <w:kern w:val="0"/>
          <w:szCs w:val="21"/>
          <w:highlight w:val="none"/>
          <w:lang w:val="en-US" w:eastAsia="zh-CN"/>
        </w:rPr>
        <w:t>（1）</w:t>
      </w:r>
      <w:r>
        <w:rPr>
          <w:rFonts w:hint="eastAsia" w:ascii="宋体" w:hAnsi="宋体" w:eastAsia="宋体" w:cs="宋体"/>
          <w:b/>
          <w:bCs/>
          <w:color w:val="auto"/>
          <w:kern w:val="0"/>
          <w:szCs w:val="21"/>
          <w:highlight w:val="none"/>
        </w:rPr>
        <w:t>合同生效及具备实施条件后7个工作日内，</w:t>
      </w:r>
      <w:r>
        <w:rPr>
          <w:rFonts w:hint="eastAsia" w:ascii="宋体" w:hAnsi="宋体" w:cs="宋体"/>
          <w:b/>
          <w:bCs/>
          <w:color w:val="auto"/>
          <w:kern w:val="0"/>
          <w:szCs w:val="21"/>
          <w:highlight w:val="none"/>
          <w:lang w:val="en-US" w:eastAsia="zh-CN"/>
        </w:rPr>
        <w:t>发包人</w:t>
      </w:r>
      <w:r>
        <w:rPr>
          <w:rFonts w:hint="eastAsia" w:ascii="宋体" w:hAnsi="宋体" w:eastAsia="宋体" w:cs="宋体"/>
          <w:b/>
          <w:bCs/>
          <w:color w:val="auto"/>
          <w:kern w:val="0"/>
          <w:szCs w:val="21"/>
          <w:highlight w:val="none"/>
        </w:rPr>
        <w:t>支付合同总价（扣除未确定的暂定金额、暂列金额、甲供材料费用、甩项及取消部分）的40%；</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工程初验通过后7个工作日内，</w:t>
      </w:r>
      <w:r>
        <w:rPr>
          <w:rFonts w:hint="eastAsia" w:ascii="宋体" w:hAnsi="宋体" w:cs="宋体"/>
          <w:b/>
          <w:bCs/>
          <w:color w:val="auto"/>
          <w:kern w:val="0"/>
          <w:szCs w:val="21"/>
          <w:highlight w:val="none"/>
          <w:lang w:val="en-US" w:eastAsia="zh-CN"/>
        </w:rPr>
        <w:t>发包人</w:t>
      </w:r>
      <w:r>
        <w:rPr>
          <w:rFonts w:hint="eastAsia" w:ascii="宋体" w:hAnsi="宋体" w:eastAsia="宋体" w:cs="宋体"/>
          <w:b/>
          <w:bCs/>
          <w:color w:val="auto"/>
          <w:kern w:val="0"/>
          <w:szCs w:val="21"/>
          <w:highlight w:val="none"/>
        </w:rPr>
        <w:t>支付至合同总价（扣除未确定的暂定金额、暂列金额、甲供材料费用、甩项及取消部分）的80%；</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lang w:eastAsia="zh-CN"/>
        </w:rPr>
        <w:t>）</w:t>
      </w:r>
      <w:r>
        <w:rPr>
          <w:rFonts w:hint="eastAsia" w:ascii="宋体" w:hAnsi="宋体" w:eastAsia="宋体" w:cs="宋体"/>
          <w:b/>
          <w:bCs/>
          <w:color w:val="auto"/>
          <w:kern w:val="0"/>
          <w:szCs w:val="21"/>
          <w:highlight w:val="none"/>
        </w:rPr>
        <w:t>工程竣工验收（终验）合格后，根据相关部门核准的决算价，付清尾款。</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kern w:val="0"/>
          <w:szCs w:val="21"/>
          <w:highlight w:val="none"/>
        </w:rPr>
        <w:t>注：具体条款以双方签订的合同约定为准。</w:t>
      </w:r>
    </w:p>
    <w:p>
      <w:pPr>
        <w:pageBreakBefore w:val="0"/>
        <w:widowControl w:val="0"/>
        <w:kinsoku/>
        <w:wordWrap/>
        <w:overflowPunct/>
        <w:topLinePunct w:val="0"/>
        <w:bidi w:val="0"/>
        <w:adjustRightInd/>
        <w:snapToGrid w:val="0"/>
        <w:spacing w:line="240" w:lineRule="auto"/>
        <w:ind w:firstLine="422" w:firstLineChars="200"/>
        <w:rPr>
          <w:rFonts w:hint="eastAsia" w:ascii="宋体" w:hAnsi="宋体" w:eastAsia="宋体" w:cs="宋体"/>
          <w:b/>
          <w:bCs/>
          <w:color w:val="auto"/>
          <w:highlight w:val="none"/>
        </w:rPr>
      </w:pPr>
      <w:bookmarkStart w:id="488" w:name="_Hlk89721287"/>
      <w:r>
        <w:rPr>
          <w:rFonts w:hint="eastAsia" w:ascii="宋体" w:hAnsi="宋体" w:eastAsia="宋体" w:cs="宋体"/>
          <w:b/>
          <w:bCs/>
          <w:color w:val="auto"/>
          <w:highlight w:val="none"/>
        </w:rPr>
        <w:t>承包人应在每次付款之前，提出付款申请并向发包人提供等额税务发票，如承包人逾期提供付款申请或发票或提供的发票不符合发包人税务要求或付款申请内容不实的，发包人有权拒绝或相应迟延支付工程款，且不承担逾期付款的违约责任及利息。</w:t>
      </w:r>
    </w:p>
    <w:bookmarkEnd w:id="488"/>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13. 验收和工程试车</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13.1 分部分项工程验收</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13.1.2监理人不能按时进行验收时，应提前</w:t>
      </w:r>
      <w:r>
        <w:rPr>
          <w:rFonts w:hint="eastAsia" w:ascii="宋体" w:hAnsi="宋体" w:eastAsia="宋体" w:cs="宋体"/>
          <w:color w:val="auto"/>
          <w:highlight w:val="none"/>
          <w:u w:val="single"/>
        </w:rPr>
        <w:t xml:space="preserve"> 24 </w:t>
      </w:r>
      <w:r>
        <w:rPr>
          <w:rFonts w:hint="eastAsia" w:ascii="宋体" w:hAnsi="宋体" w:eastAsia="宋体" w:cs="宋体"/>
          <w:color w:val="auto"/>
          <w:highlight w:val="none"/>
        </w:rPr>
        <w:t>小时提交书面延期要求。</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b/>
          <w:bCs/>
          <w:color w:val="auto"/>
          <w:highlight w:val="none"/>
        </w:rPr>
      </w:pPr>
      <w:r>
        <w:rPr>
          <w:rFonts w:hint="eastAsia" w:ascii="宋体" w:hAnsi="宋体" w:eastAsia="宋体" w:cs="宋体"/>
          <w:color w:val="auto"/>
          <w:highlight w:val="none"/>
        </w:rPr>
        <w:t>关于延期最长不得超过：</w:t>
      </w:r>
      <w:r>
        <w:rPr>
          <w:rFonts w:hint="eastAsia" w:ascii="宋体" w:hAnsi="宋体" w:eastAsia="宋体" w:cs="宋体"/>
          <w:color w:val="auto"/>
          <w:highlight w:val="none"/>
          <w:u w:val="single"/>
        </w:rPr>
        <w:t xml:space="preserve"> 48 </w:t>
      </w:r>
      <w:r>
        <w:rPr>
          <w:rFonts w:hint="eastAsia" w:ascii="宋体" w:hAnsi="宋体" w:eastAsia="宋体" w:cs="宋体"/>
          <w:color w:val="auto"/>
          <w:highlight w:val="none"/>
        </w:rPr>
        <w:t>小时。</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13.2 竣工验收</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13.2.5 移交、接收全部与部分工程</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承包人向发包人移交工程的期限：在颁发工程接收证书后</w:t>
      </w:r>
      <w:r>
        <w:rPr>
          <w:rFonts w:hint="eastAsia" w:ascii="宋体" w:hAnsi="宋体" w:eastAsia="宋体" w:cs="宋体"/>
          <w:color w:val="auto"/>
          <w:highlight w:val="none"/>
          <w:u w:val="single"/>
        </w:rPr>
        <w:t xml:space="preserve"> </w:t>
      </w:r>
      <w:r>
        <w:rPr>
          <w:rFonts w:hint="eastAsia" w:ascii="宋体" w:hAnsi="宋体" w:eastAsia="宋体" w:cs="宋体"/>
          <w:b/>
          <w:bCs/>
          <w:color w:val="auto"/>
          <w:highlight w:val="none"/>
          <w:u w:val="single"/>
        </w:rPr>
        <w:t>7</w:t>
      </w:r>
      <w:r>
        <w:rPr>
          <w:rFonts w:hint="eastAsia" w:ascii="宋体" w:hAnsi="宋体" w:eastAsia="宋体" w:cs="宋体"/>
          <w:color w:val="auto"/>
          <w:highlight w:val="none"/>
        </w:rPr>
        <w:t>天内完成工程的移交。</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承包人无正当理由未按时移交工程的，除承担自应接收工程之日起的工程照管、成本保护、保管等与工程有关的各项费用外，应当按本合同约定的工期延误赔偿标准的5倍向发包人支付逾期移交工程的违约金。</w:t>
      </w:r>
    </w:p>
    <w:p>
      <w:pPr>
        <w:pageBreakBefore w:val="0"/>
        <w:widowControl w:val="0"/>
        <w:kinsoku/>
        <w:wordWrap/>
        <w:overflowPunct/>
        <w:topLinePunct w:val="0"/>
        <w:bidi w:val="0"/>
        <w:adjustRightInd/>
        <w:snapToGrid w:val="0"/>
        <w:spacing w:before="120" w:line="240" w:lineRule="auto"/>
        <w:ind w:firstLine="399" w:firstLineChars="190"/>
        <w:rPr>
          <w:rFonts w:hint="eastAsia" w:ascii="宋体" w:hAnsi="宋体" w:eastAsia="宋体" w:cs="宋体"/>
          <w:color w:val="auto"/>
          <w:highlight w:val="none"/>
        </w:rPr>
      </w:pPr>
      <w:r>
        <w:rPr>
          <w:rFonts w:hint="eastAsia" w:ascii="宋体" w:hAnsi="宋体" w:eastAsia="宋体" w:cs="宋体"/>
          <w:color w:val="auto"/>
          <w:highlight w:val="none"/>
        </w:rPr>
        <w:t>13.6 竣工退场</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13.6.1 竣工退场</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承包人应当在发包人颁发工程接收证书后</w:t>
      </w:r>
      <w:r>
        <w:rPr>
          <w:rFonts w:hint="eastAsia" w:ascii="宋体" w:hAnsi="宋体" w:eastAsia="宋体" w:cs="宋体"/>
          <w:color w:val="auto"/>
          <w:highlight w:val="none"/>
          <w:u w:val="single"/>
        </w:rPr>
        <w:t>7</w:t>
      </w:r>
      <w:r>
        <w:rPr>
          <w:rFonts w:hint="eastAsia" w:ascii="宋体" w:hAnsi="宋体" w:eastAsia="宋体" w:cs="宋体"/>
          <w:color w:val="auto"/>
          <w:highlight w:val="none"/>
        </w:rPr>
        <w:t>天内完成竣工退场，逾期未完成的，按通用条款执行。</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bookmarkStart w:id="489" w:name="_Hlk89721330"/>
      <w:r>
        <w:rPr>
          <w:rFonts w:hint="eastAsia" w:ascii="宋体" w:hAnsi="宋体" w:eastAsia="宋体" w:cs="宋体"/>
          <w:color w:val="auto"/>
          <w:highlight w:val="none"/>
        </w:rPr>
        <w:t>交工前，承包人应自行清运、清理完毕发包人提供的场地范围内的所有机械、建筑垃圾等所有发包人认为应该清理、清运的物品，费用已包含在承包人的投标报价中，发包人不再另行支付费用。若承包人未履行上述义务的，发包人有权以发包人认为合理的方式处理场地范围内的所有机械、建筑垃圾等物品，相应的储藏费、场地租赁费、清运费等均由承包人承担且发包人有权在应付款中扣除。</w:t>
      </w:r>
    </w:p>
    <w:bookmarkEnd w:id="489"/>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14. 竣工结算</w:t>
      </w:r>
    </w:p>
    <w:p>
      <w:pPr>
        <w:pageBreakBefore w:val="0"/>
        <w:widowControl w:val="0"/>
        <w:kinsoku/>
        <w:wordWrap/>
        <w:overflowPunct/>
        <w:topLinePunct w:val="0"/>
        <w:bidi w:val="0"/>
        <w:adjustRightInd/>
        <w:snapToGrid w:val="0"/>
        <w:spacing w:before="120" w:line="240" w:lineRule="auto"/>
        <w:ind w:firstLine="401" w:firstLineChars="190"/>
        <w:rPr>
          <w:rFonts w:hint="eastAsia" w:ascii="宋体" w:hAnsi="宋体" w:eastAsia="宋体" w:cs="宋体"/>
          <w:b/>
          <w:bCs/>
          <w:color w:val="auto"/>
          <w:highlight w:val="none"/>
        </w:rPr>
      </w:pPr>
      <w:r>
        <w:rPr>
          <w:rFonts w:hint="eastAsia" w:ascii="宋体" w:hAnsi="宋体" w:eastAsia="宋体" w:cs="宋体"/>
          <w:b/>
          <w:bCs/>
          <w:color w:val="auto"/>
          <w:highlight w:val="none"/>
        </w:rPr>
        <w:t>14.1 竣工结算申请</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承包人应当在工程竣工验收合格后</w:t>
      </w:r>
      <w:r>
        <w:rPr>
          <w:rFonts w:hint="eastAsia" w:ascii="宋体" w:hAnsi="宋体" w:eastAsia="宋体" w:cs="宋体"/>
          <w:color w:val="auto"/>
          <w:highlight w:val="none"/>
          <w:u w:val="single"/>
        </w:rPr>
        <w:t>28</w:t>
      </w:r>
      <w:r>
        <w:rPr>
          <w:rFonts w:hint="eastAsia" w:ascii="宋体" w:hAnsi="宋体" w:eastAsia="宋体" w:cs="宋体"/>
          <w:color w:val="auto"/>
          <w:highlight w:val="none"/>
        </w:rPr>
        <w:t>天内向发包人或其委托的工程造价咨询人提交竣工结算申请单及其完整的结算资料4份。</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或其委托的工程造价咨询人对竣工结算申请单有异议或者结算资料不符合要求的，有权要求承包人进行修正和提供补充资料，但应当出具书面的意见。承包人应当按照发包人或其委托的工程造价咨询人出具的书面意见提交修正后的竣工结算申请单或结算资料，竣工结算申请的时间从提交修正后的竣工结算申请单或结算资料起计算。</w:t>
      </w:r>
    </w:p>
    <w:p>
      <w:pPr>
        <w:pageBreakBefore w:val="0"/>
        <w:widowControl w:val="0"/>
        <w:kinsoku/>
        <w:wordWrap/>
        <w:overflowPunct/>
        <w:topLinePunct w:val="0"/>
        <w:autoSpaceDE w:val="0"/>
        <w:autoSpaceDN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竣工结算申请单应包括的内容：按通用条款执行。</w:t>
      </w:r>
    </w:p>
    <w:p>
      <w:pPr>
        <w:pageBreakBefore w:val="0"/>
        <w:widowControl w:val="0"/>
        <w:kinsoku/>
        <w:wordWrap/>
        <w:overflowPunct/>
        <w:topLinePunct w:val="0"/>
        <w:bidi w:val="0"/>
        <w:adjustRightInd/>
        <w:snapToGrid w:val="0"/>
        <w:spacing w:before="120" w:line="240" w:lineRule="auto"/>
        <w:ind w:firstLine="401" w:firstLineChars="190"/>
        <w:rPr>
          <w:rFonts w:hint="eastAsia" w:ascii="宋体" w:hAnsi="宋体" w:eastAsia="宋体" w:cs="宋体"/>
          <w:b/>
          <w:bCs/>
          <w:color w:val="auto"/>
          <w:highlight w:val="none"/>
        </w:rPr>
      </w:pPr>
      <w:r>
        <w:rPr>
          <w:rFonts w:hint="eastAsia" w:ascii="宋体" w:hAnsi="宋体" w:eastAsia="宋体" w:cs="宋体"/>
          <w:b/>
          <w:bCs/>
          <w:color w:val="auto"/>
          <w:highlight w:val="none"/>
        </w:rPr>
        <w:t>14.2 竣工结算审核与审计</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14.2.1 竣工结算审核</w:t>
      </w:r>
    </w:p>
    <w:p>
      <w:pPr>
        <w:pageBreakBefore w:val="0"/>
        <w:widowControl w:val="0"/>
        <w:kinsoku/>
        <w:wordWrap/>
        <w:overflowPunct/>
        <w:topLinePunct w:val="0"/>
        <w:bidi w:val="0"/>
        <w:adjustRightInd/>
        <w:snapToGrid w:val="0"/>
        <w:spacing w:line="240" w:lineRule="auto"/>
        <w:ind w:firstLine="315" w:firstLineChars="150"/>
        <w:jc w:val="left"/>
        <w:rPr>
          <w:rFonts w:hint="eastAsia" w:ascii="宋体" w:hAnsi="宋体" w:eastAsia="宋体" w:cs="宋体"/>
          <w:color w:val="auto"/>
          <w:highlight w:val="none"/>
        </w:rPr>
      </w:pPr>
      <w:r>
        <w:rPr>
          <w:rFonts w:hint="eastAsia" w:ascii="宋体" w:hAnsi="宋体" w:eastAsia="宋体" w:cs="宋体"/>
          <w:color w:val="auto"/>
          <w:highlight w:val="none"/>
        </w:rPr>
        <w:t>（1）发包人或其委托的工程造价咨询人应在收到符合要求的竣工结算申请单及其结算资料后</w:t>
      </w:r>
      <w:r>
        <w:rPr>
          <w:rFonts w:hint="eastAsia" w:ascii="宋体" w:hAnsi="宋体" w:eastAsia="宋体" w:cs="宋体"/>
          <w:b/>
          <w:bCs/>
          <w:color w:val="auto"/>
          <w:highlight w:val="none"/>
          <w:u w:val="single"/>
        </w:rPr>
        <w:t>56</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天内完成审批，并由监理人向承包人签发经发包人签认的竣工付款证。</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发包人在收到承包人提交的竣工结算申请单后</w:t>
      </w:r>
      <w:r>
        <w:rPr>
          <w:rFonts w:hint="eastAsia" w:ascii="宋体" w:hAnsi="宋体" w:eastAsia="宋体" w:cs="宋体"/>
          <w:b/>
          <w:bCs/>
          <w:color w:val="auto"/>
          <w:highlight w:val="none"/>
          <w:u w:val="single"/>
        </w:rPr>
        <w:t>112</w:t>
      </w:r>
      <w:r>
        <w:rPr>
          <w:rFonts w:hint="eastAsia" w:ascii="宋体" w:hAnsi="宋体" w:eastAsia="宋体" w:cs="宋体"/>
          <w:color w:val="auto"/>
          <w:highlight w:val="none"/>
        </w:rPr>
        <w:t>天未提出异议或者未出具结算报告的，视为发包人认可承包人提交的竣工结算申请单，逾期视为已签发竣工付款证书。</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（2）发包人应在签发竣工付款证书后</w:t>
      </w:r>
      <w:r>
        <w:rPr>
          <w:rFonts w:hint="eastAsia" w:ascii="宋体" w:hAnsi="宋体" w:eastAsia="宋体" w:cs="宋体"/>
          <w:b/>
          <w:bCs/>
          <w:color w:val="auto"/>
          <w:highlight w:val="none"/>
          <w:u w:val="single"/>
        </w:rPr>
        <w:t>14</w:t>
      </w:r>
      <w:r>
        <w:rPr>
          <w:rFonts w:hint="eastAsia" w:ascii="宋体" w:hAnsi="宋体" w:eastAsia="宋体" w:cs="宋体"/>
          <w:color w:val="auto"/>
          <w:highlight w:val="none"/>
        </w:rPr>
        <w:t>天内，完成对承包人的竣工付款。发包人逾期支付的违约责任按通用条款执行。</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承包人对发包人签发的竣工付款证书有异议的内容，应在收到竣工付款证书后7天内提出，按照第20条[争议解决]约定处理。无异议部分，发包人应签发临时竣工付款证书，并按第（2）项约定完成付款；承包人逾期未提出异议的，视为认可发包人的审核结果。</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（4）关于承包人收款账户的约定：执行通用条款。</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14.2.2 审计</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（1）发包人应在完成竣工结算审批后</w:t>
      </w:r>
      <w:r>
        <w:rPr>
          <w:rFonts w:hint="eastAsia" w:ascii="宋体" w:hAnsi="宋体" w:eastAsia="宋体" w:cs="宋体"/>
          <w:color w:val="auto"/>
          <w:highlight w:val="none"/>
          <w:u w:val="single"/>
        </w:rPr>
        <w:t>21</w:t>
      </w:r>
      <w:r>
        <w:rPr>
          <w:rFonts w:hint="eastAsia" w:ascii="宋体" w:hAnsi="宋体" w:eastAsia="宋体" w:cs="宋体"/>
          <w:color w:val="auto"/>
          <w:highlight w:val="none"/>
        </w:rPr>
        <w:t>天内向审计部门提交符合审计要求的资料。</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（2）承包人有义务积极配合审计工作，确保审计工作的顺利开展。</w:t>
      </w:r>
    </w:p>
    <w:p>
      <w:pPr>
        <w:pageBreakBefore w:val="0"/>
        <w:widowControl w:val="0"/>
        <w:kinsoku/>
        <w:wordWrap/>
        <w:overflowPunct/>
        <w:topLinePunct w:val="0"/>
        <w:bidi w:val="0"/>
        <w:adjustRightInd/>
        <w:snapToGrid w:val="0"/>
        <w:spacing w:before="120" w:line="240" w:lineRule="auto"/>
        <w:ind w:firstLine="401" w:firstLineChars="190"/>
        <w:rPr>
          <w:rFonts w:hint="eastAsia" w:ascii="宋体" w:hAnsi="宋体" w:eastAsia="宋体" w:cs="宋体"/>
          <w:b/>
          <w:bCs/>
          <w:color w:val="auto"/>
          <w:highlight w:val="none"/>
        </w:rPr>
      </w:pPr>
      <w:r>
        <w:rPr>
          <w:rFonts w:hint="eastAsia" w:ascii="宋体" w:hAnsi="宋体" w:eastAsia="宋体" w:cs="宋体"/>
          <w:b/>
          <w:bCs/>
          <w:color w:val="auto"/>
          <w:highlight w:val="none"/>
        </w:rPr>
        <w:t>14.4 最终结清</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14.4.1 最终结清申请单</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（1）承包人应在缺陷责任期终止证书颁发后7天内提交3份最终结清申请单，并提供相关证明材料。最终结清申请单应列明质量保证金、应扣除的质量保证金、缺陷责任期内发生的增减费用。</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（2）发包人对最终结清申请单内容有异议的，有权要求承包人进行修正和提供补充资料，但应当出具书面意见。承包人应当按照发包人的书面意见提交修正后的最终结清申请单。</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14.4.2 最终结清证书和支付</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（1）发包人应在收到承包人提交的最终结清申请单后</w:t>
      </w:r>
      <w:r>
        <w:rPr>
          <w:rFonts w:hint="eastAsia" w:ascii="宋体" w:hAnsi="宋体" w:eastAsia="宋体" w:cs="宋体"/>
          <w:b/>
          <w:bCs/>
          <w:color w:val="auto"/>
          <w:highlight w:val="none"/>
          <w:u w:val="single"/>
        </w:rPr>
        <w:t>21</w:t>
      </w:r>
      <w:r>
        <w:rPr>
          <w:rFonts w:hint="eastAsia" w:ascii="宋体" w:hAnsi="宋体" w:eastAsia="宋体" w:cs="宋体"/>
          <w:color w:val="auto"/>
          <w:highlight w:val="none"/>
        </w:rPr>
        <w:t>天内完成审批并向承包人颁发最终结清证书。发包人逾期未完成审批，又未提出修改意见的，视为发包人同意承包人提交的最终结清申请单并已颁发最终结清证书 。</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（2）发包人应在颁发最终结清证书后</w:t>
      </w:r>
      <w:r>
        <w:rPr>
          <w:rFonts w:hint="eastAsia" w:ascii="宋体" w:hAnsi="宋体" w:eastAsia="宋体" w:cs="宋体"/>
          <w:b/>
          <w:bCs/>
          <w:color w:val="auto"/>
          <w:highlight w:val="none"/>
          <w:u w:val="single"/>
        </w:rPr>
        <w:t>14</w:t>
      </w:r>
      <w:r>
        <w:rPr>
          <w:rFonts w:hint="eastAsia" w:ascii="宋体" w:hAnsi="宋体" w:eastAsia="宋体" w:cs="宋体"/>
          <w:color w:val="auto"/>
          <w:highlight w:val="none"/>
        </w:rPr>
        <w:t>天完成支付。发包人逾期支付的违约责任按通用条款执行。</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15. 缺陷责任期、质保金与保修</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15.2缺陷责任期</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本合同缺陷责任期为</w:t>
      </w:r>
      <w:r>
        <w:rPr>
          <w:rFonts w:hint="eastAsia" w:ascii="宋体" w:hAnsi="宋体" w:eastAsia="宋体" w:cs="宋体"/>
          <w:b/>
          <w:bCs/>
          <w:color w:val="auto"/>
          <w:highlight w:val="none"/>
          <w:u w:val="single"/>
        </w:rPr>
        <w:t>2</w:t>
      </w:r>
      <w:r>
        <w:rPr>
          <w:rFonts w:hint="eastAsia" w:ascii="宋体" w:hAnsi="宋体" w:eastAsia="宋体" w:cs="宋体"/>
          <w:color w:val="auto"/>
          <w:highlight w:val="none"/>
        </w:rPr>
        <w:t>年。</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工程竣工验收合格后，因施工承包人原因导致的缺陷使工程或某项主要设备不能按原定目的使用的，发包人有权在原缺陷责任期届满前要求施工承包人延长缺陷责任期，延长的缺陷责任期为</w:t>
      </w:r>
      <w:r>
        <w:rPr>
          <w:rFonts w:hint="eastAsia" w:ascii="宋体" w:hAnsi="宋体" w:eastAsia="宋体" w:cs="宋体"/>
          <w:b/>
          <w:bCs/>
          <w:color w:val="auto"/>
          <w:highlight w:val="none"/>
          <w:u w:val="single"/>
        </w:rPr>
        <w:t>1</w:t>
      </w:r>
      <w:r>
        <w:rPr>
          <w:rFonts w:hint="eastAsia" w:ascii="宋体" w:hAnsi="宋体" w:eastAsia="宋体" w:cs="宋体"/>
          <w:color w:val="auto"/>
          <w:highlight w:val="none"/>
        </w:rPr>
        <w:t>年。</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15.3 质量保证金</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（1）承包人提供的质量保证担保形式为质量保证金保函。</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① 采用质量保证金保函的，承包人最迟在缺陷责任期开始前7日将向发包人提供符合发包人要求的《质量保证金保函》格式的银行保函一份。</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缺陷责任期延长的，承包人最迟应在原缺陷责任期届满之日前14天向发包人提交延长缺陷责任期的质量保证金保函或顺延原保函的有效期截止时间，否则发包人有权向第三方担保人提出索赔。</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② 采用质量保证金的，在工程竣工结算时发包人在合同尾款中一次性扣留。</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（2）质量保证金保函担保时间或质量保证金扣留期限与第15.2款约定的缺陷责任期保持一致。</w:t>
      </w:r>
    </w:p>
    <w:p>
      <w:pPr>
        <w:pageBreakBefore w:val="0"/>
        <w:widowControl w:val="0"/>
        <w:kinsoku/>
        <w:wordWrap/>
        <w:overflowPunct/>
        <w:topLinePunct w:val="0"/>
        <w:bidi w:val="0"/>
        <w:adjustRightInd/>
        <w:snapToGrid w:val="0"/>
        <w:spacing w:line="240" w:lineRule="auto"/>
        <w:ind w:firstLine="441" w:firstLineChars="210"/>
        <w:rPr>
          <w:rFonts w:hint="eastAsia" w:ascii="宋体" w:hAnsi="宋体" w:eastAsia="宋体" w:cs="宋体"/>
          <w:color w:val="auto"/>
          <w:highlight w:val="none"/>
        </w:rPr>
      </w:pPr>
      <w:r>
        <w:rPr>
          <w:rFonts w:hint="eastAsia" w:ascii="宋体" w:hAnsi="宋体" w:eastAsia="宋体" w:cs="宋体"/>
          <w:color w:val="auto"/>
          <w:highlight w:val="none"/>
        </w:rPr>
        <w:t>（3）质量保证金额度为工程结算价款的</w:t>
      </w:r>
      <w:r>
        <w:rPr>
          <w:rFonts w:hint="eastAsia" w:ascii="宋体" w:hAnsi="宋体" w:eastAsia="宋体" w:cs="宋体"/>
          <w:color w:val="auto"/>
          <w:highlight w:val="none"/>
          <w:u w:val="single"/>
        </w:rPr>
        <w:t>/</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（4）承包人与质量保证担保有关的费用由承包人承担；因承包人原因导致缺陷责任期延长的，继续提供质量保证担保所增加的费用由承包人承担。</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（5）保修期从发包人批准的竣工验收通过之日起计算。在合同保修期间，对承包人责任的工程质量问题，承包人应负责无偿修补，由此给发包人造成的损失须予以赔偿。</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（6）根据《宁波市财政局关于坚决打赢新冠肺炎疫情防控阻击战做好政府采购支持企业发展工作的通知》（甬财政发〔2020〕166号）文件规定，本项目不收取质量保证金。</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15.4保修</w:t>
      </w:r>
    </w:p>
    <w:p>
      <w:pPr>
        <w:pageBreakBefore w:val="0"/>
        <w:widowControl w:val="0"/>
        <w:kinsoku/>
        <w:wordWrap/>
        <w:overflowPunct/>
        <w:topLinePunct w:val="0"/>
        <w:bidi w:val="0"/>
        <w:adjustRightInd/>
        <w:snapToGrid w:val="0"/>
        <w:spacing w:line="240" w:lineRule="auto"/>
        <w:ind w:firstLine="409" w:firstLineChars="195"/>
        <w:jc w:val="left"/>
        <w:rPr>
          <w:rFonts w:hint="eastAsia" w:ascii="宋体" w:hAnsi="宋体" w:eastAsia="宋体" w:cs="宋体"/>
          <w:color w:val="auto"/>
          <w:highlight w:val="none"/>
        </w:rPr>
      </w:pPr>
      <w:r>
        <w:rPr>
          <w:rFonts w:hint="eastAsia" w:ascii="宋体" w:hAnsi="宋体" w:eastAsia="宋体" w:cs="宋体"/>
          <w:color w:val="auto"/>
          <w:highlight w:val="none"/>
        </w:rPr>
        <w:t>15.4.1 保修责任</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工程保修期的约定详见工程质量保修书。</w:t>
      </w:r>
    </w:p>
    <w:p>
      <w:pPr>
        <w:pageBreakBefore w:val="0"/>
        <w:widowControl w:val="0"/>
        <w:kinsoku/>
        <w:wordWrap/>
        <w:overflowPunct/>
        <w:topLinePunct w:val="0"/>
        <w:bidi w:val="0"/>
        <w:adjustRightInd/>
        <w:snapToGrid w:val="0"/>
        <w:spacing w:line="240" w:lineRule="auto"/>
        <w:ind w:firstLine="409" w:firstLineChars="195"/>
        <w:jc w:val="left"/>
        <w:rPr>
          <w:rFonts w:hint="eastAsia" w:ascii="宋体" w:hAnsi="宋体" w:eastAsia="宋体" w:cs="宋体"/>
          <w:color w:val="auto"/>
          <w:highlight w:val="none"/>
        </w:rPr>
      </w:pPr>
      <w:r>
        <w:rPr>
          <w:rFonts w:hint="eastAsia" w:ascii="宋体" w:hAnsi="宋体" w:eastAsia="宋体" w:cs="宋体"/>
          <w:color w:val="auto"/>
          <w:highlight w:val="none"/>
        </w:rPr>
        <w:t>15.4.3 修复通知</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承包人收到保修通知并到达工程现场的合理时间：承包人收到保修通知并到达工程现场的合理时间为</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小时内（含</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小时）。</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16. 违约</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16.2 承包人违约</w:t>
      </w:r>
    </w:p>
    <w:p>
      <w:pPr>
        <w:pageBreakBefore w:val="0"/>
        <w:widowControl w:val="0"/>
        <w:kinsoku/>
        <w:wordWrap/>
        <w:overflowPunct/>
        <w:topLinePunct w:val="0"/>
        <w:bidi w:val="0"/>
        <w:adjustRightInd/>
        <w:snapToGrid w:val="0"/>
        <w:spacing w:line="24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16.2.1 承包人违约的情形</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16.2.1 承包人违约的情形按通用条款确定。</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16.2.2承包人违约的责任</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bookmarkStart w:id="490" w:name="_Hlk89721378"/>
      <w:r>
        <w:rPr>
          <w:rFonts w:hint="eastAsia" w:ascii="宋体" w:hAnsi="宋体" w:eastAsia="宋体" w:cs="宋体"/>
          <w:b/>
          <w:bCs/>
          <w:color w:val="auto"/>
          <w:highlight w:val="none"/>
          <w:u w:val="single"/>
        </w:rPr>
        <w:t>（1）工期违约赔偿限额：合同金额的</w:t>
      </w:r>
      <w:r>
        <w:rPr>
          <w:rFonts w:hint="eastAsia" w:ascii="宋体" w:hAnsi="宋体" w:cs="宋体"/>
          <w:b/>
          <w:bCs/>
          <w:color w:val="auto"/>
          <w:highlight w:val="none"/>
          <w:u w:val="single"/>
          <w:lang w:val="en-US" w:eastAsia="zh-CN"/>
        </w:rPr>
        <w:t>3</w:t>
      </w:r>
      <w:r>
        <w:rPr>
          <w:rFonts w:hint="eastAsia" w:ascii="宋体" w:hAnsi="宋体" w:eastAsia="宋体" w:cs="宋体"/>
          <w:b/>
          <w:bCs/>
          <w:color w:val="auto"/>
          <w:highlight w:val="none"/>
          <w:u w:val="single"/>
        </w:rPr>
        <w:t>%，该金额不足以弥补发包人实际损失的，发包人有权追偿；工期延误在60天以上的，发包人有权单方解除合同并就未完工程另行发包，如发包人解除合同，承包人必须无条件退场，同时承担由此给发包人造成的一切损失。</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2）质量未达到投标承诺的违约金：合同金额的1.5%，同时承包人应当对不合格工程予以修复或整改，承担修复或整改费用；造成发包人损失的，还应当承担相应的损失，工期不予顺延；工期延误的，还应当承担工期延误违约责任。</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3）未履行项目经理及主要施工管理人员到场承诺（要求项目经理和其它人员每月到位24天及以上）违约金限额：合同金额的1%，同时发包人有权解除合同并要求承包人承担一切直接和间接损失；承包人因特殊原因要求更换项目经理及施工管理人员的须征得发包人同意并按有关规定备案；</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（4）未履行主要机械设备到场承诺的违约金为合同</w:t>
      </w:r>
      <w:r>
        <w:rPr>
          <w:rFonts w:hint="eastAsia" w:ascii="宋体" w:hAnsi="宋体" w:cs="宋体"/>
          <w:b/>
          <w:bCs/>
          <w:color w:val="auto"/>
          <w:highlight w:val="none"/>
          <w:u w:val="single"/>
          <w:lang w:val="en-US" w:eastAsia="zh-CN"/>
        </w:rPr>
        <w:t>金额</w:t>
      </w:r>
      <w:r>
        <w:rPr>
          <w:rFonts w:hint="eastAsia" w:ascii="宋体" w:hAnsi="宋体" w:eastAsia="宋体" w:cs="宋体"/>
          <w:b/>
          <w:bCs/>
          <w:color w:val="auto"/>
          <w:highlight w:val="none"/>
          <w:u w:val="single"/>
        </w:rPr>
        <w:t>的0.5%/次，该金额不足以弥补发包人实际损失的，发包人有权追偿。</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（5）未履行安全文明施工承诺违约金为合同金额的0.5%/次，该金额不足以弥补发包人实际损失的，发包人有权追偿。</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（6）因承包人原因造成本合同无法履行或承包人违法分包或转包时，发包人有权解除，没收承包人的履约保证金，由此造成的各项损失均由承包人承担。</w:t>
      </w:r>
    </w:p>
    <w:p>
      <w:pPr>
        <w:pageBreakBefore w:val="0"/>
        <w:widowControl w:val="0"/>
        <w:kinsoku/>
        <w:wordWrap/>
        <w:overflowPunct/>
        <w:topLinePunct w:val="0"/>
        <w:bidi w:val="0"/>
        <w:adjustRightInd/>
        <w:spacing w:line="240" w:lineRule="auto"/>
        <w:ind w:firstLine="42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（7）承包人不能按期提交或不能提交完整的竣工资料或结算资料的，每逾期一天，应向发包人支付500元违约金，发包人有权在应付款中扣除，如上述违约金不足以发包人实际损失的，发包人有权追偿。</w:t>
      </w:r>
    </w:p>
    <w:bookmarkEnd w:id="490"/>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16.2.3 关于因承包人违约解除合同的约定：执行通用条款。</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继续使用承包人在施工现场的材料、设备、临时工程、承包人文件和由承包人或以其名义编制的其他文件的费用承担方式约定：产生的费用未超过承包人应承担的违约赔偿限额的，由承包人承担；产生的费用超出承包人应承担的违约赔偿限额部分，由发包人承担。</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 xml:space="preserve">17. 不可抗力 </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17.1 不可抗力的确认</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除通用合同条款约定的不可抗力事件之外，视为不可抗力的其他情形：火灾、洪水、罢工、政府征用、政府禁止令等。</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17.4 因不可抗力解除合同</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合同解除后，发包人应在商定或确定发包人应支付款项后28天内完成款项的支付。</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18. 保险</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18.1 工程保险</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关于工程保险的特别约定：</w:t>
      </w:r>
      <w:r>
        <w:rPr>
          <w:rFonts w:hint="eastAsia" w:ascii="宋体" w:hAnsi="宋体" w:eastAsia="宋体" w:cs="宋体"/>
          <w:color w:val="auto"/>
          <w:highlight w:val="none"/>
          <w:u w:val="single"/>
        </w:rPr>
        <w:t>/</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18.3 其他保险</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bookmarkStart w:id="491" w:name="_Hlk89721533"/>
      <w:r>
        <w:rPr>
          <w:rFonts w:hint="eastAsia" w:ascii="宋体" w:hAnsi="宋体" w:eastAsia="宋体" w:cs="宋体"/>
          <w:color w:val="auto"/>
          <w:highlight w:val="none"/>
        </w:rPr>
        <w:t>关于其他保险的约定：除第三者责任险和合同另有约定外，保险费用由被保险人承担。</w:t>
      </w:r>
    </w:p>
    <w:bookmarkEnd w:id="491"/>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w:t>
      </w:r>
      <w:r>
        <w:rPr>
          <w:rFonts w:hint="eastAsia" w:ascii="宋体" w:hAnsi="宋体" w:eastAsia="宋体" w:cs="宋体"/>
          <w:color w:val="auto"/>
          <w:highlight w:val="none"/>
          <w:u w:val="single"/>
        </w:rPr>
        <w:t>应当</w:t>
      </w:r>
      <w:r>
        <w:rPr>
          <w:rFonts w:hint="eastAsia" w:ascii="宋体" w:hAnsi="宋体" w:eastAsia="宋体" w:cs="宋体"/>
          <w:color w:val="auto"/>
          <w:highlight w:val="none"/>
        </w:rPr>
        <w:t>为其施工设备等办理财产保险。</w:t>
      </w:r>
    </w:p>
    <w:p>
      <w:pPr>
        <w:pageBreakBefore w:val="0"/>
        <w:widowControl w:val="0"/>
        <w:kinsoku/>
        <w:wordWrap/>
        <w:overflowPunct/>
        <w:topLinePunct w:val="0"/>
        <w:bidi w:val="0"/>
        <w:adjustRightInd/>
        <w:snapToGrid w:val="0"/>
        <w:spacing w:after="120"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18.7 通知义务</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关于变更保险合同时的通知义务的约定：执行通用条款。</w:t>
      </w:r>
    </w:p>
    <w:p>
      <w:pPr>
        <w:keepNext/>
        <w:keepLines/>
        <w:pageBreakBefore w:val="0"/>
        <w:widowControl w:val="0"/>
        <w:kinsoku/>
        <w:wordWrap/>
        <w:overflowPunct/>
        <w:topLinePunct w:val="0"/>
        <w:bidi w:val="0"/>
        <w:adjustRightInd/>
        <w:snapToGrid w:val="0"/>
        <w:spacing w:before="120" w:after="120" w:line="240" w:lineRule="auto"/>
        <w:outlineLvl w:val="3"/>
        <w:rPr>
          <w:rFonts w:hint="eastAsia" w:ascii="宋体" w:hAnsi="宋体" w:eastAsia="宋体" w:cs="宋体"/>
          <w:color w:val="auto"/>
          <w:highlight w:val="none"/>
        </w:rPr>
      </w:pPr>
      <w:r>
        <w:rPr>
          <w:rFonts w:hint="eastAsia" w:ascii="宋体" w:hAnsi="宋体" w:eastAsia="宋体" w:cs="宋体"/>
          <w:color w:val="auto"/>
          <w:highlight w:val="none"/>
        </w:rPr>
        <w:t>20. 争议解决</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合同当事人</w:t>
      </w:r>
      <w:r>
        <w:rPr>
          <w:rFonts w:hint="eastAsia" w:ascii="宋体" w:hAnsi="宋体" w:eastAsia="宋体" w:cs="宋体"/>
          <w:color w:val="auto"/>
          <w:highlight w:val="none"/>
          <w:u w:val="single"/>
        </w:rPr>
        <w:t>同意</w:t>
      </w:r>
      <w:r>
        <w:rPr>
          <w:rFonts w:hint="eastAsia" w:ascii="宋体" w:hAnsi="宋体" w:eastAsia="宋体" w:cs="宋体"/>
          <w:color w:val="auto"/>
          <w:highlight w:val="none"/>
        </w:rPr>
        <w:t xml:space="preserve">将工程争议提交争议评审小组决定。  </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20.3.1 争议评审小组的确定</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争议评审小组成员的确定：发包人和承包人共同选择3名争议评审员组成争议评审小组。</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选定争议评审员的期限：自合同签订后28天内，或者争议发生后14天内，选定争议评审员。</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争议评审小组成员的报酬承担方式：发包人和承包人各承担一半。</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其他事项的约定</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20.3.2 争议评审小组的决定</w:t>
      </w:r>
    </w:p>
    <w:p>
      <w:pPr>
        <w:pageBreakBefore w:val="0"/>
        <w:widowControl w:val="0"/>
        <w:kinsoku/>
        <w:wordWrap/>
        <w:overflowPunct/>
        <w:topLinePunct w:val="0"/>
        <w:bidi w:val="0"/>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合同当事人关于本项的约定：</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20.4诉讼</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因合同及合同有关事项发生的争议，按下列第</w:t>
      </w:r>
      <w:r>
        <w:rPr>
          <w:rFonts w:hint="eastAsia" w:ascii="宋体" w:hAnsi="宋体" w:eastAsia="宋体" w:cs="宋体"/>
          <w:color w:val="auto"/>
          <w:highlight w:val="none"/>
          <w:u w:val="single"/>
        </w:rPr>
        <w:t xml:space="preserve">  2   </w:t>
      </w:r>
      <w:r>
        <w:rPr>
          <w:rFonts w:hint="eastAsia" w:ascii="宋体" w:hAnsi="宋体" w:eastAsia="宋体" w:cs="宋体"/>
          <w:color w:val="auto"/>
          <w:highlight w:val="none"/>
        </w:rPr>
        <w:t>种方式解决：</w:t>
      </w:r>
    </w:p>
    <w:p>
      <w:pPr>
        <w:pageBreakBefore w:val="0"/>
        <w:widowControl w:val="0"/>
        <w:kinsoku/>
        <w:wordWrap/>
        <w:overflowPunct/>
        <w:topLinePunct w:val="0"/>
        <w:bidi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（1）向</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仲裁委员会申请仲裁；</w:t>
      </w:r>
    </w:p>
    <w:p>
      <w:pPr>
        <w:pageBreakBefore w:val="0"/>
        <w:widowControl w:val="0"/>
        <w:kinsoku/>
        <w:wordWrap/>
        <w:overflowPunct/>
        <w:topLinePunct w:val="0"/>
        <w:bidi w:val="0"/>
        <w:adjustRightInd/>
        <w:snapToGrid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（2）向</w:t>
      </w:r>
      <w:r>
        <w:rPr>
          <w:rFonts w:hint="eastAsia" w:ascii="宋体" w:hAnsi="宋体" w:eastAsia="宋体" w:cs="宋体"/>
          <w:color w:val="auto"/>
          <w:highlight w:val="none"/>
          <w:u w:val="single"/>
        </w:rPr>
        <w:t xml:space="preserve">  工程所在地  </w:t>
      </w:r>
      <w:r>
        <w:rPr>
          <w:rFonts w:hint="eastAsia" w:ascii="宋体" w:hAnsi="宋体" w:eastAsia="宋体" w:cs="宋体"/>
          <w:color w:val="auto"/>
          <w:highlight w:val="none"/>
        </w:rPr>
        <w:t>人民法院起诉。</w:t>
      </w:r>
    </w:p>
    <w:p>
      <w:pPr>
        <w:keepNext/>
        <w:keepLines/>
        <w:numPr>
          <w:ilvl w:val="1"/>
          <w:numId w:val="0"/>
        </w:numPr>
        <w:spacing w:before="100" w:line="400" w:lineRule="exact"/>
        <w:jc w:val="center"/>
        <w:outlineLvl w:val="1"/>
        <w:rPr>
          <w:rFonts w:hint="eastAsia" w:ascii="宋体" w:hAnsi="宋体" w:eastAsia="宋体" w:cs="宋体"/>
          <w:b/>
          <w:bCs/>
          <w:color w:val="auto"/>
          <w:sz w:val="24"/>
          <w:highlight w:val="none"/>
        </w:rPr>
      </w:pPr>
      <w:r>
        <w:rPr>
          <w:rFonts w:hint="eastAsia" w:ascii="宋体" w:hAnsi="宋体" w:eastAsia="宋体" w:cs="宋体"/>
          <w:color w:val="auto"/>
          <w:szCs w:val="20"/>
          <w:highlight w:val="none"/>
        </w:rPr>
        <w:br w:type="page"/>
      </w:r>
      <w:r>
        <w:rPr>
          <w:rFonts w:hint="eastAsia" w:ascii="宋体" w:hAnsi="宋体" w:eastAsia="宋体" w:cs="宋体"/>
          <w:b/>
          <w:bCs/>
          <w:color w:val="auto"/>
          <w:sz w:val="24"/>
          <w:highlight w:val="none"/>
        </w:rPr>
        <w:t>附件1:</w:t>
      </w:r>
    </w:p>
    <w:bookmarkEnd w:id="480"/>
    <w:bookmarkEnd w:id="481"/>
    <w:p>
      <w:pPr>
        <w:autoSpaceDE w:val="0"/>
        <w:autoSpaceDN w:val="0"/>
        <w:snapToGrid w:val="0"/>
        <w:spacing w:line="336" w:lineRule="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协议书附件：</w:t>
      </w:r>
    </w:p>
    <w:p>
      <w:pPr>
        <w:adjustRightInd/>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安全生产合同</w:t>
      </w:r>
    </w:p>
    <w:p>
      <w:pPr>
        <w:adjustRightInd/>
        <w:rPr>
          <w:rFonts w:hint="eastAsia" w:ascii="宋体" w:hAnsi="宋体" w:eastAsia="宋体" w:cs="宋体"/>
          <w:color w:val="auto"/>
          <w:highlight w:val="none"/>
          <w:u w:val="single"/>
        </w:rPr>
      </w:pPr>
      <w:r>
        <w:rPr>
          <w:rFonts w:hint="eastAsia" w:ascii="宋体" w:hAnsi="宋体" w:eastAsia="宋体" w:cs="宋体"/>
          <w:color w:val="auto"/>
          <w:highlight w:val="none"/>
        </w:rPr>
        <w:t>工程项目名称：</w:t>
      </w:r>
      <w:r>
        <w:rPr>
          <w:rFonts w:hint="eastAsia" w:ascii="宋体" w:hAnsi="宋体" w:eastAsia="宋体" w:cs="宋体"/>
          <w:color w:val="auto"/>
          <w:highlight w:val="none"/>
          <w:u w:val="single"/>
        </w:rPr>
        <w:t xml:space="preserve">                                  </w:t>
      </w:r>
    </w:p>
    <w:p>
      <w:pPr>
        <w:adjustRightInd/>
        <w:rPr>
          <w:rFonts w:hint="eastAsia" w:ascii="宋体" w:hAnsi="宋体" w:eastAsia="宋体" w:cs="宋体"/>
          <w:color w:val="auto"/>
          <w:highlight w:val="none"/>
        </w:rPr>
      </w:pPr>
      <w:r>
        <w:rPr>
          <w:rFonts w:hint="eastAsia" w:ascii="宋体" w:hAnsi="宋体" w:eastAsia="宋体" w:cs="宋体"/>
          <w:color w:val="auto"/>
          <w:highlight w:val="none"/>
        </w:rPr>
        <w:t>工程项目地址：</w:t>
      </w:r>
      <w:r>
        <w:rPr>
          <w:rFonts w:hint="eastAsia" w:ascii="宋体" w:hAnsi="宋体" w:eastAsia="宋体" w:cs="宋体"/>
          <w:color w:val="auto"/>
          <w:highlight w:val="none"/>
          <w:u w:val="single"/>
        </w:rPr>
        <w:t xml:space="preserve">                                 </w:t>
      </w:r>
    </w:p>
    <w:p>
      <w:pPr>
        <w:adjustRightInd/>
        <w:rPr>
          <w:rFonts w:hint="eastAsia" w:ascii="宋体" w:hAnsi="宋体" w:eastAsia="宋体" w:cs="宋体"/>
          <w:color w:val="auto"/>
          <w:highlight w:val="none"/>
          <w:u w:val="single"/>
        </w:rPr>
      </w:pPr>
      <w:r>
        <w:rPr>
          <w:rFonts w:hint="eastAsia" w:ascii="宋体" w:hAnsi="宋体" w:eastAsia="宋体" w:cs="宋体"/>
          <w:color w:val="auto"/>
          <w:highlight w:val="none"/>
        </w:rPr>
        <w:t>发包人名称（以下称甲方）：</w:t>
      </w:r>
      <w:r>
        <w:rPr>
          <w:rFonts w:hint="eastAsia" w:ascii="宋体" w:hAnsi="宋体" w:eastAsia="宋体" w:cs="宋体"/>
          <w:color w:val="auto"/>
          <w:highlight w:val="none"/>
          <w:u w:val="single"/>
        </w:rPr>
        <w:t xml:space="preserve">                                         </w:t>
      </w:r>
    </w:p>
    <w:p>
      <w:pPr>
        <w:adjustRightInd/>
        <w:rPr>
          <w:rFonts w:hint="eastAsia" w:ascii="宋体" w:hAnsi="宋体" w:eastAsia="宋体" w:cs="宋体"/>
          <w:color w:val="auto"/>
          <w:highlight w:val="none"/>
          <w:u w:val="single"/>
        </w:rPr>
      </w:pPr>
      <w:r>
        <w:rPr>
          <w:rFonts w:hint="eastAsia" w:ascii="宋体" w:hAnsi="宋体" w:eastAsia="宋体" w:cs="宋体"/>
          <w:color w:val="auto"/>
          <w:highlight w:val="none"/>
        </w:rPr>
        <w:t>承包人名称（以下称乙方）：</w:t>
      </w:r>
      <w:r>
        <w:rPr>
          <w:rFonts w:hint="eastAsia" w:ascii="宋体" w:hAnsi="宋体" w:eastAsia="宋体" w:cs="宋体"/>
          <w:color w:val="auto"/>
          <w:highlight w:val="none"/>
          <w:u w:val="single"/>
        </w:rPr>
        <w:t xml:space="preserve">                                          </w:t>
      </w:r>
    </w:p>
    <w:p>
      <w:pPr>
        <w:adjustRightInd/>
        <w:rPr>
          <w:rFonts w:hint="eastAsia" w:ascii="宋体" w:hAnsi="宋体" w:eastAsia="宋体" w:cs="宋体"/>
          <w:color w:val="auto"/>
          <w:highlight w:val="none"/>
        </w:rPr>
      </w:pP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为在</w:t>
      </w:r>
      <w:r>
        <w:rPr>
          <w:rFonts w:hint="eastAsia" w:ascii="宋体" w:hAnsi="宋体" w:eastAsia="宋体" w:cs="宋体"/>
          <w:b/>
          <w:color w:val="auto"/>
          <w:highlight w:val="none"/>
          <w:u w:val="single"/>
        </w:rPr>
        <w:t xml:space="preserve">             </w:t>
      </w:r>
      <w:r>
        <w:rPr>
          <w:rFonts w:hint="eastAsia" w:ascii="宋体" w:hAnsi="宋体" w:eastAsia="宋体" w:cs="宋体"/>
          <w:color w:val="auto"/>
          <w:highlight w:val="none"/>
        </w:rPr>
        <w:t>施工合同的实施过程中创造安全、高效的施工环境，切实做好本项目的安全管理工作，双方特此签订安全生产合同：</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1、甲方职责：</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（1）严格遵守国家有关安全生产的法律法规，认真执行工程承包合同中的有关安全要求。</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（2）按照“安全第一、预防为主”和坚持“管生产必须管安全”的原则进行安全生产管理，做到生产与安全工作同时计划、布置、检查总结和评比。</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（3）重要的安全设施必须坚持与主体工程“三同时”的原则，既：同时设计，同时施工，同时验收，投入使用。</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（4）定期召开安全生产调度会，及时传达中央及地方有关安全生产的精神。组织对乙方施工现场安全生产检查，监督乙方及时处理发现的各项安全隐患。</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2、乙方责任：</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（1）严格遵守国家有关安全生产的法律法规和有关安全生产的规定，认真执行工程承包合同中的有关安全要求，确保施工期间文物安全。</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坚持按照“安全第一、预防为主”和坚持“管生产必须管安全”的原则，加强安全生产教育，增强安全生产意识，建立健全各项安全生产的管理机构和安全生产管理制度，配置专职及兼职安全检查人员，有组织有领导地开展安全生产活动。各级领导、工程技术人员、生产管理人员和具体操作人员，必须熟悉和遵守本条款的各项规定，做到安全生产工作同时计划布置、检查、总结和评比。</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w:t>
      </w:r>
      <w:r>
        <w:rPr>
          <w:rFonts w:hint="eastAsia" w:ascii="宋体" w:hAnsi="宋体" w:cs="宋体"/>
          <w:color w:val="auto"/>
          <w:highlight w:val="none"/>
          <w:lang w:eastAsia="zh-CN"/>
        </w:rPr>
        <w:t>—</w:t>
      </w:r>
      <w:r>
        <w:rPr>
          <w:rFonts w:hint="eastAsia" w:ascii="宋体" w:hAnsi="宋体" w:eastAsia="宋体" w:cs="宋体"/>
          <w:color w:val="auto"/>
          <w:highlight w:val="none"/>
        </w:rPr>
        <w:t>3%配置安全员，专职负责所有员工的安全和治安保卫工作及预防事故的发生。安全机构人员有权按有关规定发布指令，并采取保护性措施防止事故发生。</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（4）乙方在任何时候都应采取各种合理的预防措施，防止其员工发生任何违法、违禁、暴力或妨碍治安的行为。</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乙方必须具有劳动安全管理部门颁发的安全生产证书，参加施工的人员，必须接受安全技术教育，熟知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w:t>
      </w:r>
      <w:bookmarkStart w:id="492" w:name="_Hlk89721600"/>
      <w:r>
        <w:rPr>
          <w:rFonts w:hint="eastAsia" w:ascii="宋体" w:hAnsi="宋体" w:eastAsia="宋体" w:cs="宋体"/>
          <w:color w:val="auto"/>
          <w:highlight w:val="none"/>
        </w:rPr>
        <w:t>施工现场如出现特种作业无证操作的现象时，项目经理必须承担管理责任。</w:t>
      </w:r>
    </w:p>
    <w:bookmarkEnd w:id="492"/>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对于易燃易爆的材料除应专门妥善保管之外，还应配备有足够的消防设施，所有施工人员都应熟悉消防设备的性能和使用方法；乙方不得将任何种类的爆炸物给予、易货或其他方式转让给任何其他人，或允许、容忍上述同样行为。</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（7）操作人员上岗，必须按规定穿戴防护用品。施工负责人和安全检查员应随时检查劳动防护用品穿戴情况，不按规定穿戴防护用品的人员不得上岗。</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（8）所有施工机具设备和高空作业的设备均应定期检查，并有安全员的签字记录，保证其经常处于完好状态，不合格的机具、设备和劳动保护用品严禁使用。</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（9）施工中采用新技术、新工艺、新设备、新材料时，必须规定相应的安全技术措施，施工现场必须具有相关的安全标志牌。</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乙方必须按照本工程项目特点，组织制定本工程实施中的生产安全事故应急救援预案；如果发生安全事故，按照《国务院关于特大安全事故行政责任追究的规定》以及其他有关规定，及时上报有关部门，并坚持“三不放过”的原则，严肃处理相关责任人。</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3、违约责任：</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（1）如因甲方或乙方违约造成安全事故，将依法追究责任。</w:t>
      </w:r>
    </w:p>
    <w:p>
      <w:pPr>
        <w:adjustRightInd/>
        <w:spacing w:line="5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（2）如因乙方原因造成文物损失，甲方将按照国家文物保护相关法律法规规定追究乙方责任。</w:t>
      </w:r>
    </w:p>
    <w:p>
      <w:pPr>
        <w:adjustRightInd/>
        <w:spacing w:line="500" w:lineRule="exact"/>
        <w:ind w:firstLine="420" w:firstLineChars="200"/>
        <w:rPr>
          <w:rFonts w:hint="eastAsia" w:ascii="宋体" w:hAnsi="宋体" w:eastAsia="宋体" w:cs="宋体"/>
          <w:color w:val="auto"/>
          <w:highlight w:val="none"/>
        </w:rPr>
      </w:pPr>
      <w:bookmarkStart w:id="493" w:name="_Hlk89721651"/>
      <w:r>
        <w:rPr>
          <w:rFonts w:hint="eastAsia" w:ascii="宋体" w:hAnsi="宋体" w:eastAsia="宋体" w:cs="宋体"/>
          <w:color w:val="auto"/>
          <w:highlight w:val="none"/>
        </w:rPr>
        <w:t>本协议书正本二份、副本八份，合同双方各执正本一份，副本四份，当正本与副本的内容不一致时，以正本为准。</w:t>
      </w:r>
      <w:bookmarkEnd w:id="493"/>
      <w:r>
        <w:rPr>
          <w:rFonts w:hint="eastAsia" w:ascii="宋体" w:hAnsi="宋体" w:eastAsia="宋体" w:cs="宋体"/>
          <w:color w:val="auto"/>
          <w:highlight w:val="none"/>
        </w:rPr>
        <w:t>由双方法定代表人或其授权的代理人签署与加盖公章生效，全部工程竣工验收后失效。</w:t>
      </w:r>
    </w:p>
    <w:p>
      <w:pPr>
        <w:adjustRightInd/>
        <w:ind w:firstLine="600"/>
        <w:rPr>
          <w:rFonts w:hint="eastAsia" w:ascii="宋体" w:hAnsi="宋体" w:eastAsia="宋体" w:cs="宋体"/>
          <w:color w:val="auto"/>
          <w:highlight w:val="none"/>
        </w:rPr>
      </w:pPr>
    </w:p>
    <w:p>
      <w:pPr>
        <w:adjustRightInd/>
        <w:rPr>
          <w:rFonts w:hint="eastAsia" w:ascii="宋体" w:hAnsi="宋体" w:eastAsia="宋体" w:cs="宋体"/>
          <w:color w:val="auto"/>
          <w:highlight w:val="none"/>
        </w:rPr>
      </w:pPr>
      <w:r>
        <w:rPr>
          <w:rFonts w:hint="eastAsia" w:ascii="宋体" w:hAnsi="宋体" w:eastAsia="宋体" w:cs="宋体"/>
          <w:color w:val="auto"/>
          <w:highlight w:val="none"/>
        </w:rPr>
        <w:t>甲方单位：（盖章）                           乙方单位：（盖章）</w:t>
      </w:r>
    </w:p>
    <w:p>
      <w:pPr>
        <w:adjustRightInd/>
        <w:rPr>
          <w:rFonts w:hint="eastAsia" w:ascii="宋体" w:hAnsi="宋体" w:eastAsia="宋体" w:cs="宋体"/>
          <w:color w:val="auto"/>
          <w:highlight w:val="none"/>
        </w:rPr>
      </w:pPr>
      <w:r>
        <w:rPr>
          <w:rFonts w:hint="eastAsia" w:ascii="宋体" w:hAnsi="宋体" w:eastAsia="宋体" w:cs="宋体"/>
          <w:color w:val="auto"/>
          <w:highlight w:val="none"/>
        </w:rPr>
        <w:t>法定代表人或委托代理人：                     法定代表人或委托代理人：</w:t>
      </w:r>
    </w:p>
    <w:p>
      <w:pPr>
        <w:adjustRightInd/>
        <w:rPr>
          <w:rFonts w:hint="eastAsia" w:ascii="宋体" w:hAnsi="宋体" w:eastAsia="宋体" w:cs="宋体"/>
          <w:color w:val="auto"/>
          <w:highlight w:val="none"/>
        </w:rPr>
      </w:pPr>
      <w:r>
        <w:rPr>
          <w:rFonts w:hint="eastAsia" w:ascii="宋体" w:hAnsi="宋体" w:eastAsia="宋体" w:cs="宋体"/>
          <w:color w:val="auto"/>
          <w:highlight w:val="none"/>
        </w:rPr>
        <w:t>地址：                                       地址：</w:t>
      </w:r>
    </w:p>
    <w:p>
      <w:pPr>
        <w:adjustRightInd/>
        <w:rPr>
          <w:rFonts w:hint="eastAsia" w:ascii="宋体" w:hAnsi="宋体" w:eastAsia="宋体" w:cs="宋体"/>
          <w:color w:val="auto"/>
          <w:highlight w:val="none"/>
        </w:rPr>
      </w:pPr>
      <w:r>
        <w:rPr>
          <w:rFonts w:hint="eastAsia" w:ascii="宋体" w:hAnsi="宋体" w:eastAsia="宋体" w:cs="宋体"/>
          <w:color w:val="auto"/>
          <w:highlight w:val="none"/>
        </w:rPr>
        <w:t>电话：                                       电话：</w:t>
      </w:r>
    </w:p>
    <w:p>
      <w:pPr>
        <w:adjustRightInd/>
        <w:ind w:firstLine="600"/>
        <w:rPr>
          <w:rFonts w:hint="eastAsia" w:ascii="宋体" w:hAnsi="宋体" w:eastAsia="宋体" w:cs="宋体"/>
          <w:b/>
          <w:color w:val="auto"/>
          <w:sz w:val="32"/>
          <w:szCs w:val="32"/>
          <w:highlight w:val="none"/>
        </w:rPr>
      </w:pPr>
      <w:r>
        <w:rPr>
          <w:rFonts w:hint="eastAsia" w:ascii="宋体" w:hAnsi="宋体" w:eastAsia="宋体" w:cs="宋体"/>
          <w:color w:val="auto"/>
          <w:highlight w:val="none"/>
        </w:rPr>
        <w:t xml:space="preserve">     年   月   日                                   年    月    日</w:t>
      </w:r>
    </w:p>
    <w:p>
      <w:pPr>
        <w:adjustRightInd/>
        <w:jc w:val="center"/>
        <w:rPr>
          <w:rFonts w:hint="eastAsia" w:ascii="宋体" w:hAnsi="宋体" w:eastAsia="宋体" w:cs="宋体"/>
          <w:color w:val="auto"/>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color w:val="auto"/>
          <w:highlight w:val="none"/>
        </w:rPr>
        <w:t>工程质量保修书</w:t>
      </w:r>
    </w:p>
    <w:p>
      <w:pPr>
        <w:widowControl/>
        <w:snapToGrid w:val="0"/>
        <w:spacing w:after="120" w:afterLines="50"/>
        <w:rPr>
          <w:rFonts w:hint="eastAsia" w:ascii="宋体" w:hAnsi="宋体" w:eastAsia="宋体" w:cs="宋体"/>
          <w:color w:val="auto"/>
          <w:highlight w:val="none"/>
        </w:rPr>
      </w:pPr>
      <w:r>
        <w:rPr>
          <w:rFonts w:hint="eastAsia" w:ascii="宋体" w:hAnsi="宋体" w:eastAsia="宋体" w:cs="宋体"/>
          <w:color w:val="auto"/>
          <w:highlight w:val="none"/>
        </w:rPr>
        <w:t>发包人（全称）：</w:t>
      </w:r>
      <w:r>
        <w:rPr>
          <w:rFonts w:hint="eastAsia" w:ascii="宋体" w:hAnsi="宋体" w:eastAsia="宋体" w:cs="宋体"/>
          <w:color w:val="auto"/>
          <w:highlight w:val="none"/>
          <w:u w:val="single"/>
        </w:rPr>
        <w:t xml:space="preserve">                                  </w:t>
      </w:r>
    </w:p>
    <w:p>
      <w:pPr>
        <w:widowControl/>
        <w:snapToGrid w:val="0"/>
        <w:spacing w:after="120" w:afterLines="50"/>
        <w:rPr>
          <w:rFonts w:hint="eastAsia" w:ascii="宋体" w:hAnsi="宋体" w:eastAsia="宋体" w:cs="宋体"/>
          <w:color w:val="auto"/>
          <w:highlight w:val="none"/>
        </w:rPr>
      </w:pPr>
      <w:r>
        <w:rPr>
          <w:rFonts w:hint="eastAsia" w:ascii="宋体" w:hAnsi="宋体" w:eastAsia="宋体" w:cs="宋体"/>
          <w:color w:val="auto"/>
          <w:highlight w:val="none"/>
        </w:rPr>
        <w:t>承包人（全称）：</w:t>
      </w:r>
      <w:r>
        <w:rPr>
          <w:rFonts w:hint="eastAsia" w:ascii="宋体" w:hAnsi="宋体" w:eastAsia="宋体" w:cs="宋体"/>
          <w:color w:val="auto"/>
          <w:highlight w:val="none"/>
          <w:u w:val="single"/>
        </w:rPr>
        <w:t xml:space="preserve">                                  </w:t>
      </w:r>
    </w:p>
    <w:p>
      <w:pPr>
        <w:widowControl/>
        <w:snapToGrid w:val="0"/>
        <w:spacing w:after="120" w:afterLines="50"/>
        <w:ind w:left="210" w:leftChars="100"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发包人和承包人根据《中华人民共和国建筑法》和《建设工程质量管理条例》，经协商一致就</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（工程全称）订立工程质量保修书。</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一、工程质量保修范围和内容</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承包人在质量保修期内，按照有关法律规定和合同约定，承担工程质量保修责任。</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二、质量保修期</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根据《建设工程质量管理条例》及有关规定，工程的质量保修期如下：</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1．地基基础工程和主体结构工程为设计文件规定的工程合理使用年限；</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2．屋面防水工程、有防水要求的卫生间、房间和外墙面的防渗为</w:t>
      </w:r>
      <w:r>
        <w:rPr>
          <w:rFonts w:hint="eastAsia" w:ascii="宋体" w:hAnsi="宋体" w:eastAsia="宋体" w:cs="宋体"/>
          <w:color w:val="auto"/>
          <w:highlight w:val="none"/>
          <w:u w:val="single"/>
        </w:rPr>
        <w:t xml:space="preserve"> 5  </w:t>
      </w:r>
      <w:r>
        <w:rPr>
          <w:rFonts w:hint="eastAsia" w:ascii="宋体" w:hAnsi="宋体" w:eastAsia="宋体" w:cs="宋体"/>
          <w:color w:val="auto"/>
          <w:highlight w:val="none"/>
        </w:rPr>
        <w:t>年；</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3．装修工程为</w:t>
      </w:r>
      <w:r>
        <w:rPr>
          <w:rFonts w:hint="eastAsia" w:ascii="宋体" w:hAnsi="宋体" w:eastAsia="宋体" w:cs="宋体"/>
          <w:color w:val="auto"/>
          <w:highlight w:val="none"/>
          <w:u w:val="single"/>
        </w:rPr>
        <w:t xml:space="preserve">     2    </w:t>
      </w:r>
      <w:r>
        <w:rPr>
          <w:rFonts w:hint="eastAsia" w:ascii="宋体" w:hAnsi="宋体" w:eastAsia="宋体" w:cs="宋体"/>
          <w:color w:val="auto"/>
          <w:highlight w:val="none"/>
        </w:rPr>
        <w:t>年；</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4．电气管线、给排水管道、设备安装工程为</w:t>
      </w:r>
      <w:r>
        <w:rPr>
          <w:rFonts w:hint="eastAsia" w:ascii="宋体" w:hAnsi="宋体" w:eastAsia="宋体" w:cs="宋体"/>
          <w:color w:val="auto"/>
          <w:highlight w:val="none"/>
          <w:u w:val="single"/>
        </w:rPr>
        <w:t xml:space="preserve">   2   </w:t>
      </w:r>
      <w:r>
        <w:rPr>
          <w:rFonts w:hint="eastAsia" w:ascii="宋体" w:hAnsi="宋体" w:eastAsia="宋体" w:cs="宋体"/>
          <w:color w:val="auto"/>
          <w:highlight w:val="none"/>
        </w:rPr>
        <w:t>年；</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5．供热与供冷系统为</w:t>
      </w:r>
      <w:r>
        <w:rPr>
          <w:rFonts w:hint="eastAsia" w:ascii="宋体" w:hAnsi="宋体" w:eastAsia="宋体" w:cs="宋体"/>
          <w:color w:val="auto"/>
          <w:highlight w:val="none"/>
          <w:u w:val="single"/>
        </w:rPr>
        <w:t xml:space="preserve">    2    </w:t>
      </w:r>
      <w:r>
        <w:rPr>
          <w:rFonts w:hint="eastAsia" w:ascii="宋体" w:hAnsi="宋体" w:eastAsia="宋体" w:cs="宋体"/>
          <w:color w:val="auto"/>
          <w:highlight w:val="none"/>
        </w:rPr>
        <w:t>个采暖期、供冷期；</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6．给排水设施、道路等配套工程为</w:t>
      </w:r>
      <w:r>
        <w:rPr>
          <w:rFonts w:hint="eastAsia" w:ascii="宋体" w:hAnsi="宋体" w:eastAsia="宋体" w:cs="宋体"/>
          <w:color w:val="auto"/>
          <w:highlight w:val="none"/>
          <w:u w:val="single"/>
        </w:rPr>
        <w:t xml:space="preserve">     2    </w:t>
      </w:r>
      <w:r>
        <w:rPr>
          <w:rFonts w:hint="eastAsia" w:ascii="宋体" w:hAnsi="宋体" w:eastAsia="宋体" w:cs="宋体"/>
          <w:color w:val="auto"/>
          <w:highlight w:val="none"/>
        </w:rPr>
        <w:t>年；</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7．其他项目保修期限约定如下：</w:t>
      </w:r>
      <w:r>
        <w:rPr>
          <w:rFonts w:hint="eastAsia" w:ascii="宋体" w:hAnsi="宋体" w:eastAsia="宋体" w:cs="宋体"/>
          <w:color w:val="auto"/>
          <w:highlight w:val="none"/>
          <w:u w:val="single"/>
        </w:rPr>
        <w:t xml:space="preserve">   /     </w:t>
      </w:r>
      <w:r>
        <w:rPr>
          <w:rFonts w:hint="eastAsia" w:ascii="宋体" w:hAnsi="宋体" w:eastAsia="宋体" w:cs="宋体"/>
          <w:color w:val="auto"/>
          <w:highlight w:val="none"/>
        </w:rPr>
        <w:t>。</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质量保修期自工程竣工验收合格之日起计算。</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三、缺陷责任期</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工程缺陷责任期为</w:t>
      </w:r>
      <w:r>
        <w:rPr>
          <w:rFonts w:hint="eastAsia" w:ascii="宋体" w:hAnsi="宋体" w:eastAsia="宋体" w:cs="宋体"/>
          <w:color w:val="auto"/>
          <w:highlight w:val="none"/>
          <w:u w:val="single"/>
        </w:rPr>
        <w:t xml:space="preserve"> 24 </w:t>
      </w:r>
      <w:r>
        <w:rPr>
          <w:rFonts w:hint="eastAsia" w:ascii="宋体" w:hAnsi="宋体" w:eastAsia="宋体" w:cs="宋体"/>
          <w:color w:val="auto"/>
          <w:highlight w:val="none"/>
        </w:rPr>
        <w:t>个月，缺陷责任期自工程通过竣工验收之日起计算。单位/区段工程先于全部工程进行验收，单位/区段工程缺陷责任期自单位/区段工程验收合格之日起算。</w:t>
      </w:r>
    </w:p>
    <w:p>
      <w:pPr>
        <w:widowControl/>
        <w:snapToGrid w:val="0"/>
        <w:spacing w:after="120" w:afterLines="50"/>
        <w:ind w:firstLine="420" w:firstLineChars="200"/>
        <w:rPr>
          <w:rFonts w:hint="eastAsia" w:ascii="宋体" w:hAnsi="宋体" w:eastAsia="宋体" w:cs="宋体"/>
          <w:color w:val="auto"/>
          <w:highlight w:val="none"/>
        </w:rPr>
      </w:pPr>
      <w:bookmarkStart w:id="494" w:name="_Hlk89721702"/>
      <w:r>
        <w:rPr>
          <w:rFonts w:hint="eastAsia" w:ascii="宋体" w:hAnsi="宋体" w:eastAsia="宋体" w:cs="宋体"/>
          <w:color w:val="auto"/>
          <w:highlight w:val="none"/>
        </w:rPr>
        <w:t>缺陷责任期终止后，发包人应返还剩余的质量保证金（本项目不收取质量保证金）。</w:t>
      </w:r>
    </w:p>
    <w:p>
      <w:pPr>
        <w:widowControl/>
        <w:snapToGrid w:val="0"/>
        <w:spacing w:after="120" w:afterLines="50"/>
        <w:ind w:firstLine="420" w:firstLineChars="200"/>
        <w:rPr>
          <w:rFonts w:hint="eastAsia" w:ascii="宋体" w:hAnsi="宋体" w:eastAsia="宋体" w:cs="宋体"/>
          <w:color w:val="auto"/>
          <w:highlight w:val="none"/>
        </w:rPr>
      </w:pPr>
      <w:bookmarkStart w:id="495" w:name="_Hlk89721726"/>
      <w:r>
        <w:rPr>
          <w:rFonts w:hint="eastAsia" w:ascii="宋体" w:hAnsi="宋体" w:eastAsia="宋体" w:cs="宋体"/>
          <w:color w:val="auto"/>
          <w:highlight w:val="none"/>
        </w:rPr>
        <w:t>承包人在投标（或报价）文件中承诺的质量保修期长于《建设工程质量管理条例》等相应规定的，以承包人在投标（或报价）文件中的承诺为准。</w:t>
      </w:r>
    </w:p>
    <w:bookmarkEnd w:id="494"/>
    <w:bookmarkEnd w:id="495"/>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四、质量保修责任</w:t>
      </w:r>
    </w:p>
    <w:p>
      <w:pPr>
        <w:widowControl/>
        <w:snapToGrid w:val="0"/>
        <w:spacing w:after="120" w:afterLines="50"/>
        <w:ind w:firstLine="420" w:firstLineChars="200"/>
        <w:rPr>
          <w:rFonts w:hint="eastAsia" w:ascii="宋体" w:hAnsi="宋体" w:eastAsia="宋体" w:cs="宋体"/>
          <w:color w:val="auto"/>
          <w:highlight w:val="none"/>
        </w:rPr>
      </w:pPr>
      <w:bookmarkStart w:id="496" w:name="_Hlk89721788"/>
      <w:r>
        <w:rPr>
          <w:rFonts w:hint="eastAsia" w:ascii="宋体" w:hAnsi="宋体" w:eastAsia="宋体" w:cs="宋体"/>
          <w:color w:val="auto"/>
          <w:highlight w:val="none"/>
        </w:rPr>
        <w:t>1．属于保修范围、内容的项目，承包人应当在接到保修通知之日起2天内派人保修。承包人不在约定期限内派人保修的，发包人可以委托他人修理。</w:t>
      </w:r>
    </w:p>
    <w:bookmarkEnd w:id="496"/>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2．发生紧急事故需抢修的，承包人在接到事故通知后，应当立即到达事故现场抢修。</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对于涉及结构安全的质量问题，应当按照《建设工程质量管理条例》的规定，立即向当地建设行政主管部门和有关部门报告，采取安全防范措施，并由承包人提出保修方案，承包人将设计业务分包的，应由原设计分包人或具有相应资质等级的设计人提出保修方案，承包人实施保修。</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4．质量保修完成后，由发包人组织验收。</w:t>
      </w:r>
    </w:p>
    <w:p>
      <w:pPr>
        <w:widowControl/>
        <w:snapToGrid w:val="0"/>
        <w:spacing w:after="120" w:afterLines="50"/>
        <w:ind w:firstLine="420" w:firstLineChars="200"/>
        <w:rPr>
          <w:rFonts w:hint="eastAsia" w:ascii="宋体" w:hAnsi="宋体" w:eastAsia="宋体" w:cs="宋体"/>
          <w:color w:val="auto"/>
          <w:highlight w:val="none"/>
        </w:rPr>
      </w:pPr>
      <w:bookmarkStart w:id="497" w:name="_Hlk89721815"/>
      <w:r>
        <w:rPr>
          <w:rFonts w:hint="eastAsia" w:ascii="宋体" w:hAnsi="宋体" w:eastAsia="宋体" w:cs="宋体"/>
          <w:color w:val="auto"/>
          <w:highlight w:val="none"/>
        </w:rPr>
        <w:t>5. 承包人不在约定期限内派人修理或经历两次（含两次）以上维修仍然不能解决问题的，发包人可以委托他人修理，所发生的费用均由承包人承担。</w:t>
      </w:r>
    </w:p>
    <w:bookmarkEnd w:id="497"/>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五、保修费用</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保修费用由造成质量缺陷的责任方承担。</w:t>
      </w:r>
    </w:p>
    <w:p>
      <w:pPr>
        <w:widowControl/>
        <w:snapToGrid w:val="0"/>
        <w:spacing w:after="120" w:afterLines="50"/>
        <w:ind w:firstLine="420" w:firstLineChars="200"/>
        <w:rPr>
          <w:rFonts w:hint="eastAsia" w:ascii="宋体" w:hAnsi="宋体" w:eastAsia="宋体" w:cs="宋体"/>
          <w:color w:val="auto"/>
          <w:highlight w:val="none"/>
        </w:rPr>
      </w:pPr>
      <w:bookmarkStart w:id="498" w:name="_Hlk89721855"/>
      <w:r>
        <w:rPr>
          <w:rFonts w:hint="eastAsia" w:ascii="宋体" w:hAnsi="宋体" w:eastAsia="宋体" w:cs="宋体"/>
          <w:color w:val="auto"/>
          <w:highlight w:val="none"/>
        </w:rPr>
        <w:t>六、双方约定的其他工程质量保修事项：在保修期内，若因工程质量缺陷或承包人维修不及时以及维修过程中给发包人或第三方造成人身、财产损害的，发包人或第三方的任何损失均由承包人承担。如第三方向发包人提出赔偿要求时，发包人有权要求承包人直接向第三方支付相应索赔费用或经通知承包人后，先行向第三方赔付，然后向承包人追偿 。</w:t>
      </w:r>
    </w:p>
    <w:bookmarkEnd w:id="498"/>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工程质量保修书由发包人、承包人在工程竣工验收前共同签署，作为工程总承包合同附件，其有效期限至保修期满。</w:t>
      </w:r>
    </w:p>
    <w:p>
      <w:pPr>
        <w:widowControl/>
        <w:snapToGrid w:val="0"/>
        <w:spacing w:after="120" w:afterLines="50"/>
        <w:ind w:firstLine="420" w:firstLineChars="200"/>
        <w:rPr>
          <w:rFonts w:hint="eastAsia" w:ascii="宋体" w:hAnsi="宋体" w:eastAsia="宋体" w:cs="宋体"/>
          <w:color w:val="auto"/>
          <w:highlight w:val="none"/>
        </w:rPr>
      </w:pP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发包人</w:t>
      </w:r>
      <w:r>
        <w:rPr>
          <w:rFonts w:hint="eastAsia" w:ascii="宋体" w:hAnsi="宋体" w:cs="宋体"/>
          <w:color w:val="auto"/>
          <w:highlight w:val="none"/>
          <w:lang w:eastAsia="zh-CN"/>
        </w:rPr>
        <w:t>（</w:t>
      </w:r>
      <w:r>
        <w:rPr>
          <w:rFonts w:hint="eastAsia" w:ascii="宋体" w:hAnsi="宋体" w:eastAsia="宋体" w:cs="宋体"/>
          <w:color w:val="auto"/>
          <w:highlight w:val="none"/>
        </w:rPr>
        <w:t>公章</w:t>
      </w:r>
      <w:r>
        <w:rPr>
          <w:rFonts w:hint="eastAsia" w:ascii="宋体" w:hAnsi="宋体" w:cs="宋体"/>
          <w:color w:val="auto"/>
          <w:highlight w:val="none"/>
          <w:lang w:eastAsia="zh-CN"/>
        </w:rPr>
        <w:t>）</w:t>
      </w:r>
      <w:r>
        <w:rPr>
          <w:rFonts w:hint="eastAsia" w:ascii="宋体" w:hAnsi="宋体" w:eastAsia="宋体" w:cs="宋体"/>
          <w:color w:val="auto"/>
          <w:highlight w:val="none"/>
        </w:rPr>
        <w:t>：                         承包人</w:t>
      </w:r>
      <w:r>
        <w:rPr>
          <w:rFonts w:hint="eastAsia" w:ascii="宋体" w:hAnsi="宋体" w:cs="宋体"/>
          <w:color w:val="auto"/>
          <w:highlight w:val="none"/>
          <w:lang w:eastAsia="zh-CN"/>
        </w:rPr>
        <w:t>（</w:t>
      </w:r>
      <w:r>
        <w:rPr>
          <w:rFonts w:hint="eastAsia" w:ascii="宋体" w:hAnsi="宋体" w:eastAsia="宋体" w:cs="宋体"/>
          <w:color w:val="auto"/>
          <w:highlight w:val="none"/>
        </w:rPr>
        <w:t>公章</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地  址：                               地  址：       </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法定代表人或委托代理人</w:t>
      </w:r>
      <w:r>
        <w:rPr>
          <w:rFonts w:hint="eastAsia" w:ascii="宋体" w:hAnsi="宋体" w:cs="宋体"/>
          <w:color w:val="auto"/>
          <w:highlight w:val="none"/>
          <w:lang w:eastAsia="zh-CN"/>
        </w:rPr>
        <w:t>（</w:t>
      </w:r>
      <w:r>
        <w:rPr>
          <w:rFonts w:hint="eastAsia" w:ascii="宋体" w:hAnsi="宋体" w:eastAsia="宋体" w:cs="宋体"/>
          <w:color w:val="auto"/>
          <w:highlight w:val="none"/>
        </w:rPr>
        <w:t>签字</w:t>
      </w:r>
      <w:r>
        <w:rPr>
          <w:rFonts w:hint="eastAsia" w:ascii="宋体" w:hAnsi="宋体" w:cs="宋体"/>
          <w:color w:val="auto"/>
          <w:highlight w:val="none"/>
          <w:lang w:eastAsia="zh-CN"/>
        </w:rPr>
        <w:t>）</w:t>
      </w:r>
      <w:r>
        <w:rPr>
          <w:rFonts w:hint="eastAsia" w:ascii="宋体" w:hAnsi="宋体" w:eastAsia="宋体" w:cs="宋体"/>
          <w:color w:val="auto"/>
          <w:highlight w:val="none"/>
        </w:rPr>
        <w:t>：         法定代表人或委托代理人</w:t>
      </w:r>
      <w:r>
        <w:rPr>
          <w:rFonts w:hint="eastAsia" w:ascii="宋体" w:hAnsi="宋体" w:cs="宋体"/>
          <w:color w:val="auto"/>
          <w:highlight w:val="none"/>
          <w:lang w:eastAsia="zh-CN"/>
        </w:rPr>
        <w:t>（</w:t>
      </w:r>
      <w:r>
        <w:rPr>
          <w:rFonts w:hint="eastAsia" w:ascii="宋体" w:hAnsi="宋体" w:eastAsia="宋体" w:cs="宋体"/>
          <w:color w:val="auto"/>
          <w:highlight w:val="none"/>
        </w:rPr>
        <w:t>签字</w:t>
      </w:r>
      <w:r>
        <w:rPr>
          <w:rFonts w:hint="eastAsia" w:ascii="宋体" w:hAnsi="宋体" w:cs="宋体"/>
          <w:color w:val="auto"/>
          <w:highlight w:val="none"/>
          <w:lang w:eastAsia="zh-CN"/>
        </w:rPr>
        <w:t>）</w:t>
      </w:r>
      <w:r>
        <w:rPr>
          <w:rFonts w:hint="eastAsia" w:ascii="宋体" w:hAnsi="宋体" w:eastAsia="宋体" w:cs="宋体"/>
          <w:color w:val="auto"/>
          <w:highlight w:val="none"/>
        </w:rPr>
        <w:t xml:space="preserve">：         </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电  话：                               电  话：</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传  真：                               传  真：  </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开户银行：                             开户银行：</w:t>
      </w:r>
    </w:p>
    <w:p>
      <w:pPr>
        <w:widowControl/>
        <w:snapToGrid w:val="0"/>
        <w:spacing w:after="120" w:afterLines="5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账  号：                               账  号： </w:t>
      </w:r>
    </w:p>
    <w:p>
      <w:pPr>
        <w:widowControl/>
        <w:snapToGrid w:val="0"/>
        <w:spacing w:after="120" w:afterLines="50"/>
        <w:ind w:firstLine="420" w:firstLineChars="200"/>
        <w:rPr>
          <w:rFonts w:hint="eastAsia" w:ascii="宋体" w:hAnsi="宋体" w:eastAsia="宋体" w:cs="宋体"/>
          <w:b/>
          <w:color w:val="auto"/>
          <w:sz w:val="32"/>
          <w:szCs w:val="32"/>
          <w:highlight w:val="none"/>
        </w:rPr>
      </w:pPr>
      <w:r>
        <w:rPr>
          <w:rFonts w:hint="eastAsia" w:ascii="宋体" w:hAnsi="宋体" w:eastAsia="宋体" w:cs="宋体"/>
          <w:color w:val="auto"/>
          <w:highlight w:val="none"/>
        </w:rPr>
        <w:t xml:space="preserve">邮政编码：                             邮政编码：   </w:t>
      </w:r>
    </w:p>
    <w:p>
      <w:pPr>
        <w:pStyle w:val="32"/>
        <w:adjustRightInd/>
        <w:snapToGrid w:val="0"/>
        <w:jc w:val="center"/>
        <w:rPr>
          <w:rFonts w:hint="eastAsia" w:ascii="宋体" w:hAnsi="宋体" w:eastAsia="宋体" w:cs="宋体"/>
          <w:b/>
          <w:color w:val="auto"/>
          <w:sz w:val="32"/>
          <w:szCs w:val="32"/>
          <w:highlight w:val="none"/>
        </w:rPr>
      </w:pPr>
    </w:p>
    <w:p>
      <w:pPr>
        <w:adjustRightInd/>
        <w:spacing w:line="400" w:lineRule="exact"/>
        <w:jc w:val="center"/>
        <w:rPr>
          <w:rFonts w:hint="eastAsia" w:ascii="宋体" w:hAnsi="宋体" w:eastAsia="宋体" w:cs="宋体"/>
          <w:b/>
          <w:color w:val="auto"/>
          <w:szCs w:val="28"/>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Cs w:val="28"/>
          <w:highlight w:val="none"/>
        </w:rPr>
        <w:t>廉政合同</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spacing w:line="400" w:lineRule="exact"/>
        <w:rPr>
          <w:rFonts w:hint="eastAsia" w:ascii="宋体" w:hAnsi="宋体" w:eastAsia="宋体" w:cs="宋体"/>
          <w:color w:val="auto"/>
          <w:highlight w:val="none"/>
          <w:u w:val="single"/>
        </w:rPr>
      </w:pPr>
      <w:r>
        <w:rPr>
          <w:rFonts w:hint="eastAsia" w:ascii="宋体" w:hAnsi="宋体" w:eastAsia="宋体" w:cs="宋体"/>
          <w:color w:val="auto"/>
          <w:highlight w:val="none"/>
        </w:rPr>
        <w:t>发包人名称（甲方）：</w:t>
      </w:r>
      <w:r>
        <w:rPr>
          <w:rFonts w:hint="eastAsia" w:ascii="宋体" w:hAnsi="宋体" w:eastAsia="宋体" w:cs="宋体"/>
          <w:color w:val="auto"/>
          <w:highlight w:val="none"/>
          <w:u w:val="single"/>
        </w:rPr>
        <w:t xml:space="preserve">             </w:t>
      </w:r>
    </w:p>
    <w:p>
      <w:pPr>
        <w:adjustRightIn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承包人名称（乙方）：</w:t>
      </w:r>
      <w:r>
        <w:rPr>
          <w:rFonts w:hint="eastAsia" w:ascii="宋体" w:hAnsi="宋体" w:eastAsia="宋体" w:cs="宋体"/>
          <w:color w:val="auto"/>
          <w:highlight w:val="none"/>
          <w:u w:val="single"/>
        </w:rPr>
        <w:t xml:space="preserve">             </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为加强工程建设中的廉政建设，规范工程建设项目双方的各项活动，防止发生各种谋取不正当利益的违法违纪行为，保护国家、集体和当事人的合法权益，根据国家有关工程建设的法律法规和廉政建设的相关规定，特订立本《廉政合同》。</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第一条甲乙两方的约定</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（一）严格遵守党和国家（包括省、市）关于加强工程建设管理的有关法律、法规，以及廉政建设的各项规定。</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（二）严格执行《</w:t>
      </w:r>
      <w:r>
        <w:rPr>
          <w:rFonts w:hint="eastAsia" w:ascii="宋体" w:hAnsi="宋体" w:cs="宋体"/>
          <w:color w:val="auto"/>
          <w:highlight w:val="none"/>
          <w:lang w:eastAsia="zh-CN"/>
        </w:rPr>
        <w:t>海曙区西门望春社区卫生服务中心住院楼装修改造项目</w:t>
      </w:r>
      <w:r>
        <w:rPr>
          <w:rFonts w:hint="eastAsia" w:ascii="宋体" w:hAnsi="宋体" w:eastAsia="宋体" w:cs="宋体"/>
          <w:color w:val="auto"/>
          <w:highlight w:val="none"/>
        </w:rPr>
        <w:t>合同》规定，自觉按合同办事。</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（三）双方业务活动必须坚持公开、公平、公正、诚信、透明的原则（除法律法规认定的商业秘密和合同另有规定者外），不得损害国家、集体和各方利益，违反工程建设管理相关规章制度。</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（四）有对本方人员开展廉政告知、廉政教育和职业道德教育的义务。应加强本方人员廉政监督，建立健全廉政制度，认真查处本方人员的违规违纪行为。</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（五）发现一方在业务活动中有不廉洁行为时，有及时提醒对方并监督其纠正的权利和义务。</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（六）发现一方严重违反本合同条款的行为，有向其上级有关部门举报、建议给予处理并要求告知处理结果的权利。</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第二条甲方的责任</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（一）甲方及其工作人员不得以任何形式向乙方索要或收受回扣、礼金、有价证券和贵重物品等。不得在乙方报销任何应由甲方或个人支付的费用。</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（二）甲方工作人员不得参加有可能影响公正执行公务的宴请及娱乐等活动。</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（三）甲方及其工作人员不得要求、暗示或接受乙方为个人装修住房、婚丧嫁娶、配偶子女的工作安排以及出国（境）、旅游等提供方便。</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（四）甲方及其工作人员不得以任何理由向乙方推荐分包单位。</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第三条乙方的责任</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（一）乙方不得以任何理由向甲方及其工作人员行贿和馈赠礼金、有价证券和贵重物品等。不得以任何名义在甲方报销应由乙方或个人支付的费用。</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（二）乙方工作人员不得参加有可能影响公正执行公务的宴请及娱乐等活动。</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（三）乙方及其工作人员不得接受或暗示建设单位为个人装修住房、婚丧嫁娶、配偶子女的工作安排以及出国（境）、旅游等提供方便。</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第四条违约责任</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（一）甲方工作人员有违反本合同第一、二条责任行为的，按照管理权限，依据有关法律法规和规定给予党纪、政纪处分或组织处理；涉嫌犯罪的，移交司法机关追究刑事责任。</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（二）乙方工作人员有违反本合同第一、三条责任行为的，按照管理权限，依据有关法律法规和规定给予党纪、政纪处分或组织处理；涉嫌犯罪的，移交司法机关追究刑事责任。</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第五条本合同作为《</w:t>
      </w:r>
      <w:bookmarkStart w:id="499" w:name="_Hlk139543567"/>
      <w:r>
        <w:rPr>
          <w:rFonts w:hint="eastAsia" w:ascii="宋体" w:hAnsi="宋体" w:cs="宋体"/>
          <w:color w:val="auto"/>
          <w:highlight w:val="none"/>
          <w:lang w:eastAsia="zh-CN"/>
        </w:rPr>
        <w:t>海曙区西门望春社区卫生服务中心住院楼装修改造项目</w:t>
      </w:r>
      <w:r>
        <w:rPr>
          <w:rFonts w:hint="eastAsia" w:ascii="宋体" w:hAnsi="宋体" w:eastAsia="宋体" w:cs="宋体"/>
          <w:color w:val="auto"/>
          <w:highlight w:val="none"/>
        </w:rPr>
        <w:t>合同</w:t>
      </w:r>
      <w:bookmarkEnd w:id="499"/>
      <w:r>
        <w:rPr>
          <w:rFonts w:hint="eastAsia" w:ascii="宋体" w:hAnsi="宋体" w:eastAsia="宋体" w:cs="宋体"/>
          <w:color w:val="auto"/>
          <w:highlight w:val="none"/>
        </w:rPr>
        <w:t>》的附件，与《</w:t>
      </w:r>
      <w:r>
        <w:rPr>
          <w:rFonts w:hint="eastAsia" w:ascii="宋体" w:hAnsi="宋体" w:cs="宋体"/>
          <w:color w:val="auto"/>
          <w:highlight w:val="none"/>
          <w:lang w:eastAsia="zh-CN"/>
        </w:rPr>
        <w:t>海曙区西门望春社区卫生服务中心住院楼装修改造项目</w:t>
      </w:r>
      <w:r>
        <w:rPr>
          <w:rFonts w:hint="eastAsia" w:ascii="宋体" w:hAnsi="宋体" w:eastAsia="宋体" w:cs="宋体"/>
          <w:color w:val="auto"/>
          <w:highlight w:val="none"/>
        </w:rPr>
        <w:t>合同》具有同等法律效力。经双方签署后立即生效。</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第六条本合同一式四份，甲乙方各执一份，送交各方上级主管部门各一份。</w:t>
      </w:r>
    </w:p>
    <w:p>
      <w:pPr>
        <w:adjustRightInd/>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甲方单位：（盖章）                               乙方单位：（盖章）</w:t>
      </w:r>
    </w:p>
    <w:p>
      <w:pPr>
        <w:adjustRightInd/>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法定代表人或委托代理人：                        法定代表人或委托代理人：</w:t>
      </w:r>
    </w:p>
    <w:p>
      <w:pPr>
        <w:adjustRightInd/>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adjustRightInd/>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地址：                                          地址：</w:t>
      </w:r>
    </w:p>
    <w:p>
      <w:pPr>
        <w:adjustRightInd/>
        <w:ind w:firstLine="420" w:firstLineChars="200"/>
        <w:rPr>
          <w:rFonts w:hint="eastAsia" w:ascii="宋体" w:hAnsi="宋体" w:eastAsia="宋体" w:cs="宋体"/>
          <w:color w:val="auto"/>
          <w:highlight w:val="none"/>
        </w:rPr>
      </w:pPr>
    </w:p>
    <w:p>
      <w:pPr>
        <w:adjustRightInd/>
        <w:ind w:firstLine="420" w:firstLineChars="200"/>
        <w:rPr>
          <w:rFonts w:hint="eastAsia" w:ascii="宋体" w:hAnsi="宋体" w:eastAsia="宋体" w:cs="宋体"/>
          <w:b/>
          <w:color w:val="auto"/>
          <w:sz w:val="28"/>
          <w:szCs w:val="28"/>
          <w:highlight w:val="none"/>
        </w:rPr>
      </w:pPr>
      <w:r>
        <w:rPr>
          <w:rFonts w:hint="eastAsia" w:ascii="宋体" w:hAnsi="宋体" w:eastAsia="宋体" w:cs="宋体"/>
          <w:color w:val="auto"/>
          <w:highlight w:val="none"/>
        </w:rPr>
        <w:t xml:space="preserve">电话：                                          电话： </w:t>
      </w:r>
    </w:p>
    <w:p>
      <w:pPr>
        <w:spacing w:line="360" w:lineRule="auto"/>
        <w:ind w:left="-420" w:leftChars="-200" w:right="-420" w:rightChars="-200" w:firstLine="480" w:firstLineChars="200"/>
        <w:jc w:val="center"/>
        <w:outlineLvl w:val="9"/>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9"/>
        <w:rPr>
          <w:rFonts w:hint="eastAsia" w:ascii="宋体" w:hAnsi="宋体" w:eastAsia="宋体" w:cs="宋体"/>
          <w:color w:val="auto"/>
          <w:sz w:val="24"/>
          <w:highlight w:val="none"/>
        </w:rPr>
        <w:sectPr>
          <w:headerReference r:id="rId6" w:type="first"/>
          <w:footerReference r:id="rId8" w:type="first"/>
          <w:footerReference r:id="rId7" w:type="default"/>
          <w:pgSz w:w="11906" w:h="16838"/>
          <w:pgMar w:top="1440" w:right="1080" w:bottom="1440" w:left="1080" w:header="851" w:footer="992" w:gutter="0"/>
          <w:cols w:space="720" w:num="1"/>
          <w:titlePg/>
          <w:docGrid w:linePitch="312" w:charSpace="0"/>
        </w:sectPr>
      </w:pPr>
    </w:p>
    <w:p>
      <w:pPr>
        <w:snapToGrid w:val="0"/>
        <w:spacing w:line="360" w:lineRule="auto"/>
        <w:jc w:val="center"/>
        <w:outlineLvl w:val="0"/>
        <w:rPr>
          <w:rFonts w:hint="eastAsia" w:ascii="宋体" w:hAnsi="宋体" w:eastAsia="宋体" w:cs="宋体"/>
          <w:b/>
          <w:color w:val="auto"/>
          <w:sz w:val="36"/>
          <w:szCs w:val="20"/>
          <w:highlight w:val="none"/>
        </w:rPr>
      </w:pPr>
      <w:bookmarkStart w:id="500" w:name="_Toc10046"/>
      <w:r>
        <w:rPr>
          <w:rFonts w:hint="eastAsia" w:ascii="宋体" w:hAnsi="宋体" w:eastAsia="宋体" w:cs="宋体"/>
          <w:b/>
          <w:color w:val="auto"/>
          <w:sz w:val="36"/>
          <w:szCs w:val="20"/>
          <w:highlight w:val="none"/>
        </w:rPr>
        <w:t>第六部分</w:t>
      </w:r>
      <w:bookmarkEnd w:id="418"/>
      <w:r>
        <w:rPr>
          <w:rFonts w:hint="eastAsia" w:ascii="宋体" w:hAnsi="宋体" w:eastAsia="宋体" w:cs="宋体"/>
          <w:b/>
          <w:color w:val="auto"/>
          <w:sz w:val="36"/>
          <w:szCs w:val="20"/>
          <w:highlight w:val="none"/>
        </w:rPr>
        <w:t xml:space="preserve"> </w:t>
      </w:r>
      <w:bookmarkEnd w:id="419"/>
      <w:r>
        <w:rPr>
          <w:rFonts w:hint="eastAsia" w:ascii="宋体" w:hAnsi="宋体" w:eastAsia="宋体" w:cs="宋体"/>
          <w:b/>
          <w:color w:val="auto"/>
          <w:sz w:val="36"/>
          <w:szCs w:val="20"/>
          <w:highlight w:val="none"/>
        </w:rPr>
        <w:t>应提交的有关格式范例</w:t>
      </w:r>
      <w:bookmarkEnd w:id="500"/>
    </w:p>
    <w:p>
      <w:pPr>
        <w:spacing w:line="360" w:lineRule="auto"/>
        <w:jc w:val="center"/>
        <w:outlineLvl w:val="9"/>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bookmarkStart w:id="501" w:name="_Toc12223"/>
      <w:r>
        <w:rPr>
          <w:rFonts w:hint="eastAsia" w:ascii="宋体" w:hAnsi="宋体" w:eastAsia="宋体" w:cs="宋体"/>
          <w:b/>
          <w:color w:val="auto"/>
          <w:kern w:val="0"/>
          <w:sz w:val="36"/>
          <w:szCs w:val="36"/>
          <w:highlight w:val="none"/>
        </w:rPr>
        <w:t>资格文件部分</w:t>
      </w:r>
      <w:bookmarkEnd w:id="501"/>
    </w:p>
    <w:p>
      <w:pPr>
        <w:spacing w:line="360" w:lineRule="auto"/>
        <w:jc w:val="center"/>
        <w:outlineLvl w:val="0"/>
        <w:rPr>
          <w:rFonts w:hint="eastAsia" w:ascii="宋体" w:hAnsi="宋体" w:eastAsia="宋体" w:cs="宋体"/>
          <w:b/>
          <w:color w:val="auto"/>
          <w:kern w:val="0"/>
          <w:sz w:val="36"/>
          <w:szCs w:val="36"/>
          <w:highlight w:val="none"/>
        </w:rPr>
      </w:pPr>
      <w:bookmarkStart w:id="502" w:name="_Toc26485"/>
      <w:r>
        <w:rPr>
          <w:rFonts w:hint="eastAsia" w:ascii="宋体" w:hAnsi="宋体" w:eastAsia="宋体" w:cs="宋体"/>
          <w:b/>
          <w:color w:val="auto"/>
          <w:kern w:val="0"/>
          <w:sz w:val="36"/>
          <w:szCs w:val="36"/>
          <w:highlight w:val="none"/>
        </w:rPr>
        <w:t>目录</w:t>
      </w:r>
      <w:bookmarkEnd w:id="502"/>
    </w:p>
    <w:p>
      <w:pPr>
        <w:spacing w:line="360" w:lineRule="auto"/>
        <w:jc w:val="center"/>
        <w:outlineLvl w:val="9"/>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我方参与（项目名称）【项目编号：（采购编号）】政府采购活动，郑重承诺：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、中国政府采购网（www.ccgp.gov.cn）列入失信被执行人、重大税收违法案件当事人名单</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val="en-US" w:eastAsia="zh-CN"/>
        </w:rPr>
        <w:t>即：重大税收违法失信主体</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[以联合体形式参与的，提供联合协议（附件5）；本项目不接受联合体或者供应商不以联合体形式参与的，则不需要提供]</w:t>
      </w:r>
    </w:p>
    <w:p>
      <w:pPr>
        <w:snapToGrid w:val="0"/>
        <w:spacing w:line="360" w:lineRule="auto"/>
        <w:ind w:right="480"/>
        <w:jc w:val="center"/>
        <w:rPr>
          <w:rFonts w:hint="eastAsia" w:ascii="宋体" w:hAnsi="宋体" w:eastAsia="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.专门面向中小企业，工程全部由符合政策要求的中小企业（或小微企业）承建的，提供相应的中小企业声明函（附件7）。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要求以联合体形式参加的，提供联合协议（附件5）和中小企业声明函（附件7），联合协议中中小企业合同金额应当达到竞争性磋商公告载明的比例；如果供应商本身提供所有标的均由中小企业承建的，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要求合同分包的，提供分包意向协议（附件6）和中小企业声明函（附件7），分包意向协议中中小企业合同金额应当达到竞争性磋商公告载明的比例；如果供应商本身提供所有标的均由中小企业承建，</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（根据竞争性磋商公告本项目的特定资格要求提供相应的材料；未要求的，无需提供）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3"/>
        <w:outlineLvl w:val="9"/>
        <w:rPr>
          <w:rFonts w:hint="eastAsia" w:ascii="宋体" w:hAnsi="宋体" w:eastAsia="宋体" w:cs="宋体"/>
          <w:b w:val="0"/>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8"/>
          <w:szCs w:val="28"/>
          <w:highlight w:val="none"/>
        </w:rPr>
      </w:pPr>
      <w:bookmarkStart w:id="503" w:name="_Toc22165"/>
      <w:r>
        <w:rPr>
          <w:rFonts w:hint="eastAsia" w:ascii="宋体" w:hAnsi="宋体" w:eastAsia="宋体" w:cs="宋体"/>
          <w:b/>
          <w:color w:val="auto"/>
          <w:kern w:val="0"/>
          <w:sz w:val="28"/>
          <w:szCs w:val="28"/>
          <w:highlight w:val="none"/>
        </w:rPr>
        <w:t>目录</w:t>
      </w:r>
      <w:bookmarkEnd w:id="503"/>
    </w:p>
    <w:p>
      <w:pPr>
        <w:numPr>
          <w:ilvl w:val="255"/>
          <w:numId w:val="0"/>
        </w:num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（1）响应函……………………………………………………………………………（页码）</w:t>
      </w:r>
    </w:p>
    <w:p>
      <w:pPr>
        <w:numPr>
          <w:ilvl w:val="255"/>
          <w:numId w:val="0"/>
        </w:num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（2）授权委托书或法定代表人（单位负责人、自然人本人）身份证明……………（页码）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（3）分包意向协议………………………………………………………………………（页码）</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（4）符合性审查资料……………………………………………………………………（页码）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（5）评审标准相应的商务技术资料……………………………………………………（页码）（6）商务技术偏离表……………………………………………………………………（页码）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sz w:val="24"/>
          <w:highlight w:val="none"/>
        </w:rPr>
        <w:t>…………………………………………………（页码）</w:t>
      </w:r>
    </w:p>
    <w:p>
      <w:pPr>
        <w:snapToGrid w:val="0"/>
        <w:spacing w:line="360" w:lineRule="auto"/>
        <w:jc w:val="center"/>
        <w:rPr>
          <w:rFonts w:hint="eastAsia" w:ascii="宋体" w:hAnsi="宋体" w:eastAsia="宋体" w:cs="宋体"/>
          <w:b/>
          <w:color w:val="auto"/>
          <w:kern w:val="0"/>
          <w:sz w:val="24"/>
          <w:szCs w:val="32"/>
          <w:highlight w:val="none"/>
          <w:lang w:val="zh-CN"/>
        </w:rPr>
        <w:sectPr>
          <w:pgSz w:w="11906" w:h="16838"/>
          <w:pgMar w:top="1440" w:right="1080" w:bottom="1440" w:left="1080" w:header="851" w:footer="992" w:gutter="0"/>
          <w:cols w:space="720" w:num="1"/>
          <w:titlePg/>
          <w:docGrid w:linePitch="312" w:charSpace="0"/>
        </w:sectPr>
      </w:pPr>
    </w:p>
    <w:p>
      <w:pPr>
        <w:snapToGrid w:val="0"/>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一、响应函</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我方参加你方组织的（项目名称）【项目编号：（采购编号）】采购的有关活动，并对此项目提交响应文件及报价。为此：</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1、我方承诺响应文件有效期从提交响应文件的截止之日起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本响应文件在响应文件有效期满之前均具有约束力。</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2、我方的响应文件包括以下内容：</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eastAsia="宋体" w:cs="宋体"/>
          <w:snapToGrid w:val="0"/>
          <w:color w:val="auto"/>
          <w:kern w:val="28"/>
          <w:sz w:val="24"/>
          <w:szCs w:val="20"/>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2.2.1响应函；</w:t>
      </w:r>
      <w:r>
        <w:rPr>
          <w:rFonts w:hint="eastAsia" w:ascii="宋体" w:hAnsi="宋体" w:eastAsia="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2.2.5评审标准相应的商务技术资料；</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2.2.6商务技术偏离表；</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7</w:t>
      </w:r>
      <w:r>
        <w:rPr>
          <w:rFonts w:hint="eastAsia" w:ascii="宋体" w:hAnsi="宋体" w:eastAsia="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2.3.1报价单；</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2.3.2已标价工程量清单；</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2.3.3中小企业声明函（如果有）。</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3、我方承诺除商务技术偏离表列出的偏离外，我方响应采购文件的全部要求。</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4、如我方成交，我方承诺：</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4.1在收到成交通知书后，在成交通知书规定的期限内与你方签订合同；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4.3按照采购文件要求提交履约保证金； </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4.5按照竞争性磋商文件的规定，在中标后向采购代理机构一次性支付招标代理服务费。</w:t>
      </w:r>
    </w:p>
    <w:p>
      <w:pPr>
        <w:keepNext w:val="0"/>
        <w:keepLines w:val="0"/>
        <w:pageBreakBefore w:val="0"/>
        <w:widowControl w:val="0"/>
        <w:kinsoku/>
        <w:wordWrap/>
        <w:overflowPunct/>
        <w:topLinePunct w:val="0"/>
        <w:autoSpaceDE/>
        <w:autoSpaceDN/>
        <w:bidi w:val="0"/>
        <w:adjustRightInd w:val="0"/>
        <w:snapToGrid w:val="0"/>
        <w:spacing w:line="288" w:lineRule="auto"/>
        <w:ind w:left="210" w:leftChars="10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288" w:lineRule="auto"/>
        <w:ind w:firstLine="3600" w:firstLineChars="15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供应商名称（电子签名）：                          </w:t>
      </w:r>
    </w:p>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keepNext w:val="0"/>
        <w:keepLines w:val="0"/>
        <w:pageBreakBefore w:val="0"/>
        <w:widowControl w:val="0"/>
        <w:kinsoku/>
        <w:wordWrap/>
        <w:overflowPunct/>
        <w:topLinePunct w:val="0"/>
        <w:autoSpaceDE/>
        <w:autoSpaceDN/>
        <w:bidi w:val="0"/>
        <w:adjustRightInd w:val="0"/>
        <w:snapToGrid w:val="0"/>
        <w:spacing w:line="288" w:lineRule="auto"/>
        <w:ind w:left="420" w:leftChars="200" w:firstLine="4200" w:firstLineChars="1750"/>
        <w:textAlignment w:val="auto"/>
        <w:rPr>
          <w:rFonts w:hint="eastAsia" w:ascii="宋体" w:hAnsi="宋体" w:eastAsia="宋体" w:cs="宋体"/>
          <w:color w:val="auto"/>
          <w:kern w:val="0"/>
          <w:sz w:val="24"/>
          <w:highlight w:val="none"/>
          <w:u w:val="single"/>
        </w:rPr>
      </w:pPr>
    </w:p>
    <w:p>
      <w:pPr>
        <w:keepNext w:val="0"/>
        <w:keepLines w:val="0"/>
        <w:pageBreakBefore w:val="0"/>
        <w:widowControl w:val="0"/>
        <w:kinsoku/>
        <w:wordWrap/>
        <w:overflowPunct/>
        <w:topLinePunct w:val="0"/>
        <w:autoSpaceDE/>
        <w:autoSpaceDN/>
        <w:bidi w:val="0"/>
        <w:adjustRightInd w:val="0"/>
        <w:spacing w:line="288" w:lineRule="auto"/>
        <w:ind w:right="420"/>
        <w:textAlignment w:val="auto"/>
        <w:rPr>
          <w:rFonts w:hint="eastAsia" w:ascii="宋体" w:hAnsi="宋体" w:eastAsia="宋体" w:cs="宋体"/>
          <w:b/>
          <w:color w:val="auto"/>
          <w:kern w:val="0"/>
          <w:sz w:val="32"/>
          <w:szCs w:val="32"/>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adjustRightInd/>
        <w:jc w:val="center"/>
        <w:rPr>
          <w:rFonts w:hint="eastAsia" w:ascii="宋体" w:hAnsi="宋体" w:eastAsia="宋体" w:cs="宋体"/>
          <w:sz w:val="30"/>
          <w:szCs w:val="30"/>
          <w:highlight w:val="none"/>
        </w:rPr>
      </w:pPr>
      <w:r>
        <w:rPr>
          <w:rFonts w:hint="eastAsia" w:ascii="宋体" w:hAnsi="宋体" w:eastAsia="宋体" w:cs="宋体"/>
          <w:b/>
          <w:bCs/>
          <w:sz w:val="30"/>
          <w:szCs w:val="30"/>
          <w:highlight w:val="none"/>
        </w:rPr>
        <w:t>投标附录</w:t>
      </w:r>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730"/>
        <w:gridCol w:w="1275"/>
        <w:gridCol w:w="3445"/>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273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项目内容</w:t>
            </w:r>
          </w:p>
        </w:tc>
        <w:tc>
          <w:tcPr>
            <w:tcW w:w="1275"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合同条款号</w:t>
            </w:r>
          </w:p>
        </w:tc>
        <w:tc>
          <w:tcPr>
            <w:tcW w:w="3445"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约定内容</w:t>
            </w:r>
          </w:p>
        </w:tc>
        <w:tc>
          <w:tcPr>
            <w:tcW w:w="1205"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投标承诺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2730" w:type="dxa"/>
            <w:noWrap w:val="0"/>
            <w:vAlign w:val="center"/>
          </w:tcPr>
          <w:p>
            <w:pPr>
              <w:adjustRightInd/>
              <w:snapToGrid w:val="0"/>
              <w:jc w:val="left"/>
              <w:rPr>
                <w:rFonts w:hint="eastAsia" w:ascii="宋体" w:hAnsi="宋体" w:eastAsia="宋体" w:cs="宋体"/>
                <w:szCs w:val="21"/>
                <w:highlight w:val="none"/>
              </w:rPr>
            </w:pPr>
            <w:r>
              <w:rPr>
                <w:rFonts w:hint="eastAsia" w:ascii="宋体" w:hAnsi="宋体" w:eastAsia="宋体" w:cs="宋体"/>
                <w:szCs w:val="21"/>
                <w:highlight w:val="none"/>
              </w:rPr>
              <w:t>项目负责人</w:t>
            </w:r>
          </w:p>
        </w:tc>
        <w:tc>
          <w:tcPr>
            <w:tcW w:w="1275"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3.2.1</w:t>
            </w:r>
          </w:p>
        </w:tc>
        <w:tc>
          <w:tcPr>
            <w:tcW w:w="3445" w:type="dxa"/>
            <w:noWrap w:val="0"/>
            <w:vAlign w:val="center"/>
          </w:tcPr>
          <w:p>
            <w:pPr>
              <w:widowControl/>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姓名：</w:t>
            </w:r>
            <w:r>
              <w:rPr>
                <w:rFonts w:hint="eastAsia" w:ascii="宋体" w:hAnsi="宋体" w:eastAsia="宋体" w:cs="宋体"/>
                <w:szCs w:val="21"/>
                <w:highlight w:val="none"/>
                <w:u w:val="single"/>
              </w:rPr>
              <w:t xml:space="preserve">        </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误期违约金额</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7.5.2</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000 元/天</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误期赔偿费限额</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7.5.2</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合同金额的3%</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施工总工期</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cs="宋体"/>
                <w:bCs/>
                <w:szCs w:val="21"/>
                <w:highlight w:val="none"/>
                <w:lang w:val="en-US" w:eastAsia="zh-CN"/>
              </w:rPr>
              <w:t>60</w:t>
            </w:r>
            <w:r>
              <w:rPr>
                <w:rFonts w:hint="eastAsia" w:ascii="宋体" w:hAnsi="宋体" w:eastAsia="宋体" w:cs="宋体"/>
                <w:bCs/>
                <w:szCs w:val="21"/>
                <w:highlight w:val="none"/>
              </w:rPr>
              <w:t>日历天</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质量标准</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按国家施工验收规范一次性验收合格标准</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未达到工程质量验收一次性合格标准违约金</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highlight w:val="none"/>
              </w:rPr>
              <w:t>16.2.2</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合同金额的1.5%</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7</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未履行项目经理及主要施工管理人员到场承诺违约金限额</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highlight w:val="none"/>
              </w:rPr>
              <w:t>16.2.2</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合同金额的</w:t>
            </w: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8</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未履行主要机械设备到场承诺违约金限额</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highlight w:val="none"/>
              </w:rPr>
              <w:t>16.2.2</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合同价款的0.5%/次</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9</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未履行安全文明施工承诺违约金限额</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highlight w:val="none"/>
              </w:rPr>
              <w:t>16.2.2</w:t>
            </w: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合同金额的0.5%/次</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10</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是否同意招标文件其他内容</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同意招标文件其他内容</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90" w:type="dxa"/>
            <w:noWrap w:val="0"/>
            <w:vAlign w:val="center"/>
          </w:tcPr>
          <w:p>
            <w:pPr>
              <w:adjustRightInd/>
              <w:snapToGrid w:val="0"/>
              <w:jc w:val="center"/>
              <w:rPr>
                <w:rFonts w:hint="eastAsia" w:ascii="宋体" w:hAnsi="宋体" w:eastAsia="宋体" w:cs="宋体"/>
                <w:szCs w:val="21"/>
                <w:highlight w:val="none"/>
              </w:rPr>
            </w:pPr>
            <w:r>
              <w:rPr>
                <w:rFonts w:hint="eastAsia" w:ascii="宋体" w:hAnsi="宋体" w:eastAsia="宋体" w:cs="宋体"/>
                <w:szCs w:val="21"/>
                <w:highlight w:val="none"/>
              </w:rPr>
              <w:t>12</w:t>
            </w:r>
          </w:p>
        </w:tc>
        <w:tc>
          <w:tcPr>
            <w:tcW w:w="2730" w:type="dxa"/>
            <w:noWrap w:val="0"/>
            <w:vAlign w:val="center"/>
          </w:tcPr>
          <w:p>
            <w:pPr>
              <w:adjustRightInd/>
              <w:snapToGrid w:val="0"/>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是否同意合同条款及合同附件格式</w:t>
            </w:r>
          </w:p>
        </w:tc>
        <w:tc>
          <w:tcPr>
            <w:tcW w:w="127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p>
        </w:tc>
        <w:tc>
          <w:tcPr>
            <w:tcW w:w="3445" w:type="dxa"/>
            <w:noWrap w:val="0"/>
            <w:vAlign w:val="center"/>
          </w:tcPr>
          <w:p>
            <w:pPr>
              <w:adjustRightInd/>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同意合同条款及合同附件格式</w:t>
            </w:r>
          </w:p>
        </w:tc>
        <w:tc>
          <w:tcPr>
            <w:tcW w:w="1205" w:type="dxa"/>
            <w:noWrap w:val="0"/>
            <w:vAlign w:val="center"/>
          </w:tcPr>
          <w:p>
            <w:pPr>
              <w:adjustRightInd/>
              <w:snapToGrid w:val="0"/>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9345" w:type="dxa"/>
            <w:gridSpan w:val="5"/>
            <w:noWrap w:val="0"/>
            <w:vAlign w:val="center"/>
          </w:tcPr>
          <w:p>
            <w:pPr>
              <w:adjustRightInd/>
              <w:snapToGrid w:val="0"/>
              <w:rPr>
                <w:rFonts w:hint="eastAsia" w:ascii="宋体" w:hAnsi="宋体" w:eastAsia="宋体" w:cs="宋体"/>
                <w:b/>
                <w:bCs/>
                <w:szCs w:val="21"/>
                <w:highlight w:val="none"/>
              </w:rPr>
            </w:pPr>
            <w:r>
              <w:rPr>
                <w:rFonts w:hint="eastAsia" w:ascii="宋体" w:hAnsi="宋体" w:eastAsia="宋体" w:cs="宋体"/>
                <w:b/>
                <w:bCs/>
                <w:szCs w:val="21"/>
                <w:highlight w:val="none"/>
              </w:rPr>
              <w:t>备注：</w:t>
            </w:r>
          </w:p>
          <w:p>
            <w:pPr>
              <w:numPr>
                <w:ilvl w:val="0"/>
                <w:numId w:val="4"/>
              </w:numPr>
              <w:adjustRightInd/>
              <w:snapToGrid w:val="0"/>
              <w:ind w:left="120" w:firstLine="0"/>
              <w:rPr>
                <w:rFonts w:hint="eastAsia" w:ascii="宋体" w:hAnsi="宋体" w:eastAsia="宋体" w:cs="宋体"/>
                <w:b/>
                <w:bCs/>
                <w:szCs w:val="21"/>
                <w:highlight w:val="none"/>
              </w:rPr>
            </w:pPr>
            <w:r>
              <w:rPr>
                <w:rFonts w:hint="eastAsia" w:ascii="宋体" w:hAnsi="宋体" w:eastAsia="宋体" w:cs="宋体"/>
                <w:b/>
                <w:bCs/>
                <w:szCs w:val="21"/>
                <w:highlight w:val="none"/>
              </w:rPr>
              <w:t xml:space="preserve">“投标承诺”一列，投标人必须承诺“同意”； </w:t>
            </w:r>
          </w:p>
          <w:p>
            <w:pPr>
              <w:numPr>
                <w:ilvl w:val="0"/>
                <w:numId w:val="4"/>
              </w:numPr>
              <w:adjustRightInd/>
              <w:snapToGrid w:val="0"/>
              <w:ind w:left="120" w:firstLine="0"/>
              <w:rPr>
                <w:rFonts w:hint="eastAsia" w:ascii="宋体" w:hAnsi="宋体" w:eastAsia="宋体" w:cs="宋体"/>
                <w:szCs w:val="21"/>
                <w:highlight w:val="none"/>
              </w:rPr>
            </w:pPr>
            <w:r>
              <w:rPr>
                <w:rFonts w:hint="eastAsia" w:ascii="宋体" w:hAnsi="宋体" w:eastAsia="宋体" w:cs="宋体"/>
                <w:b/>
                <w:bCs/>
                <w:szCs w:val="21"/>
                <w:highlight w:val="none"/>
              </w:rPr>
              <w:t>投标人在响应招标文件中规定的实质性要求和条件的基础上，可做出其他有利于招标人的承诺。3、上述扣款中发生履约担保支付限额不足时，发包人有权向承包人追偿或在进度款中扣除不足部分金额。</w:t>
            </w:r>
          </w:p>
        </w:tc>
      </w:tr>
    </w:tbl>
    <w:p>
      <w:pPr>
        <w:adjustRightInd/>
        <w:spacing w:line="360" w:lineRule="auto"/>
        <w:jc w:val="right"/>
        <w:rPr>
          <w:rFonts w:hint="eastAsia" w:ascii="宋体" w:hAnsi="宋体" w:eastAsia="宋体" w:cs="宋体"/>
          <w:sz w:val="24"/>
          <w:szCs w:val="20"/>
          <w:highlight w:val="none"/>
        </w:rPr>
      </w:pPr>
      <w:r>
        <w:rPr>
          <w:rFonts w:hint="eastAsia" w:ascii="宋体" w:hAnsi="宋体" w:eastAsia="宋体" w:cs="宋体"/>
          <w:sz w:val="24"/>
          <w:szCs w:val="20"/>
          <w:highlight w:val="none"/>
          <w:lang w:bidi="ar"/>
        </w:rPr>
        <w:t>投标人：</w:t>
      </w:r>
      <w:r>
        <w:rPr>
          <w:rFonts w:hint="eastAsia" w:ascii="宋体" w:hAnsi="宋体" w:eastAsia="宋体" w:cs="宋体"/>
          <w:sz w:val="24"/>
          <w:szCs w:val="20"/>
          <w:highlight w:val="none"/>
          <w:u w:val="single"/>
          <w:lang w:bidi="ar"/>
        </w:rPr>
        <w:t xml:space="preserve">               （单位盖章）</w:t>
      </w:r>
    </w:p>
    <w:p>
      <w:pPr>
        <w:adjustRightInd/>
        <w:spacing w:line="360" w:lineRule="auto"/>
        <w:ind w:firstLine="480"/>
        <w:jc w:val="right"/>
        <w:rPr>
          <w:rFonts w:hint="eastAsia" w:ascii="宋体" w:hAnsi="宋体" w:eastAsia="宋体" w:cs="宋体"/>
          <w:sz w:val="24"/>
          <w:szCs w:val="20"/>
          <w:highlight w:val="none"/>
        </w:rPr>
      </w:pPr>
      <w:r>
        <w:rPr>
          <w:rFonts w:hint="eastAsia" w:ascii="宋体" w:hAnsi="宋体" w:eastAsia="宋体" w:cs="宋体"/>
          <w:sz w:val="24"/>
          <w:szCs w:val="20"/>
          <w:highlight w:val="none"/>
          <w:lang w:bidi="ar"/>
        </w:rPr>
        <w:t>法定代表人：</w:t>
      </w:r>
      <w:r>
        <w:rPr>
          <w:rFonts w:hint="eastAsia" w:ascii="宋体" w:hAnsi="宋体" w:eastAsia="宋体" w:cs="宋体"/>
          <w:sz w:val="24"/>
          <w:szCs w:val="20"/>
          <w:highlight w:val="none"/>
          <w:u w:val="single"/>
          <w:lang w:bidi="ar"/>
        </w:rPr>
        <w:t xml:space="preserve">           （签字或盖章）</w:t>
      </w:r>
    </w:p>
    <w:p>
      <w:pPr>
        <w:pStyle w:val="518"/>
        <w:rPr>
          <w:rFonts w:hint="eastAsia"/>
          <w:highlight w:val="none"/>
        </w:rPr>
        <w:sectPr>
          <w:pgSz w:w="11906" w:h="16838"/>
          <w:pgMar w:top="1440" w:right="1080" w:bottom="1440" w:left="1080" w:header="851" w:footer="992" w:gutter="0"/>
          <w:cols w:space="720" w:num="1"/>
          <w:titlePg/>
          <w:docGrid w:linePitch="312" w:charSpace="0"/>
        </w:sectPr>
      </w:pPr>
      <w:r>
        <w:rPr>
          <w:rFonts w:hint="eastAsia" w:ascii="宋体" w:hAnsi="宋体" w:eastAsia="宋体" w:cs="宋体"/>
          <w:sz w:val="24"/>
          <w:szCs w:val="20"/>
          <w:highlight w:val="none"/>
          <w:lang w:bidi="ar"/>
        </w:rPr>
        <w:t xml:space="preserve">             日期：   年     月    日</w:t>
      </w:r>
    </w:p>
    <w:p>
      <w:pPr>
        <w:snapToGrid w:val="0"/>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授权委托书（适用于非联合体</w:t>
      </w:r>
      <w:r>
        <w:rPr>
          <w:rFonts w:hint="eastAsia" w:ascii="宋体" w:hAnsi="宋体" w:eastAsia="宋体" w:cs="宋体"/>
          <w:b/>
          <w:bCs/>
          <w:color w:val="auto"/>
          <w:sz w:val="32"/>
          <w:szCs w:val="32"/>
          <w:highlight w:val="none"/>
        </w:rPr>
        <w:t>响应</w:t>
      </w:r>
      <w:r>
        <w:rPr>
          <w:rFonts w:hint="eastAsia" w:ascii="宋体" w:hAnsi="宋体" w:eastAsia="宋体" w:cs="宋体"/>
          <w:b/>
          <w:bCs/>
          <w:color w:val="auto"/>
          <w:sz w:val="32"/>
          <w:szCs w:val="32"/>
          <w:highlight w:val="none"/>
          <w:lang w:val="zh-CN"/>
        </w:rPr>
        <w:t>）</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（项目名称）【项目编号：（采购编号）】</w:t>
      </w:r>
      <w:r>
        <w:rPr>
          <w:rFonts w:hint="eastAsia" w:ascii="宋体" w:hAnsi="宋体" w:eastAsia="宋体" w:cs="宋体"/>
          <w:color w:val="auto"/>
          <w:kern w:val="0"/>
          <w:sz w:val="24"/>
          <w:highlight w:val="none"/>
          <w:lang w:val="zh-CN"/>
        </w:rPr>
        <w:t>政府采购</w:t>
      </w:r>
      <w:r>
        <w:rPr>
          <w:rFonts w:hint="eastAsia" w:ascii="宋体" w:hAnsi="宋体" w:eastAsia="宋体" w:cs="宋体"/>
          <w:color w:val="auto"/>
          <w:kern w:val="0"/>
          <w:sz w:val="24"/>
          <w:highlight w:val="none"/>
        </w:rPr>
        <w:t>响应</w:t>
      </w:r>
      <w:r>
        <w:rPr>
          <w:rFonts w:hint="eastAsia" w:ascii="宋体" w:hAnsi="宋体" w:eastAsia="宋体" w:cs="宋体"/>
          <w:color w:val="auto"/>
          <w:kern w:val="0"/>
          <w:sz w:val="24"/>
          <w:highlight w:val="none"/>
          <w:lang w:val="zh-CN"/>
        </w:rPr>
        <w:t>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供应商名称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授权委托书（适用于联合体</w:t>
      </w:r>
      <w:r>
        <w:rPr>
          <w:rFonts w:hint="eastAsia" w:ascii="宋体" w:hAnsi="宋体" w:eastAsia="宋体" w:cs="宋体"/>
          <w:b/>
          <w:bCs/>
          <w:color w:val="auto"/>
          <w:sz w:val="32"/>
          <w:szCs w:val="32"/>
          <w:highlight w:val="none"/>
        </w:rPr>
        <w:t>响应</w:t>
      </w:r>
      <w:r>
        <w:rPr>
          <w:rFonts w:hint="eastAsia" w:ascii="宋体" w:hAnsi="宋体" w:eastAsia="宋体" w:cs="宋体"/>
          <w:b/>
          <w:bCs/>
          <w:color w:val="auto"/>
          <w:sz w:val="32"/>
          <w:szCs w:val="32"/>
          <w:highlight w:val="none"/>
          <w:lang w:val="zh-CN"/>
        </w:rPr>
        <w:t>）</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（项目名称）【项目编号：（采购编号）】</w:t>
      </w:r>
      <w:r>
        <w:rPr>
          <w:rFonts w:hint="eastAsia" w:ascii="宋体" w:hAnsi="宋体" w:eastAsia="宋体" w:cs="宋体"/>
          <w:color w:val="auto"/>
          <w:kern w:val="0"/>
          <w:sz w:val="24"/>
          <w:highlight w:val="none"/>
          <w:lang w:val="zh-CN"/>
        </w:rPr>
        <w:t>政府采购</w:t>
      </w:r>
      <w:r>
        <w:rPr>
          <w:rFonts w:hint="eastAsia" w:ascii="宋体" w:hAnsi="宋体" w:eastAsia="宋体" w:cs="宋体"/>
          <w:color w:val="auto"/>
          <w:kern w:val="0"/>
          <w:sz w:val="24"/>
          <w:highlight w:val="none"/>
        </w:rPr>
        <w:t>响应</w:t>
      </w:r>
      <w:r>
        <w:rPr>
          <w:rFonts w:hint="eastAsia" w:ascii="宋体" w:hAnsi="宋体" w:eastAsia="宋体" w:cs="宋体"/>
          <w:color w:val="auto"/>
          <w:kern w:val="0"/>
          <w:sz w:val="24"/>
          <w:highlight w:val="none"/>
          <w:lang w:val="zh-CN"/>
        </w:rPr>
        <w:t>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电子签名/公章</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电子签名/公章</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br w:type="page"/>
      </w:r>
    </w:p>
    <w:p>
      <w:pPr>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zh-CN"/>
        </w:rPr>
        <w:t>法定代表人、单位负责人或自然人本人</w:t>
      </w:r>
      <w:r>
        <w:rPr>
          <w:rFonts w:hint="eastAsia" w:ascii="宋体" w:hAnsi="宋体" w:eastAsia="宋体" w:cs="宋体"/>
          <w:b/>
          <w:bCs/>
          <w:color w:val="auto"/>
          <w:sz w:val="32"/>
          <w:szCs w:val="32"/>
          <w:highlight w:val="none"/>
        </w:rPr>
        <w:t>的身份证明（适用于法定代表人、单位负责人或者自然人本人代表供应商参加响应）</w:t>
      </w:r>
    </w:p>
    <w:p>
      <w:pPr>
        <w:pStyle w:val="146"/>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6"/>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供应商名称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 xml:space="preserve">：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三、分包意向协议</w:t>
      </w:r>
    </w:p>
    <w:p>
      <w:pPr>
        <w:widowControl/>
        <w:spacing w:line="360" w:lineRule="auto"/>
        <w:ind w:firstLine="120" w:firstLineChars="50"/>
        <w:jc w:val="left"/>
        <w:rPr>
          <w:rFonts w:hint="eastAsia" w:ascii="宋体" w:hAnsi="宋体" w:eastAsia="宋体" w:cs="宋体"/>
          <w:color w:val="auto"/>
          <w:sz w:val="24"/>
          <w:highlight w:val="none"/>
        </w:rPr>
      </w:pPr>
      <w:bookmarkStart w:id="504" w:name="_Hlk101169080"/>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成交后以分包方式履行合同的，提供分包意向协议</w:t>
      </w:r>
      <w:r>
        <w:rPr>
          <w:rFonts w:hint="eastAsia" w:ascii="宋体" w:hAnsi="宋体" w:cs="宋体"/>
          <w:b/>
          <w:color w:val="auto"/>
          <w:sz w:val="24"/>
          <w:highlight w:val="none"/>
          <w:lang w:eastAsia="zh-CN"/>
        </w:rPr>
        <w:t>（</w:t>
      </w:r>
      <w:r>
        <w:rPr>
          <w:rFonts w:hint="eastAsia" w:ascii="宋体" w:hAnsi="宋体" w:eastAsia="宋体" w:cs="宋体"/>
          <w:b/>
          <w:color w:val="auto"/>
          <w:sz w:val="24"/>
          <w:highlight w:val="none"/>
        </w:rPr>
        <w:t>附件6)；采购人不同意分包或者供应商成交后不以分包方式履行合同的，则不需要提供。</w:t>
      </w:r>
      <w:r>
        <w:rPr>
          <w:rFonts w:hint="eastAsia" w:ascii="宋体" w:hAnsi="宋体" w:eastAsia="宋体" w:cs="宋体"/>
          <w:color w:val="auto"/>
          <w:sz w:val="24"/>
          <w:highlight w:val="none"/>
        </w:rPr>
        <w:t>]</w:t>
      </w:r>
    </w:p>
    <w:bookmarkEnd w:id="504"/>
    <w:p>
      <w:pPr>
        <w:snapToGrid w:val="0"/>
        <w:spacing w:line="360" w:lineRule="auto"/>
        <w:rPr>
          <w:rFonts w:hint="eastAsia" w:ascii="宋体" w:hAnsi="宋体" w:eastAsia="宋体" w:cs="宋体"/>
          <w:color w:val="auto"/>
          <w:kern w:val="0"/>
          <w:sz w:val="24"/>
          <w:highlight w:val="none"/>
        </w:rPr>
      </w:pPr>
    </w:p>
    <w:p>
      <w:pPr>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响应文件按照采购文件要求签署、盖章。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需要使用电子签名或者签字盖章的响应文件的组成部分</w:t>
            </w:r>
          </w:p>
        </w:tc>
        <w:tc>
          <w:tcPr>
            <w:tcW w:w="1418"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见响应文件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2</w:t>
            </w:r>
          </w:p>
        </w:tc>
        <w:tc>
          <w:tcPr>
            <w:tcW w:w="4991"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响应文件中承诺的响应文件有效期不少于采购文件中载明的响应文件有效期。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w:t>
            </w:r>
          </w:p>
        </w:tc>
        <w:tc>
          <w:tcPr>
            <w:tcW w:w="1418" w:type="dxa"/>
            <w:vAlign w:val="center"/>
          </w:tcPr>
          <w:p>
            <w:pPr>
              <w:rPr>
                <w:rFonts w:hint="eastAsia" w:ascii="宋体" w:hAnsi="宋体" w:eastAsia="宋体" w:cs="宋体"/>
                <w:color w:val="auto"/>
                <w:highlight w:val="none"/>
              </w:rPr>
            </w:pPr>
            <w:r>
              <w:rPr>
                <w:rFonts w:hint="eastAsia" w:ascii="宋体" w:hAnsi="宋体" w:eastAsia="宋体" w:cs="宋体"/>
                <w:color w:val="auto"/>
                <w:sz w:val="24"/>
                <w:highlight w:val="none"/>
              </w:rPr>
              <w:t>见响应文件第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p>
        </w:tc>
        <w:tc>
          <w:tcPr>
            <w:tcW w:w="4991"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响应文件满足采购文件</w:t>
            </w:r>
            <w:r>
              <w:rPr>
                <w:rFonts w:hint="eastAsia" w:ascii="宋体" w:hAnsi="宋体" w:cs="宋体"/>
                <w:color w:val="auto"/>
                <w:sz w:val="24"/>
                <w:highlight w:val="none"/>
                <w:lang w:eastAsia="zh-CN"/>
              </w:rPr>
              <w:t>的其他</w:t>
            </w:r>
            <w:r>
              <w:rPr>
                <w:rFonts w:hint="eastAsia" w:ascii="宋体" w:hAnsi="宋体" w:eastAsia="宋体" w:cs="宋体"/>
                <w:color w:val="auto"/>
                <w:sz w:val="24"/>
                <w:highlight w:val="none"/>
              </w:rPr>
              <w:t>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采购文件其它实质性要求相应的材料（“▲” 系指实质性要求条款，采购文件</w:t>
            </w:r>
            <w:r>
              <w:rPr>
                <w:rFonts w:hint="eastAsia" w:ascii="宋体" w:hAnsi="宋体" w:cs="宋体"/>
                <w:color w:val="auto"/>
                <w:kern w:val="0"/>
                <w:sz w:val="24"/>
                <w:highlight w:val="none"/>
                <w:lang w:eastAsia="zh-CN"/>
              </w:rPr>
              <w:t>无其他</w:t>
            </w:r>
            <w:r>
              <w:rPr>
                <w:rFonts w:hint="eastAsia" w:ascii="宋体" w:hAnsi="宋体" w:eastAsia="宋体" w:cs="宋体"/>
                <w:color w:val="auto"/>
                <w:kern w:val="0"/>
                <w:sz w:val="24"/>
                <w:highlight w:val="none"/>
              </w:rPr>
              <w:t>实质性要求的，无需提供）</w:t>
            </w:r>
          </w:p>
        </w:tc>
        <w:tc>
          <w:tcPr>
            <w:tcW w:w="1418" w:type="dxa"/>
            <w:vAlign w:val="center"/>
          </w:tcPr>
          <w:p>
            <w:pPr>
              <w:rPr>
                <w:rFonts w:hint="eastAsia" w:ascii="宋体" w:hAnsi="宋体" w:eastAsia="宋体" w:cs="宋体"/>
                <w:color w:val="auto"/>
                <w:highlight w:val="none"/>
              </w:rPr>
            </w:pPr>
            <w:r>
              <w:rPr>
                <w:rFonts w:hint="eastAsia" w:ascii="宋体" w:hAnsi="宋体" w:eastAsia="宋体" w:cs="宋体"/>
                <w:color w:val="auto"/>
                <w:sz w:val="24"/>
                <w:highlight w:val="none"/>
              </w:rPr>
              <w:t>见响应文件第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jc w:val="center"/>
        <w:rPr>
          <w:rFonts w:hint="eastAsia" w:ascii="宋体" w:hAnsi="宋体" w:eastAsia="宋体" w:cs="宋体"/>
          <w:b/>
          <w:bCs/>
          <w:color w:val="auto"/>
          <w:sz w:val="32"/>
          <w:szCs w:val="32"/>
          <w:highlight w:val="none"/>
        </w:rPr>
      </w:pPr>
    </w:p>
    <w:p>
      <w:pPr>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五、评审标准相应的商务技术资料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（按采购文件第四部分评审办法前附表中“响应文件中评审标准相应的商务技术资料目录”提供资料。）</w:t>
      </w:r>
    </w:p>
    <w:p>
      <w:pPr>
        <w:jc w:val="center"/>
        <w:rPr>
          <w:rFonts w:hint="eastAsia" w:ascii="宋体" w:hAnsi="宋体" w:eastAsia="宋体" w:cs="宋体"/>
          <w:b/>
          <w:color w:val="auto"/>
          <w:kern w:val="0"/>
          <w:sz w:val="32"/>
          <w:szCs w:val="32"/>
          <w:highlight w:val="none"/>
        </w:rPr>
      </w:pPr>
    </w:p>
    <w:p>
      <w:pPr>
        <w:snapToGrid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响应文件章节及具体内容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供应商保证：除商务技术偏离表列出的偏离外，供应商响应采购文件的全部要求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sectPr>
          <w:footerReference r:id="rId10" w:type="first"/>
          <w:footerReference r:id="rId9" w:type="default"/>
          <w:pgSz w:w="11906" w:h="16838"/>
          <w:pgMar w:top="1440" w:right="1080" w:bottom="1440" w:left="1080" w:header="851" w:footer="992" w:gutter="0"/>
          <w:cols w:space="720" w:num="1"/>
          <w:titlePg/>
          <w:docGrid w:linePitch="312" w:charSpace="0"/>
        </w:sectPr>
      </w:pPr>
    </w:p>
    <w:p>
      <w:pPr>
        <w:snapToGrid w:val="0"/>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七</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五、不为项目有关人员个人装修住房、婚丧嫁娶、配偶子女工作安排等提供好处；</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pgSz w:w="11906" w:h="16838"/>
          <w:pgMar w:top="1440" w:right="1080" w:bottom="1440" w:left="1080"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bookmarkStart w:id="505" w:name="_Toc26780"/>
      <w:r>
        <w:rPr>
          <w:rFonts w:hint="eastAsia" w:ascii="宋体" w:hAnsi="宋体" w:eastAsia="宋体" w:cs="宋体"/>
          <w:b/>
          <w:color w:val="auto"/>
          <w:kern w:val="0"/>
          <w:sz w:val="36"/>
          <w:szCs w:val="36"/>
          <w:highlight w:val="none"/>
        </w:rPr>
        <w:t>报价文件部分</w:t>
      </w:r>
      <w:bookmarkEnd w:id="505"/>
    </w:p>
    <w:p>
      <w:pPr>
        <w:spacing w:line="360" w:lineRule="auto"/>
        <w:jc w:val="center"/>
        <w:outlineLvl w:val="0"/>
        <w:rPr>
          <w:rFonts w:hint="eastAsia" w:ascii="宋体" w:hAnsi="宋体" w:eastAsia="宋体" w:cs="宋体"/>
          <w:b/>
          <w:color w:val="auto"/>
          <w:kern w:val="0"/>
          <w:sz w:val="36"/>
          <w:szCs w:val="36"/>
          <w:highlight w:val="none"/>
        </w:rPr>
      </w:pPr>
      <w:bookmarkStart w:id="506" w:name="_Toc28096"/>
      <w:r>
        <w:rPr>
          <w:rFonts w:hint="eastAsia" w:ascii="宋体" w:hAnsi="宋体" w:eastAsia="宋体" w:cs="宋体"/>
          <w:b/>
          <w:color w:val="auto"/>
          <w:kern w:val="0"/>
          <w:sz w:val="36"/>
          <w:szCs w:val="36"/>
          <w:highlight w:val="none"/>
        </w:rPr>
        <w:t>目录</w:t>
      </w:r>
      <w:bookmarkEnd w:id="506"/>
    </w:p>
    <w:p>
      <w:pPr>
        <w:spacing w:line="360" w:lineRule="auto"/>
        <w:jc w:val="center"/>
        <w:outlineLvl w:val="9"/>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（1）报价单…………………………………………………………………………（页码）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（2）已标价工程量清单……………………………………………………………（页码）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footerReference r:id="rId13" w:type="first"/>
          <w:headerReference r:id="rId11" w:type="default"/>
          <w:footerReference r:id="rId12" w:type="default"/>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lang w:eastAsia="zh-CN"/>
        </w:rPr>
      </w:pPr>
      <w:bookmarkStart w:id="507" w:name="_Toc24666"/>
      <w:r>
        <w:rPr>
          <w:rFonts w:hint="eastAsia" w:ascii="宋体" w:hAnsi="宋体" w:eastAsia="宋体" w:cs="宋体"/>
          <w:color w:val="auto"/>
          <w:kern w:val="2"/>
          <w:sz w:val="32"/>
          <w:szCs w:val="32"/>
          <w:highlight w:val="none"/>
        </w:rPr>
        <w:t>一、报价单</w:t>
      </w:r>
      <w:r>
        <w:rPr>
          <w:rFonts w:hint="eastAsia" w:ascii="宋体" w:hAnsi="宋体" w:eastAsia="宋体" w:cs="宋体"/>
          <w:color w:val="auto"/>
          <w:kern w:val="2"/>
          <w:sz w:val="32"/>
          <w:szCs w:val="32"/>
          <w:highlight w:val="none"/>
          <w:lang w:eastAsia="zh-CN"/>
        </w:rPr>
        <w:t>（</w:t>
      </w:r>
      <w:r>
        <w:rPr>
          <w:rFonts w:hint="eastAsia" w:ascii="宋体" w:hAnsi="宋体" w:eastAsia="宋体" w:cs="宋体"/>
          <w:color w:val="auto"/>
          <w:kern w:val="2"/>
          <w:sz w:val="32"/>
          <w:szCs w:val="32"/>
          <w:highlight w:val="none"/>
          <w:lang w:val="en-US" w:eastAsia="zh-CN"/>
        </w:rPr>
        <w:t>初次报价</w:t>
      </w:r>
      <w:r>
        <w:rPr>
          <w:rFonts w:hint="eastAsia" w:ascii="宋体" w:hAnsi="宋体" w:eastAsia="宋体" w:cs="宋体"/>
          <w:color w:val="auto"/>
          <w:kern w:val="2"/>
          <w:sz w:val="32"/>
          <w:szCs w:val="32"/>
          <w:highlight w:val="none"/>
          <w:lang w:eastAsia="zh-CN"/>
        </w:rPr>
        <w:t>）</w:t>
      </w:r>
      <w:bookmarkEnd w:id="507"/>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按你方采购文件要求，我们，本响应文件签字方，谨此向你方发出要约如下：如你方接受本投标，我方承诺按照如下报价单的价格完成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【项目编号：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报价单</w:t>
      </w:r>
      <w:r>
        <w:rPr>
          <w:rFonts w:hint="eastAsia" w:ascii="宋体" w:hAnsi="宋体" w:cs="宋体"/>
          <w:b/>
          <w:color w:val="auto"/>
          <w:kern w:val="0"/>
          <w:sz w:val="24"/>
          <w:highlight w:val="none"/>
          <w:lang w:val="zh-CN"/>
        </w:rPr>
        <w:t>（</w:t>
      </w:r>
      <w:r>
        <w:rPr>
          <w:rFonts w:hint="eastAsia" w:ascii="宋体" w:hAnsi="宋体" w:eastAsia="宋体" w:cs="宋体"/>
          <w:b/>
          <w:color w:val="auto"/>
          <w:kern w:val="0"/>
          <w:sz w:val="24"/>
          <w:highlight w:val="none"/>
          <w:lang w:val="zh-CN"/>
        </w:rPr>
        <w:t>单位均为人民币元</w:t>
      </w:r>
      <w:r>
        <w:rPr>
          <w:rFonts w:hint="eastAsia" w:ascii="宋体" w:hAnsi="宋体" w:cs="宋体"/>
          <w:b/>
          <w:color w:val="auto"/>
          <w:kern w:val="0"/>
          <w:sz w:val="24"/>
          <w:highlight w:val="none"/>
          <w:lang w:val="zh-CN"/>
        </w:rPr>
        <w:t>）</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917"/>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9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工程</w:t>
            </w:r>
            <w:r>
              <w:rPr>
                <w:rFonts w:hint="eastAsia" w:ascii="宋体" w:hAnsi="宋体" w:eastAsia="宋体" w:cs="宋体"/>
                <w:color w:val="auto"/>
                <w:kern w:val="0"/>
                <w:sz w:val="24"/>
                <w:szCs w:val="24"/>
                <w:highlight w:val="none"/>
              </w:rPr>
              <w:t>内容</w:t>
            </w:r>
          </w:p>
        </w:tc>
        <w:tc>
          <w:tcPr>
            <w:tcW w:w="512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07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2917"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rPr>
            </w:pPr>
          </w:p>
        </w:tc>
        <w:tc>
          <w:tcPr>
            <w:tcW w:w="512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both"/>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投标总价</w:t>
            </w:r>
          </w:p>
        </w:tc>
        <w:tc>
          <w:tcPr>
            <w:tcW w:w="5125"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both"/>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4" w:hRule="atLeast"/>
          <w:jc w:val="center"/>
        </w:trPr>
        <w:tc>
          <w:tcPr>
            <w:tcW w:w="3994"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投标声明</w:t>
            </w:r>
          </w:p>
        </w:tc>
        <w:tc>
          <w:tcPr>
            <w:tcW w:w="5125" w:type="dxa"/>
            <w:tcBorders>
              <w:top w:val="single" w:color="auto" w:sz="4" w:space="0"/>
              <w:left w:val="single" w:color="auto" w:sz="4" w:space="0"/>
              <w:bottom w:val="single" w:color="auto" w:sz="4" w:space="0"/>
            </w:tcBorders>
            <w:noWrap w:val="0"/>
            <w:vAlign w:val="center"/>
          </w:tcPr>
          <w:p>
            <w:pPr>
              <w:widowControl/>
              <w:adjustRightInd/>
              <w:spacing w:before="240" w:line="360" w:lineRule="auto"/>
              <w:jc w:val="center"/>
              <w:rPr>
                <w:rFonts w:hint="eastAsia" w:ascii="宋体" w:hAnsi="宋体" w:eastAsia="宋体" w:cs="宋体"/>
                <w:color w:val="auto"/>
                <w:kern w:val="0"/>
                <w:sz w:val="24"/>
                <w:szCs w:val="24"/>
                <w:highlight w:val="none"/>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1、供应商需按本表格式填写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响应文件含有采购人不能接受的附加条件，响应文件无效</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响应文件含有采购人不能接受的附加条件，响应文件无效</w:t>
      </w:r>
      <w:r>
        <w:rPr>
          <w:rFonts w:hint="eastAsia" w:ascii="宋体" w:hAnsi="宋体" w:eastAsia="宋体" w:cs="宋体"/>
          <w:b/>
          <w:color w:val="auto"/>
          <w:kern w:val="0"/>
          <w:sz w:val="24"/>
          <w:highlight w:val="none"/>
          <w:lang w:val="zh-CN"/>
        </w:rPr>
        <w:t>；采购内容未包含在《报价单》名称栏中，供应商不能作出合理解释的，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响应文件含有采购人不能接受的附加条件的，响应文件无效。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3、特别提示：采购代理机构将对项目名称和项目编号，成交供应商名称、地址和成交金额等予以公示。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1906" w:h="16838"/>
          <w:pgMar w:top="1080" w:right="1440" w:bottom="1080" w:left="1440" w:header="851" w:footer="992" w:gutter="0"/>
          <w:cols w:space="720" w:num="1"/>
          <w:titlePg/>
          <w:docGrid w:linePitch="312" w:charSpace="0"/>
        </w:sectPr>
      </w:pPr>
    </w:p>
    <w:p>
      <w:pPr>
        <w:pStyle w:val="690"/>
        <w:keepNext w:val="0"/>
        <w:pageBreakBefore w:val="0"/>
        <w:tabs>
          <w:tab w:val="clear" w:pos="720"/>
        </w:tabs>
        <w:snapToGrid w:val="0"/>
        <w:spacing w:before="120" w:after="120"/>
        <w:outlineLvl w:val="9"/>
        <w:rPr>
          <w:rFonts w:hint="eastAsia" w:ascii="宋体" w:hAnsi="宋体" w:eastAsia="宋体" w:cs="宋体"/>
          <w:color w:val="auto"/>
          <w:kern w:val="2"/>
          <w:sz w:val="32"/>
          <w:szCs w:val="32"/>
          <w:highlight w:val="none"/>
        </w:rPr>
      </w:pPr>
      <w:bookmarkStart w:id="508" w:name="_Toc10094"/>
      <w:r>
        <w:rPr>
          <w:rFonts w:hint="eastAsia" w:ascii="宋体" w:hAnsi="宋体" w:eastAsia="宋体" w:cs="宋体"/>
          <w:color w:val="auto"/>
          <w:kern w:val="2"/>
          <w:sz w:val="32"/>
          <w:szCs w:val="32"/>
          <w:highlight w:val="none"/>
        </w:rPr>
        <w:t>二、已标价工程量清单</w:t>
      </w:r>
      <w:bookmarkEnd w:id="508"/>
    </w:p>
    <w:p>
      <w:pPr>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注：按采购文件工程量清单编制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另册</w:t>
      </w:r>
      <w:r>
        <w:rPr>
          <w:rFonts w:hint="eastAsia" w:ascii="宋体" w:hAnsi="宋体" w:eastAsia="宋体" w:cs="宋体"/>
          <w:color w:val="auto"/>
          <w:sz w:val="24"/>
          <w:highlight w:val="none"/>
          <w:lang w:eastAsia="zh-CN"/>
        </w:rPr>
        <w:t>）</w:t>
      </w:r>
    </w:p>
    <w:p>
      <w:pPr>
        <w:pStyle w:val="61"/>
        <w:ind w:firstLine="480"/>
        <w:rPr>
          <w:rFonts w:hint="eastAsia" w:ascii="宋体" w:hAnsi="宋体" w:eastAsia="宋体" w:cs="宋体"/>
          <w:color w:val="auto"/>
          <w:sz w:val="24"/>
          <w:highlight w:val="none"/>
        </w:rPr>
      </w:pPr>
    </w:p>
    <w:p>
      <w:pPr>
        <w:pStyle w:val="61"/>
        <w:ind w:firstLine="480"/>
        <w:rPr>
          <w:rFonts w:hint="eastAsia" w:ascii="宋体" w:hAnsi="宋体" w:eastAsia="宋体" w:cs="宋体"/>
          <w:color w:val="auto"/>
          <w:sz w:val="24"/>
          <w:highlight w:val="none"/>
        </w:rPr>
        <w:sectPr>
          <w:footerReference r:id="rId17" w:type="first"/>
          <w:headerReference r:id="rId14" w:type="default"/>
          <w:footerReference r:id="rId15" w:type="default"/>
          <w:footerReference r:id="rId16" w:type="even"/>
          <w:pgSz w:w="11906" w:h="16838"/>
          <w:pgMar w:top="1440" w:right="1080" w:bottom="1440" w:left="1080"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bookmarkStart w:id="509" w:name="_Toc18108"/>
      <w:r>
        <w:rPr>
          <w:rFonts w:hint="eastAsia" w:ascii="宋体" w:hAnsi="宋体" w:eastAsia="宋体" w:cs="宋体"/>
          <w:color w:val="auto"/>
          <w:kern w:val="2"/>
          <w:sz w:val="32"/>
          <w:szCs w:val="32"/>
          <w:highlight w:val="none"/>
        </w:rPr>
        <w:t>三、</w:t>
      </w:r>
      <w:r>
        <w:rPr>
          <w:rFonts w:hint="eastAsia" w:ascii="宋体" w:hAnsi="宋体" w:eastAsia="宋体" w:cs="宋体"/>
          <w:color w:val="auto"/>
          <w:sz w:val="32"/>
          <w:szCs w:val="32"/>
          <w:highlight w:val="none"/>
        </w:rPr>
        <w:t>中小企业声明函</w:t>
      </w:r>
      <w:bookmarkStart w:id="510" w:name="_Hlk101259491"/>
      <w:r>
        <w:rPr>
          <w:rFonts w:hint="eastAsia" w:ascii="宋体" w:hAnsi="宋体" w:eastAsia="宋体" w:cs="宋体"/>
          <w:color w:val="auto"/>
          <w:sz w:val="32"/>
          <w:szCs w:val="32"/>
          <w:highlight w:val="none"/>
        </w:rPr>
        <w:t>（如果有）</w:t>
      </w:r>
      <w:bookmarkEnd w:id="509"/>
      <w:bookmarkEnd w:id="510"/>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2"/>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511" w:name="_Toc22440"/>
      <w:bookmarkStart w:id="512" w:name="_Toc465665161"/>
      <w:r>
        <w:rPr>
          <w:rFonts w:hint="eastAsia" w:ascii="宋体" w:hAnsi="宋体" w:eastAsia="宋体" w:cs="宋体"/>
          <w:color w:val="auto"/>
          <w:highlight w:val="none"/>
        </w:rPr>
        <w:t>附件</w:t>
      </w:r>
      <w:bookmarkEnd w:id="511"/>
      <w:bookmarkEnd w:id="512"/>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3" w:name="OLE_LINK13"/>
      <w:bookmarkStart w:id="514" w:name="OLE_LINK14"/>
      <w:r>
        <w:rPr>
          <w:rFonts w:hint="eastAsia" w:ascii="宋体" w:hAnsi="宋体" w:eastAsia="宋体" w:cs="宋体"/>
          <w:b/>
          <w:color w:val="auto"/>
          <w:spacing w:val="6"/>
          <w:sz w:val="32"/>
          <w:szCs w:val="32"/>
          <w:highlight w:val="none"/>
        </w:rPr>
        <w:t>残疾人福利性单位声明函</w:t>
      </w:r>
    </w:p>
    <w:bookmarkEnd w:id="513"/>
    <w:bookmarkEnd w:id="514"/>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供应商名称（电子签名）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 xml:space="preserve">：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 xml:space="preserve">：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w:t>
      </w:r>
      <w:r>
        <w:rPr>
          <w:rFonts w:hint="eastAsia" w:ascii="宋体" w:hAnsi="宋体" w:eastAsia="宋体" w:cs="宋体"/>
          <w:color w:val="auto"/>
          <w:sz w:val="24"/>
          <w:highlight w:val="none"/>
        </w:rPr>
        <w:t>供应商全称</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你方组织的（项目名称）项目【项目编号：（采购编号）】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eastAsia="宋体" w:cs="宋体"/>
          <w:b/>
          <w:bCs/>
          <w:color w:val="auto"/>
          <w:sz w:val="24"/>
          <w:highlight w:val="none"/>
        </w:rPr>
        <w:t>供应商</w:t>
      </w:r>
      <w:r>
        <w:rPr>
          <w:rFonts w:hint="eastAsia" w:ascii="宋体" w:hAnsi="宋体" w:eastAsia="宋体" w:cs="宋体"/>
          <w:color w:val="auto"/>
          <w:sz w:val="24"/>
          <w:highlight w:val="none"/>
        </w:rPr>
        <w:t>法定名称章（印模）                供应商“XX专用章”（印模）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keepNext w:val="0"/>
        <w:keepLines w:val="0"/>
        <w:pageBreakBefore w:val="0"/>
        <w:kinsoku/>
        <w:wordWrap/>
        <w:overflowPunct/>
        <w:topLinePunct w:val="0"/>
        <w:autoSpaceDE w:val="0"/>
        <w:autoSpaceDN w:val="0"/>
        <w:bidi w:val="0"/>
        <w:adjustRightInd w:val="0"/>
        <w:spacing w:line="312" w:lineRule="auto"/>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keepNext w:val="0"/>
        <w:keepLines w:val="0"/>
        <w:pageBreakBefore w:val="0"/>
        <w:widowControl/>
        <w:kinsoku/>
        <w:wordWrap/>
        <w:overflowPunct/>
        <w:topLinePunct w:val="0"/>
        <w:bidi w:val="0"/>
        <w:adjustRightInd w:val="0"/>
        <w:spacing w:line="312" w:lineRule="auto"/>
        <w:ind w:firstLine="482" w:firstLineChars="200"/>
        <w:jc w:val="lef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（以联合体形式参与的，提供联合协议；本项目不接受联合体或者供应商不以联合体形式参与的，则不需要提供）</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组成一个联合体，以一个供应商的身份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（项目名称）【项目编号：（采购编号）】</w:t>
      </w:r>
      <w:r>
        <w:rPr>
          <w:rFonts w:hint="eastAsia" w:ascii="宋体" w:hAnsi="宋体" w:eastAsia="宋体" w:cs="宋体"/>
          <w:color w:val="auto"/>
          <w:kern w:val="0"/>
          <w:sz w:val="24"/>
          <w:highlight w:val="none"/>
        </w:rPr>
        <w:t>响应</w:t>
      </w:r>
      <w:r>
        <w:rPr>
          <w:rFonts w:hint="eastAsia" w:ascii="宋体" w:hAnsi="宋体" w:eastAsia="宋体" w:cs="宋体"/>
          <w:color w:val="auto"/>
          <w:kern w:val="0"/>
          <w:sz w:val="24"/>
          <w:highlight w:val="none"/>
          <w:lang w:val="zh-CN"/>
        </w:rPr>
        <w:t xml:space="preserve">。 </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授权代表根据采购文件规定及</w:t>
      </w:r>
      <w:r>
        <w:rPr>
          <w:rFonts w:hint="eastAsia" w:ascii="宋体" w:hAnsi="宋体" w:eastAsia="宋体" w:cs="宋体"/>
          <w:color w:val="auto"/>
          <w:kern w:val="0"/>
          <w:sz w:val="24"/>
          <w:highlight w:val="none"/>
        </w:rPr>
        <w:t>响应内容</w:t>
      </w:r>
      <w:r>
        <w:rPr>
          <w:rFonts w:hint="eastAsia" w:ascii="宋体" w:hAnsi="宋体" w:eastAsia="宋体" w:cs="宋体"/>
          <w:color w:val="auto"/>
          <w:kern w:val="0"/>
          <w:sz w:val="24"/>
          <w:highlight w:val="none"/>
          <w:lang w:val="zh-CN"/>
        </w:rPr>
        <w:t>而对采购人、采购代理机构所作的任何合法承诺，包括书面澄清及</w:t>
      </w:r>
      <w:r>
        <w:rPr>
          <w:rFonts w:hint="eastAsia" w:ascii="宋体" w:hAnsi="宋体" w:cs="宋体"/>
          <w:color w:val="auto"/>
          <w:kern w:val="0"/>
          <w:sz w:val="24"/>
          <w:highlight w:val="none"/>
          <w:lang w:val="zh-CN"/>
        </w:rPr>
        <w:t>响应</w:t>
      </w:r>
      <w:r>
        <w:rPr>
          <w:rFonts w:hint="eastAsia" w:ascii="宋体" w:hAnsi="宋体" w:eastAsia="宋体" w:cs="宋体"/>
          <w:color w:val="auto"/>
          <w:kern w:val="0"/>
          <w:sz w:val="24"/>
          <w:highlight w:val="none"/>
          <w:lang w:val="zh-CN"/>
        </w:rPr>
        <w:t>等均对联合投标各方产生约束力。</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w:t>
      </w:r>
      <w:r>
        <w:rPr>
          <w:rFonts w:hint="eastAsia" w:ascii="宋体" w:hAnsi="宋体" w:eastAsia="宋体" w:cs="宋体"/>
          <w:color w:val="auto"/>
          <w:kern w:val="0"/>
          <w:sz w:val="24"/>
          <w:highlight w:val="none"/>
        </w:rPr>
        <w:t>响应</w:t>
      </w:r>
      <w:r>
        <w:rPr>
          <w:rFonts w:hint="eastAsia" w:ascii="宋体" w:hAnsi="宋体" w:eastAsia="宋体" w:cs="宋体"/>
          <w:color w:val="auto"/>
          <w:kern w:val="0"/>
          <w:sz w:val="24"/>
          <w:highlight w:val="none"/>
          <w:lang w:val="zh-CN"/>
        </w:rPr>
        <w:t>中，分工如下：</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bookmarkStart w:id="515" w:name="_Hlk101134295"/>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bookmarkEnd w:id="515"/>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（联合体成员X,……）</w:t>
      </w:r>
      <w:r>
        <w:rPr>
          <w:rFonts w:hint="eastAsia" w:ascii="宋体" w:hAnsi="宋体" w:eastAsia="宋体" w:cs="宋体"/>
          <w:color w:val="auto"/>
          <w:kern w:val="0"/>
          <w:sz w:val="24"/>
          <w:highlight w:val="none"/>
        </w:rPr>
        <w:t>提供的全部工程由小微企业承建，其合同份额占到合同总金额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w:t>
      </w:r>
      <w:r>
        <w:rPr>
          <w:rFonts w:hint="eastAsia" w:ascii="宋体" w:hAnsi="宋体" w:eastAsia="宋体" w:cs="宋体"/>
          <w:b/>
          <w:color w:val="auto"/>
          <w:kern w:val="0"/>
          <w:sz w:val="24"/>
          <w:highlight w:val="none"/>
        </w:rPr>
        <w:t>磋商</w:t>
      </w:r>
      <w:r>
        <w:rPr>
          <w:rFonts w:hint="eastAsia" w:ascii="宋体" w:hAnsi="宋体" w:eastAsia="宋体" w:cs="宋体"/>
          <w:b/>
          <w:color w:val="auto"/>
          <w:kern w:val="0"/>
          <w:sz w:val="24"/>
          <w:highlight w:val="none"/>
          <w:lang w:val="zh-CN"/>
        </w:rPr>
        <w:t>的，联合协议约定小微企业的合同份额占到合同总金额30%以上的，对联合体报价给予</w:t>
      </w:r>
      <w:r>
        <w:rPr>
          <w:rFonts w:hint="eastAsia" w:ascii="宋体" w:hAnsi="宋体" w:eastAsia="宋体" w:cs="宋体"/>
          <w:b/>
          <w:color w:val="auto"/>
          <w:kern w:val="0"/>
          <w:sz w:val="24"/>
          <w:highlight w:val="none"/>
        </w:rPr>
        <w:t>2</w:t>
      </w:r>
      <w:r>
        <w:rPr>
          <w:rFonts w:hint="eastAsia" w:ascii="宋体" w:hAnsi="宋体" w:eastAsia="宋体" w:cs="宋体"/>
          <w:b/>
          <w:color w:val="auto"/>
          <w:kern w:val="0"/>
          <w:sz w:val="24"/>
          <w:highlight w:val="none"/>
          <w:lang w:val="zh-CN"/>
        </w:rPr>
        <w:t>%的扣除。供应商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五、如果成交，</w:t>
      </w:r>
      <w:r>
        <w:rPr>
          <w:rFonts w:hint="eastAsia" w:ascii="宋体" w:hAnsi="宋体" w:eastAsia="宋体" w:cs="宋体"/>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w:t>
      </w:r>
      <w:r>
        <w:rPr>
          <w:rFonts w:hint="eastAsia" w:ascii="宋体" w:hAnsi="宋体" w:eastAsia="宋体" w:cs="宋体"/>
          <w:color w:val="auto"/>
          <w:kern w:val="0"/>
          <w:sz w:val="24"/>
          <w:highlight w:val="none"/>
        </w:rPr>
        <w:t>响应</w:t>
      </w:r>
      <w:r>
        <w:rPr>
          <w:rFonts w:hint="eastAsia" w:ascii="宋体" w:hAnsi="宋体" w:eastAsia="宋体" w:cs="宋体"/>
          <w:color w:val="auto"/>
          <w:kern w:val="0"/>
          <w:sz w:val="24"/>
          <w:highlight w:val="none"/>
          <w:lang w:val="zh-CN"/>
        </w:rPr>
        <w:t>的其他事宜：</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bidi w:val="0"/>
        <w:adjustRightInd w:val="0"/>
        <w:snapToGrid w:val="0"/>
        <w:spacing w:line="312" w:lineRule="auto"/>
        <w:ind w:firstLine="576"/>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bidi w:val="0"/>
        <w:adjustRightInd w:val="0"/>
        <w:snapToGrid w:val="0"/>
        <w:spacing w:line="312" w:lineRule="auto"/>
        <w:ind w:firstLine="5040" w:firstLineChars="21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电子签名/公章</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bidi w:val="0"/>
        <w:adjustRightInd w:val="0"/>
        <w:snapToGrid w:val="0"/>
        <w:spacing w:line="312" w:lineRule="auto"/>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keepNext w:val="0"/>
        <w:keepLines w:val="0"/>
        <w:pageBreakBefore w:val="0"/>
        <w:kinsoku/>
        <w:wordWrap/>
        <w:overflowPunct/>
        <w:topLinePunct w:val="0"/>
        <w:bidi w:val="0"/>
        <w:adjustRightInd w:val="0"/>
        <w:spacing w:line="312" w:lineRule="auto"/>
        <w:ind w:right="42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（项目名称）【项目编号：（采购编号）】</w:t>
      </w:r>
      <w:r>
        <w:rPr>
          <w:rFonts w:hint="eastAsia" w:ascii="宋体" w:hAnsi="宋体" w:eastAsia="宋体" w:cs="宋体"/>
          <w:color w:val="auto"/>
          <w:kern w:val="0"/>
          <w:sz w:val="24"/>
          <w:highlight w:val="none"/>
          <w:lang w:val="zh-CN"/>
        </w:rPr>
        <w:t>的成交供应商，将依法采取分包方式履行合同。</w:t>
      </w: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3"/>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（分包供应商X,……）提供的工程全部由小微企业承建，</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（未预留份额专门面向中小企业采购的采购项目，以及预留份额中的非预留部分采购包，允许分包的，分包意向协议约定小微企业的合同份额占到合同总金额30%以上的，对大中型企业的报价给予</w:t>
      </w:r>
      <w:r>
        <w:rPr>
          <w:rFonts w:hint="eastAsia" w:ascii="宋体" w:hAnsi="宋体" w:eastAsia="宋体" w:cs="宋体"/>
          <w:b/>
          <w:color w:val="auto"/>
          <w:kern w:val="0"/>
          <w:sz w:val="24"/>
          <w:highlight w:val="none"/>
        </w:rPr>
        <w:t>2</w:t>
      </w:r>
      <w:r>
        <w:rPr>
          <w:rFonts w:hint="eastAsia" w:ascii="宋体" w:hAnsi="宋体" w:eastAsia="宋体" w:cs="宋体"/>
          <w:b/>
          <w:color w:val="auto"/>
          <w:kern w:val="0"/>
          <w:sz w:val="24"/>
          <w:highlight w:val="none"/>
          <w:lang w:val="zh-CN"/>
        </w:rPr>
        <w:t>%的扣除。供应商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6"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要求合同分包形式参加的项目或采购包，供应商按采购文件第一部分竞争性磋商公告申请人的资格要求中规定的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bookmarkEnd w:id="516"/>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供应商名称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color w:val="auto"/>
          <w:kern w:val="0"/>
          <w:sz w:val="24"/>
          <w:highlight w:val="none"/>
          <w:lang w:val="zh-CN"/>
        </w:rPr>
        <w:t xml:space="preserve">                                        日期：  年  月   日</w:t>
      </w:r>
    </w:p>
    <w:p>
      <w:pPr>
        <w:autoSpaceDE w:val="0"/>
        <w:autoSpaceDN w:val="0"/>
        <w:jc w:val="center"/>
        <w:rPr>
          <w:rFonts w:hint="eastAsia" w:ascii="宋体" w:hAnsi="宋体" w:eastAsia="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autoSpaceDE w:val="0"/>
        <w:autoSpaceDN w:val="0"/>
        <w:jc w:val="center"/>
        <w:outlineLvl w:val="0"/>
        <w:rPr>
          <w:rFonts w:hint="eastAsia" w:ascii="宋体" w:hAnsi="宋体" w:eastAsia="宋体" w:cs="宋体"/>
          <w:b/>
          <w:bCs/>
          <w:color w:val="auto"/>
          <w:sz w:val="32"/>
          <w:szCs w:val="32"/>
          <w:highlight w:val="none"/>
        </w:rPr>
      </w:pPr>
      <w:bookmarkStart w:id="517" w:name="_Toc13069"/>
      <w:r>
        <w:rPr>
          <w:rFonts w:hint="eastAsia" w:ascii="宋体" w:hAnsi="宋体" w:eastAsia="宋体" w:cs="宋体"/>
          <w:b/>
          <w:color w:val="auto"/>
          <w:spacing w:val="6"/>
          <w:sz w:val="32"/>
          <w:szCs w:val="32"/>
          <w:highlight w:val="none"/>
        </w:rPr>
        <w:t>附件7：</w:t>
      </w:r>
      <w:r>
        <w:rPr>
          <w:rFonts w:hint="eastAsia" w:ascii="宋体" w:hAnsi="宋体" w:eastAsia="宋体" w:cs="宋体"/>
          <w:b/>
          <w:color w:val="auto"/>
          <w:sz w:val="32"/>
          <w:szCs w:val="32"/>
          <w:highlight w:val="none"/>
        </w:rPr>
        <w:t>中小企业声明函</w:t>
      </w:r>
      <w:bookmarkEnd w:id="517"/>
    </w:p>
    <w:p>
      <w:pPr>
        <w:spacing w:line="360" w:lineRule="auto"/>
        <w:jc w:val="center"/>
        <w:rPr>
          <w:rFonts w:hint="eastAsia" w:ascii="宋体" w:hAnsi="宋体" w:eastAsia="宋体" w:cs="宋体"/>
          <w:color w:val="auto"/>
          <w:sz w:val="24"/>
          <w:highlight w:val="none"/>
          <w:u w:val="single"/>
        </w:rPr>
      </w:pPr>
    </w:p>
    <w:p>
      <w:pPr>
        <w:spacing w:line="360" w:lineRule="auto"/>
        <w:jc w:val="center"/>
        <w:outlineLvl w:val="0"/>
        <w:rPr>
          <w:rFonts w:hint="eastAsia" w:ascii="宋体" w:hAnsi="宋体" w:eastAsia="宋体" w:cs="宋体"/>
          <w:b/>
          <w:color w:val="auto"/>
          <w:sz w:val="32"/>
          <w:szCs w:val="32"/>
          <w:highlight w:val="none"/>
        </w:rPr>
      </w:pPr>
      <w:bookmarkStart w:id="518" w:name="_Toc9804"/>
      <w:r>
        <w:rPr>
          <w:rFonts w:hint="eastAsia" w:ascii="宋体" w:hAnsi="宋体" w:eastAsia="宋体" w:cs="宋体"/>
          <w:b/>
          <w:color w:val="auto"/>
          <w:sz w:val="32"/>
          <w:szCs w:val="32"/>
          <w:highlight w:val="none"/>
        </w:rPr>
        <w:t>中小企业声明函（工程）</w:t>
      </w:r>
      <w:bookmarkEnd w:id="518"/>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u w:val="single"/>
          <w:lang w:eastAsia="zh-CN"/>
        </w:rPr>
        <w:t>：</w:t>
      </w:r>
      <w:r>
        <w:rPr>
          <w:rFonts w:hint="eastAsia" w:ascii="宋体" w:hAnsi="宋体" w:cs="宋体"/>
          <w:color w:val="auto"/>
          <w:kern w:val="0"/>
          <w:sz w:val="24"/>
          <w:highlight w:val="none"/>
          <w:u w:val="single"/>
          <w:lang w:eastAsia="zh-CN"/>
        </w:rPr>
        <w:t>海曙区西门望春社区卫生服务中心住院楼装修改造项目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u w:val="single"/>
          <w:lang w:eastAsia="zh-CN"/>
        </w:rPr>
        <w:t>：</w:t>
      </w:r>
      <w:r>
        <w:rPr>
          <w:rFonts w:hint="eastAsia" w:ascii="宋体" w:hAnsi="宋体" w:eastAsia="宋体" w:cs="宋体"/>
          <w:color w:val="auto"/>
          <w:sz w:val="24"/>
          <w:highlight w:val="none"/>
          <w:u w:val="single"/>
        </w:rPr>
        <w:t>建筑业）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电子签名</w:t>
      </w:r>
      <w:r>
        <w:rPr>
          <w:rFonts w:hint="eastAsia" w:ascii="宋体" w:hAnsi="宋体" w:cs="宋体"/>
          <w:color w:val="auto"/>
          <w:kern w:val="0"/>
          <w:sz w:val="24"/>
          <w:highlight w:val="none"/>
          <w:lang w:val="zh-CN"/>
        </w:rPr>
        <w:t>）</w:t>
      </w: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left"/>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right="420" w:firstLine="480" w:firstLineChars="200"/>
        <w:rPr>
          <w:rFonts w:hint="eastAsia" w:ascii="宋体" w:hAnsi="宋体" w:eastAsia="宋体" w:cs="宋体"/>
          <w:b/>
          <w:color w:val="auto"/>
          <w:sz w:val="32"/>
          <w:szCs w:val="32"/>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kern w:val="2"/>
          <w:sz w:val="24"/>
          <w:szCs w:val="24"/>
          <w:highlight w:val="none"/>
          <w:lang w:bidi="ar"/>
        </w:rPr>
        <w:t>本项目对应的中小企业划分标准所属行业：</w:t>
      </w:r>
      <w:r>
        <w:rPr>
          <w:rFonts w:hint="eastAsia" w:ascii="宋体" w:hAnsi="宋体" w:eastAsia="宋体" w:cs="宋体"/>
          <w:b/>
          <w:bCs/>
          <w:color w:val="auto"/>
          <w:kern w:val="2"/>
          <w:sz w:val="24"/>
          <w:szCs w:val="24"/>
          <w:highlight w:val="none"/>
          <w:u w:val="single"/>
          <w:lang w:val="en-US" w:eastAsia="zh-CN" w:bidi="ar"/>
        </w:rPr>
        <w:t>建筑业</w:t>
      </w:r>
      <w:r>
        <w:rPr>
          <w:rFonts w:hint="eastAsia" w:ascii="宋体" w:hAnsi="宋体" w:eastAsia="宋体" w:cs="宋体"/>
          <w:color w:val="auto"/>
          <w:kern w:val="2"/>
          <w:sz w:val="24"/>
          <w:szCs w:val="24"/>
          <w:highlight w:val="none"/>
          <w:lang w:bidi="ar"/>
        </w:rPr>
        <w:t>。 划分标准</w:t>
      </w:r>
      <w:r>
        <w:rPr>
          <w:rFonts w:hint="eastAsia" w:ascii="宋体" w:hAnsi="宋体" w:eastAsia="宋体" w:cs="宋体"/>
          <w:color w:val="auto"/>
          <w:kern w:val="2"/>
          <w:sz w:val="24"/>
          <w:szCs w:val="24"/>
          <w:highlight w:val="none"/>
          <w:lang w:eastAsia="zh-CN" w:bidi="ar"/>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pStyle w:val="24"/>
        <w:rPr>
          <w:rFonts w:hint="eastAsia" w:ascii="宋体" w:hAnsi="宋体" w:eastAsia="宋体" w:cs="宋体"/>
          <w:color w:val="auto"/>
          <w:highlight w:val="none"/>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UI Symbo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83</w:t>
    </w:r>
    <w:r>
      <w:rPr>
        <w:rFonts w:hint="eastAsia" w:ascii="仿宋_GB2312" w:eastAsia="仿宋_GB2312"/>
        <w:kern w:val="0"/>
        <w:szCs w:val="21"/>
      </w:rPr>
      <w:fldChar w:fldCharType="end"/>
    </w:r>
    <w:bookmarkStart w:id="519" w:name="_Toc164085800"/>
    <w:bookmarkStart w:id="520" w:name="_Toc91899912"/>
    <w:bookmarkStart w:id="521" w:name="_Toc131845147"/>
    <w:bookmarkStart w:id="522" w:name="_Toc36110187"/>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B7C36"/>
    <w:multiLevelType w:val="singleLevel"/>
    <w:tmpl w:val="93BB7C36"/>
    <w:lvl w:ilvl="0" w:tentative="0">
      <w:start w:val="1"/>
      <w:numFmt w:val="decimal"/>
      <w:suff w:val="nothing"/>
      <w:lvlText w:val="（%1）"/>
      <w:lvlJc w:val="left"/>
    </w:lvl>
  </w:abstractNum>
  <w:abstractNum w:abstractNumId="1">
    <w:nsid w:val="DC18356E"/>
    <w:multiLevelType w:val="singleLevel"/>
    <w:tmpl w:val="DC18356E"/>
    <w:lvl w:ilvl="0" w:tentative="0">
      <w:start w:val="1"/>
      <w:numFmt w:val="decimal"/>
      <w:suff w:val="nothing"/>
      <w:lvlText w:val="%1、"/>
      <w:lvlJc w:val="left"/>
      <w:pPr>
        <w:ind w:left="120" w:firstLine="0"/>
      </w:pPr>
      <w:rPr>
        <w:rFonts w:hint="default"/>
        <w:b/>
        <w:bCs/>
      </w:rPr>
    </w:lvl>
  </w:abstractNum>
  <w:abstractNum w:abstractNumId="2">
    <w:nsid w:val="00000001"/>
    <w:multiLevelType w:val="singleLevel"/>
    <w:tmpl w:val="00000001"/>
    <w:lvl w:ilvl="0" w:tentative="0">
      <w:start w:val="1"/>
      <w:numFmt w:val="decimal"/>
      <w:lvlText w:val="%1."/>
      <w:lvlJc w:val="left"/>
      <w:pPr>
        <w:tabs>
          <w:tab w:val="left" w:pos="360"/>
        </w:tabs>
        <w:ind w:left="360" w:hanging="360"/>
      </w:pPr>
    </w:lvl>
  </w:abstractNum>
  <w:abstractNum w:abstractNumId="3">
    <w:nsid w:val="1126C2C1"/>
    <w:multiLevelType w:val="singleLevel"/>
    <w:tmpl w:val="1126C2C1"/>
    <w:lvl w:ilvl="0" w:tentative="0">
      <w:start w:val="1"/>
      <w:numFmt w:val="bullet"/>
      <w:lvlText w:val=""/>
      <w:lvlJc w:val="left"/>
      <w:pPr>
        <w:ind w:left="420" w:hanging="42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19"/>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ZmRmZWEwZTc0MGE0MmZiMzEzOWJiNzViNDE0OT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17D"/>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45F"/>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761"/>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4FC"/>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01675"/>
    <w:rsid w:val="011B5A3A"/>
    <w:rsid w:val="011F6449"/>
    <w:rsid w:val="01236AFB"/>
    <w:rsid w:val="019F7441"/>
    <w:rsid w:val="01B37585"/>
    <w:rsid w:val="01C65DA5"/>
    <w:rsid w:val="01D55165"/>
    <w:rsid w:val="01DF6BF8"/>
    <w:rsid w:val="01EC2C57"/>
    <w:rsid w:val="025F0711"/>
    <w:rsid w:val="026B2E25"/>
    <w:rsid w:val="02824D4D"/>
    <w:rsid w:val="02DC4B10"/>
    <w:rsid w:val="02DD76CE"/>
    <w:rsid w:val="02F36323"/>
    <w:rsid w:val="02F5619C"/>
    <w:rsid w:val="0326446A"/>
    <w:rsid w:val="032D5555"/>
    <w:rsid w:val="036634D2"/>
    <w:rsid w:val="03DD35E4"/>
    <w:rsid w:val="03F040A4"/>
    <w:rsid w:val="04076900"/>
    <w:rsid w:val="041A5A3B"/>
    <w:rsid w:val="042311BA"/>
    <w:rsid w:val="042B157A"/>
    <w:rsid w:val="048F763B"/>
    <w:rsid w:val="049F330E"/>
    <w:rsid w:val="04AA775C"/>
    <w:rsid w:val="04AF1889"/>
    <w:rsid w:val="04C64E6C"/>
    <w:rsid w:val="04F66F48"/>
    <w:rsid w:val="05251E14"/>
    <w:rsid w:val="05A16594"/>
    <w:rsid w:val="05A7762D"/>
    <w:rsid w:val="060E5941"/>
    <w:rsid w:val="06110FAF"/>
    <w:rsid w:val="061E21DC"/>
    <w:rsid w:val="06493CA7"/>
    <w:rsid w:val="065A6178"/>
    <w:rsid w:val="066F1CF3"/>
    <w:rsid w:val="06930BB8"/>
    <w:rsid w:val="07245D42"/>
    <w:rsid w:val="07264C62"/>
    <w:rsid w:val="0779354C"/>
    <w:rsid w:val="07A46B95"/>
    <w:rsid w:val="07B8379D"/>
    <w:rsid w:val="08061376"/>
    <w:rsid w:val="08452D77"/>
    <w:rsid w:val="086401F8"/>
    <w:rsid w:val="08661343"/>
    <w:rsid w:val="08751CAA"/>
    <w:rsid w:val="087A3B73"/>
    <w:rsid w:val="087E4C40"/>
    <w:rsid w:val="08923AEE"/>
    <w:rsid w:val="08A871D0"/>
    <w:rsid w:val="08D079DD"/>
    <w:rsid w:val="08D66AD6"/>
    <w:rsid w:val="08DA33A3"/>
    <w:rsid w:val="08E80F13"/>
    <w:rsid w:val="090A367E"/>
    <w:rsid w:val="09175C96"/>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703465"/>
    <w:rsid w:val="0A73514E"/>
    <w:rsid w:val="0A797E2C"/>
    <w:rsid w:val="0AA374A5"/>
    <w:rsid w:val="0AAB7649"/>
    <w:rsid w:val="0ABC5606"/>
    <w:rsid w:val="0AFA273F"/>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40791B"/>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B7B98"/>
    <w:rsid w:val="105D0EB6"/>
    <w:rsid w:val="10646583"/>
    <w:rsid w:val="107D4B15"/>
    <w:rsid w:val="108A3C80"/>
    <w:rsid w:val="10C26171"/>
    <w:rsid w:val="10F33360"/>
    <w:rsid w:val="10FC16EA"/>
    <w:rsid w:val="110F1D40"/>
    <w:rsid w:val="11266F33"/>
    <w:rsid w:val="118963A1"/>
    <w:rsid w:val="11C6522A"/>
    <w:rsid w:val="11C94643"/>
    <w:rsid w:val="11E104CC"/>
    <w:rsid w:val="11E20309"/>
    <w:rsid w:val="12255233"/>
    <w:rsid w:val="12530213"/>
    <w:rsid w:val="127723A9"/>
    <w:rsid w:val="12862074"/>
    <w:rsid w:val="12883966"/>
    <w:rsid w:val="129E45B4"/>
    <w:rsid w:val="12D81596"/>
    <w:rsid w:val="13072A44"/>
    <w:rsid w:val="134A0092"/>
    <w:rsid w:val="134B1FA7"/>
    <w:rsid w:val="135F4BE2"/>
    <w:rsid w:val="139B1A0A"/>
    <w:rsid w:val="139D25C7"/>
    <w:rsid w:val="13BF3CE4"/>
    <w:rsid w:val="141008D8"/>
    <w:rsid w:val="14125FE6"/>
    <w:rsid w:val="146D271E"/>
    <w:rsid w:val="14982588"/>
    <w:rsid w:val="149A5AD9"/>
    <w:rsid w:val="149E38CE"/>
    <w:rsid w:val="14A7619D"/>
    <w:rsid w:val="150536C3"/>
    <w:rsid w:val="150C1963"/>
    <w:rsid w:val="151447A0"/>
    <w:rsid w:val="152B4878"/>
    <w:rsid w:val="154A6454"/>
    <w:rsid w:val="15762120"/>
    <w:rsid w:val="15E61562"/>
    <w:rsid w:val="16155F5D"/>
    <w:rsid w:val="16645DAC"/>
    <w:rsid w:val="16A8729C"/>
    <w:rsid w:val="16B33777"/>
    <w:rsid w:val="16BC70A7"/>
    <w:rsid w:val="16C6339E"/>
    <w:rsid w:val="170671B4"/>
    <w:rsid w:val="172F2D79"/>
    <w:rsid w:val="17557BEF"/>
    <w:rsid w:val="17D349C1"/>
    <w:rsid w:val="1830729E"/>
    <w:rsid w:val="1870062C"/>
    <w:rsid w:val="18817102"/>
    <w:rsid w:val="18830A15"/>
    <w:rsid w:val="18852B28"/>
    <w:rsid w:val="188B5321"/>
    <w:rsid w:val="19232435"/>
    <w:rsid w:val="19932372"/>
    <w:rsid w:val="19A20DD5"/>
    <w:rsid w:val="19AE03F1"/>
    <w:rsid w:val="1A071A03"/>
    <w:rsid w:val="1A1F16AE"/>
    <w:rsid w:val="1A3B5C77"/>
    <w:rsid w:val="1A7935F0"/>
    <w:rsid w:val="1A984BAD"/>
    <w:rsid w:val="1AB8220E"/>
    <w:rsid w:val="1AE4166C"/>
    <w:rsid w:val="1AF06CFB"/>
    <w:rsid w:val="1AF11B8D"/>
    <w:rsid w:val="1B11359C"/>
    <w:rsid w:val="1B2A271F"/>
    <w:rsid w:val="1B530544"/>
    <w:rsid w:val="1B713184"/>
    <w:rsid w:val="1B864A41"/>
    <w:rsid w:val="1BA209CF"/>
    <w:rsid w:val="1BB4777D"/>
    <w:rsid w:val="1BCA69C2"/>
    <w:rsid w:val="1BD75AB8"/>
    <w:rsid w:val="1C0459C2"/>
    <w:rsid w:val="1C1B3B4A"/>
    <w:rsid w:val="1C7725CD"/>
    <w:rsid w:val="1C88086E"/>
    <w:rsid w:val="1D266CE1"/>
    <w:rsid w:val="1D3963AF"/>
    <w:rsid w:val="1D3D0FE5"/>
    <w:rsid w:val="1D6A673C"/>
    <w:rsid w:val="1D9247AE"/>
    <w:rsid w:val="1DB567EC"/>
    <w:rsid w:val="1DF51A98"/>
    <w:rsid w:val="1E3D060F"/>
    <w:rsid w:val="1E3F7D2E"/>
    <w:rsid w:val="1E4134E4"/>
    <w:rsid w:val="1E5062B3"/>
    <w:rsid w:val="1E523514"/>
    <w:rsid w:val="1E714A66"/>
    <w:rsid w:val="1E802593"/>
    <w:rsid w:val="1E8B6156"/>
    <w:rsid w:val="1EA703CC"/>
    <w:rsid w:val="1EB7330C"/>
    <w:rsid w:val="1EC50DA5"/>
    <w:rsid w:val="1F0A0FF3"/>
    <w:rsid w:val="1F5771FF"/>
    <w:rsid w:val="1F904124"/>
    <w:rsid w:val="1FE868A9"/>
    <w:rsid w:val="20034907"/>
    <w:rsid w:val="20173E4B"/>
    <w:rsid w:val="204E48BC"/>
    <w:rsid w:val="208921B3"/>
    <w:rsid w:val="20973DEB"/>
    <w:rsid w:val="20B26522"/>
    <w:rsid w:val="20B44310"/>
    <w:rsid w:val="20EF2BFD"/>
    <w:rsid w:val="211116EB"/>
    <w:rsid w:val="216133FC"/>
    <w:rsid w:val="219F3832"/>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C4323"/>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260D41"/>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D40174"/>
    <w:rsid w:val="2CE82D6F"/>
    <w:rsid w:val="2D1C3A00"/>
    <w:rsid w:val="2D343236"/>
    <w:rsid w:val="2DD15014"/>
    <w:rsid w:val="2DF72DE4"/>
    <w:rsid w:val="2E0220AF"/>
    <w:rsid w:val="2E4B082A"/>
    <w:rsid w:val="2E5D4E86"/>
    <w:rsid w:val="2E5D790B"/>
    <w:rsid w:val="2E6D4BB5"/>
    <w:rsid w:val="2E9A3C18"/>
    <w:rsid w:val="2EBB0FEE"/>
    <w:rsid w:val="2EC63002"/>
    <w:rsid w:val="2F0A6B38"/>
    <w:rsid w:val="2F6F0207"/>
    <w:rsid w:val="2F752057"/>
    <w:rsid w:val="2F946CCB"/>
    <w:rsid w:val="2FD25781"/>
    <w:rsid w:val="2FDC745C"/>
    <w:rsid w:val="2FFD7934"/>
    <w:rsid w:val="302E3742"/>
    <w:rsid w:val="30733ACD"/>
    <w:rsid w:val="308C3862"/>
    <w:rsid w:val="309379D8"/>
    <w:rsid w:val="30A270F7"/>
    <w:rsid w:val="30DF1478"/>
    <w:rsid w:val="30E90273"/>
    <w:rsid w:val="30EC586F"/>
    <w:rsid w:val="319C6071"/>
    <w:rsid w:val="31A11ECE"/>
    <w:rsid w:val="31AC537E"/>
    <w:rsid w:val="31E3679B"/>
    <w:rsid w:val="31E732FD"/>
    <w:rsid w:val="32517576"/>
    <w:rsid w:val="32A30D11"/>
    <w:rsid w:val="32BE5C2C"/>
    <w:rsid w:val="32D63C1D"/>
    <w:rsid w:val="32FB6478"/>
    <w:rsid w:val="33024A12"/>
    <w:rsid w:val="332410BB"/>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B82E98"/>
    <w:rsid w:val="36EC0CC9"/>
    <w:rsid w:val="373F410B"/>
    <w:rsid w:val="37EE7094"/>
    <w:rsid w:val="38296C89"/>
    <w:rsid w:val="383002EB"/>
    <w:rsid w:val="38586797"/>
    <w:rsid w:val="38BC0149"/>
    <w:rsid w:val="38D87D1C"/>
    <w:rsid w:val="39636459"/>
    <w:rsid w:val="396B7F6C"/>
    <w:rsid w:val="39B417A9"/>
    <w:rsid w:val="39FC5695"/>
    <w:rsid w:val="3A006D8E"/>
    <w:rsid w:val="3A204F94"/>
    <w:rsid w:val="3A2C112E"/>
    <w:rsid w:val="3A3651E5"/>
    <w:rsid w:val="3A5F7F1F"/>
    <w:rsid w:val="3A744481"/>
    <w:rsid w:val="3A8C7BEF"/>
    <w:rsid w:val="3A906246"/>
    <w:rsid w:val="3B2349B7"/>
    <w:rsid w:val="3B616CFF"/>
    <w:rsid w:val="3B6259F6"/>
    <w:rsid w:val="3B976654"/>
    <w:rsid w:val="3BC01EFC"/>
    <w:rsid w:val="3BCA786A"/>
    <w:rsid w:val="3BD31E2F"/>
    <w:rsid w:val="3BF15831"/>
    <w:rsid w:val="3C105946"/>
    <w:rsid w:val="3C471448"/>
    <w:rsid w:val="3C4B06D6"/>
    <w:rsid w:val="3C5F759A"/>
    <w:rsid w:val="3C6C525A"/>
    <w:rsid w:val="3C8E7B71"/>
    <w:rsid w:val="3CCE23CB"/>
    <w:rsid w:val="3CD17D17"/>
    <w:rsid w:val="3D2F373D"/>
    <w:rsid w:val="3D3C7F39"/>
    <w:rsid w:val="3D440F09"/>
    <w:rsid w:val="3D4504A0"/>
    <w:rsid w:val="3D8734BB"/>
    <w:rsid w:val="3D9A11D4"/>
    <w:rsid w:val="3DA16D89"/>
    <w:rsid w:val="3DA364BE"/>
    <w:rsid w:val="3DDF36A1"/>
    <w:rsid w:val="3DE041CB"/>
    <w:rsid w:val="3E0D48F6"/>
    <w:rsid w:val="3E1868B4"/>
    <w:rsid w:val="3E377251"/>
    <w:rsid w:val="3E42664B"/>
    <w:rsid w:val="3E5A7334"/>
    <w:rsid w:val="3E7B5D6B"/>
    <w:rsid w:val="3E843E66"/>
    <w:rsid w:val="3E8F51FE"/>
    <w:rsid w:val="3E926F87"/>
    <w:rsid w:val="3E9A59DE"/>
    <w:rsid w:val="3EAF4836"/>
    <w:rsid w:val="3EC33DFA"/>
    <w:rsid w:val="3EFC7B0D"/>
    <w:rsid w:val="3F060E16"/>
    <w:rsid w:val="3F1D1096"/>
    <w:rsid w:val="3F2F0234"/>
    <w:rsid w:val="3F6363FE"/>
    <w:rsid w:val="3F756B8F"/>
    <w:rsid w:val="3F95482B"/>
    <w:rsid w:val="4019356B"/>
    <w:rsid w:val="40592157"/>
    <w:rsid w:val="4065715E"/>
    <w:rsid w:val="406E1CAE"/>
    <w:rsid w:val="40A0133A"/>
    <w:rsid w:val="40C31A53"/>
    <w:rsid w:val="40FF545D"/>
    <w:rsid w:val="410067C8"/>
    <w:rsid w:val="416176D3"/>
    <w:rsid w:val="418F0D2A"/>
    <w:rsid w:val="41D01505"/>
    <w:rsid w:val="422C0B41"/>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C37AA"/>
    <w:rsid w:val="449101DD"/>
    <w:rsid w:val="44DE1391"/>
    <w:rsid w:val="451B225C"/>
    <w:rsid w:val="452410C9"/>
    <w:rsid w:val="45317DFB"/>
    <w:rsid w:val="456D3CE4"/>
    <w:rsid w:val="4579042C"/>
    <w:rsid w:val="457F0571"/>
    <w:rsid w:val="45851176"/>
    <w:rsid w:val="45C55BC2"/>
    <w:rsid w:val="45C63B94"/>
    <w:rsid w:val="460E7DA5"/>
    <w:rsid w:val="46422483"/>
    <w:rsid w:val="464622B6"/>
    <w:rsid w:val="4659254A"/>
    <w:rsid w:val="465B0637"/>
    <w:rsid w:val="465E3F0D"/>
    <w:rsid w:val="466A16E6"/>
    <w:rsid w:val="46893F2B"/>
    <w:rsid w:val="46C444E6"/>
    <w:rsid w:val="46C4686E"/>
    <w:rsid w:val="477B778F"/>
    <w:rsid w:val="478203EC"/>
    <w:rsid w:val="47B025FA"/>
    <w:rsid w:val="4809698F"/>
    <w:rsid w:val="4811697D"/>
    <w:rsid w:val="487A3E25"/>
    <w:rsid w:val="488B5503"/>
    <w:rsid w:val="48937E21"/>
    <w:rsid w:val="489A0361"/>
    <w:rsid w:val="48A8102D"/>
    <w:rsid w:val="48AD6D29"/>
    <w:rsid w:val="48B94FF3"/>
    <w:rsid w:val="48E37AAB"/>
    <w:rsid w:val="48FD4B4C"/>
    <w:rsid w:val="490A68E0"/>
    <w:rsid w:val="491055FE"/>
    <w:rsid w:val="495F5B3E"/>
    <w:rsid w:val="496F77D7"/>
    <w:rsid w:val="497654FD"/>
    <w:rsid w:val="497756A4"/>
    <w:rsid w:val="49B64211"/>
    <w:rsid w:val="49D41AAC"/>
    <w:rsid w:val="49F6167F"/>
    <w:rsid w:val="4A064FA0"/>
    <w:rsid w:val="4A16615C"/>
    <w:rsid w:val="4A4424D7"/>
    <w:rsid w:val="4AB82D0F"/>
    <w:rsid w:val="4AEB7664"/>
    <w:rsid w:val="4AFD7C19"/>
    <w:rsid w:val="4B0567D1"/>
    <w:rsid w:val="4B236AAE"/>
    <w:rsid w:val="4B2F799D"/>
    <w:rsid w:val="4B707271"/>
    <w:rsid w:val="4B9739F7"/>
    <w:rsid w:val="4BEE2503"/>
    <w:rsid w:val="4BF727EA"/>
    <w:rsid w:val="4C245A30"/>
    <w:rsid w:val="4CB6685F"/>
    <w:rsid w:val="4CC367FE"/>
    <w:rsid w:val="4D077F3C"/>
    <w:rsid w:val="4D123355"/>
    <w:rsid w:val="4D2408F7"/>
    <w:rsid w:val="4D2A3B31"/>
    <w:rsid w:val="4D312C52"/>
    <w:rsid w:val="4D905305"/>
    <w:rsid w:val="4D964A72"/>
    <w:rsid w:val="4D9C1254"/>
    <w:rsid w:val="4D9E5B15"/>
    <w:rsid w:val="4DF3347D"/>
    <w:rsid w:val="4E613784"/>
    <w:rsid w:val="4E793892"/>
    <w:rsid w:val="4E800872"/>
    <w:rsid w:val="4EC153CA"/>
    <w:rsid w:val="4EC569ED"/>
    <w:rsid w:val="4ED50EA1"/>
    <w:rsid w:val="4EEC050C"/>
    <w:rsid w:val="4F104EC3"/>
    <w:rsid w:val="4F47354A"/>
    <w:rsid w:val="4F911C54"/>
    <w:rsid w:val="4FE625E0"/>
    <w:rsid w:val="5021480F"/>
    <w:rsid w:val="505C301C"/>
    <w:rsid w:val="50962ECB"/>
    <w:rsid w:val="50A42E38"/>
    <w:rsid w:val="50A4577F"/>
    <w:rsid w:val="50B13D8B"/>
    <w:rsid w:val="50B73D1F"/>
    <w:rsid w:val="50BD5BC9"/>
    <w:rsid w:val="50C11EEE"/>
    <w:rsid w:val="50E97CFC"/>
    <w:rsid w:val="50FA4028"/>
    <w:rsid w:val="510D65B7"/>
    <w:rsid w:val="511157AB"/>
    <w:rsid w:val="5142540C"/>
    <w:rsid w:val="518832C8"/>
    <w:rsid w:val="519D3C50"/>
    <w:rsid w:val="51A0432A"/>
    <w:rsid w:val="51A86090"/>
    <w:rsid w:val="51B7396D"/>
    <w:rsid w:val="52076DD7"/>
    <w:rsid w:val="522E4CC3"/>
    <w:rsid w:val="5244713B"/>
    <w:rsid w:val="52615633"/>
    <w:rsid w:val="526F4DE4"/>
    <w:rsid w:val="52977FD4"/>
    <w:rsid w:val="52A25790"/>
    <w:rsid w:val="52A96B6F"/>
    <w:rsid w:val="52B45975"/>
    <w:rsid w:val="52D94AA4"/>
    <w:rsid w:val="52EA3A62"/>
    <w:rsid w:val="52F50BB8"/>
    <w:rsid w:val="53097272"/>
    <w:rsid w:val="534C1537"/>
    <w:rsid w:val="53544462"/>
    <w:rsid w:val="5397158E"/>
    <w:rsid w:val="53E325D5"/>
    <w:rsid w:val="54013861"/>
    <w:rsid w:val="543970F9"/>
    <w:rsid w:val="54487265"/>
    <w:rsid w:val="544D6070"/>
    <w:rsid w:val="545F5483"/>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C94D0E"/>
    <w:rsid w:val="55DC29B6"/>
    <w:rsid w:val="55DD4241"/>
    <w:rsid w:val="55F53B68"/>
    <w:rsid w:val="56262EAD"/>
    <w:rsid w:val="566B6D1E"/>
    <w:rsid w:val="57032A2C"/>
    <w:rsid w:val="570F5219"/>
    <w:rsid w:val="572E78E5"/>
    <w:rsid w:val="575D12B5"/>
    <w:rsid w:val="57610A87"/>
    <w:rsid w:val="577B1140"/>
    <w:rsid w:val="577B7F21"/>
    <w:rsid w:val="577F181B"/>
    <w:rsid w:val="57921984"/>
    <w:rsid w:val="579737F0"/>
    <w:rsid w:val="57980616"/>
    <w:rsid w:val="57AB7B30"/>
    <w:rsid w:val="57AF5251"/>
    <w:rsid w:val="57B26373"/>
    <w:rsid w:val="57B63F04"/>
    <w:rsid w:val="57CD20C2"/>
    <w:rsid w:val="57D675AB"/>
    <w:rsid w:val="57D95FDD"/>
    <w:rsid w:val="57F53090"/>
    <w:rsid w:val="58917D2F"/>
    <w:rsid w:val="5894085C"/>
    <w:rsid w:val="58AE4F0C"/>
    <w:rsid w:val="58B85899"/>
    <w:rsid w:val="58E363A9"/>
    <w:rsid w:val="591E264C"/>
    <w:rsid w:val="595E1678"/>
    <w:rsid w:val="596D5BD4"/>
    <w:rsid w:val="597E3DD8"/>
    <w:rsid w:val="597E7AAC"/>
    <w:rsid w:val="59F80043"/>
    <w:rsid w:val="5A09252F"/>
    <w:rsid w:val="5A0B2778"/>
    <w:rsid w:val="5A2A7C7B"/>
    <w:rsid w:val="5A3E2560"/>
    <w:rsid w:val="5A5D3B6E"/>
    <w:rsid w:val="5A637A76"/>
    <w:rsid w:val="5A6D33BA"/>
    <w:rsid w:val="5A792B1F"/>
    <w:rsid w:val="5A874767"/>
    <w:rsid w:val="5AA85BE2"/>
    <w:rsid w:val="5AAD6F28"/>
    <w:rsid w:val="5ABE2749"/>
    <w:rsid w:val="5AD63A24"/>
    <w:rsid w:val="5AE51A4D"/>
    <w:rsid w:val="5B2E1A1D"/>
    <w:rsid w:val="5B5C3E21"/>
    <w:rsid w:val="5B843A1C"/>
    <w:rsid w:val="5B873E3F"/>
    <w:rsid w:val="5C02690E"/>
    <w:rsid w:val="5C196DA7"/>
    <w:rsid w:val="5C2A048C"/>
    <w:rsid w:val="5C2C639A"/>
    <w:rsid w:val="5C4D2220"/>
    <w:rsid w:val="5C80234E"/>
    <w:rsid w:val="5C8A680C"/>
    <w:rsid w:val="5D0C4701"/>
    <w:rsid w:val="5D0F0395"/>
    <w:rsid w:val="5D221076"/>
    <w:rsid w:val="5D397964"/>
    <w:rsid w:val="5D5A391C"/>
    <w:rsid w:val="5D5F10C0"/>
    <w:rsid w:val="5D790E2F"/>
    <w:rsid w:val="5D891B7B"/>
    <w:rsid w:val="5DAD38EE"/>
    <w:rsid w:val="5DD52015"/>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C80F39"/>
    <w:rsid w:val="60FA2EE8"/>
    <w:rsid w:val="61054A27"/>
    <w:rsid w:val="610A52BC"/>
    <w:rsid w:val="610D059B"/>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41957"/>
    <w:rsid w:val="63880DDC"/>
    <w:rsid w:val="638D750D"/>
    <w:rsid w:val="63AC6CC0"/>
    <w:rsid w:val="63F23480"/>
    <w:rsid w:val="64055776"/>
    <w:rsid w:val="641F5B67"/>
    <w:rsid w:val="64240056"/>
    <w:rsid w:val="643E143A"/>
    <w:rsid w:val="64491666"/>
    <w:rsid w:val="648B6EEF"/>
    <w:rsid w:val="64C158BF"/>
    <w:rsid w:val="64CE2EAA"/>
    <w:rsid w:val="653C3090"/>
    <w:rsid w:val="65854376"/>
    <w:rsid w:val="658767BE"/>
    <w:rsid w:val="65892531"/>
    <w:rsid w:val="660760F9"/>
    <w:rsid w:val="66195831"/>
    <w:rsid w:val="662E75B1"/>
    <w:rsid w:val="66342C2E"/>
    <w:rsid w:val="663E784C"/>
    <w:rsid w:val="668B6A45"/>
    <w:rsid w:val="67112C4A"/>
    <w:rsid w:val="672F3F24"/>
    <w:rsid w:val="673E055F"/>
    <w:rsid w:val="67551CE3"/>
    <w:rsid w:val="67A22552"/>
    <w:rsid w:val="67B22DCC"/>
    <w:rsid w:val="67BE71AA"/>
    <w:rsid w:val="67CF7323"/>
    <w:rsid w:val="67D90273"/>
    <w:rsid w:val="67DE5875"/>
    <w:rsid w:val="67E55852"/>
    <w:rsid w:val="67EB1AB4"/>
    <w:rsid w:val="67FA1285"/>
    <w:rsid w:val="68551F4F"/>
    <w:rsid w:val="687C10C9"/>
    <w:rsid w:val="68840C16"/>
    <w:rsid w:val="68876EFB"/>
    <w:rsid w:val="68884654"/>
    <w:rsid w:val="689F444F"/>
    <w:rsid w:val="68B96DBB"/>
    <w:rsid w:val="68CA2805"/>
    <w:rsid w:val="68E937A3"/>
    <w:rsid w:val="68FB149A"/>
    <w:rsid w:val="69220E84"/>
    <w:rsid w:val="693E15D3"/>
    <w:rsid w:val="69627681"/>
    <w:rsid w:val="6977531D"/>
    <w:rsid w:val="69CC2BFF"/>
    <w:rsid w:val="69FD55B8"/>
    <w:rsid w:val="6A0B1C62"/>
    <w:rsid w:val="6A2406C8"/>
    <w:rsid w:val="6A627569"/>
    <w:rsid w:val="6A9A1ADF"/>
    <w:rsid w:val="6ADE0BD1"/>
    <w:rsid w:val="6AE54422"/>
    <w:rsid w:val="6AE81378"/>
    <w:rsid w:val="6AE96859"/>
    <w:rsid w:val="6B147746"/>
    <w:rsid w:val="6B24787C"/>
    <w:rsid w:val="6B573233"/>
    <w:rsid w:val="6B5B6274"/>
    <w:rsid w:val="6B935D53"/>
    <w:rsid w:val="6C1316F7"/>
    <w:rsid w:val="6C196F71"/>
    <w:rsid w:val="6C226FCB"/>
    <w:rsid w:val="6C31226F"/>
    <w:rsid w:val="6C517EC7"/>
    <w:rsid w:val="6C552F0B"/>
    <w:rsid w:val="6C8C67B7"/>
    <w:rsid w:val="6C9D744C"/>
    <w:rsid w:val="6D167928"/>
    <w:rsid w:val="6D26299B"/>
    <w:rsid w:val="6D4772EC"/>
    <w:rsid w:val="6D9078AF"/>
    <w:rsid w:val="6DAA3FEF"/>
    <w:rsid w:val="6DC0172B"/>
    <w:rsid w:val="6DCB690C"/>
    <w:rsid w:val="6DD41A5B"/>
    <w:rsid w:val="6DF43C2E"/>
    <w:rsid w:val="6DF51CA3"/>
    <w:rsid w:val="6E48095A"/>
    <w:rsid w:val="6E8335BD"/>
    <w:rsid w:val="6E8E12EF"/>
    <w:rsid w:val="6E972936"/>
    <w:rsid w:val="6ED446C5"/>
    <w:rsid w:val="6ED86C32"/>
    <w:rsid w:val="6F2A7D94"/>
    <w:rsid w:val="6F8331F1"/>
    <w:rsid w:val="6FAE1A09"/>
    <w:rsid w:val="6FD75BF8"/>
    <w:rsid w:val="707723D0"/>
    <w:rsid w:val="70953742"/>
    <w:rsid w:val="70F5661B"/>
    <w:rsid w:val="71360107"/>
    <w:rsid w:val="713B688E"/>
    <w:rsid w:val="7148279F"/>
    <w:rsid w:val="719153D9"/>
    <w:rsid w:val="71D43752"/>
    <w:rsid w:val="71DE7E1D"/>
    <w:rsid w:val="71F1796A"/>
    <w:rsid w:val="71FB63D5"/>
    <w:rsid w:val="72154626"/>
    <w:rsid w:val="72262B5D"/>
    <w:rsid w:val="72283FF7"/>
    <w:rsid w:val="722E7212"/>
    <w:rsid w:val="723A0474"/>
    <w:rsid w:val="725923E4"/>
    <w:rsid w:val="72864BF7"/>
    <w:rsid w:val="729023FC"/>
    <w:rsid w:val="73C0646E"/>
    <w:rsid w:val="742222F5"/>
    <w:rsid w:val="74476126"/>
    <w:rsid w:val="74706664"/>
    <w:rsid w:val="747F3682"/>
    <w:rsid w:val="749C4185"/>
    <w:rsid w:val="74C517D1"/>
    <w:rsid w:val="75067759"/>
    <w:rsid w:val="752E6DCD"/>
    <w:rsid w:val="7551380D"/>
    <w:rsid w:val="755D394A"/>
    <w:rsid w:val="75600BE5"/>
    <w:rsid w:val="7564475C"/>
    <w:rsid w:val="7583797F"/>
    <w:rsid w:val="75D20F1D"/>
    <w:rsid w:val="75DA2C18"/>
    <w:rsid w:val="75F37776"/>
    <w:rsid w:val="75F54412"/>
    <w:rsid w:val="761D08E0"/>
    <w:rsid w:val="765D347C"/>
    <w:rsid w:val="76826699"/>
    <w:rsid w:val="76C87133"/>
    <w:rsid w:val="76CD08D5"/>
    <w:rsid w:val="76DB4B92"/>
    <w:rsid w:val="76E44AD6"/>
    <w:rsid w:val="77052AA4"/>
    <w:rsid w:val="77136511"/>
    <w:rsid w:val="77340A39"/>
    <w:rsid w:val="77342477"/>
    <w:rsid w:val="77351FD0"/>
    <w:rsid w:val="77472422"/>
    <w:rsid w:val="777F31F2"/>
    <w:rsid w:val="77A07956"/>
    <w:rsid w:val="77D1700D"/>
    <w:rsid w:val="77E97202"/>
    <w:rsid w:val="77EC04CC"/>
    <w:rsid w:val="78526DDD"/>
    <w:rsid w:val="78775729"/>
    <w:rsid w:val="78A42DB0"/>
    <w:rsid w:val="78A656AB"/>
    <w:rsid w:val="78B2245C"/>
    <w:rsid w:val="78E172CC"/>
    <w:rsid w:val="78EA1D1F"/>
    <w:rsid w:val="79036DC3"/>
    <w:rsid w:val="7904172F"/>
    <w:rsid w:val="790F7E27"/>
    <w:rsid w:val="792A231A"/>
    <w:rsid w:val="79316829"/>
    <w:rsid w:val="797E66A9"/>
    <w:rsid w:val="798518A4"/>
    <w:rsid w:val="79A97383"/>
    <w:rsid w:val="79E27E8B"/>
    <w:rsid w:val="79F850CE"/>
    <w:rsid w:val="79FD443C"/>
    <w:rsid w:val="7A1D1975"/>
    <w:rsid w:val="7A3E5150"/>
    <w:rsid w:val="7A4670D6"/>
    <w:rsid w:val="7A534B63"/>
    <w:rsid w:val="7A5C1EB5"/>
    <w:rsid w:val="7A615382"/>
    <w:rsid w:val="7A67303B"/>
    <w:rsid w:val="7AAB1D04"/>
    <w:rsid w:val="7AB46E34"/>
    <w:rsid w:val="7ABA4368"/>
    <w:rsid w:val="7AD05746"/>
    <w:rsid w:val="7B257FFD"/>
    <w:rsid w:val="7B343476"/>
    <w:rsid w:val="7B5A2978"/>
    <w:rsid w:val="7B5A7E4C"/>
    <w:rsid w:val="7B667AF9"/>
    <w:rsid w:val="7B7468F8"/>
    <w:rsid w:val="7BEC1C9F"/>
    <w:rsid w:val="7BEE0103"/>
    <w:rsid w:val="7C0A0FE4"/>
    <w:rsid w:val="7C254906"/>
    <w:rsid w:val="7C590818"/>
    <w:rsid w:val="7C7C10F6"/>
    <w:rsid w:val="7C853BEA"/>
    <w:rsid w:val="7C881368"/>
    <w:rsid w:val="7CD564F7"/>
    <w:rsid w:val="7CE27788"/>
    <w:rsid w:val="7D0C32F1"/>
    <w:rsid w:val="7D0F408D"/>
    <w:rsid w:val="7D491C6C"/>
    <w:rsid w:val="7D5429C0"/>
    <w:rsid w:val="7D6D017E"/>
    <w:rsid w:val="7D6E6D43"/>
    <w:rsid w:val="7DB57A34"/>
    <w:rsid w:val="7DE60973"/>
    <w:rsid w:val="7DEF0916"/>
    <w:rsid w:val="7E1E5218"/>
    <w:rsid w:val="7E6C679B"/>
    <w:rsid w:val="7E9A4E1F"/>
    <w:rsid w:val="7EA7723A"/>
    <w:rsid w:val="7EF56FBB"/>
    <w:rsid w:val="7F0768EB"/>
    <w:rsid w:val="7F143BEC"/>
    <w:rsid w:val="7F362021"/>
    <w:rsid w:val="7F715AF2"/>
    <w:rsid w:val="7F7B47F9"/>
    <w:rsid w:val="7F886E69"/>
    <w:rsid w:val="BB7FA927"/>
    <w:rsid w:val="EFF72F48"/>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199"/>
    <w:autoRedefine/>
    <w:qFormat/>
    <w:uiPriority w:val="0"/>
    <w:pPr>
      <w:shd w:val="clear" w:color="auto" w:fill="000080"/>
    </w:pPr>
  </w:style>
  <w:style w:type="paragraph" w:styleId="19">
    <w:name w:val="annotation text"/>
    <w:basedOn w:val="1"/>
    <w:link w:val="341"/>
    <w:autoRedefine/>
    <w:qFormat/>
    <w:uiPriority w:val="99"/>
    <w:pPr>
      <w:jc w:val="left"/>
    </w:pPr>
  </w:style>
  <w:style w:type="paragraph" w:styleId="20">
    <w:name w:val="Salutation"/>
    <w:basedOn w:val="1"/>
    <w:next w:val="1"/>
    <w:link w:val="295"/>
    <w:autoRedefine/>
    <w:qFormat/>
    <w:uiPriority w:val="0"/>
    <w:rPr>
      <w:rFonts w:ascii="仿宋_GB2312" w:eastAsia="仿宋_GB2312"/>
      <w:sz w:val="28"/>
      <w:szCs w:val="20"/>
    </w:rPr>
  </w:style>
  <w:style w:type="paragraph" w:styleId="21">
    <w:name w:val="Body Text 3"/>
    <w:basedOn w:val="1"/>
    <w:link w:val="327"/>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33"/>
    <w:link w:val="122"/>
    <w:autoRedefine/>
    <w:qFormat/>
    <w:uiPriority w:val="0"/>
    <w:rPr>
      <w:rFonts w:ascii="宋体" w:hAnsi="Courier New" w:cs="Arial"/>
      <w:snapToGrid w:val="0"/>
      <w:szCs w:val="21"/>
    </w:rPr>
  </w:style>
  <w:style w:type="paragraph" w:styleId="33">
    <w:name w:val="toc 2"/>
    <w:basedOn w:val="1"/>
    <w:next w:val="1"/>
    <w:autoRedefine/>
    <w:qFormat/>
    <w:uiPriority w:val="0"/>
    <w:pPr>
      <w:ind w:left="420" w:leftChars="200"/>
    </w:p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78"/>
    <w:autoRedefine/>
    <w:qFormat/>
    <w:uiPriority w:val="0"/>
    <w:pPr>
      <w:ind w:left="100" w:leftChars="2500"/>
    </w:pPr>
    <w:rPr>
      <w:rFonts w:ascii="宋体"/>
      <w:sz w:val="24"/>
      <w:szCs w:val="21"/>
      <w:lang w:val="zh-CN"/>
    </w:rPr>
  </w:style>
  <w:style w:type="paragraph" w:styleId="37">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autoRedefine/>
    <w:qFormat/>
    <w:uiPriority w:val="0"/>
    <w:rPr>
      <w:lang w:val="zh-CN"/>
    </w:rPr>
  </w:style>
  <w:style w:type="paragraph" w:styleId="39">
    <w:name w:val="Balloon Text"/>
    <w:basedOn w:val="1"/>
    <w:link w:val="185"/>
    <w:autoRedefine/>
    <w:qFormat/>
    <w:uiPriority w:val="0"/>
    <w:rPr>
      <w:sz w:val="18"/>
      <w:szCs w:val="18"/>
    </w:rPr>
  </w:style>
  <w:style w:type="paragraph" w:styleId="40">
    <w:name w:val="footer"/>
    <w:basedOn w:val="1"/>
    <w:link w:val="380"/>
    <w:autoRedefine/>
    <w:qFormat/>
    <w:uiPriority w:val="99"/>
    <w:pPr>
      <w:tabs>
        <w:tab w:val="center" w:pos="4153"/>
        <w:tab w:val="right" w:pos="8306"/>
      </w:tabs>
      <w:snapToGrid w:val="0"/>
      <w:jc w:val="left"/>
    </w:pPr>
    <w:rPr>
      <w:sz w:val="18"/>
      <w:szCs w:val="18"/>
    </w:rPr>
  </w:style>
  <w:style w:type="paragraph" w:styleId="41">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2"/>
    <w:autoRedefine/>
    <w:qFormat/>
    <w:uiPriority w:val="0"/>
    <w:pPr>
      <w:spacing w:line="360" w:lineRule="auto"/>
      <w:ind w:firstLine="420"/>
    </w:pPr>
    <w:rPr>
      <w:sz w:val="24"/>
      <w:szCs w:val="20"/>
    </w:r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autoRedefine/>
    <w:qFormat/>
    <w:uiPriority w:val="0"/>
    <w:rPr>
      <w:b/>
      <w:bCs/>
    </w:rPr>
  </w:style>
  <w:style w:type="paragraph" w:styleId="60">
    <w:name w:val="Body Text First Indent"/>
    <w:basedOn w:val="23"/>
    <w:next w:val="51"/>
    <w:link w:val="318"/>
    <w:autoRedefine/>
    <w:qFormat/>
    <w:uiPriority w:val="0"/>
    <w:pPr>
      <w:ind w:firstLine="420"/>
    </w:pPr>
    <w:rPr>
      <w:rFonts w:hAnsi="Calibri" w:cs="Times New Roman"/>
      <w:snapToGrid/>
      <w:szCs w:val="20"/>
    </w:rPr>
  </w:style>
  <w:style w:type="paragraph" w:styleId="61">
    <w:name w:val="Body Text First Indent 2"/>
    <w:basedOn w:val="24"/>
    <w:next w:val="1"/>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Char1"/>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首行缩进 2 Char"/>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Char"/>
    <w:link w:val="47"/>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Char"/>
    <w:link w:val="8"/>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3"/>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Char"/>
    <w:link w:val="36"/>
    <w:autoRedefine/>
    <w:qFormat/>
    <w:uiPriority w:val="0"/>
    <w:rPr>
      <w:rFonts w:ascii="宋体"/>
      <w:kern w:val="2"/>
      <w:sz w:val="24"/>
      <w:szCs w:val="21"/>
      <w:lang w:val="zh-CN"/>
    </w:rPr>
  </w:style>
  <w:style w:type="character" w:customStyle="1" w:styleId="179">
    <w:name w:val="标题 9 Char"/>
    <w:link w:val="11"/>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Char"/>
    <w:link w:val="39"/>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Char1"/>
    <w:link w:val="18"/>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Char"/>
    <w:link w:val="29"/>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6"/>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Char"/>
    <w:link w:val="16"/>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5">
    <w:name w:val="列出段落1"/>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Char3"/>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Char"/>
    <w:link w:val="2"/>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Char2"/>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Char"/>
    <w:link w:val="7"/>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Char"/>
    <w:link w:val="20"/>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Char"/>
    <w:link w:val="56"/>
    <w:autoRedefine/>
    <w:qFormat/>
    <w:uiPriority w:val="0"/>
    <w:rPr>
      <w:rFonts w:ascii="黑体" w:hAnsi="Courier New" w:eastAsia="黑体"/>
    </w:rPr>
  </w:style>
  <w:style w:type="character" w:customStyle="1" w:styleId="299">
    <w:name w:val="正文文本 2 Char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6"/>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Char"/>
    <w:link w:val="9"/>
    <w:autoRedefine/>
    <w:qFormat/>
    <w:uiPriority w:val="0"/>
    <w:rPr>
      <w:b/>
      <w:bCs/>
      <w:kern w:val="2"/>
      <w:sz w:val="24"/>
      <w:szCs w:val="24"/>
    </w:rPr>
  </w:style>
  <w:style w:type="character" w:customStyle="1" w:styleId="305">
    <w:name w:val="正文文本缩进 2 Char"/>
    <w:link w:val="37"/>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Char"/>
    <w:link w:val="50"/>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首行缩进 Char"/>
    <w:link w:val="60"/>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Char2"/>
    <w:link w:val="6"/>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Char"/>
    <w:link w:val="21"/>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autoRedefine/>
    <w:qFormat/>
    <w:uiPriority w:val="99"/>
    <w:rPr>
      <w:kern w:val="2"/>
      <w:sz w:val="21"/>
      <w:szCs w:val="24"/>
    </w:rPr>
  </w:style>
  <w:style w:type="character" w:customStyle="1" w:styleId="342">
    <w:name w:val="签名 Char"/>
    <w:link w:val="42"/>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Char"/>
    <w:link w:val="53"/>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Char2"/>
    <w:link w:val="40"/>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Char2"/>
    <w:link w:val="41"/>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156"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5"/>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312"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0">
    <w:name w:val="无间隔2"/>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8"/>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8"/>
    <w:autoRedefine/>
    <w:qFormat/>
    <w:uiPriority w:val="0"/>
    <w:rPr>
      <w:kern w:val="2"/>
      <w:sz w:val="21"/>
      <w:szCs w:val="24"/>
      <w:lang w:val="zh-CN"/>
    </w:rPr>
  </w:style>
  <w:style w:type="character" w:customStyle="1" w:styleId="930">
    <w:name w:val="无间隔 字符"/>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5"/>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样式 标题 2 + Times New Roman 四号 非加粗 段前: 5 磅 段后: 0 磅 行距: 固定值 20..."/>
    <w:basedOn w:val="3"/>
    <w:autoRedefine/>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2">
    <w:name w:val="p16"/>
    <w:basedOn w:val="1"/>
    <w:autoRedefine/>
    <w:qFormat/>
    <w:uiPriority w:val="0"/>
    <w:pPr>
      <w:widowControl/>
      <w:spacing w:before="100" w:after="100"/>
      <w:jc w:val="left"/>
    </w:pPr>
    <w:rPr>
      <w:rFonts w:ascii="宋体" w:hAnsi="宋体" w:cs="宋体"/>
      <w:color w:val="000000"/>
      <w:kern w:val="0"/>
      <w:sz w:val="24"/>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正文空2格  1."/>
    <w:basedOn w:val="1"/>
    <w:autoRedefine/>
    <w:qFormat/>
    <w:uiPriority w:val="0"/>
    <w:pPr>
      <w:spacing w:line="360" w:lineRule="auto"/>
      <w:ind w:firstLine="480" w:firstLineChars="200"/>
      <w:textAlignment w:val="baseline"/>
    </w:pPr>
    <w:rPr>
      <w:rFonts w:cs="宋体"/>
      <w:kern w:val="0"/>
      <w:sz w:val="28"/>
      <w:szCs w:val="20"/>
    </w:rPr>
  </w:style>
  <w:style w:type="paragraph" w:customStyle="1" w:styleId="965">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header" Target="header3.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54113</Words>
  <Characters>56892</Characters>
  <Lines>405</Lines>
  <Paragraphs>114</Paragraphs>
  <TotalTime>0</TotalTime>
  <ScaleCrop>false</ScaleCrop>
  <LinksUpToDate>false</LinksUpToDate>
  <CharactersWithSpaces>62840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2022-05-07T07:35:00Z</dcterms:created>
  <dc:creator>玥</dc:creator>
  <cp:lastModifiedBy>ssessu</cp:lastModifiedBy>
  <cp:lastPrinted>2024-04-02T01:17:00Z</cp:lastPrinted>
  <dcterms:modified xsi:type="dcterms:W3CDTF">2024-04-16T09:02:22Z</dcterms:modified>
  <dc:title>杭州市市民卡扩大发卡工程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639FAD7D7A9D42969A10BB232492BB10_13</vt:lpwstr>
  </property>
  <property fmtid="{D5CDD505-2E9C-101B-9397-08002B2CF9AE}" pid="5" name="commondata">
    <vt:lpwstr>eyJoZGlkIjoiNGNlMmFkMDQ1NDY0ZmRiM2Q0NjY4NTFjN2IwMTllYjMifQ==</vt:lpwstr>
  </property>
</Properties>
</file>