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宋体" w:hAnsi="宋体" w:cs="宋体"/>
          <w:b/>
          <w:color w:val="000000" w:themeColor="text1"/>
          <w:sz w:val="48"/>
          <w:szCs w:val="48"/>
          <w14:textFill>
            <w14:solidFill>
              <w14:schemeClr w14:val="tx1"/>
            </w14:solidFill>
          </w14:textFill>
        </w:rPr>
      </w:pPr>
    </w:p>
    <w:p>
      <w:pPr>
        <w:pStyle w:val="2"/>
        <w:rPr>
          <w:rFonts w:ascii="宋体" w:hAnsi="宋体" w:cs="宋体"/>
          <w:b/>
          <w:color w:val="000000" w:themeColor="text1"/>
          <w:sz w:val="48"/>
          <w:szCs w:val="48"/>
          <w14:textFill>
            <w14:solidFill>
              <w14:schemeClr w14:val="tx1"/>
            </w14:solidFill>
          </w14:textFill>
        </w:rPr>
      </w:pPr>
    </w:p>
    <w:p>
      <w:pPr>
        <w:pStyle w:val="3"/>
        <w:rPr>
          <w:color w:val="000000" w:themeColor="text1"/>
          <w14:textFill>
            <w14:solidFill>
              <w14:schemeClr w14:val="tx1"/>
            </w14:solidFill>
          </w14:textFill>
        </w:rPr>
      </w:pPr>
    </w:p>
    <w:p>
      <w:pPr>
        <w:adjustRightInd/>
        <w:spacing w:line="360" w:lineRule="auto"/>
        <w:ind w:right="-388" w:rightChars="-185"/>
        <w:jc w:val="center"/>
        <w:rPr>
          <w:rFonts w:hint="eastAsia" w:ascii="宋体" w:hAnsi="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宁波市镇海区人民医院医疗集团采购内分泌性高血压病因筛查标本外送检测服务项目</w:t>
      </w:r>
    </w:p>
    <w:p>
      <w:pPr>
        <w:adjustRightInd/>
        <w:spacing w:line="360" w:lineRule="auto"/>
        <w:ind w:right="-388" w:rightChars="-185"/>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 xml:space="preserve"> CBNB-20241127G </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rPr>
          <w:rFonts w:ascii="宋体" w:hAnsi="宋体" w:cs="宋体"/>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2"/>
        <w:rPr>
          <w:rFonts w:hint="eastAsia" w:ascii="宋体" w:hAnsi="宋体" w:cs="宋体"/>
          <w:color w:val="000000" w:themeColor="text1"/>
          <w:sz w:val="32"/>
          <w:szCs w:val="32"/>
          <w:lang w:eastAsia="zh-CN"/>
          <w14:textFill>
            <w14:solidFill>
              <w14:schemeClr w14:val="tx1"/>
            </w14:solidFill>
          </w14:textFill>
        </w:rPr>
      </w:pPr>
    </w:p>
    <w:p>
      <w:pPr>
        <w:pStyle w:val="2"/>
        <w:rPr>
          <w:rFonts w:hint="eastAsia" w:ascii="宋体" w:hAnsi="宋体" w:cs="宋体"/>
          <w:color w:val="000000" w:themeColor="text1"/>
          <w:sz w:val="32"/>
          <w:szCs w:val="32"/>
          <w:lang w:eastAsia="zh-CN"/>
          <w14:textFill>
            <w14:solidFill>
              <w14:schemeClr w14:val="tx1"/>
            </w14:solidFill>
          </w14:textFill>
        </w:rPr>
      </w:pPr>
    </w:p>
    <w:p>
      <w:pPr>
        <w:pStyle w:val="2"/>
        <w:ind w:firstLine="640" w:firstLineChars="200"/>
        <w:rPr>
          <w:rFonts w:hint="eastAsia"/>
          <w:color w:val="000000" w:themeColor="text1"/>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招标人：</w:t>
      </w:r>
      <w:r>
        <w:rPr>
          <w:rFonts w:hint="eastAsia" w:hAnsi="宋体" w:cs="宋体"/>
          <w:color w:val="000000" w:themeColor="text1"/>
          <w:sz w:val="32"/>
          <w:szCs w:val="32"/>
          <w:lang w:eastAsia="zh-CN"/>
          <w14:textFill>
            <w14:solidFill>
              <w14:schemeClr w14:val="tx1"/>
            </w14:solidFill>
          </w14:textFill>
        </w:rPr>
        <w:t>宁波市镇海区人民医院医疗集团</w:t>
      </w:r>
    </w:p>
    <w:p>
      <w:pPr>
        <w:spacing w:line="360" w:lineRule="auto"/>
        <w:ind w:firstLine="640" w:firstLineChars="200"/>
        <w:jc w:val="both"/>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w:t>
      </w:r>
      <w:r>
        <w:rPr>
          <w:rFonts w:hint="eastAsia" w:ascii="宋体" w:hAnsi="宋体" w:cs="宋体"/>
          <w:bCs/>
          <w:color w:val="000000" w:themeColor="text1"/>
          <w:sz w:val="32"/>
          <w:szCs w:val="32"/>
          <w:lang w:eastAsia="zh-CN"/>
          <w14:textFill>
            <w14:solidFill>
              <w14:schemeClr w14:val="tx1"/>
            </w14:solidFill>
          </w14:textFill>
        </w:rPr>
        <w:t>：</w:t>
      </w:r>
      <w:r>
        <w:rPr>
          <w:rFonts w:hint="eastAsia" w:ascii="宋体" w:hAnsi="宋体" w:cs="宋体"/>
          <w:bCs/>
          <w:color w:val="000000" w:themeColor="text1"/>
          <w:sz w:val="32"/>
          <w:szCs w:val="32"/>
          <w:lang w:val="en-US" w:eastAsia="zh-CN"/>
          <w14:textFill>
            <w14:solidFill>
              <w14:schemeClr w14:val="tx1"/>
            </w14:solidFill>
          </w14:textFill>
        </w:rPr>
        <w:t>宁波中基国际招标有限公司</w:t>
      </w:r>
    </w:p>
    <w:p>
      <w:pPr>
        <w:pStyle w:val="6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pStyle w:val="6"/>
        <w:ind w:left="0" w:leftChars="0" w:firstLine="0" w:firstLineChars="0"/>
        <w:rPr>
          <w:color w:val="000000" w:themeColor="text1"/>
          <w14:textFill>
            <w14:solidFill>
              <w14:schemeClr w14:val="tx1"/>
            </w14:solidFill>
          </w14:textFill>
        </w:rPr>
      </w:pP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四</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月</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p>
    <w:p>
      <w:pPr>
        <w:adjustRightInd/>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b/>
          <w:color w:val="000000" w:themeColor="text1"/>
          <w:sz w:val="48"/>
          <w:szCs w:val="48"/>
          <w14:textFill>
            <w14:solidFill>
              <w14:schemeClr w14:val="tx1"/>
            </w14:solidFill>
          </w14:textFill>
        </w:rPr>
      </w:pPr>
      <w:bookmarkStart w:id="0" w:name="_Hlt67893495"/>
      <w:bookmarkEnd w:id="0"/>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宁波市镇海区人民医院医疗集团采购内分泌性高血压病因筛查标本外送检测服务项目</w:t>
      </w:r>
      <w:r>
        <w:rPr>
          <w:rFonts w:hint="eastAsia" w:ascii="宋体" w:hAnsi="宋体"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lang w:val="en-US" w:eastAsia="zh-CN"/>
          <w14:textFill>
            <w14:solidFill>
              <w14:schemeClr w14:val="tx1"/>
            </w14:solidFill>
          </w14:textFill>
        </w:rPr>
        <w:t>4</w:t>
      </w:r>
      <w:r>
        <w:rPr>
          <w:rStyle w:val="77"/>
          <w:rFonts w:hint="eastAsia" w:ascii="宋体" w:hAnsi="宋体" w:eastAsia="宋体" w:cs="宋体"/>
          <w:snapToGrid/>
          <w:color w:val="000000" w:themeColor="text1"/>
          <w:kern w:val="2"/>
          <w:sz w:val="24"/>
          <w:szCs w:val="24"/>
          <w14:textFill>
            <w14:solidFill>
              <w14:schemeClr w14:val="tx1"/>
            </w14:solidFill>
          </w14:textFill>
        </w:rPr>
        <w:t>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5</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lang w:val="en-US" w:eastAsia="zh-CN"/>
          <w14:textFill>
            <w14:solidFill>
              <w14:schemeClr w14:val="tx1"/>
            </w14:solidFill>
          </w14:textFill>
        </w:rPr>
        <w:t>28</w:t>
      </w:r>
      <w:r>
        <w:rPr>
          <w:rStyle w:val="77"/>
          <w:rFonts w:hint="eastAsia" w:ascii="宋体" w:hAnsi="宋体" w:eastAsia="宋体" w:cs="宋体"/>
          <w:snapToGrid/>
          <w:color w:val="000000" w:themeColor="text1"/>
          <w:kern w:val="2"/>
          <w:sz w:val="24"/>
          <w:szCs w:val="24"/>
          <w14:textFill>
            <w14:solidFill>
              <w14:schemeClr w14:val="tx1"/>
            </w14:solidFill>
          </w14:textFill>
        </w:rPr>
        <w:t>日</w:t>
      </w:r>
      <w:r>
        <w:rPr>
          <w:rStyle w:val="77"/>
          <w:rFonts w:hint="eastAsia" w:ascii="宋体" w:hAnsi="宋体" w:cs="宋体"/>
          <w:snapToGrid/>
          <w:color w:val="000000" w:themeColor="text1"/>
          <w:kern w:val="2"/>
          <w:sz w:val="24"/>
          <w:szCs w:val="24"/>
          <w:lang w:val="en-US" w:eastAsia="zh-CN"/>
          <w14:textFill>
            <w14:solidFill>
              <w14:schemeClr w14:val="tx1"/>
            </w14:solidFill>
          </w14:textFill>
        </w:rPr>
        <w:t>09</w:t>
      </w:r>
      <w:r>
        <w:rPr>
          <w:rStyle w:val="77"/>
          <w:rFonts w:hint="eastAsia" w:ascii="宋体" w:hAnsi="宋体" w:eastAsia="宋体" w:cs="宋体"/>
          <w:snapToGrid/>
          <w:color w:val="000000" w:themeColor="text1"/>
          <w:kern w:val="2"/>
          <w:sz w:val="24"/>
          <w:szCs w:val="24"/>
          <w14:textFill>
            <w14:solidFill>
              <w14:schemeClr w14:val="tx1"/>
            </w14:solidFill>
          </w14:textFill>
        </w:rPr>
        <w:t>点</w:t>
      </w:r>
      <w:r>
        <w:rPr>
          <w:rStyle w:val="77"/>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4"/>
          <w:szCs w:val="24"/>
          <w14:textFill>
            <w14:solidFill>
              <w14:schemeClr w14:val="tx1"/>
            </w14:solidFill>
          </w14:textFill>
        </w:rPr>
        <w:t>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color w:val="000000" w:themeColor="text1"/>
          <w:sz w:val="24"/>
          <w:lang w:eastAsia="zh-CN"/>
          <w14:textFill>
            <w14:solidFill>
              <w14:schemeClr w14:val="tx1"/>
            </w14:solidFill>
          </w14:textFill>
        </w:rPr>
        <w:t>CBNB-20241127G</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宁波市镇海区人民医院医疗集团采购内分泌性高血压病因筛查标本外送检测服务项目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val="0"/>
          <w:bCs/>
          <w:color w:val="000000" w:themeColor="text1"/>
          <w:sz w:val="24"/>
          <w:lang w:val="en-US" w:eastAsia="zh-CN"/>
          <w14:textFill>
            <w14:solidFill>
              <w14:schemeClr w14:val="tx1"/>
            </w14:solidFill>
          </w14:textFill>
        </w:rPr>
        <w:t>3270000.00</w:t>
      </w:r>
      <w:r>
        <w:rPr>
          <w:rFonts w:ascii="宋体" w:hAnsi="宋体" w:cs="宋体"/>
          <w:b w:val="0"/>
          <w:bCs/>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val="0"/>
          <w:bCs/>
          <w:color w:val="000000" w:themeColor="text1"/>
          <w:sz w:val="24"/>
          <w:lang w:val="en-US" w:eastAsia="zh-CN"/>
          <w14:textFill>
            <w14:solidFill>
              <w14:schemeClr w14:val="tx1"/>
            </w14:solidFill>
          </w14:textFill>
        </w:rPr>
        <w:t>3270000.00</w:t>
      </w:r>
      <w:r>
        <w:rPr>
          <w:rFonts w:ascii="宋体" w:hAnsi="宋体" w:cs="宋体"/>
          <w:b w:val="0"/>
          <w:bCs/>
          <w:color w:val="000000" w:themeColor="text1"/>
          <w:sz w:val="24"/>
          <w14:textFill>
            <w14:solidFill>
              <w14:schemeClr w14:val="tx1"/>
            </w14:solidFill>
          </w14:textFill>
        </w:rPr>
        <w:t xml:space="preserve"> </w:t>
      </w:r>
    </w:p>
    <w:p>
      <w:pPr>
        <w:pStyle w:val="8"/>
        <w:spacing w:line="360" w:lineRule="auto"/>
        <w:ind w:firstLine="48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p>
    <w:p>
      <w:pPr>
        <w:pStyle w:val="8"/>
        <w:spacing w:line="360" w:lineRule="auto"/>
        <w:ind w:firstLine="480"/>
        <w:rPr>
          <w:rFonts w:hint="eastAsia" w:hAnsi="宋体" w:cs="宋体"/>
          <w:b/>
          <w:color w:val="000000" w:themeColor="text1"/>
          <w:sz w:val="24"/>
          <w14:textFill>
            <w14:solidFill>
              <w14:schemeClr w14:val="tx1"/>
            </w14:solidFill>
          </w14:textFill>
        </w:rPr>
      </w:pPr>
    </w:p>
    <w:p>
      <w:pPr>
        <w:pStyle w:val="8"/>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hAnsi="宋体" w:cs="宋体"/>
          <w:b/>
          <w:color w:val="000000" w:themeColor="text1"/>
          <w:sz w:val="24"/>
          <w:lang w:val="en-US" w:eastAsia="zh-CN"/>
          <w14:textFill>
            <w14:solidFill>
              <w14:schemeClr w14:val="tx1"/>
            </w14:solidFill>
          </w14:textFill>
        </w:rPr>
        <w:t>标项名称：</w:t>
      </w:r>
      <w:r>
        <w:rPr>
          <w:rFonts w:hint="eastAsia" w:hAnsi="宋体" w:cs="宋体"/>
          <w:color w:val="000000" w:themeColor="text1"/>
          <w:sz w:val="24"/>
          <w:lang w:eastAsia="zh-CN"/>
          <w14:textFill>
            <w14:solidFill>
              <w14:schemeClr w14:val="tx1"/>
            </w14:solidFill>
          </w14:textFill>
        </w:rPr>
        <w:t>内分泌性高血压病因筛查标本外送检测服务</w:t>
      </w:r>
    </w:p>
    <w:p>
      <w:pPr>
        <w:pStyle w:val="8"/>
        <w:spacing w:line="360" w:lineRule="auto"/>
        <w:ind w:firstLine="480"/>
        <w:rPr>
          <w:rFonts w:hint="eastAsia" w:hAnsi="宋体" w:cs="宋体"/>
          <w:color w:val="000000" w:themeColor="text1"/>
          <w:sz w:val="24"/>
          <w:lang w:val="en-US" w:eastAsia="zh-CN"/>
          <w14:textFill>
            <w14:solidFill>
              <w14:schemeClr w14:val="tx1"/>
            </w14:solidFill>
          </w14:textFill>
        </w:rPr>
      </w:pPr>
      <w:r>
        <w:rPr>
          <w:rFonts w:hint="eastAsia" w:hAnsi="宋体" w:cs="宋体"/>
          <w:b/>
          <w:bCs/>
          <w:color w:val="000000" w:themeColor="text1"/>
          <w:sz w:val="24"/>
          <w:lang w:val="en-US" w:eastAsia="zh-CN"/>
          <w14:textFill>
            <w14:solidFill>
              <w14:schemeClr w14:val="tx1"/>
            </w14:solidFill>
          </w14:textFill>
        </w:rPr>
        <w:t>数量：</w:t>
      </w:r>
      <w:r>
        <w:rPr>
          <w:rFonts w:hint="eastAsia" w:hAnsi="宋体" w:cs="宋体"/>
          <w:color w:val="000000" w:themeColor="text1"/>
          <w:sz w:val="24"/>
          <w:lang w:val="en-US" w:eastAsia="zh-CN"/>
          <w14:textFill>
            <w14:solidFill>
              <w14:schemeClr w14:val="tx1"/>
            </w14:solidFill>
          </w14:textFill>
        </w:rPr>
        <w:t>1</w:t>
      </w:r>
    </w:p>
    <w:p>
      <w:pPr>
        <w:pStyle w:val="8"/>
        <w:spacing w:line="360" w:lineRule="auto"/>
        <w:ind w:firstLine="480"/>
        <w:rPr>
          <w:rFonts w:hint="eastAsia" w:hAnsi="宋体" w:cs="宋体"/>
          <w:color w:val="000000" w:themeColor="text1"/>
          <w:sz w:val="24"/>
          <w:lang w:val="en-US" w:eastAsia="zh-CN"/>
          <w14:textFill>
            <w14:solidFill>
              <w14:schemeClr w14:val="tx1"/>
            </w14:solidFill>
          </w14:textFill>
        </w:rPr>
      </w:pPr>
      <w:r>
        <w:rPr>
          <w:rFonts w:hint="eastAsia" w:hAnsi="宋体" w:cs="宋体"/>
          <w:b/>
          <w:bCs/>
          <w:color w:val="000000" w:themeColor="text1"/>
          <w:sz w:val="24"/>
          <w:lang w:val="en-US" w:eastAsia="zh-CN"/>
          <w14:textFill>
            <w14:solidFill>
              <w14:schemeClr w14:val="tx1"/>
            </w14:solidFill>
          </w14:textFill>
        </w:rPr>
        <w:t>预算金额（元）：</w:t>
      </w:r>
      <w:r>
        <w:rPr>
          <w:rFonts w:hint="eastAsia" w:hAnsi="宋体" w:cs="宋体"/>
          <w:color w:val="000000" w:themeColor="text1"/>
          <w:sz w:val="24"/>
          <w:lang w:val="en-US" w:eastAsia="zh-CN"/>
          <w14:textFill>
            <w14:solidFill>
              <w14:schemeClr w14:val="tx1"/>
            </w14:solidFill>
          </w14:textFill>
        </w:rPr>
        <w:t>3270000.00</w:t>
      </w:r>
    </w:p>
    <w:p>
      <w:pPr>
        <w:pStyle w:val="8"/>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bCs w:val="0"/>
          <w:snapToGrid/>
          <w:color w:val="000000" w:themeColor="text1"/>
          <w:kern w:val="2"/>
          <w:sz w:val="24"/>
          <w:szCs w:val="24"/>
          <w:lang w:eastAsia="zh-CN"/>
          <w14:textFill>
            <w14:solidFill>
              <w14:schemeClr w14:val="tx1"/>
            </w14:solidFill>
          </w14:textFill>
        </w:rPr>
        <w:t>简要规格描述或项目基本概况介绍、用途：</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31"/>
        <w:ind w:firstLine="482"/>
        <w:outlineLvl w:val="2"/>
        <w:rPr>
          <w:rFonts w:hint="default" w:ascii="宋体" w:hAnsi="宋体" w:cs="宋体"/>
          <w:b/>
          <w:color w:val="000000" w:themeColor="text1"/>
          <w:lang w:val="en-US" w:eastAsia="zh-CN"/>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备注：</w:t>
      </w:r>
      <w:r>
        <w:rPr>
          <w:rFonts w:hint="eastAsia" w:ascii="宋体" w:hAnsi="宋体" w:cs="宋体"/>
          <w:b w:val="0"/>
          <w:bCs/>
          <w:color w:val="000000" w:themeColor="text1"/>
          <w:lang w:val="en-US" w:eastAsia="zh-CN"/>
          <w14:textFill>
            <w14:solidFill>
              <w14:schemeClr w14:val="tx1"/>
            </w14:solidFill>
          </w14:textFill>
        </w:rPr>
        <w:t>服务期限三年，合同一年一签。第一年度合同期满后，经招标人上级主管部门及财政局采购办审批通过后可续签下一年合同，最多可续签二次。</w:t>
      </w:r>
    </w:p>
    <w:p>
      <w:pPr>
        <w:pStyle w:val="131"/>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宋体" w:hAnsi="宋体" w:cs="宋体"/>
          <w:color w:val="000000" w:themeColor="text1"/>
          <w14:textFill>
            <w14:solidFill>
              <w14:schemeClr w14:val="tx1"/>
            </w14:solidFill>
          </w14:textFill>
        </w:rPr>
        <w:t>自合同签订生效后至双方合同义务完全履行后截止。</w:t>
      </w:r>
    </w:p>
    <w:p>
      <w:pPr>
        <w:pStyle w:val="8"/>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MS Gothic" w:hAnsi="MS Gothic" w:eastAsia="宋体" w:cs="宋体"/>
              <w:snapToGrid w:val="0"/>
              <w:color w:val="000000" w:themeColor="text1"/>
              <w:kern w:val="0"/>
              <w:sz w:val="24"/>
              <w:szCs w:val="20"/>
              <w:lang w:val="en-US" w:eastAsia="zh-CN" w:bidi="ar-SA"/>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Wingdings" w:hAnsi="Wingdings" w:eastAsia="宋体" w:cs="Segoe UI Symbol"/>
              <w:snapToGrid w:val="0"/>
              <w:color w:val="000000" w:themeColor="text1"/>
              <w:kern w:val="0"/>
              <w:sz w:val="24"/>
              <w:szCs w:val="20"/>
              <w:lang w:val="en-US" w:eastAsia="zh-CN" w:bidi="ar-SA"/>
              <w14:textFill>
                <w14:solidFill>
                  <w14:schemeClr w14:val="tx1"/>
                </w14:solidFill>
              </w14:textFill>
            </w:rPr>
            <w:t>þ</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snapToGrid w:val="0"/>
          <w:color w:val="000000" w:themeColor="text1"/>
          <w:kern w:val="28"/>
          <w:sz w:val="24"/>
          <w:szCs w:val="20"/>
          <w:lang w:eastAsia="zh-CN"/>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pPr>
        <w:spacing w:line="360" w:lineRule="auto"/>
        <w:ind w:firstLine="480" w:firstLineChars="200"/>
        <w:rPr>
          <w:rFonts w:hint="eastAsia" w:ascii="宋体" w:hAnsi="宋体" w:eastAsia="宋体" w:cs="宋体"/>
          <w:snapToGrid w:val="0"/>
          <w:color w:val="000000" w:themeColor="text1"/>
          <w:kern w:val="28"/>
          <w:sz w:val="24"/>
          <w:szCs w:val="20"/>
          <w:lang w:val="en-US"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color w:val="000000" w:themeColor="text1"/>
          <w:sz w:val="24"/>
          <w:highlight w:val="none"/>
          <w14:textFill>
            <w14:solidFill>
              <w14:schemeClr w14:val="tx1"/>
            </w14:solidFill>
          </w14:textFill>
        </w:rPr>
        <w:t>无。</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和采购代理机构提出质疑。质疑供应商对</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、采购代理机构的答复不满意或者</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2.其他事项：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、采购代理机构将依托政采云平台完成本项目的电子交易活动，平台不接受未按上述方式获取招标文件的供应商进行投标活动；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信息</w:t>
      </w:r>
    </w:p>
    <w:p>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名称：宁波市镇海区人民医院医疗集团</w:t>
      </w:r>
    </w:p>
    <w:p>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地址：宁波市镇海区骆驼街道南二西路718号</w:t>
      </w:r>
    </w:p>
    <w:p>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pPr>
        <w:adjustRightIn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龙先生</w:t>
      </w:r>
    </w:p>
    <w:p>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项目联系方式（询问）：0574-86655160</w:t>
      </w:r>
    </w:p>
    <w:p>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质疑联系人：苏先生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质疑联系方式：0574-86655160</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val="en-US" w:eastAsia="zh-CN"/>
          <w14:textFill>
            <w14:solidFill>
              <w14:schemeClr w14:val="tx1"/>
            </w14:solidFill>
          </w14:textFill>
        </w:rPr>
        <w:t>宁波中基国际招标有限公司</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val="en-US" w:eastAsia="zh-CN"/>
          <w14:textFill>
            <w14:solidFill>
              <w14:schemeClr w14:val="tx1"/>
            </w14:solidFill>
          </w14:textFill>
        </w:rPr>
        <w:t>宁波市鄞州区天童南路666号</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r>
        <w:rPr>
          <w:rFonts w:hint="eastAsia" w:ascii="宋体" w:hAnsi="宋体" w:cs="宋体"/>
          <w:color w:val="000000" w:themeColor="text1"/>
          <w:sz w:val="24"/>
          <w:lang w:val="en-US" w:eastAsia="zh-CN"/>
          <w14:textFill>
            <w14:solidFill>
              <w14:schemeClr w14:val="tx1"/>
            </w14:solidFill>
          </w14:textFill>
        </w:rPr>
        <w:t>/</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val="en-US" w:eastAsia="zh-CN"/>
          <w14:textFill>
            <w14:solidFill>
              <w14:schemeClr w14:val="tx1"/>
            </w14:solidFill>
          </w14:textFill>
        </w:rPr>
        <w:t>戚鸿涛</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0574-87425273</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徐承</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0574-87425387</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同级政府采购监督管理部门            </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称：宁波市镇海区采购管理办公室</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    真：</w:t>
      </w:r>
      <w:r>
        <w:rPr>
          <w:rFonts w:hint="eastAsia" w:ascii="宋体" w:hAnsi="宋体" w:cs="宋体"/>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 人：金老师</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监督投诉电话：0574-89389666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lang w:eastAsia="zh-CN"/>
                <w14:textFill>
                  <w14:solidFill>
                    <w14:schemeClr w14:val="tx1"/>
                  </w14:solidFill>
                </w14:textFill>
              </w:rPr>
              <w:t>内分泌性高血压病因筛查标本外送检测服务</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eastAsia="zh-CN"/>
                <w14:textFill>
                  <w14:solidFill>
                    <w14:schemeClr w14:val="tx1"/>
                  </w14:solidFill>
                </w14:textFill>
              </w:rPr>
              <w:t>其他未列明</w:t>
            </w:r>
            <w:r>
              <w:rPr>
                <w:rFonts w:hint="eastAsia" w:ascii="宋体" w:hAnsi="宋体" w:cs="宋体"/>
                <w:color w:val="000000" w:themeColor="text1"/>
                <w:kern w:val="0"/>
                <w:sz w:val="24"/>
                <w14:textFill>
                  <w14:solidFill>
                    <w14:schemeClr w14:val="tx1"/>
                  </w14:solidFill>
                </w14:textFill>
              </w:rPr>
              <w:t>行业</w:t>
            </w:r>
            <w:r>
              <w:rPr>
                <w:rFonts w:hint="eastAsia" w:ascii="宋体" w:hAnsi="宋体" w:eastAsia="宋体" w:cs="宋体"/>
                <w:color w:val="000000" w:themeColor="text1"/>
                <w:kern w:val="0"/>
                <w:sz w:val="24"/>
                <w14:textFill>
                  <w14:solidFill>
                    <w14:schemeClr w14:val="tx1"/>
                  </w14:solidFill>
                </w14:textFill>
              </w:rPr>
              <w:t>；</w:t>
            </w:r>
          </w:p>
          <w:p>
            <w:pPr>
              <w:pStyle w:val="6"/>
              <w:ind w:left="0" w:firstLine="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备注：《关于印发中小企业划型标准规定的通知》（工信</w:t>
            </w:r>
            <w:bookmarkStart w:id="11" w:name="_Toc11782"/>
            <w:r>
              <w:rPr>
                <w:rFonts w:hint="eastAsia" w:ascii="宋体" w:hAnsi="宋体" w:eastAsia="宋体" w:cs="宋体"/>
                <w:b w:val="0"/>
                <w:bCs w:val="0"/>
                <w:color w:val="000000" w:themeColor="text1"/>
                <w:sz w:val="24"/>
                <w:szCs w:val="24"/>
                <w:lang w:val="en-US"/>
                <w14:textFill>
                  <w14:solidFill>
                    <w14:schemeClr w14:val="tx1"/>
                  </w14:solidFill>
                </w14:textFill>
              </w:rPr>
              <w:t>部联企业〔2011〕300）：</w:t>
            </w:r>
            <w:bookmarkEnd w:id="11"/>
            <w:bookmarkStart w:id="12" w:name="_Toc30940"/>
          </w:p>
          <w:bookmarkEnd w:id="12"/>
          <w:p>
            <w:pPr>
              <w:snapToGrid w:val="0"/>
              <w:spacing w:line="360" w:lineRule="auto"/>
              <w:rPr>
                <w:rFonts w:ascii="宋体" w:hAnsi="宋体" w:eastAsia="宋体" w:cs="宋体"/>
                <w:color w:val="000000" w:themeColor="text1"/>
                <w:lang w:val="en-US"/>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其他未列明行业</w:t>
            </w:r>
            <w:r>
              <w:rPr>
                <w:rFonts w:hint="eastAsia" w:ascii="宋体" w:hAnsi="宋体" w:eastAsia="宋体" w:cs="宋体"/>
                <w:b w:val="0"/>
                <w:bCs w:val="0"/>
                <w:color w:val="000000" w:themeColor="text1"/>
                <w:sz w:val="24"/>
                <w:szCs w:val="24"/>
                <w:lang w:val="en-US"/>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或采购代理机构将不予接收，并将清场并封闭样品现场。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将通知未中标人在规定的时间内取回，逾期未取回的，</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将进行保管、封存，并作为履约验收的参考。</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拟采购的产品属于品目清单范围的，</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w:t>
            </w:r>
          </w:p>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备份投标文件</w:t>
            </w:r>
          </w:p>
          <w:p>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送达地点和</w:t>
            </w:r>
          </w:p>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w:t>
            </w:r>
            <w:r>
              <w:rPr>
                <w:rFonts w:hint="eastAsia" w:ascii="宋体" w:hAnsi="宋体" w:cs="宋体"/>
                <w:snapToGrid w:val="0"/>
                <w:color w:val="000000" w:themeColor="text1"/>
                <w:kern w:val="28"/>
                <w:sz w:val="24"/>
                <w:lang w:eastAsia="zh-CN"/>
                <w14:textFill>
                  <w14:solidFill>
                    <w14:schemeClr w14:val="tx1"/>
                  </w14:solidFill>
                </w14:textFill>
              </w:rPr>
              <w:t>直接提交</w:t>
            </w:r>
            <w:r>
              <w:rPr>
                <w:rFonts w:hint="eastAsia" w:ascii="宋体" w:hAnsi="宋体" w:cs="宋体"/>
                <w:snapToGrid w:val="0"/>
                <w:color w:val="000000" w:themeColor="text1"/>
                <w:kern w:val="28"/>
                <w:sz w:val="24"/>
                <w14:textFill>
                  <w14:solidFill>
                    <w14:schemeClr w14:val="tx1"/>
                  </w14:solidFill>
                </w14:textFill>
              </w:rPr>
              <w:t>方式递交备份投标文件，供应商需将以U盘存储的备份投标文件密封递交，逾期送达或未密封将予以拒收。</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000000" w:themeColor="text1"/>
                <w:kern w:val="28"/>
                <w:sz w:val="24"/>
                <w:lang w:val="en-US" w:eastAsia="zh-CN"/>
                <w14:textFill>
                  <w14:solidFill>
                    <w14:schemeClr w14:val="tx1"/>
                  </w14:solidFill>
                </w14:textFill>
              </w:rPr>
              <w:t>戚鸿涛</w:t>
            </w:r>
            <w:r>
              <w:rPr>
                <w:rFonts w:hint="eastAsia" w:ascii="宋体" w:hAnsi="宋体" w:cs="宋体"/>
                <w:snapToGrid w:val="0"/>
                <w:color w:val="000000" w:themeColor="text1"/>
                <w:kern w:val="28"/>
                <w:sz w:val="24"/>
                <w14:textFill>
                  <w14:solidFill>
                    <w14:schemeClr w14:val="tx1"/>
                  </w14:solidFill>
                </w14:textFill>
              </w:rPr>
              <w:t>，联系方式：0574-</w:t>
            </w:r>
            <w:r>
              <w:rPr>
                <w:rFonts w:ascii="宋体" w:hAnsi="宋体" w:cs="宋体"/>
                <w:snapToGrid w:val="0"/>
                <w:color w:val="000000" w:themeColor="text1"/>
                <w:kern w:val="28"/>
                <w:sz w:val="24"/>
                <w14:textFill>
                  <w14:solidFill>
                    <w14:schemeClr w14:val="tx1"/>
                  </w14:solidFill>
                </w14:textFill>
              </w:rPr>
              <w:t>8</w:t>
            </w:r>
            <w:r>
              <w:rPr>
                <w:rFonts w:hint="eastAsia" w:ascii="宋体" w:hAnsi="宋体" w:cs="宋体"/>
                <w:snapToGrid w:val="0"/>
                <w:color w:val="000000" w:themeColor="text1"/>
                <w:kern w:val="28"/>
                <w:sz w:val="24"/>
                <w:lang w:val="en-US" w:eastAsia="zh-CN"/>
                <w14:textFill>
                  <w14:solidFill>
                    <w14:schemeClr w14:val="tx1"/>
                  </w14:solidFill>
                </w14:textFill>
              </w:rPr>
              <w:t>7425273</w:t>
            </w:r>
            <w:r>
              <w:rPr>
                <w:rFonts w:hint="eastAsia" w:ascii="宋体" w:hAnsi="宋体" w:cs="宋体"/>
                <w:snapToGrid w:val="0"/>
                <w:color w:val="000000" w:themeColor="text1"/>
                <w:kern w:val="28"/>
                <w:sz w:val="24"/>
                <w14:textFill>
                  <w14:solidFill>
                    <w14:schemeClr w14:val="tx1"/>
                  </w14:solidFill>
                </w14:textFill>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w:t>
            </w:r>
            <w:r>
              <w:rPr>
                <w:rFonts w:hint="eastAsia" w:ascii="宋体" w:hAnsi="宋体" w:cs="宋体"/>
                <w:snapToGrid w:val="0"/>
                <w:color w:val="000000" w:themeColor="text1"/>
                <w:kern w:val="28"/>
                <w:sz w:val="24"/>
                <w:lang w:eastAsia="zh-CN"/>
                <w14:textFill>
                  <w14:solidFill>
                    <w14:schemeClr w14:val="tx1"/>
                  </w14:solidFill>
                </w14:textFill>
              </w:rPr>
              <w:t>直接提交</w:t>
            </w:r>
            <w:r>
              <w:rPr>
                <w:rFonts w:hint="eastAsia" w:ascii="宋体" w:hAnsi="宋体" w:cs="宋体"/>
                <w:snapToGrid w:val="0"/>
                <w:color w:val="000000" w:themeColor="text1"/>
                <w:kern w:val="28"/>
                <w:sz w:val="24"/>
                <w14:textFill>
                  <w14:solidFill>
                    <w14:schemeClr w14:val="tx1"/>
                  </w14:solidFill>
                </w14:textFill>
              </w:rPr>
              <w:t>方式送达备份投标文件，需按以下要求递交：在投标截止时间前将备份投标文件送至</w:t>
            </w:r>
            <w:r>
              <w:rPr>
                <w:rFonts w:hint="eastAsia" w:ascii="宋体" w:hAnsi="宋体" w:cs="宋体"/>
                <w:snapToGrid w:val="0"/>
                <w:color w:val="000000" w:themeColor="text1"/>
                <w:kern w:val="28"/>
                <w:sz w:val="24"/>
                <w:u w:val="single"/>
                <w14:textFill>
                  <w14:solidFill>
                    <w14:schemeClr w14:val="tx1"/>
                  </w14:solidFill>
                </w14:textFill>
              </w:rPr>
              <w:t>镇海区公共资源交易中心</w:t>
            </w:r>
            <w:r>
              <w:rPr>
                <w:rFonts w:hint="eastAsia" w:ascii="宋体" w:hAnsi="宋体" w:cs="宋体"/>
                <w:snapToGrid w:val="0"/>
                <w:color w:val="000000" w:themeColor="text1"/>
                <w:kern w:val="28"/>
                <w:sz w:val="24"/>
                <w:u w:val="single"/>
                <w:lang w:val="en-US" w:eastAsia="zh-CN"/>
                <w14:textFill>
                  <w14:solidFill>
                    <w14:schemeClr w14:val="tx1"/>
                  </w14:solidFill>
                </w14:textFill>
              </w:rPr>
              <w:t>开标室四</w:t>
            </w:r>
            <w:r>
              <w:rPr>
                <w:rFonts w:hint="eastAsia" w:ascii="宋体" w:hAnsi="宋体" w:cs="宋体"/>
                <w:snapToGrid w:val="0"/>
                <w:color w:val="000000" w:themeColor="text1"/>
                <w:kern w:val="28"/>
                <w:sz w:val="24"/>
                <w:u w:val="single"/>
                <w14:textFill>
                  <w14:solidFill>
                    <w14:schemeClr w14:val="tx1"/>
                  </w14:solidFill>
                </w14:textFill>
              </w:rPr>
              <w:t>（浙江省宁波市镇海区骆驼街道金华南路55号三楼开标厅）</w:t>
            </w:r>
            <w:r>
              <w:rPr>
                <w:rFonts w:hint="eastAsia" w:ascii="宋体" w:hAnsi="宋体" w:cs="宋体"/>
                <w:snapToGrid w:val="0"/>
                <w:color w:val="000000" w:themeColor="text1"/>
                <w:kern w:val="28"/>
                <w:sz w:val="24"/>
                <w14:textFill>
                  <w14:solidFill>
                    <w14:schemeClr w14:val="tx1"/>
                  </w14:solidFill>
                </w14:textFill>
              </w:rPr>
              <w:t xml:space="preserve">。       </w:t>
            </w:r>
          </w:p>
          <w:p>
            <w:pPr>
              <w:pStyle w:val="35"/>
              <w:spacing w:line="360" w:lineRule="auto"/>
              <w:rPr>
                <w:rFonts w:hAnsi="宋体" w:cs="宋体"/>
                <w:color w:val="000000" w:themeColor="text1"/>
                <w:kern w:val="28"/>
                <w:sz w:val="24"/>
                <w14:textFill>
                  <w14:solidFill>
                    <w14:schemeClr w14:val="tx1"/>
                  </w14:solidFill>
                </w14:textFill>
              </w:rPr>
            </w:pPr>
            <w:r>
              <w:rPr>
                <w:rFonts w:hint="eastAsia" w:hAnsi="宋体" w:cs="宋体"/>
                <w:b/>
                <w:bCs/>
                <w:snapToGrid w:val="0"/>
                <w:color w:val="000000" w:themeColor="text1"/>
                <w:kern w:val="28"/>
                <w:sz w:val="24"/>
                <w:lang w:eastAsia="zh-CN"/>
                <w14:textFill>
                  <w14:solidFill>
                    <w14:schemeClr w14:val="tx1"/>
                  </w14:solidFill>
                </w14:textFill>
              </w:rPr>
              <w:t>招标人</w:t>
            </w:r>
            <w:r>
              <w:rPr>
                <w:rFonts w:hint="eastAsia" w:ascii="宋体" w:hAnsi="宋体" w:cs="宋体"/>
                <w:b/>
                <w:bCs/>
                <w:snapToGrid w:val="0"/>
                <w:color w:val="000000" w:themeColor="text1"/>
                <w:kern w:val="28"/>
                <w:sz w:val="24"/>
                <w14:textFill>
                  <w14:solidFill>
                    <w14:schemeClr w14:val="tx1"/>
                  </w14:solidFill>
                </w14:textFill>
              </w:rPr>
              <w:t>、采购代理机构不强制投标人提交备份投标文件。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p>
        </w:tc>
        <w:tc>
          <w:tcPr>
            <w:tcW w:w="1843" w:type="dxa"/>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（1）收取方式：供应商应当自中标结果公告发布之日起5个工作日内一次性向采购代理机构支付代理服务费。</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（2）采购代理服务费用收取标准：本项目参照原国家发改委发改办价格[2003]857号通知和原国家计委计价格[2002]1980号文件中服务招标费率</w:t>
            </w:r>
            <w:r>
              <w:rPr>
                <w:rFonts w:hint="eastAsia" w:ascii="宋体" w:hAnsi="宋体" w:cs="宋体"/>
                <w:snapToGrid w:val="0"/>
                <w:color w:val="000000" w:themeColor="text1"/>
                <w:kern w:val="28"/>
                <w:sz w:val="24"/>
                <w:lang w:val="en-US" w:eastAsia="zh-CN"/>
                <w14:textFill>
                  <w14:solidFill>
                    <w14:schemeClr w14:val="tx1"/>
                  </w14:solidFill>
                </w14:textFill>
              </w:rPr>
              <w:t>下浮20%</w:t>
            </w:r>
            <w:r>
              <w:rPr>
                <w:rFonts w:hint="eastAsia" w:ascii="宋体" w:hAnsi="宋体" w:cs="宋体"/>
                <w:snapToGrid w:val="0"/>
                <w:color w:val="000000" w:themeColor="text1"/>
                <w:kern w:val="28"/>
                <w:sz w:val="24"/>
                <w14:textFill>
                  <w14:solidFill>
                    <w14:schemeClr w14:val="tx1"/>
                  </w14:solidFill>
                </w14:textFill>
              </w:rPr>
              <w:t>，按照中标通知书金额向中标人收取中标服务费。</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 代理服务费缴纳形式：汇票/电汇/现金</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 代理服务费汇入以下账户 ：</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lang w:val="en-US" w:eastAsia="zh-CN"/>
                <w14:textFill>
                  <w14:solidFill>
                    <w14:schemeClr w14:val="tx1"/>
                  </w14:solidFill>
                </w14:textFill>
              </w:rPr>
              <w:t>516302780</w:t>
            </w:r>
            <w:r>
              <w:rPr>
                <w:rFonts w:ascii="宋体" w:hAnsi="宋体" w:cs="宋体"/>
                <w:snapToGrid w:val="0"/>
                <w:color w:val="000000" w:themeColor="text1"/>
                <w:kern w:val="28"/>
                <w:sz w:val="24"/>
                <w:u w:val="single"/>
                <w14:textFill>
                  <w14:solidFill>
                    <w14:schemeClr w14:val="tx1"/>
                  </w14:solidFill>
                </w14:textFill>
              </w:rPr>
              <w:t>@qq</w:t>
            </w:r>
            <w:r>
              <w:rPr>
                <w:rFonts w:hint="eastAsia" w:ascii="宋体" w:hAnsi="宋体" w:cs="宋体"/>
                <w:snapToGrid w:val="0"/>
                <w:color w:val="000000" w:themeColor="text1"/>
                <w:kern w:val="28"/>
                <w:sz w:val="24"/>
                <w:u w:val="single"/>
                <w14:textFill>
                  <w14:solidFill>
                    <w14:schemeClr w14:val="tx1"/>
                  </w14:solidFill>
                </w14:textFill>
              </w:rPr>
              <w:t>.</w:t>
            </w:r>
            <w:r>
              <w:rPr>
                <w:rFonts w:ascii="宋体" w:hAnsi="宋体" w:cs="宋体"/>
                <w:snapToGrid w:val="0"/>
                <w:color w:val="000000" w:themeColor="text1"/>
                <w:kern w:val="28"/>
                <w:sz w:val="24"/>
                <w:u w:val="single"/>
                <w14:textFill>
                  <w14:solidFill>
                    <w14:schemeClr w14:val="tx1"/>
                  </w14:solidFill>
                </w14:textFill>
              </w:rPr>
              <w:t>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pPr>
        <w:adjustRightInd/>
        <w:spacing w:line="360" w:lineRule="auto"/>
        <w:ind w:firstLine="3845" w:firstLineChars="1197"/>
        <w:outlineLvl w:val="0"/>
        <w:rPr>
          <w:rFonts w:hint="eastAsia" w:ascii="宋体" w:hAnsi="宋体" w:cs="宋体"/>
          <w:b/>
          <w:color w:val="000000" w:themeColor="text1"/>
          <w:sz w:val="32"/>
          <w:szCs w:val="20"/>
          <w14:textFill>
            <w14:solidFill>
              <w14:schemeClr w14:val="tx1"/>
            </w14:solidFill>
          </w14:textFill>
        </w:rPr>
        <w:sectPr>
          <w:footerReference r:id="rId5" w:type="first"/>
          <w:footerReference r:id="rId3" w:type="default"/>
          <w:footerReference r:id="rId4" w:type="even"/>
          <w:pgSz w:w="11906" w:h="16838"/>
          <w:pgMar w:top="1100" w:right="1418" w:bottom="468" w:left="1418" w:header="851" w:footer="992" w:gutter="0"/>
          <w:cols w:space="720" w:num="1"/>
          <w:titlePg/>
          <w:docGrid w:linePitch="312" w:charSpace="0"/>
        </w:sectPr>
      </w:pPr>
      <w:bookmarkStart w:id="13" w:name="_Toc164416483"/>
      <w:bookmarkStart w:id="14" w:name="第三部分"/>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拟采购的产品属于品目清单范围的，</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15"/>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在政府采购活动中，投标人提供服务符合下列情形的，享受中小企业扶持政策：在服务采购项目中，服务由中小企业承接，即提供服务的人员为中小企业依照《中华人民共和国民法典》订立劳动合同的从业人员。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16"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3.4.1 </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优先采购被认定为首台套产品和“制造精品”的自主创新产品。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招标人或者采购代理机构应当在3个工作日内对供应商依法提出的询问作出答复，但答复的内容不得涉及商业秘密。供应商提出的询问超出招标人对采购代理机构委托授权范围的，采购代理机构应当告知供应商向招标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w:t>
      </w:r>
      <w:r>
        <w:rPr>
          <w:rFonts w:hint="eastAsia" w:hAnsi="宋体" w:cs="宋体"/>
          <w:color w:val="000000" w:themeColor="text1"/>
          <w:sz w:val="24"/>
          <w:lang w:eastAsia="zh-CN"/>
          <w14:textFill>
            <w14:solidFill>
              <w14:schemeClr w14:val="tx1"/>
            </w14:solidFill>
          </w14:textFill>
        </w:rPr>
        <w:t>招标人</w:t>
      </w:r>
      <w:r>
        <w:rPr>
          <w:rFonts w:hint="eastAsia" w:hAnsi="宋体" w:cs="宋体"/>
          <w:color w:val="000000" w:themeColor="text1"/>
          <w:sz w:val="24"/>
          <w14:textFill>
            <w14:solidFill>
              <w14:schemeClr w14:val="tx1"/>
            </w14:solidFill>
          </w14:textFill>
        </w:rPr>
        <w:t>或者采购代理机构提出质疑，否则，</w:t>
      </w:r>
      <w:r>
        <w:rPr>
          <w:rFonts w:hint="eastAsia" w:hAnsi="宋体" w:cs="宋体"/>
          <w:color w:val="000000" w:themeColor="text1"/>
          <w:sz w:val="24"/>
          <w:lang w:eastAsia="zh-CN"/>
          <w14:textFill>
            <w14:solidFill>
              <w14:schemeClr w14:val="tx1"/>
            </w14:solidFill>
          </w14:textFill>
        </w:rPr>
        <w:t>招标人</w:t>
      </w:r>
      <w:r>
        <w:rPr>
          <w:rFonts w:hint="eastAsia" w:hAnsi="宋体" w:cs="宋体"/>
          <w:color w:val="000000" w:themeColor="text1"/>
          <w:sz w:val="24"/>
          <w14:textFill>
            <w14:solidFill>
              <w14:schemeClr w14:val="tx1"/>
            </w14:solidFill>
          </w14:textFill>
        </w:rPr>
        <w:t>或者采购代理机构不予受理：</w:t>
      </w:r>
    </w:p>
    <w:p>
      <w:pPr>
        <w:pStyle w:val="8"/>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4.2.2.1对招标文件提出质疑的，质疑期限为供应商获得招标文件之日或者招标文件公告期限届满之日起计算。</w:t>
      </w:r>
    </w:p>
    <w:p>
      <w:pPr>
        <w:pStyle w:val="35"/>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pPr>
        <w:pStyle w:val="35"/>
        <w:spacing w:line="360" w:lineRule="auto"/>
        <w:ind w:firstLine="960" w:firstLineChars="400"/>
        <w:rPr>
          <w:rFonts w:hint="eastAsia" w:hAnsi="宋体" w:eastAsia="宋体" w:cs="宋体"/>
          <w:color w:val="000000" w:themeColor="text1"/>
          <w:kern w:val="0"/>
          <w:sz w:val="24"/>
          <w:lang w:val="en-US" w:eastAsia="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r>
        <w:rPr>
          <w:rFonts w:hint="eastAsia" w:hAnsi="宋体" w:cs="宋体"/>
          <w:color w:val="000000" w:themeColor="text1"/>
          <w:kern w:val="0"/>
          <w:sz w:val="24"/>
          <w:lang w:val="en-US" w:eastAsia="zh-CN"/>
          <w14:textFill>
            <w14:solidFill>
              <w14:schemeClr w14:val="tx1"/>
            </w14:solidFill>
          </w14:textFill>
        </w:rPr>
        <w:tab/>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招标人或者采购代理机构应当在收到供应商的书面质疑后七个工作日内作出答复，并以书面形式通知质疑供应商和其他与质疑处理结果有利害关系的政府采购当事人，但答复的内容不得涉及商业秘密。根据《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w:t>
      </w:r>
      <w:r>
        <w:rPr>
          <w:rFonts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号）,招标人或者采购代理机构在质疑回复后5个工作日内，在浙江政府采购网的“其他公告”栏目公开质疑答复，答复内容应当完整。质疑函作为附件上传。</w:t>
      </w:r>
    </w:p>
    <w:p>
      <w:pPr>
        <w:pStyle w:val="35"/>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lang w:val="en-US" w:eastAsia="zh-CN"/>
          <w14:textFill>
            <w14:solidFill>
              <w14:schemeClr w14:val="tx1"/>
            </w14:solidFill>
          </w14:textFill>
        </w:rPr>
        <w:t>6</w:t>
      </w:r>
      <w:r>
        <w:rPr>
          <w:rFonts w:hint="eastAsia" w:hAnsi="宋体" w:cs="宋体"/>
          <w:color w:val="000000" w:themeColor="text1"/>
          <w:kern w:val="0"/>
          <w:sz w:val="24"/>
          <w14:textFill>
            <w14:solidFill>
              <w14:schemeClr w14:val="tx1"/>
            </w14:solidFill>
          </w14:textFill>
        </w:rPr>
        <w:t>询问或者质疑事项可能影响采购结果的，</w:t>
      </w:r>
      <w:r>
        <w:rPr>
          <w:rFonts w:hint="eastAsia" w:hAnsi="宋体" w:cs="宋体"/>
          <w:color w:val="000000" w:themeColor="text1"/>
          <w:kern w:val="0"/>
          <w:sz w:val="24"/>
          <w:lang w:eastAsia="zh-CN"/>
          <w14:textFill>
            <w14:solidFill>
              <w14:schemeClr w14:val="tx1"/>
            </w14:solidFill>
          </w14:textFill>
        </w:rPr>
        <w:t>招标人</w:t>
      </w:r>
      <w:r>
        <w:rPr>
          <w:rFonts w:hint="eastAsia" w:hAnsi="宋体" w:cs="宋体"/>
          <w:color w:val="000000" w:themeColor="text1"/>
          <w:kern w:val="0"/>
          <w:sz w:val="24"/>
          <w14:textFill>
            <w14:solidFill>
              <w14:schemeClr w14:val="tx1"/>
            </w14:solidFill>
          </w14:textFill>
        </w:rPr>
        <w:t>应当暂停签订合同，已经签订合同的，</w:t>
      </w:r>
      <w:r>
        <w:rPr>
          <w:rFonts w:hint="eastAsia" w:hAnsi="宋体" w:cs="宋体"/>
          <w:color w:val="000000" w:themeColor="text1"/>
          <w:kern w:val="0"/>
          <w:sz w:val="24"/>
          <w:lang w:val="zh-CN"/>
          <w14:textFill>
            <w14:solidFill>
              <w14:schemeClr w14:val="tx1"/>
            </w14:solidFill>
          </w14:textFill>
        </w:rPr>
        <w:t>应当中止履行合同。</w:t>
      </w:r>
    </w:p>
    <w:p>
      <w:pPr>
        <w:pStyle w:val="35"/>
        <w:spacing w:line="360" w:lineRule="auto"/>
        <w:ind w:firstLine="480" w:firstLineChars="200"/>
        <w:rPr>
          <w:rFonts w:hint="default" w:hAnsi="宋体" w:cs="宋体"/>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4.2.7通过政采云平台在线方式的，以政采云平台操作流程为准，附件中须上传供应商盖章的《质疑函》。</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w:t>
      </w:r>
      <w:r>
        <w:rPr>
          <w:rFonts w:hint="eastAsia" w:hAnsi="宋体" w:cs="宋体"/>
          <w:color w:val="000000" w:themeColor="text1"/>
          <w:kern w:val="0"/>
          <w:sz w:val="24"/>
          <w:lang w:eastAsia="zh-CN"/>
          <w14:textFill>
            <w14:solidFill>
              <w14:schemeClr w14:val="tx1"/>
            </w14:solidFill>
          </w14:textFill>
        </w:rPr>
        <w:t>招标人</w:t>
      </w:r>
      <w:r>
        <w:rPr>
          <w:rFonts w:hint="eastAsia" w:hAnsi="宋体" w:cs="宋体"/>
          <w:color w:val="000000" w:themeColor="text1"/>
          <w:kern w:val="0"/>
          <w:sz w:val="24"/>
          <w14:textFill>
            <w14:solidFill>
              <w14:schemeClr w14:val="tx1"/>
            </w14:solidFill>
          </w14:textFill>
        </w:rPr>
        <w:t>、采购代理机构的答复不满意或者</w:t>
      </w:r>
      <w:r>
        <w:rPr>
          <w:rFonts w:hint="eastAsia" w:hAnsi="宋体" w:cs="宋体"/>
          <w:color w:val="000000" w:themeColor="text1"/>
          <w:kern w:val="0"/>
          <w:sz w:val="24"/>
          <w:lang w:eastAsia="zh-CN"/>
          <w14:textFill>
            <w14:solidFill>
              <w14:schemeClr w14:val="tx1"/>
            </w14:solidFill>
          </w14:textFill>
        </w:rPr>
        <w:t>招标人</w:t>
      </w:r>
      <w:r>
        <w:rPr>
          <w:rFonts w:hint="eastAsia" w:hAnsi="宋体" w:cs="宋体"/>
          <w:color w:val="000000" w:themeColor="text1"/>
          <w:kern w:val="0"/>
          <w:sz w:val="24"/>
          <w14:textFill>
            <w14:solidFill>
              <w14:schemeClr w14:val="tx1"/>
            </w14:solidFill>
          </w14:textFill>
        </w:rPr>
        <w:t>、采购代理机构未在规定的时间内作出答复的，可以在答复期满后十五个工作日内向同级政府采购监督管理部门提出投诉。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pPr>
        <w:pStyle w:val="88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pPr>
        <w:pStyle w:val="131"/>
        <w:snapToGrid w:val="0"/>
        <w:spacing w:before="0"/>
        <w:ind w:firstLine="360"/>
        <w:rPr>
          <w:rFonts w:ascii="宋体" w:hAnsi="宋体" w:cs="宋体"/>
          <w:color w:val="000000" w:themeColor="text1"/>
          <w:sz w:val="18"/>
          <w:szCs w:val="18"/>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招标人</w:t>
      </w:r>
      <w:r>
        <w:rPr>
          <w:rFonts w:hint="eastAsia" w:hAnsi="宋体" w:cs="宋体"/>
          <w:color w:val="000000" w:themeColor="text1"/>
          <w:sz w:val="24"/>
          <w:szCs w:val="24"/>
          <w14:textFill>
            <w14:solidFill>
              <w14:schemeClr w14:val="tx1"/>
            </w14:solidFill>
          </w14:textFill>
        </w:rPr>
        <w:t>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8"/>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11.1</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符合参加政府采购活动应当具备的一般条件的承诺函；</w:t>
      </w:r>
    </w:p>
    <w:p>
      <w:pPr>
        <w:snapToGrid w:val="0"/>
        <w:spacing w:line="360" w:lineRule="auto"/>
        <w:ind w:firstLine="960" w:firstLineChars="4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本项目的特定资格要求（如果有)</w:t>
      </w:r>
      <w:r>
        <w:rPr>
          <w:rFonts w:hint="eastAsia" w:ascii="宋体" w:hAnsi="宋体" w:eastAsia="宋体" w:cs="宋体"/>
          <w:color w:val="000000" w:themeColor="text1"/>
          <w:sz w:val="24"/>
          <w:lang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业务专用章使用说明函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如适用</w:t>
      </w:r>
      <w:r>
        <w:rPr>
          <w:rFonts w:hint="eastAsia" w:ascii="宋体" w:hAnsi="宋体" w:eastAsia="宋体" w:cs="宋体"/>
          <w:color w:val="000000" w:themeColor="text1"/>
          <w:sz w:val="24"/>
          <w:lang w:eastAsia="zh-CN"/>
          <w14:textFill>
            <w14:solidFill>
              <w14:schemeClr w14:val="tx1"/>
            </w14:solidFill>
          </w14:textFill>
        </w:rPr>
        <w:t>）。</w:t>
      </w:r>
    </w:p>
    <w:p>
      <w:pPr>
        <w:snapToGrid w:val="0"/>
        <w:spacing w:line="360" w:lineRule="auto"/>
        <w:ind w:firstLine="482"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（本项目不适用)</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采购要求</w:t>
      </w:r>
      <w:r>
        <w:rPr>
          <w:rFonts w:hint="eastAsia" w:ascii="宋体" w:hAnsi="宋体" w:cs="宋体"/>
          <w:color w:val="000000" w:themeColor="text1"/>
          <w:sz w:val="24"/>
          <w14:textFill>
            <w14:solidFill>
              <w14:schemeClr w14:val="tx1"/>
            </w14:solidFill>
          </w14:textFill>
        </w:rPr>
        <w:t>偏离表</w:t>
      </w:r>
      <w:r>
        <w:rPr>
          <w:rFonts w:hint="eastAsia" w:ascii="宋体" w:hAnsi="宋体" w:cs="宋体"/>
          <w:color w:val="000000" w:themeColor="text1"/>
          <w:sz w:val="24"/>
          <w:lang w:val="en-US" w:eastAsia="zh-CN"/>
          <w14:textFill>
            <w14:solidFill>
              <w14:schemeClr w14:val="tx1"/>
            </w14:solidFill>
          </w14:textFill>
        </w:rPr>
        <w:t>、商务要求</w:t>
      </w:r>
      <w:r>
        <w:rPr>
          <w:rFonts w:hint="eastAsia" w:ascii="宋体" w:hAnsi="宋体" w:cs="宋体"/>
          <w:color w:val="000000" w:themeColor="text1"/>
          <w:sz w:val="24"/>
          <w14:textFill>
            <w14:solidFill>
              <w14:schemeClr w14:val="tx1"/>
            </w14:solidFill>
          </w14:textFill>
        </w:rPr>
        <w:t>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11.3.1开标一览表（报价表）；</w:t>
      </w:r>
    </w:p>
    <w:p>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11.3.2中小企业声明函(如有）；</w:t>
      </w:r>
    </w:p>
    <w:p>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11.3.3残疾人福利性单位声明函(如有）；</w:t>
      </w:r>
    </w:p>
    <w:p>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11.3.4由省级以上监狱管理局、戒毒管理局（含新疆生产建设兵团）出具的属于监狱企业的证明文件（如有）。</w:t>
      </w:r>
    </w:p>
    <w:p>
      <w:pPr>
        <w:snapToGrid w:val="0"/>
        <w:spacing w:line="360" w:lineRule="auto"/>
        <w:ind w:right="480" w:firstLine="840" w:firstLineChars="400"/>
        <w:jc w:val="both"/>
        <w:rPr>
          <w:rFonts w:hint="eastAsia" w:eastAsia="宋体"/>
          <w:color w:val="000000" w:themeColor="text1"/>
          <w:lang w:eastAsia="zh-CN"/>
          <w14:textFill>
            <w14:solidFill>
              <w14:schemeClr w14:val="tx1"/>
            </w14:solidFill>
          </w14:textFill>
        </w:rPr>
      </w:pP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w:t>
      </w:r>
      <w:r>
        <w:rPr>
          <w:rFonts w:hint="eastAsia" w:ascii="宋体" w:hAnsi="宋体" w:cs="宋体"/>
          <w:b/>
          <w:color w:val="000000" w:themeColor="text1"/>
          <w:sz w:val="24"/>
          <w:lang w:eastAsia="zh-CN"/>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31"/>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lang w:eastAsia="zh-CN"/>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31"/>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w:t>
      </w:r>
      <w:r>
        <w:rPr>
          <w:rFonts w:hint="eastAsia" w:ascii="宋体" w:hAnsi="宋体" w:cs="宋体"/>
          <w:color w:val="000000" w:themeColor="text1"/>
          <w:szCs w:val="24"/>
          <w:lang w:eastAsia="zh-CN"/>
          <w14:textFill>
            <w14:solidFill>
              <w14:schemeClr w14:val="tx1"/>
            </w14:solidFill>
          </w14:textFill>
        </w:rPr>
        <w:t>招标人</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35"/>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w:t>
      </w:r>
      <w:r>
        <w:rPr>
          <w:rFonts w:hint="eastAsia" w:hAnsi="宋体" w:cs="宋体"/>
          <w:b/>
          <w:color w:val="000000" w:themeColor="text1"/>
          <w:sz w:val="24"/>
          <w:szCs w:val="24"/>
          <w:lang w:eastAsia="zh-CN"/>
          <w14:textFill>
            <w14:solidFill>
              <w14:schemeClr w14:val="tx1"/>
            </w14:solidFill>
          </w14:textFill>
        </w:rPr>
        <w:t>招标人</w:t>
      </w:r>
      <w:r>
        <w:rPr>
          <w:rFonts w:hint="eastAsia" w:hAnsi="宋体" w:cs="宋体"/>
          <w:b/>
          <w:color w:val="000000" w:themeColor="text1"/>
          <w:sz w:val="24"/>
          <w:szCs w:val="24"/>
          <w14:textFill>
            <w14:solidFill>
              <w14:schemeClr w14:val="tx1"/>
            </w14:solidFill>
          </w14:textFill>
        </w:rPr>
        <w:t>、</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p>
      <w:pPr>
        <w:pStyle w:val="35"/>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lang w:val="en-US" w:eastAsia="zh-CN"/>
          <w14:textFill>
            <w14:solidFill>
              <w14:schemeClr w14:val="tx1"/>
            </w14:solidFill>
          </w14:textFill>
        </w:rPr>
        <w:t>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5"/>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的截止时间之前送达到规定的地点；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27"/>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color w:val="000000" w:themeColor="text1"/>
          <w:sz w:val="24"/>
          <w:szCs w:val="20"/>
          <w:lang w:eastAsia="zh-CN"/>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000000" w:themeColor="text1"/>
          <w:sz w:val="32"/>
          <w14:textFill>
            <w14:solidFill>
              <w14:schemeClr w14:val="tx1"/>
            </w14:solidFill>
          </w14:textFill>
        </w:rPr>
      </w:pPr>
    </w:p>
    <w:p>
      <w:pPr>
        <w:pStyle w:val="131"/>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pPr>
        <w:pStyle w:val="555"/>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pPr>
        <w:pStyle w:val="555"/>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w:t>
      </w:r>
      <w:r>
        <w:rPr>
          <w:rFonts w:hint="eastAsia" w:ascii="宋体" w:hAnsi="宋体" w:cs="宋体"/>
          <w:color w:val="000000" w:themeColor="text1"/>
          <w:lang w:eastAsia="zh-CN"/>
          <w14:textFill>
            <w14:solidFill>
              <w14:schemeClr w14:val="tx1"/>
            </w14:solidFill>
          </w14:textFill>
        </w:rPr>
        <w:t>招标人</w:t>
      </w:r>
      <w:r>
        <w:rPr>
          <w:rFonts w:hint="eastAsia" w:ascii="宋体" w:hAnsi="宋体" w:cs="宋体"/>
          <w:color w:val="000000" w:themeColor="text1"/>
          <w14:textFill>
            <w14:solidFill>
              <w14:schemeClr w14:val="tx1"/>
            </w14:solidFill>
          </w14:textFill>
        </w:rPr>
        <w:t>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w:t>
      </w:r>
      <w:r>
        <w:rPr>
          <w:rFonts w:hint="eastAsia" w:ascii="宋体" w:hAnsi="宋体" w:cs="宋体"/>
          <w:color w:val="000000" w:themeColor="text1"/>
          <w:kern w:val="0"/>
          <w:szCs w:val="24"/>
          <w:lang w:eastAsia="zh-CN"/>
          <w14:textFill>
            <w14:solidFill>
              <w14:schemeClr w14:val="tx1"/>
            </w14:solidFill>
          </w14:textFill>
        </w:rPr>
        <w:t>重大税收违法失信主体</w:t>
      </w:r>
      <w:r>
        <w:rPr>
          <w:rFonts w:hint="eastAsia" w:ascii="宋体" w:hAnsi="宋体" w:cs="宋体"/>
          <w:color w:val="000000" w:themeColor="text1"/>
          <w:kern w:val="0"/>
          <w:szCs w:val="24"/>
          <w14:textFill>
            <w14:solidFill>
              <w14:schemeClr w14:val="tx1"/>
            </w14:solidFill>
          </w14:textFill>
        </w:rPr>
        <w:t>、政府采购严重违法失信行为记录名单的投标人将被拒绝参与政府采购活动。</w:t>
      </w:r>
    </w:p>
    <w:p>
      <w:pPr>
        <w:pStyle w:val="131"/>
        <w:spacing w:before="0"/>
        <w:ind w:firstLine="480"/>
        <w:rPr>
          <w:rFonts w:ascii="宋体" w:hAnsi="宋体" w:cs="宋体"/>
          <w:color w:val="000000" w:themeColor="text1"/>
          <w14:textFill>
            <w14:solidFill>
              <w14:schemeClr w14:val="tx1"/>
            </w14:solidFill>
          </w14:textFill>
        </w:rPr>
      </w:pPr>
    </w:p>
    <w:p>
      <w:pPr>
        <w:pStyle w:val="131"/>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pPr>
        <w:spacing w:line="360" w:lineRule="auto"/>
        <w:rPr>
          <w:rFonts w:ascii="宋体" w:hAnsi="宋体" w:cs="宋体"/>
          <w:b/>
          <w:color w:val="000000" w:themeColor="text1"/>
          <w:sz w:val="24"/>
          <w14:textFill>
            <w14:solidFill>
              <w14:schemeClr w14:val="tx1"/>
            </w14:solidFill>
          </w14:textFill>
        </w:rPr>
      </w:pPr>
      <w:bookmarkStart w:id="17"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000000" w:themeColor="text1"/>
          <w:szCs w:val="24"/>
          <w:lang w:eastAsia="zh-CN"/>
          <w14:textFill>
            <w14:solidFill>
              <w14:schemeClr w14:val="tx1"/>
            </w14:solidFill>
          </w14:textFill>
        </w:rPr>
        <w:t>招标人</w:t>
      </w:r>
      <w:r>
        <w:rPr>
          <w:rFonts w:hint="eastAsia" w:ascii="宋体" w:hAnsi="宋体" w:cs="宋体"/>
          <w:color w:val="000000" w:themeColor="text1"/>
          <w:szCs w:val="24"/>
          <w14:textFill>
            <w14:solidFill>
              <w14:schemeClr w14:val="tx1"/>
            </w14:solidFill>
          </w14:textFill>
        </w:rPr>
        <w:t>。采购单位应当自收到评审报告之日起2个工作日内在线确定中标或者成交供应商。中标、成交通知书和中标、成交结果公告应当在规定时间内同时发出。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8"/>
      <w:r>
        <w:rPr>
          <w:rFonts w:hint="eastAsia" w:ascii="宋体" w:hAnsi="宋体" w:cs="宋体"/>
          <w:color w:val="000000" w:themeColor="text1"/>
          <w:sz w:val="24"/>
          <w14:textFill>
            <w14:solidFill>
              <w14:schemeClr w14:val="tx1"/>
            </w14:solidFill>
          </w14:textFill>
        </w:rPr>
        <w:t>中标公告期限以及评审专家名单、评分汇总。</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与中标人应当通过电子交易平台在中标通知书发出之日起三十日内，按照招标文件确定的事项签订政府采购合同，并在签订之日起2个工作日内将政府采购合同在浙江政府采购网上公告。</w:t>
      </w:r>
    </w:p>
    <w:p>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25.2中标人按规定的日期、时间、地点，由法定代表人或其授权代表与招标人代表签订合同。</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w:t>
      </w:r>
      <w:r>
        <w:rPr>
          <w:rFonts w:hint="eastAsia" w:ascii="宋体" w:hAnsi="宋体" w:cs="宋体"/>
          <w:color w:val="000000" w:themeColor="text1"/>
          <w:lang w:eastAsia="zh-CN"/>
          <w14:textFill>
            <w14:solidFill>
              <w14:schemeClr w14:val="tx1"/>
            </w14:solidFill>
          </w14:textFill>
        </w:rPr>
        <w:t>招标人</w:t>
      </w:r>
      <w:r>
        <w:rPr>
          <w:rFonts w:hint="eastAsia" w:ascii="宋体" w:hAnsi="宋体" w:cs="宋体"/>
          <w:color w:val="000000" w:themeColor="text1"/>
          <w14:textFill>
            <w14:solidFill>
              <w14:schemeClr w14:val="tx1"/>
            </w14:solidFill>
          </w14:textFill>
        </w:rPr>
        <w:t>签订合同的，</w:t>
      </w:r>
      <w:r>
        <w:rPr>
          <w:rFonts w:hint="eastAsia" w:ascii="宋体" w:hAnsi="宋体" w:cs="宋体"/>
          <w:color w:val="000000" w:themeColor="text1"/>
          <w:lang w:eastAsia="zh-CN"/>
          <w14:textFill>
            <w14:solidFill>
              <w14:schemeClr w14:val="tx1"/>
            </w14:solidFill>
          </w14:textFill>
        </w:rPr>
        <w:t>招标人</w:t>
      </w:r>
      <w:r>
        <w:rPr>
          <w:rFonts w:hint="eastAsia" w:ascii="宋体" w:hAnsi="宋体" w:cs="宋体"/>
          <w:color w:val="000000" w:themeColor="text1"/>
          <w14:textFill>
            <w14:solidFill>
              <w14:schemeClr w14:val="tx1"/>
            </w14:solidFill>
          </w14:textFill>
        </w:rPr>
        <w:t>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w:t>
      </w:r>
      <w:r>
        <w:rPr>
          <w:rFonts w:hint="eastAsia" w:ascii="宋体" w:hAnsi="宋体" w:cs="宋体"/>
          <w:color w:val="000000" w:themeColor="text1"/>
          <w:lang w:eastAsia="zh-CN"/>
          <w14:textFill>
            <w14:solidFill>
              <w14:schemeClr w14:val="tx1"/>
            </w14:solidFill>
          </w14:textFill>
        </w:rPr>
        <w:t>招标人</w:t>
      </w:r>
      <w:r>
        <w:rPr>
          <w:rFonts w:hint="eastAsia" w:ascii="宋体" w:hAnsi="宋体" w:cs="宋体"/>
          <w:color w:val="000000" w:themeColor="text1"/>
          <w14:textFill>
            <w14:solidFill>
              <w14:schemeClr w14:val="tx1"/>
            </w14:solidFill>
          </w14:textFill>
        </w:rPr>
        <w:t>与中标供应商根据招标文件、投标文件等内容通过政府采购电子交易平台在线签订，自动备案。</w:t>
      </w:r>
    </w:p>
    <w:p>
      <w:pPr>
        <w:pStyle w:val="27"/>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pStyle w:val="6"/>
        <w:ind w:left="0" w:firstLine="480" w:firstLineChars="200"/>
        <w:rPr>
          <w:rFonts w:hint="eastAsia" w:ascii="宋体" w:hAnsi="宋体" w:eastAsia="宋体" w:cs="宋体"/>
          <w:b w:val="0"/>
          <w:bCs w:val="0"/>
          <w:snapToGrid w:val="0"/>
          <w:color w:val="000000" w:themeColor="text1"/>
          <w:kern w:val="28"/>
          <w:sz w:val="24"/>
          <w14:textFill>
            <w14:solidFill>
              <w14:schemeClr w14:val="tx1"/>
            </w14:solidFill>
          </w14:textFill>
        </w:rPr>
      </w:pPr>
      <w:bookmarkStart w:id="19"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19"/>
    </w:p>
    <w:p>
      <w:pPr>
        <w:rPr>
          <w:color w:val="000000" w:themeColor="text1"/>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sz w:val="24"/>
          <w:szCs w:val="20"/>
          <w14:textFill>
            <w14:solidFill>
              <w14:schemeClr w14:val="tx1"/>
            </w14:solidFill>
          </w14:textFill>
        </w:rPr>
        <w:t>2</w:t>
      </w:r>
      <w:r>
        <w:rPr>
          <w:rFonts w:ascii="宋体" w:hAnsi="宋体" w:cs="宋体"/>
          <w:b/>
          <w:bCs/>
          <w:color w:val="000000" w:themeColor="text1"/>
          <w:sz w:val="24"/>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pPr>
        <w:pStyle w:val="27"/>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将根据采购合同的约定及时向供应商支付采购资金、退还履约保证金。验收不合格的项目，</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应当及时报告本级财政部门。</w:t>
      </w:r>
    </w:p>
    <w:bookmarkEnd w:id="17"/>
    <w:p>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pgSz w:w="11906" w:h="16838"/>
          <w:pgMar w:top="680" w:right="1418" w:bottom="468" w:left="1418" w:header="851" w:footer="992" w:gutter="0"/>
          <w:cols w:space="720" w:num="1"/>
          <w:titlePg/>
          <w:docGrid w:linePitch="312" w:charSpace="0"/>
        </w:sectPr>
      </w:pPr>
      <w:bookmarkStart w:id="20" w:name="_Hlt68072998"/>
      <w:bookmarkEnd w:id="20"/>
      <w:bookmarkStart w:id="21" w:name="_Hlt74707468"/>
      <w:bookmarkEnd w:id="21"/>
      <w:bookmarkStart w:id="22" w:name="_Hlt74729768"/>
      <w:bookmarkEnd w:id="22"/>
      <w:bookmarkStart w:id="23" w:name="_Hlt68072990"/>
      <w:bookmarkEnd w:id="23"/>
      <w:bookmarkStart w:id="24" w:name="_Hlt75236011"/>
      <w:bookmarkEnd w:id="24"/>
      <w:bookmarkStart w:id="25" w:name="_Hlt68057669"/>
      <w:bookmarkEnd w:id="25"/>
      <w:bookmarkStart w:id="26" w:name="_Hlt68403820"/>
      <w:bookmarkEnd w:id="26"/>
      <w:bookmarkStart w:id="27" w:name="_Hlt74730295"/>
      <w:bookmarkEnd w:id="27"/>
      <w:bookmarkStart w:id="28" w:name="_Hlt74714665"/>
      <w:bookmarkEnd w:id="28"/>
      <w:bookmarkStart w:id="29" w:name="_Hlt75236101"/>
      <w:bookmarkEnd w:id="29"/>
      <w:bookmarkStart w:id="30" w:name="_Hlt75236290"/>
      <w:bookmarkEnd w:id="30"/>
      <w:bookmarkStart w:id="31" w:name="_Hlt68073093"/>
      <w:bookmarkEnd w:id="31"/>
    </w:p>
    <w:bookmarkEnd w:id="13"/>
    <w:bookmarkEnd w:id="14"/>
    <w:p>
      <w:pPr>
        <w:numPr>
          <w:ilvl w:val="0"/>
          <w:numId w:val="1"/>
        </w:num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32" w:name="第四部分"/>
      <w:r>
        <w:rPr>
          <w:rFonts w:hint="eastAsia" w:ascii="宋体" w:hAnsi="宋体" w:cs="宋体"/>
          <w:b/>
          <w:color w:val="000000" w:themeColor="text1"/>
          <w:sz w:val="36"/>
          <w:szCs w:val="36"/>
          <w14:textFill>
            <w14:solidFill>
              <w14:schemeClr w14:val="tx1"/>
            </w14:solidFill>
          </w14:textFill>
        </w:rPr>
        <w:t xml:space="preserve">  采购需求</w:t>
      </w:r>
    </w:p>
    <w:p>
      <w:pPr>
        <w:pStyle w:val="35"/>
        <w:numPr>
          <w:ilvl w:val="0"/>
          <w:numId w:val="2"/>
        </w:numPr>
        <w:snapToGrid w:val="0"/>
        <w:spacing w:before="120" w:after="120"/>
        <w:outlineLvl w:val="0"/>
        <w:rPr>
          <w:rFonts w:hint="eastAsia" w:hAnsi="宋体" w:cs="宋体"/>
          <w:b/>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lang w:eastAsia="zh-CN"/>
          <w14:textFill>
            <w14:solidFill>
              <w14:schemeClr w14:val="tx1"/>
            </w14:solidFill>
          </w14:textFill>
        </w:rPr>
        <w:t>★</w:t>
      </w:r>
      <w:r>
        <w:rPr>
          <w:rFonts w:hint="eastAsia" w:hAnsi="宋体" w:cs="宋体"/>
          <w:b/>
          <w:bCs/>
          <w:color w:val="000000" w:themeColor="text1"/>
          <w:sz w:val="24"/>
          <w:szCs w:val="24"/>
          <w14:textFill>
            <w14:solidFill>
              <w14:schemeClr w14:val="tx1"/>
            </w14:solidFill>
          </w14:textFill>
        </w:rPr>
        <w:t>商务要求表</w:t>
      </w:r>
    </w:p>
    <w:p>
      <w:pPr>
        <w:spacing w:line="360" w:lineRule="auto"/>
        <w:ind w:firstLine="420" w:firstLineChars="200"/>
        <w:jc w:val="left"/>
        <w:rPr>
          <w:rFonts w:hint="eastAsia"/>
          <w:color w:val="000000" w:themeColor="text1"/>
          <w:lang w:val="en-US" w:eastAsia="zh-CN"/>
          <w14:textFill>
            <w14:solidFill>
              <w14:schemeClr w14:val="tx1"/>
            </w14:solidFill>
          </w14:textFill>
        </w:rPr>
      </w:pPr>
    </w:p>
    <w:tbl>
      <w:tblPr>
        <w:tblStyle w:val="63"/>
        <w:tblpPr w:leftFromText="180" w:rightFromText="180" w:vertAnchor="text" w:horzAnchor="page" w:tblpX="1944" w:tblpY="-104"/>
        <w:tblOverlap w:val="never"/>
        <w:tblW w:w="8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63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p>
        </w:tc>
        <w:tc>
          <w:tcPr>
            <w:tcW w:w="6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cs="Times New Roman"/>
                <w:bCs/>
                <w:color w:val="000000" w:themeColor="text1"/>
                <w:sz w:val="24"/>
                <w:szCs w:val="24"/>
                <w14:textFill>
                  <w14:solidFill>
                    <w14:schemeClr w14:val="tx1"/>
                  </w14:solidFill>
                </w14:textFill>
              </w:rPr>
            </w:pPr>
            <w:bookmarkStart w:id="410" w:name="_GoBack" w:colFirst="0" w:colLast="1"/>
            <w:r>
              <w:rPr>
                <w:rFonts w:hint="eastAsia" w:ascii="宋体" w:hAnsi="宋体" w:cs="Times New Roman"/>
                <w:bCs/>
                <w:color w:val="000000" w:themeColor="text1"/>
                <w:sz w:val="24"/>
                <w:szCs w:val="24"/>
                <w14:textFill>
                  <w14:solidFill>
                    <w14:schemeClr w14:val="tx1"/>
                  </w14:solidFill>
                </w14:textFill>
              </w:rPr>
              <w:t>服务期限</w:t>
            </w:r>
          </w:p>
        </w:tc>
        <w:tc>
          <w:tcPr>
            <w:tcW w:w="6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default" w:ascii="宋体" w:hAnsi="宋体" w:cs="Times New Roman"/>
                <w:color w:val="000000" w:themeColor="text1"/>
                <w:sz w:val="24"/>
                <w:szCs w:val="24"/>
                <w:lang w:val="en-US" w:eastAsia="zh-CN"/>
                <w14:textFill>
                  <w14:solidFill>
                    <w14:schemeClr w14:val="tx1"/>
                  </w14:solidFill>
                </w14:textFill>
              </w:rPr>
            </w:pPr>
            <w:r>
              <w:rPr>
                <w:rFonts w:hint="default" w:ascii="宋体" w:hAnsi="宋体" w:cs="Times New Roman"/>
                <w:color w:val="000000" w:themeColor="text1"/>
                <w:sz w:val="24"/>
                <w:szCs w:val="24"/>
                <w:lang w:val="en-US" w:eastAsia="zh-CN"/>
                <w14:textFill>
                  <w14:solidFill>
                    <w14:schemeClr w14:val="tx1"/>
                  </w14:solidFill>
                </w14:textFill>
              </w:rPr>
              <w:t>服务期限三年，合同一年一签。第一年度合同期满后，经招标人上级主管部门及</w:t>
            </w:r>
            <w:r>
              <w:rPr>
                <w:rFonts w:hint="eastAsia" w:ascii="宋体" w:hAnsi="宋体" w:cs="Times New Roman"/>
                <w:color w:val="000000" w:themeColor="text1"/>
                <w:sz w:val="24"/>
                <w:szCs w:val="24"/>
                <w:lang w:val="en-US" w:eastAsia="zh-CN"/>
                <w14:textFill>
                  <w14:solidFill>
                    <w14:schemeClr w14:val="tx1"/>
                  </w14:solidFill>
                </w14:textFill>
              </w:rPr>
              <w:t>宁波市镇海区采购管理办公室</w:t>
            </w:r>
            <w:r>
              <w:rPr>
                <w:rFonts w:hint="default" w:ascii="宋体" w:hAnsi="宋体" w:cs="Times New Roman"/>
                <w:color w:val="000000" w:themeColor="text1"/>
                <w:sz w:val="24"/>
                <w:szCs w:val="24"/>
                <w:lang w:val="en-US" w:eastAsia="zh-CN"/>
                <w14:textFill>
                  <w14:solidFill>
                    <w14:schemeClr w14:val="tx1"/>
                  </w14:solidFill>
                </w14:textFill>
              </w:rPr>
              <w:t>审批通过后可续签下一年合同，最多可续签二次。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cs="Times New Roman"/>
                <w:bCs/>
                <w:color w:val="000000" w:themeColor="text1"/>
                <w:sz w:val="24"/>
                <w:szCs w:val="24"/>
                <w:highlight w:val="none"/>
                <w14:textFill>
                  <w14:solidFill>
                    <w14:schemeClr w14:val="tx1"/>
                  </w14:solidFill>
                </w14:textFill>
              </w:rPr>
            </w:pPr>
            <w:r>
              <w:rPr>
                <w:rFonts w:hint="eastAsia" w:ascii="宋体" w:hAnsi="宋体" w:cs="Times New Roman"/>
                <w:bCs/>
                <w:color w:val="000000" w:themeColor="text1"/>
                <w:sz w:val="24"/>
                <w:szCs w:val="24"/>
                <w:highlight w:val="none"/>
                <w14:textFill>
                  <w14:solidFill>
                    <w14:schemeClr w14:val="tx1"/>
                  </w14:solidFill>
                </w14:textFill>
              </w:rPr>
              <w:t>付款方式</w:t>
            </w:r>
          </w:p>
        </w:tc>
        <w:tc>
          <w:tcPr>
            <w:tcW w:w="6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1、合同生效以及具备实施条件后7个工作日内支付</w:t>
            </w:r>
            <w:r>
              <w:rPr>
                <w:rFonts w:hint="eastAsia" w:ascii="宋体" w:hAnsi="宋体"/>
                <w:color w:val="000000" w:themeColor="text1"/>
                <w:sz w:val="24"/>
                <w:szCs w:val="24"/>
                <w:highlight w:val="none"/>
                <w:lang w:val="en-US" w:eastAsia="zh-CN"/>
                <w14:textFill>
                  <w14:solidFill>
                    <w14:schemeClr w14:val="tx1"/>
                  </w14:solidFill>
                </w14:textFill>
              </w:rPr>
              <w:t>每年</w:t>
            </w:r>
            <w:r>
              <w:rPr>
                <w:rFonts w:hint="eastAsia" w:ascii="宋体" w:hAnsi="宋体"/>
                <w:color w:val="000000" w:themeColor="text1"/>
                <w:sz w:val="24"/>
                <w:szCs w:val="24"/>
                <w:highlight w:val="none"/>
                <w:lang w:val="zh-CN"/>
                <w14:textFill>
                  <w14:solidFill>
                    <w14:schemeClr w14:val="tx1"/>
                  </w14:solidFill>
                </w14:textFill>
              </w:rPr>
              <w:t>预算金额</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lang w:val="zh-CN"/>
                <w14:textFill>
                  <w14:solidFill>
                    <w14:schemeClr w14:val="tx1"/>
                  </w14:solidFill>
                </w14:textFill>
              </w:rPr>
              <w:t>0%的预付款（供应商需提交银行、保险公司等金融机构出具的预付款保函或其他担保措施。供应商在签订合同时，表示无需预付款或主动要求降低预付款比例的，可不适用本条款）；</w:t>
            </w:r>
          </w:p>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2、累计实际支付金额≤预付款时，不予支付；累计实际支付金额＞预付款时，超出预付款部分的金额按月结算。</w:t>
            </w:r>
          </w:p>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3、各院区费用按月结算，结算统计日期以每月1日零时起到本月最后一天24时结束。每个月度结束后3个月内由各院区支付。</w:t>
            </w:r>
          </w:p>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s="Times New Roman"/>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4、实际支付金额=实际收益×给付比例。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cs="Times New Roman"/>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履约保证金</w:t>
            </w:r>
          </w:p>
        </w:tc>
        <w:tc>
          <w:tcPr>
            <w:tcW w:w="6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cs="Times New Roman"/>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签订合同时间</w:t>
            </w:r>
          </w:p>
        </w:tc>
        <w:tc>
          <w:tcPr>
            <w:tcW w:w="6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cs="Times New Roman"/>
                <w:bCs/>
                <w:color w:val="000000" w:themeColor="text1"/>
                <w:sz w:val="24"/>
                <w:szCs w:val="24"/>
                <w14:textFill>
                  <w14:solidFill>
                    <w14:schemeClr w14:val="tx1"/>
                  </w14:solidFill>
                </w14:textFill>
              </w:rPr>
            </w:pPr>
            <w:r>
              <w:rPr>
                <w:rFonts w:hint="eastAsia" w:ascii="宋体" w:hAnsi="宋体" w:cs="Times New Roman"/>
                <w:bCs/>
                <w:color w:val="000000" w:themeColor="text1"/>
                <w:sz w:val="24"/>
                <w:szCs w:val="24"/>
                <w14:textFill>
                  <w14:solidFill>
                    <w14:schemeClr w14:val="tx1"/>
                  </w14:solidFill>
                </w14:textFill>
              </w:rPr>
              <w:t>投标文件有效期</w:t>
            </w:r>
          </w:p>
        </w:tc>
        <w:tc>
          <w:tcPr>
            <w:tcW w:w="6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自投标截止之日起90天。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12"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p>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jc w:val="center"/>
              <w:textAlignment w:val="auto"/>
              <w:outlineLvl w:val="0"/>
              <w:rPr>
                <w:rFonts w:hint="eastAsia" w:ascii="宋体" w:hAnsi="宋体" w:cs="Times New Roman"/>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w:t>
            </w:r>
          </w:p>
        </w:tc>
        <w:tc>
          <w:tcPr>
            <w:tcW w:w="6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）报价包括完成本项目服务所发生的全部费用以及供应商利润、税金及合同包含的所有风险、责任等各项应有费用。</w:t>
            </w:r>
          </w:p>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cs="Times New Roman"/>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）最高限价：浙江省医疗服务价格的基准上所报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给付比例75</w:t>
            </w:r>
            <w:r>
              <w:rPr>
                <w:rFonts w:hint="eastAsia" w:ascii="宋体" w:hAnsi="宋体" w:eastAsia="宋体" w:cs="宋体"/>
                <w:b w:val="0"/>
                <w:bCs w:val="0"/>
                <w:color w:val="000000" w:themeColor="text1"/>
                <w:sz w:val="24"/>
                <w:szCs w:val="24"/>
                <w:highlight w:val="none"/>
                <w14:textFill>
                  <w14:solidFill>
                    <w14:schemeClr w14:val="tx1"/>
                  </w14:solidFill>
                </w14:textFill>
              </w:rPr>
              <w:t>%，超出此</w:t>
            </w:r>
            <w:r>
              <w:rPr>
                <w:rFonts w:hint="eastAsia" w:ascii="宋体" w:hAnsi="宋体" w:cs="宋体"/>
                <w:b w:val="0"/>
                <w:bCs w:val="0"/>
                <w:color w:val="000000" w:themeColor="text1"/>
                <w:sz w:val="24"/>
                <w:szCs w:val="24"/>
                <w:highlight w:val="none"/>
                <w:lang w:eastAsia="zh-CN"/>
                <w14:textFill>
                  <w14:solidFill>
                    <w14:schemeClr w14:val="tx1"/>
                  </w14:solidFill>
                </w14:textFill>
              </w:rPr>
              <w:t>给付比例</w:t>
            </w:r>
            <w:r>
              <w:rPr>
                <w:rFonts w:hint="eastAsia" w:ascii="宋体" w:hAnsi="宋体" w:eastAsia="宋体" w:cs="宋体"/>
                <w:b w:val="0"/>
                <w:bCs w:val="0"/>
                <w:color w:val="000000" w:themeColor="text1"/>
                <w:sz w:val="24"/>
                <w:szCs w:val="24"/>
                <w:highlight w:val="none"/>
                <w14:textFill>
                  <w14:solidFill>
                    <w14:schemeClr w14:val="tx1"/>
                  </w14:solidFill>
                </w14:textFill>
              </w:rPr>
              <w:t>的报价，为无效报价处理。</w:t>
            </w:r>
          </w:p>
        </w:tc>
      </w:tr>
      <w:bookmarkEnd w:id="410"/>
    </w:tbl>
    <w:p>
      <w:pPr>
        <w:pStyle w:val="6"/>
        <w:numPr>
          <w:ilvl w:val="0"/>
          <w:numId w:val="0"/>
        </w:numPr>
        <w:ind w:leftChars="0"/>
        <w:rPr>
          <w:rFonts w:hint="eastAsia" w:ascii="宋体" w:hAnsi="宋体" w:eastAsia="宋体" w:cs="宋体"/>
          <w:b/>
          <w:bCs/>
          <w:snapToGrid w:val="0"/>
          <w:color w:val="000000" w:themeColor="text1"/>
          <w:kern w:val="2"/>
          <w:sz w:val="24"/>
          <w:szCs w:val="24"/>
          <w:lang w:val="en-US" w:eastAsia="zh-CN" w:bidi="ar-SA"/>
          <w14:textFill>
            <w14:solidFill>
              <w14:schemeClr w14:val="tx1"/>
            </w14:solidFill>
          </w14:textFill>
        </w:rPr>
        <w:sectPr>
          <w:pgSz w:w="11907" w:h="16840"/>
          <w:pgMar w:top="1474" w:right="1814" w:bottom="1474" w:left="1814" w:header="851" w:footer="851" w:gutter="0"/>
          <w:cols w:space="720" w:num="1"/>
        </w:sectPr>
      </w:pPr>
    </w:p>
    <w:p>
      <w:pPr>
        <w:pStyle w:val="6"/>
        <w:numPr>
          <w:ilvl w:val="0"/>
          <w:numId w:val="3"/>
        </w:numPr>
        <w:ind w:leftChars="0"/>
        <w:rPr>
          <w:rFonts w:hint="eastAsia" w:ascii="宋体" w:hAnsi="宋体" w:eastAsia="宋体" w:cs="宋体"/>
          <w:b/>
          <w:bCs/>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lang w:val="en-US" w:eastAsia="zh-CN" w:bidi="ar-SA"/>
          <w14:textFill>
            <w14:solidFill>
              <w14:schemeClr w14:val="tx1"/>
            </w14:solidFill>
          </w14:textFill>
        </w:rPr>
        <w:t>采购要求</w:t>
      </w:r>
    </w:p>
    <w:tbl>
      <w:tblPr>
        <w:tblStyle w:val="6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07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ind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招标要求</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eastAsia="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Times New Roman"/>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一</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适用范围：适用于医院所有外送服务(详见检测项目清单）</w:t>
            </w:r>
            <w:r>
              <w:rPr>
                <w:rFonts w:hint="eastAsia" w:ascii="宋体" w:hAnsi="宋体" w:eastAsia="宋体" w:cs="宋体"/>
                <w:color w:val="000000" w:themeColor="text1"/>
                <w:kern w:val="0"/>
                <w:sz w:val="24"/>
                <w:szCs w:val="24"/>
                <w14:textFill>
                  <w14:solidFill>
                    <w14:schemeClr w14:val="tx1"/>
                  </w14:solidFill>
                </w14:textFill>
              </w:rPr>
              <w:t>投标人必须满足清单中的所有检测项目，否则按投标无效处理。</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技术服务要求</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需提供专业的标本冷链物流配送，温度控制在全程2-8℃。</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报告出具时间：请投标人自行按检验项目列出详细的报告出具时间。</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提供报告系统与医院LIS系统实行信息化无缝连接，</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确保报告结果直接传输到招标人LIS系统，</w:t>
            </w:r>
            <w:r>
              <w:rPr>
                <w:rFonts w:hint="eastAsia" w:ascii="宋体" w:hAnsi="宋体" w:eastAsia="宋体" w:cs="宋体"/>
                <w:color w:val="000000" w:themeColor="text1"/>
                <w:kern w:val="0"/>
                <w:sz w:val="24"/>
                <w:szCs w:val="24"/>
                <w14:textFill>
                  <w14:solidFill>
                    <w14:schemeClr w14:val="tx1"/>
                  </w14:solidFill>
                </w14:textFill>
              </w:rPr>
              <w:t>并承担相关接口等费用。</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需提供外送项目检测所需的所有耗材，并提供耗材生产厂家三证。</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2.5</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标本接收：每天上门一次，特殊情况临时增加一次，响应时间≤1小时；节假日照常接收标本。</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需按照国家及行业标准运送和保存标本。</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需对检验后的标本进行妥善保存，以便检验结果有疑义时进行再次检验，保存标本的时间不应少于相关标准或条例所规定的时间。</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合作期间因报告及时性及准确度造成的纠纷由</w:t>
            </w:r>
            <w:r>
              <w:rPr>
                <w:rFonts w:hint="eastAsia" w:ascii="宋体" w:hAnsi="宋体" w:cs="宋体"/>
                <w:color w:val="000000" w:themeColor="text1"/>
                <w:kern w:val="0"/>
                <w:sz w:val="24"/>
                <w:szCs w:val="24"/>
                <w:lang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承担一切后果。</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应有对患者电子病历、送检标本及检测结果等相关资料保密的措施。</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投标人</w:t>
            </w:r>
            <w:r>
              <w:rPr>
                <w:rFonts w:hint="eastAsia" w:ascii="宋体" w:hAnsi="宋体" w:eastAsia="宋体" w:cs="宋体"/>
                <w:color w:val="000000" w:themeColor="text1"/>
                <w:kern w:val="0"/>
                <w:sz w:val="24"/>
                <w:szCs w:val="24"/>
                <w14:textFill>
                  <w14:solidFill>
                    <w14:schemeClr w14:val="tx1"/>
                  </w14:solidFill>
                </w14:textFill>
              </w:rPr>
              <w:t>需配合医院做好质量控制，定期提供所需文件。</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医院自己开展项目仪器发生故障时，投标人可提供标本紧急检测服务，按照中标</w:t>
            </w:r>
            <w:r>
              <w:rPr>
                <w:rFonts w:hint="eastAsia" w:ascii="宋体" w:hAnsi="宋体" w:cs="宋体"/>
                <w:color w:val="000000" w:themeColor="text1"/>
                <w:kern w:val="0"/>
                <w:sz w:val="24"/>
                <w:szCs w:val="24"/>
                <w:lang w:val="en-US" w:eastAsia="zh-CN"/>
                <w14:textFill>
                  <w14:solidFill>
                    <w14:schemeClr w14:val="tx1"/>
                  </w14:solidFill>
                </w14:textFill>
              </w:rPr>
              <w:t>给付比例</w:t>
            </w:r>
            <w:r>
              <w:rPr>
                <w:rFonts w:hint="eastAsia" w:ascii="宋体" w:hAnsi="宋体" w:eastAsia="宋体" w:cs="宋体"/>
                <w:color w:val="000000" w:themeColor="text1"/>
                <w:kern w:val="0"/>
                <w:sz w:val="24"/>
                <w:szCs w:val="24"/>
                <w14:textFill>
                  <w14:solidFill>
                    <w14:schemeClr w14:val="tx1"/>
                  </w14:solidFill>
                </w14:textFill>
              </w:rPr>
              <w:t>收取费用，不另计费。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后续可由招标人根据实际情况对项目进行增减。新增检验项目按中标价执行。</w:t>
            </w: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如遇特殊标本（包括急诊标本、病理标本和新冠核酸标本等）：投标人承诺提供临时标本接收和检测服务</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2.12</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检验结束后，</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负责在合同规定的时间内向</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检验</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科提供检验报告单（样本有特殊情况无法按时出报告需要提前通知检验科）。</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实验室对检验报告单的准确性和及时性负责。报告单的抬头为招标人名称（由招标人指定），但是检验者、审核者以及方法学为</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2.13</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当招标人对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实验室的检验结果有疑义或异议时，招标人可要求</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实验室重新检验或再委托第三方检验。这种情况下所发生的费用，由责任方承担。</w:t>
            </w: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2.14</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投标人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对所出的检测报告负责，建立全面的质量管理体系，落实全面质量管理与改进制度，严格按照SOP文件执行，开展室内质控，并参加国家、省临检中心室间质评，确保检验结果准确可靠。</w:t>
            </w: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2.15</w:t>
            </w:r>
          </w:p>
        </w:tc>
        <w:tc>
          <w:tcPr>
            <w:tcW w:w="7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提供专业客户服务人员。服务时效：日常电话及时应答，投诉2小时内回复。</w:t>
            </w:r>
          </w:p>
        </w:tc>
        <w:tc>
          <w:tcPr>
            <w:tcW w:w="13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center"/>
              <w:rPr>
                <w:rFonts w:hint="eastAsia" w:ascii="宋体" w:hAnsi="宋体" w:eastAsia="宋体" w:cs="宋体"/>
                <w:color w:val="000000" w:themeColor="text1"/>
                <w:kern w:val="0"/>
                <w:sz w:val="24"/>
                <w:szCs w:val="24"/>
                <w14:textFill>
                  <w14:solidFill>
                    <w14:schemeClr w14:val="tx1"/>
                  </w14:solidFill>
                </w14:textFill>
              </w:rPr>
            </w:pPr>
          </w:p>
        </w:tc>
      </w:tr>
    </w:tbl>
    <w:p>
      <w:pPr>
        <w:pStyle w:val="2"/>
        <w:rPr>
          <w:rFonts w:hint="eastAsia" w:ascii="宋体" w:hAnsi="宋体" w:cs="宋体"/>
          <w:color w:val="000000" w:themeColor="text1"/>
          <w:sz w:val="24"/>
          <w:szCs w:val="24"/>
          <w14:textFill>
            <w14:solidFill>
              <w14:schemeClr w14:val="tx1"/>
            </w14:solidFill>
          </w14:textFill>
        </w:rPr>
      </w:pPr>
    </w:p>
    <w:p>
      <w:pPr>
        <w:spacing w:line="360" w:lineRule="auto"/>
        <w:outlineLvl w:val="0"/>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附件：</w:t>
      </w:r>
      <w:r>
        <w:rPr>
          <w:rFonts w:hint="eastAsia" w:ascii="宋体" w:hAnsi="宋体" w:cs="宋体"/>
          <w:b/>
          <w:bCs/>
          <w:color w:val="000000" w:themeColor="text1"/>
          <w:kern w:val="0"/>
          <w:sz w:val="24"/>
          <w:szCs w:val="24"/>
          <w14:textFill>
            <w14:solidFill>
              <w14:schemeClr w14:val="tx1"/>
            </w14:solidFill>
          </w14:textFill>
        </w:rPr>
        <w:t>检测项目清单</w:t>
      </w:r>
    </w:p>
    <w:tbl>
      <w:tblPr>
        <w:tblStyle w:val="63"/>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713"/>
        <w:gridCol w:w="7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2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院区医学标本外送检测项目汇总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院区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各院区</w:t>
            </w: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多巴胺DA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肾上腺素E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去甲肾上腺素NE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变肾上腺素（3-甲氧基肾上腺素）MN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去甲变肾上腺素（3-甲氧基去甲肾上腺素）NMN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高香草酸 HVA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香草扁桃酸  VMA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醛固酮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血管紧张素I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肾素活性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皮质醇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11-脱氧皮质醇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21-脱氧皮质醇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皮质酮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皮质素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尿多巴胺DA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尿肾上腺素E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尿去甲肾上腺素NE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尿变肾上腺素（3-甲氧基肾上腺素）MN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尿去甲变肾上腺素（3-甲氧基去甲肾上腺素）NMN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尿高香草酸 HVA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9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尿香草扁桃酸  VMA</w:t>
            </w:r>
          </w:p>
        </w:tc>
      </w:tr>
    </w:tbl>
    <w:p>
      <w:pPr>
        <w:pStyle w:val="2"/>
        <w:rPr>
          <w:rFonts w:ascii="宋体" w:hAnsi="宋体" w:cs="宋体"/>
          <w:color w:val="000000" w:themeColor="text1"/>
          <w:szCs w:val="21"/>
          <w14:textFill>
            <w14:solidFill>
              <w14:schemeClr w14:val="tx1"/>
            </w14:solidFill>
          </w14:textFill>
        </w:rPr>
      </w:pPr>
    </w:p>
    <w:p>
      <w:pPr>
        <w:spacing w:line="360" w:lineRule="auto"/>
        <w:ind w:firstLine="181" w:firstLineChars="50"/>
        <w:rPr>
          <w:rFonts w:ascii="宋体" w:hAnsi="宋体" w:cs="宋体"/>
          <w:b/>
          <w:color w:val="000000" w:themeColor="text1"/>
          <w:sz w:val="36"/>
          <w:szCs w:val="36"/>
          <w14:textFill>
            <w14:solidFill>
              <w14:schemeClr w14:val="tx1"/>
            </w14:solidFill>
          </w14:textFill>
        </w:rPr>
      </w:pPr>
    </w:p>
    <w:p>
      <w:pPr>
        <w:spacing w:line="360" w:lineRule="auto"/>
        <w:jc w:val="both"/>
        <w:outlineLvl w:val="0"/>
        <w:rPr>
          <w:rFonts w:hint="eastAsia" w:ascii="宋体" w:hAnsi="宋体" w:cs="宋体"/>
          <w:b/>
          <w:color w:val="000000" w:themeColor="text1"/>
          <w:sz w:val="24"/>
          <w:lang w:val="en-US" w:eastAsia="zh-CN"/>
          <w14:textFill>
            <w14:solidFill>
              <w14:schemeClr w14:val="tx1"/>
            </w14:solidFill>
          </w14:textFill>
        </w:rPr>
        <w:sectPr>
          <w:pgSz w:w="11907" w:h="16840"/>
          <w:pgMar w:top="1474" w:right="1814" w:bottom="1474" w:left="1814" w:header="851" w:footer="851" w:gutter="0"/>
          <w:cols w:space="720" w:num="1"/>
        </w:sectPr>
      </w:pP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33" w:name="_Toc184312103"/>
      <w:bookmarkEnd w:id="33"/>
      <w:bookmarkStart w:id="34" w:name="_Toc184310338"/>
      <w:bookmarkEnd w:id="34"/>
      <w:bookmarkStart w:id="35" w:name="_Toc184312119"/>
      <w:bookmarkEnd w:id="35"/>
      <w:bookmarkStart w:id="36" w:name="_Toc184314418"/>
      <w:bookmarkEnd w:id="36"/>
      <w:bookmarkStart w:id="37" w:name="_Toc184310287"/>
      <w:bookmarkEnd w:id="37"/>
      <w:bookmarkStart w:id="38" w:name="_Toc184312081"/>
      <w:bookmarkEnd w:id="38"/>
      <w:bookmarkStart w:id="39" w:name="_Toc184308099"/>
      <w:bookmarkEnd w:id="39"/>
      <w:bookmarkStart w:id="40" w:name="_Toc184314433"/>
      <w:bookmarkEnd w:id="40"/>
      <w:bookmarkStart w:id="41" w:name="_Toc184310337"/>
      <w:bookmarkEnd w:id="41"/>
      <w:bookmarkStart w:id="42" w:name="_Toc184310343"/>
      <w:bookmarkEnd w:id="42"/>
      <w:bookmarkStart w:id="43" w:name="_Toc184313290"/>
      <w:bookmarkEnd w:id="43"/>
      <w:bookmarkStart w:id="44" w:name="_Toc184310288"/>
      <w:bookmarkEnd w:id="44"/>
      <w:bookmarkStart w:id="45" w:name="_Toc184312116"/>
      <w:bookmarkEnd w:id="45"/>
      <w:bookmarkStart w:id="46" w:name="_Toc184310302"/>
      <w:bookmarkEnd w:id="46"/>
      <w:bookmarkStart w:id="47" w:name="_Toc184308081"/>
      <w:bookmarkEnd w:id="47"/>
      <w:bookmarkStart w:id="48" w:name="_Toc184310316"/>
      <w:bookmarkEnd w:id="48"/>
      <w:bookmarkStart w:id="49" w:name="_Toc184312109"/>
      <w:bookmarkEnd w:id="49"/>
      <w:bookmarkStart w:id="50" w:name="_Toc184310322"/>
      <w:bookmarkEnd w:id="50"/>
      <w:bookmarkStart w:id="51" w:name="_Toc184313297"/>
      <w:bookmarkEnd w:id="51"/>
      <w:bookmarkStart w:id="52" w:name="_Toc184314420"/>
      <w:bookmarkEnd w:id="52"/>
      <w:bookmarkStart w:id="53" w:name="_Toc184314438"/>
      <w:bookmarkEnd w:id="53"/>
      <w:bookmarkStart w:id="54" w:name="_Toc184310273"/>
      <w:bookmarkEnd w:id="54"/>
      <w:bookmarkStart w:id="55" w:name="_Toc184310272"/>
      <w:bookmarkEnd w:id="55"/>
      <w:bookmarkStart w:id="56" w:name="_Toc184310283"/>
      <w:bookmarkEnd w:id="56"/>
      <w:bookmarkStart w:id="57" w:name="_Toc184314468"/>
      <w:bookmarkEnd w:id="57"/>
      <w:bookmarkStart w:id="58" w:name="_Toc184314427"/>
      <w:bookmarkEnd w:id="58"/>
      <w:bookmarkStart w:id="59" w:name="_Toc184310296"/>
      <w:bookmarkEnd w:id="59"/>
      <w:bookmarkStart w:id="60" w:name="_Toc184314422"/>
      <w:bookmarkEnd w:id="60"/>
      <w:bookmarkStart w:id="61" w:name="_Toc184312069"/>
      <w:bookmarkEnd w:id="61"/>
      <w:bookmarkStart w:id="62" w:name="_Toc184313276"/>
      <w:bookmarkEnd w:id="62"/>
      <w:bookmarkStart w:id="63" w:name="_Toc184312088"/>
      <w:bookmarkEnd w:id="63"/>
      <w:bookmarkStart w:id="64" w:name="_Toc184308044"/>
      <w:bookmarkEnd w:id="64"/>
      <w:bookmarkStart w:id="65" w:name="_Toc184310308"/>
      <w:bookmarkEnd w:id="65"/>
      <w:bookmarkStart w:id="66" w:name="_Toc184308052"/>
      <w:bookmarkEnd w:id="66"/>
      <w:bookmarkStart w:id="67" w:name="_Toc184312073"/>
      <w:bookmarkEnd w:id="67"/>
      <w:bookmarkStart w:id="68" w:name="_Toc184313277"/>
      <w:bookmarkEnd w:id="68"/>
      <w:bookmarkStart w:id="69" w:name="_Toc184310340"/>
      <w:bookmarkEnd w:id="69"/>
      <w:bookmarkStart w:id="70" w:name="_Toc184313253"/>
      <w:bookmarkEnd w:id="70"/>
      <w:bookmarkStart w:id="71" w:name="_Toc184313306"/>
      <w:bookmarkEnd w:id="71"/>
      <w:bookmarkStart w:id="72" w:name="_Toc184308048"/>
      <w:bookmarkEnd w:id="72"/>
      <w:bookmarkStart w:id="73" w:name="_Toc184313259"/>
      <w:bookmarkEnd w:id="73"/>
      <w:bookmarkStart w:id="74" w:name="_Toc184308040"/>
      <w:bookmarkEnd w:id="74"/>
      <w:bookmarkStart w:id="75" w:name="_Toc184314440"/>
      <w:bookmarkEnd w:id="75"/>
      <w:bookmarkStart w:id="76" w:name="_Toc184308036"/>
      <w:bookmarkEnd w:id="76"/>
      <w:bookmarkStart w:id="77" w:name="_Toc184313257"/>
      <w:bookmarkEnd w:id="77"/>
      <w:bookmarkStart w:id="78" w:name="_Toc184308063"/>
      <w:bookmarkEnd w:id="78"/>
      <w:bookmarkStart w:id="79" w:name="_Toc184308100"/>
      <w:bookmarkEnd w:id="79"/>
      <w:bookmarkStart w:id="80" w:name="_Toc184310327"/>
      <w:bookmarkEnd w:id="80"/>
      <w:bookmarkStart w:id="81" w:name="_Toc184308061"/>
      <w:bookmarkEnd w:id="81"/>
      <w:bookmarkStart w:id="82" w:name="_Toc184313268"/>
      <w:bookmarkEnd w:id="82"/>
      <w:bookmarkStart w:id="83" w:name="_Toc184312114"/>
      <w:bookmarkEnd w:id="83"/>
      <w:bookmarkStart w:id="84" w:name="_Toc184308074"/>
      <w:bookmarkEnd w:id="84"/>
      <w:bookmarkStart w:id="85" w:name="_Toc184310306"/>
      <w:bookmarkEnd w:id="85"/>
      <w:bookmarkStart w:id="86" w:name="_Toc184314444"/>
      <w:bookmarkEnd w:id="86"/>
      <w:bookmarkStart w:id="87" w:name="_Toc184313284"/>
      <w:bookmarkEnd w:id="87"/>
      <w:bookmarkStart w:id="88" w:name="_Toc184313249"/>
      <w:bookmarkEnd w:id="88"/>
      <w:bookmarkStart w:id="89" w:name="_Toc184314414"/>
      <w:bookmarkEnd w:id="89"/>
      <w:bookmarkStart w:id="90" w:name="_Toc184312067"/>
      <w:bookmarkEnd w:id="90"/>
      <w:bookmarkStart w:id="91" w:name="_Toc184313262"/>
      <w:bookmarkEnd w:id="91"/>
      <w:bookmarkStart w:id="92" w:name="_Toc184313252"/>
      <w:bookmarkEnd w:id="92"/>
      <w:bookmarkStart w:id="93" w:name="_Toc184313254"/>
      <w:bookmarkEnd w:id="93"/>
      <w:bookmarkStart w:id="94" w:name="_Toc184308095"/>
      <w:bookmarkEnd w:id="94"/>
      <w:bookmarkStart w:id="95" w:name="_Toc184308039"/>
      <w:bookmarkEnd w:id="95"/>
      <w:bookmarkStart w:id="96" w:name="_Toc184312121"/>
      <w:bookmarkEnd w:id="96"/>
      <w:bookmarkStart w:id="97" w:name="_Toc184308084"/>
      <w:bookmarkEnd w:id="97"/>
      <w:bookmarkStart w:id="98" w:name="_Toc184314461"/>
      <w:bookmarkEnd w:id="98"/>
      <w:bookmarkStart w:id="99" w:name="_Toc184308055"/>
      <w:bookmarkEnd w:id="99"/>
      <w:bookmarkStart w:id="100" w:name="_Toc184310303"/>
      <w:bookmarkEnd w:id="100"/>
      <w:bookmarkStart w:id="101" w:name="_Toc184310330"/>
      <w:bookmarkEnd w:id="101"/>
      <w:bookmarkStart w:id="102" w:name="_Toc184308106"/>
      <w:bookmarkEnd w:id="102"/>
      <w:bookmarkStart w:id="103" w:name="_Toc184314423"/>
      <w:bookmarkEnd w:id="103"/>
      <w:bookmarkStart w:id="104" w:name="_Toc184308047"/>
      <w:bookmarkEnd w:id="104"/>
      <w:bookmarkStart w:id="105" w:name="_Toc184314459"/>
      <w:bookmarkEnd w:id="105"/>
      <w:bookmarkStart w:id="106" w:name="_Toc184312125"/>
      <w:bookmarkEnd w:id="106"/>
      <w:bookmarkStart w:id="107" w:name="_Toc184312127"/>
      <w:bookmarkEnd w:id="107"/>
      <w:bookmarkStart w:id="108" w:name="_Toc184313255"/>
      <w:bookmarkEnd w:id="108"/>
      <w:bookmarkStart w:id="109" w:name="_Toc184308096"/>
      <w:bookmarkEnd w:id="109"/>
      <w:bookmarkStart w:id="110" w:name="_Toc184313305"/>
      <w:bookmarkEnd w:id="110"/>
      <w:bookmarkStart w:id="111" w:name="_Toc184308050"/>
      <w:bookmarkEnd w:id="111"/>
      <w:bookmarkStart w:id="112" w:name="_Toc184312075"/>
      <w:bookmarkEnd w:id="112"/>
      <w:bookmarkStart w:id="113" w:name="_Toc184313278"/>
      <w:bookmarkEnd w:id="113"/>
      <w:bookmarkStart w:id="114" w:name="_Toc184314466"/>
      <w:bookmarkEnd w:id="114"/>
      <w:bookmarkStart w:id="115" w:name="_Toc184308070"/>
      <w:bookmarkEnd w:id="115"/>
      <w:bookmarkStart w:id="116" w:name="_Toc184312068"/>
      <w:bookmarkEnd w:id="116"/>
      <w:bookmarkStart w:id="117" w:name="_Toc184308057"/>
      <w:bookmarkEnd w:id="117"/>
      <w:bookmarkStart w:id="118" w:name="_Toc184314419"/>
      <w:bookmarkEnd w:id="118"/>
      <w:bookmarkStart w:id="119" w:name="_Toc184308085"/>
      <w:bookmarkEnd w:id="119"/>
      <w:bookmarkStart w:id="120" w:name="_Toc184308078"/>
      <w:bookmarkEnd w:id="120"/>
      <w:bookmarkStart w:id="121" w:name="_Toc184314421"/>
      <w:bookmarkEnd w:id="121"/>
      <w:bookmarkStart w:id="122" w:name="_Toc184312139"/>
      <w:bookmarkEnd w:id="122"/>
      <w:bookmarkStart w:id="123" w:name="_Toc184310315"/>
      <w:bookmarkEnd w:id="123"/>
      <w:bookmarkStart w:id="124" w:name="_Toc184308094"/>
      <w:bookmarkEnd w:id="124"/>
      <w:bookmarkStart w:id="125" w:name="_Toc184312118"/>
      <w:bookmarkEnd w:id="125"/>
      <w:bookmarkStart w:id="126" w:name="_Toc184314443"/>
      <w:bookmarkEnd w:id="126"/>
      <w:bookmarkStart w:id="127" w:name="_Toc184313294"/>
      <w:bookmarkEnd w:id="127"/>
      <w:bookmarkStart w:id="128" w:name="_Toc184313287"/>
      <w:bookmarkEnd w:id="128"/>
      <w:bookmarkStart w:id="129" w:name="_Toc184310289"/>
      <w:bookmarkEnd w:id="129"/>
      <w:bookmarkStart w:id="130" w:name="_Toc184312107"/>
      <w:bookmarkEnd w:id="130"/>
      <w:bookmarkStart w:id="131" w:name="_Toc184312082"/>
      <w:bookmarkEnd w:id="131"/>
      <w:bookmarkStart w:id="132" w:name="_Toc184310341"/>
      <w:bookmarkEnd w:id="132"/>
      <w:bookmarkStart w:id="133" w:name="_Toc184308066"/>
      <w:bookmarkEnd w:id="133"/>
      <w:bookmarkStart w:id="134" w:name="_Toc184312086"/>
      <w:bookmarkEnd w:id="134"/>
      <w:bookmarkStart w:id="135" w:name="_Toc184313300"/>
      <w:bookmarkEnd w:id="135"/>
      <w:bookmarkStart w:id="136" w:name="_Toc184313250"/>
      <w:bookmarkEnd w:id="136"/>
      <w:bookmarkStart w:id="137" w:name="_Toc184314454"/>
      <w:bookmarkEnd w:id="137"/>
      <w:bookmarkStart w:id="138" w:name="_Toc184312078"/>
      <w:bookmarkEnd w:id="138"/>
      <w:bookmarkStart w:id="139" w:name="_Toc184308098"/>
      <w:bookmarkEnd w:id="139"/>
      <w:bookmarkStart w:id="140" w:name="_Toc184312104"/>
      <w:bookmarkEnd w:id="140"/>
      <w:bookmarkStart w:id="141" w:name="_Toc184314428"/>
      <w:bookmarkEnd w:id="141"/>
      <w:bookmarkStart w:id="142" w:name="_Toc184308107"/>
      <w:bookmarkEnd w:id="142"/>
      <w:bookmarkStart w:id="143" w:name="_Toc184314471"/>
      <w:bookmarkEnd w:id="143"/>
      <w:bookmarkStart w:id="144" w:name="_Toc184313285"/>
      <w:bookmarkEnd w:id="144"/>
      <w:bookmarkStart w:id="145" w:name="_Toc184308103"/>
      <w:bookmarkEnd w:id="145"/>
      <w:bookmarkStart w:id="146" w:name="_Toc184308042"/>
      <w:bookmarkEnd w:id="146"/>
      <w:bookmarkStart w:id="147" w:name="_Toc184310290"/>
      <w:bookmarkEnd w:id="147"/>
      <w:bookmarkStart w:id="148" w:name="_Toc184308091"/>
      <w:bookmarkEnd w:id="148"/>
      <w:bookmarkStart w:id="149" w:name="_Toc184313266"/>
      <w:bookmarkEnd w:id="149"/>
      <w:bookmarkStart w:id="150" w:name="_Toc184312095"/>
      <w:bookmarkEnd w:id="150"/>
      <w:bookmarkStart w:id="151" w:name="_Toc184312110"/>
      <w:bookmarkEnd w:id="151"/>
      <w:bookmarkStart w:id="152" w:name="_Toc184312097"/>
      <w:bookmarkEnd w:id="152"/>
      <w:bookmarkStart w:id="153" w:name="_Toc184314425"/>
      <w:bookmarkEnd w:id="153"/>
      <w:bookmarkStart w:id="154" w:name="_Toc184314434"/>
      <w:bookmarkEnd w:id="154"/>
      <w:bookmarkStart w:id="155" w:name="_Toc184310275"/>
      <w:bookmarkEnd w:id="155"/>
      <w:bookmarkStart w:id="156" w:name="_Toc184308043"/>
      <w:bookmarkEnd w:id="156"/>
      <w:bookmarkStart w:id="157" w:name="_Toc184312077"/>
      <w:bookmarkEnd w:id="157"/>
      <w:bookmarkStart w:id="158" w:name="_Toc184312079"/>
      <w:bookmarkEnd w:id="158"/>
      <w:bookmarkStart w:id="159" w:name="_Toc184313275"/>
      <w:bookmarkEnd w:id="159"/>
      <w:bookmarkStart w:id="160" w:name="_Toc184314474"/>
      <w:bookmarkEnd w:id="160"/>
      <w:bookmarkStart w:id="161" w:name="_Toc184313282"/>
      <w:bookmarkEnd w:id="161"/>
      <w:bookmarkStart w:id="162" w:name="_Toc184313238"/>
      <w:bookmarkEnd w:id="162"/>
      <w:bookmarkStart w:id="163" w:name="_Toc184312070"/>
      <w:bookmarkEnd w:id="163"/>
      <w:bookmarkStart w:id="164" w:name="_Toc184310293"/>
      <w:bookmarkEnd w:id="164"/>
      <w:bookmarkStart w:id="165" w:name="_Toc184312089"/>
      <w:bookmarkEnd w:id="165"/>
      <w:bookmarkStart w:id="166" w:name="_Toc184314410"/>
      <w:bookmarkEnd w:id="166"/>
      <w:bookmarkStart w:id="167" w:name="_Toc184314445"/>
      <w:bookmarkEnd w:id="167"/>
      <w:bookmarkStart w:id="168" w:name="_Toc184310282"/>
      <w:bookmarkEnd w:id="168"/>
      <w:bookmarkStart w:id="169" w:name="_Toc184308038"/>
      <w:bookmarkEnd w:id="169"/>
      <w:bookmarkStart w:id="170" w:name="_Toc184314446"/>
      <w:bookmarkEnd w:id="170"/>
      <w:bookmarkStart w:id="171" w:name="_Toc184313248"/>
      <w:bookmarkEnd w:id="171"/>
      <w:bookmarkStart w:id="172" w:name="_Toc184314432"/>
      <w:bookmarkEnd w:id="172"/>
      <w:bookmarkStart w:id="173" w:name="_Toc184314477"/>
      <w:bookmarkEnd w:id="173"/>
      <w:bookmarkStart w:id="174" w:name="_Toc184310276"/>
      <w:bookmarkEnd w:id="174"/>
      <w:bookmarkStart w:id="175" w:name="_Toc184313302"/>
      <w:bookmarkEnd w:id="175"/>
      <w:bookmarkStart w:id="176" w:name="_Toc184308060"/>
      <w:bookmarkEnd w:id="176"/>
      <w:bookmarkStart w:id="177" w:name="_Toc184313296"/>
      <w:bookmarkEnd w:id="177"/>
      <w:bookmarkStart w:id="178" w:name="_Toc184312137"/>
      <w:bookmarkEnd w:id="178"/>
      <w:bookmarkStart w:id="179" w:name="_Toc184314481"/>
      <w:bookmarkEnd w:id="179"/>
      <w:bookmarkStart w:id="180" w:name="_Toc184310317"/>
      <w:bookmarkEnd w:id="180"/>
      <w:bookmarkStart w:id="181" w:name="_Toc184313241"/>
      <w:bookmarkEnd w:id="181"/>
      <w:bookmarkStart w:id="182" w:name="_Toc184308068"/>
      <w:bookmarkEnd w:id="182"/>
      <w:bookmarkStart w:id="183" w:name="_Toc184312091"/>
      <w:bookmarkEnd w:id="183"/>
      <w:bookmarkStart w:id="184" w:name="_Toc184313293"/>
      <w:bookmarkEnd w:id="184"/>
      <w:bookmarkStart w:id="185" w:name="_Toc184308056"/>
      <w:bookmarkEnd w:id="185"/>
      <w:bookmarkStart w:id="186" w:name="_Toc184312138"/>
      <w:bookmarkEnd w:id="186"/>
      <w:bookmarkStart w:id="187" w:name="_Toc184308073"/>
      <w:bookmarkEnd w:id="187"/>
      <w:bookmarkStart w:id="188" w:name="_Toc184308105"/>
      <w:bookmarkEnd w:id="188"/>
      <w:bookmarkStart w:id="189" w:name="_Toc184313301"/>
      <w:bookmarkEnd w:id="189"/>
      <w:bookmarkStart w:id="190" w:name="_Toc184314447"/>
      <w:bookmarkEnd w:id="190"/>
      <w:bookmarkStart w:id="191" w:name="_Toc184310314"/>
      <w:bookmarkEnd w:id="191"/>
      <w:bookmarkStart w:id="192" w:name="_Toc184313265"/>
      <w:bookmarkEnd w:id="192"/>
      <w:bookmarkStart w:id="193" w:name="_Toc184312071"/>
      <w:bookmarkEnd w:id="193"/>
      <w:bookmarkStart w:id="194" w:name="_Toc184308049"/>
      <w:bookmarkEnd w:id="194"/>
      <w:bookmarkStart w:id="195" w:name="_Toc184312132"/>
      <w:bookmarkEnd w:id="195"/>
      <w:bookmarkStart w:id="196" w:name="_Toc184308058"/>
      <w:bookmarkEnd w:id="196"/>
      <w:bookmarkStart w:id="197" w:name="_Toc184312111"/>
      <w:bookmarkEnd w:id="197"/>
      <w:bookmarkStart w:id="198" w:name="_Toc184313272"/>
      <w:bookmarkEnd w:id="198"/>
      <w:bookmarkStart w:id="199" w:name="_Toc184312108"/>
      <w:bookmarkEnd w:id="199"/>
      <w:bookmarkStart w:id="200" w:name="_Toc184312113"/>
      <w:bookmarkEnd w:id="200"/>
      <w:bookmarkStart w:id="201" w:name="_Toc184313274"/>
      <w:bookmarkEnd w:id="201"/>
      <w:bookmarkStart w:id="202" w:name="_Toc184313245"/>
      <w:bookmarkEnd w:id="202"/>
      <w:bookmarkStart w:id="203" w:name="_Toc184313251"/>
      <w:bookmarkEnd w:id="203"/>
      <w:bookmarkStart w:id="204" w:name="_Toc184310307"/>
      <w:bookmarkEnd w:id="204"/>
      <w:bookmarkStart w:id="205" w:name="_Toc184313244"/>
      <w:bookmarkEnd w:id="205"/>
      <w:bookmarkStart w:id="206" w:name="_Toc184313281"/>
      <w:bookmarkEnd w:id="206"/>
      <w:bookmarkStart w:id="207" w:name="_Toc184308041"/>
      <w:bookmarkEnd w:id="207"/>
      <w:bookmarkStart w:id="208" w:name="_Toc184312135"/>
      <w:bookmarkEnd w:id="208"/>
      <w:bookmarkStart w:id="209" w:name="_Toc184314442"/>
      <w:bookmarkEnd w:id="209"/>
      <w:bookmarkStart w:id="210" w:name="_Toc184310339"/>
      <w:bookmarkEnd w:id="210"/>
      <w:bookmarkStart w:id="211" w:name="_Toc184308101"/>
      <w:bookmarkEnd w:id="211"/>
      <w:bookmarkStart w:id="212" w:name="_Toc184308053"/>
      <w:bookmarkEnd w:id="212"/>
      <w:bookmarkStart w:id="213" w:name="_Toc184310297"/>
      <w:bookmarkEnd w:id="213"/>
      <w:bookmarkStart w:id="214" w:name="_Toc184310325"/>
      <w:bookmarkEnd w:id="214"/>
      <w:bookmarkStart w:id="215" w:name="_Toc184314457"/>
      <w:bookmarkEnd w:id="215"/>
      <w:bookmarkStart w:id="216" w:name="_Toc184313288"/>
      <w:bookmarkEnd w:id="216"/>
      <w:bookmarkStart w:id="217" w:name="_Toc184314416"/>
      <w:bookmarkEnd w:id="217"/>
      <w:bookmarkStart w:id="218" w:name="_Toc184313292"/>
      <w:bookmarkEnd w:id="218"/>
      <w:bookmarkStart w:id="219" w:name="_Toc184314430"/>
      <w:bookmarkEnd w:id="219"/>
      <w:bookmarkStart w:id="220" w:name="_Toc184313303"/>
      <w:bookmarkEnd w:id="220"/>
      <w:bookmarkStart w:id="221" w:name="_Toc184310320"/>
      <w:bookmarkEnd w:id="221"/>
      <w:bookmarkStart w:id="222" w:name="_Toc184308067"/>
      <w:bookmarkEnd w:id="222"/>
      <w:bookmarkStart w:id="223" w:name="_Toc184314463"/>
      <w:bookmarkEnd w:id="223"/>
      <w:bookmarkStart w:id="224" w:name="_Toc184314479"/>
      <w:bookmarkEnd w:id="224"/>
      <w:bookmarkStart w:id="225" w:name="_Toc184308045"/>
      <w:bookmarkEnd w:id="225"/>
      <w:bookmarkStart w:id="226" w:name="_Toc184308075"/>
      <w:bookmarkEnd w:id="226"/>
      <w:bookmarkStart w:id="227" w:name="_Toc184310280"/>
      <w:bookmarkEnd w:id="227"/>
      <w:bookmarkStart w:id="228" w:name="_Toc184308071"/>
      <w:bookmarkEnd w:id="228"/>
      <w:bookmarkStart w:id="229" w:name="_Toc184310305"/>
      <w:bookmarkEnd w:id="229"/>
      <w:bookmarkStart w:id="230" w:name="_Toc184314431"/>
      <w:bookmarkEnd w:id="230"/>
      <w:bookmarkStart w:id="231" w:name="_Toc184313243"/>
      <w:bookmarkEnd w:id="231"/>
      <w:bookmarkStart w:id="232" w:name="_Toc184310321"/>
      <w:bookmarkEnd w:id="232"/>
      <w:bookmarkStart w:id="233" w:name="_Toc184308069"/>
      <w:bookmarkEnd w:id="233"/>
      <w:bookmarkStart w:id="234" w:name="_Toc184314478"/>
      <w:bookmarkEnd w:id="234"/>
      <w:bookmarkStart w:id="235" w:name="_Toc184312136"/>
      <w:bookmarkEnd w:id="235"/>
      <w:bookmarkStart w:id="236" w:name="_Toc184314448"/>
      <w:bookmarkEnd w:id="236"/>
      <w:bookmarkStart w:id="237" w:name="_Toc184314439"/>
      <w:bookmarkEnd w:id="237"/>
      <w:bookmarkStart w:id="238" w:name="_Toc184308093"/>
      <w:bookmarkEnd w:id="238"/>
      <w:bookmarkStart w:id="239" w:name="_Toc184314469"/>
      <w:bookmarkEnd w:id="239"/>
      <w:bookmarkStart w:id="240" w:name="_Toc184310279"/>
      <w:bookmarkEnd w:id="240"/>
      <w:bookmarkStart w:id="241" w:name="_Toc184312099"/>
      <w:bookmarkEnd w:id="241"/>
      <w:bookmarkStart w:id="242" w:name="_Toc184313291"/>
      <w:bookmarkEnd w:id="242"/>
      <w:bookmarkStart w:id="243" w:name="_Toc184310295"/>
      <w:bookmarkEnd w:id="243"/>
      <w:bookmarkStart w:id="244" w:name="_Toc184312134"/>
      <w:bookmarkEnd w:id="244"/>
      <w:bookmarkStart w:id="245" w:name="_Toc184308104"/>
      <w:bookmarkEnd w:id="245"/>
      <w:bookmarkStart w:id="246" w:name="_Toc184314482"/>
      <w:bookmarkEnd w:id="246"/>
      <w:bookmarkStart w:id="247" w:name="_Toc184310286"/>
      <w:bookmarkEnd w:id="247"/>
      <w:bookmarkStart w:id="248" w:name="_Toc184312094"/>
      <w:bookmarkEnd w:id="248"/>
      <w:bookmarkStart w:id="249" w:name="_Toc184312093"/>
      <w:bookmarkEnd w:id="249"/>
      <w:bookmarkStart w:id="250" w:name="_Toc184312105"/>
      <w:bookmarkEnd w:id="250"/>
      <w:bookmarkStart w:id="251" w:name="_Toc184312117"/>
      <w:bookmarkEnd w:id="251"/>
      <w:bookmarkStart w:id="252" w:name="_Toc184308092"/>
      <w:bookmarkEnd w:id="252"/>
      <w:bookmarkStart w:id="253" w:name="_Toc184312092"/>
      <w:bookmarkEnd w:id="253"/>
      <w:bookmarkStart w:id="254" w:name="_Toc184308064"/>
      <w:bookmarkEnd w:id="254"/>
      <w:bookmarkStart w:id="255" w:name="_Toc184310277"/>
      <w:bookmarkEnd w:id="255"/>
      <w:bookmarkStart w:id="256" w:name="_Toc184308059"/>
      <w:bookmarkEnd w:id="256"/>
      <w:bookmarkStart w:id="257" w:name="_Toc184312101"/>
      <w:bookmarkEnd w:id="257"/>
      <w:bookmarkStart w:id="258" w:name="_Toc184312128"/>
      <w:bookmarkEnd w:id="258"/>
      <w:bookmarkStart w:id="259" w:name="_Toc184313263"/>
      <w:bookmarkEnd w:id="259"/>
      <w:bookmarkStart w:id="260" w:name="_Toc184314470"/>
      <w:bookmarkEnd w:id="260"/>
      <w:bookmarkStart w:id="261" w:name="_Toc184313273"/>
      <w:bookmarkEnd w:id="261"/>
      <w:bookmarkStart w:id="262" w:name="_Toc184310324"/>
      <w:bookmarkEnd w:id="262"/>
      <w:bookmarkStart w:id="263" w:name="_Toc184308079"/>
      <w:bookmarkEnd w:id="263"/>
      <w:bookmarkStart w:id="264" w:name="_Toc184314472"/>
      <w:bookmarkEnd w:id="264"/>
      <w:bookmarkStart w:id="265" w:name="_Toc184308065"/>
      <w:bookmarkEnd w:id="265"/>
      <w:bookmarkStart w:id="266" w:name="_Toc184310281"/>
      <w:bookmarkEnd w:id="266"/>
      <w:bookmarkStart w:id="267" w:name="_Toc184312090"/>
      <w:bookmarkEnd w:id="267"/>
      <w:bookmarkStart w:id="268" w:name="_Toc184314450"/>
      <w:bookmarkEnd w:id="268"/>
      <w:bookmarkStart w:id="269" w:name="_Toc184310311"/>
      <w:bookmarkEnd w:id="269"/>
      <w:bookmarkStart w:id="270" w:name="_Toc184310312"/>
      <w:bookmarkEnd w:id="270"/>
      <w:bookmarkStart w:id="271" w:name="_Toc184310326"/>
      <w:bookmarkEnd w:id="271"/>
      <w:bookmarkStart w:id="272" w:name="_Toc184310291"/>
      <w:bookmarkEnd w:id="272"/>
      <w:bookmarkStart w:id="273" w:name="_Toc184310298"/>
      <w:bookmarkEnd w:id="273"/>
      <w:bookmarkStart w:id="274" w:name="_Toc184310274"/>
      <w:bookmarkEnd w:id="274"/>
      <w:bookmarkStart w:id="275" w:name="_Toc184313247"/>
      <w:bookmarkEnd w:id="275"/>
      <w:bookmarkStart w:id="276" w:name="_Toc184312124"/>
      <w:bookmarkEnd w:id="276"/>
      <w:bookmarkStart w:id="277" w:name="_Toc184314429"/>
      <w:bookmarkEnd w:id="277"/>
      <w:bookmarkStart w:id="278" w:name="_Toc184308077"/>
      <w:bookmarkEnd w:id="278"/>
      <w:bookmarkStart w:id="279" w:name="_Toc184313280"/>
      <w:bookmarkEnd w:id="279"/>
      <w:bookmarkStart w:id="280" w:name="_Toc184314451"/>
      <w:bookmarkEnd w:id="280"/>
      <w:bookmarkStart w:id="281" w:name="_Toc184310318"/>
      <w:bookmarkEnd w:id="281"/>
      <w:bookmarkStart w:id="282" w:name="_Toc184312085"/>
      <w:bookmarkEnd w:id="282"/>
      <w:bookmarkStart w:id="283" w:name="_Toc184312076"/>
      <w:bookmarkEnd w:id="283"/>
      <w:bookmarkStart w:id="284" w:name="_Toc184310335"/>
      <w:bookmarkEnd w:id="284"/>
      <w:bookmarkStart w:id="285" w:name="_Toc184308083"/>
      <w:bookmarkEnd w:id="285"/>
      <w:bookmarkStart w:id="286" w:name="_Toc184314465"/>
      <w:bookmarkEnd w:id="286"/>
      <w:bookmarkStart w:id="287" w:name="_Toc184313264"/>
      <w:bookmarkEnd w:id="287"/>
      <w:bookmarkStart w:id="288" w:name="_Toc184313295"/>
      <w:bookmarkEnd w:id="288"/>
      <w:bookmarkStart w:id="289" w:name="_Toc184313269"/>
      <w:bookmarkEnd w:id="289"/>
      <w:bookmarkStart w:id="290" w:name="_Toc184310284"/>
      <w:bookmarkEnd w:id="290"/>
      <w:bookmarkStart w:id="291" w:name="_Toc184310319"/>
      <w:bookmarkEnd w:id="291"/>
      <w:bookmarkStart w:id="292" w:name="_Toc184313279"/>
      <w:bookmarkEnd w:id="292"/>
      <w:bookmarkStart w:id="293" w:name="_Toc184310300"/>
      <w:bookmarkEnd w:id="293"/>
      <w:bookmarkStart w:id="294" w:name="_Toc184312087"/>
      <w:bookmarkEnd w:id="294"/>
      <w:bookmarkStart w:id="295" w:name="_Toc184314437"/>
      <w:bookmarkEnd w:id="295"/>
      <w:bookmarkStart w:id="296" w:name="_Toc184312131"/>
      <w:bookmarkEnd w:id="296"/>
      <w:bookmarkStart w:id="297" w:name="_Toc184312102"/>
      <w:bookmarkEnd w:id="297"/>
      <w:bookmarkStart w:id="298" w:name="_Toc184308097"/>
      <w:bookmarkEnd w:id="298"/>
      <w:bookmarkStart w:id="299" w:name="_Toc184310329"/>
      <w:bookmarkEnd w:id="299"/>
      <w:bookmarkStart w:id="300" w:name="_Toc184310278"/>
      <w:bookmarkEnd w:id="300"/>
      <w:bookmarkStart w:id="301" w:name="_Toc184312129"/>
      <w:bookmarkEnd w:id="301"/>
      <w:bookmarkStart w:id="302" w:name="_Toc184314441"/>
      <w:bookmarkEnd w:id="302"/>
      <w:bookmarkStart w:id="303" w:name="_Toc184310336"/>
      <w:bookmarkEnd w:id="303"/>
      <w:bookmarkStart w:id="304" w:name="_Toc184312122"/>
      <w:bookmarkEnd w:id="304"/>
      <w:bookmarkStart w:id="305" w:name="_Toc184314426"/>
      <w:bookmarkEnd w:id="305"/>
      <w:bookmarkStart w:id="306" w:name="_Toc184313270"/>
      <w:bookmarkEnd w:id="306"/>
      <w:bookmarkStart w:id="307" w:name="_Toc184310313"/>
      <w:bookmarkEnd w:id="307"/>
      <w:bookmarkStart w:id="308" w:name="_Toc184308102"/>
      <w:bookmarkEnd w:id="308"/>
      <w:bookmarkStart w:id="309" w:name="_Toc184314435"/>
      <w:bookmarkEnd w:id="309"/>
      <w:bookmarkStart w:id="310" w:name="_Toc184308089"/>
      <w:bookmarkEnd w:id="310"/>
      <w:bookmarkStart w:id="311" w:name="_Toc184313267"/>
      <w:bookmarkEnd w:id="311"/>
      <w:bookmarkStart w:id="312" w:name="_Toc184314415"/>
      <w:bookmarkEnd w:id="312"/>
      <w:bookmarkStart w:id="313" w:name="_Toc184312072"/>
      <w:bookmarkEnd w:id="313"/>
      <w:bookmarkStart w:id="314" w:name="_Toc184313258"/>
      <w:bookmarkEnd w:id="314"/>
      <w:bookmarkStart w:id="315" w:name="_Toc184310299"/>
      <w:bookmarkEnd w:id="315"/>
      <w:bookmarkStart w:id="316" w:name="_Toc184314413"/>
      <w:bookmarkEnd w:id="316"/>
      <w:bookmarkStart w:id="317" w:name="_Toc184308082"/>
      <w:bookmarkEnd w:id="317"/>
      <w:bookmarkStart w:id="318" w:name="_Toc184308080"/>
      <w:bookmarkEnd w:id="318"/>
      <w:bookmarkStart w:id="319" w:name="_Toc184310310"/>
      <w:bookmarkEnd w:id="319"/>
      <w:bookmarkStart w:id="320" w:name="_Toc184313308"/>
      <w:bookmarkEnd w:id="320"/>
      <w:bookmarkStart w:id="321" w:name="_Toc184310304"/>
      <w:bookmarkEnd w:id="321"/>
      <w:bookmarkStart w:id="322" w:name="_Toc184308054"/>
      <w:bookmarkEnd w:id="322"/>
      <w:bookmarkStart w:id="323" w:name="_Toc184313286"/>
      <w:bookmarkEnd w:id="323"/>
      <w:bookmarkStart w:id="324" w:name="_Toc184310301"/>
      <w:bookmarkEnd w:id="324"/>
      <w:bookmarkStart w:id="325" w:name="_Toc184310292"/>
      <w:bookmarkEnd w:id="325"/>
      <w:bookmarkStart w:id="326" w:name="_Toc184313307"/>
      <w:bookmarkEnd w:id="326"/>
      <w:bookmarkStart w:id="327" w:name="_Toc184314460"/>
      <w:bookmarkEnd w:id="327"/>
      <w:bookmarkStart w:id="328" w:name="_Toc184310332"/>
      <w:bookmarkEnd w:id="328"/>
      <w:bookmarkStart w:id="329" w:name="_Toc184314464"/>
      <w:bookmarkEnd w:id="329"/>
      <w:bookmarkStart w:id="330" w:name="_Toc184310342"/>
      <w:bookmarkEnd w:id="330"/>
      <w:bookmarkStart w:id="331" w:name="_Toc184313256"/>
      <w:bookmarkEnd w:id="331"/>
      <w:bookmarkStart w:id="332" w:name="_Toc184312112"/>
      <w:bookmarkEnd w:id="332"/>
      <w:bookmarkStart w:id="333" w:name="_Toc184308051"/>
      <w:bookmarkEnd w:id="333"/>
      <w:bookmarkStart w:id="334" w:name="_Toc184312100"/>
      <w:bookmarkEnd w:id="334"/>
      <w:bookmarkStart w:id="335" w:name="_Toc184312098"/>
      <w:bookmarkEnd w:id="335"/>
      <w:bookmarkStart w:id="336" w:name="_Toc184313246"/>
      <w:bookmarkEnd w:id="336"/>
      <w:bookmarkStart w:id="337" w:name="_Toc184313242"/>
      <w:bookmarkEnd w:id="337"/>
      <w:bookmarkStart w:id="338" w:name="_Toc184310285"/>
      <w:bookmarkEnd w:id="338"/>
      <w:bookmarkStart w:id="339" w:name="_Toc184313289"/>
      <w:bookmarkEnd w:id="339"/>
      <w:bookmarkStart w:id="340" w:name="_Toc184308072"/>
      <w:bookmarkEnd w:id="340"/>
      <w:bookmarkStart w:id="341" w:name="_Toc184314412"/>
      <w:bookmarkEnd w:id="341"/>
      <w:bookmarkStart w:id="342" w:name="_Toc184313261"/>
      <w:bookmarkEnd w:id="342"/>
      <w:bookmarkStart w:id="343" w:name="_Toc184314411"/>
      <w:bookmarkEnd w:id="343"/>
      <w:bookmarkStart w:id="344" w:name="_Toc184313239"/>
      <w:bookmarkEnd w:id="344"/>
      <w:bookmarkStart w:id="345" w:name="_Toc184308086"/>
      <w:bookmarkEnd w:id="345"/>
      <w:bookmarkStart w:id="346" w:name="_Toc184308046"/>
      <w:bookmarkEnd w:id="346"/>
      <w:bookmarkStart w:id="347" w:name="_Toc184308108"/>
      <w:bookmarkEnd w:id="347"/>
      <w:bookmarkStart w:id="348" w:name="_Toc184312096"/>
      <w:bookmarkEnd w:id="348"/>
      <w:bookmarkStart w:id="349" w:name="_Toc184313298"/>
      <w:bookmarkEnd w:id="349"/>
      <w:bookmarkStart w:id="350" w:name="_Toc184314473"/>
      <w:bookmarkEnd w:id="350"/>
      <w:bookmarkStart w:id="351" w:name="_Toc184314449"/>
      <w:bookmarkEnd w:id="351"/>
      <w:bookmarkStart w:id="352" w:name="_Toc184308087"/>
      <w:bookmarkEnd w:id="352"/>
      <w:bookmarkStart w:id="353" w:name="_Toc184312126"/>
      <w:bookmarkEnd w:id="353"/>
      <w:bookmarkStart w:id="354" w:name="_Toc184312080"/>
      <w:bookmarkEnd w:id="354"/>
      <w:bookmarkStart w:id="355" w:name="_Toc184310309"/>
      <w:bookmarkEnd w:id="355"/>
      <w:bookmarkStart w:id="356" w:name="_Toc184312120"/>
      <w:bookmarkEnd w:id="356"/>
      <w:bookmarkStart w:id="357" w:name="_Toc184308076"/>
      <w:bookmarkEnd w:id="357"/>
      <w:bookmarkStart w:id="358" w:name="_Toc184314456"/>
      <w:bookmarkEnd w:id="358"/>
      <w:bookmarkStart w:id="359" w:name="_Toc184312133"/>
      <w:bookmarkEnd w:id="359"/>
      <w:bookmarkStart w:id="360" w:name="_Toc184313310"/>
      <w:bookmarkEnd w:id="360"/>
      <w:bookmarkStart w:id="361" w:name="_Toc184314462"/>
      <w:bookmarkEnd w:id="361"/>
      <w:bookmarkStart w:id="362" w:name="_Toc184314453"/>
      <w:bookmarkEnd w:id="362"/>
      <w:bookmarkStart w:id="363" w:name="_Toc184314455"/>
      <w:bookmarkEnd w:id="363"/>
      <w:bookmarkStart w:id="364" w:name="_Toc184314475"/>
      <w:bookmarkEnd w:id="364"/>
      <w:bookmarkStart w:id="365" w:name="_Toc184312130"/>
      <w:bookmarkEnd w:id="365"/>
      <w:bookmarkStart w:id="366" w:name="_Toc184310334"/>
      <w:bookmarkEnd w:id="366"/>
      <w:bookmarkStart w:id="367" w:name="_Toc184312106"/>
      <w:bookmarkEnd w:id="367"/>
      <w:bookmarkStart w:id="368" w:name="_Toc184314467"/>
      <w:bookmarkEnd w:id="368"/>
      <w:bookmarkStart w:id="369" w:name="_Toc184310331"/>
      <w:bookmarkEnd w:id="369"/>
      <w:bookmarkStart w:id="370" w:name="_Toc184308062"/>
      <w:bookmarkEnd w:id="370"/>
      <w:bookmarkStart w:id="371" w:name="_Toc184312115"/>
      <w:bookmarkEnd w:id="371"/>
      <w:bookmarkStart w:id="372" w:name="_Toc184313299"/>
      <w:bookmarkEnd w:id="372"/>
      <w:bookmarkStart w:id="373" w:name="_Toc184313309"/>
      <w:bookmarkEnd w:id="373"/>
      <w:bookmarkStart w:id="374" w:name="_Toc184310344"/>
      <w:bookmarkEnd w:id="374"/>
      <w:bookmarkStart w:id="375" w:name="_Toc184310328"/>
      <w:bookmarkEnd w:id="375"/>
      <w:bookmarkStart w:id="376" w:name="_Toc184308037"/>
      <w:bookmarkEnd w:id="376"/>
      <w:bookmarkStart w:id="377" w:name="_Toc184313271"/>
      <w:bookmarkEnd w:id="377"/>
      <w:bookmarkStart w:id="378" w:name="_Toc184308090"/>
      <w:bookmarkEnd w:id="378"/>
      <w:bookmarkStart w:id="379" w:name="_Toc184314436"/>
      <w:bookmarkEnd w:id="379"/>
      <w:bookmarkStart w:id="380" w:name="_Toc184314424"/>
      <w:bookmarkEnd w:id="380"/>
      <w:bookmarkStart w:id="381" w:name="_Toc184313283"/>
      <w:bookmarkEnd w:id="381"/>
      <w:bookmarkStart w:id="382" w:name="_Toc184308088"/>
      <w:bookmarkEnd w:id="382"/>
      <w:bookmarkStart w:id="383" w:name="_Toc184310333"/>
      <w:bookmarkEnd w:id="383"/>
      <w:bookmarkStart w:id="384" w:name="_Toc184312123"/>
      <w:bookmarkEnd w:id="384"/>
      <w:bookmarkStart w:id="385" w:name="_Toc184313260"/>
      <w:bookmarkEnd w:id="385"/>
      <w:bookmarkStart w:id="386" w:name="_Toc184310294"/>
      <w:bookmarkEnd w:id="386"/>
      <w:bookmarkStart w:id="387" w:name="_Toc184313240"/>
      <w:bookmarkEnd w:id="387"/>
      <w:bookmarkStart w:id="388" w:name="_Toc184312074"/>
      <w:bookmarkEnd w:id="388"/>
      <w:bookmarkStart w:id="389" w:name="_Toc184314476"/>
      <w:bookmarkEnd w:id="389"/>
      <w:bookmarkStart w:id="390" w:name="_Toc184312083"/>
      <w:bookmarkEnd w:id="390"/>
      <w:bookmarkStart w:id="391" w:name="_Toc184310323"/>
      <w:bookmarkEnd w:id="391"/>
      <w:bookmarkStart w:id="392" w:name="_Toc184314480"/>
      <w:bookmarkEnd w:id="392"/>
      <w:bookmarkStart w:id="393" w:name="_Toc184314417"/>
      <w:bookmarkEnd w:id="393"/>
      <w:bookmarkStart w:id="394" w:name="_Toc184312084"/>
      <w:bookmarkEnd w:id="394"/>
      <w:bookmarkStart w:id="395" w:name="_Toc184314458"/>
      <w:bookmarkEnd w:id="395"/>
      <w:bookmarkStart w:id="396" w:name="_Toc184314452"/>
      <w:bookmarkEnd w:id="396"/>
      <w:bookmarkStart w:id="397" w:name="_Toc184313304"/>
      <w:bookmarkEnd w:id="397"/>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094"/>
        <w:gridCol w:w="705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125" w:type="dxa"/>
            <w:gridSpan w:val="3"/>
            <w:noWrap w:val="0"/>
            <w:vAlign w:val="center"/>
          </w:tcPr>
          <w:p>
            <w:pPr>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评分项及分值</w:t>
            </w:r>
          </w:p>
        </w:tc>
        <w:tc>
          <w:tcPr>
            <w:tcW w:w="1102" w:type="dxa"/>
            <w:noWrap w:val="0"/>
            <w:vAlign w:val="center"/>
          </w:tcPr>
          <w:p>
            <w:pPr>
              <w:spacing w:line="360" w:lineRule="exact"/>
              <w:jc w:val="center"/>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评审类型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981" w:type="dxa"/>
            <w:noWrap w:val="0"/>
            <w:vAlign w:val="center"/>
          </w:tcPr>
          <w:p>
            <w:pPr>
              <w:spacing w:line="360" w:lineRule="exact"/>
              <w:jc w:val="center"/>
              <w:rPr>
                <w:rFonts w:hint="eastAsia" w:ascii="宋体" w:hAnsi="宋体" w:eastAsia="宋体" w:cs="宋体"/>
                <w:b/>
                <w:bCs/>
                <w:color w:val="000000" w:themeColor="text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Cs w:val="21"/>
                <w:highlight w:val="none"/>
                <w:shd w:val="clear" w:color="auto" w:fill="auto"/>
                <w14:textFill>
                  <w14:solidFill>
                    <w14:schemeClr w14:val="tx1"/>
                  </w14:solidFill>
                </w14:textFill>
              </w:rPr>
              <w:t>价格分</w:t>
            </w:r>
          </w:p>
          <w:p>
            <w:pPr>
              <w:spacing w:line="360" w:lineRule="exact"/>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Cs w:val="21"/>
                <w:highlight w:val="none"/>
                <w:shd w:val="clear" w:color="auto" w:fill="auto"/>
                <w14:textFill>
                  <w14:solidFill>
                    <w14:schemeClr w14:val="tx1"/>
                  </w14:solidFill>
                </w14:textFill>
              </w:rPr>
              <w:t>（</w:t>
            </w:r>
            <w:r>
              <w:rPr>
                <w:rFonts w:hint="eastAsia" w:ascii="宋体" w:hAnsi="宋体" w:cs="宋体"/>
                <w:b/>
                <w:bCs/>
                <w:color w:val="000000" w:themeColor="text1"/>
                <w:szCs w:val="21"/>
                <w:highlight w:val="none"/>
                <w:shd w:val="clear" w:color="auto" w:fill="auto"/>
                <w:lang w:val="en-US" w:eastAsia="zh-CN"/>
                <w14:textFill>
                  <w14:solidFill>
                    <w14:schemeClr w14:val="tx1"/>
                  </w14:solidFill>
                </w14:textFill>
              </w:rPr>
              <w:t>15</w:t>
            </w:r>
            <w:r>
              <w:rPr>
                <w:rFonts w:hint="eastAsia" w:ascii="宋体" w:hAnsi="宋体" w:eastAsia="宋体" w:cs="宋体"/>
                <w:b/>
                <w:bCs/>
                <w:color w:val="000000" w:themeColor="text1"/>
                <w:szCs w:val="21"/>
                <w:highlight w:val="none"/>
                <w:shd w:val="clear" w:color="auto" w:fill="auto"/>
                <w14:textFill>
                  <w14:solidFill>
                    <w14:schemeClr w14:val="tx1"/>
                  </w14:solidFill>
                </w14:textFill>
              </w:rPr>
              <w:t>分）</w:t>
            </w:r>
          </w:p>
        </w:tc>
        <w:tc>
          <w:tcPr>
            <w:tcW w:w="8144" w:type="dxa"/>
            <w:gridSpan w:val="2"/>
            <w:noWrap w:val="0"/>
            <w:vAlign w:val="center"/>
          </w:tcPr>
          <w:p>
            <w:pPr>
              <w:widowControl/>
              <w:tabs>
                <w:tab w:val="left" w:pos="0"/>
              </w:tabs>
              <w:spacing w:line="360" w:lineRule="auto"/>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评标基准价指的是满足招标文件要求且最低的参与评审的价格。</w:t>
            </w:r>
          </w:p>
          <w:p>
            <w:pPr>
              <w:widowControl/>
              <w:tabs>
                <w:tab w:val="left" w:pos="0"/>
              </w:tabs>
              <w:spacing w:line="360" w:lineRule="auto"/>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w:t>
            </w:r>
            <w:r>
              <w:rPr>
                <w:rFonts w:hint="eastAsia" w:ascii="Calibri" w:hAnsi="宋体" w:cs="Times New Roman"/>
                <w:color w:val="000000" w:themeColor="text1"/>
                <w:kern w:val="0"/>
                <w:sz w:val="21"/>
                <w:szCs w:val="21"/>
                <w:highlight w:val="none"/>
                <w:lang w:eastAsia="zh-CN"/>
                <w14:textFill>
                  <w14:solidFill>
                    <w14:schemeClr w14:val="tx1"/>
                  </w14:solidFill>
                </w14:textFill>
              </w:rPr>
              <w:t>给付比例</w:t>
            </w:r>
            <w:r>
              <w:rPr>
                <w:rFonts w:hint="eastAsia" w:ascii="宋体" w:hAnsi="宋体" w:eastAsia="宋体" w:cs="宋体"/>
                <w:bCs/>
                <w:color w:val="000000" w:themeColor="text1"/>
                <w:kern w:val="0"/>
                <w:sz w:val="21"/>
                <w:szCs w:val="21"/>
                <w:highlight w:val="none"/>
                <w14:textFill>
                  <w14:solidFill>
                    <w14:schemeClr w14:val="tx1"/>
                  </w14:solidFill>
                </w14:textFill>
              </w:rPr>
              <w:t>投标报价-小微企业价格扣除优惠值（如有）。</w:t>
            </w:r>
          </w:p>
          <w:p>
            <w:pPr>
              <w:widowControl/>
              <w:tabs>
                <w:tab w:val="left" w:pos="0"/>
              </w:tabs>
              <w:spacing w:line="360" w:lineRule="auto"/>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参与评审的价格为评标基准价的其价格得分得满分</w:t>
            </w:r>
            <w:r>
              <w:rPr>
                <w:rFonts w:hint="eastAsia" w:ascii="宋体" w:hAnsi="宋体" w:cs="宋体"/>
                <w:bCs/>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 w:val="21"/>
                <w:szCs w:val="21"/>
                <w:highlight w:val="none"/>
                <w14:textFill>
                  <w14:solidFill>
                    <w14:schemeClr w14:val="tx1"/>
                  </w14:solidFill>
                </w14:textFill>
              </w:rPr>
              <w:t>分。</w:t>
            </w:r>
          </w:p>
          <w:p>
            <w:pPr>
              <w:widowControl/>
              <w:tabs>
                <w:tab w:val="left" w:pos="0"/>
              </w:tabs>
              <w:spacing w:line="360" w:lineRule="auto"/>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其他投标人价格得分按照下列公式计算：</w:t>
            </w:r>
          </w:p>
          <w:p>
            <w:pPr>
              <w:widowControl/>
              <w:tabs>
                <w:tab w:val="left" w:pos="0"/>
              </w:tabs>
              <w:spacing w:line="360" w:lineRule="auto"/>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价格得分=（评标基准价/各投标人参与评审的价格）×</w:t>
            </w:r>
            <w:r>
              <w:rPr>
                <w:rFonts w:hint="eastAsia" w:ascii="宋体" w:hAnsi="宋体" w:cs="宋体"/>
                <w:bCs/>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kern w:val="0"/>
                <w:sz w:val="21"/>
                <w:szCs w:val="21"/>
                <w:highlight w:val="none"/>
                <w14:textFill>
                  <w14:solidFill>
                    <w14:schemeClr w14:val="tx1"/>
                  </w14:solidFill>
                </w14:textFill>
              </w:rPr>
              <w:t>％×100。</w:t>
            </w:r>
          </w:p>
          <w:p>
            <w:pPr>
              <w:widowControl/>
              <w:tabs>
                <w:tab w:val="left" w:pos="0"/>
              </w:tabs>
              <w:spacing w:line="360" w:lineRule="auto"/>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注：1、投标报价超过对应最高限价的作无效标处理。</w:t>
            </w:r>
          </w:p>
          <w:p>
            <w:pPr>
              <w:spacing w:line="360" w:lineRule="auto"/>
              <w:rPr>
                <w:rFonts w:hint="eastAsia" w:ascii="宋体" w:hAnsi="宋体" w:eastAsia="宋体" w:cs="宋体"/>
                <w:color w:val="000000" w:themeColor="text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2、价格得分小数点后保留2位小数，第3位小数四舍五入。</w:t>
            </w:r>
          </w:p>
        </w:tc>
        <w:tc>
          <w:tcPr>
            <w:tcW w:w="1102" w:type="dxa"/>
            <w:noWrap w:val="0"/>
            <w:vAlign w:val="center"/>
          </w:tcPr>
          <w:p>
            <w:pPr>
              <w:spacing w:line="360" w:lineRule="auto"/>
              <w:jc w:val="center"/>
              <w:rPr>
                <w:rFonts w:hint="eastAsia" w:ascii="宋体" w:hAnsi="宋体" w:eastAsia="宋体" w:cs="宋体"/>
                <w:b/>
                <w:bCs/>
                <w:color w:val="000000" w:themeColor="text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shd w:val="clear" w:color="auto" w:fill="auto"/>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1" w:type="dxa"/>
            <w:vMerge w:val="restart"/>
            <w:noWrap w:val="0"/>
            <w:vAlign w:val="center"/>
          </w:tcPr>
          <w:p>
            <w:pPr>
              <w:spacing w:line="300" w:lineRule="exact"/>
              <w:jc w:val="center"/>
              <w:rPr>
                <w:rFonts w:hint="eastAsia" w:ascii="宋体" w:hAnsi="宋体" w:eastAsia="宋体" w:cs="宋体"/>
                <w:b/>
                <w:bCs/>
                <w:color w:val="000000" w:themeColor="text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Cs w:val="21"/>
                <w:highlight w:val="none"/>
                <w:shd w:val="clear" w:color="auto" w:fill="auto"/>
                <w14:textFill>
                  <w14:solidFill>
                    <w14:schemeClr w14:val="tx1"/>
                  </w14:solidFill>
                </w14:textFill>
              </w:rPr>
              <w:t>技术</w:t>
            </w:r>
          </w:p>
          <w:p>
            <w:pPr>
              <w:spacing w:line="300" w:lineRule="exact"/>
              <w:jc w:val="center"/>
              <w:rPr>
                <w:rFonts w:hint="eastAsia" w:ascii="宋体" w:hAnsi="宋体" w:eastAsia="宋体" w:cs="宋体"/>
                <w:b/>
                <w:bCs/>
                <w:color w:val="000000" w:themeColor="text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Cs w:val="21"/>
                <w:highlight w:val="none"/>
                <w:shd w:val="clear" w:color="auto" w:fill="auto"/>
                <w14:textFill>
                  <w14:solidFill>
                    <w14:schemeClr w14:val="tx1"/>
                  </w14:solidFill>
                </w14:textFill>
              </w:rPr>
              <w:t>商务</w:t>
            </w:r>
          </w:p>
          <w:p>
            <w:pPr>
              <w:spacing w:line="300" w:lineRule="exact"/>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Cs w:val="21"/>
                <w:highlight w:val="none"/>
                <w:shd w:val="clear" w:color="auto" w:fill="auto"/>
                <w14:textFill>
                  <w14:solidFill>
                    <w14:schemeClr w14:val="tx1"/>
                  </w14:solidFill>
                </w14:textFill>
              </w:rPr>
              <w:t>（</w:t>
            </w:r>
            <w:r>
              <w:rPr>
                <w:rFonts w:hint="eastAsia" w:ascii="宋体" w:hAnsi="宋体" w:cs="宋体"/>
                <w:b/>
                <w:bCs/>
                <w:color w:val="000000" w:themeColor="text1"/>
                <w:szCs w:val="21"/>
                <w:highlight w:val="none"/>
                <w:shd w:val="clear" w:color="auto" w:fill="auto"/>
                <w:lang w:val="en-US" w:eastAsia="zh-CN"/>
                <w14:textFill>
                  <w14:solidFill>
                    <w14:schemeClr w14:val="tx1"/>
                  </w14:solidFill>
                </w14:textFill>
              </w:rPr>
              <w:t>85</w:t>
            </w:r>
            <w:r>
              <w:rPr>
                <w:rFonts w:hint="eastAsia" w:ascii="宋体" w:hAnsi="宋体" w:eastAsia="宋体" w:cs="宋体"/>
                <w:b/>
                <w:bCs/>
                <w:color w:val="000000" w:themeColor="text1"/>
                <w:szCs w:val="21"/>
                <w:highlight w:val="none"/>
                <w:shd w:val="clear" w:color="auto" w:fill="auto"/>
                <w14:textFill>
                  <w14:solidFill>
                    <w14:schemeClr w14:val="tx1"/>
                  </w14:solidFill>
                </w14:textFill>
              </w:rPr>
              <w:t>分）</w:t>
            </w:r>
          </w:p>
        </w:tc>
        <w:tc>
          <w:tcPr>
            <w:tcW w:w="8144" w:type="dxa"/>
            <w:gridSpan w:val="2"/>
            <w:noWrap w:val="0"/>
            <w:vAlign w:val="center"/>
          </w:tcPr>
          <w:p>
            <w:pPr>
              <w:spacing w:line="360" w:lineRule="auto"/>
              <w:rPr>
                <w:rFonts w:hint="eastAsia" w:ascii="宋体" w:hAnsi="宋体" w:eastAsia="宋体" w:cs="宋体"/>
                <w:b/>
                <w:bCs/>
                <w:color w:val="000000" w:themeColor="text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Cs w:val="21"/>
                <w:highlight w:val="none"/>
                <w:shd w:val="clear" w:color="auto" w:fill="auto"/>
                <w14:textFill>
                  <w14:solidFill>
                    <w14:schemeClr w14:val="tx1"/>
                  </w14:solidFill>
                </w14:textFill>
              </w:rPr>
              <w:t>投标人完全响应招标文件</w:t>
            </w:r>
            <w:r>
              <w:rPr>
                <w:rFonts w:hint="eastAsia" w:ascii="宋体" w:hAnsi="宋体" w:eastAsia="宋体" w:cs="宋体"/>
                <w:b/>
                <w:bCs/>
                <w:color w:val="000000" w:themeColor="text1"/>
                <w:szCs w:val="21"/>
                <w:highlight w:val="none"/>
                <w:shd w:val="clear" w:color="auto" w:fill="auto"/>
                <w:lang w:val="en-US" w:eastAsia="zh-CN"/>
                <w14:textFill>
                  <w14:solidFill>
                    <w14:schemeClr w14:val="tx1"/>
                  </w14:solidFill>
                </w14:textFill>
              </w:rPr>
              <w:t>第</w:t>
            </w:r>
            <w:r>
              <w:rPr>
                <w:rFonts w:hint="eastAsia" w:ascii="宋体" w:hAnsi="宋体" w:cs="宋体"/>
                <w:b/>
                <w:bCs/>
                <w:color w:val="000000" w:themeColor="text1"/>
                <w:szCs w:val="21"/>
                <w:highlight w:val="none"/>
                <w:shd w:val="clear" w:color="auto" w:fill="auto"/>
                <w:lang w:val="en-US" w:eastAsia="zh-CN"/>
                <w14:textFill>
                  <w14:solidFill>
                    <w14:schemeClr w14:val="tx1"/>
                  </w14:solidFill>
                </w14:textFill>
              </w:rPr>
              <w:t>三部分</w:t>
            </w:r>
            <w:r>
              <w:rPr>
                <w:rFonts w:hint="eastAsia" w:ascii="宋体" w:hAnsi="宋体" w:eastAsia="宋体" w:cs="宋体"/>
                <w:b/>
                <w:bCs/>
                <w:color w:val="000000" w:themeColor="text1"/>
                <w:szCs w:val="21"/>
                <w:highlight w:val="none"/>
                <w:shd w:val="clear" w:color="auto" w:fill="auto"/>
                <w:lang w:val="en-US" w:eastAsia="zh-CN"/>
                <w14:textFill>
                  <w14:solidFill>
                    <w14:schemeClr w14:val="tx1"/>
                  </w14:solidFill>
                </w14:textFill>
              </w:rPr>
              <w:t>《</w:t>
            </w:r>
            <w:r>
              <w:rPr>
                <w:rFonts w:hint="eastAsia" w:ascii="宋体" w:hAnsi="宋体" w:cs="宋体"/>
                <w:b/>
                <w:bCs/>
                <w:color w:val="000000" w:themeColor="text1"/>
                <w:szCs w:val="21"/>
                <w:highlight w:val="none"/>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szCs w:val="21"/>
                <w:highlight w:val="none"/>
                <w:shd w:val="clear" w:color="auto" w:fill="auto"/>
                <w:lang w:val="en-US" w:eastAsia="zh-CN"/>
                <w14:textFill>
                  <w14:solidFill>
                    <w14:schemeClr w14:val="tx1"/>
                  </w14:solidFill>
                </w14:textFill>
              </w:rPr>
              <w:t>需求》中二、</w:t>
            </w:r>
            <w:r>
              <w:rPr>
                <w:rFonts w:hint="eastAsia" w:ascii="宋体" w:hAnsi="宋体" w:cs="宋体"/>
                <w:b/>
                <w:bCs/>
                <w:color w:val="000000" w:themeColor="text1"/>
                <w:szCs w:val="21"/>
                <w:highlight w:val="none"/>
                <w:shd w:val="clear" w:color="auto" w:fill="auto"/>
                <w:lang w:val="en-US" w:eastAsia="zh-CN"/>
                <w14:textFill>
                  <w14:solidFill>
                    <w14:schemeClr w14:val="tx1"/>
                  </w14:solidFill>
                </w14:textFill>
              </w:rPr>
              <w:t>采购要求</w:t>
            </w:r>
            <w:r>
              <w:rPr>
                <w:rFonts w:hint="eastAsia" w:ascii="宋体" w:hAnsi="宋体" w:eastAsia="宋体" w:cs="宋体"/>
                <w:b/>
                <w:bCs/>
                <w:color w:val="000000" w:themeColor="text1"/>
                <w:szCs w:val="21"/>
                <w:highlight w:val="none"/>
                <w:shd w:val="clear" w:color="auto" w:fill="auto"/>
                <w14:textFill>
                  <w14:solidFill>
                    <w14:schemeClr w14:val="tx1"/>
                  </w14:solidFill>
                </w14:textFill>
              </w:rPr>
              <w:t>的得</w:t>
            </w:r>
            <w:r>
              <w:rPr>
                <w:rFonts w:hint="eastAsia" w:ascii="宋体" w:hAnsi="宋体" w:cs="宋体"/>
                <w:b/>
                <w:bCs/>
                <w:color w:val="000000" w:themeColor="text1"/>
                <w:szCs w:val="21"/>
                <w:highlight w:val="none"/>
                <w:shd w:val="clear" w:color="auto" w:fill="auto"/>
                <w:lang w:val="en-US" w:eastAsia="zh-CN"/>
                <w14:textFill>
                  <w14:solidFill>
                    <w14:schemeClr w14:val="tx1"/>
                  </w14:solidFill>
                </w14:textFill>
              </w:rPr>
              <w:t>33</w:t>
            </w:r>
            <w:r>
              <w:rPr>
                <w:rFonts w:hint="eastAsia" w:ascii="宋体" w:hAnsi="宋体" w:eastAsia="宋体" w:cs="宋体"/>
                <w:b/>
                <w:bCs/>
                <w:color w:val="000000" w:themeColor="text1"/>
                <w:szCs w:val="21"/>
                <w:highlight w:val="none"/>
                <w:shd w:val="clear" w:color="auto" w:fill="auto"/>
                <w14:textFill>
                  <w14:solidFill>
                    <w14:schemeClr w14:val="tx1"/>
                  </w14:solidFill>
                </w14:textFill>
              </w:rPr>
              <w:t>分。</w:t>
            </w:r>
          </w:p>
          <w:p>
            <w:pPr>
              <w:spacing w:line="360" w:lineRule="auto"/>
              <w:rPr>
                <w:rFonts w:hint="eastAsia" w:ascii="宋体" w:hAnsi="宋体" w:eastAsia="宋体" w:cs="宋体"/>
                <w:color w:val="000000" w:themeColor="text1"/>
                <w:szCs w:val="21"/>
                <w:highlight w:val="none"/>
                <w:shd w:val="clear" w:color="auto" w:fill="auto"/>
                <w14:textFill>
                  <w14:solidFill>
                    <w14:schemeClr w14:val="tx1"/>
                  </w14:solidFill>
                </w14:textFill>
              </w:rPr>
            </w:pPr>
            <w:r>
              <w:rPr>
                <w:rFonts w:hint="eastAsia" w:ascii="宋体" w:hAnsi="宋体" w:eastAsia="宋体" w:cs="宋体"/>
                <w:color w:val="000000" w:themeColor="text1"/>
                <w:szCs w:val="21"/>
                <w:highlight w:val="none"/>
                <w:shd w:val="clear" w:color="auto" w:fill="auto"/>
                <w14:textFill>
                  <w14:solidFill>
                    <w14:schemeClr w14:val="tx1"/>
                  </w14:solidFill>
                </w14:textFill>
              </w:rPr>
              <w:t>每负偏离一条未标注“★”</w:t>
            </w:r>
            <w:r>
              <w:rPr>
                <w:rFonts w:hint="eastAsia" w:ascii="宋体" w:hAnsi="宋体" w:eastAsia="宋体" w:cs="宋体"/>
                <w:color w:val="000000" w:themeColor="text1"/>
                <w:szCs w:val="21"/>
                <w:highlight w:val="none"/>
                <w:shd w:val="clear" w:color="auto" w:fill="auto"/>
                <w:lang w:val="en-US" w:eastAsia="zh-CN"/>
                <w14:textFill>
                  <w14:solidFill>
                    <w14:schemeClr w14:val="tx1"/>
                  </w14:solidFill>
                </w14:textFill>
              </w:rPr>
              <w:t>条款</w:t>
            </w:r>
            <w:r>
              <w:rPr>
                <w:rFonts w:hint="eastAsia" w:ascii="宋体" w:hAnsi="宋体" w:eastAsia="宋体" w:cs="宋体"/>
                <w:color w:val="000000" w:themeColor="text1"/>
                <w:szCs w:val="21"/>
                <w:highlight w:val="none"/>
                <w:shd w:val="clear" w:color="auto" w:fill="auto"/>
                <w14:textFill>
                  <w14:solidFill>
                    <w14:schemeClr w14:val="tx1"/>
                  </w14:solidFill>
                </w14:textFill>
              </w:rPr>
              <w:t>的扣</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auto"/>
                <w14:textFill>
                  <w14:solidFill>
                    <w14:schemeClr w14:val="tx1"/>
                  </w14:solidFill>
                </w14:textFill>
              </w:rPr>
              <w:t>分；</w:t>
            </w:r>
          </w:p>
          <w:p>
            <w:pPr>
              <w:spacing w:line="360" w:lineRule="auto"/>
              <w:rPr>
                <w:rFonts w:hint="eastAsia" w:ascii="宋体" w:hAnsi="宋体" w:eastAsia="宋体" w:cs="宋体"/>
                <w:color w:val="000000" w:themeColor="text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每负偏离一条标注“★”或</w:t>
            </w:r>
            <w:r>
              <w:rPr>
                <w:rFonts w:hint="eastAsia" w:ascii="宋体" w:hAnsi="宋体" w:eastAsia="宋体" w:cs="宋体"/>
                <w:color w:val="000000" w:themeColor="text1"/>
                <w:szCs w:val="21"/>
                <w:highlight w:val="none"/>
                <w:shd w:val="clear" w:color="auto" w:fill="auto"/>
                <w:lang w:val="en-US" w:eastAsia="zh-CN"/>
                <w14:textFill>
                  <w14:solidFill>
                    <w14:schemeClr w14:val="tx1"/>
                  </w14:solidFill>
                </w14:textFill>
              </w:rPr>
              <w:t>扣分至0分及以下的，作无效标处理。</w:t>
            </w:r>
          </w:p>
        </w:tc>
        <w:tc>
          <w:tcPr>
            <w:tcW w:w="1102" w:type="dxa"/>
            <w:noWrap w:val="0"/>
            <w:vAlign w:val="center"/>
          </w:tcPr>
          <w:p>
            <w:pPr>
              <w:spacing w:line="360" w:lineRule="auto"/>
              <w:jc w:val="center"/>
              <w:rPr>
                <w:rFonts w:hint="eastAsia" w:ascii="宋体" w:hAnsi="宋体" w:eastAsia="宋体" w:cs="宋体"/>
                <w:color w:val="000000" w:themeColor="text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shd w:val="clear" w:color="auto" w:fill="auto"/>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业绩（3分）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提供20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0"/>
                <w:sz w:val="21"/>
                <w:szCs w:val="21"/>
                <w:highlight w:val="none"/>
                <w14:textFill>
                  <w14:solidFill>
                    <w14:schemeClr w14:val="tx1"/>
                  </w14:solidFill>
                </w14:textFill>
              </w:rPr>
              <w:t>年1月1日以来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同类项目</w:t>
            </w:r>
            <w:r>
              <w:rPr>
                <w:rFonts w:hint="eastAsia" w:ascii="宋体" w:hAnsi="宋体" w:eastAsia="宋体" w:cs="宋体"/>
                <w:color w:val="000000" w:themeColor="text1"/>
                <w:kern w:val="0"/>
                <w:sz w:val="21"/>
                <w:szCs w:val="21"/>
                <w:highlight w:val="none"/>
                <w14:textFill>
                  <w14:solidFill>
                    <w14:schemeClr w14:val="tx1"/>
                  </w14:solidFill>
                </w14:textFill>
              </w:rPr>
              <w:t>合同，每提供2份合同得1分，最高得3分。</w:t>
            </w:r>
            <w:r>
              <w:rPr>
                <w:rFonts w:hint="eastAsia" w:ascii="宋体" w:hAnsi="宋体"/>
                <w:color w:val="000000" w:themeColor="text1"/>
                <w:szCs w:val="21"/>
                <w:highlight w:val="none"/>
                <w14:textFill>
                  <w14:solidFill>
                    <w14:schemeClr w14:val="tx1"/>
                  </w14:solidFill>
                </w14:textFill>
              </w:rPr>
              <w:t>同一业主不累计得分。</w:t>
            </w:r>
          </w:p>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提供合同扫描件加盖供应商公章，如合同中不能体现服务内容或服务期限的，需同时提供业主盖章的证明资料扫描件，否则不得分。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highlight w:val="none"/>
                <w:shd w:val="clear" w:color="auto" w:fill="auto"/>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实验室技术人员资质（5分）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评委对投标人拟派</w:t>
            </w:r>
            <w:r>
              <w:rPr>
                <w:rFonts w:hint="eastAsia" w:ascii="宋体" w:hAnsi="宋体" w:eastAsia="宋体" w:cs="宋体"/>
                <w:color w:val="000000" w:themeColor="text1"/>
                <w:kern w:val="0"/>
                <w:sz w:val="21"/>
                <w:szCs w:val="21"/>
                <w:highlight w:val="none"/>
                <w14:textFill>
                  <w14:solidFill>
                    <w14:schemeClr w14:val="tx1"/>
                  </w14:solidFill>
                </w14:textFill>
              </w:rPr>
              <w:t>本项目实验室团队人员进行评议。</w:t>
            </w:r>
          </w:p>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负责本项目实验室主管人员为</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检验专业</w:t>
            </w:r>
            <w:r>
              <w:rPr>
                <w:rFonts w:hint="eastAsia" w:ascii="宋体" w:hAnsi="宋体" w:eastAsia="宋体" w:cs="宋体"/>
                <w:color w:val="000000" w:themeColor="text1"/>
                <w:kern w:val="0"/>
                <w:sz w:val="21"/>
                <w:szCs w:val="21"/>
                <w:highlight w:val="none"/>
                <w14:textFill>
                  <w14:solidFill>
                    <w14:schemeClr w14:val="tx1"/>
                  </w14:solidFill>
                </w14:textFill>
              </w:rPr>
              <w:t>副高职称及以上者，得2分；</w:t>
            </w:r>
          </w:p>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实验室团队人员中每提供一名</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检验专业</w:t>
            </w:r>
            <w:r>
              <w:rPr>
                <w:rFonts w:hint="eastAsia" w:ascii="宋体" w:hAnsi="宋体" w:eastAsia="宋体" w:cs="宋体"/>
                <w:color w:val="000000" w:themeColor="text1"/>
                <w:kern w:val="0"/>
                <w:sz w:val="21"/>
                <w:szCs w:val="21"/>
                <w:highlight w:val="none"/>
                <w14:textFill>
                  <w14:solidFill>
                    <w14:schemeClr w14:val="tx1"/>
                  </w14:solidFill>
                </w14:textFill>
              </w:rPr>
              <w:t>硕士研究生及以上学历者或副高及以上职称者得0.5分，满分3分；</w:t>
            </w:r>
          </w:p>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以上人员需提供用人单位的劳动合同、学历证书，职称证书和社保证明</w:t>
            </w:r>
            <w:r>
              <w:rPr>
                <w:rFonts w:hint="eastAsia" w:ascii="宋体" w:hAnsi="宋体" w:cs="宋体"/>
                <w:color w:val="000000" w:themeColor="text1"/>
                <w:kern w:val="0"/>
                <w:sz w:val="21"/>
                <w:szCs w:val="21"/>
                <w:highlight w:val="none"/>
                <w:lang w:eastAsia="zh-CN"/>
                <w14:textFill>
                  <w14:solidFill>
                    <w14:schemeClr w14:val="tx1"/>
                  </w14:solidFill>
                </w14:textFill>
              </w:rPr>
              <w:t>扫描件</w:t>
            </w:r>
            <w:r>
              <w:rPr>
                <w:rFonts w:hint="eastAsia" w:ascii="宋体" w:hAnsi="宋体" w:eastAsia="宋体" w:cs="宋体"/>
                <w:color w:val="000000" w:themeColor="text1"/>
                <w:kern w:val="0"/>
                <w:sz w:val="21"/>
                <w:szCs w:val="21"/>
                <w:highlight w:val="none"/>
                <w14:textFill>
                  <w14:solidFill>
                    <w14:schemeClr w14:val="tx1"/>
                  </w14:solidFill>
                </w14:textFill>
              </w:rPr>
              <w:t>加盖投标人公章（退休返聘人员无需提供社保证明）</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highlight w:val="none"/>
                <w:shd w:val="clear" w:color="auto" w:fill="auto"/>
                <w:lang w:val="en-US" w:eastAsia="zh-CN"/>
                <w14:textFill>
                  <w14:solidFill>
                    <w14:schemeClr w14:val="tx1"/>
                  </w14:solidFill>
                </w14:textFill>
              </w:rPr>
              <w:t>客</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实验室检测能力（</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投标人具有ISO15189实验室资质认证证书者得2分；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投标文件中</w:t>
            </w:r>
            <w:r>
              <w:rPr>
                <w:rFonts w:hint="eastAsia" w:ascii="宋体" w:hAnsi="宋体" w:eastAsia="宋体" w:cs="宋体"/>
                <w:color w:val="000000" w:themeColor="text1"/>
                <w:kern w:val="0"/>
                <w:sz w:val="21"/>
                <w:szCs w:val="21"/>
                <w:highlight w:val="none"/>
                <w14:textFill>
                  <w14:solidFill>
                    <w14:schemeClr w14:val="tx1"/>
                  </w14:solidFill>
                </w14:textFill>
              </w:rPr>
              <w:t>提供有效证明文件</w:t>
            </w:r>
            <w:r>
              <w:rPr>
                <w:rFonts w:hint="eastAsia" w:ascii="宋体" w:hAnsi="宋体" w:cs="宋体"/>
                <w:color w:val="000000" w:themeColor="text1"/>
                <w:kern w:val="0"/>
                <w:sz w:val="21"/>
                <w:szCs w:val="21"/>
                <w:highlight w:val="none"/>
                <w:lang w:val="en-US" w:eastAsia="zh-CN"/>
                <w14:textFill>
                  <w14:solidFill>
                    <w14:schemeClr w14:val="tx1"/>
                  </w14:solidFill>
                </w14:textFill>
              </w:rPr>
              <w:t>扫描件</w:t>
            </w:r>
            <w:r>
              <w:rPr>
                <w:rFonts w:hint="eastAsia" w:ascii="宋体" w:hAnsi="宋体" w:eastAsia="宋体" w:cs="宋体"/>
                <w:color w:val="000000" w:themeColor="text1"/>
                <w:kern w:val="0"/>
                <w:sz w:val="21"/>
                <w:szCs w:val="21"/>
                <w:highlight w:val="none"/>
                <w14:textFill>
                  <w14:solidFill>
                    <w14:schemeClr w14:val="tx1"/>
                  </w14:solidFill>
                </w14:textFill>
              </w:rPr>
              <w:t>加盖投标人公章）。</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highlight w:val="none"/>
                <w:shd w:val="clear" w:color="auto" w:fill="auto"/>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vMerge w:val="restart"/>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物流（及冷链）实施方案（12分）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评委根据投标人提供的标本收集及处理流程方案</w:t>
            </w:r>
            <w:r>
              <w:rPr>
                <w:rFonts w:hint="eastAsia" w:ascii="宋体" w:hAnsi="宋体" w:cs="宋体"/>
                <w:color w:val="000000" w:themeColor="text1"/>
                <w:highlight w:val="none"/>
                <w:shd w:val="clear" w:color="auto" w:fill="auto"/>
                <w:lang w:val="en-US" w:eastAsia="zh-CN"/>
                <w14:textFill>
                  <w14:solidFill>
                    <w14:schemeClr w14:val="tx1"/>
                  </w14:solidFill>
                </w14:textFill>
              </w:rPr>
              <w:t>进行评议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方案完整、科学、合理、可行的得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方案基本能满足招标需求的得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方案存在缺陷，无法满足招标需求的得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vMerge w:val="continue"/>
            <w:tcBorders>
              <w:right w:val="single" w:color="000000" w:sz="2" w:space="0"/>
            </w:tcBorders>
            <w:noWrap w:val="0"/>
            <w:vAlign w:val="center"/>
          </w:tcPr>
          <w:p>
            <w:pPr>
              <w:spacing w:line="240" w:lineRule="auto"/>
              <w:ind w:firstLine="1470" w:firstLineChars="70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评委根据投标人提供的标本物流方案</w:t>
            </w:r>
            <w:r>
              <w:rPr>
                <w:rFonts w:hint="eastAsia" w:ascii="宋体" w:hAnsi="宋体" w:cs="宋体"/>
                <w:color w:val="000000" w:themeColor="text1"/>
                <w:highlight w:val="none"/>
                <w:shd w:val="clear" w:color="auto" w:fill="auto"/>
                <w:lang w:val="en-US" w:eastAsia="zh-CN"/>
                <w14:textFill>
                  <w14:solidFill>
                    <w14:schemeClr w14:val="tx1"/>
                  </w14:solidFill>
                </w14:textFill>
              </w:rPr>
              <w:t>进行评议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方案完整、科学、合理、可行的得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方案基本能满足招标需求的得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default"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方案存在缺陷，无法满足招标需求的得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vMerge w:val="continue"/>
            <w:tcBorders>
              <w:right w:val="single" w:color="000000" w:sz="2" w:space="0"/>
            </w:tcBorders>
            <w:noWrap w:val="0"/>
            <w:vAlign w:val="center"/>
          </w:tcPr>
          <w:p>
            <w:pPr>
              <w:spacing w:line="240" w:lineRule="auto"/>
              <w:ind w:firstLine="1470" w:firstLineChars="70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评委根据投标人提供的质量控制方案</w:t>
            </w:r>
            <w:r>
              <w:rPr>
                <w:rFonts w:hint="eastAsia" w:ascii="宋体" w:hAnsi="宋体" w:cs="宋体"/>
                <w:color w:val="000000" w:themeColor="text1"/>
                <w:highlight w:val="none"/>
                <w:shd w:val="clear" w:color="auto" w:fill="auto"/>
                <w:lang w:val="en-US" w:eastAsia="zh-CN"/>
                <w14:textFill>
                  <w14:solidFill>
                    <w14:schemeClr w14:val="tx1"/>
                  </w14:solidFill>
                </w14:textFill>
              </w:rPr>
              <w:t>进行评议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方案完整、科学、合理、可行的得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方案基本能满足招标需求的得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default"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方案存在缺陷，无法满足招标需求的得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vMerge w:val="continue"/>
            <w:tcBorders>
              <w:right w:val="single" w:color="000000" w:sz="2" w:space="0"/>
            </w:tcBorders>
            <w:noWrap w:val="0"/>
            <w:vAlign w:val="center"/>
          </w:tcPr>
          <w:p>
            <w:pPr>
              <w:spacing w:line="240" w:lineRule="auto"/>
              <w:ind w:firstLine="1470" w:firstLineChars="70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评委根据投标人提供的应急保障措施方案</w:t>
            </w:r>
            <w:r>
              <w:rPr>
                <w:rFonts w:hint="eastAsia" w:ascii="宋体" w:hAnsi="宋体" w:cs="宋体"/>
                <w:color w:val="000000" w:themeColor="text1"/>
                <w:highlight w:val="none"/>
                <w:shd w:val="clear" w:color="auto" w:fill="auto"/>
                <w:lang w:val="en-US" w:eastAsia="zh-CN"/>
                <w14:textFill>
                  <w14:solidFill>
                    <w14:schemeClr w14:val="tx1"/>
                  </w14:solidFill>
                </w14:textFill>
              </w:rPr>
              <w:t>进行评议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方案完整、科学、合理、可行的得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方案基本能满足招标需求的得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default"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方案存在缺陷，无法满足招标需求的得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实验室质量控制（5）</w:t>
            </w:r>
          </w:p>
        </w:tc>
        <w:tc>
          <w:tcPr>
            <w:tcW w:w="7050" w:type="dxa"/>
            <w:tcBorders>
              <w:left w:val="single" w:color="000000" w:sz="2"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ind w:right="126" w:rightChars="60"/>
              <w:jc w:val="left"/>
              <w:textAlignment w:val="center"/>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评委根据投标人提供的实验室质量控制方案进行评议，</w:t>
            </w:r>
            <w:r>
              <w:rPr>
                <w:rFonts w:hint="eastAsia" w:ascii="宋体" w:hAnsi="宋体" w:eastAsia="宋体" w:cs="宋体"/>
                <w:color w:val="000000" w:themeColor="text1"/>
                <w:highlight w:val="none"/>
                <w:shd w:val="clear" w:color="auto" w:fill="auto"/>
                <w14:textFill>
                  <w14:solidFill>
                    <w14:schemeClr w14:val="tx1"/>
                  </w14:solidFill>
                </w14:textFill>
              </w:rPr>
              <w:t>委托检测项目提供的质量控制措施完整、科学、合理、可行得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分；有质量控制措施，基本能满足招标需求得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分，质量控制措施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存在缺陷</w:t>
            </w:r>
            <w:r>
              <w:rPr>
                <w:rFonts w:hint="eastAsia" w:ascii="宋体" w:hAnsi="宋体" w:eastAsia="宋体" w:cs="宋体"/>
                <w:color w:val="000000" w:themeColor="text1"/>
                <w:highlight w:val="none"/>
                <w:shd w:val="clear" w:color="auto" w:fill="auto"/>
                <w14:textFill>
                  <w14:solidFill>
                    <w14:schemeClr w14:val="tx1"/>
                  </w14:solidFill>
                </w14:textFill>
              </w:rPr>
              <w:t>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1分</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检验及报告实施方案（5分）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default"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评委根据投标人提供的</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检验及报告实施方案进行评议，检验及报告实施方案</w:t>
            </w:r>
            <w:r>
              <w:rPr>
                <w:rFonts w:hint="eastAsia" w:ascii="宋体" w:hAnsi="宋体" w:eastAsia="宋体" w:cs="宋体"/>
                <w:color w:val="000000" w:themeColor="text1"/>
                <w:highlight w:val="none"/>
                <w:shd w:val="clear" w:color="auto" w:fill="auto"/>
                <w14:textFill>
                  <w14:solidFill>
                    <w14:schemeClr w14:val="tx1"/>
                  </w14:solidFill>
                </w14:textFill>
              </w:rPr>
              <w:t>完整、科学、合理、可行得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检验及报告实施方案</w:t>
            </w:r>
            <w:r>
              <w:rPr>
                <w:rFonts w:hint="eastAsia" w:ascii="宋体" w:hAnsi="宋体" w:eastAsia="宋体" w:cs="宋体"/>
                <w:color w:val="000000" w:themeColor="text1"/>
                <w:highlight w:val="none"/>
                <w:shd w:val="clear" w:color="auto" w:fill="auto"/>
                <w14:textFill>
                  <w14:solidFill>
                    <w14:schemeClr w14:val="tx1"/>
                  </w14:solidFill>
                </w14:textFill>
              </w:rPr>
              <w:t>基本能满足招标需求得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检验及报告实施方案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存在缺陷</w:t>
            </w:r>
            <w:r>
              <w:rPr>
                <w:rFonts w:hint="eastAsia" w:ascii="宋体" w:hAnsi="宋体" w:eastAsia="宋体" w:cs="宋体"/>
                <w:color w:val="000000" w:themeColor="text1"/>
                <w:highlight w:val="none"/>
                <w:shd w:val="clear" w:color="auto" w:fill="auto"/>
                <w14:textFill>
                  <w14:solidFill>
                    <w14:schemeClr w14:val="tx1"/>
                  </w14:solidFill>
                </w14:textFill>
              </w:rPr>
              <w:t>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1分</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应急方案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评委</w:t>
            </w:r>
            <w:r>
              <w:rPr>
                <w:rFonts w:hint="eastAsia" w:ascii="宋体" w:hAnsi="宋体" w:eastAsia="宋体" w:cs="宋体"/>
                <w:color w:val="000000" w:themeColor="text1"/>
                <w:kern w:val="0"/>
                <w:sz w:val="21"/>
                <w:szCs w:val="21"/>
                <w:highlight w:val="none"/>
                <w14:textFill>
                  <w14:solidFill>
                    <w14:schemeClr w14:val="tx1"/>
                  </w14:solidFill>
                </w14:textFill>
              </w:rPr>
              <w:t>根据投标人提供的应急方案进行评议</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应急方案</w:t>
            </w:r>
            <w:r>
              <w:rPr>
                <w:rFonts w:hint="eastAsia" w:ascii="宋体" w:hAnsi="宋体" w:eastAsia="宋体" w:cs="宋体"/>
                <w:color w:val="000000" w:themeColor="text1"/>
                <w:highlight w:val="none"/>
                <w:shd w:val="clear" w:color="auto" w:fill="auto"/>
                <w14:textFill>
                  <w14:solidFill>
                    <w14:schemeClr w14:val="tx1"/>
                  </w14:solidFill>
                </w14:textFill>
              </w:rPr>
              <w:t>完整、科学、合理、可行得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kern w:val="0"/>
                <w:sz w:val="21"/>
                <w:szCs w:val="21"/>
                <w:highlight w:val="none"/>
                <w14:textFill>
                  <w14:solidFill>
                    <w14:schemeClr w14:val="tx1"/>
                  </w14:solidFill>
                </w14:textFill>
              </w:rPr>
              <w:t>应急方案</w:t>
            </w:r>
            <w:r>
              <w:rPr>
                <w:rFonts w:hint="eastAsia" w:ascii="宋体" w:hAnsi="宋体" w:eastAsia="宋体" w:cs="宋体"/>
                <w:color w:val="000000" w:themeColor="text1"/>
                <w:highlight w:val="none"/>
                <w:shd w:val="clear" w:color="auto" w:fill="auto"/>
                <w14:textFill>
                  <w14:solidFill>
                    <w14:schemeClr w14:val="tx1"/>
                  </w14:solidFill>
                </w14:textFill>
              </w:rPr>
              <w:t>基本能满足招标需求得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kern w:val="0"/>
                <w:sz w:val="21"/>
                <w:szCs w:val="21"/>
                <w:highlight w:val="none"/>
                <w14:textFill>
                  <w14:solidFill>
                    <w14:schemeClr w14:val="tx1"/>
                  </w14:solidFill>
                </w14:textFill>
              </w:rPr>
              <w:t>应急方案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存在缺陷</w:t>
            </w:r>
            <w:r>
              <w:rPr>
                <w:rFonts w:hint="eastAsia" w:ascii="宋体" w:hAnsi="宋体" w:eastAsia="宋体" w:cs="宋体"/>
                <w:color w:val="000000" w:themeColor="text1"/>
                <w:highlight w:val="none"/>
                <w:shd w:val="clear" w:color="auto" w:fill="auto"/>
                <w14:textFill>
                  <w14:solidFill>
                    <w14:schemeClr w14:val="tx1"/>
                  </w14:solidFill>
                </w14:textFill>
              </w:rPr>
              <w:t>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1分</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信息接口实施方案（5分）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评委</w:t>
            </w:r>
            <w:r>
              <w:rPr>
                <w:rFonts w:hint="eastAsia" w:ascii="宋体" w:hAnsi="宋体" w:eastAsia="宋体" w:cs="宋体"/>
                <w:color w:val="000000" w:themeColor="text1"/>
                <w:kern w:val="0"/>
                <w:sz w:val="21"/>
                <w:szCs w:val="21"/>
                <w:highlight w:val="none"/>
                <w14:textFill>
                  <w14:solidFill>
                    <w14:schemeClr w14:val="tx1"/>
                  </w14:solidFill>
                </w14:textFill>
              </w:rPr>
              <w:t>根据投标人提供的按照医院LIS系统做好检验标本对接及结果回传方案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进行评议</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，信息接口实施方案</w:t>
            </w:r>
            <w:r>
              <w:rPr>
                <w:rFonts w:hint="eastAsia" w:ascii="宋体" w:hAnsi="宋体" w:eastAsia="宋体" w:cs="宋体"/>
                <w:color w:val="000000" w:themeColor="text1"/>
                <w:highlight w:val="none"/>
                <w:shd w:val="clear" w:color="auto" w:fill="auto"/>
                <w14:textFill>
                  <w14:solidFill>
                    <w14:schemeClr w14:val="tx1"/>
                  </w14:solidFill>
                </w14:textFill>
              </w:rPr>
              <w:t>完整、科学、合理、可行得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信息接口实施方案</w:t>
            </w:r>
            <w:r>
              <w:rPr>
                <w:rFonts w:hint="eastAsia" w:ascii="宋体" w:hAnsi="宋体" w:eastAsia="宋体" w:cs="宋体"/>
                <w:color w:val="000000" w:themeColor="text1"/>
                <w:highlight w:val="none"/>
                <w:shd w:val="clear" w:color="auto" w:fill="auto"/>
                <w14:textFill>
                  <w14:solidFill>
                    <w14:schemeClr w14:val="tx1"/>
                  </w14:solidFill>
                </w14:textFill>
              </w:rPr>
              <w:t>基本能满足招标需求得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信息接口实施方案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存在缺陷</w:t>
            </w:r>
            <w:r>
              <w:rPr>
                <w:rFonts w:hint="eastAsia" w:ascii="宋体" w:hAnsi="宋体" w:eastAsia="宋体" w:cs="宋体"/>
                <w:color w:val="000000" w:themeColor="text1"/>
                <w:highlight w:val="none"/>
                <w:shd w:val="clear" w:color="auto" w:fill="auto"/>
                <w14:textFill>
                  <w14:solidFill>
                    <w14:schemeClr w14:val="tx1"/>
                  </w14:solidFill>
                </w14:textFill>
              </w:rPr>
              <w:t>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1分</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隐私保护</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（5分）</w:t>
            </w:r>
          </w:p>
        </w:tc>
        <w:tc>
          <w:tcPr>
            <w:tcW w:w="7050" w:type="dxa"/>
            <w:tcBorders>
              <w:lef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109" w:leftChars="52" w:right="126" w:rightChars="60"/>
              <w:jc w:val="left"/>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评委</w:t>
            </w:r>
            <w:r>
              <w:rPr>
                <w:rFonts w:hint="eastAsia" w:ascii="宋体" w:hAnsi="宋体" w:eastAsia="宋体" w:cs="宋体"/>
                <w:color w:val="000000" w:themeColor="text1"/>
                <w:kern w:val="0"/>
                <w:sz w:val="21"/>
                <w:szCs w:val="21"/>
                <w:highlight w:val="none"/>
                <w14:textFill>
                  <w14:solidFill>
                    <w14:schemeClr w14:val="tx1"/>
                  </w14:solidFill>
                </w14:textFill>
              </w:rPr>
              <w:t>根据投标人提供的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隐私保护方案进行评议，包括</w:t>
            </w:r>
            <w:r>
              <w:rPr>
                <w:rFonts w:hint="eastAsia" w:ascii="宋体" w:hAnsi="宋体" w:eastAsia="宋体" w:cs="宋体"/>
                <w:color w:val="000000" w:themeColor="text1"/>
                <w:kern w:val="0"/>
                <w:sz w:val="21"/>
                <w:szCs w:val="21"/>
                <w:highlight w:val="none"/>
                <w14:textFill>
                  <w14:solidFill>
                    <w14:schemeClr w14:val="tx1"/>
                  </w14:solidFill>
                </w14:textFill>
              </w:rPr>
              <w:t>对患者电子病历、送检标本及检测结果等相关资料保密的措施</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隐私保护方案</w:t>
            </w:r>
            <w:r>
              <w:rPr>
                <w:rFonts w:hint="eastAsia" w:ascii="宋体" w:hAnsi="宋体" w:eastAsia="宋体" w:cs="宋体"/>
                <w:color w:val="000000" w:themeColor="text1"/>
                <w:highlight w:val="none"/>
                <w:shd w:val="clear" w:color="auto" w:fill="auto"/>
                <w14:textFill>
                  <w14:solidFill>
                    <w14:schemeClr w14:val="tx1"/>
                  </w14:solidFill>
                </w14:textFill>
              </w:rPr>
              <w:t>完整、科学、合理、可行得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隐私保护方案</w:t>
            </w:r>
            <w:r>
              <w:rPr>
                <w:rFonts w:hint="eastAsia" w:ascii="宋体" w:hAnsi="宋体" w:eastAsia="宋体" w:cs="宋体"/>
                <w:color w:val="000000" w:themeColor="text1"/>
                <w:highlight w:val="none"/>
                <w:shd w:val="clear" w:color="auto" w:fill="auto"/>
                <w14:textFill>
                  <w14:solidFill>
                    <w14:schemeClr w14:val="tx1"/>
                  </w14:solidFill>
                </w14:textFill>
              </w:rPr>
              <w:t>基本能满足招标需求得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隐私保护方案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存在缺陷</w:t>
            </w:r>
            <w:r>
              <w:rPr>
                <w:rFonts w:hint="eastAsia" w:ascii="宋体" w:hAnsi="宋体" w:eastAsia="宋体" w:cs="宋体"/>
                <w:color w:val="000000" w:themeColor="text1"/>
                <w:highlight w:val="none"/>
                <w:shd w:val="clear" w:color="auto" w:fill="auto"/>
                <w14:textFill>
                  <w14:solidFill>
                    <w14:schemeClr w14:val="tx1"/>
                  </w14:solidFill>
                </w14:textFill>
              </w:rPr>
              <w:t>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1分</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Merge w:val="continue"/>
            <w:noWrap w:val="0"/>
            <w:vAlign w:val="center"/>
          </w:tcPr>
          <w:p>
            <w:pPr>
              <w:spacing w:line="360" w:lineRule="auto"/>
              <w:jc w:val="center"/>
              <w:rPr>
                <w:rFonts w:hint="eastAsia" w:ascii="宋体" w:hAnsi="宋体" w:eastAsia="宋体" w:cs="宋体"/>
                <w:color w:val="000000" w:themeColor="text1"/>
                <w:szCs w:val="21"/>
                <w:highlight w:val="none"/>
                <w:shd w:val="clear" w:color="auto" w:fill="auto"/>
                <w14:textFill>
                  <w14:solidFill>
                    <w14:schemeClr w14:val="tx1"/>
                  </w14:solidFill>
                </w14:textFill>
              </w:rPr>
            </w:pPr>
          </w:p>
        </w:tc>
        <w:tc>
          <w:tcPr>
            <w:tcW w:w="1094" w:type="dxa"/>
            <w:tcBorders>
              <w:righ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危急值报告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（5分）</w:t>
            </w:r>
          </w:p>
        </w:tc>
        <w:tc>
          <w:tcPr>
            <w:tcW w:w="7050" w:type="dxa"/>
            <w:tcBorders>
              <w:left w:val="single" w:color="000000"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评委</w:t>
            </w:r>
            <w:r>
              <w:rPr>
                <w:rFonts w:hint="eastAsia" w:ascii="宋体" w:hAnsi="宋体" w:eastAsia="宋体" w:cs="宋体"/>
                <w:color w:val="000000" w:themeColor="text1"/>
                <w:kern w:val="0"/>
                <w:sz w:val="21"/>
                <w:szCs w:val="21"/>
                <w:highlight w:val="none"/>
                <w14:textFill>
                  <w14:solidFill>
                    <w14:schemeClr w14:val="tx1"/>
                  </w14:solidFill>
                </w14:textFill>
              </w:rPr>
              <w:t>根据投标人提供的</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危急值报告方案进行评议，即</w:t>
            </w:r>
            <w:r>
              <w:rPr>
                <w:rFonts w:hint="eastAsia" w:ascii="宋体" w:hAnsi="宋体" w:eastAsia="宋体" w:cs="宋体"/>
                <w:color w:val="000000" w:themeColor="text1"/>
                <w:kern w:val="0"/>
                <w:sz w:val="21"/>
                <w:szCs w:val="21"/>
                <w:highlight w:val="none"/>
                <w14:textFill>
                  <w14:solidFill>
                    <w14:schemeClr w14:val="tx1"/>
                  </w14:solidFill>
                </w14:textFill>
              </w:rPr>
              <w:t>血药浓度检测项目，应具有危急值报告程序，投标文件列出危急值报告方案和流程</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，危急值报告方案</w:t>
            </w:r>
            <w:r>
              <w:rPr>
                <w:rFonts w:hint="eastAsia" w:ascii="宋体" w:hAnsi="宋体" w:eastAsia="宋体" w:cs="宋体"/>
                <w:color w:val="000000" w:themeColor="text1"/>
                <w:highlight w:val="none"/>
                <w:shd w:val="clear" w:color="auto" w:fill="auto"/>
                <w14:textFill>
                  <w14:solidFill>
                    <w14:schemeClr w14:val="tx1"/>
                  </w14:solidFill>
                </w14:textFill>
              </w:rPr>
              <w:t>完整、科学、合理、可行得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危急值报告方案</w:t>
            </w:r>
            <w:r>
              <w:rPr>
                <w:rFonts w:hint="eastAsia" w:ascii="宋体" w:hAnsi="宋体" w:eastAsia="宋体" w:cs="宋体"/>
                <w:color w:val="000000" w:themeColor="text1"/>
                <w:highlight w:val="none"/>
                <w:shd w:val="clear" w:color="auto" w:fill="auto"/>
                <w14:textFill>
                  <w14:solidFill>
                    <w14:schemeClr w14:val="tx1"/>
                  </w14:solidFill>
                </w14:textFill>
              </w:rPr>
              <w:t>基本能满足招标需求得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危急值报告方案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存在缺陷</w:t>
            </w:r>
            <w:r>
              <w:rPr>
                <w:rFonts w:hint="eastAsia" w:ascii="宋体" w:hAnsi="宋体" w:eastAsia="宋体" w:cs="宋体"/>
                <w:color w:val="000000" w:themeColor="text1"/>
                <w:highlight w:val="none"/>
                <w:shd w:val="clear" w:color="auto" w:fill="auto"/>
                <w14:textFill>
                  <w14:solidFill>
                    <w14:schemeClr w14:val="tx1"/>
                  </w14:solidFill>
                </w14:textFill>
              </w:rPr>
              <w:t>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1分</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p>
        </w:tc>
        <w:tc>
          <w:tcPr>
            <w:tcW w:w="1102" w:type="dxa"/>
            <w:tcBorders>
              <w:left w:val="single" w:color="000000" w:sz="2" w:space="0"/>
            </w:tcBorders>
            <w:noWrap w:val="0"/>
            <w:vAlign w:val="center"/>
          </w:tcPr>
          <w:p>
            <w:pPr>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主观分</w:t>
            </w:r>
          </w:p>
        </w:tc>
      </w:tr>
    </w:tbl>
    <w:p>
      <w:pPr>
        <w:pStyle w:val="6"/>
        <w:rPr>
          <w:rFonts w:hint="eastAsia" w:ascii="宋体" w:hAnsi="宋体" w:cs="宋体"/>
          <w:b/>
          <w:color w:val="000000" w:themeColor="text1"/>
          <w:sz w:val="32"/>
          <w:szCs w:val="20"/>
          <w14:textFill>
            <w14:solidFill>
              <w14:schemeClr w14:val="tx1"/>
            </w14:solidFill>
          </w14:textFill>
        </w:rPr>
      </w:pPr>
    </w:p>
    <w:p>
      <w:pPr>
        <w:snapToGrid w:val="0"/>
        <w:spacing w:line="360" w:lineRule="auto"/>
        <w:ind w:firstLine="200" w:firstLineChars="100"/>
        <w:rPr>
          <w:rFonts w:hint="eastAsia" w:ascii="宋体" w:hAnsi="宋体" w:cs="宋体"/>
          <w:b/>
          <w:color w:val="000000" w:themeColor="text1"/>
          <w:sz w:val="32"/>
          <w14:textFill>
            <w14:solidFill>
              <w14:schemeClr w14:val="tx1"/>
            </w14:solidFill>
          </w14:textFill>
        </w:rPr>
        <w:sectPr>
          <w:pgSz w:w="11907" w:h="16840"/>
          <w:pgMar w:top="1474" w:right="1814" w:bottom="1474" w:left="1814" w:header="851" w:footer="851" w:gutter="0"/>
          <w:cols w:space="720" w:num="1"/>
        </w:sect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kern w:val="0"/>
          <w:sz w:val="24"/>
          <w:highlight w:val="none"/>
        </w:rPr>
        <w:t>采用综合评分法的，评标结果按评审后得分由高到低顺序排列。得分相同的，按投标报价由低到高顺序排列。</w:t>
      </w:r>
      <w:r>
        <w:rPr>
          <w:rFonts w:hint="eastAsia" w:ascii="宋体" w:hAnsi="宋体" w:cs="宋体"/>
          <w:b/>
          <w:bCs/>
          <w:kern w:val="0"/>
          <w:sz w:val="24"/>
          <w:highlight w:val="none"/>
        </w:rPr>
        <w:t>中标候选人数量：</w:t>
      </w:r>
      <w:r>
        <w:rPr>
          <w:rFonts w:hint="eastAsia" w:ascii="宋体" w:hAnsi="宋体" w:cs="宋体"/>
          <w:kern w:val="0"/>
          <w:sz w:val="24"/>
          <w:highlight w:val="none"/>
        </w:rPr>
        <w:t>有效投标供应商数量等于3家时，中标候选人数量为1家；有效投标供应商数量等于4家时，中标候选人数量为2家；有效投标供应商数量大于等于5家时，中标候选人数量为3家。</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w:t>
      </w:r>
      <w:r>
        <w:rPr>
          <w:rFonts w:hint="eastAsia" w:ascii="宋体" w:hAnsi="宋体" w:cs="宋体"/>
          <w:color w:val="000000" w:themeColor="text1"/>
          <w:kern w:val="0"/>
          <w:sz w:val="24"/>
          <w:lang w:eastAsia="zh-CN"/>
          <w14:textFill>
            <w14:solidFill>
              <w14:schemeClr w14:val="tx1"/>
            </w14:solidFill>
          </w14:textFill>
        </w:rPr>
        <w:t>招标人</w:t>
      </w:r>
      <w:r>
        <w:rPr>
          <w:rFonts w:hint="eastAsia" w:ascii="宋体" w:hAnsi="宋体" w:cs="宋体"/>
          <w:color w:val="000000" w:themeColor="text1"/>
          <w:kern w:val="0"/>
          <w:sz w:val="24"/>
          <w14:textFill>
            <w14:solidFill>
              <w14:schemeClr w14:val="tx1"/>
            </w14:solidFill>
          </w14:textFill>
        </w:rPr>
        <w:t>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pStyle w:val="6"/>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4.2.15不同投标人的投标文件出自同一终端设备或在相同Internet主机分配地址（相同IP地址）网上下载招标文件或上传投标文件的作无效标处理。</w:t>
      </w:r>
    </w:p>
    <w:p>
      <w:pPr>
        <w:pStyle w:val="27"/>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w:t>
      </w:r>
      <w:r>
        <w:rPr>
          <w:rFonts w:hint="eastAsia" w:cs="宋体"/>
          <w:color w:val="000000" w:themeColor="text1"/>
          <w:lang w:eastAsia="zh-CN"/>
          <w14:textFill>
            <w14:solidFill>
              <w14:schemeClr w14:val="tx1"/>
            </w14:solidFill>
          </w14:textFill>
        </w:rPr>
        <w:t>招标人</w:t>
      </w:r>
      <w:r>
        <w:rPr>
          <w:rFonts w:hint="eastAsia" w:cs="宋体"/>
          <w:color w:val="000000" w:themeColor="text1"/>
          <w14:textFill>
            <w14:solidFill>
              <w14:schemeClr w14:val="tx1"/>
            </w14:solidFill>
          </w14:textFill>
        </w:rPr>
        <w:t>不能支付的；</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pPr>
        <w:pStyle w:val="27"/>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w:t>
      </w:r>
      <w:r>
        <w:rPr>
          <w:rFonts w:hint="eastAsia" w:cs="宋体"/>
          <w:color w:val="000000" w:themeColor="text1"/>
          <w:lang w:eastAsia="zh-CN"/>
          <w14:textFill>
            <w14:solidFill>
              <w14:schemeClr w14:val="tx1"/>
            </w14:solidFill>
          </w14:textFill>
        </w:rPr>
        <w:t>招标人</w:t>
      </w:r>
      <w:r>
        <w:rPr>
          <w:rFonts w:hint="eastAsia"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w:t>
      </w:r>
      <w:r>
        <w:rPr>
          <w:rFonts w:hint="eastAsia" w:cs="宋体"/>
          <w:color w:val="000000" w:themeColor="text1"/>
          <w:lang w:eastAsia="zh-CN"/>
          <w14:textFill>
            <w14:solidFill>
              <w14:schemeClr w14:val="tx1"/>
            </w14:solidFill>
          </w14:textFill>
        </w:rPr>
        <w:t>招标人</w:t>
      </w:r>
      <w:r>
        <w:rPr>
          <w:rFonts w:hint="eastAsia"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pPr>
        <w:pStyle w:val="27"/>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w:t>
      </w:r>
      <w:r>
        <w:rPr>
          <w:rFonts w:hint="eastAsia" w:cs="宋体"/>
          <w:color w:val="000000" w:themeColor="text1"/>
          <w:lang w:eastAsia="zh-CN"/>
          <w14:textFill>
            <w14:solidFill>
              <w14:schemeClr w14:val="tx1"/>
            </w14:solidFill>
          </w14:textFill>
        </w:rPr>
        <w:t>招标人</w:t>
      </w:r>
      <w:r>
        <w:rPr>
          <w:rFonts w:hint="eastAsia" w:cs="宋体"/>
          <w:color w:val="000000" w:themeColor="text1"/>
          <w14:textFill>
            <w14:solidFill>
              <w14:schemeClr w14:val="tx1"/>
            </w14:solidFill>
          </w14:textFill>
        </w:rPr>
        <w:t>、供应商造成损失的，由责任人承担赔偿责任。</w:t>
      </w:r>
    </w:p>
    <w:p>
      <w:pPr>
        <w:pStyle w:val="27"/>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32"/>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bookmarkStart w:id="398" w:name="第五部分"/>
      <w:bookmarkStart w:id="399" w:name="_Toc86217003"/>
    </w:p>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p>
    <w:p>
      <w:pPr>
        <w:rPr>
          <w:rFonts w:ascii="宋体" w:hAnsi="宋体" w:cs="宋体"/>
          <w:b/>
          <w:color w:val="000000" w:themeColor="text1"/>
          <w:sz w:val="36"/>
          <w:szCs w:val="36"/>
          <w14:textFill>
            <w14:solidFill>
              <w14:schemeClr w14:val="tx1"/>
            </w14:solidFill>
          </w14:textFill>
        </w:rPr>
        <w:sectPr>
          <w:pgSz w:w="11907" w:h="16840"/>
          <w:pgMar w:top="1474" w:right="1814" w:bottom="1474" w:left="1814" w:header="851" w:footer="851" w:gutter="0"/>
          <w:cols w:space="720" w:num="1"/>
        </w:sectPr>
      </w:pPr>
    </w:p>
    <w:p>
      <w:pPr>
        <w:widowControl/>
        <w:adjustRightInd/>
        <w:ind w:firstLine="2168" w:firstLineChars="600"/>
        <w:jc w:val="left"/>
        <w:rPr>
          <w:rFonts w:hint="eastAsia" w:ascii="宋体" w:hAnsi="宋体" w:cs="宋体"/>
          <w:b/>
          <w:color w:val="000000" w:themeColor="text1"/>
          <w:sz w:val="36"/>
          <w:szCs w:val="36"/>
          <w14:textFill>
            <w14:solidFill>
              <w14:schemeClr w14:val="tx1"/>
            </w14:solidFill>
          </w14:textFill>
        </w:rPr>
      </w:pPr>
    </w:p>
    <w:p>
      <w:pPr>
        <w:widowControl/>
        <w:adjustRightInd/>
        <w:ind w:firstLine="2168" w:firstLineChars="600"/>
        <w:jc w:val="left"/>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pPr>
        <w:spacing w:line="400" w:lineRule="exact"/>
        <w:rPr>
          <w:rFonts w:hint="default" w:ascii="宋体" w:hAnsi="宋体" w:eastAsia="宋体"/>
          <w:color w:val="000000" w:themeColor="text1"/>
          <w:szCs w:val="2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（采购人）</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p>
      <w:pPr>
        <w:spacing w:line="40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（中标供应商）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甲、乙</w:t>
      </w:r>
      <w:r>
        <w:rPr>
          <w:rFonts w:hint="eastAsia" w:ascii="宋体" w:hAnsi="宋体"/>
          <w:color w:val="000000" w:themeColor="text1"/>
          <w:szCs w:val="21"/>
          <w:highlight w:val="none"/>
          <w14:textFill>
            <w14:solidFill>
              <w14:schemeClr w14:val="tx1"/>
            </w14:solidFill>
          </w14:textFill>
        </w:rPr>
        <w:t>双</w:t>
      </w:r>
      <w:r>
        <w:rPr>
          <w:rFonts w:ascii="宋体" w:hAnsi="宋体"/>
          <w:color w:val="000000" w:themeColor="text1"/>
          <w:szCs w:val="21"/>
          <w:highlight w:val="none"/>
          <w14:textFill>
            <w14:solidFill>
              <w14:schemeClr w14:val="tx1"/>
            </w14:solidFill>
          </w14:textFill>
        </w:rPr>
        <w:t>方根据</w:t>
      </w:r>
      <w:r>
        <w:rPr>
          <w:rFonts w:hint="eastAsia" w:ascii="宋体" w:hAnsi="宋体"/>
          <w:color w:val="000000" w:themeColor="text1"/>
          <w:szCs w:val="21"/>
          <w:highlight w:val="none"/>
          <w:lang w:eastAsia="zh-CN"/>
          <w14:textFill>
            <w14:solidFill>
              <w14:schemeClr w14:val="tx1"/>
            </w14:solidFill>
          </w14:textFill>
        </w:rPr>
        <w:t>宁波市镇海区人民医院医疗集团采购内分泌性高血压病因筛查标本外送检测服务项目</w:t>
      </w: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采购结果，签署本合同。</w:t>
      </w: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一、合同期限及合同内容</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1、合同期限：自</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日起至</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日止。</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2、合同内容：</w:t>
      </w:r>
      <w:r>
        <w:rPr>
          <w:rFonts w:hint="eastAsia" w:ascii="宋体" w:hAnsi="宋体"/>
          <w:color w:val="000000" w:themeColor="text1"/>
          <w:szCs w:val="21"/>
          <w:highlight w:val="none"/>
          <w:lang w:eastAsia="zh-CN"/>
          <w14:textFill>
            <w14:solidFill>
              <w14:schemeClr w14:val="tx1"/>
            </w14:solidFill>
          </w14:textFill>
        </w:rPr>
        <w:t>内分泌性高血压病因筛查标本外送检测服务</w:t>
      </w:r>
      <w:r>
        <w:rPr>
          <w:rFonts w:hint="eastAsia" w:ascii="宋体" w:hAnsi="宋体"/>
          <w:color w:val="000000" w:themeColor="text1"/>
          <w:szCs w:val="21"/>
          <w:highlight w:val="none"/>
          <w14:textFill>
            <w14:solidFill>
              <w14:schemeClr w14:val="tx1"/>
            </w14:solidFill>
          </w14:textFill>
        </w:rPr>
        <w:t>。</w:t>
      </w: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二、合同不可分割的组成部分</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、招标文件；</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、乙方的投标文件；</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、中标通知书；</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4、其他补充文件。</w:t>
      </w:r>
    </w:p>
    <w:p>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三、合同金额</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本次预算价：</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万元/年，合同结算时不得超过当年度预算价。</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2、检验给付比例：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四、费用的支付</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生效以及具备实施条件后7个工作日内支付每年预算金额20%的预付款（供应商需提交银行、保险公司等金融机构出具的预付款保函或其他担保措施。供应商在签订合同时，表示无需预付款或主动要求降低预付款比例的，可不适用本条款）；</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2、累计实际支付金额≤预付款时，不予支付；累计实际支付金额＞预付款时，超出预付款部分的金额按月结算。</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3、各院区费用按月结算，结算统计日期以每月1日零时起到本月最后一天24时结束。每个月度结束后3个月内由各院区支付。</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4、实际支付金额=实际收益×给付比例。</w:t>
      </w:r>
    </w:p>
    <w:p>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五、履约保证金</w:t>
      </w:r>
    </w:p>
    <w:p>
      <w:pPr>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不适用。</w:t>
      </w:r>
    </w:p>
    <w:p>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六、违约责任</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签订后，乙方应根据甲方要求提供相关资质证明材料，双方以此作为提供检测报告依据。未按要求提供材料的，甲方有权终止该合同，重新组织招标。合同履行期间，甲方视具体中标和使用情况，对不符合甲方使用要求的个别项目产品进行调整，乙方应配合做好相关工作。</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2、甲方因业务发展需求，要求新增外送检测项目，按乙方本次所报的给付比例执行，纳入服务范围。如甲方具备自己检测检验条件，提前一个月通知乙方，有权减少相应的送检项目。</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3、合同期满后，在甲方没有再次进行招标前，或因再次招标至中标人改变，乙方必须协助甲方做好衔接工作且给付比例不变。合同期内，如有授权、法人等变更情况，甲方有权中止合同。</w:t>
      </w:r>
    </w:p>
    <w:p>
      <w:pPr>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4、乙方工作人员在服务过程中，因其工作失职造成甲方损失的，乙方应按损失的价值照价赔偿，如无法计算实际价值的，按照最高不超过50000</w:t>
      </w:r>
      <w:r>
        <w:rPr>
          <w:rFonts w:hint="eastAsia" w:ascii="宋体" w:hAnsi="宋体"/>
          <w:color w:val="000000" w:themeColor="text1"/>
          <w:szCs w:val="21"/>
          <w:highlight w:val="none"/>
          <w14:textFill>
            <w14:solidFill>
              <w14:schemeClr w14:val="tx1"/>
            </w14:solidFill>
          </w14:textFill>
        </w:rPr>
        <w:t>.00元给予赔偿。</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5、乙方不能按招标文件要求及投标承诺提供相应服务的，每发生一次，乙方应向甲方偿付10000.00元的违约金，</w:t>
      </w:r>
      <w:r>
        <w:rPr>
          <w:rFonts w:hint="eastAsia" w:ascii="宋体" w:hAnsi="宋体" w:cs="宋体"/>
          <w:color w:val="000000" w:themeColor="text1"/>
          <w:szCs w:val="21"/>
          <w:highlight w:val="none"/>
          <w14:textFill>
            <w14:solidFill>
              <w14:schemeClr w14:val="tx1"/>
            </w14:solidFill>
          </w14:textFill>
        </w:rPr>
        <w:t>累计三次无正当理由不能提供相应服务，</w:t>
      </w:r>
      <w:r>
        <w:rPr>
          <w:rFonts w:hint="eastAsia" w:ascii="宋体" w:hAnsi="宋体"/>
          <w:color w:val="000000" w:themeColor="text1"/>
          <w:szCs w:val="21"/>
          <w:highlight w:val="none"/>
          <w14:textFill>
            <w14:solidFill>
              <w14:schemeClr w14:val="tx1"/>
            </w14:solidFill>
          </w14:textFill>
        </w:rPr>
        <w:t>甲方有权终止合同。</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6、乙方未确保投标承诺的人员到位，或人员素质不符合招标文件要求，或与投标承诺不一致的，每发生一次，乙方应向甲方偿付10000.00元的违约金，经甲方督促仍不予改进的，甲方有权终止合同。</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7、乙方工作人员在服务过程中严格对客户的数据履行保密义务，不得泄漏甲方相关数据，如违约，甲方有权终止合同，不予退还履约保证金，要求乙方赔偿一切损失并承担相应的法律责任。</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8、甲方要求乙方加派或更换人员，乙方未在规定时间内加派或更换的，乙方应向甲方偿付每人次10</w:t>
      </w:r>
      <w:r>
        <w:rPr>
          <w:rFonts w:ascii="宋体" w:hAnsi="宋体"/>
          <w:color w:val="000000" w:themeColor="text1"/>
          <w:szCs w:val="21"/>
          <w:highlight w:val="none"/>
          <w14:textFill>
            <w14:solidFill>
              <w14:schemeClr w14:val="tx1"/>
            </w14:solidFill>
          </w14:textFill>
        </w:rPr>
        <w:t>000</w:t>
      </w:r>
      <w:r>
        <w:rPr>
          <w:rFonts w:hint="eastAsia" w:ascii="宋体" w:hAnsi="宋体"/>
          <w:color w:val="000000" w:themeColor="text1"/>
          <w:szCs w:val="21"/>
          <w:highlight w:val="none"/>
          <w14:textFill>
            <w14:solidFill>
              <w14:schemeClr w14:val="tx1"/>
            </w14:solidFill>
          </w14:textFill>
        </w:rPr>
        <w:t>.00元的违约金。</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9、乙方在合同有效期内，不得以任何理由终止合同，确有特殊情况的，须提前一个月向甲方书面申请，经甲方同意后，乙方可终止合同，同时酌情赔偿经济损失。</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10、其他详见考核办法。</w:t>
      </w:r>
    </w:p>
    <w:p>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七、争议的解决</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凡有关本合同或执行本合同中发生的争端，</w:t>
      </w:r>
      <w:r>
        <w:rPr>
          <w:rFonts w:hint="eastAsia" w:ascii="宋体" w:hAnsi="宋体"/>
          <w:color w:val="000000" w:themeColor="text1"/>
          <w:szCs w:val="21"/>
          <w:highlight w:val="none"/>
          <w14:textFill>
            <w14:solidFill>
              <w14:schemeClr w14:val="tx1"/>
            </w14:solidFill>
          </w14:textFill>
        </w:rPr>
        <w:t>双</w:t>
      </w:r>
      <w:r>
        <w:rPr>
          <w:rFonts w:ascii="宋体" w:hAnsi="宋体"/>
          <w:color w:val="000000" w:themeColor="text1"/>
          <w:szCs w:val="21"/>
          <w:highlight w:val="none"/>
          <w14:textFill>
            <w14:solidFill>
              <w14:schemeClr w14:val="tx1"/>
            </w14:solidFill>
          </w14:textFill>
        </w:rPr>
        <w:t>方应通过友好协商，妥善解决。如通过协商仍不能解决时，可向合同履行地或合同签约地的仲裁机构或法院申请调解或处理。</w:t>
      </w:r>
    </w:p>
    <w:p>
      <w:pPr>
        <w:spacing w:line="40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八、不可抗力事件处理</w:t>
      </w:r>
    </w:p>
    <w:p>
      <w:pPr>
        <w:pStyle w:val="35"/>
        <w:widowControl w:val="0"/>
        <w:tabs>
          <w:tab w:val="left" w:pos="851"/>
        </w:tabs>
        <w:snapToGrid w:val="0"/>
        <w:spacing w:before="0" w:beforeAutospacing="0" w:after="0" w:afterAutospacing="0" w:line="400" w:lineRule="exact"/>
        <w:ind w:left="425" w:right="-369"/>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pStyle w:val="35"/>
        <w:widowControl w:val="0"/>
        <w:tabs>
          <w:tab w:val="left" w:pos="851"/>
        </w:tabs>
        <w:snapToGrid w:val="0"/>
        <w:spacing w:before="0" w:beforeAutospacing="0" w:after="0" w:afterAutospacing="0" w:line="400" w:lineRule="exact"/>
        <w:ind w:left="425" w:right="-369"/>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2、不可抗力事件发生后，应立即通知对方，并寄送有关权威机构出具的证明。</w:t>
      </w:r>
    </w:p>
    <w:p>
      <w:pPr>
        <w:pStyle w:val="35"/>
        <w:widowControl w:val="0"/>
        <w:tabs>
          <w:tab w:val="left" w:pos="851"/>
        </w:tabs>
        <w:snapToGrid w:val="0"/>
        <w:spacing w:before="0" w:beforeAutospacing="0" w:after="0" w:afterAutospacing="0" w:line="400" w:lineRule="exact"/>
        <w:ind w:left="425" w:right="-369"/>
        <w:jc w:val="both"/>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3、不可抗力事件延续120天以上，双方应通过友好协商，确定是否继续履行合同。</w:t>
      </w: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九、合同的生效及其他</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本合同经甲乙双方法定代表人或其委托人签字并加盖公章后生效</w:t>
      </w:r>
      <w:r>
        <w:rPr>
          <w:rFonts w:ascii="宋体" w:hAnsi="宋体"/>
          <w:color w:val="000000" w:themeColor="text1"/>
          <w:szCs w:val="21"/>
          <w:highlight w:val="none"/>
          <w14:textFill>
            <w14:solidFill>
              <w14:schemeClr w14:val="tx1"/>
            </w14:solidFill>
          </w14:textFill>
        </w:rPr>
        <w:t>。</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2、本协议一式</w:t>
      </w:r>
      <w:r>
        <w:rPr>
          <w:rFonts w:hint="eastAsia" w:ascii="宋体" w:hAnsi="宋体"/>
          <w:color w:val="000000" w:themeColor="text1"/>
          <w:szCs w:val="21"/>
          <w:highlight w:val="none"/>
          <w14:textFill>
            <w14:solidFill>
              <w14:schemeClr w14:val="tx1"/>
            </w14:solidFill>
          </w14:textFill>
        </w:rPr>
        <w:t>四</w:t>
      </w:r>
      <w:r>
        <w:rPr>
          <w:rFonts w:ascii="宋体" w:hAnsi="宋体"/>
          <w:color w:val="000000" w:themeColor="text1"/>
          <w:szCs w:val="21"/>
          <w:highlight w:val="none"/>
          <w14:textFill>
            <w14:solidFill>
              <w14:schemeClr w14:val="tx1"/>
            </w14:solidFill>
          </w14:textFill>
        </w:rPr>
        <w:t>份，甲、乙双方各执二份。</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本合同未尽事宜，遵照《民典法》有关条文执行。</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p>
    <w:p>
      <w:pPr>
        <w:spacing w:line="400" w:lineRule="exact"/>
        <w:ind w:firstLine="420" w:firstLineChars="200"/>
        <w:rPr>
          <w:rFonts w:hint="eastAsia"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甲方（盖章）：</w:t>
      </w:r>
      <w:r>
        <w:rPr>
          <w:rFonts w:hint="eastAsia" w:ascii="宋体" w:hAnsi="宋体"/>
          <w:color w:val="000000" w:themeColor="text1"/>
          <w:szCs w:val="21"/>
          <w:highlight w:val="none"/>
          <w14:textFill>
            <w14:solidFill>
              <w14:schemeClr w14:val="tx1"/>
            </w14:solidFill>
          </w14:textFill>
        </w:rPr>
        <w:t xml:space="preserve">                                  乙</w:t>
      </w:r>
      <w:r>
        <w:rPr>
          <w:rFonts w:ascii="宋体" w:hAnsi="宋体"/>
          <w:color w:val="000000" w:themeColor="text1"/>
          <w:szCs w:val="21"/>
          <w:highlight w:val="none"/>
          <w14:textFill>
            <w14:solidFill>
              <w14:schemeClr w14:val="tx1"/>
            </w14:solidFill>
          </w14:textFill>
        </w:rPr>
        <w:t>方（盖章）：</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                                         地址：</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法定代表人（或授权委托人）：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法定代表人（或授权委托人）：</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                                     开户银行：</w:t>
      </w:r>
    </w:p>
    <w:p>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                                          账号：</w:t>
      </w:r>
    </w:p>
    <w:p>
      <w:pPr>
        <w:jc w:val="both"/>
        <w:rPr>
          <w:color w:val="000000" w:themeColor="text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w:t>
      </w:r>
      <w:r>
        <w:rPr>
          <w:rFonts w:ascii="宋体" w:hAnsi="宋体"/>
          <w:color w:val="000000" w:themeColor="text1"/>
          <w:szCs w:val="21"/>
          <w:highlight w:val="none"/>
          <w14:textFill>
            <w14:solidFill>
              <w14:schemeClr w14:val="tx1"/>
            </w14:solidFill>
          </w14:textFill>
        </w:rPr>
        <w:t xml:space="preserve">地点：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签订日期：    年    月    日</w:t>
      </w:r>
    </w:p>
    <w:p>
      <w:pPr>
        <w:pStyle w:val="6"/>
        <w:ind w:left="0" w:leftChars="0" w:firstLine="0" w:firstLineChars="0"/>
        <w:rPr>
          <w:color w:val="000000" w:themeColor="text1"/>
          <w14:textFill>
            <w14:solidFill>
              <w14:schemeClr w14:val="tx1"/>
            </w14:solidFill>
          </w14:textFill>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rPr>
          <w:color w:val="000000" w:themeColor="text1"/>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14:textFill>
            <w14:solidFill>
              <w14:schemeClr w14:val="tx1"/>
            </w14:solidFill>
          </w14:textFill>
        </w:rPr>
      </w:pPr>
    </w:p>
    <w:p>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8"/>
      <w:r>
        <w:rPr>
          <w:rFonts w:hint="eastAsia" w:ascii="宋体" w:hAnsi="宋体" w:cs="宋体"/>
          <w:b/>
          <w:color w:val="000000" w:themeColor="text1"/>
          <w:sz w:val="36"/>
          <w:szCs w:val="20"/>
          <w14:textFill>
            <w14:solidFill>
              <w14:schemeClr w14:val="tx1"/>
            </w14:solidFill>
          </w14:textFill>
        </w:rPr>
        <w:t xml:space="preserve"> </w:t>
      </w:r>
      <w:bookmarkEnd w:id="399"/>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（1）有效的企业法人营业执照（或事业法人登记证）、其他组织（个体工商户）的营业执照或者民办非企业单位登记证书 ……………………………………（页码）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snapToGrid w:val="0"/>
        <w:spacing w:line="360" w:lineRule="auto"/>
        <w:rPr>
          <w:rFonts w:ascii="宋体" w:hAnsi="宋体" w:cs="宋体"/>
          <w:color w:val="000000" w:themeColor="text1"/>
          <w:sz w:val="24"/>
          <w14:textFill>
            <w14:solidFill>
              <w14:schemeClr w14:val="tx1"/>
            </w14:solidFill>
          </w14:textFill>
        </w:rPr>
      </w:pPr>
      <w:bookmarkStart w:id="400" w:name="_Toc1638"/>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）业务专用章使用说明函</w:t>
      </w:r>
      <w:r>
        <w:rPr>
          <w:rFonts w:hint="eastAsia" w:ascii="宋体" w:hAnsi="宋体" w:cs="宋体"/>
          <w:color w:val="000000" w:themeColor="text1"/>
          <w:sz w:val="24"/>
          <w14:textFill>
            <w14:solidFill>
              <w14:schemeClr w14:val="tx1"/>
            </w14:solidFill>
          </w14:textFill>
        </w:rPr>
        <w:t>………………………………………………（页码）</w:t>
      </w:r>
      <w:bookmarkEnd w:id="400"/>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en-US" w:eastAsia="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一、有效的企业法人营业执照（或事业法人登记证）、其他组织（个体工商户）的营业执照或者民办非企业单位登记证书 </w:t>
      </w:r>
    </w:p>
    <w:p>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w:t>
      </w:r>
      <w:r>
        <w:rPr>
          <w:rFonts w:hint="eastAsia" w:ascii="宋体" w:hAnsi="宋体" w:cs="宋体"/>
          <w:color w:val="000000" w:themeColor="text1"/>
          <w:sz w:val="24"/>
          <w:lang w:eastAsia="zh-CN"/>
          <w14:textFill>
            <w14:solidFill>
              <w14:schemeClr w14:val="tx1"/>
            </w14:solidFill>
          </w14:textFill>
        </w:rPr>
        <w:t>重大税收违法失信主体</w:t>
      </w:r>
      <w:r>
        <w:rPr>
          <w:rFonts w:hint="eastAsia" w:ascii="宋体" w:hAnsi="宋体" w:cs="宋体"/>
          <w:color w:val="000000" w:themeColor="text1"/>
          <w:sz w:val="24"/>
          <w14:textFill>
            <w14:solidFill>
              <w14:schemeClr w14:val="tx1"/>
            </w14:solidFill>
          </w14:textFill>
        </w:rPr>
        <w:t>、政府采购严重违法失信行为记录名单。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投标人名称(电子签章)：</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2"/>
        <w:ind w:firstLine="420"/>
        <w:rPr>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.专门面向中小企业，货物全部由符合政策要求的中小企业（或小微企业）制造的，提供相应的中小企业声明函（附件5）。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widowControl/>
        <w:spacing w:line="360" w:lineRule="auto"/>
        <w:jc w:val="cente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widowControl/>
        <w:spacing w:line="360" w:lineRule="auto"/>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五、业务专用章使用说明函</w:t>
      </w:r>
    </w:p>
    <w:p>
      <w:pPr>
        <w:pStyle w:val="62"/>
        <w:ind w:left="840" w:leftChars="4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[如适用，</w:t>
      </w:r>
      <w:r>
        <w:rPr>
          <w:rFonts w:hint="eastAsia" w:cs="宋体"/>
          <w:b/>
          <w:color w:val="000000" w:themeColor="text1"/>
          <w:sz w:val="24"/>
          <w14:textFill>
            <w14:solidFill>
              <w14:schemeClr w14:val="tx1"/>
            </w14:solidFill>
          </w14:textFill>
        </w:rPr>
        <w:t>提供业务专用章使用说明函（附件2）]</w:t>
      </w:r>
    </w:p>
    <w:p>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widowControl/>
        <w:adjustRightInd/>
        <w:jc w:val="left"/>
        <w:rPr>
          <w:rFonts w:ascii="宋体" w:hAnsi="宋体" w:cs="宋体"/>
          <w:b/>
          <w:color w:val="000000" w:themeColor="text1"/>
          <w:kern w:val="0"/>
          <w:sz w:val="36"/>
          <w:szCs w:val="36"/>
          <w14:textFill>
            <w14:solidFill>
              <w14:schemeClr w14:val="tx1"/>
            </w14:solidFill>
          </w14:textFill>
        </w:rPr>
      </w:pPr>
    </w:p>
    <w:p>
      <w:pPr>
        <w:spacing w:line="360" w:lineRule="auto"/>
        <w:ind w:right="420" w:firstLine="3253" w:firstLineChars="9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outlineLvl w:val="1"/>
        <w:rPr>
          <w:rFonts w:ascii="宋体" w:hAnsi="宋体" w:cs="宋体"/>
          <w:color w:val="000000" w:themeColor="text1"/>
          <w:sz w:val="24"/>
          <w14:textFill>
            <w14:solidFill>
              <w14:schemeClr w14:val="tx1"/>
            </w14:solidFill>
          </w14:textFill>
        </w:rPr>
      </w:pPr>
      <w:bookmarkStart w:id="401" w:name="_Toc8519"/>
      <w:r>
        <w:rPr>
          <w:rFonts w:hint="eastAsia" w:ascii="宋体" w:hAnsi="宋体" w:cs="宋体"/>
          <w:color w:val="000000" w:themeColor="text1"/>
          <w:sz w:val="24"/>
          <w14:textFill>
            <w14:solidFill>
              <w14:schemeClr w14:val="tx1"/>
            </w14:solidFill>
          </w14:textFill>
        </w:rPr>
        <w:t>（1）投标函………………………………………………………………（页码）</w:t>
      </w:r>
      <w:bookmarkEnd w:id="401"/>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（2）授权委托书或法定代表人（单位负责人、自然人本人）身份证明…（页码）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（3）分包意向协议</w:t>
      </w:r>
      <w:r>
        <w:rPr>
          <w:rFonts w:hint="eastAsia" w:ascii="宋体" w:hAnsi="宋体" w:cs="宋体"/>
          <w:snapToGrid w:val="0"/>
          <w:color w:val="000000" w:themeColor="text1"/>
          <w:kern w:val="28"/>
          <w:sz w:val="24"/>
          <w14:textFill>
            <w14:solidFill>
              <w14:schemeClr w14:val="tx1"/>
            </w14:solidFill>
          </w14:textFill>
        </w:rPr>
        <w:t xml:space="preserve">（本项目不适用) </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 ………………………………………………………（页码）</w:t>
      </w:r>
    </w:p>
    <w:p>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 xml:space="preserve"> …………………………………（页码）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（6）采购要求偏离表 ………………………………………………………（页码）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（7）商务</w:t>
      </w:r>
      <w:r>
        <w:rPr>
          <w:rFonts w:hint="eastAsia" w:ascii="宋体" w:hAnsi="宋体" w:cs="宋体"/>
          <w:color w:val="000000" w:themeColor="text1"/>
          <w:sz w:val="24"/>
          <w:lang w:val="en-US" w:eastAsia="zh-CN"/>
          <w14:textFill>
            <w14:solidFill>
              <w14:schemeClr w14:val="tx1"/>
            </w14:solidFill>
          </w14:textFill>
        </w:rPr>
        <w:t>要求</w:t>
      </w:r>
      <w:r>
        <w:rPr>
          <w:rFonts w:hint="eastAsia" w:ascii="宋体" w:hAnsi="宋体" w:cs="宋体"/>
          <w:color w:val="000000" w:themeColor="text1"/>
          <w:sz w:val="24"/>
          <w14:textFill>
            <w14:solidFill>
              <w14:schemeClr w14:val="tx1"/>
            </w14:solidFill>
          </w14:textFill>
        </w:rPr>
        <w:t>偏离表 ………………………………………………………（页码）</w:t>
      </w:r>
    </w:p>
    <w:p>
      <w:pPr>
        <w:pStyle w:val="2"/>
        <w:rPr>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w:t>
      </w:r>
      <w:r>
        <w:rPr>
          <w:rFonts w:hint="eastAsia" w:hAnsi="宋体" w:cs="宋体"/>
          <w:color w:val="000000" w:themeColor="text1"/>
          <w:szCs w:val="24"/>
          <w:lang w:val="en-US"/>
          <w14:textFill>
            <w14:solidFill>
              <w14:schemeClr w14:val="tx1"/>
            </w14:solidFill>
          </w14:textFill>
        </w:rPr>
        <w:t>8）</w:t>
      </w:r>
      <w:r>
        <w:rPr>
          <w:rFonts w:hint="eastAsia" w:hAnsi="宋体" w:cs="宋体"/>
          <w:color w:val="000000" w:themeColor="text1"/>
          <w:szCs w:val="24"/>
          <w14:textFill>
            <w14:solidFill>
              <w14:schemeClr w14:val="tx1"/>
            </w14:solidFill>
          </w14:textFill>
        </w:rPr>
        <w:t>评</w:t>
      </w:r>
      <w:r>
        <w:rPr>
          <w:rFonts w:hint="eastAsia" w:hAnsi="宋体" w:cs="宋体"/>
          <w:color w:val="000000" w:themeColor="text1"/>
          <w:szCs w:val="24"/>
          <w:lang w:val="en-US"/>
          <w14:textFill>
            <w14:solidFill>
              <w14:schemeClr w14:val="tx1"/>
            </w14:solidFill>
          </w14:textFill>
        </w:rPr>
        <w:t>标标准相应的商务技术资料</w:t>
      </w:r>
      <w:r>
        <w:rPr>
          <w:rFonts w:hint="eastAsia" w:hAnsi="宋体" w:cs="宋体"/>
          <w:color w:val="000000" w:themeColor="text1"/>
          <w:szCs w:val="24"/>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rPr>
          <w:rFonts w:ascii="宋体" w:hAnsi="宋体" w:cs="宋体"/>
          <w:b/>
          <w:color w:val="000000" w:themeColor="text1"/>
          <w:kern w:val="0"/>
          <w:sz w:val="32"/>
          <w:szCs w:val="32"/>
          <w:lang w:val="zh-CN"/>
          <w14:textFill>
            <w14:solidFill>
              <w14:schemeClr w14:val="tx1"/>
            </w14:solidFill>
          </w14:textFill>
        </w:rPr>
      </w:pPr>
    </w:p>
    <w:p>
      <w:pPr>
        <w:numPr>
          <w:ilvl w:val="0"/>
          <w:numId w:val="4"/>
        </w:numPr>
        <w:jc w:val="center"/>
        <w:rPr>
          <w:b/>
          <w:bCs/>
          <w:color w:val="000000" w:themeColor="text1"/>
          <w:sz w:val="32"/>
          <w:szCs w:val="32"/>
          <w14:textFill>
            <w14:solidFill>
              <w14:schemeClr w14:val="tx1"/>
            </w14:solidFill>
          </w14:textFill>
        </w:rPr>
      </w:pPr>
      <w:bookmarkStart w:id="402" w:name="_Toc2704"/>
      <w:r>
        <w:rPr>
          <w:rFonts w:hint="eastAsia"/>
          <w:b/>
          <w:bCs/>
          <w:color w:val="000000" w:themeColor="text1"/>
          <w:sz w:val="32"/>
          <w:szCs w:val="32"/>
          <w14:textFill>
            <w14:solidFill>
              <w14:schemeClr w14:val="tx1"/>
            </w14:solidFill>
          </w14:textFill>
        </w:rPr>
        <w:t>投标函</w:t>
      </w:r>
      <w:bookmarkEnd w:id="402"/>
    </w:p>
    <w:p>
      <w:pPr>
        <w:pStyle w:val="62"/>
        <w:ind w:left="840" w:leftChars="400" w:firstLine="0" w:firstLineChars="0"/>
        <w:rPr>
          <w:color w:val="000000" w:themeColor="text1"/>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2.1.2承诺函；</w:t>
      </w:r>
    </w:p>
    <w:p>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业务专用章使用说明函（如适用）。</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（本项目不适用）</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2.2.8评标标准相应的商务技术资料；</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pStyle w:val="62"/>
        <w:rPr>
          <w:color w:val="000000" w:themeColor="text1"/>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投标人名称（电子签章）：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62"/>
        <w:rPr>
          <w:rFonts w:ascii="宋体" w:hAnsi="宋体" w:cs="宋体"/>
          <w:b/>
          <w:color w:val="000000" w:themeColor="text1"/>
          <w:kern w:val="0"/>
          <w:sz w:val="32"/>
          <w:szCs w:val="32"/>
          <w14:textFill>
            <w14:solidFill>
              <w14:schemeClr w14:val="tx1"/>
            </w14:solidFill>
          </w14:textFill>
        </w:rPr>
      </w:pPr>
    </w:p>
    <w:p>
      <w:pPr>
        <w:rPr>
          <w:rFonts w:ascii="宋体" w:hAnsi="宋体" w:cs="宋体"/>
          <w:b/>
          <w:color w:val="000000" w:themeColor="text1"/>
          <w:kern w:val="0"/>
          <w:sz w:val="32"/>
          <w:szCs w:val="32"/>
          <w14:textFill>
            <w14:solidFill>
              <w14:schemeClr w14:val="tx1"/>
            </w14:solidFill>
          </w14:textFill>
        </w:rPr>
      </w:pPr>
    </w:p>
    <w:p>
      <w:pPr>
        <w:pStyle w:val="62"/>
        <w:rPr>
          <w:color w:val="000000" w:themeColor="text1"/>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p>
    <w:p>
      <w:pPr>
        <w:jc w:val="center"/>
        <w:rPr>
          <w:rFonts w:hint="eastAsia" w:ascii="宋体" w:hAnsi="宋体" w:cs="宋体"/>
          <w:b/>
          <w:color w:val="000000" w:themeColor="text1"/>
          <w:kern w:val="0"/>
          <w:sz w:val="32"/>
          <w:szCs w:val="32"/>
          <w:lang w:val="zh-CN"/>
          <w14:textFill>
            <w14:solidFill>
              <w14:schemeClr w14:val="tx1"/>
            </w14:solidFill>
          </w14:textFill>
        </w:rPr>
      </w:pP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rPr>
          <w:rFonts w:hint="eastAsia" w:ascii="宋体" w:hAnsi="宋体" w:cs="宋体"/>
          <w:color w:val="000000" w:themeColor="text1"/>
          <w:kern w:val="0"/>
          <w:sz w:val="24"/>
          <w:lang w:val="zh-CN"/>
          <w14:textFill>
            <w14:solidFill>
              <w14:schemeClr w14:val="tx1"/>
            </w14:solidFill>
          </w14:textFill>
        </w:rPr>
      </w:pPr>
    </w:p>
    <w:p>
      <w:pPr>
        <w:snapToGrid w:val="0"/>
        <w:spacing w:line="360" w:lineRule="auto"/>
        <w:ind w:firstLine="5760" w:firstLineChars="24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62"/>
        <w:rPr>
          <w:color w:val="000000" w:themeColor="text1"/>
          <w:lang w:val="zh-CN"/>
          <w14:textFill>
            <w14:solidFill>
              <w14:schemeClr w14:val="tx1"/>
            </w14:solidFill>
          </w14:textFill>
        </w:rPr>
      </w:pPr>
    </w:p>
    <w:p>
      <w:pPr>
        <w:pStyle w:val="62"/>
        <w:rPr>
          <w:rFonts w:ascii="宋体" w:hAnsi="宋体" w:cs="宋体"/>
          <w:color w:val="000000" w:themeColor="text1"/>
          <w:kern w:val="0"/>
          <w:sz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pStyle w:val="6"/>
        <w:rPr>
          <w:color w:val="000000" w:themeColor="text1"/>
          <w:lang w:val="zh-CN"/>
          <w14:textFill>
            <w14:solidFill>
              <w14:schemeClr w14:val="tx1"/>
            </w14:solidFill>
          </w14:textFill>
        </w:rPr>
        <w:sectPr>
          <w:type w:val="continuous"/>
          <w:pgSz w:w="11906" w:h="16838"/>
          <w:pgMar w:top="1276" w:right="1418" w:bottom="1247" w:left="1418" w:header="851" w:footer="992" w:gutter="0"/>
          <w:cols w:space="720" w:num="1"/>
          <w:titlePg/>
          <w:docGrid w:linePitch="312" w:charSpace="0"/>
        </w:sectPr>
      </w:pPr>
    </w:p>
    <w:p>
      <w:pPr>
        <w:rPr>
          <w:color w:val="000000" w:themeColor="text1"/>
          <w:lang w:val="zh-CN"/>
          <w14:textFill>
            <w14:solidFill>
              <w14:schemeClr w14:val="tx1"/>
            </w14:solidFill>
          </w14:textFill>
        </w:rPr>
      </w:pPr>
    </w:p>
    <w:p>
      <w:pPr>
        <w:pStyle w:val="62"/>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49"/>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cs="宋体"/>
          <w:b/>
          <w:color w:val="000000" w:themeColor="text1"/>
          <w:kern w:val="0"/>
          <w:sz w:val="32"/>
          <w:szCs w:val="32"/>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三、分包意向协议（本项目不适用）</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03"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eastAsia="zh-CN"/>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03"/>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6"/>
        <w:rPr>
          <w:color w:val="000000" w:themeColor="text1"/>
          <w:lang w:val="en-US"/>
          <w14:textFill>
            <w14:solidFill>
              <w14:schemeClr w14:val="tx1"/>
            </w14:solidFill>
          </w14:textFill>
        </w:rPr>
      </w:pPr>
    </w:p>
    <w:p>
      <w:pPr>
        <w:rPr>
          <w:color w:val="000000" w:themeColor="text1"/>
          <w14:textFill>
            <w14:solidFill>
              <w14:schemeClr w14:val="tx1"/>
            </w14:solidFill>
          </w14:textFill>
        </w:rPr>
      </w:pPr>
    </w:p>
    <w:p>
      <w:pPr>
        <w:pStyle w:val="6"/>
        <w:ind w:left="0" w:firstLine="0"/>
        <w:rPr>
          <w:color w:val="000000" w:themeColor="text1"/>
          <w:lang w:val="en-US"/>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ind w:firstLine="1911" w:firstLineChars="595"/>
        <w:rPr>
          <w:rFonts w:hint="eastAsia" w:ascii="宋体" w:hAnsi="宋体" w:cs="宋体"/>
          <w:b/>
          <w:color w:val="000000" w:themeColor="text1"/>
          <w:kern w:val="0"/>
          <w:sz w:val="32"/>
          <w:szCs w:val="32"/>
          <w14:textFill>
            <w14:solidFill>
              <w14:schemeClr w14:val="tx1"/>
            </w14:solidFill>
          </w14:textFill>
        </w:rPr>
      </w:pPr>
    </w:p>
    <w:p>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六、采购要求偏离表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76"/>
        <w:gridCol w:w="32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50"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1"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76" w:type="dxa"/>
          </w:tcPr>
          <w:p>
            <w:pPr>
              <w:jc w:val="center"/>
              <w:rPr>
                <w:rFonts w:ascii="宋体" w:hAnsi="宋体" w:cs="宋体"/>
                <w:b/>
                <w:color w:val="000000" w:themeColor="text1"/>
                <w:kern w:val="0"/>
                <w:sz w:val="32"/>
                <w:szCs w:val="32"/>
                <w14:textFill>
                  <w14:solidFill>
                    <w14:schemeClr w14:val="tx1"/>
                  </w14:solidFill>
                </w14:textFill>
              </w:rPr>
            </w:pPr>
          </w:p>
        </w:tc>
        <w:tc>
          <w:tcPr>
            <w:tcW w:w="3250" w:type="dxa"/>
          </w:tcPr>
          <w:p>
            <w:pPr>
              <w:jc w:val="center"/>
              <w:rPr>
                <w:rFonts w:ascii="宋体" w:hAnsi="宋体" w:cs="宋体"/>
                <w:b/>
                <w:color w:val="000000" w:themeColor="text1"/>
                <w:kern w:val="0"/>
                <w:sz w:val="32"/>
                <w:szCs w:val="32"/>
                <w14:textFill>
                  <w14:solidFill>
                    <w14:schemeClr w14:val="tx1"/>
                  </w14:solidFill>
                </w14:textFill>
              </w:rPr>
            </w:pPr>
          </w:p>
        </w:tc>
        <w:tc>
          <w:tcPr>
            <w:tcW w:w="1421"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76" w:type="dxa"/>
          </w:tcPr>
          <w:p>
            <w:pPr>
              <w:jc w:val="center"/>
              <w:rPr>
                <w:rFonts w:ascii="宋体" w:hAnsi="宋体" w:cs="宋体"/>
                <w:b/>
                <w:color w:val="000000" w:themeColor="text1"/>
                <w:kern w:val="0"/>
                <w:sz w:val="32"/>
                <w:szCs w:val="32"/>
                <w14:textFill>
                  <w14:solidFill>
                    <w14:schemeClr w14:val="tx1"/>
                  </w14:solidFill>
                </w14:textFill>
              </w:rPr>
            </w:pPr>
          </w:p>
        </w:tc>
        <w:tc>
          <w:tcPr>
            <w:tcW w:w="3250" w:type="dxa"/>
          </w:tcPr>
          <w:p>
            <w:pPr>
              <w:jc w:val="center"/>
              <w:rPr>
                <w:rFonts w:ascii="宋体" w:hAnsi="宋体" w:cs="宋体"/>
                <w:b/>
                <w:color w:val="000000" w:themeColor="text1"/>
                <w:kern w:val="0"/>
                <w:sz w:val="32"/>
                <w:szCs w:val="32"/>
                <w14:textFill>
                  <w14:solidFill>
                    <w14:schemeClr w14:val="tx1"/>
                  </w14:solidFill>
                </w14:textFill>
              </w:rPr>
            </w:pPr>
          </w:p>
        </w:tc>
        <w:tc>
          <w:tcPr>
            <w:tcW w:w="1421"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76" w:type="dxa"/>
          </w:tcPr>
          <w:p>
            <w:pPr>
              <w:jc w:val="center"/>
              <w:rPr>
                <w:rFonts w:ascii="宋体" w:hAnsi="宋体" w:cs="宋体"/>
                <w:b/>
                <w:color w:val="000000" w:themeColor="text1"/>
                <w:kern w:val="0"/>
                <w:sz w:val="32"/>
                <w:szCs w:val="32"/>
                <w14:textFill>
                  <w14:solidFill>
                    <w14:schemeClr w14:val="tx1"/>
                  </w14:solidFill>
                </w14:textFill>
              </w:rPr>
            </w:pPr>
          </w:p>
        </w:tc>
        <w:tc>
          <w:tcPr>
            <w:tcW w:w="3250" w:type="dxa"/>
          </w:tcPr>
          <w:p>
            <w:pPr>
              <w:jc w:val="center"/>
              <w:rPr>
                <w:rFonts w:ascii="宋体" w:hAnsi="宋体" w:cs="宋体"/>
                <w:b/>
                <w:color w:val="000000" w:themeColor="text1"/>
                <w:kern w:val="0"/>
                <w:sz w:val="32"/>
                <w:szCs w:val="32"/>
                <w14:textFill>
                  <w14:solidFill>
                    <w14:schemeClr w14:val="tx1"/>
                  </w14:solidFill>
                </w14:textFill>
              </w:rPr>
            </w:pPr>
          </w:p>
        </w:tc>
        <w:tc>
          <w:tcPr>
            <w:tcW w:w="1421" w:type="dxa"/>
          </w:tcPr>
          <w:p>
            <w:pPr>
              <w:jc w:val="center"/>
              <w:rPr>
                <w:rFonts w:ascii="宋体" w:hAnsi="宋体" w:cs="宋体"/>
                <w:b/>
                <w:color w:val="000000" w:themeColor="text1"/>
                <w:kern w:val="0"/>
                <w:sz w:val="32"/>
                <w:szCs w:val="32"/>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76"/>
        <w:gridCol w:w="32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50"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1"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76" w:type="dxa"/>
          </w:tcPr>
          <w:p>
            <w:pPr>
              <w:jc w:val="center"/>
              <w:rPr>
                <w:rFonts w:ascii="宋体" w:hAnsi="宋体" w:cs="宋体"/>
                <w:b/>
                <w:color w:val="000000" w:themeColor="text1"/>
                <w:kern w:val="0"/>
                <w:sz w:val="32"/>
                <w:szCs w:val="32"/>
                <w14:textFill>
                  <w14:solidFill>
                    <w14:schemeClr w14:val="tx1"/>
                  </w14:solidFill>
                </w14:textFill>
              </w:rPr>
            </w:pPr>
          </w:p>
        </w:tc>
        <w:tc>
          <w:tcPr>
            <w:tcW w:w="3250" w:type="dxa"/>
          </w:tcPr>
          <w:p>
            <w:pPr>
              <w:jc w:val="center"/>
              <w:rPr>
                <w:rFonts w:ascii="宋体" w:hAnsi="宋体" w:cs="宋体"/>
                <w:b/>
                <w:color w:val="000000" w:themeColor="text1"/>
                <w:kern w:val="0"/>
                <w:sz w:val="32"/>
                <w:szCs w:val="32"/>
                <w14:textFill>
                  <w14:solidFill>
                    <w14:schemeClr w14:val="tx1"/>
                  </w14:solidFill>
                </w14:textFill>
              </w:rPr>
            </w:pPr>
          </w:p>
        </w:tc>
        <w:tc>
          <w:tcPr>
            <w:tcW w:w="1421"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76" w:type="dxa"/>
          </w:tcPr>
          <w:p>
            <w:pPr>
              <w:jc w:val="center"/>
              <w:rPr>
                <w:rFonts w:ascii="宋体" w:hAnsi="宋体" w:cs="宋体"/>
                <w:b/>
                <w:color w:val="000000" w:themeColor="text1"/>
                <w:kern w:val="0"/>
                <w:sz w:val="32"/>
                <w:szCs w:val="32"/>
                <w14:textFill>
                  <w14:solidFill>
                    <w14:schemeClr w14:val="tx1"/>
                  </w14:solidFill>
                </w14:textFill>
              </w:rPr>
            </w:pPr>
          </w:p>
        </w:tc>
        <w:tc>
          <w:tcPr>
            <w:tcW w:w="3250" w:type="dxa"/>
          </w:tcPr>
          <w:p>
            <w:pPr>
              <w:jc w:val="center"/>
              <w:rPr>
                <w:rFonts w:ascii="宋体" w:hAnsi="宋体" w:cs="宋体"/>
                <w:b/>
                <w:color w:val="000000" w:themeColor="text1"/>
                <w:kern w:val="0"/>
                <w:sz w:val="32"/>
                <w:szCs w:val="32"/>
                <w14:textFill>
                  <w14:solidFill>
                    <w14:schemeClr w14:val="tx1"/>
                  </w14:solidFill>
                </w14:textFill>
              </w:rPr>
            </w:pPr>
          </w:p>
        </w:tc>
        <w:tc>
          <w:tcPr>
            <w:tcW w:w="1421"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76" w:type="dxa"/>
          </w:tcPr>
          <w:p>
            <w:pPr>
              <w:jc w:val="center"/>
              <w:rPr>
                <w:rFonts w:ascii="宋体" w:hAnsi="宋体" w:cs="宋体"/>
                <w:b/>
                <w:color w:val="000000" w:themeColor="text1"/>
                <w:kern w:val="0"/>
                <w:sz w:val="32"/>
                <w:szCs w:val="32"/>
                <w14:textFill>
                  <w14:solidFill>
                    <w14:schemeClr w14:val="tx1"/>
                  </w14:solidFill>
                </w14:textFill>
              </w:rPr>
            </w:pPr>
          </w:p>
        </w:tc>
        <w:tc>
          <w:tcPr>
            <w:tcW w:w="3250" w:type="dxa"/>
          </w:tcPr>
          <w:p>
            <w:pPr>
              <w:jc w:val="center"/>
              <w:rPr>
                <w:rFonts w:ascii="宋体" w:hAnsi="宋体" w:cs="宋体"/>
                <w:b/>
                <w:color w:val="000000" w:themeColor="text1"/>
                <w:kern w:val="0"/>
                <w:sz w:val="32"/>
                <w:szCs w:val="32"/>
                <w14:textFill>
                  <w14:solidFill>
                    <w14:schemeClr w14:val="tx1"/>
                  </w14:solidFill>
                </w14:textFill>
              </w:rPr>
            </w:pPr>
          </w:p>
        </w:tc>
        <w:tc>
          <w:tcPr>
            <w:tcW w:w="1421" w:type="dxa"/>
          </w:tcPr>
          <w:p>
            <w:pPr>
              <w:jc w:val="center"/>
              <w:rPr>
                <w:rFonts w:ascii="宋体" w:hAnsi="宋体" w:cs="宋体"/>
                <w:b/>
                <w:color w:val="000000" w:themeColor="text1"/>
                <w:kern w:val="0"/>
                <w:sz w:val="32"/>
                <w:szCs w:val="32"/>
                <w14:textFill>
                  <w14:solidFill>
                    <w14:schemeClr w14:val="tx1"/>
                  </w14:solidFill>
                </w14:textFill>
              </w:rPr>
            </w:pPr>
          </w:p>
        </w:tc>
      </w:tr>
    </w:tbl>
    <w:p>
      <w:pPr>
        <w:jc w:val="center"/>
        <w:rPr>
          <w:rFonts w:ascii="宋体" w:hAnsi="宋体" w:cs="宋体"/>
          <w:b/>
          <w:color w:val="000000" w:themeColor="text1"/>
          <w:kern w:val="0"/>
          <w:sz w:val="32"/>
          <w:szCs w:val="32"/>
          <w14:textFill>
            <w14:solidFill>
              <w14:schemeClr w14:val="tx1"/>
            </w14:solidFill>
          </w14:textFill>
        </w:rPr>
      </w:pPr>
    </w:p>
    <w:p>
      <w:pPr>
        <w:snapToGrid w:val="0"/>
        <w:spacing w:line="288" w:lineRule="auto"/>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『编制说明』：</w:t>
      </w:r>
    </w:p>
    <w:p>
      <w:pPr>
        <w:numPr>
          <w:ilvl w:val="0"/>
          <w:numId w:val="5"/>
        </w:numPr>
        <w:snapToGrid w:val="0"/>
        <w:spacing w:line="288" w:lineRule="auto"/>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投标人需按“第三部分  采购需求”中“一、商务要求表”和“二、采购要求”一一对应,在本表中如实填写具体响应(有技术参数的提供响应的技术参数)，未按要求填写的，有可能作负偏离处理。</w:t>
      </w:r>
    </w:p>
    <w:p>
      <w:pPr>
        <w:numPr>
          <w:ilvl w:val="0"/>
          <w:numId w:val="5"/>
        </w:numPr>
        <w:snapToGrid w:val="0"/>
        <w:spacing w:line="288" w:lineRule="auto"/>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pPr>
        <w:widowControl/>
        <w:jc w:val="left"/>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pPr>
        <w:pStyle w:val="62"/>
        <w:ind w:firstLine="420"/>
        <w:rPr>
          <w:color w:val="000000" w:themeColor="text1"/>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pPr>
        <w:pStyle w:val="2"/>
        <w:rPr>
          <w:color w:val="000000" w:themeColor="text1"/>
          <w:lang w:val="en-US"/>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widowControl/>
        <w:adjustRightInd/>
        <w:jc w:val="left"/>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pPr>
        <w:numPr>
          <w:ilvl w:val="0"/>
          <w:numId w:val="6"/>
        </w:numPr>
        <w:snapToGrid w:val="0"/>
        <w:spacing w:line="360" w:lineRule="auto"/>
        <w:rPr>
          <w:rFonts w:hint="eastAsia"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物流（及冷链）实施方案</w:t>
      </w:r>
    </w:p>
    <w:p>
      <w:pPr>
        <w:numPr>
          <w:ilvl w:val="0"/>
          <w:numId w:val="6"/>
        </w:num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实验室质量控制</w:t>
      </w:r>
    </w:p>
    <w:p>
      <w:pPr>
        <w:numPr>
          <w:ilvl w:val="0"/>
          <w:numId w:val="6"/>
        </w:num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检验及报告实施方案</w:t>
      </w:r>
    </w:p>
    <w:p>
      <w:pPr>
        <w:numPr>
          <w:ilvl w:val="0"/>
          <w:numId w:val="6"/>
        </w:num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其它服务方案</w:t>
      </w:r>
    </w:p>
    <w:p>
      <w:pPr>
        <w:numPr>
          <w:ilvl w:val="0"/>
          <w:numId w:val="6"/>
        </w:num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应急方案</w:t>
      </w:r>
    </w:p>
    <w:p>
      <w:pPr>
        <w:numPr>
          <w:ilvl w:val="0"/>
          <w:numId w:val="6"/>
        </w:num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信息接口实施方案</w:t>
      </w:r>
    </w:p>
    <w:p>
      <w:pPr>
        <w:numPr>
          <w:ilvl w:val="0"/>
          <w:numId w:val="6"/>
        </w:num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隐私保护</w:t>
      </w:r>
    </w:p>
    <w:p>
      <w:pPr>
        <w:numPr>
          <w:ilvl w:val="0"/>
          <w:numId w:val="6"/>
        </w:num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危急值报告</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）业绩一览表（按评分标准要求提供</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格式见附件</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）评分标准中要求提供的其他资料</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）投标人认为需要提供的其他资料；</w:t>
      </w:r>
    </w:p>
    <w:p>
      <w:pPr>
        <w:pStyle w:val="6"/>
        <w:rPr>
          <w:color w:val="000000" w:themeColor="text1"/>
          <w14:textFill>
            <w14:solidFill>
              <w14:schemeClr w14:val="tx1"/>
            </w14:solidFill>
          </w14:textFill>
        </w:rPr>
      </w:pPr>
    </w:p>
    <w:p>
      <w:pPr>
        <w:pStyle w:val="6"/>
        <w:rPr>
          <w:rFonts w:hint="eastAsia"/>
          <w:color w:val="000000" w:themeColor="text1"/>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ind w:firstLine="3373" w:firstLineChars="1400"/>
        <w:jc w:val="both"/>
        <w:rPr>
          <w:rFonts w:hint="eastAsia" w:ascii="宋体" w:hAnsi="宋体" w:cs="宋体"/>
          <w:b/>
          <w:bCs/>
          <w:color w:val="000000" w:themeColor="text1"/>
          <w:sz w:val="24"/>
          <w14:textFill>
            <w14:solidFill>
              <w14:schemeClr w14:val="tx1"/>
            </w14:solidFill>
          </w14:textFill>
        </w:rPr>
      </w:pPr>
    </w:p>
    <w:p>
      <w:pPr>
        <w:snapToGrid w:val="0"/>
        <w:spacing w:line="360" w:lineRule="auto"/>
        <w:ind w:firstLine="3373" w:firstLineChars="1400"/>
        <w:jc w:val="both"/>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9</w:t>
      </w:r>
      <w:r>
        <w:rPr>
          <w:rFonts w:hint="eastAsia" w:ascii="宋体" w:hAnsi="宋体" w:cs="宋体"/>
          <w:b/>
          <w:bCs/>
          <w:color w:val="000000" w:themeColor="text1"/>
          <w:sz w:val="24"/>
          <w14:textFill>
            <w14:solidFill>
              <w14:schemeClr w14:val="tx1"/>
            </w14:solidFill>
          </w14:textFill>
        </w:rPr>
        <w:t>）业绩一览表</w:t>
      </w:r>
    </w:p>
    <w:tbl>
      <w:tblPr>
        <w:tblStyle w:val="63"/>
        <w:tblW w:w="9704" w:type="dxa"/>
        <w:tblInd w:w="-3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
        <w:gridCol w:w="1240"/>
        <w:gridCol w:w="1381"/>
        <w:gridCol w:w="1544"/>
        <w:gridCol w:w="1544"/>
        <w:gridCol w:w="1555"/>
        <w:gridCol w:w="14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381"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服务内容</w:t>
            </w: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w:t>
            </w:r>
          </w:p>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0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kern w:val="0"/>
                <w:sz w:val="24"/>
                <w14:textFill>
                  <w14:solidFill>
                    <w14:schemeClr w14:val="tx1"/>
                  </w14:solidFill>
                </w14:textFill>
              </w:rPr>
            </w:pPr>
          </w:p>
        </w:tc>
      </w:tr>
    </w:tbl>
    <w:p>
      <w:pPr>
        <w:spacing w:line="360" w:lineRule="auto"/>
        <w:jc w:val="left"/>
        <w:rPr>
          <w:rFonts w:ascii="宋体" w:hAnsi="宋体" w:cs="宋体"/>
          <w:color w:val="000000" w:themeColor="text1"/>
          <w:kern w:val="0"/>
          <w:sz w:val="24"/>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投标人名称(电子签章)</w:t>
      </w:r>
      <w:r>
        <w:rPr>
          <w:rFonts w:hint="eastAsia" w:ascii="宋体" w:hAnsi="宋体" w:cs="宋体"/>
          <w:color w:val="000000" w:themeColor="text1"/>
          <w:kern w:val="0"/>
          <w:sz w:val="24"/>
          <w14:textFill>
            <w14:solidFill>
              <w14:schemeClr w14:val="tx1"/>
            </w14:solidFill>
          </w14:textFill>
        </w:rPr>
        <w:t xml:space="preserve">：         </w:t>
      </w:r>
    </w:p>
    <w:p>
      <w:pPr>
        <w:pStyle w:val="27"/>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p>
    <w:p>
      <w:pPr>
        <w:pStyle w:val="27"/>
        <w:ind w:firstLine="0" w:firstLineChars="0"/>
        <w:rPr>
          <w:color w:val="000000" w:themeColor="text1"/>
          <w14:textFill>
            <w14:solidFill>
              <w14:schemeClr w14:val="tx1"/>
            </w14:solidFill>
          </w14:textFill>
        </w:rPr>
      </w:pPr>
    </w:p>
    <w:p>
      <w:pPr>
        <w:jc w:val="left"/>
        <w:rPr>
          <w:rFonts w:ascii="宋体" w:hAnsi="宋体" w:cs="宋体"/>
          <w:b/>
          <w:color w:val="000000" w:themeColor="text1"/>
          <w:kern w:val="0"/>
          <w:sz w:val="32"/>
          <w:szCs w:val="32"/>
          <w14:textFill>
            <w14:solidFill>
              <w14:schemeClr w14:val="tx1"/>
            </w14:solidFill>
          </w14:textFill>
        </w:rPr>
      </w:pPr>
    </w:p>
    <w:p>
      <w:pPr>
        <w:snapToGrid w:val="0"/>
        <w:spacing w:line="360" w:lineRule="auto"/>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10</w:t>
      </w:r>
      <w:r>
        <w:rPr>
          <w:rFonts w:hint="eastAsia" w:ascii="宋体" w:hAnsi="宋体" w:eastAsia="宋体" w:cs="宋体"/>
          <w:b/>
          <w:bCs/>
          <w:color w:val="000000" w:themeColor="text1"/>
          <w:sz w:val="24"/>
          <w14:textFill>
            <w14:solidFill>
              <w14:schemeClr w14:val="tx1"/>
            </w14:solidFill>
          </w14:textFill>
        </w:rPr>
        <w:t>）评分标准中要求提供的其他资料</w:t>
      </w:r>
    </w:p>
    <w:p>
      <w:pPr>
        <w:snapToGrid w:val="0"/>
        <w:spacing w:line="360" w:lineRule="auto"/>
        <w:jc w:val="both"/>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11</w:t>
      </w:r>
      <w:r>
        <w:rPr>
          <w:rFonts w:hint="eastAsia" w:ascii="宋体" w:hAnsi="宋体" w:eastAsia="宋体" w:cs="宋体"/>
          <w:b/>
          <w:bCs/>
          <w:color w:val="000000" w:themeColor="text1"/>
          <w:sz w:val="24"/>
          <w14:textFill>
            <w14:solidFill>
              <w14:schemeClr w14:val="tx1"/>
            </w14:solidFill>
          </w14:textFill>
        </w:rPr>
        <w:t>）投标人认为需要提供的其他资料。</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w:t>
      </w:r>
    </w:p>
    <w:tbl>
      <w:tblPr>
        <w:tblStyle w:val="64"/>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487"/>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93" w:type="dxa"/>
            <w:vAlign w:val="center"/>
          </w:tcPr>
          <w:p>
            <w:pPr>
              <w:pStyle w:val="62"/>
              <w:ind w:left="0" w:leftChars="0" w:firstLine="0" w:firstLineChars="0"/>
              <w:jc w:val="center"/>
              <w:rPr>
                <w:rFonts w:hint="eastAsia" w:ascii="宋体" w:hAnsi="宋体" w:eastAsia="宋体" w:cs="宋体"/>
                <w:b w:val="0"/>
                <w:bCs/>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0"/>
                <w:sz w:val="24"/>
                <w:highlight w:val="none"/>
                <w:vertAlign w:val="baseline"/>
                <w:lang w:val="en-US" w:eastAsia="zh-CN"/>
                <w14:textFill>
                  <w14:solidFill>
                    <w14:schemeClr w14:val="tx1"/>
                  </w14:solidFill>
                </w14:textFill>
              </w:rPr>
              <w:t>序号</w:t>
            </w:r>
          </w:p>
        </w:tc>
        <w:tc>
          <w:tcPr>
            <w:tcW w:w="7487" w:type="dxa"/>
            <w:vAlign w:val="center"/>
          </w:tcPr>
          <w:p>
            <w:pPr>
              <w:pStyle w:val="62"/>
              <w:ind w:left="0" w:leftChars="0" w:firstLine="0" w:firstLineChars="0"/>
              <w:jc w:val="center"/>
              <w:rPr>
                <w:rFonts w:hint="default" w:ascii="宋体" w:hAnsi="宋体" w:eastAsia="宋体" w:cs="宋体"/>
                <w:b w:val="0"/>
                <w:bCs/>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0"/>
                <w:sz w:val="24"/>
                <w:highlight w:val="none"/>
                <w:vertAlign w:val="baseline"/>
                <w:lang w:val="en-US" w:eastAsia="zh-CN"/>
                <w14:textFill>
                  <w14:solidFill>
                    <w14:schemeClr w14:val="tx1"/>
                  </w14:solidFill>
                </w14:textFill>
              </w:rPr>
              <w:t>项目名称</w:t>
            </w:r>
          </w:p>
        </w:tc>
        <w:tc>
          <w:tcPr>
            <w:tcW w:w="5858" w:type="dxa"/>
            <w:vAlign w:val="center"/>
          </w:tcPr>
          <w:p>
            <w:pPr>
              <w:pStyle w:val="62"/>
              <w:ind w:left="0" w:leftChars="0" w:firstLine="0" w:firstLineChars="0"/>
              <w:jc w:val="center"/>
              <w:rPr>
                <w:rFonts w:hint="eastAsia" w:ascii="宋体" w:hAnsi="宋体" w:eastAsia="宋体" w:cs="宋体"/>
                <w:b w:val="0"/>
                <w:bCs/>
                <w:color w:val="000000" w:themeColor="text1"/>
                <w:kern w:val="0"/>
                <w:sz w:val="24"/>
                <w:highlight w:val="none"/>
                <w:vertAlign w:val="baseline"/>
                <w:lang w:val="en-US" w:eastAsia="zh-CN"/>
                <w14:textFill>
                  <w14:solidFill>
                    <w14:schemeClr w14:val="tx1"/>
                  </w14:solidFill>
                </w14:textFill>
              </w:rPr>
            </w:pPr>
            <w:r>
              <w:rPr>
                <w:rFonts w:hint="eastAsia" w:cs="宋体"/>
                <w:b w:val="0"/>
                <w:bCs/>
                <w:color w:val="000000" w:themeColor="text1"/>
                <w:kern w:val="0"/>
                <w:sz w:val="24"/>
                <w:highlight w:val="none"/>
                <w:vertAlign w:val="baseline"/>
                <w:lang w:val="en-US" w:eastAsia="zh-CN"/>
                <w14:textFill>
                  <w14:solidFill>
                    <w14:schemeClr w14:val="tx1"/>
                  </w14:solidFill>
                </w14:textFill>
              </w:rPr>
              <w:t>给付比例</w:t>
            </w:r>
            <w:r>
              <w:rPr>
                <w:rFonts w:hint="eastAsia" w:ascii="宋体" w:hAnsi="宋体" w:eastAsia="宋体" w:cs="宋体"/>
                <w:b w:val="0"/>
                <w:bCs/>
                <w:color w:val="000000" w:themeColor="text1"/>
                <w:kern w:val="0"/>
                <w:sz w:val="24"/>
                <w:highlight w:val="none"/>
                <w:vertAlign w:val="baseline"/>
                <w:lang w:val="en-US" w:eastAsia="zh-CN"/>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193" w:type="dxa"/>
            <w:vAlign w:val="center"/>
          </w:tcPr>
          <w:p>
            <w:pPr>
              <w:pStyle w:val="62"/>
              <w:ind w:left="0" w:leftChars="0" w:firstLine="0" w:firstLineChars="0"/>
              <w:jc w:val="center"/>
              <w:rPr>
                <w:rFonts w:hint="eastAsia" w:ascii="宋体" w:hAnsi="宋体" w:eastAsia="宋体" w:cs="宋体"/>
                <w:b w:val="0"/>
                <w:bCs/>
                <w:color w:val="000000" w:themeColor="text1"/>
                <w:kern w:val="0"/>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kern w:val="0"/>
                <w:sz w:val="24"/>
                <w:highlight w:val="none"/>
                <w:vertAlign w:val="baseline"/>
                <w:lang w:val="en-US" w:eastAsia="zh-CN"/>
                <w14:textFill>
                  <w14:solidFill>
                    <w14:schemeClr w14:val="tx1"/>
                  </w14:solidFill>
                </w14:textFill>
              </w:rPr>
              <w:t>1</w:t>
            </w:r>
          </w:p>
        </w:tc>
        <w:tc>
          <w:tcPr>
            <w:tcW w:w="7487" w:type="dxa"/>
            <w:vAlign w:val="center"/>
          </w:tcPr>
          <w:p>
            <w:pPr>
              <w:pStyle w:val="62"/>
              <w:ind w:left="0" w:leftChars="0" w:firstLine="0" w:firstLineChars="0"/>
              <w:jc w:val="center"/>
              <w:rPr>
                <w:rFonts w:hint="default" w:ascii="宋体" w:hAnsi="宋体" w:eastAsia="宋体" w:cs="宋体"/>
                <w:b w:val="0"/>
                <w:bCs/>
                <w:color w:val="000000" w:themeColor="text1"/>
                <w:kern w:val="0"/>
                <w:sz w:val="24"/>
                <w:highlight w:val="none"/>
                <w:vertAlign w:val="baseline"/>
                <w:lang w:val="en-US" w:eastAsia="zh-CN"/>
                <w14:textFill>
                  <w14:solidFill>
                    <w14:schemeClr w14:val="tx1"/>
                  </w14:solidFill>
                </w14:textFill>
              </w:rPr>
            </w:pPr>
            <w:r>
              <w:rPr>
                <w:rFonts w:hint="eastAsia" w:cs="宋体"/>
                <w:b w:val="0"/>
                <w:bCs/>
                <w:color w:val="000000" w:themeColor="text1"/>
                <w:kern w:val="0"/>
                <w:sz w:val="24"/>
                <w:highlight w:val="none"/>
                <w:vertAlign w:val="baseline"/>
                <w:lang w:val="en-US" w:eastAsia="zh-CN"/>
                <w14:textFill>
                  <w14:solidFill>
                    <w14:schemeClr w14:val="tx1"/>
                  </w14:solidFill>
                </w14:textFill>
              </w:rPr>
              <w:t>内分泌性高血压病因筛查标本外送检测服务</w:t>
            </w:r>
          </w:p>
        </w:tc>
        <w:tc>
          <w:tcPr>
            <w:tcW w:w="5858" w:type="dxa"/>
            <w:vAlign w:val="center"/>
          </w:tcPr>
          <w:p>
            <w:pPr>
              <w:pStyle w:val="62"/>
              <w:ind w:left="0" w:leftChars="0" w:firstLine="0" w:firstLineChars="0"/>
              <w:jc w:val="center"/>
              <w:rPr>
                <w:rFonts w:hint="eastAsia" w:ascii="宋体" w:hAnsi="宋体" w:eastAsia="宋体" w:cs="宋体"/>
                <w:b w:val="0"/>
                <w:bCs/>
                <w:color w:val="000000" w:themeColor="text1"/>
                <w:kern w:val="0"/>
                <w:sz w:val="24"/>
                <w:highlight w:val="none"/>
                <w:vertAlign w:val="baseline"/>
                <w:lang w:val="zh-CN" w:eastAsia="zh-CN"/>
                <w14:textFill>
                  <w14:solidFill>
                    <w14:schemeClr w14:val="tx1"/>
                  </w14:solidFill>
                </w14:textFill>
              </w:rPr>
            </w:pPr>
          </w:p>
        </w:tc>
      </w:tr>
    </w:tbl>
    <w:p>
      <w:pPr>
        <w:snapToGrid w:val="0"/>
        <w:spacing w:line="360" w:lineRule="auto"/>
        <w:ind w:firstLine="482" w:firstLineChars="200"/>
        <w:jc w:val="left"/>
        <w:rPr>
          <w:rFonts w:hint="eastAsia" w:ascii="宋体" w:hAnsi="宋体" w:cs="宋体"/>
          <w:b/>
          <w:color w:val="000000" w:themeColor="text1"/>
          <w:kern w:val="0"/>
          <w:sz w:val="24"/>
          <w14:textFill>
            <w14:solidFill>
              <w14:schemeClr w14:val="tx1"/>
            </w14:solidFill>
          </w14:textFill>
        </w:rPr>
      </w:pPr>
    </w:p>
    <w:p>
      <w:pPr>
        <w:snapToGrid w:val="0"/>
        <w:spacing w:line="360" w:lineRule="auto"/>
        <w:ind w:firstLine="480" w:firstLineChars="200"/>
        <w:jc w:val="left"/>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注: 报价一经涂改，应在涂改处加盖单位公章或者由法定代表人或授权委托人签字或盖章，否则其投标作无效标处理。</w:t>
      </w:r>
    </w:p>
    <w:p>
      <w:pPr>
        <w:snapToGrid w:val="0"/>
        <w:spacing w:line="360" w:lineRule="auto"/>
        <w:ind w:firstLine="480" w:firstLineChars="200"/>
        <w:jc w:val="left"/>
        <w:rPr>
          <w:rFonts w:hint="eastAsia" w:ascii="宋体" w:hAnsi="宋体" w:cs="宋体"/>
          <w:b w:val="0"/>
          <w:bCs/>
          <w:color w:val="000000" w:themeColor="text1"/>
          <w:kern w:val="0"/>
          <w:sz w:val="24"/>
          <w14:textFill>
            <w14:solidFill>
              <w14:schemeClr w14:val="tx1"/>
            </w14:solidFill>
          </w14:textFill>
        </w:rPr>
      </w:pPr>
    </w:p>
    <w:p>
      <w:pPr>
        <w:snapToGrid w:val="0"/>
        <w:spacing w:line="360" w:lineRule="auto"/>
        <w:ind w:firstLine="480" w:firstLineChars="200"/>
        <w:jc w:val="left"/>
        <w:rPr>
          <w:rFonts w:hint="eastAsia" w:ascii="宋体" w:hAnsi="宋体" w:cs="宋体"/>
          <w:b w:val="0"/>
          <w:bCs/>
          <w:color w:val="000000" w:themeColor="text1"/>
          <w:kern w:val="0"/>
          <w:sz w:val="24"/>
          <w14:textFill>
            <w14:solidFill>
              <w14:schemeClr w14:val="tx1"/>
            </w14:solidFill>
          </w14:textFill>
        </w:rPr>
      </w:pPr>
    </w:p>
    <w:p>
      <w:pPr>
        <w:snapToGrid w:val="0"/>
        <w:spacing w:line="360" w:lineRule="auto"/>
        <w:ind w:firstLine="480" w:firstLineChars="200"/>
        <w:jc w:val="left"/>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投标人名称(电子签章):___________________</w:t>
      </w:r>
    </w:p>
    <w:p>
      <w:pPr>
        <w:snapToGrid w:val="0"/>
        <w:spacing w:line="360" w:lineRule="auto"/>
        <w:ind w:firstLine="480" w:firstLineChars="200"/>
        <w:jc w:val="left"/>
        <w:rPr>
          <w:rFonts w:hint="eastAsia" w:ascii="宋体" w:hAnsi="宋体" w:cs="宋体"/>
          <w:b w:val="0"/>
          <w:bCs/>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 xml:space="preserve">                </w:t>
      </w:r>
    </w:p>
    <w:p>
      <w:pPr>
        <w:snapToGrid w:val="0"/>
        <w:spacing w:line="360" w:lineRule="auto"/>
        <w:ind w:firstLine="480"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cs="宋体"/>
          <w:b w:val="0"/>
          <w:bCs/>
          <w:color w:val="000000" w:themeColor="text1"/>
          <w:kern w:val="0"/>
          <w:sz w:val="24"/>
          <w14:textFill>
            <w14:solidFill>
              <w14:schemeClr w14:val="tx1"/>
            </w14:solidFill>
          </w14:textFill>
        </w:rPr>
        <w:t>日期:_____年___月___日</w:t>
      </w: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04" w:name="OLE_LINK14"/>
      <w:bookmarkStart w:id="405"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04"/>
    <w:bookmarkEnd w:id="405"/>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both"/>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hint="eastAsia" w:ascii="宋体" w:hAnsi="宋体" w:cs="宋体"/>
          <w:b/>
          <w:color w:val="000000" w:themeColor="text1"/>
          <w:spacing w:val="6"/>
          <w:sz w:val="32"/>
          <w:szCs w:val="32"/>
          <w:lang w:val="en-US" w:eastAsia="zh-CN"/>
          <w14:textFill>
            <w14:solidFill>
              <w14:schemeClr w14:val="tx1"/>
            </w14:solidFill>
          </w14:textFill>
        </w:rPr>
        <w:t>2</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napToGrid w:val="0"/>
        <w:spacing w:line="360" w:lineRule="auto"/>
        <w:jc w:val="center"/>
        <w:rPr>
          <w:rFonts w:hint="eastAsia" w:ascii="宋体" w:hAnsi="宋体" w:cs="宋体"/>
          <w:b/>
          <w:color w:val="000000" w:themeColor="text1"/>
          <w:spacing w:val="6"/>
          <w:sz w:val="32"/>
          <w:szCs w:val="32"/>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cs="宋体"/>
          <w:b/>
          <w:color w:val="000000" w:themeColor="text1"/>
          <w:spacing w:val="6"/>
          <w:sz w:val="32"/>
          <w:szCs w:val="32"/>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lang w:eastAsia="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hint="eastAsia" w:ascii="宋体" w:hAnsi="宋体" w:cs="宋体"/>
          <w:b/>
          <w:color w:val="000000" w:themeColor="text1"/>
          <w:spacing w:val="6"/>
          <w:sz w:val="32"/>
          <w:szCs w:val="32"/>
          <w:lang w:val="en-US" w:eastAsia="zh-CN"/>
          <w14:textFill>
            <w14:solidFill>
              <w14:schemeClr w14:val="tx1"/>
            </w14:solidFill>
          </w14:textFill>
        </w:rPr>
        <w:t>3</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r>
        <w:rPr>
          <w:rFonts w:hint="eastAsia" w:ascii="宋体" w:hAnsi="宋体" w:cs="宋体"/>
          <w:b/>
          <w:color w:val="000000" w:themeColor="text1"/>
          <w:kern w:val="0"/>
          <w:sz w:val="32"/>
          <w:szCs w:val="32"/>
          <w:lang w:eastAsia="zh-CN"/>
          <w14:textFill>
            <w14:solidFill>
              <w14:schemeClr w14:val="tx1"/>
            </w14:solidFill>
          </w14:textFill>
        </w:rPr>
        <w:t>（本项目不适用）</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w:t>
      </w:r>
      <w:r>
        <w:rPr>
          <w:rFonts w:hint="eastAsia" w:ascii="宋体" w:hAnsi="宋体" w:cs="宋体"/>
          <w:b/>
          <w:color w:val="000000" w:themeColor="text1"/>
          <w:sz w:val="24"/>
          <w:lang w:eastAsia="zh-CN"/>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6"/>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outlineLvl w:val="0"/>
        <w:rPr>
          <w:rFonts w:hint="eastAsia" w:ascii="宋体" w:hAnsi="宋体" w:cs="宋体"/>
          <w:b/>
          <w:color w:val="000000" w:themeColor="text1"/>
          <w:sz w:val="36"/>
          <w:szCs w:val="20"/>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hint="eastAsia" w:ascii="宋体" w:hAnsi="宋体" w:cs="宋体"/>
          <w:b/>
          <w:color w:val="000000" w:themeColor="text1"/>
          <w:sz w:val="36"/>
          <w:szCs w:val="20"/>
          <w:lang w:val="en-US" w:eastAsia="zh-CN"/>
          <w14:textFill>
            <w14:solidFill>
              <w14:schemeClr w14:val="tx1"/>
            </w14:solidFill>
          </w14:textFill>
        </w:rPr>
        <w:t>4</w:t>
      </w:r>
      <w:r>
        <w:rPr>
          <w:rFonts w:hint="eastAsia" w:ascii="宋体" w:hAnsi="宋体" w:cs="宋体"/>
          <w:b/>
          <w:color w:val="000000" w:themeColor="text1"/>
          <w:sz w:val="36"/>
          <w:szCs w:val="20"/>
          <w14:textFill>
            <w14:solidFill>
              <w14:schemeClr w14:val="tx1"/>
            </w14:solidFill>
          </w14:textFill>
        </w:rPr>
        <w:t>：中小企业声明函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本公司郑重声明，根据《政府采购促进中小企业发展管理办法》（财库﹝2020﹞46 号）的规定，本公司参加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内分泌性高血压病因筛查标本外送检测服务</w:t>
      </w:r>
      <w:r>
        <w:rPr>
          <w:rFonts w:hint="eastAsia" w:ascii="宋体" w:hAnsi="宋体" w:cs="宋体"/>
          <w:color w:val="000000" w:themeColor="text1"/>
          <w:sz w:val="24"/>
          <w14:textFill>
            <w14:solidFill>
              <w14:schemeClr w14:val="tx1"/>
            </w14:solidFill>
          </w14:textFill>
        </w:rPr>
        <w:t>，属于</w:t>
      </w:r>
      <w:r>
        <w:rPr>
          <w:rFonts w:hint="eastAsia" w:cs="宋体" w:asciiTheme="minorEastAsia" w:hAnsiTheme="minorEastAsia" w:eastAsiaTheme="minorEastAsia"/>
          <w:b/>
          <w:bCs/>
          <w:color w:val="000000" w:themeColor="text1"/>
          <w:sz w:val="24"/>
          <w:u w:val="single"/>
          <w:lang w:eastAsia="zh-CN"/>
          <w14:textFill>
            <w14:solidFill>
              <w14:schemeClr w14:val="tx1"/>
            </w14:solidFill>
          </w14:textFill>
        </w:rPr>
        <w:t>其他未列明行业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000000" w:themeColor="text1"/>
          <w:lang w:val="en-US"/>
          <w14:textFill>
            <w14:solidFill>
              <w14:schemeClr w14:val="tx1"/>
            </w14:solidFill>
          </w14:textFill>
        </w:rPr>
      </w:pPr>
    </w:p>
    <w:p>
      <w:pPr>
        <w:spacing w:line="360" w:lineRule="auto"/>
        <w:ind w:right="420"/>
        <w:rPr>
          <w:rFonts w:ascii="宋体" w:hAnsi="宋体" w:cs="宋体"/>
          <w:color w:val="000000" w:themeColor="text1"/>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36110187"/>
    <w:bookmarkStart w:id="407" w:name="_Toc91899912"/>
    <w:bookmarkStart w:id="408" w:name="_Toc164085800"/>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w:t>
    </w:r>
  </w:p>
  <w:p>
    <w:pPr>
      <w:pStyle w:val="44"/>
    </w:pPr>
    <w:r>
      <w:rPr>
        <w:rFonts w:hint="eastAsia"/>
      </w:rPr>
      <w:t xml:space="preserve">                                                                  </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rPr>
        <w:rFonts w:hint="eastAsia"/>
        <w:lang w:val="en-US" w:eastAsia="zh-CN"/>
      </w:rPr>
      <w:t>政</w:t>
    </w:r>
    <w:r>
      <w:t>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0703B"/>
    <w:multiLevelType w:val="singleLevel"/>
    <w:tmpl w:val="B040703B"/>
    <w:lvl w:ilvl="0" w:tentative="0">
      <w:start w:val="1"/>
      <w:numFmt w:val="chineseCounting"/>
      <w:suff w:val="nothing"/>
      <w:lvlText w:val="%1、"/>
      <w:lvlJc w:val="left"/>
      <w:rPr>
        <w:rFonts w:hint="eastAsia"/>
      </w:rPr>
    </w:lvl>
  </w:abstractNum>
  <w:abstractNum w:abstractNumId="1">
    <w:nsid w:val="0D43D065"/>
    <w:multiLevelType w:val="singleLevel"/>
    <w:tmpl w:val="0D43D065"/>
    <w:lvl w:ilvl="0" w:tentative="0">
      <w:start w:val="1"/>
      <w:numFmt w:val="chineseCounting"/>
      <w:suff w:val="nothing"/>
      <w:lvlText w:val="%1、"/>
      <w:lvlJc w:val="left"/>
      <w:rPr>
        <w:rFonts w:hint="eastAsia"/>
      </w:rPr>
    </w:lvl>
  </w:abstractNum>
  <w:abstractNum w:abstractNumId="2">
    <w:nsid w:val="145FA341"/>
    <w:multiLevelType w:val="singleLevel"/>
    <w:tmpl w:val="145FA341"/>
    <w:lvl w:ilvl="0" w:tentative="0">
      <w:start w:val="3"/>
      <w:numFmt w:val="chineseCounting"/>
      <w:suff w:val="space"/>
      <w:lvlText w:val="第%1部分"/>
      <w:lvlJc w:val="left"/>
      <w:rPr>
        <w:rFonts w:hint="eastAsia"/>
      </w:rPr>
    </w:lvl>
  </w:abstractNum>
  <w:abstractNum w:abstractNumId="3">
    <w:nsid w:val="3B500D3E"/>
    <w:multiLevelType w:val="singleLevel"/>
    <w:tmpl w:val="3B500D3E"/>
    <w:lvl w:ilvl="0" w:tentative="0">
      <w:start w:val="1"/>
      <w:numFmt w:val="decimal"/>
      <w:suff w:val="nothing"/>
      <w:lvlText w:val="%1、"/>
      <w:lvlJc w:val="left"/>
    </w:lvl>
  </w:abstractNum>
  <w:abstractNum w:abstractNumId="4">
    <w:nsid w:val="72500222"/>
    <w:multiLevelType w:val="singleLevel"/>
    <w:tmpl w:val="72500222"/>
    <w:lvl w:ilvl="0" w:tentative="0">
      <w:start w:val="2"/>
      <w:numFmt w:val="chineseCounting"/>
      <w:suff w:val="nothing"/>
      <w:lvlText w:val="%1、"/>
      <w:lvlJc w:val="left"/>
      <w:rPr>
        <w:rFonts w:hint="eastAsia"/>
      </w:rPr>
    </w:lvl>
  </w:abstractNum>
  <w:abstractNum w:abstractNumId="5">
    <w:nsid w:val="7A9EC166"/>
    <w:multiLevelType w:val="singleLevel"/>
    <w:tmpl w:val="7A9EC166"/>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TIwOWVlMjJiNTk2MDJmNTcxMzA0NWFiYTJhNGIifQ=="/>
    <w:docVar w:name="KSO_WPS_MARK_KEY" w:val="2989eb5f-acbc-4259-a14c-fa52786f0f7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A6839"/>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272BB0"/>
    <w:rsid w:val="05A16594"/>
    <w:rsid w:val="05A7762D"/>
    <w:rsid w:val="060E5941"/>
    <w:rsid w:val="06110FAF"/>
    <w:rsid w:val="06493CA7"/>
    <w:rsid w:val="065A6178"/>
    <w:rsid w:val="066F1CF3"/>
    <w:rsid w:val="06727BED"/>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703D7"/>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D303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F2478"/>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07279"/>
    <w:rsid w:val="10646583"/>
    <w:rsid w:val="107D4B15"/>
    <w:rsid w:val="108A3C80"/>
    <w:rsid w:val="10904BF9"/>
    <w:rsid w:val="10B84CF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9322E"/>
    <w:rsid w:val="146D271E"/>
    <w:rsid w:val="147E7B1E"/>
    <w:rsid w:val="14982588"/>
    <w:rsid w:val="149A5AD9"/>
    <w:rsid w:val="14A7619D"/>
    <w:rsid w:val="150536C3"/>
    <w:rsid w:val="15095724"/>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B388C"/>
    <w:rsid w:val="19185580"/>
    <w:rsid w:val="19932372"/>
    <w:rsid w:val="199367B5"/>
    <w:rsid w:val="19A20DD5"/>
    <w:rsid w:val="19AE03F1"/>
    <w:rsid w:val="1A071A03"/>
    <w:rsid w:val="1A1F16AE"/>
    <w:rsid w:val="1A2F4CC4"/>
    <w:rsid w:val="1A3B5C77"/>
    <w:rsid w:val="1A950351"/>
    <w:rsid w:val="1A984BAD"/>
    <w:rsid w:val="1AB8220E"/>
    <w:rsid w:val="1AE4166C"/>
    <w:rsid w:val="1AF06CFB"/>
    <w:rsid w:val="1AF11B8D"/>
    <w:rsid w:val="1B11359C"/>
    <w:rsid w:val="1B2A271F"/>
    <w:rsid w:val="1B530544"/>
    <w:rsid w:val="1B713184"/>
    <w:rsid w:val="1BA209CF"/>
    <w:rsid w:val="1BB4777D"/>
    <w:rsid w:val="1BD75AB8"/>
    <w:rsid w:val="1BFF798A"/>
    <w:rsid w:val="1C0459C2"/>
    <w:rsid w:val="1C1B3B4A"/>
    <w:rsid w:val="1C88086E"/>
    <w:rsid w:val="1CBF556F"/>
    <w:rsid w:val="1CFF701C"/>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26031"/>
    <w:rsid w:val="1FD52DD5"/>
    <w:rsid w:val="1FDE7124"/>
    <w:rsid w:val="1FE868A9"/>
    <w:rsid w:val="1FFF7AAB"/>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DC248E"/>
    <w:rsid w:val="233500BF"/>
    <w:rsid w:val="23377FF7"/>
    <w:rsid w:val="236B425F"/>
    <w:rsid w:val="23836192"/>
    <w:rsid w:val="23901F29"/>
    <w:rsid w:val="239C0061"/>
    <w:rsid w:val="23B908A4"/>
    <w:rsid w:val="23E95BEF"/>
    <w:rsid w:val="23FD0064"/>
    <w:rsid w:val="245375B0"/>
    <w:rsid w:val="24642C0A"/>
    <w:rsid w:val="246D44F3"/>
    <w:rsid w:val="247D62B2"/>
    <w:rsid w:val="24B22173"/>
    <w:rsid w:val="24B95AD9"/>
    <w:rsid w:val="24BE24DA"/>
    <w:rsid w:val="24CF5825"/>
    <w:rsid w:val="24D663E6"/>
    <w:rsid w:val="24D77F2B"/>
    <w:rsid w:val="257C53A7"/>
    <w:rsid w:val="258B00E2"/>
    <w:rsid w:val="25A917A6"/>
    <w:rsid w:val="25BE27CC"/>
    <w:rsid w:val="25F74A5C"/>
    <w:rsid w:val="2628662C"/>
    <w:rsid w:val="262D45DE"/>
    <w:rsid w:val="26480E25"/>
    <w:rsid w:val="26871DC8"/>
    <w:rsid w:val="26971CD1"/>
    <w:rsid w:val="26A53EF9"/>
    <w:rsid w:val="26A94201"/>
    <w:rsid w:val="26AC274F"/>
    <w:rsid w:val="26E60EBE"/>
    <w:rsid w:val="27044A29"/>
    <w:rsid w:val="270831AF"/>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02330"/>
    <w:rsid w:val="29F26D24"/>
    <w:rsid w:val="29FB6506"/>
    <w:rsid w:val="2A15033F"/>
    <w:rsid w:val="2A1662C1"/>
    <w:rsid w:val="2A1C7367"/>
    <w:rsid w:val="2A2815FA"/>
    <w:rsid w:val="2A331EF1"/>
    <w:rsid w:val="2A6D6092"/>
    <w:rsid w:val="2A7D76B4"/>
    <w:rsid w:val="2B2A6F4F"/>
    <w:rsid w:val="2B437463"/>
    <w:rsid w:val="2B7807EE"/>
    <w:rsid w:val="2BA50BF7"/>
    <w:rsid w:val="2BBF00EC"/>
    <w:rsid w:val="2BC37CFD"/>
    <w:rsid w:val="2BD5237F"/>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94FF6"/>
    <w:rsid w:val="30733ACD"/>
    <w:rsid w:val="3079632F"/>
    <w:rsid w:val="308C3862"/>
    <w:rsid w:val="309379D8"/>
    <w:rsid w:val="30A270F7"/>
    <w:rsid w:val="30DF1478"/>
    <w:rsid w:val="30EC586F"/>
    <w:rsid w:val="314550B7"/>
    <w:rsid w:val="31673BCC"/>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81E00"/>
    <w:rsid w:val="348B5EB7"/>
    <w:rsid w:val="34950E68"/>
    <w:rsid w:val="34986E94"/>
    <w:rsid w:val="34AF62C9"/>
    <w:rsid w:val="34CB4388"/>
    <w:rsid w:val="34FA6E12"/>
    <w:rsid w:val="354D7158"/>
    <w:rsid w:val="358D5588"/>
    <w:rsid w:val="35EF3500"/>
    <w:rsid w:val="363A3B40"/>
    <w:rsid w:val="365302AE"/>
    <w:rsid w:val="36607A0A"/>
    <w:rsid w:val="366E227C"/>
    <w:rsid w:val="366F2E0D"/>
    <w:rsid w:val="367B6A5C"/>
    <w:rsid w:val="36A74ADA"/>
    <w:rsid w:val="36AD60D5"/>
    <w:rsid w:val="36B224F9"/>
    <w:rsid w:val="36EC0CC9"/>
    <w:rsid w:val="373F410B"/>
    <w:rsid w:val="377F4883"/>
    <w:rsid w:val="37A9342D"/>
    <w:rsid w:val="37EE7094"/>
    <w:rsid w:val="380D4527"/>
    <w:rsid w:val="38207362"/>
    <w:rsid w:val="38296C89"/>
    <w:rsid w:val="383002EB"/>
    <w:rsid w:val="38586797"/>
    <w:rsid w:val="38805CF9"/>
    <w:rsid w:val="38BC0149"/>
    <w:rsid w:val="38D87D1C"/>
    <w:rsid w:val="39636459"/>
    <w:rsid w:val="396B7F6C"/>
    <w:rsid w:val="39B417A9"/>
    <w:rsid w:val="39B70ADD"/>
    <w:rsid w:val="39FC5695"/>
    <w:rsid w:val="3A006D8E"/>
    <w:rsid w:val="3A3651E5"/>
    <w:rsid w:val="3A744481"/>
    <w:rsid w:val="3A8C7BEF"/>
    <w:rsid w:val="3A906246"/>
    <w:rsid w:val="3B2349B7"/>
    <w:rsid w:val="3B616CFF"/>
    <w:rsid w:val="3B6259F6"/>
    <w:rsid w:val="3B976654"/>
    <w:rsid w:val="3BC01EFC"/>
    <w:rsid w:val="3BCA786A"/>
    <w:rsid w:val="3BD31E2F"/>
    <w:rsid w:val="3BE227FD"/>
    <w:rsid w:val="3BF15831"/>
    <w:rsid w:val="3C105946"/>
    <w:rsid w:val="3C3B334C"/>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27E2A"/>
    <w:rsid w:val="3F6363FE"/>
    <w:rsid w:val="3F756B8F"/>
    <w:rsid w:val="3F95482B"/>
    <w:rsid w:val="4019356B"/>
    <w:rsid w:val="40592157"/>
    <w:rsid w:val="406E1CAE"/>
    <w:rsid w:val="40A0133A"/>
    <w:rsid w:val="40C31A53"/>
    <w:rsid w:val="40FF545D"/>
    <w:rsid w:val="410067C8"/>
    <w:rsid w:val="413C6104"/>
    <w:rsid w:val="418F0D2A"/>
    <w:rsid w:val="41A94171"/>
    <w:rsid w:val="41D01505"/>
    <w:rsid w:val="42474939"/>
    <w:rsid w:val="424C3C57"/>
    <w:rsid w:val="42613FF3"/>
    <w:rsid w:val="42660D96"/>
    <w:rsid w:val="428667D2"/>
    <w:rsid w:val="42CD1CE0"/>
    <w:rsid w:val="42E1381E"/>
    <w:rsid w:val="42ED6459"/>
    <w:rsid w:val="42FE58DD"/>
    <w:rsid w:val="43174B3D"/>
    <w:rsid w:val="43295C12"/>
    <w:rsid w:val="434B790E"/>
    <w:rsid w:val="4360274F"/>
    <w:rsid w:val="43977AB6"/>
    <w:rsid w:val="43A3342B"/>
    <w:rsid w:val="43C77C27"/>
    <w:rsid w:val="43DE09EE"/>
    <w:rsid w:val="44002FAD"/>
    <w:rsid w:val="449101DD"/>
    <w:rsid w:val="44DE1391"/>
    <w:rsid w:val="44F25E6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D6F6D"/>
    <w:rsid w:val="477B778F"/>
    <w:rsid w:val="478203EC"/>
    <w:rsid w:val="47B025FA"/>
    <w:rsid w:val="4809698F"/>
    <w:rsid w:val="4811697D"/>
    <w:rsid w:val="487A3E25"/>
    <w:rsid w:val="488B5503"/>
    <w:rsid w:val="48937E21"/>
    <w:rsid w:val="489A0361"/>
    <w:rsid w:val="48B94FF3"/>
    <w:rsid w:val="48E37AAB"/>
    <w:rsid w:val="48F77196"/>
    <w:rsid w:val="48FD4B4C"/>
    <w:rsid w:val="490A68E0"/>
    <w:rsid w:val="491055FE"/>
    <w:rsid w:val="495F5B3E"/>
    <w:rsid w:val="496F77D7"/>
    <w:rsid w:val="497654FD"/>
    <w:rsid w:val="49B64211"/>
    <w:rsid w:val="49E56AF9"/>
    <w:rsid w:val="49F6167F"/>
    <w:rsid w:val="4A064FA0"/>
    <w:rsid w:val="4A16615C"/>
    <w:rsid w:val="4A4424D7"/>
    <w:rsid w:val="4A986E84"/>
    <w:rsid w:val="4AB82D0F"/>
    <w:rsid w:val="4AEB7664"/>
    <w:rsid w:val="4AFD7C19"/>
    <w:rsid w:val="4B0567D1"/>
    <w:rsid w:val="4B236AAE"/>
    <w:rsid w:val="4B707271"/>
    <w:rsid w:val="4B9739F7"/>
    <w:rsid w:val="4B9947B3"/>
    <w:rsid w:val="4BEE2503"/>
    <w:rsid w:val="4C131427"/>
    <w:rsid w:val="4C245A30"/>
    <w:rsid w:val="4CA776A5"/>
    <w:rsid w:val="4CB6685F"/>
    <w:rsid w:val="4CC367FE"/>
    <w:rsid w:val="4D077F3C"/>
    <w:rsid w:val="4D123355"/>
    <w:rsid w:val="4D2A3B31"/>
    <w:rsid w:val="4D312C52"/>
    <w:rsid w:val="4D905305"/>
    <w:rsid w:val="4D964A72"/>
    <w:rsid w:val="4D9C1254"/>
    <w:rsid w:val="4E3A6B02"/>
    <w:rsid w:val="4E5A4572"/>
    <w:rsid w:val="4E793892"/>
    <w:rsid w:val="4E800872"/>
    <w:rsid w:val="4EC569ED"/>
    <w:rsid w:val="4ECE490A"/>
    <w:rsid w:val="4ED50EA1"/>
    <w:rsid w:val="4ED52AFF"/>
    <w:rsid w:val="4EEC050C"/>
    <w:rsid w:val="4F104EC3"/>
    <w:rsid w:val="4F47354A"/>
    <w:rsid w:val="4F911C54"/>
    <w:rsid w:val="4FE625E0"/>
    <w:rsid w:val="5021480F"/>
    <w:rsid w:val="50962ECB"/>
    <w:rsid w:val="50A42E38"/>
    <w:rsid w:val="50A4577F"/>
    <w:rsid w:val="50B73D1F"/>
    <w:rsid w:val="50BD5BC9"/>
    <w:rsid w:val="50C11EEE"/>
    <w:rsid w:val="50E712C1"/>
    <w:rsid w:val="50E97CFC"/>
    <w:rsid w:val="50FA4028"/>
    <w:rsid w:val="510D65B7"/>
    <w:rsid w:val="511157AB"/>
    <w:rsid w:val="5142540C"/>
    <w:rsid w:val="518832C8"/>
    <w:rsid w:val="519D3C50"/>
    <w:rsid w:val="51A0432A"/>
    <w:rsid w:val="51A86090"/>
    <w:rsid w:val="51B7396D"/>
    <w:rsid w:val="51E45045"/>
    <w:rsid w:val="51EC090F"/>
    <w:rsid w:val="522E4CC3"/>
    <w:rsid w:val="5244713B"/>
    <w:rsid w:val="52615633"/>
    <w:rsid w:val="526F4DE4"/>
    <w:rsid w:val="52977FD4"/>
    <w:rsid w:val="52A25790"/>
    <w:rsid w:val="52A96B6F"/>
    <w:rsid w:val="52B45975"/>
    <w:rsid w:val="52D94AA4"/>
    <w:rsid w:val="52EA3A62"/>
    <w:rsid w:val="52F50BB8"/>
    <w:rsid w:val="53097272"/>
    <w:rsid w:val="53544462"/>
    <w:rsid w:val="53767761"/>
    <w:rsid w:val="5397158E"/>
    <w:rsid w:val="53AF0284"/>
    <w:rsid w:val="53CA61E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23EB0"/>
    <w:rsid w:val="577B1140"/>
    <w:rsid w:val="577B7F21"/>
    <w:rsid w:val="577F181B"/>
    <w:rsid w:val="57921984"/>
    <w:rsid w:val="579737F0"/>
    <w:rsid w:val="57AB7B30"/>
    <w:rsid w:val="57AF5251"/>
    <w:rsid w:val="57B26373"/>
    <w:rsid w:val="57B63F04"/>
    <w:rsid w:val="57CD20C2"/>
    <w:rsid w:val="57D675AB"/>
    <w:rsid w:val="57D95FDD"/>
    <w:rsid w:val="587057DA"/>
    <w:rsid w:val="58917D2F"/>
    <w:rsid w:val="5894085C"/>
    <w:rsid w:val="589B5E98"/>
    <w:rsid w:val="58AE4F0C"/>
    <w:rsid w:val="58B85899"/>
    <w:rsid w:val="58E363A9"/>
    <w:rsid w:val="595E1678"/>
    <w:rsid w:val="596D5BD4"/>
    <w:rsid w:val="597E3DD8"/>
    <w:rsid w:val="59B967A4"/>
    <w:rsid w:val="59ED5A1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81C4A"/>
    <w:rsid w:val="5B843A1C"/>
    <w:rsid w:val="5B873E3F"/>
    <w:rsid w:val="5BBE4478"/>
    <w:rsid w:val="5BC6799A"/>
    <w:rsid w:val="5C02690E"/>
    <w:rsid w:val="5C196DA7"/>
    <w:rsid w:val="5C2A048C"/>
    <w:rsid w:val="5C391E4F"/>
    <w:rsid w:val="5C524B51"/>
    <w:rsid w:val="5C80234E"/>
    <w:rsid w:val="5C8A680C"/>
    <w:rsid w:val="5CCC41E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45889"/>
    <w:rsid w:val="60FA2EE8"/>
    <w:rsid w:val="61054A27"/>
    <w:rsid w:val="610572F8"/>
    <w:rsid w:val="610A52BC"/>
    <w:rsid w:val="611D2366"/>
    <w:rsid w:val="61421856"/>
    <w:rsid w:val="615227C4"/>
    <w:rsid w:val="61654E3F"/>
    <w:rsid w:val="6182292A"/>
    <w:rsid w:val="619F7F92"/>
    <w:rsid w:val="61F94C26"/>
    <w:rsid w:val="62000E56"/>
    <w:rsid w:val="62397258"/>
    <w:rsid w:val="624F3E49"/>
    <w:rsid w:val="62632286"/>
    <w:rsid w:val="62885958"/>
    <w:rsid w:val="629C06A3"/>
    <w:rsid w:val="62DC397D"/>
    <w:rsid w:val="62F40B65"/>
    <w:rsid w:val="62FC2CFE"/>
    <w:rsid w:val="63024505"/>
    <w:rsid w:val="635600A5"/>
    <w:rsid w:val="635B1DB5"/>
    <w:rsid w:val="63711FED"/>
    <w:rsid w:val="63880DDC"/>
    <w:rsid w:val="638D750D"/>
    <w:rsid w:val="63AC6CC0"/>
    <w:rsid w:val="63DA1A84"/>
    <w:rsid w:val="64017179"/>
    <w:rsid w:val="64055776"/>
    <w:rsid w:val="64240056"/>
    <w:rsid w:val="643E143A"/>
    <w:rsid w:val="64491666"/>
    <w:rsid w:val="648B6EEF"/>
    <w:rsid w:val="64C158BF"/>
    <w:rsid w:val="64CE2EAA"/>
    <w:rsid w:val="64DD4CA5"/>
    <w:rsid w:val="653C3090"/>
    <w:rsid w:val="65854376"/>
    <w:rsid w:val="658767BE"/>
    <w:rsid w:val="65892531"/>
    <w:rsid w:val="66195831"/>
    <w:rsid w:val="662E75B1"/>
    <w:rsid w:val="66342C2E"/>
    <w:rsid w:val="663E784C"/>
    <w:rsid w:val="66712A1E"/>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B6B55"/>
    <w:rsid w:val="6C31226F"/>
    <w:rsid w:val="6C552F0B"/>
    <w:rsid w:val="6C8A1DCD"/>
    <w:rsid w:val="6C8C67B7"/>
    <w:rsid w:val="6C9D744C"/>
    <w:rsid w:val="6D167928"/>
    <w:rsid w:val="6D26299B"/>
    <w:rsid w:val="6D4772EC"/>
    <w:rsid w:val="6D8F6D75"/>
    <w:rsid w:val="6D9078AF"/>
    <w:rsid w:val="6D9A5A1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8A1228"/>
    <w:rsid w:val="70F5661B"/>
    <w:rsid w:val="71360107"/>
    <w:rsid w:val="713B688E"/>
    <w:rsid w:val="71D43752"/>
    <w:rsid w:val="71F1796A"/>
    <w:rsid w:val="72154626"/>
    <w:rsid w:val="72262B5D"/>
    <w:rsid w:val="72283FF7"/>
    <w:rsid w:val="722E7212"/>
    <w:rsid w:val="723A0474"/>
    <w:rsid w:val="725923E4"/>
    <w:rsid w:val="72864BF7"/>
    <w:rsid w:val="728E4677"/>
    <w:rsid w:val="729023FC"/>
    <w:rsid w:val="73C0646E"/>
    <w:rsid w:val="742222F5"/>
    <w:rsid w:val="74476126"/>
    <w:rsid w:val="74706664"/>
    <w:rsid w:val="747F3682"/>
    <w:rsid w:val="749C4185"/>
    <w:rsid w:val="74F160B9"/>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B3691A"/>
    <w:rsid w:val="7CE27788"/>
    <w:rsid w:val="7D0C32F1"/>
    <w:rsid w:val="7D0F408D"/>
    <w:rsid w:val="7D491C6C"/>
    <w:rsid w:val="7D5429C0"/>
    <w:rsid w:val="7D6E6D43"/>
    <w:rsid w:val="7DA36437"/>
    <w:rsid w:val="7DB57A34"/>
    <w:rsid w:val="7DE60973"/>
    <w:rsid w:val="7DEF0916"/>
    <w:rsid w:val="7E1E5218"/>
    <w:rsid w:val="7E9A4E1F"/>
    <w:rsid w:val="7EA7723A"/>
    <w:rsid w:val="7EE04FB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1"/>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next w:val="9"/>
    <w:link w:val="193"/>
    <w:qFormat/>
    <w:uiPriority w:val="0"/>
    <w:pPr>
      <w:widowControl/>
      <w:snapToGrid w:val="0"/>
      <w:spacing w:line="480" w:lineRule="exact"/>
      <w:ind w:firstLine="567"/>
    </w:pPr>
    <w:rPr>
      <w:rFonts w:ascii="宋体"/>
      <w:snapToGrid w:val="0"/>
      <w:color w:val="000000"/>
      <w:kern w:val="28"/>
      <w:sz w:val="28"/>
      <w:szCs w:val="20"/>
    </w:rPr>
  </w:style>
  <w:style w:type="paragraph" w:styleId="9">
    <w:name w:val="toc 2"/>
    <w:basedOn w:val="1"/>
    <w:next w:val="1"/>
    <w:qFormat/>
    <w:uiPriority w:val="0"/>
    <w:pPr>
      <w:ind w:left="420" w:leftChars="2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6"/>
    <w:qFormat/>
    <w:uiPriority w:val="0"/>
    <w:rPr>
      <w:b/>
      <w:bCs/>
    </w:rPr>
  </w:style>
  <w:style w:type="paragraph" w:styleId="62">
    <w:name w:val="Body Text First Indent 2"/>
    <w:basedOn w:val="27"/>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3"/>
    <w:basedOn w:val="35"/>
    <w:next w:val="1"/>
    <w:qFormat/>
    <w:uiPriority w:val="0"/>
    <w:pPr>
      <w:tabs>
        <w:tab w:val="left" w:pos="2790"/>
        <w:tab w:val="left" w:pos="4230"/>
      </w:tabs>
      <w:spacing w:before="312" w:beforeLines="100"/>
      <w:jc w:val="left"/>
    </w:pPr>
  </w:style>
  <w:style w:type="paragraph" w:customStyle="1" w:styleId="81">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2"/>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5"/>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0"/>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1"/>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0"/>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3"/>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10"/>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4"/>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0"/>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0"/>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文本缩进1"/>
    <w:basedOn w:val="1"/>
    <w:qFormat/>
    <w:uiPriority w:val="99"/>
    <w:pPr>
      <w:autoSpaceDE/>
      <w:autoSpaceDN/>
      <w:spacing w:line="380" w:lineRule="exact"/>
      <w:ind w:firstLine="480"/>
      <w:jc w:val="both"/>
    </w:pPr>
    <w:rPr>
      <w:rFonts w:ascii="Times New Roman" w:hAnsi="Times New Roman" w:eastAsia="方正书宋简体" w:cs="Times New Roman"/>
      <w:kern w:val="2"/>
      <w:sz w:val="24"/>
      <w:szCs w:val="24"/>
      <w:lang w:val="en-US" w:bidi="ar-SA"/>
    </w:rPr>
  </w:style>
  <w:style w:type="character" w:customStyle="1" w:styleId="964">
    <w:name w:val="标题 1 Char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26439</Words>
  <Characters>27995</Characters>
  <Lines>281</Lines>
  <Paragraphs>79</Paragraphs>
  <TotalTime>6</TotalTime>
  <ScaleCrop>false</ScaleCrop>
  <LinksUpToDate>false</LinksUpToDate>
  <CharactersWithSpaces>30144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蒋海佳</cp:lastModifiedBy>
  <cp:lastPrinted>2023-09-06T07:19:00Z</cp:lastPrinted>
  <dcterms:modified xsi:type="dcterms:W3CDTF">2024-05-07T03:02:38Z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033E596975BC42E2AC731F1B271FBF32_13</vt:lpwstr>
  </property>
</Properties>
</file>