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400" w:lineRule="atLeast"/>
        <w:jc w:val="center"/>
        <w:rPr>
          <w:rFonts w:ascii="宋体" w:hAnsi="宋体"/>
          <w:b/>
          <w:sz w:val="72"/>
          <w:szCs w:val="72"/>
        </w:rPr>
      </w:pPr>
      <w:bookmarkStart w:id="173" w:name="_GoBack"/>
      <w:bookmarkEnd w:id="173"/>
      <w:r>
        <w:rPr>
          <w:rFonts w:hint="eastAsia" w:ascii="宋体" w:hAnsi="宋体"/>
          <w:b/>
          <w:sz w:val="72"/>
          <w:szCs w:val="72"/>
        </w:rPr>
        <w:t>政府采购</w:t>
      </w:r>
    </w:p>
    <w:p>
      <w:pPr>
        <w:tabs>
          <w:tab w:val="left" w:pos="420"/>
          <w:tab w:val="left" w:pos="6660"/>
        </w:tabs>
        <w:spacing w:line="1400" w:lineRule="atLeast"/>
        <w:jc w:val="center"/>
        <w:rPr>
          <w:rFonts w:hint="eastAsia" w:ascii="宋体" w:hAnsi="宋体"/>
          <w:b/>
          <w:sz w:val="72"/>
          <w:szCs w:val="72"/>
        </w:rPr>
      </w:pPr>
      <w:r>
        <w:rPr>
          <w:rFonts w:hint="eastAsia" w:ascii="宋体" w:hAnsi="宋体"/>
          <w:b/>
          <w:sz w:val="72"/>
          <w:szCs w:val="72"/>
        </w:rPr>
        <w:t>招标文件</w:t>
      </w:r>
    </w:p>
    <w:p>
      <w:pPr>
        <w:rPr>
          <w:rFonts w:hint="eastAsia" w:ascii="宋体" w:hAnsi="宋体"/>
          <w:bCs/>
          <w:sz w:val="52"/>
          <w:szCs w:val="52"/>
        </w:rPr>
      </w:pPr>
    </w:p>
    <w:p/>
    <w:p>
      <w:pPr>
        <w:pStyle w:val="2"/>
      </w:pPr>
    </w:p>
    <w:p/>
    <w:p/>
    <w:p>
      <w:pPr>
        <w:rPr>
          <w:rFonts w:hint="eastAsia"/>
        </w:rPr>
      </w:pPr>
    </w:p>
    <w:p>
      <w:pPr>
        <w:spacing w:line="500" w:lineRule="exact"/>
        <w:jc w:val="center"/>
      </w:pPr>
    </w:p>
    <w:p>
      <w:pPr>
        <w:spacing w:line="500" w:lineRule="exact"/>
        <w:rPr>
          <w:rFonts w:ascii="宋体" w:hAnsi="宋体"/>
          <w:b/>
          <w:bCs/>
          <w:sz w:val="36"/>
          <w:szCs w:val="36"/>
        </w:rPr>
      </w:pPr>
    </w:p>
    <w:p>
      <w:pPr>
        <w:spacing w:line="500" w:lineRule="exact"/>
        <w:ind w:firstLine="2233" w:firstLineChars="695"/>
        <w:rPr>
          <w:rFonts w:ascii="宋体" w:hAnsi="宋体"/>
          <w:b/>
          <w:bCs/>
          <w:sz w:val="32"/>
          <w:szCs w:val="32"/>
          <w:u w:val="single"/>
        </w:rPr>
      </w:pPr>
      <w:r>
        <w:rPr>
          <w:rFonts w:hint="eastAsia" w:ascii="宋体" w:hAnsi="宋体"/>
          <w:b/>
          <w:bCs/>
          <w:sz w:val="32"/>
          <w:szCs w:val="32"/>
        </w:rPr>
        <w:t>采购编号：</w:t>
      </w:r>
      <w:r>
        <w:rPr>
          <w:rFonts w:hint="eastAsia" w:ascii="宋体" w:hAnsi="宋体"/>
          <w:b/>
          <w:bCs/>
          <w:sz w:val="32"/>
          <w:szCs w:val="32"/>
          <w:u w:val="single"/>
        </w:rPr>
        <w:t xml:space="preserve"> 202</w:t>
      </w:r>
      <w:r>
        <w:rPr>
          <w:rFonts w:hint="eastAsia" w:ascii="宋体" w:hAnsi="宋体"/>
          <w:b/>
          <w:bCs/>
          <w:sz w:val="32"/>
          <w:szCs w:val="32"/>
          <w:u w:val="single"/>
          <w:lang w:val="en-US" w:eastAsia="zh-CN"/>
        </w:rPr>
        <w:t>1</w:t>
      </w:r>
      <w:r>
        <w:rPr>
          <w:rFonts w:hint="eastAsia" w:ascii="宋体" w:hAnsi="宋体"/>
          <w:b/>
          <w:bCs/>
          <w:sz w:val="32"/>
          <w:szCs w:val="32"/>
          <w:u w:val="single"/>
        </w:rPr>
        <w:t>NBHS</w:t>
      </w:r>
      <w:r>
        <w:rPr>
          <w:rFonts w:hint="eastAsia" w:ascii="宋体" w:hAnsi="宋体"/>
          <w:b/>
          <w:bCs/>
          <w:sz w:val="32"/>
          <w:szCs w:val="32"/>
          <w:u w:val="single"/>
          <w:lang w:val="en-US" w:eastAsia="zh-CN"/>
        </w:rPr>
        <w:t>J</w:t>
      </w:r>
      <w:r>
        <w:rPr>
          <w:rFonts w:hint="eastAsia" w:ascii="宋体" w:hAnsi="宋体"/>
          <w:b/>
          <w:bCs/>
          <w:sz w:val="32"/>
          <w:szCs w:val="32"/>
          <w:u w:val="single"/>
        </w:rPr>
        <w:t>C</w:t>
      </w:r>
      <w:r>
        <w:rPr>
          <w:rFonts w:hint="eastAsia" w:ascii="宋体" w:hAnsi="宋体"/>
          <w:b/>
          <w:bCs/>
          <w:sz w:val="32"/>
          <w:szCs w:val="32"/>
          <w:u w:val="single"/>
          <w:lang w:val="en-US" w:eastAsia="zh-CN"/>
        </w:rPr>
        <w:t>026</w:t>
      </w:r>
      <w:r>
        <w:rPr>
          <w:rFonts w:hint="eastAsia" w:ascii="宋体" w:hAnsi="宋体"/>
          <w:b/>
          <w:bCs/>
          <w:sz w:val="32"/>
          <w:szCs w:val="32"/>
          <w:u w:val="single"/>
        </w:rPr>
        <w:t xml:space="preserve"> </w:t>
      </w:r>
    </w:p>
    <w:p>
      <w:pPr>
        <w:spacing w:line="500" w:lineRule="exact"/>
        <w:rPr>
          <w:rFonts w:ascii="宋体" w:hAnsi="宋体"/>
          <w:b/>
          <w:bCs/>
          <w:sz w:val="36"/>
          <w:szCs w:val="36"/>
        </w:rPr>
      </w:pPr>
    </w:p>
    <w:p>
      <w:pPr>
        <w:spacing w:line="500" w:lineRule="exact"/>
        <w:jc w:val="center"/>
        <w:rPr>
          <w:rFonts w:hint="eastAsia" w:ascii="宋体" w:hAnsi="宋体"/>
          <w:b/>
          <w:bCs/>
          <w:sz w:val="36"/>
          <w:szCs w:val="36"/>
        </w:rPr>
      </w:pPr>
      <w:r>
        <w:rPr>
          <w:rFonts w:hint="eastAsia" w:ascii="宋体" w:hAnsi="宋体"/>
          <w:b/>
          <w:bCs/>
          <w:sz w:val="32"/>
          <w:szCs w:val="32"/>
        </w:rPr>
        <w:t>项目名称：</w:t>
      </w:r>
      <w:r>
        <w:rPr>
          <w:rFonts w:hint="eastAsia" w:ascii="宋体" w:hAnsi="宋体" w:cs="Times New Roman"/>
          <w:b/>
          <w:bCs/>
          <w:sz w:val="32"/>
          <w:szCs w:val="32"/>
          <w:u w:val="single"/>
          <w:lang w:val="en-US" w:eastAsia="zh-CN"/>
        </w:rPr>
        <w:t>2021年海曙区老旧小区智安前端系统建设项目</w:t>
      </w:r>
    </w:p>
    <w:p>
      <w:pPr>
        <w:rPr>
          <w:rFonts w:hint="eastAsia"/>
        </w:rPr>
      </w:pPr>
    </w:p>
    <w:p>
      <w:pPr>
        <w:rPr>
          <w:rFonts w:hint="eastAsia"/>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rPr>
          <w:rFonts w:hint="eastAsia" w:ascii="宋体" w:hAnsi="宋体"/>
          <w:b/>
          <w:bCs/>
          <w:sz w:val="32"/>
          <w:szCs w:val="32"/>
        </w:rPr>
      </w:pPr>
    </w:p>
    <w:p>
      <w:pPr>
        <w:spacing w:line="360" w:lineRule="auto"/>
        <w:jc w:val="center"/>
        <w:rPr>
          <w:rFonts w:ascii="宋体" w:hAnsi="宋体"/>
          <w:b/>
          <w:bCs/>
          <w:sz w:val="32"/>
          <w:szCs w:val="32"/>
        </w:rPr>
      </w:pPr>
      <w:r>
        <w:rPr>
          <w:rFonts w:hint="eastAsia" w:ascii="宋体" w:hAnsi="宋体"/>
          <w:b/>
          <w:bCs/>
          <w:sz w:val="32"/>
          <w:szCs w:val="32"/>
        </w:rPr>
        <w:t>宁波市海曙区公共资源交易中心</w:t>
      </w:r>
    </w:p>
    <w:p>
      <w:pPr>
        <w:spacing w:line="360" w:lineRule="auto"/>
        <w:jc w:val="center"/>
        <w:rPr>
          <w:sz w:val="28"/>
          <w:szCs w:val="28"/>
        </w:rPr>
        <w:sectPr>
          <w:headerReference r:id="rId4" w:type="first"/>
          <w:footerReference r:id="rId7" w:type="first"/>
          <w:headerReference r:id="rId3" w:type="default"/>
          <w:footerReference r:id="rId5" w:type="default"/>
          <w:footerReference r:id="rId6" w:type="even"/>
          <w:pgSz w:w="11907" w:h="16840"/>
          <w:pgMar w:top="1417" w:right="1107" w:bottom="1417" w:left="1080" w:header="720" w:footer="720" w:gutter="0"/>
          <w:pgBorders>
            <w:top w:val="none" w:sz="0" w:space="0"/>
            <w:left w:val="none" w:sz="0" w:space="0"/>
            <w:bottom w:val="none" w:sz="0" w:space="0"/>
            <w:right w:val="none" w:sz="0" w:space="0"/>
          </w:pgBorders>
          <w:pgNumType w:start="1"/>
          <w:cols w:space="720" w:num="1"/>
          <w:docGrid w:type="lines" w:linePitch="285" w:charSpace="0"/>
        </w:sectPr>
      </w:pPr>
      <w:r>
        <w:rPr>
          <w:rFonts w:hint="eastAsia"/>
          <w:sz w:val="28"/>
          <w:szCs w:val="28"/>
        </w:rPr>
        <w:t>二〇二</w:t>
      </w:r>
      <w:r>
        <w:rPr>
          <w:rFonts w:hint="eastAsia"/>
          <w:sz w:val="28"/>
          <w:szCs w:val="28"/>
          <w:lang w:eastAsia="zh-CN"/>
        </w:rPr>
        <w:t>一</w:t>
      </w:r>
      <w:r>
        <w:rPr>
          <w:rFonts w:hint="eastAsia"/>
          <w:sz w:val="28"/>
          <w:szCs w:val="28"/>
        </w:rPr>
        <w:t>年</w:t>
      </w:r>
      <w:r>
        <w:rPr>
          <w:rFonts w:hint="eastAsia"/>
          <w:sz w:val="28"/>
          <w:szCs w:val="28"/>
          <w:lang w:eastAsia="zh-CN"/>
        </w:rPr>
        <w:t>四</w:t>
      </w:r>
      <w:r>
        <w:rPr>
          <w:rFonts w:hint="eastAsia"/>
          <w:sz w:val="28"/>
          <w:szCs w:val="28"/>
        </w:rPr>
        <w:t>月</w:t>
      </w:r>
    </w:p>
    <w:p>
      <w:pPr>
        <w:spacing w:line="360" w:lineRule="auto"/>
        <w:rPr>
          <w:sz w:val="28"/>
          <w:szCs w:val="28"/>
        </w:rPr>
      </w:pPr>
    </w:p>
    <w:p>
      <w:pPr>
        <w:spacing w:line="360" w:lineRule="auto"/>
        <w:jc w:val="center"/>
        <w:rPr>
          <w:rFonts w:hint="eastAsia" w:ascii="宋体" w:hAnsi="宋体"/>
          <w:b/>
          <w:bCs/>
          <w:sz w:val="52"/>
          <w:szCs w:val="52"/>
        </w:rPr>
      </w:pPr>
    </w:p>
    <w:p>
      <w:pPr>
        <w:spacing w:line="360" w:lineRule="auto"/>
        <w:jc w:val="center"/>
        <w:rPr>
          <w:rFonts w:ascii="宋体" w:hAnsi="宋体"/>
          <w:b/>
          <w:bCs/>
          <w:sz w:val="52"/>
          <w:szCs w:val="52"/>
        </w:rPr>
      </w:pPr>
      <w:r>
        <w:rPr>
          <w:rFonts w:hint="eastAsia" w:ascii="宋体" w:hAnsi="宋体"/>
          <w:b/>
          <w:bCs/>
          <w:sz w:val="52"/>
          <w:szCs w:val="52"/>
        </w:rPr>
        <w:t xml:space="preserve">政 府 采 购 </w:t>
      </w:r>
    </w:p>
    <w:p>
      <w:pPr>
        <w:spacing w:line="360" w:lineRule="auto"/>
        <w:jc w:val="center"/>
        <w:rPr>
          <w:rFonts w:ascii="宋体" w:hAnsi="宋体"/>
          <w:b/>
          <w:bCs/>
          <w:sz w:val="52"/>
          <w:szCs w:val="52"/>
          <w:u w:val="single"/>
        </w:rPr>
      </w:pPr>
      <w:r>
        <w:rPr>
          <w:rFonts w:hint="eastAsia" w:ascii="宋体" w:hAnsi="宋体"/>
          <w:b/>
          <w:bCs/>
          <w:sz w:val="52"/>
          <w:szCs w:val="52"/>
        </w:rPr>
        <w:t>招 标 文 件</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500" w:lineRule="exact"/>
        <w:ind w:firstLine="2233" w:firstLineChars="695"/>
        <w:rPr>
          <w:rFonts w:ascii="宋体" w:hAnsi="宋体"/>
          <w:b/>
          <w:bCs/>
          <w:sz w:val="32"/>
          <w:szCs w:val="32"/>
          <w:u w:val="single"/>
        </w:rPr>
      </w:pPr>
      <w:r>
        <w:rPr>
          <w:rFonts w:hint="eastAsia" w:ascii="宋体" w:hAnsi="宋体"/>
          <w:b/>
          <w:bCs/>
          <w:sz w:val="32"/>
          <w:szCs w:val="32"/>
        </w:rPr>
        <w:t>采购编号：</w:t>
      </w:r>
      <w:r>
        <w:rPr>
          <w:rFonts w:hint="eastAsia" w:ascii="宋体" w:hAnsi="宋体"/>
          <w:b/>
          <w:bCs/>
          <w:sz w:val="32"/>
          <w:szCs w:val="32"/>
          <w:u w:val="single"/>
        </w:rPr>
        <w:t xml:space="preserve"> 202</w:t>
      </w:r>
      <w:r>
        <w:rPr>
          <w:rFonts w:hint="eastAsia" w:ascii="宋体" w:hAnsi="宋体"/>
          <w:b/>
          <w:bCs/>
          <w:sz w:val="32"/>
          <w:szCs w:val="32"/>
          <w:u w:val="single"/>
          <w:lang w:val="en-US" w:eastAsia="zh-CN"/>
        </w:rPr>
        <w:t>1</w:t>
      </w:r>
      <w:r>
        <w:rPr>
          <w:rFonts w:hint="eastAsia" w:ascii="宋体" w:hAnsi="宋体"/>
          <w:b/>
          <w:bCs/>
          <w:sz w:val="32"/>
          <w:szCs w:val="32"/>
          <w:u w:val="single"/>
        </w:rPr>
        <w:t>NBHS</w:t>
      </w:r>
      <w:r>
        <w:rPr>
          <w:rFonts w:hint="eastAsia" w:ascii="宋体" w:hAnsi="宋体"/>
          <w:b/>
          <w:bCs/>
          <w:sz w:val="32"/>
          <w:szCs w:val="32"/>
          <w:u w:val="single"/>
          <w:lang w:val="en-US" w:eastAsia="zh-CN"/>
        </w:rPr>
        <w:t>J</w:t>
      </w:r>
      <w:r>
        <w:rPr>
          <w:rFonts w:hint="eastAsia" w:ascii="宋体" w:hAnsi="宋体"/>
          <w:b/>
          <w:bCs/>
          <w:sz w:val="32"/>
          <w:szCs w:val="32"/>
          <w:u w:val="single"/>
        </w:rPr>
        <w:t>C</w:t>
      </w:r>
      <w:r>
        <w:rPr>
          <w:rFonts w:hint="eastAsia" w:ascii="宋体" w:hAnsi="宋体"/>
          <w:b/>
          <w:bCs/>
          <w:sz w:val="32"/>
          <w:szCs w:val="32"/>
          <w:u w:val="single"/>
          <w:lang w:val="en-US" w:eastAsia="zh-CN"/>
        </w:rPr>
        <w:t>026</w:t>
      </w:r>
      <w:r>
        <w:rPr>
          <w:rFonts w:hint="eastAsia" w:ascii="宋体" w:hAnsi="宋体"/>
          <w:b/>
          <w:bCs/>
          <w:sz w:val="32"/>
          <w:szCs w:val="32"/>
          <w:u w:val="single"/>
        </w:rPr>
        <w:t xml:space="preserve"> </w:t>
      </w:r>
    </w:p>
    <w:p>
      <w:pPr>
        <w:spacing w:line="500" w:lineRule="exact"/>
        <w:rPr>
          <w:rFonts w:ascii="宋体" w:hAnsi="宋体"/>
          <w:b/>
          <w:bCs/>
          <w:sz w:val="36"/>
          <w:szCs w:val="36"/>
        </w:rPr>
      </w:pPr>
    </w:p>
    <w:p>
      <w:pPr>
        <w:spacing w:line="500" w:lineRule="exact"/>
        <w:jc w:val="center"/>
        <w:rPr>
          <w:rFonts w:hint="eastAsia" w:ascii="宋体" w:hAnsi="宋体"/>
          <w:b/>
          <w:bCs/>
          <w:sz w:val="36"/>
          <w:szCs w:val="36"/>
        </w:rPr>
      </w:pPr>
      <w:r>
        <w:rPr>
          <w:rFonts w:hint="eastAsia" w:ascii="宋体" w:hAnsi="宋体"/>
          <w:b/>
          <w:bCs/>
          <w:sz w:val="32"/>
          <w:szCs w:val="32"/>
        </w:rPr>
        <w:t>项目名称：</w:t>
      </w:r>
      <w:r>
        <w:rPr>
          <w:rFonts w:hint="eastAsia" w:ascii="宋体" w:hAnsi="宋体" w:cs="Times New Roman"/>
          <w:b/>
          <w:bCs/>
          <w:sz w:val="32"/>
          <w:szCs w:val="32"/>
          <w:u w:val="single"/>
          <w:lang w:val="en-US" w:eastAsia="zh-CN"/>
        </w:rPr>
        <w:t>2021年海曙区老旧小区智安前端系统建设项目</w:t>
      </w:r>
    </w:p>
    <w:p>
      <w:pPr>
        <w:spacing w:line="500" w:lineRule="exact"/>
        <w:jc w:val="center"/>
        <w:rPr>
          <w:rFonts w:hint="eastAsia" w:ascii="宋体" w:hAnsi="宋体" w:eastAsia="宋体"/>
          <w:b/>
          <w:bCs/>
          <w:sz w:val="32"/>
          <w:szCs w:val="32"/>
          <w:u w:val="single"/>
          <w:lang w:eastAsia="zh-CN"/>
        </w:rPr>
      </w:pPr>
    </w:p>
    <w:p>
      <w:pPr>
        <w:spacing w:line="500" w:lineRule="exact"/>
        <w:jc w:val="center"/>
        <w:rPr>
          <w:rFonts w:ascii="宋体" w:hAnsi="宋体"/>
          <w:b/>
          <w:bCs/>
          <w:sz w:val="32"/>
          <w:szCs w:val="32"/>
          <w:u w:val="single"/>
        </w:rPr>
      </w:pPr>
    </w:p>
    <w:p>
      <w:pPr>
        <w:spacing w:line="500" w:lineRule="exact"/>
        <w:jc w:val="center"/>
        <w:rPr>
          <w:rFonts w:hint="eastAsia" w:ascii="黑体" w:hAnsi="宋体"/>
          <w:b/>
          <w:sz w:val="44"/>
        </w:rPr>
      </w:pPr>
    </w:p>
    <w:p>
      <w:pPr>
        <w:spacing w:line="500" w:lineRule="exact"/>
        <w:jc w:val="center"/>
        <w:rPr>
          <w:rFonts w:ascii="宋体" w:hAnsi="宋体"/>
          <w:b/>
          <w:bCs/>
          <w:sz w:val="32"/>
          <w:szCs w:val="32"/>
        </w:rPr>
      </w:pPr>
    </w:p>
    <w:p>
      <w:pPr>
        <w:spacing w:line="360" w:lineRule="auto"/>
        <w:jc w:val="center"/>
        <w:rPr>
          <w:rFonts w:ascii="宋体" w:hAnsi="宋体"/>
          <w:b/>
          <w:bCs/>
          <w:sz w:val="30"/>
          <w:szCs w:val="30"/>
        </w:rPr>
      </w:pPr>
    </w:p>
    <w:p>
      <w:pPr>
        <w:spacing w:line="360" w:lineRule="auto"/>
        <w:jc w:val="center"/>
        <w:rPr>
          <w:rFonts w:ascii="宋体" w:hAnsi="宋体"/>
          <w:b/>
          <w:bCs/>
          <w:sz w:val="30"/>
          <w:szCs w:val="30"/>
        </w:rPr>
      </w:pPr>
    </w:p>
    <w:p>
      <w:pPr>
        <w:spacing w:line="360" w:lineRule="auto"/>
        <w:jc w:val="both"/>
        <w:rPr>
          <w:rFonts w:ascii="宋体" w:hAnsi="宋体"/>
          <w:b/>
          <w:bCs/>
          <w:sz w:val="30"/>
          <w:szCs w:val="30"/>
        </w:rPr>
      </w:pPr>
    </w:p>
    <w:p>
      <w:pPr>
        <w:spacing w:line="360" w:lineRule="auto"/>
        <w:ind w:firstLine="1946" w:firstLineChars="646"/>
        <w:rPr>
          <w:rFonts w:ascii="宋体" w:hAnsi="宋体"/>
          <w:b/>
          <w:bCs/>
          <w:sz w:val="30"/>
          <w:szCs w:val="30"/>
          <w:u w:val="single"/>
        </w:rPr>
      </w:pPr>
      <w:r>
        <w:rPr>
          <w:rFonts w:hint="eastAsia" w:ascii="宋体" w:hAnsi="宋体"/>
          <w:b/>
          <w:bCs/>
          <w:sz w:val="30"/>
          <w:szCs w:val="30"/>
        </w:rPr>
        <w:t>采购单位名称：</w:t>
      </w:r>
      <w:r>
        <w:rPr>
          <w:rFonts w:hint="eastAsia" w:ascii="宋体" w:hAnsi="宋体"/>
          <w:b/>
          <w:bCs/>
          <w:sz w:val="30"/>
          <w:szCs w:val="30"/>
          <w:u w:val="single"/>
        </w:rPr>
        <w:t xml:space="preserve">（盖章）             </w:t>
      </w:r>
    </w:p>
    <w:p>
      <w:pPr>
        <w:spacing w:line="360" w:lineRule="auto"/>
        <w:ind w:firstLine="1946" w:firstLineChars="646"/>
        <w:rPr>
          <w:rFonts w:ascii="宋体" w:hAnsi="宋体"/>
          <w:b/>
          <w:bCs/>
          <w:sz w:val="30"/>
          <w:szCs w:val="30"/>
          <w:u w:val="single"/>
        </w:rPr>
      </w:pPr>
      <w:r>
        <w:rPr>
          <w:rFonts w:hint="eastAsia" w:ascii="宋体" w:hAnsi="宋体"/>
          <w:b/>
          <w:bCs/>
          <w:sz w:val="30"/>
          <w:szCs w:val="30"/>
          <w:u w:val="single"/>
        </w:rPr>
        <w:t xml:space="preserve">法定代表人（签字或盖章）           </w:t>
      </w:r>
    </w:p>
    <w:p>
      <w:pPr>
        <w:spacing w:line="360" w:lineRule="auto"/>
        <w:jc w:val="both"/>
        <w:rPr>
          <w:rFonts w:ascii="宋体" w:hAnsi="宋体"/>
          <w:b/>
          <w:bCs/>
          <w:sz w:val="30"/>
          <w:szCs w:val="30"/>
        </w:rPr>
      </w:pPr>
    </w:p>
    <w:p>
      <w:pPr>
        <w:spacing w:line="360" w:lineRule="auto"/>
        <w:rPr>
          <w:rFonts w:ascii="宋体" w:hAnsi="宋体"/>
          <w:b/>
          <w:bCs/>
          <w:sz w:val="30"/>
          <w:szCs w:val="30"/>
        </w:rPr>
      </w:pPr>
    </w:p>
    <w:p>
      <w:pPr>
        <w:spacing w:line="360" w:lineRule="auto"/>
        <w:ind w:firstLine="744" w:firstLineChars="247"/>
        <w:rPr>
          <w:rFonts w:ascii="宋体" w:hAnsi="宋体"/>
          <w:b/>
          <w:bCs/>
          <w:sz w:val="30"/>
          <w:szCs w:val="30"/>
        </w:rPr>
      </w:pPr>
      <w:r>
        <w:rPr>
          <w:rFonts w:hint="eastAsia" w:ascii="宋体" w:hAnsi="宋体"/>
          <w:b/>
          <w:bCs/>
          <w:sz w:val="30"/>
          <w:szCs w:val="30"/>
        </w:rPr>
        <w:t xml:space="preserve">     集中采购机构：</w:t>
      </w:r>
      <w:r>
        <w:rPr>
          <w:rFonts w:hint="eastAsia" w:ascii="宋体" w:hAnsi="宋体"/>
          <w:b/>
          <w:bCs/>
          <w:sz w:val="30"/>
          <w:szCs w:val="30"/>
          <w:u w:val="single"/>
        </w:rPr>
        <w:t>宁波市海曙区公共资源交易中心</w:t>
      </w:r>
    </w:p>
    <w:p>
      <w:pPr>
        <w:spacing w:line="360" w:lineRule="auto"/>
        <w:rPr>
          <w:rFonts w:ascii="仿宋_GB2312" w:hAnsi="宋体" w:eastAsia="仿宋_GB2312"/>
          <w:b/>
          <w:bCs/>
          <w:sz w:val="28"/>
          <w:szCs w:val="28"/>
        </w:rPr>
      </w:pPr>
    </w:p>
    <w:p>
      <w:pPr>
        <w:spacing w:line="360" w:lineRule="auto"/>
        <w:jc w:val="center"/>
        <w:rPr>
          <w:rFonts w:ascii="仿宋_GB2312" w:hAnsi="宋体" w:eastAsia="仿宋_GB2312"/>
          <w:b/>
          <w:bCs/>
          <w:sz w:val="28"/>
          <w:szCs w:val="28"/>
        </w:rPr>
      </w:pPr>
      <w:r>
        <w:rPr>
          <w:rFonts w:hint="eastAsia" w:ascii="仿宋_GB2312" w:hAnsi="宋体" w:eastAsia="仿宋_GB2312"/>
          <w:b/>
          <w:bCs/>
          <w:sz w:val="28"/>
          <w:szCs w:val="28"/>
        </w:rPr>
        <w:t>招标文件编制日期：二0二</w:t>
      </w:r>
      <w:r>
        <w:rPr>
          <w:rFonts w:hint="eastAsia" w:ascii="仿宋_GB2312" w:hAnsi="宋体" w:eastAsia="仿宋_GB2312"/>
          <w:b/>
          <w:bCs/>
          <w:sz w:val="28"/>
          <w:szCs w:val="28"/>
          <w:lang w:eastAsia="zh-CN"/>
        </w:rPr>
        <w:t>一</w:t>
      </w:r>
      <w:r>
        <w:rPr>
          <w:rFonts w:hint="eastAsia" w:ascii="仿宋_GB2312" w:hAnsi="宋体" w:eastAsia="仿宋_GB2312"/>
          <w:b/>
          <w:bCs/>
          <w:sz w:val="28"/>
          <w:szCs w:val="28"/>
        </w:rPr>
        <w:t>年</w:t>
      </w:r>
      <w:r>
        <w:rPr>
          <w:rFonts w:hint="eastAsia" w:ascii="仿宋_GB2312" w:hAnsi="宋体" w:eastAsia="仿宋_GB2312"/>
          <w:b/>
          <w:bCs/>
          <w:sz w:val="28"/>
          <w:szCs w:val="28"/>
          <w:lang w:eastAsia="zh-CN"/>
        </w:rPr>
        <w:t>四</w:t>
      </w:r>
      <w:r>
        <w:rPr>
          <w:rFonts w:hint="eastAsia" w:ascii="仿宋_GB2312" w:hAnsi="宋体" w:eastAsia="仿宋_GB2312"/>
          <w:b/>
          <w:bCs/>
          <w:sz w:val="28"/>
          <w:szCs w:val="28"/>
        </w:rPr>
        <w:t>月</w:t>
      </w:r>
    </w:p>
    <w:p>
      <w:pPr>
        <w:jc w:val="center"/>
        <w:rPr>
          <w:rFonts w:hint="eastAsia" w:ascii="楷体" w:hAnsi="楷体" w:eastAsia="楷体" w:cs="楷体"/>
          <w:b w:val="0"/>
          <w:bCs w:val="0"/>
          <w:i/>
          <w:iCs/>
          <w:sz w:val="24"/>
          <w:szCs w:val="24"/>
          <w:lang w:eastAsia="zh-CN"/>
        </w:rPr>
      </w:pPr>
      <w:r>
        <w:rPr>
          <w:rFonts w:hint="eastAsia" w:ascii="楷体" w:hAnsi="楷体" w:eastAsia="楷体" w:cs="楷体"/>
          <w:b w:val="0"/>
          <w:bCs w:val="0"/>
          <w:i/>
          <w:iCs/>
          <w:sz w:val="24"/>
          <w:szCs w:val="24"/>
          <w:lang w:eastAsia="zh-CN"/>
        </w:rPr>
        <w:t>（此页作为采购人对采购文件的纸质确认书）</w:t>
      </w:r>
    </w:p>
    <w:p>
      <w:pPr>
        <w:rPr>
          <w:rFonts w:ascii="宋体" w:hAnsi="宋体"/>
          <w:b/>
          <w:bCs/>
          <w:sz w:val="44"/>
          <w:szCs w:val="44"/>
        </w:rPr>
      </w:pPr>
      <w:r>
        <w:rPr>
          <w:rFonts w:hint="eastAsia" w:ascii="宋体" w:hAnsi="宋体"/>
          <w:b/>
          <w:bCs/>
          <w:sz w:val="44"/>
          <w:szCs w:val="44"/>
        </w:rPr>
        <w:t xml:space="preserve">     </w:t>
      </w:r>
    </w:p>
    <w:p>
      <w:pPr>
        <w:jc w:val="center"/>
        <w:rPr>
          <w:rFonts w:ascii="宋体" w:hAnsi="宋体"/>
          <w:b/>
          <w:bCs/>
          <w:sz w:val="44"/>
          <w:szCs w:val="44"/>
        </w:rPr>
      </w:pPr>
      <w:bookmarkStart w:id="0" w:name="_Toc268004446"/>
      <w:bookmarkStart w:id="1" w:name="_Toc272497407"/>
      <w:bookmarkStart w:id="2" w:name="_Toc273520765"/>
      <w:r>
        <w:rPr>
          <w:rFonts w:hint="eastAsia" w:ascii="宋体" w:hAnsi="宋体"/>
          <w:b/>
          <w:bCs/>
          <w:sz w:val="44"/>
          <w:szCs w:val="44"/>
        </w:rPr>
        <w:t>目      录</w:t>
      </w:r>
    </w:p>
    <w:p>
      <w:pPr>
        <w:pStyle w:val="12"/>
        <w:tabs>
          <w:tab w:val="right" w:leader="dot" w:pos="9714"/>
        </w:tabs>
        <w:ind w:left="0" w:leftChars="0" w:firstLine="0" w:firstLineChars="0"/>
        <w:rPr>
          <w:rFonts w:ascii="宋体" w:hAnsi="宋体" w:eastAsia="宋体"/>
          <w:smallCaps/>
          <w:sz w:val="28"/>
          <w:szCs w:val="28"/>
          <w:lang w:val="en-US" w:eastAsia="zh-CN" w:bidi="ar-SA"/>
        </w:rPr>
      </w:pPr>
      <w:r>
        <w:fldChar w:fldCharType="begin"/>
      </w:r>
      <w:r>
        <w:instrText xml:space="preserve"> TOC \o "1-3" \h \z \u </w:instrText>
      </w:r>
      <w:r>
        <w:fldChar w:fldCharType="separate"/>
      </w:r>
      <w:r>
        <w:rPr>
          <w:rFonts w:ascii="宋体" w:hAnsi="宋体"/>
          <w:sz w:val="28"/>
          <w:szCs w:val="28"/>
        </w:rPr>
        <w:fldChar w:fldCharType="begin"/>
      </w:r>
      <w:r>
        <w:rPr>
          <w:rStyle w:val="18"/>
          <w:rFonts w:ascii="宋体" w:hAnsi="宋体"/>
          <w:sz w:val="28"/>
          <w:szCs w:val="28"/>
        </w:rPr>
        <w:instrText xml:space="preserve"> </w:instrText>
      </w:r>
      <w:r>
        <w:rPr>
          <w:rFonts w:ascii="宋体" w:hAnsi="宋体"/>
          <w:sz w:val="28"/>
          <w:szCs w:val="28"/>
        </w:rPr>
        <w:instrText xml:space="preserve">HYPERLINK \l "_Toc498091089"</w:instrText>
      </w:r>
      <w:r>
        <w:rPr>
          <w:rStyle w:val="18"/>
          <w:rFonts w:ascii="宋体" w:hAnsi="宋体"/>
          <w:sz w:val="28"/>
          <w:szCs w:val="28"/>
        </w:rPr>
        <w:instrText xml:space="preserve">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TOC </w:instrText>
      </w:r>
      <w:r>
        <w:rPr>
          <w:rFonts w:ascii="宋体" w:hAnsi="宋体"/>
          <w:sz w:val="28"/>
          <w:szCs w:val="28"/>
        </w:rPr>
        <w:fldChar w:fldCharType="separate"/>
      </w:r>
    </w:p>
    <w:p>
      <w:pPr>
        <w:pStyle w:val="10"/>
        <w:keepNext w:val="0"/>
        <w:keepLines w:val="0"/>
        <w:pageBreakBefore w:val="0"/>
        <w:widowControl/>
        <w:tabs>
          <w:tab w:val="right" w:leader="dot" w:pos="9724"/>
          <w:tab w:val="clear" w:pos="9628"/>
        </w:tabs>
        <w:kinsoku/>
        <w:wordWrap/>
        <w:overflowPunct/>
        <w:topLinePunct w:val="0"/>
        <w:autoSpaceDE/>
        <w:autoSpaceDN/>
        <w:bidi w:val="0"/>
        <w:adjustRightInd/>
        <w:snapToGrid/>
        <w:spacing w:line="500" w:lineRule="exact"/>
        <w:textAlignment w:val="auto"/>
      </w:pPr>
      <w:r>
        <w:rPr>
          <w:rFonts w:hint="eastAsia" w:ascii="宋体" w:hAnsi="宋体"/>
        </w:rPr>
        <w:t>第一章 招标公告</w:t>
      </w:r>
      <w:r>
        <w:tab/>
      </w:r>
      <w:r>
        <w:fldChar w:fldCharType="begin"/>
      </w:r>
      <w:r>
        <w:instrText xml:space="preserve"> PAGEREF _Toc17822 \h </w:instrText>
      </w:r>
      <w:r>
        <w:fldChar w:fldCharType="separate"/>
      </w:r>
      <w:r>
        <w:t>3</w:t>
      </w:r>
      <w:r>
        <w:fldChar w:fldCharType="end"/>
      </w:r>
    </w:p>
    <w:p>
      <w:pPr>
        <w:pStyle w:val="12"/>
        <w:keepNext w:val="0"/>
        <w:keepLines w:val="0"/>
        <w:pageBreakBefore w:val="0"/>
        <w:widowControl/>
        <w:tabs>
          <w:tab w:val="right" w:leader="dot" w:pos="9724"/>
        </w:tabs>
        <w:kinsoku/>
        <w:wordWrap/>
        <w:overflowPunct/>
        <w:topLinePunct w:val="0"/>
        <w:autoSpaceDE/>
        <w:autoSpaceDN/>
        <w:bidi w:val="0"/>
        <w:adjustRightInd/>
        <w:snapToGrid/>
        <w:spacing w:line="500" w:lineRule="exact"/>
        <w:textAlignment w:val="auto"/>
        <w:rPr>
          <w:sz w:val="24"/>
          <w:szCs w:val="24"/>
        </w:rPr>
      </w:pPr>
      <w:r>
        <w:rPr>
          <w:rFonts w:hint="eastAsia" w:ascii="宋体" w:hAnsi="宋体" w:eastAsia="宋体" w:cs="宋体"/>
          <w:bCs w:val="0"/>
          <w:sz w:val="24"/>
          <w:szCs w:val="24"/>
        </w:rPr>
        <w:t>一、项目基本情况</w:t>
      </w:r>
      <w:r>
        <w:rPr>
          <w:sz w:val="24"/>
          <w:szCs w:val="24"/>
        </w:rPr>
        <w:tab/>
      </w:r>
      <w:r>
        <w:rPr>
          <w:sz w:val="24"/>
          <w:szCs w:val="24"/>
        </w:rPr>
        <w:fldChar w:fldCharType="begin"/>
      </w:r>
      <w:r>
        <w:rPr>
          <w:sz w:val="24"/>
          <w:szCs w:val="24"/>
        </w:rPr>
        <w:instrText xml:space="preserve"> PAGEREF _Toc15479 \h </w:instrText>
      </w:r>
      <w:r>
        <w:rPr>
          <w:sz w:val="24"/>
          <w:szCs w:val="24"/>
        </w:rPr>
        <w:fldChar w:fldCharType="separate"/>
      </w:r>
      <w:r>
        <w:rPr>
          <w:sz w:val="24"/>
          <w:szCs w:val="24"/>
        </w:rPr>
        <w:t>3</w:t>
      </w:r>
      <w:r>
        <w:rPr>
          <w:sz w:val="24"/>
          <w:szCs w:val="24"/>
        </w:rPr>
        <w:fldChar w:fldCharType="end"/>
      </w:r>
    </w:p>
    <w:p>
      <w:pPr>
        <w:pStyle w:val="12"/>
        <w:keepNext w:val="0"/>
        <w:keepLines w:val="0"/>
        <w:pageBreakBefore w:val="0"/>
        <w:widowControl/>
        <w:tabs>
          <w:tab w:val="right" w:leader="dot" w:pos="9724"/>
        </w:tabs>
        <w:kinsoku/>
        <w:wordWrap/>
        <w:overflowPunct/>
        <w:topLinePunct w:val="0"/>
        <w:autoSpaceDE/>
        <w:autoSpaceDN/>
        <w:bidi w:val="0"/>
        <w:adjustRightInd/>
        <w:snapToGrid/>
        <w:spacing w:line="500" w:lineRule="exact"/>
        <w:textAlignment w:val="auto"/>
        <w:rPr>
          <w:sz w:val="24"/>
          <w:szCs w:val="24"/>
        </w:rPr>
      </w:pPr>
      <w:r>
        <w:rPr>
          <w:rFonts w:hint="eastAsia" w:ascii="宋体" w:hAnsi="宋体" w:eastAsia="宋体" w:cs="宋体"/>
          <w:bCs w:val="0"/>
          <w:sz w:val="24"/>
          <w:szCs w:val="24"/>
        </w:rPr>
        <w:t>二、申请人的资格要求</w:t>
      </w:r>
      <w:r>
        <w:rPr>
          <w:sz w:val="24"/>
          <w:szCs w:val="24"/>
        </w:rPr>
        <w:tab/>
      </w:r>
      <w:r>
        <w:rPr>
          <w:sz w:val="24"/>
          <w:szCs w:val="24"/>
        </w:rPr>
        <w:fldChar w:fldCharType="begin"/>
      </w:r>
      <w:r>
        <w:rPr>
          <w:sz w:val="24"/>
          <w:szCs w:val="24"/>
        </w:rPr>
        <w:instrText xml:space="preserve"> PAGEREF _Toc20403 \h </w:instrText>
      </w:r>
      <w:r>
        <w:rPr>
          <w:sz w:val="24"/>
          <w:szCs w:val="24"/>
        </w:rPr>
        <w:fldChar w:fldCharType="separate"/>
      </w:r>
      <w:r>
        <w:rPr>
          <w:sz w:val="24"/>
          <w:szCs w:val="24"/>
        </w:rPr>
        <w:t>3</w:t>
      </w:r>
      <w:r>
        <w:rPr>
          <w:sz w:val="24"/>
          <w:szCs w:val="24"/>
        </w:rPr>
        <w:fldChar w:fldCharType="end"/>
      </w:r>
    </w:p>
    <w:p>
      <w:pPr>
        <w:pStyle w:val="12"/>
        <w:keepNext w:val="0"/>
        <w:keepLines w:val="0"/>
        <w:pageBreakBefore w:val="0"/>
        <w:widowControl/>
        <w:tabs>
          <w:tab w:val="right" w:leader="dot" w:pos="9724"/>
        </w:tabs>
        <w:kinsoku/>
        <w:wordWrap/>
        <w:overflowPunct/>
        <w:topLinePunct w:val="0"/>
        <w:autoSpaceDE/>
        <w:autoSpaceDN/>
        <w:bidi w:val="0"/>
        <w:adjustRightInd/>
        <w:snapToGrid/>
        <w:spacing w:line="500" w:lineRule="exact"/>
        <w:textAlignment w:val="auto"/>
        <w:rPr>
          <w:sz w:val="24"/>
          <w:szCs w:val="24"/>
        </w:rPr>
      </w:pPr>
      <w:r>
        <w:rPr>
          <w:rFonts w:hint="eastAsia" w:ascii="宋体" w:hAnsi="宋体" w:eastAsia="宋体" w:cs="宋体"/>
          <w:bCs w:val="0"/>
          <w:sz w:val="24"/>
          <w:szCs w:val="24"/>
        </w:rPr>
        <w:t>三、获取招标文件</w:t>
      </w:r>
      <w:r>
        <w:rPr>
          <w:sz w:val="24"/>
          <w:szCs w:val="24"/>
        </w:rPr>
        <w:tab/>
      </w:r>
      <w:r>
        <w:rPr>
          <w:sz w:val="24"/>
          <w:szCs w:val="24"/>
        </w:rPr>
        <w:fldChar w:fldCharType="begin"/>
      </w:r>
      <w:r>
        <w:rPr>
          <w:sz w:val="24"/>
          <w:szCs w:val="24"/>
        </w:rPr>
        <w:instrText xml:space="preserve"> PAGEREF _Toc24793 \h </w:instrText>
      </w:r>
      <w:r>
        <w:rPr>
          <w:sz w:val="24"/>
          <w:szCs w:val="24"/>
        </w:rPr>
        <w:fldChar w:fldCharType="separate"/>
      </w:r>
      <w:r>
        <w:rPr>
          <w:sz w:val="24"/>
          <w:szCs w:val="24"/>
        </w:rPr>
        <w:t>4</w:t>
      </w:r>
      <w:r>
        <w:rPr>
          <w:sz w:val="24"/>
          <w:szCs w:val="24"/>
        </w:rPr>
        <w:fldChar w:fldCharType="end"/>
      </w:r>
    </w:p>
    <w:p>
      <w:pPr>
        <w:pStyle w:val="12"/>
        <w:keepNext w:val="0"/>
        <w:keepLines w:val="0"/>
        <w:pageBreakBefore w:val="0"/>
        <w:widowControl/>
        <w:tabs>
          <w:tab w:val="right" w:leader="dot" w:pos="9724"/>
        </w:tabs>
        <w:kinsoku/>
        <w:wordWrap/>
        <w:overflowPunct/>
        <w:topLinePunct w:val="0"/>
        <w:autoSpaceDE/>
        <w:autoSpaceDN/>
        <w:bidi w:val="0"/>
        <w:adjustRightInd/>
        <w:snapToGrid/>
        <w:spacing w:line="500" w:lineRule="exact"/>
        <w:textAlignment w:val="auto"/>
        <w:rPr>
          <w:sz w:val="24"/>
          <w:szCs w:val="24"/>
        </w:rPr>
      </w:pPr>
      <w:r>
        <w:rPr>
          <w:rFonts w:hint="eastAsia" w:ascii="宋体" w:hAnsi="宋体" w:eastAsia="宋体" w:cs="宋体"/>
          <w:bCs w:val="0"/>
          <w:sz w:val="24"/>
          <w:szCs w:val="24"/>
        </w:rPr>
        <w:t>四、提交投标文件截止时间、开标时间和地点</w:t>
      </w:r>
      <w:r>
        <w:rPr>
          <w:sz w:val="24"/>
          <w:szCs w:val="24"/>
        </w:rPr>
        <w:tab/>
      </w:r>
      <w:r>
        <w:rPr>
          <w:sz w:val="24"/>
          <w:szCs w:val="24"/>
        </w:rPr>
        <w:fldChar w:fldCharType="begin"/>
      </w:r>
      <w:r>
        <w:rPr>
          <w:sz w:val="24"/>
          <w:szCs w:val="24"/>
        </w:rPr>
        <w:instrText xml:space="preserve"> PAGEREF _Toc30275 \h </w:instrText>
      </w:r>
      <w:r>
        <w:rPr>
          <w:sz w:val="24"/>
          <w:szCs w:val="24"/>
        </w:rPr>
        <w:fldChar w:fldCharType="separate"/>
      </w:r>
      <w:r>
        <w:rPr>
          <w:sz w:val="24"/>
          <w:szCs w:val="24"/>
        </w:rPr>
        <w:t>4</w:t>
      </w:r>
      <w:r>
        <w:rPr>
          <w:sz w:val="24"/>
          <w:szCs w:val="24"/>
        </w:rPr>
        <w:fldChar w:fldCharType="end"/>
      </w:r>
    </w:p>
    <w:p>
      <w:pPr>
        <w:pStyle w:val="12"/>
        <w:keepNext w:val="0"/>
        <w:keepLines w:val="0"/>
        <w:pageBreakBefore w:val="0"/>
        <w:widowControl/>
        <w:tabs>
          <w:tab w:val="right" w:leader="dot" w:pos="9724"/>
        </w:tabs>
        <w:kinsoku/>
        <w:wordWrap/>
        <w:overflowPunct/>
        <w:topLinePunct w:val="0"/>
        <w:autoSpaceDE/>
        <w:autoSpaceDN/>
        <w:bidi w:val="0"/>
        <w:adjustRightInd/>
        <w:snapToGrid/>
        <w:spacing w:line="500" w:lineRule="exact"/>
        <w:textAlignment w:val="auto"/>
        <w:rPr>
          <w:sz w:val="24"/>
          <w:szCs w:val="24"/>
        </w:rPr>
      </w:pPr>
      <w:r>
        <w:rPr>
          <w:rFonts w:hint="eastAsia" w:ascii="宋体" w:hAnsi="宋体" w:eastAsia="宋体" w:cs="宋体"/>
          <w:bCs w:val="0"/>
          <w:sz w:val="24"/>
          <w:szCs w:val="24"/>
        </w:rPr>
        <w:t>五、公告期限</w:t>
      </w:r>
      <w:r>
        <w:rPr>
          <w:sz w:val="24"/>
          <w:szCs w:val="24"/>
        </w:rPr>
        <w:tab/>
      </w:r>
      <w:r>
        <w:rPr>
          <w:sz w:val="24"/>
          <w:szCs w:val="24"/>
        </w:rPr>
        <w:fldChar w:fldCharType="begin"/>
      </w:r>
      <w:r>
        <w:rPr>
          <w:sz w:val="24"/>
          <w:szCs w:val="24"/>
        </w:rPr>
        <w:instrText xml:space="preserve"> PAGEREF _Toc7966 \h </w:instrText>
      </w:r>
      <w:r>
        <w:rPr>
          <w:sz w:val="24"/>
          <w:szCs w:val="24"/>
        </w:rPr>
        <w:fldChar w:fldCharType="separate"/>
      </w:r>
      <w:r>
        <w:rPr>
          <w:sz w:val="24"/>
          <w:szCs w:val="24"/>
        </w:rPr>
        <w:t>4</w:t>
      </w:r>
      <w:r>
        <w:rPr>
          <w:sz w:val="24"/>
          <w:szCs w:val="24"/>
        </w:rPr>
        <w:fldChar w:fldCharType="end"/>
      </w:r>
    </w:p>
    <w:p>
      <w:pPr>
        <w:pStyle w:val="12"/>
        <w:keepNext w:val="0"/>
        <w:keepLines w:val="0"/>
        <w:pageBreakBefore w:val="0"/>
        <w:widowControl/>
        <w:tabs>
          <w:tab w:val="right" w:leader="dot" w:pos="9724"/>
        </w:tabs>
        <w:kinsoku/>
        <w:wordWrap/>
        <w:overflowPunct/>
        <w:topLinePunct w:val="0"/>
        <w:autoSpaceDE/>
        <w:autoSpaceDN/>
        <w:bidi w:val="0"/>
        <w:adjustRightInd/>
        <w:snapToGrid/>
        <w:spacing w:line="500" w:lineRule="exact"/>
        <w:textAlignment w:val="auto"/>
        <w:rPr>
          <w:sz w:val="24"/>
          <w:szCs w:val="24"/>
        </w:rPr>
      </w:pPr>
      <w:r>
        <w:rPr>
          <w:rFonts w:hint="eastAsia" w:ascii="宋体" w:hAnsi="宋体" w:eastAsia="宋体" w:cs="宋体"/>
          <w:bCs w:val="0"/>
          <w:sz w:val="24"/>
          <w:szCs w:val="24"/>
        </w:rPr>
        <w:t>六、 其他补充事宜</w:t>
      </w:r>
      <w:r>
        <w:rPr>
          <w:sz w:val="24"/>
          <w:szCs w:val="24"/>
        </w:rPr>
        <w:tab/>
      </w:r>
      <w:r>
        <w:rPr>
          <w:sz w:val="24"/>
          <w:szCs w:val="24"/>
        </w:rPr>
        <w:fldChar w:fldCharType="begin"/>
      </w:r>
      <w:r>
        <w:rPr>
          <w:sz w:val="24"/>
          <w:szCs w:val="24"/>
        </w:rPr>
        <w:instrText xml:space="preserve"> PAGEREF _Toc24118 \h </w:instrText>
      </w:r>
      <w:r>
        <w:rPr>
          <w:sz w:val="24"/>
          <w:szCs w:val="24"/>
        </w:rPr>
        <w:fldChar w:fldCharType="separate"/>
      </w:r>
      <w:r>
        <w:rPr>
          <w:sz w:val="24"/>
          <w:szCs w:val="24"/>
        </w:rPr>
        <w:t>4</w:t>
      </w:r>
      <w:r>
        <w:rPr>
          <w:sz w:val="24"/>
          <w:szCs w:val="24"/>
        </w:rPr>
        <w:fldChar w:fldCharType="end"/>
      </w:r>
    </w:p>
    <w:p>
      <w:pPr>
        <w:pStyle w:val="12"/>
        <w:keepNext w:val="0"/>
        <w:keepLines w:val="0"/>
        <w:pageBreakBefore w:val="0"/>
        <w:widowControl/>
        <w:tabs>
          <w:tab w:val="right" w:leader="dot" w:pos="9724"/>
        </w:tabs>
        <w:kinsoku/>
        <w:wordWrap/>
        <w:overflowPunct/>
        <w:topLinePunct w:val="0"/>
        <w:autoSpaceDE/>
        <w:autoSpaceDN/>
        <w:bidi w:val="0"/>
        <w:adjustRightInd/>
        <w:snapToGrid/>
        <w:spacing w:line="500" w:lineRule="exact"/>
        <w:textAlignment w:val="auto"/>
        <w:rPr>
          <w:sz w:val="24"/>
          <w:szCs w:val="24"/>
        </w:rPr>
      </w:pPr>
      <w:r>
        <w:rPr>
          <w:rFonts w:hint="eastAsia" w:ascii="宋体" w:hAnsi="宋体" w:eastAsia="宋体" w:cs="宋体"/>
          <w:bCs w:val="0"/>
          <w:sz w:val="24"/>
          <w:szCs w:val="24"/>
        </w:rPr>
        <w:t>七、对本次招标提出询问，请按以下方式联系</w:t>
      </w:r>
      <w:r>
        <w:rPr>
          <w:sz w:val="24"/>
          <w:szCs w:val="24"/>
        </w:rPr>
        <w:tab/>
      </w:r>
      <w:r>
        <w:rPr>
          <w:sz w:val="24"/>
          <w:szCs w:val="24"/>
        </w:rPr>
        <w:fldChar w:fldCharType="begin"/>
      </w:r>
      <w:r>
        <w:rPr>
          <w:sz w:val="24"/>
          <w:szCs w:val="24"/>
        </w:rPr>
        <w:instrText xml:space="preserve"> PAGEREF _Toc21803 \h </w:instrText>
      </w:r>
      <w:r>
        <w:rPr>
          <w:sz w:val="24"/>
          <w:szCs w:val="24"/>
        </w:rPr>
        <w:fldChar w:fldCharType="separate"/>
      </w:r>
      <w:r>
        <w:rPr>
          <w:sz w:val="24"/>
          <w:szCs w:val="24"/>
        </w:rPr>
        <w:t>5</w:t>
      </w:r>
      <w:r>
        <w:rPr>
          <w:sz w:val="24"/>
          <w:szCs w:val="24"/>
        </w:rPr>
        <w:fldChar w:fldCharType="end"/>
      </w:r>
    </w:p>
    <w:p>
      <w:pPr>
        <w:pStyle w:val="10"/>
        <w:keepNext w:val="0"/>
        <w:keepLines w:val="0"/>
        <w:pageBreakBefore w:val="0"/>
        <w:widowControl/>
        <w:tabs>
          <w:tab w:val="right" w:leader="dot" w:pos="9724"/>
          <w:tab w:val="clear" w:pos="9628"/>
        </w:tabs>
        <w:kinsoku/>
        <w:wordWrap/>
        <w:overflowPunct/>
        <w:topLinePunct w:val="0"/>
        <w:autoSpaceDE/>
        <w:autoSpaceDN/>
        <w:bidi w:val="0"/>
        <w:adjustRightInd/>
        <w:snapToGrid/>
        <w:spacing w:line="500" w:lineRule="exact"/>
        <w:textAlignment w:val="auto"/>
      </w:pPr>
      <w:r>
        <w:rPr>
          <w:rFonts w:hint="eastAsia" w:ascii="宋体" w:hAnsi="宋体"/>
        </w:rPr>
        <w:t>第二章 投标人须知</w:t>
      </w:r>
      <w:r>
        <w:tab/>
      </w:r>
      <w:r>
        <w:fldChar w:fldCharType="begin"/>
      </w:r>
      <w:r>
        <w:instrText xml:space="preserve"> PAGEREF _Toc28678 \h </w:instrText>
      </w:r>
      <w:r>
        <w:fldChar w:fldCharType="separate"/>
      </w:r>
      <w:r>
        <w:t>7</w:t>
      </w:r>
      <w:r>
        <w:fldChar w:fldCharType="end"/>
      </w:r>
    </w:p>
    <w:p>
      <w:pPr>
        <w:pStyle w:val="12"/>
        <w:keepNext w:val="0"/>
        <w:keepLines w:val="0"/>
        <w:pageBreakBefore w:val="0"/>
        <w:widowControl/>
        <w:tabs>
          <w:tab w:val="right" w:leader="dot" w:pos="9724"/>
        </w:tabs>
        <w:kinsoku/>
        <w:wordWrap/>
        <w:overflowPunct/>
        <w:topLinePunct w:val="0"/>
        <w:autoSpaceDE/>
        <w:autoSpaceDN/>
        <w:bidi w:val="0"/>
        <w:adjustRightInd/>
        <w:snapToGrid/>
        <w:spacing w:line="500" w:lineRule="exact"/>
        <w:textAlignment w:val="auto"/>
        <w:rPr>
          <w:sz w:val="24"/>
          <w:szCs w:val="24"/>
        </w:rPr>
      </w:pPr>
      <w:r>
        <w:rPr>
          <w:rFonts w:hint="eastAsia" w:ascii="宋体" w:hAnsi="宋体" w:eastAsia="宋体"/>
          <w:sz w:val="24"/>
          <w:szCs w:val="24"/>
        </w:rPr>
        <w:t>一、投标须知前附表</w:t>
      </w:r>
      <w:r>
        <w:rPr>
          <w:sz w:val="24"/>
          <w:szCs w:val="24"/>
        </w:rPr>
        <w:tab/>
      </w:r>
      <w:r>
        <w:rPr>
          <w:sz w:val="24"/>
          <w:szCs w:val="24"/>
        </w:rPr>
        <w:fldChar w:fldCharType="begin"/>
      </w:r>
      <w:r>
        <w:rPr>
          <w:sz w:val="24"/>
          <w:szCs w:val="24"/>
        </w:rPr>
        <w:instrText xml:space="preserve"> PAGEREF _Toc2802 \h </w:instrText>
      </w:r>
      <w:r>
        <w:rPr>
          <w:sz w:val="24"/>
          <w:szCs w:val="24"/>
        </w:rPr>
        <w:fldChar w:fldCharType="separate"/>
      </w:r>
      <w:r>
        <w:rPr>
          <w:sz w:val="24"/>
          <w:szCs w:val="24"/>
        </w:rPr>
        <w:t>7</w:t>
      </w:r>
      <w:r>
        <w:rPr>
          <w:sz w:val="24"/>
          <w:szCs w:val="24"/>
        </w:rPr>
        <w:fldChar w:fldCharType="end"/>
      </w:r>
    </w:p>
    <w:p>
      <w:pPr>
        <w:pStyle w:val="12"/>
        <w:keepNext w:val="0"/>
        <w:keepLines w:val="0"/>
        <w:pageBreakBefore w:val="0"/>
        <w:widowControl/>
        <w:tabs>
          <w:tab w:val="right" w:leader="dot" w:pos="9724"/>
        </w:tabs>
        <w:kinsoku/>
        <w:wordWrap/>
        <w:overflowPunct/>
        <w:topLinePunct w:val="0"/>
        <w:autoSpaceDE/>
        <w:autoSpaceDN/>
        <w:bidi w:val="0"/>
        <w:adjustRightInd/>
        <w:snapToGrid/>
        <w:spacing w:line="500" w:lineRule="exact"/>
        <w:textAlignment w:val="auto"/>
        <w:rPr>
          <w:sz w:val="24"/>
          <w:szCs w:val="24"/>
        </w:rPr>
      </w:pPr>
      <w:r>
        <w:rPr>
          <w:rFonts w:hint="eastAsia" w:ascii="宋体" w:hAnsi="宋体" w:eastAsia="宋体"/>
          <w:sz w:val="24"/>
          <w:szCs w:val="24"/>
        </w:rPr>
        <w:t>二、总则</w:t>
      </w:r>
      <w:r>
        <w:rPr>
          <w:sz w:val="24"/>
          <w:szCs w:val="24"/>
        </w:rPr>
        <w:tab/>
      </w:r>
      <w:r>
        <w:rPr>
          <w:sz w:val="24"/>
          <w:szCs w:val="24"/>
        </w:rPr>
        <w:fldChar w:fldCharType="begin"/>
      </w:r>
      <w:r>
        <w:rPr>
          <w:sz w:val="24"/>
          <w:szCs w:val="24"/>
        </w:rPr>
        <w:instrText xml:space="preserve"> PAGEREF _Toc30626 \h </w:instrText>
      </w:r>
      <w:r>
        <w:rPr>
          <w:sz w:val="24"/>
          <w:szCs w:val="24"/>
        </w:rPr>
        <w:fldChar w:fldCharType="separate"/>
      </w:r>
      <w:r>
        <w:rPr>
          <w:sz w:val="24"/>
          <w:szCs w:val="24"/>
        </w:rPr>
        <w:t>8</w:t>
      </w:r>
      <w:r>
        <w:rPr>
          <w:sz w:val="24"/>
          <w:szCs w:val="24"/>
        </w:rPr>
        <w:fldChar w:fldCharType="end"/>
      </w:r>
    </w:p>
    <w:p>
      <w:pPr>
        <w:pStyle w:val="12"/>
        <w:keepNext w:val="0"/>
        <w:keepLines w:val="0"/>
        <w:pageBreakBefore w:val="0"/>
        <w:widowControl/>
        <w:tabs>
          <w:tab w:val="right" w:leader="dot" w:pos="9724"/>
        </w:tabs>
        <w:kinsoku/>
        <w:wordWrap/>
        <w:overflowPunct/>
        <w:topLinePunct w:val="0"/>
        <w:autoSpaceDE/>
        <w:autoSpaceDN/>
        <w:bidi w:val="0"/>
        <w:adjustRightInd/>
        <w:snapToGrid/>
        <w:spacing w:line="500" w:lineRule="exact"/>
        <w:textAlignment w:val="auto"/>
        <w:rPr>
          <w:sz w:val="24"/>
          <w:szCs w:val="24"/>
        </w:rPr>
      </w:pPr>
      <w:r>
        <w:rPr>
          <w:rFonts w:hint="eastAsia" w:ascii="宋体" w:hAnsi="宋体" w:eastAsia="宋体"/>
          <w:sz w:val="24"/>
          <w:szCs w:val="24"/>
        </w:rPr>
        <w:t>三、招标文件</w:t>
      </w:r>
      <w:r>
        <w:rPr>
          <w:sz w:val="24"/>
          <w:szCs w:val="24"/>
        </w:rPr>
        <w:tab/>
      </w:r>
      <w:r>
        <w:rPr>
          <w:sz w:val="24"/>
          <w:szCs w:val="24"/>
        </w:rPr>
        <w:fldChar w:fldCharType="begin"/>
      </w:r>
      <w:r>
        <w:rPr>
          <w:sz w:val="24"/>
          <w:szCs w:val="24"/>
        </w:rPr>
        <w:instrText xml:space="preserve"> PAGEREF _Toc14698 \h </w:instrText>
      </w:r>
      <w:r>
        <w:rPr>
          <w:sz w:val="24"/>
          <w:szCs w:val="24"/>
        </w:rPr>
        <w:fldChar w:fldCharType="separate"/>
      </w:r>
      <w:r>
        <w:rPr>
          <w:sz w:val="24"/>
          <w:szCs w:val="24"/>
        </w:rPr>
        <w:t>11</w:t>
      </w:r>
      <w:r>
        <w:rPr>
          <w:sz w:val="24"/>
          <w:szCs w:val="24"/>
        </w:rPr>
        <w:fldChar w:fldCharType="end"/>
      </w:r>
    </w:p>
    <w:p>
      <w:pPr>
        <w:pStyle w:val="12"/>
        <w:keepNext w:val="0"/>
        <w:keepLines w:val="0"/>
        <w:pageBreakBefore w:val="0"/>
        <w:widowControl/>
        <w:tabs>
          <w:tab w:val="right" w:leader="dot" w:pos="9724"/>
        </w:tabs>
        <w:kinsoku/>
        <w:wordWrap/>
        <w:overflowPunct/>
        <w:topLinePunct w:val="0"/>
        <w:autoSpaceDE/>
        <w:autoSpaceDN/>
        <w:bidi w:val="0"/>
        <w:adjustRightInd/>
        <w:snapToGrid/>
        <w:spacing w:line="500" w:lineRule="exact"/>
        <w:textAlignment w:val="auto"/>
        <w:rPr>
          <w:sz w:val="24"/>
          <w:szCs w:val="24"/>
        </w:rPr>
      </w:pPr>
      <w:r>
        <w:rPr>
          <w:rFonts w:hint="eastAsia" w:ascii="宋体" w:hAnsi="宋体" w:eastAsia="宋体"/>
          <w:sz w:val="24"/>
          <w:szCs w:val="24"/>
        </w:rPr>
        <w:t>四、投标文件</w:t>
      </w:r>
      <w:r>
        <w:rPr>
          <w:sz w:val="24"/>
          <w:szCs w:val="24"/>
        </w:rPr>
        <w:tab/>
      </w:r>
      <w:r>
        <w:rPr>
          <w:sz w:val="24"/>
          <w:szCs w:val="24"/>
        </w:rPr>
        <w:fldChar w:fldCharType="begin"/>
      </w:r>
      <w:r>
        <w:rPr>
          <w:sz w:val="24"/>
          <w:szCs w:val="24"/>
        </w:rPr>
        <w:instrText xml:space="preserve"> PAGEREF _Toc23544 \h </w:instrText>
      </w:r>
      <w:r>
        <w:rPr>
          <w:sz w:val="24"/>
          <w:szCs w:val="24"/>
        </w:rPr>
        <w:fldChar w:fldCharType="separate"/>
      </w:r>
      <w:r>
        <w:rPr>
          <w:sz w:val="24"/>
          <w:szCs w:val="24"/>
        </w:rPr>
        <w:t>11</w:t>
      </w:r>
      <w:r>
        <w:rPr>
          <w:sz w:val="24"/>
          <w:szCs w:val="24"/>
        </w:rPr>
        <w:fldChar w:fldCharType="end"/>
      </w:r>
    </w:p>
    <w:p>
      <w:pPr>
        <w:pStyle w:val="12"/>
        <w:keepNext w:val="0"/>
        <w:keepLines w:val="0"/>
        <w:pageBreakBefore w:val="0"/>
        <w:widowControl/>
        <w:tabs>
          <w:tab w:val="right" w:leader="dot" w:pos="9724"/>
        </w:tabs>
        <w:kinsoku/>
        <w:wordWrap/>
        <w:overflowPunct/>
        <w:topLinePunct w:val="0"/>
        <w:autoSpaceDE/>
        <w:autoSpaceDN/>
        <w:bidi w:val="0"/>
        <w:adjustRightInd/>
        <w:snapToGrid/>
        <w:spacing w:line="500" w:lineRule="exact"/>
        <w:textAlignment w:val="auto"/>
        <w:rPr>
          <w:sz w:val="24"/>
          <w:szCs w:val="24"/>
        </w:rPr>
      </w:pPr>
      <w:r>
        <w:rPr>
          <w:rFonts w:hint="eastAsia" w:ascii="宋体" w:hAnsi="宋体" w:eastAsia="宋体"/>
          <w:sz w:val="24"/>
          <w:szCs w:val="24"/>
        </w:rPr>
        <w:t>五、投标文件的递交</w:t>
      </w:r>
      <w:r>
        <w:rPr>
          <w:sz w:val="24"/>
          <w:szCs w:val="24"/>
        </w:rPr>
        <w:tab/>
      </w:r>
      <w:r>
        <w:rPr>
          <w:sz w:val="24"/>
          <w:szCs w:val="24"/>
        </w:rPr>
        <w:fldChar w:fldCharType="begin"/>
      </w:r>
      <w:r>
        <w:rPr>
          <w:sz w:val="24"/>
          <w:szCs w:val="24"/>
        </w:rPr>
        <w:instrText xml:space="preserve"> PAGEREF _Toc32335 \h </w:instrText>
      </w:r>
      <w:r>
        <w:rPr>
          <w:sz w:val="24"/>
          <w:szCs w:val="24"/>
        </w:rPr>
        <w:fldChar w:fldCharType="separate"/>
      </w:r>
      <w:r>
        <w:rPr>
          <w:sz w:val="24"/>
          <w:szCs w:val="24"/>
        </w:rPr>
        <w:t>14</w:t>
      </w:r>
      <w:r>
        <w:rPr>
          <w:sz w:val="24"/>
          <w:szCs w:val="24"/>
        </w:rPr>
        <w:fldChar w:fldCharType="end"/>
      </w:r>
    </w:p>
    <w:p>
      <w:pPr>
        <w:pStyle w:val="12"/>
        <w:keepNext w:val="0"/>
        <w:keepLines w:val="0"/>
        <w:pageBreakBefore w:val="0"/>
        <w:widowControl/>
        <w:tabs>
          <w:tab w:val="right" w:leader="dot" w:pos="9724"/>
        </w:tabs>
        <w:kinsoku/>
        <w:wordWrap/>
        <w:overflowPunct/>
        <w:topLinePunct w:val="0"/>
        <w:autoSpaceDE/>
        <w:autoSpaceDN/>
        <w:bidi w:val="0"/>
        <w:adjustRightInd/>
        <w:snapToGrid/>
        <w:spacing w:line="500" w:lineRule="exact"/>
        <w:textAlignment w:val="auto"/>
        <w:rPr>
          <w:sz w:val="24"/>
          <w:szCs w:val="24"/>
        </w:rPr>
      </w:pPr>
      <w:r>
        <w:rPr>
          <w:rFonts w:hint="eastAsia" w:ascii="宋体" w:hAnsi="宋体" w:eastAsia="宋体"/>
          <w:sz w:val="24"/>
          <w:szCs w:val="24"/>
        </w:rPr>
        <w:t>六、开标及评标</w:t>
      </w:r>
      <w:r>
        <w:rPr>
          <w:sz w:val="24"/>
          <w:szCs w:val="24"/>
        </w:rPr>
        <w:tab/>
      </w:r>
      <w:r>
        <w:rPr>
          <w:sz w:val="24"/>
          <w:szCs w:val="24"/>
        </w:rPr>
        <w:fldChar w:fldCharType="begin"/>
      </w:r>
      <w:r>
        <w:rPr>
          <w:sz w:val="24"/>
          <w:szCs w:val="24"/>
        </w:rPr>
        <w:instrText xml:space="preserve"> PAGEREF _Toc29748 \h </w:instrText>
      </w:r>
      <w:r>
        <w:rPr>
          <w:sz w:val="24"/>
          <w:szCs w:val="24"/>
        </w:rPr>
        <w:fldChar w:fldCharType="separate"/>
      </w:r>
      <w:r>
        <w:rPr>
          <w:sz w:val="24"/>
          <w:szCs w:val="24"/>
        </w:rPr>
        <w:t>14</w:t>
      </w:r>
      <w:r>
        <w:rPr>
          <w:sz w:val="24"/>
          <w:szCs w:val="24"/>
        </w:rPr>
        <w:fldChar w:fldCharType="end"/>
      </w:r>
    </w:p>
    <w:p>
      <w:pPr>
        <w:pStyle w:val="12"/>
        <w:keepNext w:val="0"/>
        <w:keepLines w:val="0"/>
        <w:pageBreakBefore w:val="0"/>
        <w:widowControl/>
        <w:tabs>
          <w:tab w:val="right" w:leader="dot" w:pos="9724"/>
        </w:tabs>
        <w:kinsoku/>
        <w:wordWrap/>
        <w:overflowPunct/>
        <w:topLinePunct w:val="0"/>
        <w:autoSpaceDE/>
        <w:autoSpaceDN/>
        <w:bidi w:val="0"/>
        <w:adjustRightInd/>
        <w:snapToGrid/>
        <w:spacing w:line="500" w:lineRule="exact"/>
        <w:textAlignment w:val="auto"/>
        <w:rPr>
          <w:sz w:val="24"/>
          <w:szCs w:val="24"/>
        </w:rPr>
      </w:pPr>
      <w:r>
        <w:rPr>
          <w:rFonts w:hint="eastAsia" w:ascii="宋体" w:hAnsi="宋体" w:eastAsia="宋体"/>
          <w:sz w:val="24"/>
          <w:szCs w:val="24"/>
        </w:rPr>
        <w:t>七、合同签订</w:t>
      </w:r>
      <w:r>
        <w:rPr>
          <w:sz w:val="24"/>
          <w:szCs w:val="24"/>
        </w:rPr>
        <w:tab/>
      </w:r>
      <w:r>
        <w:rPr>
          <w:sz w:val="24"/>
          <w:szCs w:val="24"/>
        </w:rPr>
        <w:fldChar w:fldCharType="begin"/>
      </w:r>
      <w:r>
        <w:rPr>
          <w:sz w:val="24"/>
          <w:szCs w:val="24"/>
        </w:rPr>
        <w:instrText xml:space="preserve"> PAGEREF _Toc19192 \h </w:instrText>
      </w:r>
      <w:r>
        <w:rPr>
          <w:sz w:val="24"/>
          <w:szCs w:val="24"/>
        </w:rPr>
        <w:fldChar w:fldCharType="separate"/>
      </w:r>
      <w:r>
        <w:rPr>
          <w:sz w:val="24"/>
          <w:szCs w:val="24"/>
        </w:rPr>
        <w:t>20</w:t>
      </w:r>
      <w:r>
        <w:rPr>
          <w:sz w:val="24"/>
          <w:szCs w:val="24"/>
        </w:rPr>
        <w:fldChar w:fldCharType="end"/>
      </w:r>
    </w:p>
    <w:p>
      <w:pPr>
        <w:pStyle w:val="10"/>
        <w:keepNext w:val="0"/>
        <w:keepLines w:val="0"/>
        <w:pageBreakBefore w:val="0"/>
        <w:widowControl/>
        <w:tabs>
          <w:tab w:val="right" w:leader="dot" w:pos="9724"/>
          <w:tab w:val="clear" w:pos="9628"/>
        </w:tabs>
        <w:kinsoku/>
        <w:wordWrap/>
        <w:overflowPunct/>
        <w:topLinePunct w:val="0"/>
        <w:autoSpaceDE/>
        <w:autoSpaceDN/>
        <w:bidi w:val="0"/>
        <w:adjustRightInd/>
        <w:snapToGrid/>
        <w:spacing w:line="500" w:lineRule="exact"/>
        <w:textAlignment w:val="auto"/>
      </w:pPr>
      <w:r>
        <w:rPr>
          <w:rFonts w:hint="default" w:ascii="宋体" w:hAnsi="宋体"/>
        </w:rPr>
        <w:t xml:space="preserve">第三章 </w:t>
      </w:r>
      <w:r>
        <w:rPr>
          <w:rFonts w:hint="eastAsia" w:ascii="宋体" w:hAnsi="宋体"/>
        </w:rPr>
        <w:t>项目需求说明</w:t>
      </w:r>
      <w:r>
        <w:tab/>
      </w:r>
      <w:r>
        <w:fldChar w:fldCharType="begin"/>
      </w:r>
      <w:r>
        <w:instrText xml:space="preserve"> PAGEREF _Toc28612 \h </w:instrText>
      </w:r>
      <w:r>
        <w:fldChar w:fldCharType="separate"/>
      </w:r>
      <w:r>
        <w:t>21</w:t>
      </w:r>
      <w:r>
        <w:fldChar w:fldCharType="end"/>
      </w:r>
    </w:p>
    <w:p>
      <w:pPr>
        <w:pStyle w:val="10"/>
        <w:keepNext w:val="0"/>
        <w:keepLines w:val="0"/>
        <w:pageBreakBefore w:val="0"/>
        <w:widowControl/>
        <w:tabs>
          <w:tab w:val="right" w:leader="dot" w:pos="9724"/>
          <w:tab w:val="clear" w:pos="9628"/>
        </w:tabs>
        <w:kinsoku/>
        <w:wordWrap/>
        <w:overflowPunct/>
        <w:topLinePunct w:val="0"/>
        <w:autoSpaceDE/>
        <w:autoSpaceDN/>
        <w:bidi w:val="0"/>
        <w:adjustRightInd/>
        <w:snapToGrid/>
        <w:spacing w:line="500" w:lineRule="exact"/>
        <w:textAlignment w:val="auto"/>
      </w:pPr>
      <w:r>
        <w:rPr>
          <w:rFonts w:hint="eastAsia" w:ascii="宋体" w:hAnsi="宋体"/>
        </w:rPr>
        <w:t>第四章 合同条款及格式（仅供参考）</w:t>
      </w:r>
      <w:r>
        <w:tab/>
      </w:r>
      <w:r>
        <w:fldChar w:fldCharType="begin"/>
      </w:r>
      <w:r>
        <w:instrText xml:space="preserve"> PAGEREF _Toc20161 \h </w:instrText>
      </w:r>
      <w:r>
        <w:fldChar w:fldCharType="separate"/>
      </w:r>
      <w:r>
        <w:t>95</w:t>
      </w:r>
      <w:r>
        <w:fldChar w:fldCharType="end"/>
      </w:r>
    </w:p>
    <w:p>
      <w:pPr>
        <w:pStyle w:val="10"/>
        <w:keepNext w:val="0"/>
        <w:keepLines w:val="0"/>
        <w:pageBreakBefore w:val="0"/>
        <w:widowControl/>
        <w:tabs>
          <w:tab w:val="right" w:leader="dot" w:pos="9724"/>
          <w:tab w:val="clear" w:pos="9628"/>
        </w:tabs>
        <w:kinsoku/>
        <w:wordWrap/>
        <w:overflowPunct/>
        <w:topLinePunct w:val="0"/>
        <w:autoSpaceDE/>
        <w:autoSpaceDN/>
        <w:bidi w:val="0"/>
        <w:adjustRightInd/>
        <w:snapToGrid/>
        <w:spacing w:line="500" w:lineRule="exact"/>
        <w:textAlignment w:val="auto"/>
      </w:pPr>
      <w:r>
        <w:rPr>
          <w:rFonts w:hint="eastAsia" w:ascii="宋体" w:hAnsi="宋体"/>
        </w:rPr>
        <w:t>第五章 部分投标文件格式</w:t>
      </w:r>
      <w:r>
        <w:tab/>
      </w:r>
      <w:r>
        <w:fldChar w:fldCharType="begin"/>
      </w:r>
      <w:r>
        <w:instrText xml:space="preserve"> PAGEREF _Toc12185 \h </w:instrText>
      </w:r>
      <w:r>
        <w:fldChar w:fldCharType="separate"/>
      </w:r>
      <w:r>
        <w:t>153</w:t>
      </w:r>
      <w:r>
        <w:fldChar w:fldCharType="end"/>
      </w:r>
    </w:p>
    <w:p>
      <w:pPr>
        <w:pStyle w:val="12"/>
        <w:tabs>
          <w:tab w:val="right" w:leader="dot" w:pos="9714"/>
        </w:tabs>
      </w:pPr>
      <w:r>
        <w:rPr>
          <w:rFonts w:ascii="宋体" w:hAnsi="宋体"/>
          <w:sz w:val="28"/>
          <w:szCs w:val="28"/>
        </w:rPr>
        <w:fldChar w:fldCharType="end"/>
      </w:r>
      <w:r>
        <w:rPr>
          <w:rFonts w:ascii="宋体" w:hAnsi="宋体"/>
          <w:sz w:val="28"/>
          <w:szCs w:val="28"/>
        </w:rPr>
        <w:fldChar w:fldCharType="end"/>
      </w:r>
      <w:r>
        <w:fldChar w:fldCharType="end"/>
      </w:r>
      <w:bookmarkEnd w:id="0"/>
      <w:bookmarkEnd w:id="1"/>
      <w:bookmarkEnd w:id="2"/>
    </w:p>
    <w:p/>
    <w:p>
      <w:pPr>
        <w:pStyle w:val="2"/>
      </w:pPr>
    </w:p>
    <w:p/>
    <w:p/>
    <w:p>
      <w:pPr>
        <w:rPr>
          <w:rFonts w:hint="eastAsia"/>
        </w:rPr>
      </w:pPr>
    </w:p>
    <w:p>
      <w:pPr>
        <w:pStyle w:val="3"/>
        <w:numPr>
          <w:ilvl w:val="0"/>
          <w:numId w:val="2"/>
        </w:numPr>
        <w:tabs>
          <w:tab w:val="center" w:pos="4819"/>
        </w:tabs>
        <w:spacing w:before="200" w:after="200" w:line="360" w:lineRule="auto"/>
        <w:ind w:firstLine="3196" w:firstLineChars="995"/>
        <w:rPr>
          <w:rFonts w:hint="eastAsia" w:ascii="宋体" w:hAnsi="宋体"/>
          <w:sz w:val="32"/>
        </w:rPr>
      </w:pPr>
      <w:bookmarkStart w:id="3" w:name="_Toc498091081"/>
      <w:bookmarkStart w:id="4" w:name="_Toc404692897"/>
      <w:bookmarkStart w:id="5" w:name="_Toc333832347"/>
      <w:r>
        <w:rPr>
          <w:rFonts w:hint="eastAsia" w:ascii="宋体" w:hAnsi="宋体"/>
          <w:sz w:val="32"/>
        </w:rPr>
        <w:t xml:space="preserve"> </w:t>
      </w:r>
      <w:bookmarkStart w:id="6" w:name="_Toc17822"/>
      <w:bookmarkStart w:id="7" w:name="_Toc16398"/>
      <w:r>
        <w:rPr>
          <w:rFonts w:hint="eastAsia" w:ascii="宋体" w:hAnsi="宋体"/>
          <w:sz w:val="32"/>
        </w:rPr>
        <w:t>招标公告</w:t>
      </w:r>
      <w:bookmarkEnd w:id="3"/>
      <w:bookmarkEnd w:id="4"/>
      <w:bookmarkEnd w:id="5"/>
      <w:bookmarkEnd w:id="6"/>
      <w:bookmarkEnd w:id="7"/>
    </w:p>
    <w:p>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lang w:val="zh-CN"/>
        </w:rPr>
      </w:pPr>
      <w:r>
        <w:rPr>
          <w:rFonts w:hint="eastAsia" w:ascii="宋体" w:hAnsi="宋体" w:cs="宋体"/>
          <w:szCs w:val="21"/>
          <w:u w:val="single"/>
          <w:lang w:val="en-US" w:eastAsia="zh-CN"/>
        </w:rPr>
        <w:t>2021年海曙区老旧小区智安前端系统建设项目</w:t>
      </w:r>
      <w:r>
        <w:rPr>
          <w:rFonts w:hint="eastAsia" w:ascii="宋体" w:hAnsi="宋体" w:cs="宋体"/>
          <w:szCs w:val="21"/>
        </w:rPr>
        <w:t>招标项目的潜在投标人应在</w:t>
      </w:r>
      <w:r>
        <w:rPr>
          <w:rFonts w:hint="eastAsia" w:ascii="宋体" w:hAnsi="宋体" w:cs="宋体"/>
          <w:szCs w:val="21"/>
          <w:u w:val="single"/>
        </w:rPr>
        <w:t>政采云（www.zcygov.cn）</w:t>
      </w:r>
      <w:r>
        <w:rPr>
          <w:rFonts w:hint="eastAsia" w:ascii="宋体" w:hAnsi="宋体" w:cs="宋体"/>
          <w:szCs w:val="21"/>
        </w:rPr>
        <w:t>获取招标文件，并于</w:t>
      </w:r>
      <w:r>
        <w:rPr>
          <w:rFonts w:hint="eastAsia" w:ascii="宋体" w:hAnsi="宋体" w:cs="宋体"/>
          <w:szCs w:val="21"/>
          <w:u w:val="single"/>
        </w:rPr>
        <w:t xml:space="preserve"> 202</w:t>
      </w:r>
      <w:r>
        <w:rPr>
          <w:rFonts w:hint="eastAsia" w:ascii="宋体" w:hAnsi="宋体" w:cs="宋体"/>
          <w:szCs w:val="21"/>
          <w:u w:val="single"/>
          <w:lang w:val="en-US" w:eastAsia="zh-CN"/>
        </w:rPr>
        <w:t>1</w:t>
      </w:r>
      <w:r>
        <w:rPr>
          <w:rFonts w:hint="eastAsia" w:ascii="宋体" w:hAnsi="宋体" w:cs="宋体"/>
          <w:bCs/>
          <w:szCs w:val="21"/>
          <w:u w:val="single"/>
        </w:rPr>
        <w:t>年</w:t>
      </w:r>
      <w:r>
        <w:rPr>
          <w:rFonts w:hint="eastAsia" w:ascii="宋体" w:hAnsi="宋体" w:cs="宋体"/>
          <w:bCs/>
          <w:szCs w:val="21"/>
          <w:u w:val="single"/>
          <w:lang w:val="en-US" w:eastAsia="zh-CN"/>
        </w:rPr>
        <w:t>05</w:t>
      </w:r>
      <w:r>
        <w:rPr>
          <w:rFonts w:hint="eastAsia" w:ascii="宋体" w:hAnsi="宋体" w:cs="宋体"/>
          <w:bCs/>
          <w:szCs w:val="21"/>
          <w:u w:val="single"/>
        </w:rPr>
        <w:t>月</w:t>
      </w:r>
      <w:r>
        <w:rPr>
          <w:rFonts w:hint="eastAsia" w:ascii="宋体" w:hAnsi="宋体" w:cs="宋体"/>
          <w:bCs/>
          <w:szCs w:val="21"/>
          <w:u w:val="single"/>
          <w:lang w:val="en-US" w:eastAsia="zh-CN"/>
        </w:rPr>
        <w:t>25</w:t>
      </w:r>
      <w:r>
        <w:rPr>
          <w:rFonts w:hint="eastAsia" w:ascii="宋体" w:hAnsi="宋体" w:cs="宋体"/>
          <w:bCs/>
          <w:szCs w:val="21"/>
          <w:u w:val="single"/>
        </w:rPr>
        <w:t>日</w:t>
      </w:r>
      <w:r>
        <w:rPr>
          <w:rFonts w:hint="eastAsia" w:ascii="宋体" w:hAnsi="宋体" w:cs="宋体"/>
          <w:bCs/>
          <w:szCs w:val="21"/>
          <w:u w:val="single"/>
          <w:lang w:val="en-US" w:eastAsia="zh-CN"/>
        </w:rPr>
        <w:t>14</w:t>
      </w:r>
      <w:r>
        <w:rPr>
          <w:rFonts w:hint="eastAsia" w:ascii="宋体" w:hAnsi="宋体" w:cs="宋体"/>
          <w:bCs/>
          <w:szCs w:val="21"/>
          <w:u w:val="single"/>
        </w:rPr>
        <w:t>点00分（</w:t>
      </w:r>
      <w:r>
        <w:rPr>
          <w:rFonts w:hint="eastAsia" w:ascii="宋体" w:hAnsi="宋体" w:cs="宋体"/>
          <w:bCs/>
          <w:szCs w:val="21"/>
        </w:rPr>
        <w:t>北京时间）前递交投标文件</w:t>
      </w:r>
      <w:r>
        <w:rPr>
          <w:rFonts w:hint="eastAsia" w:ascii="宋体" w:hAnsi="宋体" w:cs="宋体"/>
          <w:szCs w:val="21"/>
        </w:rPr>
        <w:t>。</w:t>
      </w:r>
    </w:p>
    <w:p>
      <w:pPr>
        <w:pStyle w:val="4"/>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b/>
          <w:bCs w:val="0"/>
          <w:sz w:val="21"/>
          <w:szCs w:val="21"/>
        </w:rPr>
      </w:pPr>
      <w:bookmarkStart w:id="8" w:name="_Toc35393621"/>
      <w:bookmarkStart w:id="9" w:name="_Toc2904"/>
      <w:bookmarkStart w:id="10" w:name="_Toc28359079"/>
      <w:bookmarkStart w:id="11" w:name="_Toc28359002"/>
      <w:bookmarkStart w:id="12" w:name="_Toc27898"/>
      <w:bookmarkStart w:id="13" w:name="_Toc15479"/>
      <w:bookmarkStart w:id="14" w:name="_Toc45382802"/>
      <w:bookmarkStart w:id="15" w:name="_Toc35393790"/>
      <w:bookmarkStart w:id="16" w:name="_Hlk24379207"/>
      <w:r>
        <w:rPr>
          <w:rFonts w:hint="eastAsia" w:ascii="宋体" w:hAnsi="宋体" w:eastAsia="宋体" w:cs="宋体"/>
          <w:b/>
          <w:bCs w:val="0"/>
          <w:sz w:val="21"/>
          <w:szCs w:val="21"/>
        </w:rPr>
        <w:t>一、项目基本情况</w:t>
      </w:r>
      <w:bookmarkEnd w:id="8"/>
      <w:bookmarkEnd w:id="9"/>
      <w:bookmarkEnd w:id="10"/>
      <w:bookmarkEnd w:id="11"/>
      <w:bookmarkEnd w:id="12"/>
      <w:bookmarkEnd w:id="13"/>
      <w:bookmarkEnd w:id="14"/>
      <w:bookmarkEnd w:id="15"/>
    </w:p>
    <w:p>
      <w:pPr>
        <w:pageBreakBefore w:val="0"/>
        <w:widowControl/>
        <w:kinsoku/>
        <w:wordWrap/>
        <w:overflowPunct/>
        <w:topLinePunct w:val="0"/>
        <w:autoSpaceDE/>
        <w:autoSpaceDN/>
        <w:bidi w:val="0"/>
        <w:adjustRightInd/>
        <w:snapToGrid/>
        <w:spacing w:line="420" w:lineRule="exact"/>
        <w:ind w:firstLine="420" w:firstLineChars="200"/>
        <w:textAlignment w:val="auto"/>
        <w:rPr>
          <w:rFonts w:hint="default" w:ascii="宋体" w:hAnsi="宋体" w:eastAsia="宋体" w:cs="宋体"/>
          <w:color w:val="FF0000"/>
          <w:szCs w:val="21"/>
          <w:lang w:val="en-US" w:eastAsia="zh-CN"/>
        </w:rPr>
      </w:pPr>
      <w:r>
        <w:rPr>
          <w:rFonts w:hint="eastAsia" w:ascii="宋体" w:hAnsi="宋体" w:cs="宋体"/>
          <w:szCs w:val="21"/>
        </w:rPr>
        <w:t>项目编号：</w:t>
      </w:r>
      <w:r>
        <w:rPr>
          <w:rFonts w:ascii="宋体" w:hAnsi="宋体"/>
        </w:rPr>
        <w:t>20</w:t>
      </w:r>
      <w:r>
        <w:rPr>
          <w:rFonts w:hint="eastAsia" w:ascii="宋体" w:hAnsi="宋体"/>
        </w:rPr>
        <w:t>2</w:t>
      </w:r>
      <w:r>
        <w:rPr>
          <w:rFonts w:hint="eastAsia" w:ascii="宋体" w:hAnsi="宋体"/>
          <w:lang w:val="en-US" w:eastAsia="zh-CN"/>
        </w:rPr>
        <w:t>1</w:t>
      </w:r>
      <w:r>
        <w:rPr>
          <w:rFonts w:ascii="宋体" w:hAnsi="宋体"/>
        </w:rPr>
        <w:t>NBH</w:t>
      </w:r>
      <w:r>
        <w:rPr>
          <w:rFonts w:hint="eastAsia" w:ascii="宋体" w:hAnsi="宋体"/>
          <w:lang w:val="en-US" w:eastAsia="zh-CN"/>
        </w:rPr>
        <w:t>JC026</w:t>
      </w:r>
    </w:p>
    <w:p>
      <w:pPr>
        <w:pageBreakBefore w:val="0"/>
        <w:widowControl/>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lang w:eastAsia="zh-CN"/>
        </w:rPr>
      </w:pPr>
      <w:r>
        <w:rPr>
          <w:rFonts w:hint="eastAsia" w:ascii="宋体" w:hAnsi="宋体" w:cs="宋体"/>
          <w:szCs w:val="21"/>
        </w:rPr>
        <w:t>项目名称</w:t>
      </w:r>
      <w:r>
        <w:rPr>
          <w:rFonts w:hint="eastAsia" w:ascii="宋体" w:hAnsi="宋体" w:cs="Times New Roman"/>
          <w:lang w:eastAsia="zh-CN"/>
        </w:rPr>
        <w:t>：</w:t>
      </w:r>
      <w:bookmarkEnd w:id="16"/>
      <w:r>
        <w:rPr>
          <w:rFonts w:hint="eastAsia" w:ascii="宋体" w:hAnsi="宋体" w:cs="Times New Roman"/>
          <w:lang w:eastAsia="zh-CN"/>
        </w:rPr>
        <w:t>2021年海曙区老旧小区智安前端系统建设项目</w:t>
      </w:r>
    </w:p>
    <w:p>
      <w:pPr>
        <w:pageBreakBefore w:val="0"/>
        <w:widowControl/>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szCs w:val="21"/>
          <w:lang w:val="en-US" w:eastAsia="zh-CN"/>
        </w:rPr>
      </w:pPr>
      <w:r>
        <w:rPr>
          <w:rFonts w:hint="eastAsia" w:ascii="宋体" w:hAnsi="宋体" w:cs="宋体"/>
          <w:szCs w:val="21"/>
        </w:rPr>
        <w:t>预算金额</w:t>
      </w:r>
      <w:r>
        <w:rPr>
          <w:rFonts w:hint="eastAsia" w:ascii="宋体" w:hAnsi="宋体" w:cs="宋体"/>
          <w:szCs w:val="21"/>
          <w:lang w:eastAsia="zh-CN"/>
        </w:rPr>
        <w:t>（元）</w:t>
      </w:r>
      <w:r>
        <w:rPr>
          <w:rFonts w:hint="eastAsia" w:ascii="宋体" w:hAnsi="宋体" w:cs="宋体"/>
          <w:szCs w:val="21"/>
        </w:rPr>
        <w:t>：81470118</w:t>
      </w:r>
    </w:p>
    <w:p>
      <w:pPr>
        <w:spacing w:line="400" w:lineRule="exact"/>
        <w:ind w:firstLine="420" w:firstLineChars="200"/>
        <w:rPr>
          <w:rFonts w:ascii="宋体" w:hAnsi="宋体" w:cs="宋体"/>
          <w:szCs w:val="21"/>
        </w:rPr>
      </w:pPr>
      <w:r>
        <w:rPr>
          <w:rFonts w:hint="eastAsia" w:ascii="宋体" w:hAnsi="宋体" w:cs="宋体"/>
          <w:szCs w:val="21"/>
        </w:rPr>
        <w:t>标项一：人民币19879779元整；</w:t>
      </w:r>
    </w:p>
    <w:p>
      <w:pPr>
        <w:spacing w:line="400" w:lineRule="exact"/>
        <w:ind w:firstLine="420" w:firstLineChars="200"/>
        <w:rPr>
          <w:rFonts w:ascii="宋体" w:hAnsi="宋体" w:cs="宋体"/>
          <w:szCs w:val="21"/>
        </w:rPr>
      </w:pPr>
      <w:r>
        <w:rPr>
          <w:rFonts w:hint="eastAsia" w:ascii="宋体" w:hAnsi="宋体" w:cs="宋体"/>
          <w:szCs w:val="21"/>
        </w:rPr>
        <w:t>标项二：人民币17612047元整；</w:t>
      </w:r>
    </w:p>
    <w:p>
      <w:pPr>
        <w:spacing w:line="400" w:lineRule="exact"/>
        <w:ind w:firstLine="420" w:firstLineChars="200"/>
        <w:rPr>
          <w:rFonts w:ascii="宋体" w:hAnsi="宋体" w:cs="宋体"/>
          <w:szCs w:val="21"/>
        </w:rPr>
      </w:pPr>
      <w:r>
        <w:rPr>
          <w:rFonts w:hint="eastAsia" w:ascii="宋体" w:hAnsi="宋体" w:cs="宋体"/>
          <w:szCs w:val="21"/>
        </w:rPr>
        <w:t>标项三：人民币15291543元整；</w:t>
      </w:r>
    </w:p>
    <w:p>
      <w:pPr>
        <w:spacing w:line="400" w:lineRule="exact"/>
        <w:ind w:firstLine="420" w:firstLineChars="200"/>
        <w:rPr>
          <w:rFonts w:ascii="宋体" w:hAnsi="宋体" w:cs="宋体"/>
          <w:szCs w:val="21"/>
        </w:rPr>
      </w:pPr>
      <w:r>
        <w:rPr>
          <w:rFonts w:hint="eastAsia" w:ascii="宋体" w:hAnsi="宋体" w:cs="宋体"/>
          <w:szCs w:val="21"/>
        </w:rPr>
        <w:t>标项四：人民币16977676元整；</w:t>
      </w:r>
    </w:p>
    <w:p>
      <w:pPr>
        <w:spacing w:line="400" w:lineRule="exact"/>
        <w:ind w:firstLine="420" w:firstLineChars="200"/>
        <w:rPr>
          <w:rFonts w:hint="default"/>
          <w:lang w:val="en-US"/>
        </w:rPr>
      </w:pPr>
      <w:r>
        <w:rPr>
          <w:rFonts w:hint="eastAsia" w:ascii="宋体" w:hAnsi="宋体" w:cs="宋体"/>
          <w:szCs w:val="21"/>
        </w:rPr>
        <w:t>标项五：人民币11709073元整。</w:t>
      </w:r>
    </w:p>
    <w:p>
      <w:pPr>
        <w:pageBreakBefore w:val="0"/>
        <w:widowControl/>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szCs w:val="21"/>
          <w:lang w:val="en-US" w:eastAsia="zh-CN"/>
        </w:rPr>
      </w:pPr>
      <w:r>
        <w:rPr>
          <w:rFonts w:hint="eastAsia" w:ascii="宋体" w:hAnsi="宋体" w:cs="宋体"/>
          <w:szCs w:val="21"/>
        </w:rPr>
        <w:t>最高限价</w:t>
      </w:r>
      <w:r>
        <w:rPr>
          <w:rFonts w:hint="eastAsia" w:ascii="宋体" w:hAnsi="宋体" w:cs="宋体"/>
          <w:szCs w:val="21"/>
          <w:lang w:eastAsia="zh-CN"/>
        </w:rPr>
        <w:t>（元）</w:t>
      </w:r>
      <w:r>
        <w:rPr>
          <w:rFonts w:hint="eastAsia" w:ascii="宋体" w:hAnsi="宋体" w:cs="宋体"/>
          <w:szCs w:val="21"/>
        </w:rPr>
        <w:t>：81470118</w:t>
      </w:r>
    </w:p>
    <w:p>
      <w:pPr>
        <w:spacing w:line="400" w:lineRule="exact"/>
        <w:ind w:firstLine="420" w:firstLineChars="200"/>
        <w:rPr>
          <w:rFonts w:ascii="宋体" w:hAnsi="宋体" w:cs="宋体"/>
          <w:szCs w:val="21"/>
        </w:rPr>
      </w:pPr>
      <w:r>
        <w:rPr>
          <w:rFonts w:hint="eastAsia" w:ascii="宋体" w:hAnsi="宋体" w:cs="宋体"/>
          <w:szCs w:val="21"/>
        </w:rPr>
        <w:t>标项一：人民币19879779元整；</w:t>
      </w:r>
    </w:p>
    <w:p>
      <w:pPr>
        <w:spacing w:line="400" w:lineRule="exact"/>
        <w:ind w:firstLine="420" w:firstLineChars="200"/>
        <w:rPr>
          <w:rFonts w:hint="eastAsia" w:ascii="宋体" w:hAnsi="宋体" w:cs="宋体"/>
          <w:szCs w:val="21"/>
        </w:rPr>
      </w:pPr>
      <w:r>
        <w:rPr>
          <w:rFonts w:hint="eastAsia" w:ascii="宋体" w:hAnsi="宋体" w:cs="宋体"/>
          <w:szCs w:val="21"/>
        </w:rPr>
        <w:t>标项二：人民币17612047元整；</w:t>
      </w:r>
    </w:p>
    <w:p>
      <w:pPr>
        <w:spacing w:line="400" w:lineRule="exact"/>
        <w:ind w:firstLine="420" w:firstLineChars="200"/>
        <w:rPr>
          <w:rFonts w:hint="eastAsia" w:ascii="宋体" w:hAnsi="宋体" w:cs="宋体"/>
          <w:szCs w:val="21"/>
        </w:rPr>
      </w:pPr>
      <w:r>
        <w:rPr>
          <w:rFonts w:hint="eastAsia" w:ascii="宋体" w:hAnsi="宋体" w:cs="宋体"/>
          <w:szCs w:val="21"/>
        </w:rPr>
        <w:t>标项三：人民币15291543元整；</w:t>
      </w:r>
    </w:p>
    <w:p>
      <w:pPr>
        <w:spacing w:line="400" w:lineRule="exact"/>
        <w:ind w:firstLine="420" w:firstLineChars="200"/>
        <w:rPr>
          <w:rFonts w:hint="eastAsia" w:ascii="宋体" w:hAnsi="宋体" w:cs="宋体"/>
          <w:szCs w:val="21"/>
        </w:rPr>
      </w:pPr>
      <w:r>
        <w:rPr>
          <w:rFonts w:hint="eastAsia" w:ascii="宋体" w:hAnsi="宋体" w:cs="宋体"/>
          <w:szCs w:val="21"/>
        </w:rPr>
        <w:t>标项四：人民币16977676元整；</w:t>
      </w:r>
    </w:p>
    <w:p>
      <w:pPr>
        <w:spacing w:line="400" w:lineRule="exact"/>
        <w:ind w:firstLine="420" w:firstLineChars="200"/>
        <w:rPr>
          <w:rFonts w:hint="default" w:ascii="宋体" w:hAnsi="宋体" w:cs="宋体"/>
          <w:szCs w:val="21"/>
          <w:lang w:val="en-US" w:eastAsia="zh-CN"/>
        </w:rPr>
      </w:pPr>
      <w:r>
        <w:rPr>
          <w:rFonts w:hint="eastAsia" w:ascii="宋体" w:hAnsi="宋体" w:cs="宋体"/>
          <w:szCs w:val="21"/>
        </w:rPr>
        <w:t>标项五：人民币11709073元整。</w:t>
      </w:r>
    </w:p>
    <w:p>
      <w:pPr>
        <w:spacing w:line="400" w:lineRule="exact"/>
        <w:ind w:firstLine="420" w:firstLineChars="200"/>
        <w:rPr>
          <w:rFonts w:hint="default" w:ascii="宋体" w:hAnsi="宋体" w:cs="宋体"/>
          <w:lang w:val="en-US" w:eastAsia="zh-CN"/>
        </w:rPr>
      </w:pPr>
      <w:bookmarkStart w:id="17" w:name="_Toc28359080"/>
      <w:bookmarkStart w:id="18" w:name="_Toc45382803"/>
      <w:bookmarkStart w:id="19" w:name="_Toc28359003"/>
      <w:bookmarkStart w:id="20" w:name="_Toc35393622"/>
      <w:bookmarkStart w:id="21" w:name="_Toc35393791"/>
      <w:r>
        <w:rPr>
          <w:rFonts w:hint="eastAsia" w:ascii="宋体" w:hAnsi="宋体" w:cs="宋体"/>
          <w:szCs w:val="21"/>
        </w:rPr>
        <w:t>简要规格描述或项目基本概况介绍、用途</w:t>
      </w:r>
      <w:r>
        <w:rPr>
          <w:rFonts w:hint="eastAsia" w:ascii="宋体" w:hAnsi="宋体" w:cs="宋体"/>
          <w:szCs w:val="21"/>
          <w:lang w:eastAsia="zh-CN"/>
        </w:rPr>
        <w:t>：</w:t>
      </w:r>
      <w:r>
        <w:rPr>
          <w:rFonts w:hint="eastAsia" w:ascii="宋体" w:hAnsi="宋体" w:cs="宋体"/>
          <w:szCs w:val="21"/>
        </w:rPr>
        <w:t>具体详见招标文件采购内容。</w:t>
      </w:r>
    </w:p>
    <w:p>
      <w:pPr>
        <w:pageBreakBefore w:val="0"/>
        <w:widowControl/>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lang w:eastAsia="zh-CN"/>
        </w:rPr>
      </w:pPr>
      <w:r>
        <w:rPr>
          <w:rFonts w:hint="eastAsia" w:ascii="宋体" w:hAnsi="宋体" w:cs="宋体"/>
          <w:szCs w:val="21"/>
        </w:rPr>
        <w:t>合同履约期限：按采购人要求</w:t>
      </w:r>
      <w:r>
        <w:rPr>
          <w:rFonts w:hint="eastAsia" w:ascii="宋体" w:hAnsi="宋体" w:cs="宋体"/>
          <w:szCs w:val="21"/>
          <w:lang w:eastAsia="zh-CN"/>
        </w:rPr>
        <w:t>。</w:t>
      </w:r>
    </w:p>
    <w:p>
      <w:pPr>
        <w:pageBreakBefore w:val="0"/>
        <w:widowControl/>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szCs w:val="21"/>
        </w:rPr>
      </w:pPr>
      <w:r>
        <w:rPr>
          <w:rFonts w:hint="eastAsia" w:ascii="宋体" w:hAnsi="宋体" w:cs="宋体"/>
          <w:szCs w:val="21"/>
        </w:rPr>
        <w:t>本项目（否）接受联合体投标。</w:t>
      </w:r>
    </w:p>
    <w:p>
      <w:pPr>
        <w:pStyle w:val="4"/>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b/>
          <w:bCs w:val="0"/>
          <w:sz w:val="21"/>
          <w:szCs w:val="21"/>
        </w:rPr>
      </w:pPr>
      <w:bookmarkStart w:id="22" w:name="_Toc27548"/>
      <w:bookmarkStart w:id="23" w:name="_Toc9264"/>
      <w:bookmarkStart w:id="24" w:name="_Toc20403"/>
      <w:r>
        <w:rPr>
          <w:rFonts w:hint="eastAsia" w:ascii="宋体" w:hAnsi="宋体" w:eastAsia="宋体" w:cs="宋体"/>
          <w:b/>
          <w:bCs w:val="0"/>
          <w:sz w:val="21"/>
          <w:szCs w:val="21"/>
        </w:rPr>
        <w:t>二、申请人的资格要求：</w:t>
      </w:r>
      <w:bookmarkEnd w:id="17"/>
      <w:bookmarkEnd w:id="18"/>
      <w:bookmarkEnd w:id="19"/>
      <w:bookmarkEnd w:id="20"/>
      <w:bookmarkEnd w:id="21"/>
      <w:bookmarkEnd w:id="22"/>
      <w:bookmarkEnd w:id="23"/>
      <w:bookmarkEnd w:id="24"/>
    </w:p>
    <w:p>
      <w:pPr>
        <w:pageBreakBefore w:val="0"/>
        <w:widowControl/>
        <w:kinsoku/>
        <w:wordWrap/>
        <w:overflowPunct/>
        <w:topLinePunct w:val="0"/>
        <w:autoSpaceDE/>
        <w:autoSpaceDN/>
        <w:bidi w:val="0"/>
        <w:adjustRightInd/>
        <w:snapToGrid/>
        <w:spacing w:line="420" w:lineRule="exact"/>
        <w:ind w:firstLine="420" w:firstLineChars="200"/>
        <w:textAlignment w:val="auto"/>
        <w:rPr>
          <w:rFonts w:hint="eastAsia" w:ascii="宋体" w:hAnsi="宋体" w:cs="Times New Roman"/>
          <w:szCs w:val="21"/>
        </w:rPr>
      </w:pPr>
      <w:bookmarkStart w:id="25" w:name="_Toc28359081"/>
      <w:bookmarkStart w:id="26" w:name="_Toc28359004"/>
      <w:r>
        <w:rPr>
          <w:rFonts w:hint="eastAsia" w:ascii="宋体" w:hAnsi="宋体" w:cs="Times New Roman"/>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pageBreakBefore w:val="0"/>
        <w:widowControl/>
        <w:kinsoku/>
        <w:wordWrap/>
        <w:overflowPunct/>
        <w:topLinePunct w:val="0"/>
        <w:autoSpaceDE/>
        <w:autoSpaceDN/>
        <w:bidi w:val="0"/>
        <w:adjustRightInd/>
        <w:snapToGrid/>
        <w:spacing w:line="420" w:lineRule="exact"/>
        <w:ind w:firstLine="420" w:firstLineChars="200"/>
        <w:textAlignment w:val="auto"/>
        <w:rPr>
          <w:rFonts w:hint="eastAsia" w:ascii="宋体" w:hAnsi="宋体" w:cs="Times New Roman"/>
          <w:szCs w:val="21"/>
        </w:rPr>
      </w:pPr>
      <w:r>
        <w:rPr>
          <w:rFonts w:hint="eastAsia" w:ascii="宋体" w:hAnsi="宋体" w:cs="Times New Roman"/>
          <w:szCs w:val="21"/>
        </w:rPr>
        <w:t>2.落实政府采购政策需满足的资格要求：</w:t>
      </w:r>
      <w:r>
        <w:rPr>
          <w:rFonts w:hint="eastAsia" w:ascii="宋体" w:hAnsi="宋体" w:cs="Times New Roman"/>
          <w:szCs w:val="21"/>
          <w:lang w:eastAsia="zh-CN"/>
        </w:rPr>
        <w:t>无</w:t>
      </w:r>
      <w:r>
        <w:rPr>
          <w:rFonts w:hint="eastAsia" w:ascii="宋体" w:hAnsi="宋体" w:cs="Times New Roman"/>
          <w:szCs w:val="21"/>
        </w:rPr>
        <w:t>。 </w:t>
      </w:r>
    </w:p>
    <w:p>
      <w:pPr>
        <w:pageBreakBefore w:val="0"/>
        <w:widowControl/>
        <w:kinsoku/>
        <w:wordWrap/>
        <w:overflowPunct/>
        <w:topLinePunct w:val="0"/>
        <w:autoSpaceDE/>
        <w:autoSpaceDN/>
        <w:bidi w:val="0"/>
        <w:adjustRightInd/>
        <w:snapToGrid/>
        <w:spacing w:line="420" w:lineRule="exact"/>
        <w:ind w:firstLine="420" w:firstLineChars="200"/>
        <w:textAlignment w:val="auto"/>
        <w:rPr>
          <w:rFonts w:hint="eastAsia" w:ascii="宋体" w:hAnsi="宋体" w:cs="Times New Roman"/>
          <w:szCs w:val="21"/>
        </w:rPr>
      </w:pPr>
      <w:r>
        <w:rPr>
          <w:rFonts w:hint="eastAsia" w:ascii="宋体" w:hAnsi="宋体" w:cs="Times New Roman"/>
          <w:szCs w:val="21"/>
        </w:rPr>
        <w:t>3.本项目的特定资格要求：</w:t>
      </w:r>
      <w:r>
        <w:rPr>
          <w:rFonts w:hint="eastAsia" w:ascii="宋体" w:hAnsi="宋体" w:cs="Times New Roman"/>
          <w:szCs w:val="21"/>
          <w:lang w:eastAsia="zh-CN"/>
        </w:rPr>
        <w:t>无。</w:t>
      </w:r>
      <w:r>
        <w:rPr>
          <w:rFonts w:hint="eastAsia" w:ascii="宋体" w:hAnsi="宋体" w:cs="Times New Roman"/>
          <w:szCs w:val="21"/>
        </w:rPr>
        <w:t> </w:t>
      </w:r>
    </w:p>
    <w:p>
      <w:pPr>
        <w:pStyle w:val="4"/>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b/>
          <w:bCs w:val="0"/>
          <w:sz w:val="21"/>
          <w:szCs w:val="21"/>
        </w:rPr>
      </w:pPr>
      <w:bookmarkStart w:id="27" w:name="_Toc5752"/>
      <w:bookmarkStart w:id="28" w:name="_Toc35393623"/>
      <w:bookmarkStart w:id="29" w:name="_Toc45382804"/>
      <w:bookmarkStart w:id="30" w:name="_Toc24785"/>
      <w:bookmarkStart w:id="31" w:name="_Toc35393792"/>
      <w:bookmarkStart w:id="32" w:name="_Toc24793"/>
      <w:r>
        <w:rPr>
          <w:rFonts w:hint="eastAsia" w:ascii="宋体" w:hAnsi="宋体" w:eastAsia="宋体" w:cs="宋体"/>
          <w:b/>
          <w:bCs w:val="0"/>
          <w:sz w:val="21"/>
          <w:szCs w:val="21"/>
        </w:rPr>
        <w:t>三、获取招标文件</w:t>
      </w:r>
      <w:bookmarkEnd w:id="25"/>
      <w:bookmarkEnd w:id="26"/>
      <w:bookmarkEnd w:id="27"/>
      <w:bookmarkEnd w:id="28"/>
      <w:bookmarkEnd w:id="29"/>
      <w:bookmarkEnd w:id="30"/>
      <w:bookmarkEnd w:id="31"/>
      <w:bookmarkEnd w:id="32"/>
    </w:p>
    <w:p>
      <w:pPr>
        <w:pageBreakBefore w:val="0"/>
        <w:widowControl/>
        <w:kinsoku/>
        <w:wordWrap/>
        <w:overflowPunct/>
        <w:topLinePunct w:val="0"/>
        <w:autoSpaceDE/>
        <w:autoSpaceDN/>
        <w:bidi w:val="0"/>
        <w:adjustRightInd/>
        <w:snapToGrid/>
        <w:spacing w:line="420" w:lineRule="exact"/>
        <w:ind w:firstLine="420" w:firstLineChars="200"/>
        <w:textAlignment w:val="auto"/>
        <w:rPr>
          <w:rFonts w:ascii="宋体" w:hAnsi="宋体"/>
          <w:szCs w:val="21"/>
        </w:rPr>
      </w:pPr>
      <w:bookmarkStart w:id="33" w:name="_Toc28359082"/>
      <w:bookmarkStart w:id="34" w:name="_Toc28359005"/>
      <w:bookmarkStart w:id="35" w:name="_Toc35393793"/>
      <w:bookmarkStart w:id="36" w:name="_Toc35393624"/>
      <w:r>
        <w:rPr>
          <w:rFonts w:ascii="宋体" w:hAnsi="宋体"/>
          <w:szCs w:val="21"/>
        </w:rPr>
        <w:t>时间：</w:t>
      </w:r>
      <w:r>
        <w:rPr>
          <w:rFonts w:hint="eastAsia" w:ascii="宋体" w:hAnsi="宋体"/>
          <w:szCs w:val="21"/>
        </w:rPr>
        <w:t>202</w:t>
      </w:r>
      <w:r>
        <w:rPr>
          <w:rFonts w:hint="eastAsia" w:ascii="宋体" w:hAnsi="宋体"/>
          <w:szCs w:val="21"/>
          <w:lang w:val="en-US" w:eastAsia="zh-CN"/>
        </w:rPr>
        <w:t>1</w:t>
      </w:r>
      <w:r>
        <w:rPr>
          <w:rFonts w:ascii="宋体" w:hAnsi="宋体"/>
          <w:szCs w:val="21"/>
        </w:rPr>
        <w:t>年</w:t>
      </w:r>
      <w:r>
        <w:rPr>
          <w:rFonts w:hint="eastAsia" w:ascii="宋体" w:hAnsi="宋体"/>
          <w:szCs w:val="21"/>
          <w:lang w:val="en-US" w:eastAsia="zh-CN"/>
        </w:rPr>
        <w:t>04</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日</w:t>
      </w:r>
      <w:r>
        <w:rPr>
          <w:rFonts w:ascii="宋体" w:hAnsi="宋体"/>
          <w:szCs w:val="21"/>
        </w:rPr>
        <w:t>至</w:t>
      </w:r>
      <w:r>
        <w:rPr>
          <w:rFonts w:hint="eastAsia" w:ascii="宋体" w:hAnsi="宋体"/>
          <w:szCs w:val="21"/>
        </w:rPr>
        <w:t>202</w:t>
      </w:r>
      <w:r>
        <w:rPr>
          <w:rFonts w:hint="eastAsia" w:ascii="宋体" w:hAnsi="宋体"/>
          <w:szCs w:val="21"/>
          <w:lang w:val="en-US" w:eastAsia="zh-CN"/>
        </w:rPr>
        <w:t>1</w:t>
      </w:r>
      <w:r>
        <w:rPr>
          <w:rFonts w:ascii="宋体" w:hAnsi="宋体"/>
          <w:szCs w:val="21"/>
        </w:rPr>
        <w:t>年</w:t>
      </w:r>
      <w:r>
        <w:rPr>
          <w:rFonts w:hint="eastAsia" w:ascii="宋体" w:hAnsi="宋体"/>
          <w:szCs w:val="21"/>
          <w:lang w:val="en-US" w:eastAsia="zh-CN"/>
        </w:rPr>
        <w:t>05</w:t>
      </w:r>
      <w:r>
        <w:rPr>
          <w:rFonts w:ascii="宋体" w:hAnsi="宋体"/>
          <w:szCs w:val="21"/>
        </w:rPr>
        <w:t>月</w:t>
      </w:r>
      <w:r>
        <w:rPr>
          <w:rFonts w:hint="eastAsia" w:ascii="宋体" w:hAnsi="宋体"/>
          <w:szCs w:val="21"/>
          <w:lang w:val="en-US" w:eastAsia="zh-CN"/>
        </w:rPr>
        <w:t>11</w:t>
      </w:r>
      <w:r>
        <w:rPr>
          <w:rFonts w:ascii="宋体" w:hAnsi="宋体"/>
          <w:szCs w:val="21"/>
        </w:rPr>
        <w:t>日</w:t>
      </w:r>
      <w:r>
        <w:rPr>
          <w:rFonts w:hint="eastAsia" w:ascii="宋体" w:hAnsi="宋体"/>
          <w:szCs w:val="21"/>
          <w:lang w:eastAsia="zh-CN"/>
        </w:rPr>
        <w:t>，</w:t>
      </w:r>
      <w:r>
        <w:rPr>
          <w:rFonts w:hint="eastAsia" w:ascii="宋体" w:hAnsi="宋体" w:cs="Times New Roman"/>
          <w:szCs w:val="21"/>
          <w:lang w:val="en-US" w:eastAsia="zh-CN"/>
        </w:rPr>
        <w:t>每天上午00:00至12:00，下午12:00至23:59（北京时间，线上获取法定节假日均可，线下获取文件法定节假日除外）</w:t>
      </w:r>
    </w:p>
    <w:p>
      <w:pPr>
        <w:pageBreakBefore w:val="0"/>
        <w:widowControl/>
        <w:kinsoku/>
        <w:wordWrap/>
        <w:overflowPunct/>
        <w:topLinePunct w:val="0"/>
        <w:autoSpaceDE/>
        <w:autoSpaceDN/>
        <w:bidi w:val="0"/>
        <w:adjustRightInd/>
        <w:snapToGrid/>
        <w:spacing w:line="420" w:lineRule="exact"/>
        <w:ind w:firstLine="420" w:firstLineChars="200"/>
        <w:textAlignment w:val="auto"/>
        <w:rPr>
          <w:rFonts w:ascii="宋体" w:hAnsi="宋体" w:cs="Times New Roman"/>
          <w:szCs w:val="21"/>
        </w:rPr>
      </w:pPr>
      <w:r>
        <w:rPr>
          <w:rFonts w:hint="eastAsia" w:ascii="宋体" w:hAnsi="宋体" w:cs="Times New Roman"/>
          <w:szCs w:val="21"/>
        </w:rPr>
        <w:t>地点（网址）：政采云平台（</w:t>
      </w:r>
      <w:r>
        <w:rPr>
          <w:rFonts w:hint="eastAsia" w:ascii="宋体" w:hAnsi="宋体" w:cs="宋体"/>
          <w:szCs w:val="21"/>
          <w:u w:val="single"/>
        </w:rPr>
        <w:t>www.zcygov.cn</w:t>
      </w:r>
      <w:r>
        <w:rPr>
          <w:rFonts w:hint="eastAsia" w:ascii="宋体" w:hAnsi="宋体" w:cs="Times New Roman"/>
          <w:szCs w:val="21"/>
        </w:rPr>
        <w:t>）。 </w:t>
      </w:r>
    </w:p>
    <w:p>
      <w:pPr>
        <w:pageBreakBefore w:val="0"/>
        <w:widowControl/>
        <w:kinsoku/>
        <w:wordWrap/>
        <w:overflowPunct/>
        <w:topLinePunct w:val="0"/>
        <w:autoSpaceDE/>
        <w:autoSpaceDN/>
        <w:bidi w:val="0"/>
        <w:adjustRightInd/>
        <w:snapToGrid/>
        <w:spacing w:line="420" w:lineRule="exact"/>
        <w:ind w:firstLine="420" w:firstLineChars="200"/>
        <w:textAlignment w:val="auto"/>
        <w:rPr>
          <w:rFonts w:hint="eastAsia" w:ascii="宋体" w:hAnsi="宋体" w:cs="Times New Roman"/>
          <w:szCs w:val="21"/>
        </w:rPr>
      </w:pPr>
      <w:r>
        <w:rPr>
          <w:rFonts w:hint="eastAsia" w:ascii="宋体" w:hAnsi="宋体" w:cs="Times New Roman"/>
          <w:szCs w:val="21"/>
        </w:rPr>
        <w:t>方式：依法获取招标文件方式为潜在投标人登陆政采云平台，在线申请获取招标文件（进入“项目采购”应用，在获取采购文件菜单中选择项目，申请获取采购文件；仅需浏览招标文件的供应商可点击“游客，浏览采购文件”直接下载采购文件浏览）。招标公告附件中提供的招标文件仅供阅览使用，未按上述规定依法获取招标文件的潜在投标人，对招标文件提起质疑的，按照无效质疑处理。采购代理机构拒绝接收未依法获取招标文件的投标人提交的投标文件。  </w:t>
      </w:r>
    </w:p>
    <w:p>
      <w:pPr>
        <w:pageBreakBefore w:val="0"/>
        <w:widowControl/>
        <w:kinsoku/>
        <w:wordWrap/>
        <w:overflowPunct/>
        <w:topLinePunct w:val="0"/>
        <w:autoSpaceDE/>
        <w:autoSpaceDN/>
        <w:bidi w:val="0"/>
        <w:adjustRightInd/>
        <w:snapToGrid/>
        <w:spacing w:line="420" w:lineRule="exact"/>
        <w:ind w:firstLine="420" w:firstLineChars="200"/>
        <w:textAlignment w:val="auto"/>
        <w:rPr>
          <w:rFonts w:hint="eastAsia"/>
          <w:szCs w:val="21"/>
        </w:rPr>
      </w:pPr>
      <w:r>
        <w:rPr>
          <w:rFonts w:hint="eastAsia" w:ascii="宋体" w:hAnsi="宋体" w:cs="Times New Roman"/>
          <w:szCs w:val="21"/>
        </w:rPr>
        <w:t>售价（元）：0 </w:t>
      </w:r>
    </w:p>
    <w:p>
      <w:pPr>
        <w:pStyle w:val="4"/>
        <w:pageBreakBefore w:val="0"/>
        <w:widowControl/>
        <w:kinsoku/>
        <w:wordWrap/>
        <w:overflowPunct/>
        <w:topLinePunct w:val="0"/>
        <w:autoSpaceDE/>
        <w:autoSpaceDN/>
        <w:bidi w:val="0"/>
        <w:adjustRightInd/>
        <w:snapToGrid/>
        <w:spacing w:line="420" w:lineRule="exact"/>
        <w:textAlignment w:val="auto"/>
        <w:rPr>
          <w:rFonts w:hint="eastAsia" w:ascii="宋体" w:hAnsi="宋体"/>
          <w:szCs w:val="21"/>
        </w:rPr>
      </w:pPr>
      <w:bookmarkStart w:id="37" w:name="_Toc20570"/>
      <w:bookmarkStart w:id="38" w:name="_Toc45382805"/>
      <w:bookmarkStart w:id="39" w:name="_Toc28560"/>
      <w:bookmarkStart w:id="40" w:name="_Toc30275"/>
      <w:r>
        <w:rPr>
          <w:rFonts w:hint="eastAsia" w:ascii="宋体" w:hAnsi="宋体" w:eastAsia="宋体" w:cs="宋体"/>
          <w:b/>
          <w:bCs w:val="0"/>
          <w:sz w:val="21"/>
          <w:szCs w:val="21"/>
        </w:rPr>
        <w:t>四、提交投标文件</w:t>
      </w:r>
      <w:bookmarkEnd w:id="33"/>
      <w:bookmarkEnd w:id="34"/>
      <w:r>
        <w:rPr>
          <w:rFonts w:hint="eastAsia" w:ascii="宋体" w:hAnsi="宋体" w:eastAsia="宋体" w:cs="宋体"/>
          <w:b/>
          <w:bCs w:val="0"/>
          <w:sz w:val="21"/>
          <w:szCs w:val="21"/>
        </w:rPr>
        <w:t>截止时间、开标时间和地点</w:t>
      </w:r>
      <w:bookmarkEnd w:id="35"/>
      <w:bookmarkEnd w:id="36"/>
      <w:bookmarkEnd w:id="37"/>
      <w:bookmarkEnd w:id="38"/>
      <w:bookmarkEnd w:id="39"/>
      <w:bookmarkEnd w:id="40"/>
    </w:p>
    <w:p>
      <w:pPr>
        <w:pageBreakBefore w:val="0"/>
        <w:widowControl/>
        <w:kinsoku/>
        <w:wordWrap/>
        <w:overflowPunct/>
        <w:topLinePunct w:val="0"/>
        <w:autoSpaceDE/>
        <w:autoSpaceDN/>
        <w:bidi w:val="0"/>
        <w:adjustRightInd/>
        <w:snapToGrid/>
        <w:spacing w:line="420" w:lineRule="exact"/>
        <w:ind w:firstLine="420" w:firstLineChars="200"/>
        <w:textAlignment w:val="auto"/>
        <w:rPr>
          <w:rFonts w:hint="eastAsia" w:ascii="宋体" w:hAnsi="宋体" w:cs="Times New Roman"/>
          <w:szCs w:val="21"/>
        </w:rPr>
      </w:pPr>
      <w:bookmarkStart w:id="41" w:name="_Toc28359084"/>
      <w:bookmarkStart w:id="42" w:name="_Toc35393794"/>
      <w:bookmarkStart w:id="43" w:name="_Toc35393625"/>
      <w:bookmarkStart w:id="44" w:name="_Toc28359007"/>
      <w:r>
        <w:rPr>
          <w:rFonts w:hint="eastAsia" w:ascii="宋体" w:hAnsi="宋体" w:cs="Times New Roman"/>
          <w:szCs w:val="21"/>
        </w:rPr>
        <w:t>提交投标文件截止时间：202</w:t>
      </w:r>
      <w:r>
        <w:rPr>
          <w:rFonts w:hint="eastAsia" w:ascii="宋体" w:hAnsi="宋体" w:cs="Times New Roman"/>
          <w:szCs w:val="21"/>
          <w:lang w:val="en-US" w:eastAsia="zh-CN"/>
        </w:rPr>
        <w:t>1</w:t>
      </w:r>
      <w:r>
        <w:rPr>
          <w:rFonts w:hint="eastAsia" w:ascii="宋体" w:hAnsi="宋体" w:cs="Times New Roman"/>
          <w:szCs w:val="21"/>
        </w:rPr>
        <w:t>年</w:t>
      </w:r>
      <w:r>
        <w:rPr>
          <w:rFonts w:hint="eastAsia" w:ascii="宋体" w:hAnsi="宋体" w:cs="Times New Roman"/>
          <w:szCs w:val="21"/>
          <w:lang w:val="en-US" w:eastAsia="zh-CN"/>
        </w:rPr>
        <w:t>05</w:t>
      </w:r>
      <w:r>
        <w:rPr>
          <w:rFonts w:hint="eastAsia" w:ascii="宋体" w:hAnsi="宋体" w:cs="Times New Roman"/>
          <w:szCs w:val="21"/>
        </w:rPr>
        <w:t>月</w:t>
      </w:r>
      <w:r>
        <w:rPr>
          <w:rFonts w:hint="eastAsia" w:ascii="宋体" w:hAnsi="宋体" w:cs="Times New Roman"/>
          <w:szCs w:val="21"/>
          <w:lang w:val="en-US" w:eastAsia="zh-CN"/>
        </w:rPr>
        <w:t>25</w:t>
      </w:r>
      <w:r>
        <w:rPr>
          <w:rFonts w:hint="eastAsia" w:ascii="宋体" w:hAnsi="宋体" w:cs="Times New Roman"/>
          <w:szCs w:val="21"/>
        </w:rPr>
        <w:t>日</w:t>
      </w:r>
      <w:r>
        <w:rPr>
          <w:rFonts w:hint="eastAsia" w:ascii="宋体" w:hAnsi="宋体" w:cs="Times New Roman"/>
          <w:szCs w:val="21"/>
          <w:lang w:val="en-US" w:eastAsia="zh-CN"/>
        </w:rPr>
        <w:t>09</w:t>
      </w:r>
      <w:r>
        <w:rPr>
          <w:rFonts w:hint="eastAsia" w:ascii="宋体" w:hAnsi="宋体" w:cs="Times New Roman"/>
          <w:szCs w:val="21"/>
        </w:rPr>
        <w:t>:00（北京时间）</w:t>
      </w:r>
    </w:p>
    <w:p>
      <w:pPr>
        <w:pageBreakBefore w:val="0"/>
        <w:widowControl/>
        <w:kinsoku/>
        <w:wordWrap/>
        <w:overflowPunct/>
        <w:topLinePunct w:val="0"/>
        <w:autoSpaceDE/>
        <w:autoSpaceDN/>
        <w:bidi w:val="0"/>
        <w:adjustRightInd/>
        <w:snapToGrid/>
        <w:spacing w:line="420" w:lineRule="exact"/>
        <w:ind w:firstLine="420" w:firstLineChars="200"/>
        <w:textAlignment w:val="auto"/>
        <w:rPr>
          <w:rFonts w:hint="eastAsia" w:ascii="宋体" w:hAnsi="宋体" w:cs="Times New Roman"/>
          <w:szCs w:val="21"/>
        </w:rPr>
      </w:pPr>
      <w:r>
        <w:rPr>
          <w:rFonts w:hint="eastAsia" w:ascii="宋体" w:hAnsi="宋体" w:cs="Times New Roman"/>
          <w:szCs w:val="21"/>
        </w:rPr>
        <w:t>投标地点（网址）：宁波市海曙区公共资源交易中心开标室（</w:t>
      </w:r>
      <w:r>
        <w:rPr>
          <w:rFonts w:hint="eastAsia" w:ascii="宋体" w:hAnsi="宋体" w:cs="Times New Roman"/>
          <w:szCs w:val="21"/>
          <w:lang w:eastAsia="zh-CN"/>
        </w:rPr>
        <w:t>一</w:t>
      </w:r>
      <w:r>
        <w:rPr>
          <w:rFonts w:hint="eastAsia" w:ascii="宋体" w:hAnsi="宋体" w:cs="Times New Roman"/>
          <w:szCs w:val="21"/>
        </w:rPr>
        <w:t>）[宁波市中山西路298号海光大厦4楼（南门电梯上）] </w:t>
      </w:r>
    </w:p>
    <w:p>
      <w:pPr>
        <w:pageBreakBefore w:val="0"/>
        <w:widowControl/>
        <w:kinsoku/>
        <w:wordWrap/>
        <w:overflowPunct/>
        <w:topLinePunct w:val="0"/>
        <w:autoSpaceDE/>
        <w:autoSpaceDN/>
        <w:bidi w:val="0"/>
        <w:adjustRightInd/>
        <w:snapToGrid/>
        <w:spacing w:line="420" w:lineRule="exact"/>
        <w:ind w:firstLine="420" w:firstLineChars="200"/>
        <w:textAlignment w:val="auto"/>
        <w:rPr>
          <w:rFonts w:hint="eastAsia" w:ascii="宋体" w:hAnsi="宋体" w:cs="Times New Roman"/>
          <w:szCs w:val="21"/>
        </w:rPr>
      </w:pPr>
      <w:r>
        <w:rPr>
          <w:rFonts w:hint="eastAsia" w:ascii="宋体" w:hAnsi="宋体" w:cs="Times New Roman"/>
          <w:szCs w:val="21"/>
        </w:rPr>
        <w:t>开标时间：202</w:t>
      </w:r>
      <w:r>
        <w:rPr>
          <w:rFonts w:hint="eastAsia" w:ascii="宋体" w:hAnsi="宋体" w:cs="Times New Roman"/>
          <w:szCs w:val="21"/>
          <w:lang w:val="en-US" w:eastAsia="zh-CN"/>
        </w:rPr>
        <w:t>1</w:t>
      </w:r>
      <w:r>
        <w:rPr>
          <w:rFonts w:hint="eastAsia" w:ascii="宋体" w:hAnsi="宋体" w:cs="Times New Roman"/>
          <w:szCs w:val="21"/>
        </w:rPr>
        <w:t>年</w:t>
      </w:r>
      <w:r>
        <w:rPr>
          <w:rFonts w:hint="eastAsia" w:ascii="宋体" w:hAnsi="宋体" w:cs="Times New Roman"/>
          <w:szCs w:val="21"/>
          <w:lang w:val="en-US" w:eastAsia="zh-CN"/>
        </w:rPr>
        <w:t>05</w:t>
      </w:r>
      <w:r>
        <w:rPr>
          <w:rFonts w:hint="eastAsia" w:ascii="宋体" w:hAnsi="宋体" w:cs="Times New Roman"/>
          <w:szCs w:val="21"/>
        </w:rPr>
        <w:t>月</w:t>
      </w:r>
      <w:r>
        <w:rPr>
          <w:rFonts w:hint="eastAsia" w:ascii="宋体" w:hAnsi="宋体" w:cs="Times New Roman"/>
          <w:szCs w:val="21"/>
          <w:lang w:val="en-US" w:eastAsia="zh-CN"/>
        </w:rPr>
        <w:t>25</w:t>
      </w:r>
      <w:r>
        <w:rPr>
          <w:rFonts w:hint="eastAsia" w:ascii="宋体" w:hAnsi="宋体" w:cs="Times New Roman"/>
          <w:szCs w:val="21"/>
        </w:rPr>
        <w:t>日</w:t>
      </w:r>
      <w:r>
        <w:rPr>
          <w:rFonts w:hint="eastAsia" w:ascii="宋体" w:hAnsi="宋体" w:cs="Times New Roman"/>
          <w:szCs w:val="21"/>
          <w:lang w:val="en-US" w:eastAsia="zh-CN"/>
        </w:rPr>
        <w:t>09</w:t>
      </w:r>
      <w:r>
        <w:rPr>
          <w:rFonts w:hint="eastAsia" w:ascii="宋体" w:hAnsi="宋体" w:cs="Times New Roman"/>
          <w:szCs w:val="21"/>
        </w:rPr>
        <w:t>:00</w:t>
      </w:r>
    </w:p>
    <w:p>
      <w:pPr>
        <w:pageBreakBefore w:val="0"/>
        <w:widowControl/>
        <w:kinsoku/>
        <w:wordWrap/>
        <w:overflowPunct/>
        <w:topLinePunct w:val="0"/>
        <w:autoSpaceDE/>
        <w:autoSpaceDN/>
        <w:bidi w:val="0"/>
        <w:adjustRightInd/>
        <w:snapToGrid/>
        <w:spacing w:line="420" w:lineRule="exact"/>
        <w:ind w:firstLine="420" w:firstLineChars="200"/>
        <w:textAlignment w:val="auto"/>
        <w:rPr>
          <w:rFonts w:hint="eastAsia" w:ascii="宋体" w:hAnsi="宋体"/>
          <w:szCs w:val="21"/>
        </w:rPr>
      </w:pPr>
      <w:r>
        <w:rPr>
          <w:rFonts w:hint="eastAsia" w:ascii="宋体" w:hAnsi="宋体" w:cs="Times New Roman"/>
          <w:szCs w:val="21"/>
        </w:rPr>
        <w:t>开标地点（网址）：宁波市海曙区公共资源交易中心开标室（</w:t>
      </w:r>
      <w:r>
        <w:rPr>
          <w:rFonts w:hint="eastAsia" w:ascii="宋体" w:hAnsi="宋体" w:cs="Times New Roman"/>
          <w:szCs w:val="21"/>
          <w:lang w:eastAsia="zh-CN"/>
        </w:rPr>
        <w:t>一</w:t>
      </w:r>
      <w:r>
        <w:rPr>
          <w:rFonts w:hint="eastAsia" w:ascii="宋体" w:hAnsi="宋体" w:cs="Times New Roman"/>
          <w:szCs w:val="21"/>
        </w:rPr>
        <w:t>）[宁波市中山西路298号海光大厦4楼（南门电梯上）]  </w:t>
      </w:r>
    </w:p>
    <w:p>
      <w:pPr>
        <w:pStyle w:val="4"/>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b/>
          <w:bCs w:val="0"/>
          <w:sz w:val="21"/>
          <w:szCs w:val="21"/>
        </w:rPr>
      </w:pPr>
      <w:bookmarkStart w:id="45" w:name="_Toc29465"/>
      <w:bookmarkStart w:id="46" w:name="_Toc23297"/>
      <w:bookmarkStart w:id="47" w:name="_Toc45382806"/>
      <w:bookmarkStart w:id="48" w:name="_Toc7966"/>
      <w:r>
        <w:rPr>
          <w:rFonts w:hint="eastAsia" w:ascii="宋体" w:hAnsi="宋体" w:eastAsia="宋体" w:cs="宋体"/>
          <w:b/>
          <w:bCs w:val="0"/>
          <w:sz w:val="21"/>
          <w:szCs w:val="21"/>
        </w:rPr>
        <w:t>五、公告期限</w:t>
      </w:r>
      <w:bookmarkEnd w:id="41"/>
      <w:bookmarkEnd w:id="42"/>
      <w:bookmarkEnd w:id="43"/>
      <w:bookmarkEnd w:id="44"/>
      <w:bookmarkEnd w:id="45"/>
      <w:bookmarkEnd w:id="46"/>
      <w:bookmarkEnd w:id="47"/>
      <w:bookmarkEnd w:id="48"/>
    </w:p>
    <w:p>
      <w:pPr>
        <w:pageBreakBefore w:val="0"/>
        <w:widowControl/>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szCs w:val="21"/>
        </w:rPr>
      </w:pPr>
      <w:r>
        <w:rPr>
          <w:rFonts w:hint="eastAsia" w:ascii="宋体" w:hAnsi="宋体" w:cs="宋体"/>
          <w:szCs w:val="21"/>
        </w:rPr>
        <w:t>自本公告发布之日起5个工作日。</w:t>
      </w:r>
    </w:p>
    <w:p>
      <w:pPr>
        <w:pStyle w:val="4"/>
        <w:pageBreakBefore w:val="0"/>
        <w:widowControl/>
        <w:numPr>
          <w:ilvl w:val="0"/>
          <w:numId w:val="3"/>
        </w:numPr>
        <w:kinsoku/>
        <w:wordWrap/>
        <w:overflowPunct/>
        <w:topLinePunct w:val="0"/>
        <w:autoSpaceDE/>
        <w:autoSpaceDN/>
        <w:bidi w:val="0"/>
        <w:adjustRightInd/>
        <w:snapToGrid/>
        <w:spacing w:line="420" w:lineRule="exact"/>
        <w:textAlignment w:val="auto"/>
        <w:rPr>
          <w:rFonts w:hint="eastAsia" w:ascii="宋体" w:hAnsi="宋体" w:eastAsia="宋体" w:cs="宋体"/>
          <w:b/>
          <w:bCs w:val="0"/>
          <w:sz w:val="21"/>
          <w:szCs w:val="21"/>
        </w:rPr>
      </w:pPr>
      <w:bookmarkStart w:id="49" w:name="_Toc35393795"/>
      <w:bookmarkStart w:id="50" w:name="_Toc35393626"/>
      <w:bookmarkStart w:id="51" w:name="_Toc8224"/>
      <w:bookmarkStart w:id="52" w:name="_Toc24118"/>
      <w:bookmarkStart w:id="53" w:name="_Toc6933"/>
      <w:bookmarkStart w:id="54" w:name="_Toc45382807"/>
      <w:r>
        <w:rPr>
          <w:rFonts w:hint="eastAsia" w:ascii="宋体" w:hAnsi="宋体" w:eastAsia="宋体" w:cs="宋体"/>
          <w:b/>
          <w:bCs w:val="0"/>
          <w:sz w:val="21"/>
          <w:szCs w:val="21"/>
        </w:rPr>
        <w:t>其他补充事宜</w:t>
      </w:r>
      <w:bookmarkEnd w:id="49"/>
      <w:bookmarkEnd w:id="50"/>
      <w:r>
        <w:rPr>
          <w:rFonts w:hint="eastAsia" w:ascii="宋体" w:hAnsi="宋体" w:eastAsia="宋体" w:cs="宋体"/>
          <w:b/>
          <w:bCs w:val="0"/>
          <w:sz w:val="21"/>
          <w:szCs w:val="21"/>
        </w:rPr>
        <w:t>：</w:t>
      </w:r>
      <w:bookmarkEnd w:id="51"/>
      <w:bookmarkEnd w:id="52"/>
      <w:bookmarkEnd w:id="53"/>
      <w:bookmarkEnd w:id="54"/>
    </w:p>
    <w:p>
      <w:pPr>
        <w:pageBreakBefore w:val="0"/>
        <w:widowControl/>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Arial"/>
          <w:color w:val="000000"/>
          <w:szCs w:val="21"/>
          <w:lang w:eastAsia="zh-CN"/>
        </w:rPr>
      </w:pPr>
      <w:r>
        <w:rPr>
          <w:rFonts w:hint="eastAsia" w:ascii="宋体" w:hAnsi="宋体" w:cs="Arial"/>
          <w:color w:val="000000"/>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Arial"/>
          <w:color w:val="000000"/>
          <w:szCs w:val="21"/>
          <w:lang w:eastAsia="zh-CN"/>
        </w:rPr>
        <w:t>；</w:t>
      </w:r>
    </w:p>
    <w:p>
      <w:pPr>
        <w:pageBreakBefore w:val="0"/>
        <w:widowControl/>
        <w:kinsoku/>
        <w:wordWrap/>
        <w:overflowPunct/>
        <w:topLinePunct w:val="0"/>
        <w:autoSpaceDE/>
        <w:autoSpaceDN/>
        <w:bidi w:val="0"/>
        <w:adjustRightInd/>
        <w:snapToGrid/>
        <w:spacing w:line="420" w:lineRule="exact"/>
        <w:ind w:firstLine="422" w:firstLineChars="200"/>
        <w:textAlignment w:val="auto"/>
        <w:rPr>
          <w:rFonts w:hint="eastAsia" w:cs="宋体"/>
          <w:b/>
          <w:bCs/>
          <w:szCs w:val="21"/>
          <w:lang w:bidi="ar"/>
        </w:rPr>
      </w:pPr>
      <w:r>
        <w:rPr>
          <w:rFonts w:hint="eastAsia" w:ascii="宋体" w:hAnsi="宋体" w:cs="宋体"/>
          <w:b/>
          <w:bCs/>
          <w:szCs w:val="21"/>
          <w:lang w:val="en-US" w:eastAsia="zh-CN"/>
        </w:rPr>
        <w:t>2</w:t>
      </w:r>
      <w:r>
        <w:rPr>
          <w:rFonts w:hint="eastAsia" w:ascii="宋体" w:hAnsi="宋体" w:cs="宋体"/>
          <w:b/>
          <w:bCs/>
          <w:szCs w:val="21"/>
          <w:lang w:eastAsia="zh-CN"/>
        </w:rPr>
        <w:t>、</w:t>
      </w:r>
      <w:r>
        <w:rPr>
          <w:rFonts w:hint="eastAsia" w:ascii="宋体" w:hAnsi="宋体"/>
          <w:b/>
          <w:bCs/>
          <w:szCs w:val="21"/>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公告发布之日起在上述网站查询结果为准，并按招标文件资格部分要求将查询结果做进投标文件，如相关失信记录已失效，供应商需提供相关证明资料）；</w:t>
      </w:r>
    </w:p>
    <w:p>
      <w:pPr>
        <w:pageBreakBefore w:val="0"/>
        <w:widowControl/>
        <w:kinsoku/>
        <w:wordWrap/>
        <w:overflowPunct/>
        <w:topLinePunct w:val="0"/>
        <w:autoSpaceDE/>
        <w:autoSpaceDN/>
        <w:bidi w:val="0"/>
        <w:adjustRightInd/>
        <w:snapToGrid/>
        <w:spacing w:line="420" w:lineRule="exact"/>
        <w:ind w:firstLine="420" w:firstLineChars="200"/>
        <w:textAlignment w:val="auto"/>
        <w:rPr>
          <w:rFonts w:hint="eastAsia" w:ascii="宋体" w:hAnsi="宋体"/>
          <w:szCs w:val="21"/>
          <w:lang w:eastAsia="zh-CN"/>
        </w:rPr>
      </w:pP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供应商须承诺自觉抵制政府采购领域商业贿赂行为（投标文件中须提供《供应商自觉抵制政府采购领域商业贿赂行为承诺书》，详见部分投标文件格式）</w:t>
      </w:r>
      <w:r>
        <w:rPr>
          <w:rFonts w:hint="eastAsia" w:ascii="宋体" w:hAnsi="宋体"/>
          <w:szCs w:val="21"/>
          <w:lang w:eastAsia="zh-CN"/>
        </w:rPr>
        <w:t>；</w:t>
      </w:r>
    </w:p>
    <w:p>
      <w:pPr>
        <w:pageBreakBefore w:val="0"/>
        <w:widowControl/>
        <w:kinsoku/>
        <w:wordWrap/>
        <w:overflowPunct/>
        <w:topLinePunct w:val="0"/>
        <w:autoSpaceDE/>
        <w:autoSpaceDN/>
        <w:bidi w:val="0"/>
        <w:adjustRightInd/>
        <w:snapToGrid/>
        <w:spacing w:line="420" w:lineRule="exact"/>
        <w:ind w:firstLine="420" w:firstLineChars="200"/>
        <w:textAlignment w:val="auto"/>
        <w:rPr>
          <w:rFonts w:hint="eastAsia" w:ascii="宋体" w:hAnsi="宋体" w:cs="Arial"/>
          <w:color w:val="000000"/>
          <w:szCs w:val="21"/>
        </w:rPr>
      </w:pPr>
      <w:r>
        <w:rPr>
          <w:rFonts w:hint="eastAsia" w:ascii="宋体" w:hAnsi="宋体" w:cs="Arial"/>
          <w:color w:val="000000"/>
          <w:szCs w:val="21"/>
          <w:lang w:val="en-US" w:eastAsia="zh-CN"/>
        </w:rPr>
        <w:t>4、</w:t>
      </w:r>
      <w:r>
        <w:rPr>
          <w:rFonts w:hint="eastAsia" w:ascii="宋体" w:hAnsi="宋体" w:cs="Arial"/>
          <w:color w:val="000000"/>
          <w:szCs w:val="21"/>
        </w:rPr>
        <w:t>根据《浙江省财政厅关于进一步做好新型冠状病毒感染的肺炎疫情防控期间政府采购管理工作的通知》(浙财采监〔2020〕2号)及《浙江省财政厅关于新冠肺炎疫情防控期间开展政府采购活动补充事项的通知》(浙财采监〔2020〕4号)等文件的要求，各投标单位可通过邮寄或现场递交的方式递交投标文件。</w:t>
      </w:r>
    </w:p>
    <w:p>
      <w:pPr>
        <w:pageBreakBefore w:val="0"/>
        <w:widowControl/>
        <w:kinsoku/>
        <w:wordWrap/>
        <w:overflowPunct/>
        <w:topLinePunct w:val="0"/>
        <w:autoSpaceDE/>
        <w:autoSpaceDN/>
        <w:bidi w:val="0"/>
        <w:adjustRightInd/>
        <w:snapToGrid/>
        <w:spacing w:line="420" w:lineRule="exact"/>
        <w:ind w:firstLine="420" w:firstLineChars="200"/>
        <w:textAlignment w:val="auto"/>
        <w:rPr>
          <w:rFonts w:hint="eastAsia" w:ascii="宋体" w:hAnsi="宋体" w:cs="Arial"/>
          <w:color w:val="000000"/>
          <w:szCs w:val="21"/>
        </w:rPr>
      </w:pPr>
      <w:r>
        <w:rPr>
          <w:rFonts w:hint="eastAsia" w:ascii="宋体" w:hAnsi="宋体" w:cs="Arial"/>
          <w:color w:val="000000"/>
          <w:szCs w:val="21"/>
        </w:rPr>
        <w:t>采用邮寄方式递交投标文件的，请留足邮寄时间，递交时间以邮寄签收时间为准，拟在202</w:t>
      </w:r>
      <w:r>
        <w:rPr>
          <w:rFonts w:hint="eastAsia" w:ascii="宋体" w:hAnsi="宋体" w:cs="Arial"/>
          <w:color w:val="000000"/>
          <w:szCs w:val="21"/>
          <w:lang w:val="en-US" w:eastAsia="zh-CN"/>
        </w:rPr>
        <w:t>1</w:t>
      </w:r>
      <w:r>
        <w:rPr>
          <w:rFonts w:hint="eastAsia" w:ascii="宋体" w:hAnsi="宋体" w:cs="Arial"/>
          <w:color w:val="000000"/>
          <w:szCs w:val="21"/>
        </w:rPr>
        <w:t>年</w:t>
      </w:r>
      <w:r>
        <w:rPr>
          <w:rFonts w:hint="eastAsia" w:ascii="宋体" w:hAnsi="宋体" w:cs="Arial"/>
          <w:color w:val="000000"/>
          <w:szCs w:val="21"/>
          <w:lang w:val="en-US" w:eastAsia="zh-CN"/>
        </w:rPr>
        <w:t>05</w:t>
      </w:r>
      <w:r>
        <w:rPr>
          <w:rFonts w:hint="eastAsia" w:ascii="宋体" w:hAnsi="宋体" w:cs="Arial"/>
          <w:color w:val="000000"/>
          <w:szCs w:val="21"/>
        </w:rPr>
        <w:t>月</w:t>
      </w:r>
      <w:r>
        <w:rPr>
          <w:rFonts w:hint="eastAsia" w:ascii="宋体" w:hAnsi="宋体" w:cs="Arial"/>
          <w:color w:val="000000"/>
          <w:szCs w:val="21"/>
          <w:lang w:val="en-US" w:eastAsia="zh-CN"/>
        </w:rPr>
        <w:t>24</w:t>
      </w:r>
      <w:r>
        <w:rPr>
          <w:rFonts w:hint="eastAsia" w:ascii="宋体" w:hAnsi="宋体" w:cs="Arial"/>
          <w:color w:val="000000"/>
          <w:szCs w:val="21"/>
        </w:rPr>
        <w:t>日</w:t>
      </w:r>
      <w:r>
        <w:rPr>
          <w:rFonts w:hint="eastAsia" w:ascii="宋体" w:hAnsi="宋体" w:cs="Arial"/>
          <w:color w:val="000000"/>
          <w:szCs w:val="21"/>
          <w:lang w:val="en-US" w:eastAsia="zh-CN"/>
        </w:rPr>
        <w:t>17</w:t>
      </w:r>
      <w:r>
        <w:rPr>
          <w:rFonts w:hint="eastAsia" w:ascii="宋体" w:hAnsi="宋体" w:cs="Arial"/>
          <w:color w:val="000000"/>
          <w:szCs w:val="21"/>
        </w:rPr>
        <w:t>：</w:t>
      </w:r>
      <w:r>
        <w:rPr>
          <w:rFonts w:hint="eastAsia" w:ascii="宋体" w:hAnsi="宋体" w:cs="Arial"/>
          <w:color w:val="000000"/>
          <w:szCs w:val="21"/>
          <w:lang w:val="en-US" w:eastAsia="zh-CN"/>
        </w:rPr>
        <w:t>0</w:t>
      </w:r>
      <w:r>
        <w:rPr>
          <w:rFonts w:hint="eastAsia" w:ascii="宋体" w:hAnsi="宋体" w:cs="Arial"/>
          <w:color w:val="000000"/>
          <w:szCs w:val="21"/>
        </w:rPr>
        <w:t>0前（含）到件的邮寄地址为：宁波市海曙区中山西路298号5楼5</w:t>
      </w:r>
      <w:r>
        <w:rPr>
          <w:rFonts w:hint="eastAsia" w:ascii="宋体" w:hAnsi="宋体" w:cs="Arial"/>
          <w:color w:val="000000"/>
          <w:szCs w:val="21"/>
          <w:lang w:val="en-US" w:eastAsia="zh-CN"/>
        </w:rPr>
        <w:t>24</w:t>
      </w:r>
      <w:r>
        <w:rPr>
          <w:rFonts w:hint="eastAsia" w:ascii="宋体" w:hAnsi="宋体" w:cs="Arial"/>
          <w:color w:val="000000"/>
          <w:szCs w:val="21"/>
        </w:rPr>
        <w:t>办公室；拟在202</w:t>
      </w:r>
      <w:r>
        <w:rPr>
          <w:rFonts w:hint="eastAsia" w:ascii="宋体" w:hAnsi="宋体" w:cs="Arial"/>
          <w:color w:val="000000"/>
          <w:szCs w:val="21"/>
          <w:lang w:val="en-US" w:eastAsia="zh-CN"/>
        </w:rPr>
        <w:t>1</w:t>
      </w:r>
      <w:r>
        <w:rPr>
          <w:rFonts w:hint="eastAsia" w:ascii="宋体" w:hAnsi="宋体" w:cs="Arial"/>
          <w:color w:val="000000"/>
          <w:szCs w:val="21"/>
        </w:rPr>
        <w:t>年</w:t>
      </w:r>
      <w:r>
        <w:rPr>
          <w:rFonts w:hint="eastAsia" w:ascii="宋体" w:hAnsi="宋体" w:cs="Arial"/>
          <w:color w:val="000000"/>
          <w:szCs w:val="21"/>
          <w:lang w:val="en-US" w:eastAsia="zh-CN"/>
        </w:rPr>
        <w:t>05</w:t>
      </w:r>
      <w:r>
        <w:rPr>
          <w:rFonts w:hint="eastAsia" w:ascii="宋体" w:hAnsi="宋体" w:cs="Arial"/>
          <w:color w:val="000000"/>
          <w:szCs w:val="21"/>
        </w:rPr>
        <w:t>月</w:t>
      </w:r>
      <w:r>
        <w:rPr>
          <w:rFonts w:hint="eastAsia" w:ascii="宋体" w:hAnsi="宋体" w:cs="Arial"/>
          <w:color w:val="000000"/>
          <w:szCs w:val="21"/>
          <w:lang w:val="en-US" w:eastAsia="zh-CN"/>
        </w:rPr>
        <w:t>25</w:t>
      </w:r>
      <w:r>
        <w:rPr>
          <w:rFonts w:hint="eastAsia" w:ascii="宋体" w:hAnsi="宋体" w:cs="Arial"/>
          <w:color w:val="000000"/>
          <w:szCs w:val="21"/>
        </w:rPr>
        <w:t>日</w:t>
      </w:r>
      <w:r>
        <w:rPr>
          <w:rFonts w:hint="eastAsia" w:ascii="宋体" w:hAnsi="宋体" w:cs="Arial"/>
          <w:color w:val="000000"/>
          <w:szCs w:val="21"/>
          <w:lang w:val="en-US" w:eastAsia="zh-CN"/>
        </w:rPr>
        <w:t>08</w:t>
      </w:r>
      <w:r>
        <w:rPr>
          <w:rFonts w:hint="eastAsia" w:ascii="宋体" w:hAnsi="宋体" w:cs="Arial"/>
          <w:color w:val="000000"/>
          <w:szCs w:val="21"/>
        </w:rPr>
        <w:t>：</w:t>
      </w:r>
      <w:r>
        <w:rPr>
          <w:rFonts w:hint="eastAsia" w:ascii="宋体" w:hAnsi="宋体" w:cs="Arial"/>
          <w:color w:val="000000"/>
          <w:szCs w:val="21"/>
          <w:lang w:val="en-US" w:eastAsia="zh-CN"/>
        </w:rPr>
        <w:t>3</w:t>
      </w:r>
      <w:r>
        <w:rPr>
          <w:rFonts w:hint="eastAsia" w:ascii="宋体" w:hAnsi="宋体" w:cs="Arial"/>
          <w:color w:val="000000"/>
          <w:szCs w:val="21"/>
        </w:rPr>
        <w:t>0之后，202</w:t>
      </w:r>
      <w:r>
        <w:rPr>
          <w:rFonts w:hint="eastAsia" w:ascii="宋体" w:hAnsi="宋体" w:cs="Arial"/>
          <w:color w:val="000000"/>
          <w:szCs w:val="21"/>
          <w:lang w:val="en-US" w:eastAsia="zh-CN"/>
        </w:rPr>
        <w:t>1</w:t>
      </w:r>
      <w:r>
        <w:rPr>
          <w:rFonts w:hint="eastAsia" w:ascii="宋体" w:hAnsi="宋体" w:cs="Arial"/>
          <w:color w:val="000000"/>
          <w:szCs w:val="21"/>
        </w:rPr>
        <w:t>年</w:t>
      </w:r>
      <w:r>
        <w:rPr>
          <w:rFonts w:hint="eastAsia" w:ascii="宋体" w:hAnsi="宋体" w:cs="Arial"/>
          <w:color w:val="000000"/>
          <w:szCs w:val="21"/>
          <w:lang w:val="en-US" w:eastAsia="zh-CN"/>
        </w:rPr>
        <w:t>05</w:t>
      </w:r>
      <w:r>
        <w:rPr>
          <w:rFonts w:hint="eastAsia" w:ascii="宋体" w:hAnsi="宋体" w:cs="Arial"/>
          <w:color w:val="000000"/>
          <w:szCs w:val="21"/>
        </w:rPr>
        <w:t>月</w:t>
      </w:r>
      <w:r>
        <w:rPr>
          <w:rFonts w:hint="eastAsia" w:ascii="宋体" w:hAnsi="宋体" w:cs="Arial"/>
          <w:color w:val="000000"/>
          <w:szCs w:val="21"/>
          <w:lang w:val="en-US" w:eastAsia="zh-CN"/>
        </w:rPr>
        <w:t>25</w:t>
      </w:r>
      <w:r>
        <w:rPr>
          <w:rFonts w:hint="eastAsia" w:ascii="宋体" w:hAnsi="宋体" w:cs="Arial"/>
          <w:color w:val="000000"/>
          <w:szCs w:val="21"/>
        </w:rPr>
        <w:t>日</w:t>
      </w:r>
      <w:r>
        <w:rPr>
          <w:rFonts w:hint="eastAsia" w:ascii="宋体" w:hAnsi="宋体" w:cs="Arial"/>
          <w:color w:val="000000"/>
          <w:szCs w:val="21"/>
          <w:lang w:val="en-US" w:eastAsia="zh-CN"/>
        </w:rPr>
        <w:t>09</w:t>
      </w:r>
      <w:r>
        <w:rPr>
          <w:rFonts w:hint="eastAsia" w:ascii="宋体" w:hAnsi="宋体" w:cs="Arial"/>
          <w:color w:val="000000"/>
          <w:szCs w:val="21"/>
        </w:rPr>
        <w:t>：00之前到件的邮寄地址为：宁波市海曙区公共资源交易中心开标室（</w:t>
      </w:r>
      <w:r>
        <w:rPr>
          <w:rFonts w:hint="eastAsia" w:ascii="宋体" w:hAnsi="宋体" w:cs="Arial"/>
          <w:color w:val="000000"/>
          <w:szCs w:val="21"/>
          <w:lang w:val="en-US" w:eastAsia="zh-CN"/>
        </w:rPr>
        <w:t>1</w:t>
      </w:r>
      <w:r>
        <w:rPr>
          <w:rFonts w:hint="eastAsia" w:ascii="宋体" w:hAnsi="宋体" w:cs="Arial"/>
          <w:color w:val="000000"/>
          <w:szCs w:val="21"/>
        </w:rPr>
        <w:t>）[宁波市中山西路298号海光大厦4楼（南门电梯上）]收件人：岑老师；联系电话：83890133（尽量避免双休日和法定节假日寄达）。投标人邮寄后请电话或电子邮箱（1556150258@qq.com）提供邮寄信息给采购机构，以便及时确认送达情况。邮寄延误送达或未密封的将予以拒收，采购机构无责确保文件及时接收，相关责任与后果全部由投标人自行承担。</w:t>
      </w:r>
    </w:p>
    <w:p>
      <w:pPr>
        <w:pageBreakBefore w:val="0"/>
        <w:widowControl/>
        <w:kinsoku/>
        <w:wordWrap/>
        <w:overflowPunct/>
        <w:topLinePunct w:val="0"/>
        <w:autoSpaceDE/>
        <w:autoSpaceDN/>
        <w:bidi w:val="0"/>
        <w:adjustRightInd/>
        <w:snapToGrid/>
        <w:spacing w:line="420" w:lineRule="exact"/>
        <w:ind w:firstLine="420" w:firstLineChars="200"/>
        <w:textAlignment w:val="auto"/>
        <w:rPr>
          <w:rFonts w:hint="default" w:ascii="宋体" w:hAnsi="宋体" w:cs="Arial"/>
          <w:color w:val="000000"/>
          <w:szCs w:val="21"/>
          <w:lang w:val="en-US" w:eastAsia="zh-CN"/>
        </w:rPr>
      </w:pPr>
      <w:r>
        <w:rPr>
          <w:rFonts w:hint="eastAsia" w:ascii="宋体" w:hAnsi="宋体" w:cs="Arial"/>
          <w:color w:val="000000"/>
          <w:szCs w:val="21"/>
        </w:rPr>
        <w:t>采用现场递交方式递交投标文件的，投标人代表需持绿色“甬行码（或健康码）”、佩戴口罩且体温测量正常后方可进入开标现场（以开标当日测量体温为准）递交投标文件，原则上每家投标单位派一名投标人代表参加开标会议，且参与现场开标活动的人员应严格遵守防疫规定，自觉遵守和服从交易现场管理，逾期送达或未密封的将予以拒收。（提醒事项：疫情期间，投标人须考虑委派人员是否符合地方及交易现场防疫相关规定，如因不符合规定导致无法参与开标活动而产生的相关责任与后果全部由投标人自行承担。）</w:t>
      </w:r>
    </w:p>
    <w:p>
      <w:pPr>
        <w:pageBreakBefore w:val="0"/>
        <w:widowControl/>
        <w:kinsoku/>
        <w:wordWrap/>
        <w:overflowPunct/>
        <w:topLinePunct w:val="0"/>
        <w:autoSpaceDE/>
        <w:autoSpaceDN/>
        <w:bidi w:val="0"/>
        <w:adjustRightInd/>
        <w:snapToGrid/>
        <w:spacing w:line="420" w:lineRule="exact"/>
        <w:ind w:firstLine="420" w:firstLineChars="200"/>
        <w:textAlignment w:val="auto"/>
        <w:rPr>
          <w:rFonts w:hint="eastAsia" w:ascii="宋体" w:hAnsi="宋体" w:cs="Arial"/>
          <w:color w:val="000000"/>
          <w:szCs w:val="21"/>
          <w:lang w:val="en-US" w:eastAsia="zh-CN"/>
        </w:rPr>
      </w:pPr>
      <w:r>
        <w:rPr>
          <w:rFonts w:hint="eastAsia" w:ascii="宋体" w:hAnsi="宋体" w:cs="Arial"/>
          <w:color w:val="000000"/>
          <w:szCs w:val="21"/>
          <w:lang w:val="en-US" w:eastAsia="zh-CN"/>
        </w:rPr>
        <w:t>5</w:t>
      </w:r>
      <w:r>
        <w:rPr>
          <w:rFonts w:hint="eastAsia" w:ascii="宋体" w:hAnsi="宋体" w:cs="Arial"/>
          <w:color w:val="000000"/>
          <w:szCs w:val="21"/>
        </w:rPr>
        <w:t>、关于分公司投标，除银行、保险、石油石化、电力、电信、移动、联通等行业外，分公司投标的，</w:t>
      </w:r>
      <w:r>
        <w:rPr>
          <w:rFonts w:hint="eastAsia" w:ascii="宋体" w:hAnsi="宋体" w:cs="Arial"/>
          <w:color w:val="000000"/>
          <w:szCs w:val="21"/>
          <w:lang w:val="en-US" w:eastAsia="zh-CN"/>
        </w:rPr>
        <w:t>需提供具有法人资格的总公司的营业执照及授权书，授权书须加盖总公司公章。总公司可就本项目或此类项目在一定范围或时间内出具授权书。已有总公司授权的，总公司取得的相关资质证书对分公司有效。</w:t>
      </w:r>
    </w:p>
    <w:p>
      <w:pPr>
        <w:pageBreakBefore w:val="0"/>
        <w:widowControl/>
        <w:kinsoku/>
        <w:wordWrap/>
        <w:overflowPunct/>
        <w:topLinePunct w:val="0"/>
        <w:autoSpaceDE/>
        <w:autoSpaceDN/>
        <w:bidi w:val="0"/>
        <w:adjustRightInd/>
        <w:snapToGrid/>
        <w:spacing w:line="420" w:lineRule="exact"/>
        <w:ind w:firstLine="420" w:firstLineChars="200"/>
        <w:textAlignment w:val="auto"/>
        <w:rPr>
          <w:rFonts w:hint="default" w:ascii="宋体" w:hAnsi="宋体" w:cs="Arial"/>
          <w:color w:val="000000"/>
          <w:szCs w:val="21"/>
          <w:lang w:val="en-US" w:eastAsia="zh-CN"/>
        </w:rPr>
      </w:pPr>
      <w:r>
        <w:rPr>
          <w:rFonts w:hint="eastAsia" w:ascii="宋体" w:hAnsi="宋体" w:cs="Arial"/>
          <w:color w:val="000000"/>
          <w:szCs w:val="21"/>
          <w:lang w:val="en-US" w:eastAsia="zh-CN"/>
        </w:rPr>
        <w:t>6、若本公告内容与招标文件不一致，以招标文件为准。</w:t>
      </w:r>
    </w:p>
    <w:p>
      <w:pPr>
        <w:pStyle w:val="4"/>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b/>
          <w:bCs w:val="0"/>
          <w:sz w:val="21"/>
          <w:szCs w:val="21"/>
        </w:rPr>
      </w:pPr>
      <w:bookmarkStart w:id="55" w:name="_Toc45382808"/>
      <w:bookmarkStart w:id="56" w:name="_Toc28359085"/>
      <w:bookmarkStart w:id="57" w:name="_Toc35393627"/>
      <w:bookmarkStart w:id="58" w:name="_Toc24561"/>
      <w:bookmarkStart w:id="59" w:name="_Toc23894"/>
      <w:bookmarkStart w:id="60" w:name="_Toc35393796"/>
      <w:bookmarkStart w:id="61" w:name="_Toc21803"/>
      <w:bookmarkStart w:id="62" w:name="_Toc28359008"/>
      <w:r>
        <w:rPr>
          <w:rFonts w:hint="eastAsia" w:ascii="宋体" w:hAnsi="宋体" w:eastAsia="宋体" w:cs="宋体"/>
          <w:b/>
          <w:bCs w:val="0"/>
          <w:sz w:val="21"/>
          <w:szCs w:val="21"/>
        </w:rPr>
        <w:t>七、对本次招标提出询问，请按以下方式联系。</w:t>
      </w:r>
      <w:bookmarkEnd w:id="55"/>
      <w:bookmarkEnd w:id="56"/>
      <w:bookmarkEnd w:id="57"/>
      <w:bookmarkEnd w:id="58"/>
      <w:bookmarkEnd w:id="59"/>
      <w:bookmarkEnd w:id="60"/>
      <w:bookmarkEnd w:id="61"/>
      <w:bookmarkEnd w:id="62"/>
    </w:p>
    <w:p>
      <w:pPr>
        <w:pageBreakBefore w:val="0"/>
        <w:widowControl/>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1.采购人信息</w:t>
      </w:r>
    </w:p>
    <w:p>
      <w:pPr>
        <w:pageBreakBefore w:val="0"/>
        <w:widowControl/>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szCs w:val="21"/>
          <w:lang w:eastAsia="zh-CN"/>
        </w:rPr>
      </w:pPr>
      <w:r>
        <w:rPr>
          <w:rFonts w:hint="eastAsia" w:ascii="宋体" w:hAnsi="宋体" w:eastAsia="宋体" w:cs="宋体"/>
          <w:sz w:val="21"/>
          <w:szCs w:val="21"/>
        </w:rPr>
        <w:t>名 称：</w:t>
      </w:r>
      <w:r>
        <w:rPr>
          <w:rFonts w:hint="eastAsia" w:ascii="宋体" w:hAnsi="宋体"/>
          <w:szCs w:val="21"/>
        </w:rPr>
        <w:t>宁波市</w:t>
      </w:r>
      <w:r>
        <w:rPr>
          <w:rFonts w:hint="eastAsia" w:ascii="宋体" w:hAnsi="宋体"/>
          <w:szCs w:val="21"/>
          <w:lang w:eastAsia="zh-CN"/>
        </w:rPr>
        <w:t>公安局海曙分局</w:t>
      </w:r>
    </w:p>
    <w:p>
      <w:pPr>
        <w:spacing w:line="400" w:lineRule="exact"/>
        <w:ind w:firstLine="420" w:firstLineChars="200"/>
        <w:jc w:val="both"/>
        <w:rPr>
          <w:rFonts w:ascii="宋体" w:hAnsi="宋体" w:cs="宋体"/>
          <w:szCs w:val="22"/>
          <w:lang w:val="zh-CN"/>
        </w:rPr>
      </w:pPr>
      <w:r>
        <w:rPr>
          <w:rFonts w:hint="eastAsia" w:ascii="宋体" w:hAnsi="宋体"/>
          <w:szCs w:val="21"/>
          <w:lang w:eastAsia="zh-CN"/>
        </w:rPr>
        <w:t>地</w:t>
      </w:r>
      <w:r>
        <w:rPr>
          <w:rFonts w:hint="eastAsia" w:ascii="宋体" w:hAnsi="宋体"/>
          <w:szCs w:val="21"/>
          <w:lang w:val="en-US" w:eastAsia="zh-CN"/>
        </w:rPr>
        <w:t xml:space="preserve"> </w:t>
      </w:r>
      <w:r>
        <w:rPr>
          <w:rFonts w:hint="eastAsia" w:ascii="宋体" w:hAnsi="宋体"/>
          <w:szCs w:val="21"/>
          <w:lang w:eastAsia="zh-CN"/>
        </w:rPr>
        <w:t>址：</w:t>
      </w:r>
      <w:bookmarkStart w:id="63" w:name="_Toc28359009"/>
      <w:bookmarkStart w:id="64" w:name="_Toc28359086"/>
      <w:r>
        <w:rPr>
          <w:rFonts w:hint="eastAsia" w:ascii="宋体" w:hAnsi="宋体" w:cs="宋体"/>
          <w:szCs w:val="22"/>
          <w:lang w:val="zh-CN"/>
        </w:rPr>
        <w:t>宁波市海曙区</w:t>
      </w:r>
    </w:p>
    <w:p>
      <w:pPr>
        <w:spacing w:line="400" w:lineRule="exact"/>
        <w:ind w:firstLine="420" w:firstLineChars="200"/>
        <w:jc w:val="both"/>
        <w:rPr>
          <w:rFonts w:ascii="宋体" w:hAnsi="宋体" w:cs="宋体"/>
          <w:szCs w:val="21"/>
        </w:rPr>
      </w:pPr>
      <w:r>
        <w:rPr>
          <w:rFonts w:hint="eastAsia" w:ascii="宋体" w:hAnsi="宋体" w:cs="宋体"/>
          <w:szCs w:val="21"/>
        </w:rPr>
        <w:t>联系人：干老师</w:t>
      </w:r>
    </w:p>
    <w:p>
      <w:pPr>
        <w:spacing w:line="400" w:lineRule="exact"/>
        <w:ind w:firstLine="420" w:firstLineChars="200"/>
        <w:jc w:val="both"/>
        <w:rPr>
          <w:rFonts w:hint="default" w:ascii="宋体" w:hAnsi="宋体"/>
          <w:szCs w:val="21"/>
          <w:lang w:val="en-US" w:eastAsia="zh-CN"/>
        </w:rPr>
      </w:pPr>
      <w:r>
        <w:rPr>
          <w:rFonts w:hint="eastAsia" w:ascii="宋体" w:hAnsi="宋体" w:cs="宋体"/>
          <w:szCs w:val="21"/>
        </w:rPr>
        <w:t>联系方式：0574-81987096</w:t>
      </w:r>
    </w:p>
    <w:p>
      <w:pPr>
        <w:pageBreakBefore w:val="0"/>
        <w:widowControl/>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集中采购</w:t>
      </w:r>
      <w:r>
        <w:rPr>
          <w:rFonts w:hint="eastAsia" w:ascii="宋体" w:hAnsi="宋体" w:eastAsia="宋体" w:cs="宋体"/>
          <w:sz w:val="21"/>
          <w:szCs w:val="21"/>
        </w:rPr>
        <w:t>机构信息</w:t>
      </w:r>
      <w:bookmarkEnd w:id="63"/>
      <w:bookmarkEnd w:id="64"/>
    </w:p>
    <w:p>
      <w:pPr>
        <w:pageBreakBefore w:val="0"/>
        <w:widowControl/>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 xml:space="preserve">名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称：</w:t>
      </w:r>
      <w:r>
        <w:rPr>
          <w:rFonts w:hint="eastAsia" w:ascii="宋体" w:hAnsi="宋体" w:eastAsia="宋体" w:cs="宋体"/>
          <w:sz w:val="21"/>
          <w:szCs w:val="21"/>
          <w:lang w:eastAsia="zh-CN"/>
        </w:rPr>
        <w:t>宁波市海曙区公共资源交易中心</w:t>
      </w:r>
      <w:r>
        <w:rPr>
          <w:rFonts w:hint="eastAsia" w:ascii="宋体" w:hAnsi="宋体" w:eastAsia="宋体" w:cs="宋体"/>
          <w:sz w:val="21"/>
          <w:szCs w:val="21"/>
        </w:rPr>
        <w:t>　</w:t>
      </w:r>
    </w:p>
    <w:p>
      <w:pPr>
        <w:pageBreakBefore w:val="0"/>
        <w:widowControl/>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sz w:val="21"/>
          <w:szCs w:val="21"/>
          <w:lang w:eastAsia="zh-CN"/>
        </w:rPr>
        <w:t>宁波市海曙区中山西路</w:t>
      </w:r>
      <w:r>
        <w:rPr>
          <w:rFonts w:hint="eastAsia" w:ascii="宋体" w:hAnsi="宋体" w:eastAsia="宋体" w:cs="宋体"/>
          <w:sz w:val="21"/>
          <w:szCs w:val="21"/>
          <w:lang w:val="en-US" w:eastAsia="zh-CN"/>
        </w:rPr>
        <w:t>298号海光大厦5楼</w:t>
      </w:r>
      <w:r>
        <w:rPr>
          <w:rFonts w:hint="eastAsia" w:ascii="宋体" w:hAnsi="宋体" w:eastAsia="宋体" w:cs="宋体"/>
          <w:sz w:val="21"/>
          <w:szCs w:val="21"/>
        </w:rPr>
        <w:t>　</w:t>
      </w:r>
    </w:p>
    <w:p>
      <w:pPr>
        <w:pageBreakBefore w:val="0"/>
        <w:widowControl/>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传</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真</w:t>
      </w:r>
      <w:r>
        <w:rPr>
          <w:rFonts w:hint="eastAsia" w:ascii="宋体" w:hAnsi="宋体" w:eastAsia="宋体" w:cs="宋体"/>
          <w:sz w:val="21"/>
          <w:szCs w:val="21"/>
        </w:rPr>
        <w:t>：</w:t>
      </w:r>
      <w:bookmarkStart w:id="65" w:name="_Toc28359087"/>
      <w:bookmarkStart w:id="66" w:name="_Toc28359010"/>
      <w:r>
        <w:rPr>
          <w:rFonts w:hint="eastAsia" w:ascii="宋体" w:hAnsi="宋体" w:eastAsia="宋体" w:cs="宋体"/>
          <w:sz w:val="21"/>
          <w:szCs w:val="21"/>
          <w:lang w:val="en-US" w:eastAsia="zh-CN"/>
        </w:rPr>
        <w:t>0574-</w:t>
      </w:r>
      <w:r>
        <w:rPr>
          <w:rFonts w:hint="eastAsia" w:ascii="宋体" w:hAnsi="宋体" w:eastAsia="宋体" w:cs="宋体"/>
          <w:sz w:val="21"/>
          <w:szCs w:val="21"/>
        </w:rPr>
        <w:t>87236382　</w:t>
      </w:r>
    </w:p>
    <w:bookmarkEnd w:id="65"/>
    <w:bookmarkEnd w:id="66"/>
    <w:p>
      <w:pPr>
        <w:pageBreakBefore w:val="0"/>
        <w:widowControl/>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项目联系人：</w:t>
      </w:r>
      <w:r>
        <w:rPr>
          <w:rFonts w:hint="eastAsia" w:ascii="宋体" w:hAnsi="宋体" w:eastAsia="宋体" w:cs="宋体"/>
          <w:sz w:val="21"/>
          <w:szCs w:val="21"/>
          <w:lang w:eastAsia="zh-CN"/>
        </w:rPr>
        <w:t>岑老师</w:t>
      </w:r>
    </w:p>
    <w:p>
      <w:pPr>
        <w:pageBreakBefore w:val="0"/>
        <w:widowControl/>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电　话：</w:t>
      </w:r>
      <w:r>
        <w:rPr>
          <w:rFonts w:hint="eastAsia" w:ascii="宋体" w:hAnsi="宋体" w:eastAsia="宋体" w:cs="宋体"/>
          <w:sz w:val="21"/>
          <w:szCs w:val="21"/>
          <w:lang w:val="en-US" w:eastAsia="zh-CN"/>
        </w:rPr>
        <w:t>0574-83890133</w:t>
      </w:r>
    </w:p>
    <w:p>
      <w:pPr>
        <w:pageBreakBefore w:val="0"/>
        <w:widowControl/>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rPr>
        <w:t>政府采购监督管理部门及投诉受理部门</w:t>
      </w:r>
      <w:r>
        <w:rPr>
          <w:rFonts w:hint="eastAsia" w:ascii="宋体" w:hAnsi="宋体" w:eastAsia="宋体" w:cs="宋体"/>
          <w:sz w:val="21"/>
          <w:szCs w:val="21"/>
        </w:rPr>
        <w:t>信息</w:t>
      </w:r>
    </w:p>
    <w:p>
      <w:pPr>
        <w:pageBreakBefore w:val="0"/>
        <w:widowControl/>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名 称：宁波市海曙区政府采购办公室</w:t>
      </w:r>
    </w:p>
    <w:p>
      <w:pPr>
        <w:pageBreakBefore w:val="0"/>
        <w:widowControl/>
        <w:kinsoku/>
        <w:wordWrap/>
        <w:overflowPunct/>
        <w:topLinePunct w:val="0"/>
        <w:autoSpaceDE/>
        <w:autoSpaceDN/>
        <w:bidi w:val="0"/>
        <w:adjustRightInd/>
        <w:snapToGrid/>
        <w:spacing w:line="420" w:lineRule="exact"/>
        <w:ind w:firstLine="420" w:firstLineChars="200"/>
        <w:jc w:val="both"/>
        <w:textAlignment w:val="auto"/>
        <w:rPr>
          <w:rFonts w:hint="eastAsia"/>
        </w:rPr>
      </w:pPr>
      <w:r>
        <w:rPr>
          <w:rFonts w:hint="eastAsia" w:ascii="宋体" w:hAnsi="宋体" w:eastAsia="宋体" w:cs="宋体"/>
          <w:sz w:val="21"/>
          <w:szCs w:val="21"/>
          <w:lang w:val="en-US" w:eastAsia="zh-CN"/>
        </w:rPr>
        <w:t>联系电话：0574-87194482</w:t>
      </w:r>
    </w:p>
    <w:p>
      <w:pPr>
        <w:numPr>
          <w:ilvl w:val="0"/>
          <w:numId w:val="0"/>
        </w:numPr>
      </w:pPr>
    </w:p>
    <w:p>
      <w:pPr>
        <w:pStyle w:val="2"/>
      </w:pPr>
    </w:p>
    <w:p>
      <w:pPr>
        <w:pStyle w:val="2"/>
        <w:rPr>
          <w:rFonts w:hint="eastAsia"/>
        </w:rPr>
      </w:pPr>
      <w:bookmarkStart w:id="67" w:name="_Toc333832348"/>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rPr>
          <w:rFonts w:hint="eastAsia"/>
        </w:rPr>
      </w:pPr>
    </w:p>
    <w:p>
      <w:pPr>
        <w:pStyle w:val="3"/>
        <w:tabs>
          <w:tab w:val="center" w:pos="4819"/>
        </w:tabs>
        <w:spacing w:before="200" w:after="200" w:line="360" w:lineRule="auto"/>
        <w:ind w:firstLine="2570" w:firstLineChars="800"/>
        <w:jc w:val="both"/>
        <w:rPr>
          <w:rFonts w:ascii="宋体" w:hAnsi="宋体"/>
          <w:sz w:val="32"/>
        </w:rPr>
      </w:pPr>
      <w:r>
        <w:rPr>
          <w:rFonts w:hint="eastAsia" w:ascii="宋体" w:hAnsi="宋体"/>
          <w:sz w:val="32"/>
        </w:rPr>
        <w:t xml:space="preserve">     </w:t>
      </w:r>
      <w:bookmarkStart w:id="68" w:name="_Toc498091082"/>
      <w:bookmarkStart w:id="69" w:name="_Toc404692898"/>
      <w:bookmarkStart w:id="70" w:name="_Toc22334"/>
      <w:bookmarkStart w:id="71" w:name="_Toc28678"/>
      <w:r>
        <w:rPr>
          <w:rFonts w:hint="eastAsia" w:ascii="宋体" w:hAnsi="宋体"/>
          <w:sz w:val="32"/>
        </w:rPr>
        <w:t xml:space="preserve">第二章 </w:t>
      </w:r>
      <w:bookmarkEnd w:id="67"/>
      <w:r>
        <w:rPr>
          <w:rFonts w:hint="eastAsia" w:ascii="宋体" w:hAnsi="宋体"/>
          <w:sz w:val="32"/>
        </w:rPr>
        <w:t>投标人须知</w:t>
      </w:r>
      <w:bookmarkEnd w:id="68"/>
      <w:bookmarkEnd w:id="69"/>
      <w:bookmarkEnd w:id="70"/>
      <w:bookmarkEnd w:id="71"/>
    </w:p>
    <w:p>
      <w:pPr>
        <w:pStyle w:val="4"/>
        <w:widowControl w:val="0"/>
        <w:adjustRightInd w:val="0"/>
        <w:spacing w:line="240" w:lineRule="auto"/>
        <w:jc w:val="center"/>
        <w:textAlignment w:val="baseline"/>
        <w:rPr>
          <w:rFonts w:ascii="宋体" w:hAnsi="宋体" w:eastAsia="宋体"/>
          <w:b w:val="0"/>
          <w:sz w:val="28"/>
          <w:szCs w:val="28"/>
        </w:rPr>
      </w:pPr>
      <w:bookmarkStart w:id="72" w:name="_Toc404692899"/>
      <w:bookmarkStart w:id="73" w:name="_Toc2802"/>
      <w:bookmarkStart w:id="74" w:name="_Toc6556"/>
      <w:bookmarkStart w:id="75" w:name="_Toc498091083"/>
      <w:r>
        <w:rPr>
          <w:rFonts w:hint="eastAsia" w:ascii="宋体" w:hAnsi="宋体" w:eastAsia="宋体"/>
          <w:b w:val="0"/>
          <w:sz w:val="28"/>
          <w:szCs w:val="28"/>
        </w:rPr>
        <w:t>一、投标须知前附表</w:t>
      </w:r>
      <w:bookmarkEnd w:id="72"/>
      <w:bookmarkEnd w:id="73"/>
      <w:bookmarkEnd w:id="74"/>
      <w:bookmarkEnd w:id="75"/>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91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ind w:left="-178" w:leftChars="-85" w:right="-107" w:rightChars="-51"/>
              <w:jc w:val="center"/>
              <w:rPr>
                <w:rFonts w:ascii="宋体" w:hAnsi="宋体"/>
                <w:color w:val="000000"/>
              </w:rPr>
            </w:pPr>
            <w:r>
              <w:rPr>
                <w:rFonts w:hint="eastAsia" w:ascii="宋体" w:hAnsi="宋体"/>
                <w:color w:val="000000"/>
              </w:rPr>
              <w:t>序号</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ascii="宋体" w:hAnsi="宋体"/>
                <w:color w:val="000000"/>
              </w:rPr>
              <w:t>1</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rPr>
            </w:pPr>
            <w:r>
              <w:rPr>
                <w:rFonts w:hint="eastAsia" w:ascii="宋体" w:hAnsi="宋体"/>
                <w:b/>
                <w:bCs/>
                <w:color w:val="000000"/>
              </w:rPr>
              <w:t>项目名称：</w:t>
            </w:r>
            <w:r>
              <w:rPr>
                <w:rFonts w:hint="eastAsia" w:ascii="宋体" w:hAnsi="宋体" w:cs="Times New Roman"/>
                <w:szCs w:val="21"/>
                <w:lang w:eastAsia="zh-CN"/>
              </w:rPr>
              <w:t>2021年海曙区老旧小区智安前端系统建设项目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ascii="宋体" w:hAnsi="宋体"/>
                <w:color w:val="000000"/>
              </w:rPr>
              <w:t>2</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宋体" w:hAnsi="宋体" w:eastAsia="宋体"/>
                <w:color w:val="000000"/>
                <w:lang w:val="en-US" w:eastAsia="zh-CN"/>
              </w:rPr>
            </w:pPr>
            <w:r>
              <w:rPr>
                <w:rFonts w:hint="eastAsia" w:ascii="宋体" w:hAnsi="宋体"/>
                <w:b/>
                <w:szCs w:val="21"/>
              </w:rPr>
              <w:t>采购编号：</w:t>
            </w:r>
            <w:r>
              <w:rPr>
                <w:rFonts w:hint="eastAsia" w:ascii="宋体" w:hAnsi="宋体"/>
                <w:szCs w:val="21"/>
              </w:rPr>
              <w:t>202</w:t>
            </w:r>
            <w:r>
              <w:rPr>
                <w:rFonts w:hint="eastAsia" w:ascii="宋体" w:hAnsi="宋体"/>
                <w:szCs w:val="21"/>
                <w:lang w:val="en-US" w:eastAsia="zh-CN"/>
              </w:rPr>
              <w:t>1</w:t>
            </w:r>
            <w:r>
              <w:rPr>
                <w:rFonts w:hint="eastAsia" w:ascii="宋体" w:hAnsi="宋体"/>
                <w:szCs w:val="21"/>
              </w:rPr>
              <w:t>NBHS</w:t>
            </w:r>
            <w:r>
              <w:rPr>
                <w:rFonts w:hint="eastAsia" w:ascii="宋体" w:hAnsi="宋体"/>
                <w:szCs w:val="21"/>
                <w:lang w:val="en-US" w:eastAsia="zh-CN"/>
              </w:rPr>
              <w:t>JC026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ascii="宋体" w:hAnsi="宋体"/>
                <w:color w:val="000000"/>
              </w:rPr>
              <w:t>3</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00000"/>
              </w:rPr>
            </w:pPr>
            <w:r>
              <w:rPr>
                <w:rFonts w:hint="eastAsia" w:ascii="宋体" w:hAnsi="宋体"/>
                <w:b/>
                <w:szCs w:val="21"/>
              </w:rPr>
              <w:t>采购单位</w:t>
            </w:r>
            <w:r>
              <w:rPr>
                <w:rFonts w:hint="eastAsia" w:ascii="宋体" w:hAnsi="宋体"/>
                <w:szCs w:val="21"/>
              </w:rPr>
              <w:t>：</w:t>
            </w:r>
            <w:r>
              <w:rPr>
                <w:rFonts w:hint="eastAsia" w:ascii="宋体" w:hAnsi="宋体" w:cs="宋体"/>
                <w:lang w:val="zh-CN"/>
              </w:rPr>
              <w:t>详见公告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4</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b/>
                <w:szCs w:val="21"/>
              </w:rPr>
            </w:pPr>
            <w:r>
              <w:rPr>
                <w:rFonts w:hint="eastAsia" w:ascii="宋体" w:hAnsi="宋体"/>
                <w:b/>
                <w:szCs w:val="21"/>
              </w:rPr>
              <w:t>采购方式：</w:t>
            </w:r>
            <w:r>
              <w:rPr>
                <w:rFonts w:hint="eastAsia" w:ascii="宋体" w:hAnsi="宋体"/>
                <w:bCs/>
                <w:szCs w:val="21"/>
              </w:rPr>
              <w:t xml:space="preserve">公开招标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rPr>
            </w:pPr>
            <w:r>
              <w:rPr>
                <w:rFonts w:hint="eastAsia" w:ascii="宋体" w:hAnsi="宋体"/>
                <w:color w:val="000000"/>
              </w:rPr>
              <w:t>5</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00000"/>
              </w:rPr>
            </w:pPr>
            <w:r>
              <w:rPr>
                <w:rFonts w:hint="eastAsia" w:ascii="宋体" w:hAnsi="宋体"/>
                <w:b/>
                <w:bCs/>
                <w:color w:val="000000"/>
              </w:rPr>
              <w:t>投标文件组成:</w:t>
            </w:r>
            <w:r>
              <w:rPr>
                <w:rFonts w:hint="eastAsia" w:ascii="宋体" w:hAnsi="宋体"/>
                <w:color w:val="000000"/>
              </w:rPr>
              <w:t xml:space="preserve">投标文件:正本 </w:t>
            </w:r>
            <w:r>
              <w:rPr>
                <w:rFonts w:hint="eastAsia" w:ascii="宋体" w:hAnsi="宋体"/>
                <w:b/>
                <w:bCs/>
                <w:i/>
                <w:iCs/>
                <w:color w:val="000000"/>
                <w:u w:val="single"/>
              </w:rPr>
              <w:t xml:space="preserve">1 </w:t>
            </w:r>
            <w:r>
              <w:rPr>
                <w:rFonts w:hint="eastAsia" w:ascii="宋体" w:hAnsi="宋体"/>
                <w:color w:val="000000"/>
              </w:rPr>
              <w:t xml:space="preserve">份，副本 </w:t>
            </w:r>
            <w:r>
              <w:rPr>
                <w:rFonts w:hint="eastAsia" w:ascii="宋体" w:hAnsi="宋体"/>
                <w:b/>
                <w:bCs/>
                <w:i/>
                <w:iCs/>
                <w:color w:val="000000"/>
                <w:u w:val="single"/>
                <w:lang w:val="en-US" w:eastAsia="zh-CN"/>
              </w:rPr>
              <w:t>7</w:t>
            </w:r>
            <w:r>
              <w:rPr>
                <w:rFonts w:hint="eastAsia" w:ascii="宋体" w:hAnsi="宋体"/>
                <w:b/>
                <w:bCs/>
                <w:i/>
                <w:iCs/>
                <w:color w:val="000000"/>
                <w:u w:val="single"/>
              </w:rPr>
              <w:t xml:space="preserve"> </w:t>
            </w:r>
            <w:r>
              <w:rPr>
                <w:rFonts w:hint="eastAsia" w:ascii="宋体" w:hAnsi="宋体"/>
                <w:color w:val="000000"/>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rPr>
            </w:pPr>
            <w:r>
              <w:rPr>
                <w:rFonts w:hint="eastAsia" w:ascii="宋体" w:hAnsi="宋体"/>
                <w:color w:val="000000"/>
              </w:rPr>
              <w:t>6</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rPr>
            </w:pPr>
            <w:r>
              <w:rPr>
                <w:rFonts w:hint="eastAsia" w:ascii="宋体" w:hAnsi="宋体"/>
                <w:b/>
                <w:bCs/>
                <w:color w:val="000000"/>
              </w:rPr>
              <w:t>投标有效期：</w:t>
            </w:r>
            <w:r>
              <w:rPr>
                <w:rFonts w:hint="eastAsia" w:ascii="宋体" w:hAnsi="宋体"/>
              </w:rPr>
              <w:t>开标后</w:t>
            </w:r>
            <w:r>
              <w:rPr>
                <w:rFonts w:hint="eastAsia" w:ascii="宋体" w:hAnsi="宋体"/>
                <w:b/>
                <w:bCs/>
                <w:u w:val="single"/>
              </w:rPr>
              <w:t xml:space="preserve"> 90</w:t>
            </w:r>
            <w:r>
              <w:rPr>
                <w:rFonts w:ascii="宋体" w:hAnsi="宋体"/>
              </w:rPr>
              <w:t>日历天</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rPr>
            </w:pPr>
            <w:r>
              <w:rPr>
                <w:rFonts w:hint="eastAsia" w:ascii="宋体" w:hAnsi="宋体"/>
                <w:color w:val="000000"/>
              </w:rPr>
              <w:t>7</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b/>
                <w:bCs/>
                <w:color w:val="000000"/>
              </w:rPr>
            </w:pPr>
            <w:r>
              <w:rPr>
                <w:rFonts w:hint="eastAsia" w:ascii="宋体" w:hAnsi="宋体"/>
                <w:b/>
                <w:bCs/>
                <w:color w:val="000000"/>
              </w:rPr>
              <w:t>投标人的替代方案：</w:t>
            </w:r>
            <w:r>
              <w:rPr>
                <w:rFonts w:hint="eastAsia" w:ascii="宋体" w:hAnsi="宋体"/>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rPr>
            </w:pPr>
            <w:r>
              <w:rPr>
                <w:rFonts w:hint="eastAsia" w:ascii="宋体" w:hAnsi="宋体"/>
                <w:color w:val="000000"/>
              </w:rPr>
              <w:t>8</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宋体" w:hAnsi="宋体"/>
                <w:b/>
                <w:bCs/>
                <w:color w:val="000000"/>
                <w:lang w:val="en-US"/>
              </w:rPr>
            </w:pPr>
            <w:r>
              <w:rPr>
                <w:rFonts w:hint="eastAsia" w:ascii="宋体" w:hAnsi="宋体"/>
                <w:b/>
                <w:bCs/>
                <w:color w:val="000000"/>
              </w:rPr>
              <w:t>数量：</w:t>
            </w:r>
            <w:r>
              <w:rPr>
                <w:rFonts w:hint="eastAsia" w:ascii="宋体" w:hAnsi="宋体" w:cs="Times New Roman"/>
                <w:color w:val="000000"/>
                <w:lang w:val="en-US" w:eastAsia="zh-CN"/>
              </w:rPr>
              <w:t>1批。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rPr>
            </w:pPr>
            <w:r>
              <w:rPr>
                <w:rFonts w:hint="eastAsia" w:ascii="宋体" w:hAnsi="宋体"/>
                <w:color w:val="000000"/>
              </w:rPr>
              <w:t>9</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b/>
                <w:bCs/>
                <w:color w:val="000000"/>
              </w:rPr>
            </w:pPr>
            <w:r>
              <w:rPr>
                <w:rFonts w:hint="eastAsia" w:ascii="宋体" w:hAnsi="宋体"/>
                <w:b/>
                <w:bCs/>
                <w:color w:val="000000"/>
              </w:rPr>
              <w:t>交货日期：</w:t>
            </w:r>
            <w:r>
              <w:rPr>
                <w:rFonts w:hint="eastAsia" w:ascii="宋体" w:hAnsi="宋体"/>
                <w:b/>
                <w:bCs/>
              </w:rPr>
              <w:t>合同签订后30天，具体按采购人要求。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rPr>
            </w:pPr>
            <w:r>
              <w:rPr>
                <w:rFonts w:hint="eastAsia" w:ascii="宋体" w:hAnsi="宋体"/>
                <w:color w:val="000000"/>
              </w:rPr>
              <w:t>10</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rPr>
            </w:pPr>
            <w:r>
              <w:rPr>
                <w:rFonts w:hint="eastAsia" w:ascii="宋体" w:hAnsi="宋体"/>
                <w:b/>
                <w:bCs/>
                <w:color w:val="000000"/>
              </w:rPr>
              <w:t>投标截止时间及地点：</w:t>
            </w:r>
            <w:r>
              <w:rPr>
                <w:rFonts w:hint="eastAsia" w:ascii="宋体" w:hAnsi="宋体"/>
                <w:color w:val="000000"/>
              </w:rPr>
              <w:t>详见招标公告。</w:t>
            </w:r>
            <w:r>
              <w:rPr>
                <w:rFonts w:ascii="宋体" w:hAnsi="宋体"/>
                <w:color w:val="000000"/>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rPr>
            </w:pPr>
            <w:r>
              <w:rPr>
                <w:rFonts w:hint="eastAsia" w:ascii="宋体" w:hAnsi="宋体"/>
                <w:color w:val="000000"/>
              </w:rPr>
              <w:t>11</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rPr>
            </w:pPr>
            <w:r>
              <w:rPr>
                <w:rFonts w:hint="eastAsia" w:ascii="宋体" w:hAnsi="宋体"/>
                <w:b/>
                <w:bCs/>
                <w:color w:val="000000"/>
              </w:rPr>
              <w:t>开标时间及地点：</w:t>
            </w:r>
            <w:r>
              <w:rPr>
                <w:rFonts w:hint="eastAsia" w:ascii="宋体" w:hAnsi="宋体"/>
                <w:color w:val="000000"/>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rPr>
            </w:pPr>
            <w:r>
              <w:rPr>
                <w:rFonts w:hint="eastAsia" w:ascii="宋体" w:hAnsi="宋体"/>
                <w:color w:val="000000"/>
              </w:rPr>
              <w:t>12</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b/>
                <w:bCs/>
                <w:color w:val="000000"/>
              </w:rPr>
            </w:pPr>
            <w:r>
              <w:rPr>
                <w:rFonts w:hint="eastAsia" w:ascii="宋体" w:hAnsi="宋体"/>
                <w:b/>
                <w:bCs/>
                <w:color w:val="000000"/>
              </w:rPr>
              <w:t>评标标准及方法：</w:t>
            </w:r>
            <w:r>
              <w:rPr>
                <w:rFonts w:hint="eastAsia" w:ascii="宋体" w:hAnsi="宋体"/>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rPr>
            </w:pPr>
            <w:r>
              <w:rPr>
                <w:rFonts w:hint="eastAsia" w:ascii="宋体" w:hAnsi="宋体"/>
                <w:color w:val="000000"/>
              </w:rPr>
              <w:t>13</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000000"/>
              </w:rPr>
            </w:pPr>
            <w:r>
              <w:rPr>
                <w:rFonts w:hint="eastAsia" w:ascii="宋体" w:hAnsi="宋体"/>
                <w:b/>
                <w:bCs/>
                <w:color w:val="000000"/>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rPr>
            </w:pPr>
            <w:r>
              <w:rPr>
                <w:rFonts w:hint="eastAsia" w:ascii="宋体" w:hAnsi="宋体"/>
                <w:color w:val="000000"/>
              </w:rPr>
              <w:t>14</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b/>
                <w:bCs/>
                <w:color w:val="000000"/>
              </w:rPr>
            </w:pPr>
            <w:r>
              <w:rPr>
                <w:rFonts w:hint="eastAsia" w:ascii="宋体" w:hAnsi="宋体"/>
                <w:b/>
                <w:bCs/>
                <w:color w:val="000000"/>
              </w:rPr>
              <w:t>履约保证金：</w:t>
            </w:r>
            <w:r>
              <w:rPr>
                <w:rFonts w:hint="eastAsia" w:ascii="宋体" w:hAnsi="宋体"/>
              </w:rPr>
              <w:t>不超过合同金额5%，具体按采购人要求（鼓励采购人根据采购项目特点和中标成交供应商信用情况免收履约保证金）。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rPr>
            </w:pPr>
            <w:r>
              <w:rPr>
                <w:rFonts w:hint="eastAsia" w:ascii="宋体" w:hAnsi="宋体"/>
                <w:color w:val="000000"/>
              </w:rPr>
              <w:t>15</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b/>
                <w:bCs/>
                <w:color w:val="000000"/>
              </w:rPr>
            </w:pPr>
            <w:r>
              <w:rPr>
                <w:rFonts w:hint="eastAsia" w:ascii="宋体" w:hAnsi="宋体"/>
                <w:b/>
                <w:bCs/>
                <w:color w:val="000000"/>
              </w:rPr>
              <w:t>本招标文件由招标采购单位负责解释。</w:t>
            </w:r>
          </w:p>
        </w:tc>
      </w:tr>
    </w:tbl>
    <w:p>
      <w:pPr>
        <w:pStyle w:val="4"/>
        <w:widowControl w:val="0"/>
        <w:adjustRightInd w:val="0"/>
        <w:spacing w:line="240" w:lineRule="auto"/>
        <w:jc w:val="both"/>
        <w:textAlignment w:val="baseline"/>
        <w:rPr>
          <w:rFonts w:hint="eastAsia" w:ascii="宋体" w:hAnsi="宋体" w:eastAsia="宋体"/>
          <w:b w:val="0"/>
          <w:sz w:val="28"/>
          <w:szCs w:val="28"/>
        </w:rPr>
      </w:pPr>
      <w:bookmarkStart w:id="76" w:name="_Toc404692900"/>
      <w:bookmarkStart w:id="77" w:name="_Toc498091084"/>
    </w:p>
    <w:p>
      <w:pPr>
        <w:pStyle w:val="2"/>
        <w:rPr>
          <w:rFonts w:hint="eastAsia" w:ascii="宋体" w:hAnsi="宋体"/>
          <w:sz w:val="28"/>
          <w:szCs w:val="28"/>
        </w:rPr>
      </w:pPr>
    </w:p>
    <w:p>
      <w:pPr>
        <w:rPr>
          <w:rFonts w:hint="eastAsia" w:ascii="宋体" w:hAnsi="宋体"/>
          <w:sz w:val="28"/>
          <w:szCs w:val="28"/>
        </w:rPr>
      </w:pPr>
    </w:p>
    <w:p>
      <w:pPr>
        <w:rPr>
          <w:rFonts w:hint="eastAsia"/>
        </w:rPr>
      </w:pPr>
    </w:p>
    <w:bookmarkEnd w:id="76"/>
    <w:bookmarkEnd w:id="77"/>
    <w:p>
      <w:pPr>
        <w:pStyle w:val="4"/>
        <w:widowControl w:val="0"/>
        <w:adjustRightInd w:val="0"/>
        <w:spacing w:line="240" w:lineRule="auto"/>
        <w:jc w:val="center"/>
        <w:textAlignment w:val="baseline"/>
        <w:rPr>
          <w:rFonts w:hint="eastAsia" w:ascii="宋体" w:hAnsi="宋体" w:eastAsia="宋体"/>
          <w:b w:val="0"/>
          <w:sz w:val="28"/>
          <w:szCs w:val="28"/>
        </w:rPr>
      </w:pPr>
      <w:r>
        <w:rPr>
          <w:rFonts w:hint="eastAsia" w:ascii="宋体" w:hAnsi="宋体" w:eastAsia="宋体"/>
          <w:b w:val="0"/>
          <w:sz w:val="28"/>
          <w:szCs w:val="28"/>
        </w:rPr>
        <w:t xml:space="preserve"> </w:t>
      </w:r>
      <w:bookmarkStart w:id="78" w:name="_Toc7542"/>
      <w:bookmarkStart w:id="79" w:name="_Toc13365"/>
      <w:bookmarkStart w:id="80" w:name="_Toc30626"/>
      <w:r>
        <w:rPr>
          <w:rFonts w:hint="eastAsia" w:ascii="宋体" w:hAnsi="宋体" w:eastAsia="宋体"/>
          <w:b w:val="0"/>
          <w:sz w:val="28"/>
          <w:szCs w:val="28"/>
        </w:rPr>
        <w:t>二、总则</w:t>
      </w:r>
      <w:bookmarkEnd w:id="78"/>
      <w:bookmarkEnd w:id="79"/>
      <w:bookmarkEnd w:id="80"/>
    </w:p>
    <w:p/>
    <w:p>
      <w:pPr>
        <w:spacing w:line="420" w:lineRule="exact"/>
        <w:rPr>
          <w:rFonts w:ascii="宋体" w:hAnsi="宋体"/>
          <w:szCs w:val="21"/>
        </w:rPr>
      </w:pPr>
      <w:r>
        <w:rPr>
          <w:rFonts w:hint="eastAsia" w:ascii="宋体" w:hAnsi="宋体"/>
          <w:szCs w:val="24"/>
        </w:rPr>
        <w:t xml:space="preserve">  </w:t>
      </w:r>
      <w:r>
        <w:rPr>
          <w:rFonts w:hint="eastAsia" w:ascii="黑体" w:hAnsi="黑体" w:eastAsia="黑体"/>
          <w:szCs w:val="24"/>
        </w:rPr>
        <w:t xml:space="preserve"> </w:t>
      </w:r>
      <w:r>
        <w:rPr>
          <w:rFonts w:hint="eastAsia" w:ascii="黑体" w:hAnsi="黑体" w:eastAsia="黑体"/>
          <w:szCs w:val="21"/>
        </w:rPr>
        <w:t xml:space="preserve"> 1. 适用范围</w:t>
      </w:r>
    </w:p>
    <w:p>
      <w:pPr>
        <w:spacing w:line="420" w:lineRule="exact"/>
        <w:ind w:firstLine="420" w:firstLineChars="200"/>
        <w:rPr>
          <w:rFonts w:ascii="宋体" w:hAnsi="宋体"/>
          <w:szCs w:val="21"/>
        </w:rPr>
      </w:pPr>
      <w:r>
        <w:rPr>
          <w:rFonts w:hint="eastAsia" w:ascii="宋体" w:hAnsi="宋体"/>
          <w:szCs w:val="21"/>
        </w:rPr>
        <w:t>1.1 本招标文件适用于投标邀请书（招标公告）中所述项目的采购。</w:t>
      </w:r>
    </w:p>
    <w:p>
      <w:pPr>
        <w:spacing w:line="420" w:lineRule="exact"/>
        <w:ind w:firstLine="420" w:firstLineChars="200"/>
        <w:rPr>
          <w:rFonts w:ascii="黑体" w:hAnsi="黑体" w:eastAsia="黑体"/>
          <w:szCs w:val="24"/>
        </w:rPr>
      </w:pPr>
      <w:r>
        <w:rPr>
          <w:rFonts w:hint="eastAsia" w:ascii="黑体" w:hAnsi="黑体" w:eastAsia="黑体"/>
          <w:szCs w:val="24"/>
        </w:rPr>
        <w:t>2. 定义</w:t>
      </w:r>
    </w:p>
    <w:p>
      <w:pPr>
        <w:spacing w:line="420" w:lineRule="exact"/>
        <w:ind w:firstLine="420" w:firstLineChars="200"/>
        <w:rPr>
          <w:rFonts w:ascii="宋体" w:hAnsi="宋体"/>
          <w:szCs w:val="21"/>
        </w:rPr>
      </w:pPr>
      <w:r>
        <w:rPr>
          <w:rFonts w:hint="eastAsia" w:ascii="宋体" w:hAnsi="宋体"/>
          <w:szCs w:val="21"/>
        </w:rPr>
        <w:t>2.1 “采购人”系指依法进行政府采购的国家机关、事业单位、团体组织。</w:t>
      </w:r>
    </w:p>
    <w:p>
      <w:pPr>
        <w:spacing w:line="420" w:lineRule="exact"/>
        <w:ind w:firstLine="420" w:firstLineChars="200"/>
        <w:rPr>
          <w:rFonts w:ascii="宋体" w:hAnsi="宋体"/>
          <w:szCs w:val="21"/>
        </w:rPr>
      </w:pPr>
      <w:r>
        <w:rPr>
          <w:rFonts w:hint="eastAsia" w:ascii="宋体" w:hAnsi="宋体"/>
          <w:szCs w:val="21"/>
        </w:rPr>
        <w:t>2.2 “集中采购机构”即宁波市海曙区公共资源交易中心，系指统一组织实施纳入政府采购目录项目采购活动的非营利事业法人。</w:t>
      </w:r>
    </w:p>
    <w:p>
      <w:pPr>
        <w:spacing w:line="420" w:lineRule="exact"/>
        <w:ind w:firstLine="420" w:firstLineChars="200"/>
        <w:rPr>
          <w:rFonts w:ascii="宋体" w:hAnsi="宋体"/>
          <w:szCs w:val="21"/>
        </w:rPr>
      </w:pPr>
      <w:r>
        <w:rPr>
          <w:rFonts w:hint="eastAsia" w:ascii="宋体" w:hAnsi="宋体"/>
          <w:szCs w:val="21"/>
        </w:rPr>
        <w:t>2.3 “招标方”系指组织本次招标活动的集中采购机构或采购人。</w:t>
      </w:r>
    </w:p>
    <w:p>
      <w:pPr>
        <w:spacing w:line="420" w:lineRule="exact"/>
        <w:ind w:firstLine="420" w:firstLineChars="200"/>
        <w:rPr>
          <w:rFonts w:ascii="宋体" w:hAnsi="宋体"/>
          <w:szCs w:val="21"/>
        </w:rPr>
      </w:pPr>
      <w:r>
        <w:rPr>
          <w:rFonts w:hint="eastAsia" w:ascii="宋体" w:hAnsi="宋体"/>
          <w:szCs w:val="21"/>
        </w:rPr>
        <w:t>2.4 “投标人”系指参加本次招标活动的供应商。</w:t>
      </w:r>
    </w:p>
    <w:p>
      <w:pPr>
        <w:spacing w:line="420" w:lineRule="exact"/>
        <w:ind w:firstLine="420" w:firstLineChars="200"/>
        <w:rPr>
          <w:rFonts w:ascii="宋体" w:hAnsi="宋体"/>
          <w:szCs w:val="21"/>
        </w:rPr>
      </w:pPr>
      <w:r>
        <w:rPr>
          <w:rFonts w:hint="eastAsia" w:ascii="宋体" w:hAnsi="宋体"/>
          <w:szCs w:val="21"/>
        </w:rPr>
        <w:t>2.5 “投标人代理人”系指参加本次招标活动的供应商的被授权代表。</w:t>
      </w:r>
    </w:p>
    <w:p>
      <w:pPr>
        <w:spacing w:line="420" w:lineRule="exact"/>
        <w:ind w:firstLine="420" w:firstLineChars="200"/>
        <w:rPr>
          <w:rFonts w:ascii="宋体" w:hAnsi="宋体"/>
          <w:szCs w:val="21"/>
        </w:rPr>
      </w:pPr>
      <w:r>
        <w:rPr>
          <w:rFonts w:hint="eastAsia" w:ascii="宋体" w:hAnsi="宋体"/>
          <w:szCs w:val="21"/>
        </w:rPr>
        <w:t>2.6 “小签”系指参加本次招标活动的投标人法定代表人或其授权代表的中文姓名。</w:t>
      </w:r>
    </w:p>
    <w:p>
      <w:pPr>
        <w:spacing w:line="420" w:lineRule="exact"/>
        <w:ind w:firstLine="420" w:firstLineChars="200"/>
        <w:rPr>
          <w:rFonts w:ascii="宋体" w:hAnsi="宋体"/>
          <w:szCs w:val="21"/>
        </w:rPr>
      </w:pPr>
      <w:r>
        <w:rPr>
          <w:rFonts w:hint="eastAsia" w:ascii="宋体" w:hAnsi="宋体"/>
          <w:szCs w:val="21"/>
        </w:rPr>
        <w:t>2.7 “骑缝章”系指</w:t>
      </w:r>
      <w:r>
        <w:rPr>
          <w:rFonts w:ascii="宋体" w:hAnsi="宋体"/>
          <w:szCs w:val="21"/>
        </w:rPr>
        <w:t>骑住</w:t>
      </w:r>
      <w:r>
        <w:rPr>
          <w:rFonts w:hint="eastAsia" w:ascii="宋体" w:hAnsi="宋体"/>
          <w:szCs w:val="21"/>
        </w:rPr>
        <w:t>投标文件</w:t>
      </w:r>
      <w:r>
        <w:rPr>
          <w:rFonts w:ascii="宋体" w:hAnsi="宋体"/>
          <w:szCs w:val="21"/>
        </w:rPr>
        <w:t>所有缝</w:t>
      </w:r>
      <w:r>
        <w:rPr>
          <w:rFonts w:hint="eastAsia" w:ascii="宋体" w:hAnsi="宋体"/>
          <w:szCs w:val="21"/>
        </w:rPr>
        <w:t>的单位公章盖章</w:t>
      </w:r>
      <w:r>
        <w:rPr>
          <w:rFonts w:ascii="宋体" w:hAnsi="宋体"/>
          <w:szCs w:val="21"/>
        </w:rPr>
        <w:t>，即盖完骑缝章后</w:t>
      </w:r>
      <w:r>
        <w:rPr>
          <w:rFonts w:hint="eastAsia" w:ascii="宋体" w:hAnsi="宋体"/>
          <w:szCs w:val="21"/>
        </w:rPr>
        <w:t>文本</w:t>
      </w:r>
      <w:r>
        <w:rPr>
          <w:rFonts w:ascii="宋体" w:hAnsi="宋体"/>
          <w:szCs w:val="21"/>
        </w:rPr>
        <w:t>的每一页应该均有红印，不应存在漏页的情况，不论是中间漏还是前后漏。</w:t>
      </w:r>
      <w:r>
        <w:rPr>
          <w:rFonts w:hint="eastAsia" w:ascii="宋体" w:hAnsi="宋体"/>
          <w:szCs w:val="21"/>
        </w:rPr>
        <w:t>文本</w:t>
      </w:r>
      <w:r>
        <w:rPr>
          <w:rFonts w:ascii="宋体" w:hAnsi="宋体"/>
          <w:szCs w:val="21"/>
        </w:rPr>
        <w:t>展开应该能够将骑缝章还原成原章。</w:t>
      </w:r>
    </w:p>
    <w:p>
      <w:pPr>
        <w:spacing w:line="420" w:lineRule="exact"/>
        <w:ind w:firstLine="420" w:firstLineChars="200"/>
        <w:rPr>
          <w:rFonts w:ascii="黑体" w:hAnsi="黑体" w:eastAsia="黑体"/>
          <w:szCs w:val="24"/>
        </w:rPr>
      </w:pPr>
      <w:r>
        <w:rPr>
          <w:rFonts w:hint="eastAsia" w:ascii="黑体" w:hAnsi="黑体" w:eastAsia="黑体"/>
          <w:szCs w:val="24"/>
        </w:rPr>
        <w:t>3. 合格的投标人和投标产品</w:t>
      </w:r>
    </w:p>
    <w:p>
      <w:pPr>
        <w:spacing w:line="420" w:lineRule="exact"/>
        <w:ind w:firstLine="420" w:firstLineChars="200"/>
        <w:rPr>
          <w:rFonts w:ascii="宋体" w:hAnsi="宋体"/>
          <w:szCs w:val="21"/>
        </w:rPr>
      </w:pPr>
      <w:r>
        <w:rPr>
          <w:rFonts w:hint="eastAsia" w:ascii="宋体" w:hAnsi="宋体"/>
          <w:szCs w:val="21"/>
        </w:rPr>
        <w:t>3.1 合格的投标人应具备以下条件：</w:t>
      </w:r>
    </w:p>
    <w:p>
      <w:pPr>
        <w:spacing w:line="420" w:lineRule="exact"/>
        <w:ind w:firstLine="420" w:firstLineChars="200"/>
        <w:rPr>
          <w:rFonts w:ascii="宋体" w:hAnsi="宋体"/>
          <w:szCs w:val="21"/>
        </w:rPr>
      </w:pPr>
      <w:r>
        <w:rPr>
          <w:rFonts w:hint="eastAsia" w:ascii="宋体" w:hAnsi="宋体"/>
          <w:szCs w:val="21"/>
        </w:rPr>
        <w:t>3.1.1 符合《政府采购法》第二十二条第一款规定的关于供应商基本资格条件和招标公告规定的特定条件。</w:t>
      </w:r>
    </w:p>
    <w:p>
      <w:pPr>
        <w:spacing w:line="420" w:lineRule="exact"/>
        <w:ind w:firstLine="420" w:firstLineChars="200"/>
        <w:rPr>
          <w:rFonts w:ascii="宋体" w:hAnsi="宋体"/>
          <w:szCs w:val="21"/>
        </w:rPr>
      </w:pPr>
      <w:r>
        <w:rPr>
          <w:rFonts w:hint="eastAsia" w:ascii="宋体" w:hAnsi="宋体"/>
          <w:szCs w:val="21"/>
        </w:rPr>
        <w:t>3.1.2 投标人与采购人（含集中采购机构）应无任何直接或间接的关联，包括接受采购人（含集中采购机构）的委托为本次采购项目提供整体设计、规范编制或者项目管理、监理、检测等服务的供应商。</w:t>
      </w:r>
    </w:p>
    <w:p>
      <w:pPr>
        <w:spacing w:line="420" w:lineRule="exact"/>
        <w:ind w:firstLine="420" w:firstLineChars="200"/>
        <w:rPr>
          <w:rFonts w:ascii="宋体" w:hAnsi="宋体"/>
          <w:szCs w:val="21"/>
        </w:rPr>
      </w:pPr>
      <w:r>
        <w:rPr>
          <w:rFonts w:hint="eastAsia" w:ascii="宋体" w:hAnsi="宋体"/>
          <w:szCs w:val="21"/>
        </w:rPr>
        <w:t>3.1.3 投标人与采购人（含集中采购机构）有下列关系的，系直接或间接的关联，应当回避：</w:t>
      </w:r>
    </w:p>
    <w:p>
      <w:pPr>
        <w:spacing w:line="420" w:lineRule="exact"/>
        <w:ind w:firstLine="420" w:firstLineChars="200"/>
        <w:rPr>
          <w:rFonts w:ascii="宋体" w:hAnsi="宋体"/>
          <w:szCs w:val="21"/>
        </w:rPr>
      </w:pPr>
      <w:r>
        <w:rPr>
          <w:rFonts w:hint="eastAsia" w:ascii="宋体" w:hAnsi="宋体"/>
          <w:szCs w:val="21"/>
        </w:rPr>
        <w:t>（1）参加采购活动前三年内存在劳动关系；</w:t>
      </w:r>
    </w:p>
    <w:p>
      <w:pPr>
        <w:spacing w:line="420" w:lineRule="exact"/>
        <w:ind w:firstLine="420" w:firstLineChars="200"/>
        <w:rPr>
          <w:rFonts w:ascii="宋体" w:hAnsi="宋体"/>
          <w:szCs w:val="21"/>
        </w:rPr>
      </w:pPr>
      <w:r>
        <w:rPr>
          <w:rFonts w:hint="eastAsia" w:ascii="宋体" w:hAnsi="宋体"/>
          <w:szCs w:val="21"/>
        </w:rPr>
        <w:t>（2）参加采购活动前3年内担任过投标人的董事、监事；</w:t>
      </w:r>
    </w:p>
    <w:p>
      <w:pPr>
        <w:spacing w:line="420" w:lineRule="exact"/>
        <w:ind w:firstLine="420" w:firstLineChars="200"/>
        <w:rPr>
          <w:rFonts w:ascii="宋体" w:hAnsi="宋体"/>
          <w:szCs w:val="21"/>
        </w:rPr>
      </w:pPr>
      <w:r>
        <w:rPr>
          <w:rFonts w:hint="eastAsia" w:ascii="宋体" w:hAnsi="宋体"/>
          <w:szCs w:val="21"/>
        </w:rPr>
        <w:t>（3）参加采购活动前3年内是投标人的控股股东或者实际控制人；</w:t>
      </w:r>
    </w:p>
    <w:p>
      <w:pPr>
        <w:spacing w:line="420" w:lineRule="exact"/>
        <w:ind w:firstLine="420" w:firstLineChars="200"/>
        <w:rPr>
          <w:rFonts w:ascii="宋体" w:hAnsi="宋体"/>
          <w:szCs w:val="21"/>
        </w:rPr>
      </w:pPr>
      <w:r>
        <w:rPr>
          <w:rFonts w:hint="eastAsia" w:ascii="宋体" w:hAnsi="宋体"/>
          <w:szCs w:val="21"/>
        </w:rPr>
        <w:t>（4）与投标人的法定代表人或者负责人有夫妻、直系血亲、三代以内旁系血亲或者近姻亲关系；</w:t>
      </w:r>
    </w:p>
    <w:p>
      <w:pPr>
        <w:spacing w:line="420" w:lineRule="exact"/>
        <w:ind w:firstLine="420" w:firstLineChars="200"/>
        <w:rPr>
          <w:rFonts w:ascii="宋体" w:hAnsi="宋体"/>
          <w:szCs w:val="21"/>
        </w:rPr>
      </w:pPr>
      <w:r>
        <w:rPr>
          <w:rFonts w:hint="eastAsia" w:ascii="宋体" w:hAnsi="宋体"/>
          <w:szCs w:val="21"/>
        </w:rPr>
        <w:t>（5）可能影响政府采购活动公平、公正进行的关系；</w:t>
      </w:r>
    </w:p>
    <w:p>
      <w:pPr>
        <w:spacing w:line="420" w:lineRule="exact"/>
        <w:ind w:firstLine="420" w:firstLineChars="200"/>
        <w:rPr>
          <w:rFonts w:hint="eastAsia" w:ascii="宋体" w:hAnsi="宋体"/>
          <w:szCs w:val="21"/>
        </w:rPr>
      </w:pPr>
      <w:r>
        <w:rPr>
          <w:rFonts w:hint="eastAsia" w:ascii="宋体" w:hAnsi="宋体"/>
          <w:szCs w:val="21"/>
        </w:rPr>
        <w:t>3.1.4 投标人之间存在下列关联关系情形之一的，不得同时参加同一合同项下的项目投标：</w:t>
      </w:r>
    </w:p>
    <w:p>
      <w:pPr>
        <w:spacing w:line="420" w:lineRule="exact"/>
        <w:ind w:firstLine="420" w:firstLineChars="200"/>
        <w:rPr>
          <w:rFonts w:hint="eastAsia" w:ascii="宋体" w:hAnsi="宋体"/>
          <w:szCs w:val="21"/>
        </w:rPr>
      </w:pPr>
      <w:r>
        <w:rPr>
          <w:rFonts w:hint="eastAsia" w:ascii="宋体" w:hAnsi="宋体"/>
          <w:szCs w:val="21"/>
        </w:rPr>
        <w:t>（1）单位负责人（含法定代表人、实际控制人）是同一人的供应商；</w:t>
      </w:r>
    </w:p>
    <w:p>
      <w:pPr>
        <w:spacing w:line="420" w:lineRule="exact"/>
        <w:ind w:firstLine="420" w:firstLineChars="200"/>
        <w:rPr>
          <w:rFonts w:hint="eastAsia" w:ascii="宋体" w:hAnsi="宋体"/>
          <w:szCs w:val="21"/>
        </w:rPr>
      </w:pPr>
      <w:r>
        <w:rPr>
          <w:rFonts w:hint="eastAsia" w:ascii="宋体" w:hAnsi="宋体"/>
          <w:szCs w:val="21"/>
        </w:rPr>
        <w:t>（2）母公司、直接或间接控股的被投资公司；</w:t>
      </w:r>
    </w:p>
    <w:p>
      <w:pPr>
        <w:spacing w:line="420" w:lineRule="exact"/>
        <w:ind w:firstLine="420" w:firstLineChars="200"/>
        <w:rPr>
          <w:rFonts w:hint="eastAsia" w:ascii="宋体" w:hAnsi="宋体"/>
          <w:szCs w:val="21"/>
        </w:rPr>
      </w:pPr>
      <w:r>
        <w:rPr>
          <w:rFonts w:hint="eastAsia" w:ascii="宋体" w:hAnsi="宋体"/>
          <w:szCs w:val="21"/>
        </w:rPr>
        <w:t>（3）为项目提供整体设计、规范编制或者项目管理、监理、检测等服务的供应商。</w:t>
      </w:r>
    </w:p>
    <w:p>
      <w:pPr>
        <w:spacing w:line="420" w:lineRule="exact"/>
        <w:ind w:firstLine="420" w:firstLineChars="200"/>
        <w:rPr>
          <w:rFonts w:ascii="宋体" w:hAnsi="宋体"/>
          <w:szCs w:val="21"/>
        </w:rPr>
      </w:pPr>
      <w:r>
        <w:rPr>
          <w:rFonts w:hint="eastAsia" w:ascii="宋体" w:hAnsi="宋体"/>
          <w:szCs w:val="21"/>
        </w:rPr>
        <w:t>3.1.5 一个投标人对一个标包只能提交一个投标文件。</w:t>
      </w:r>
    </w:p>
    <w:p>
      <w:pPr>
        <w:spacing w:line="420" w:lineRule="exact"/>
        <w:ind w:firstLine="420" w:firstLineChars="200"/>
        <w:rPr>
          <w:rFonts w:ascii="宋体" w:hAnsi="宋体"/>
          <w:szCs w:val="21"/>
        </w:rPr>
      </w:pPr>
      <w:r>
        <w:rPr>
          <w:rFonts w:hint="eastAsia" w:ascii="宋体" w:hAnsi="宋体"/>
          <w:szCs w:val="21"/>
        </w:rPr>
        <w:t>3.1.6 投标人代理人只能接受一个投标人委托参加投标。</w:t>
      </w:r>
    </w:p>
    <w:p>
      <w:pPr>
        <w:spacing w:line="420" w:lineRule="exact"/>
        <w:ind w:firstLine="420" w:firstLineChars="200"/>
        <w:rPr>
          <w:rFonts w:ascii="宋体" w:hAnsi="宋体"/>
          <w:szCs w:val="21"/>
        </w:rPr>
      </w:pPr>
      <w:r>
        <w:rPr>
          <w:rFonts w:hint="eastAsia" w:ascii="宋体" w:hAnsi="宋体"/>
          <w:szCs w:val="21"/>
        </w:rPr>
        <w:t>3.1.7 如投标人代理人不是法定代表人，须持有《法定代表人授权书》（统一格式详见第五章投标文件格式部分）。</w:t>
      </w:r>
    </w:p>
    <w:p>
      <w:pPr>
        <w:spacing w:line="420" w:lineRule="exact"/>
        <w:ind w:firstLine="420" w:firstLineChars="200"/>
        <w:rPr>
          <w:rFonts w:ascii="黑体" w:hAnsi="黑体" w:eastAsia="黑体"/>
          <w:szCs w:val="24"/>
        </w:rPr>
      </w:pPr>
      <w:r>
        <w:rPr>
          <w:rFonts w:hint="eastAsia" w:ascii="黑体" w:hAnsi="黑体" w:eastAsia="黑体"/>
          <w:szCs w:val="24"/>
        </w:rPr>
        <w:t>4. 投标费用</w:t>
      </w:r>
    </w:p>
    <w:p>
      <w:pPr>
        <w:spacing w:line="420" w:lineRule="exact"/>
        <w:ind w:firstLine="420" w:firstLineChars="200"/>
        <w:rPr>
          <w:rFonts w:ascii="宋体" w:hAnsi="宋体"/>
          <w:szCs w:val="21"/>
        </w:rPr>
      </w:pPr>
      <w:r>
        <w:rPr>
          <w:rFonts w:hint="eastAsia" w:ascii="宋体" w:hAnsi="宋体"/>
          <w:szCs w:val="21"/>
        </w:rPr>
        <w:t>4.1 无论投标结果如何，投标人自行承担所有与参加投标有关的全部费用。</w:t>
      </w:r>
    </w:p>
    <w:p>
      <w:pPr>
        <w:spacing w:line="420" w:lineRule="exact"/>
        <w:ind w:firstLine="420" w:firstLineChars="200"/>
        <w:rPr>
          <w:rFonts w:ascii="黑体" w:hAnsi="黑体" w:eastAsia="黑体"/>
          <w:szCs w:val="24"/>
        </w:rPr>
      </w:pPr>
      <w:r>
        <w:rPr>
          <w:rFonts w:hint="eastAsia" w:ascii="黑体" w:hAnsi="黑体" w:eastAsia="黑体"/>
          <w:szCs w:val="24"/>
        </w:rPr>
        <w:t>5. 信息公告媒体</w:t>
      </w:r>
    </w:p>
    <w:p>
      <w:pPr>
        <w:spacing w:line="420" w:lineRule="exact"/>
        <w:ind w:firstLine="420" w:firstLineChars="200"/>
        <w:rPr>
          <w:rFonts w:hint="eastAsia" w:ascii="宋体" w:hAnsi="宋体"/>
          <w:szCs w:val="21"/>
        </w:rPr>
      </w:pPr>
      <w:r>
        <w:rPr>
          <w:rFonts w:hint="eastAsia" w:ascii="宋体" w:hAnsi="宋体"/>
          <w:szCs w:val="21"/>
        </w:rPr>
        <w:t>5.1</w:t>
      </w:r>
      <w:r>
        <w:rPr>
          <w:rFonts w:hint="eastAsia" w:ascii="宋体" w:hAnsi="宋体"/>
          <w:szCs w:val="21"/>
          <w:lang w:eastAsia="zh-CN"/>
        </w:rPr>
        <w:t>中国政府采购网（www.ccgp.gov.cn）、浙江政府采购网</w:t>
      </w:r>
      <w:r>
        <w:rPr>
          <w:rFonts w:hint="eastAsia" w:ascii="宋体" w:hAnsi="宋体" w:eastAsia="宋体" w:cs="宋体"/>
          <w:i w:val="0"/>
          <w:caps w:val="0"/>
          <w:color w:val="000000"/>
          <w:spacing w:val="0"/>
          <w:sz w:val="21"/>
          <w:szCs w:val="21"/>
          <w:shd w:val="clear" w:color="auto" w:fill="FFFFFF"/>
        </w:rPr>
        <w:t>（www.zjzfcg.gov.cn）</w:t>
      </w:r>
      <w:r>
        <w:rPr>
          <w:rFonts w:hint="eastAsia" w:ascii="宋体" w:hAnsi="宋体" w:eastAsia="宋体" w:cs="宋体"/>
          <w:i w:val="0"/>
          <w:caps w:val="0"/>
          <w:color w:val="000000"/>
          <w:spacing w:val="0"/>
          <w:sz w:val="21"/>
          <w:szCs w:val="21"/>
          <w:shd w:val="clear" w:color="auto" w:fill="FFFFFF"/>
          <w:lang w:eastAsia="zh-CN"/>
        </w:rPr>
        <w:t>、</w:t>
      </w:r>
      <w:r>
        <w:rPr>
          <w:rFonts w:hint="eastAsia" w:ascii="宋体" w:hAnsi="宋体"/>
          <w:szCs w:val="21"/>
        </w:rPr>
        <w:t>宁波政府采购网（www.nbzfcg.cn）</w:t>
      </w:r>
      <w:r>
        <w:rPr>
          <w:rFonts w:hint="eastAsia" w:ascii="宋体" w:hAnsi="宋体"/>
          <w:szCs w:val="21"/>
          <w:lang w:eastAsia="zh-CN"/>
        </w:rPr>
        <w:t>、</w:t>
      </w:r>
      <w:r>
        <w:rPr>
          <w:rFonts w:ascii="宋体" w:hAnsi="宋体"/>
          <w:szCs w:val="21"/>
        </w:rPr>
        <w:t>浙江省公共资源交易服务平台（zjpubservice.zjzwfw.gov.cn）</w:t>
      </w:r>
      <w:r>
        <w:rPr>
          <w:rFonts w:hint="eastAsia" w:ascii="宋体" w:hAnsi="宋体"/>
          <w:szCs w:val="21"/>
        </w:rPr>
        <w:t>、</w:t>
      </w:r>
      <w:r>
        <w:rPr>
          <w:rFonts w:ascii="宋体" w:hAnsi="宋体"/>
          <w:szCs w:val="21"/>
        </w:rPr>
        <w:t>宁波公共资源交易</w:t>
      </w:r>
      <w:r>
        <w:rPr>
          <w:rFonts w:hint="eastAsia" w:ascii="宋体" w:hAnsi="宋体"/>
          <w:szCs w:val="21"/>
          <w:lang w:eastAsia="zh-CN"/>
        </w:rPr>
        <w:t>网</w:t>
      </w:r>
      <w:r>
        <w:rPr>
          <w:rFonts w:ascii="宋体" w:hAnsi="宋体"/>
          <w:szCs w:val="21"/>
        </w:rPr>
        <w:t>海曙</w:t>
      </w:r>
      <w:r>
        <w:rPr>
          <w:rFonts w:hint="eastAsia" w:ascii="宋体" w:hAnsi="宋体"/>
          <w:szCs w:val="21"/>
          <w:lang w:eastAsia="zh-CN"/>
        </w:rPr>
        <w:t>区</w:t>
      </w:r>
      <w:r>
        <w:rPr>
          <w:rFonts w:ascii="宋体" w:hAnsi="宋体"/>
          <w:szCs w:val="21"/>
        </w:rPr>
        <w:t>分</w:t>
      </w:r>
      <w:r>
        <w:rPr>
          <w:rFonts w:hint="eastAsia" w:ascii="宋体" w:hAnsi="宋体"/>
          <w:szCs w:val="21"/>
          <w:lang w:eastAsia="zh-CN"/>
        </w:rPr>
        <w:t>网</w:t>
      </w:r>
      <w:r>
        <w:rPr>
          <w:rFonts w:ascii="宋体" w:hAnsi="宋体"/>
          <w:szCs w:val="21"/>
        </w:rPr>
        <w:t>（</w:t>
      </w:r>
      <w:r>
        <w:rPr>
          <w:rFonts w:hint="eastAsia" w:ascii="宋体" w:hAnsi="宋体"/>
          <w:sz w:val="21"/>
          <w:szCs w:val="21"/>
          <w:lang w:eastAsia="zh-CN"/>
        </w:rPr>
        <w:t>bidding.ningbo.gov.cn/haishu/</w:t>
      </w:r>
      <w:r>
        <w:rPr>
          <w:rFonts w:ascii="宋体" w:hAnsi="宋体"/>
          <w:szCs w:val="21"/>
        </w:rPr>
        <w:t>）</w:t>
      </w:r>
      <w:r>
        <w:rPr>
          <w:rFonts w:hint="eastAsia" w:ascii="宋体" w:hAnsi="宋体"/>
          <w:szCs w:val="21"/>
          <w:lang w:eastAsia="zh-CN"/>
        </w:rPr>
        <w:t>等</w:t>
      </w:r>
      <w:r>
        <w:rPr>
          <w:rFonts w:hint="eastAsia" w:ascii="宋体" w:hAnsi="宋体"/>
          <w:szCs w:val="21"/>
        </w:rPr>
        <w:t>公告载体。本次政府采购活动有关信息均在发布招标公告相同网站上予以公布，公布信息视同送达所有潜在投标人。</w:t>
      </w:r>
    </w:p>
    <w:p>
      <w:pPr>
        <w:spacing w:line="420" w:lineRule="exact"/>
        <w:ind w:firstLine="420" w:firstLineChars="200"/>
        <w:rPr>
          <w:rFonts w:hint="eastAsia" w:ascii="黑体" w:hAnsi="黑体" w:eastAsia="黑体"/>
          <w:szCs w:val="24"/>
        </w:rPr>
      </w:pPr>
      <w:r>
        <w:rPr>
          <w:rFonts w:hint="eastAsia" w:ascii="黑体" w:hAnsi="黑体" w:eastAsia="黑体"/>
          <w:szCs w:val="24"/>
        </w:rPr>
        <w:t>6. 招标方式</w:t>
      </w:r>
    </w:p>
    <w:p>
      <w:pPr>
        <w:spacing w:line="360" w:lineRule="auto"/>
        <w:ind w:firstLine="420" w:firstLineChars="200"/>
        <w:rPr>
          <w:szCs w:val="21"/>
        </w:rPr>
      </w:pPr>
      <w:r>
        <w:rPr>
          <w:szCs w:val="21"/>
        </w:rPr>
        <w:t>本次招标采用公开招标方式进行。</w:t>
      </w:r>
    </w:p>
    <w:p>
      <w:pPr>
        <w:spacing w:line="420" w:lineRule="exact"/>
        <w:ind w:firstLine="420" w:firstLineChars="200"/>
        <w:rPr>
          <w:rFonts w:hint="eastAsia" w:ascii="黑体" w:hAnsi="黑体" w:eastAsia="黑体"/>
          <w:szCs w:val="24"/>
        </w:rPr>
      </w:pPr>
      <w:r>
        <w:rPr>
          <w:rFonts w:hint="eastAsia" w:ascii="黑体" w:hAnsi="黑体" w:eastAsia="黑体"/>
          <w:szCs w:val="24"/>
        </w:rPr>
        <w:t>7. 联合体投标</w:t>
      </w:r>
    </w:p>
    <w:p>
      <w:pPr>
        <w:spacing w:line="360" w:lineRule="auto"/>
        <w:ind w:firstLine="420" w:firstLineChars="200"/>
        <w:rPr>
          <w:rFonts w:hint="eastAsia"/>
          <w:szCs w:val="21"/>
        </w:rPr>
      </w:pPr>
      <w:r>
        <w:rPr>
          <w:rFonts w:hint="eastAsia"/>
          <w:szCs w:val="21"/>
        </w:rPr>
        <w:t>本项目不接受联合体投标。</w:t>
      </w:r>
    </w:p>
    <w:p>
      <w:pPr>
        <w:spacing w:line="420" w:lineRule="exact"/>
        <w:ind w:firstLine="420" w:firstLineChars="200"/>
        <w:rPr>
          <w:rFonts w:hint="eastAsia" w:ascii="黑体" w:hAnsi="黑体" w:eastAsia="黑体"/>
          <w:szCs w:val="24"/>
        </w:rPr>
      </w:pPr>
      <w:r>
        <w:rPr>
          <w:rFonts w:hint="eastAsia" w:ascii="黑体" w:hAnsi="黑体" w:eastAsia="黑体"/>
          <w:szCs w:val="24"/>
        </w:rPr>
        <w:t>8. 转包与分包</w:t>
      </w:r>
    </w:p>
    <w:p>
      <w:pPr>
        <w:spacing w:line="360" w:lineRule="auto"/>
        <w:ind w:firstLine="420" w:firstLineChars="200"/>
        <w:rPr>
          <w:rFonts w:hint="eastAsia" w:eastAsia="宋体"/>
          <w:szCs w:val="21"/>
          <w:lang w:eastAsia="zh-CN"/>
        </w:rPr>
      </w:pPr>
      <w:r>
        <w:rPr>
          <w:rFonts w:hint="eastAsia"/>
          <w:szCs w:val="21"/>
        </w:rPr>
        <w:t>本项目不允许转包、分包。</w:t>
      </w:r>
      <w:r>
        <w:rPr>
          <w:rFonts w:hint="eastAsia"/>
          <w:szCs w:val="21"/>
          <w:lang w:eastAsia="zh-CN"/>
        </w:rPr>
        <w:t>若未经采购人同意中标单位私自转包、分包，采购人有权终止合同。</w:t>
      </w:r>
    </w:p>
    <w:p>
      <w:pPr>
        <w:spacing w:line="420" w:lineRule="exact"/>
        <w:ind w:firstLine="420" w:firstLineChars="200"/>
        <w:rPr>
          <w:rFonts w:hint="eastAsia" w:ascii="黑体" w:hAnsi="黑体" w:eastAsia="黑体"/>
          <w:szCs w:val="24"/>
        </w:rPr>
      </w:pPr>
      <w:r>
        <w:rPr>
          <w:rFonts w:hint="eastAsia" w:ascii="黑体" w:hAnsi="黑体" w:eastAsia="黑体"/>
          <w:szCs w:val="24"/>
        </w:rPr>
        <w:t>9. 特别说明：</w:t>
      </w:r>
    </w:p>
    <w:p>
      <w:pPr>
        <w:spacing w:line="360" w:lineRule="auto"/>
        <w:ind w:firstLine="420" w:firstLineChars="200"/>
        <w:rPr>
          <w:rFonts w:hint="eastAsia" w:ascii="宋体" w:hAnsi="宋体"/>
          <w:szCs w:val="21"/>
        </w:rPr>
      </w:pPr>
      <w:r>
        <w:rPr>
          <w:rFonts w:hint="eastAsia" w:ascii="宋体" w:hAnsi="宋体"/>
          <w:szCs w:val="21"/>
        </w:rPr>
        <w:t>9.1 提供相同品牌产品且通过资格审查、符合性审查的不同投标人参加同一合同项下投标的，按一家投标人计算。</w:t>
      </w:r>
    </w:p>
    <w:p>
      <w:pPr>
        <w:spacing w:line="360" w:lineRule="auto"/>
        <w:ind w:firstLine="420" w:firstLineChars="200"/>
        <w:rPr>
          <w:rFonts w:hint="eastAsia" w:ascii="宋体" w:hAnsi="宋体"/>
          <w:szCs w:val="21"/>
        </w:rPr>
      </w:pPr>
      <w:r>
        <w:rPr>
          <w:rFonts w:hint="eastAsia" w:ascii="宋体" w:hAnsi="宋体"/>
          <w:szCs w:val="21"/>
        </w:rPr>
        <w:t>若采用综合评分法进行评审的，评审后得分最高的同品牌投标人获得中标人推荐资格；评审得分相同的，由评标委员会按照采购文件规定的方式确定一个投标人获得中标人的推荐资格，采购文件未规定的采取随机抽取的方式确定，其他同品牌投标人不作为中标候选人。</w:t>
      </w:r>
    </w:p>
    <w:p>
      <w:pPr>
        <w:spacing w:line="360" w:lineRule="auto"/>
        <w:ind w:firstLine="420" w:firstLineChars="200"/>
        <w:rPr>
          <w:rFonts w:hint="eastAsia" w:ascii="宋体" w:hAnsi="宋体"/>
          <w:szCs w:val="21"/>
        </w:rPr>
      </w:pPr>
      <w:r>
        <w:rPr>
          <w:rFonts w:hint="eastAsia" w:ascii="宋体" w:hAnsi="宋体"/>
          <w:szCs w:val="21"/>
        </w:rPr>
        <w:t>若采用最低评标价法进行评审的，以报价最低的投标人参加评审，报价相同的，由评标委员会按照采购文件规定的方式确定一个投标人获得中标人的推荐资格，采购文件未规定的采取随机抽取的方式确定，其他投标无效。</w:t>
      </w:r>
    </w:p>
    <w:p>
      <w:pPr>
        <w:spacing w:line="360" w:lineRule="auto"/>
        <w:ind w:firstLine="420" w:firstLineChars="200"/>
        <w:rPr>
          <w:rFonts w:hint="eastAsia" w:ascii="宋体" w:hAnsi="宋体"/>
          <w:szCs w:val="21"/>
        </w:rPr>
      </w:pPr>
      <w:r>
        <w:rPr>
          <w:rFonts w:hint="eastAsia" w:ascii="宋体" w:hAnsi="宋体"/>
          <w:szCs w:val="21"/>
        </w:rPr>
        <w:t>非单一产品采购项目，投标人使用相同制造产品（相同制造产品是指采购文件中指定的“核心产品”）作为其项目的一部分，按一家投标人认定。</w:t>
      </w:r>
    </w:p>
    <w:p>
      <w:pPr>
        <w:spacing w:line="360" w:lineRule="auto"/>
        <w:ind w:firstLine="420" w:firstLineChars="200"/>
        <w:rPr>
          <w:rFonts w:hint="eastAsia" w:ascii="宋体" w:hAnsi="宋体"/>
          <w:szCs w:val="21"/>
        </w:rPr>
      </w:pPr>
      <w:r>
        <w:rPr>
          <w:rFonts w:hint="eastAsia" w:ascii="宋体" w:hAnsi="宋体"/>
          <w:szCs w:val="21"/>
        </w:rPr>
        <w:t>9.</w:t>
      </w:r>
      <w:r>
        <w:rPr>
          <w:rFonts w:hint="eastAsia" w:ascii="宋体" w:hAnsi="宋体"/>
          <w:szCs w:val="21"/>
          <w:lang w:val="en-US" w:eastAsia="zh-CN"/>
        </w:rPr>
        <w:t>2</w:t>
      </w:r>
      <w:r>
        <w:rPr>
          <w:rFonts w:hint="eastAsia" w:ascii="宋体" w:hAnsi="宋体"/>
          <w:szCs w:val="21"/>
        </w:rPr>
        <w:t xml:space="preserve"> 关于知识产权</w:t>
      </w:r>
    </w:p>
    <w:p>
      <w:pPr>
        <w:spacing w:line="360" w:lineRule="auto"/>
        <w:ind w:firstLine="420" w:firstLineChars="200"/>
        <w:rPr>
          <w:rFonts w:hint="eastAsia"/>
          <w:szCs w:val="21"/>
        </w:rPr>
      </w:pPr>
      <w:r>
        <w:rPr>
          <w:rFonts w:hint="eastAsia" w:ascii="宋体" w:hAnsi="宋体"/>
          <w:szCs w:val="21"/>
        </w:rPr>
        <w:t>9.</w:t>
      </w:r>
      <w:r>
        <w:rPr>
          <w:rFonts w:hint="eastAsia" w:ascii="宋体" w:hAnsi="宋体"/>
          <w:szCs w:val="21"/>
          <w:lang w:val="en-US" w:eastAsia="zh-CN"/>
        </w:rPr>
        <w:t>2</w:t>
      </w:r>
      <w:r>
        <w:rPr>
          <w:rFonts w:hint="eastAsia" w:ascii="宋体" w:hAnsi="宋体"/>
          <w:szCs w:val="21"/>
        </w:rPr>
        <w:t xml:space="preserve">.1 </w:t>
      </w:r>
      <w:r>
        <w:rPr>
          <w:rFonts w:hint="eastAsia"/>
          <w:szCs w:val="21"/>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spacing w:line="360" w:lineRule="auto"/>
        <w:ind w:firstLine="420" w:firstLineChars="200"/>
        <w:rPr>
          <w:rFonts w:hint="eastAsia"/>
          <w:szCs w:val="21"/>
        </w:rPr>
      </w:pPr>
      <w:r>
        <w:rPr>
          <w:rFonts w:hint="eastAsia" w:ascii="宋体" w:hAnsi="宋体"/>
          <w:szCs w:val="21"/>
        </w:rPr>
        <w:t>9.</w:t>
      </w:r>
      <w:r>
        <w:rPr>
          <w:rFonts w:hint="eastAsia" w:ascii="宋体" w:hAnsi="宋体"/>
          <w:szCs w:val="21"/>
          <w:lang w:val="en-US" w:eastAsia="zh-CN"/>
        </w:rPr>
        <w:t>2</w:t>
      </w:r>
      <w:r>
        <w:rPr>
          <w:rFonts w:hint="eastAsia" w:ascii="宋体" w:hAnsi="宋体"/>
          <w:szCs w:val="21"/>
        </w:rPr>
        <w:t xml:space="preserve">.2 </w:t>
      </w:r>
      <w:r>
        <w:rPr>
          <w:rFonts w:hint="eastAsia"/>
          <w:szCs w:val="21"/>
        </w:rPr>
        <w:t>投标报价应包含所有应向所有权人支付的专利权、商标权或其它知识产权的一切相关费用。</w:t>
      </w:r>
    </w:p>
    <w:p>
      <w:pPr>
        <w:spacing w:line="360" w:lineRule="auto"/>
        <w:ind w:firstLine="420" w:firstLineChars="200"/>
        <w:rPr>
          <w:rFonts w:hint="eastAsia"/>
          <w:szCs w:val="21"/>
        </w:rPr>
      </w:pPr>
      <w:r>
        <w:rPr>
          <w:rFonts w:hint="eastAsia" w:ascii="宋体" w:hAnsi="宋体"/>
          <w:szCs w:val="21"/>
        </w:rPr>
        <w:t>9.</w:t>
      </w:r>
      <w:r>
        <w:rPr>
          <w:rFonts w:hint="eastAsia" w:ascii="宋体" w:hAnsi="宋体"/>
          <w:szCs w:val="21"/>
          <w:lang w:val="en-US" w:eastAsia="zh-CN"/>
        </w:rPr>
        <w:t>2</w:t>
      </w:r>
      <w:r>
        <w:rPr>
          <w:rFonts w:hint="eastAsia" w:ascii="宋体" w:hAnsi="宋体"/>
          <w:szCs w:val="21"/>
        </w:rPr>
        <w:t xml:space="preserve">.3 </w:t>
      </w:r>
      <w:r>
        <w:rPr>
          <w:rFonts w:hint="eastAsia"/>
          <w:szCs w:val="21"/>
        </w:rPr>
        <w:t>系统软件、通用软件必须是具有在中国境内的合法使用权或版权的正版软件，涉及到第三方提出侵权或知识产权的起诉及支付版税等费用由投标人承担所有责任及费用。</w:t>
      </w:r>
    </w:p>
    <w:p>
      <w:pPr>
        <w:spacing w:line="360" w:lineRule="auto"/>
        <w:ind w:firstLine="420" w:firstLineChars="200"/>
        <w:rPr>
          <w:rFonts w:hint="eastAsia" w:ascii="宋体" w:hAnsi="宋体"/>
          <w:szCs w:val="21"/>
        </w:rPr>
      </w:pPr>
      <w:r>
        <w:rPr>
          <w:rFonts w:hint="eastAsia" w:ascii="宋体" w:hAnsi="宋体"/>
          <w:szCs w:val="21"/>
        </w:rPr>
        <w:t>9.3政府采购活动中有关中小企业的相关规定（采购进口产品的项目不适用）</w:t>
      </w:r>
    </w:p>
    <w:p>
      <w:pPr>
        <w:spacing w:line="360" w:lineRule="auto"/>
        <w:ind w:firstLine="420" w:firstLineChars="200"/>
        <w:rPr>
          <w:rFonts w:hint="eastAsia" w:ascii="宋体" w:hAnsi="宋体"/>
          <w:szCs w:val="21"/>
        </w:rPr>
      </w:pPr>
      <w:r>
        <w:rPr>
          <w:rFonts w:hint="eastAsia" w:ascii="宋体" w:hAnsi="宋体"/>
          <w:szCs w:val="21"/>
        </w:rPr>
        <w:t>9.3.1 参加政府采购活动的中小企业（含中型、小型、微型企业，其他地方同）应当符合中小企业划分标准（具体见工信部联企业[2011]300号）。</w:t>
      </w:r>
    </w:p>
    <w:p>
      <w:pPr>
        <w:spacing w:line="360" w:lineRule="auto"/>
        <w:ind w:firstLine="420" w:firstLineChars="200"/>
        <w:rPr>
          <w:rFonts w:hint="eastAsia" w:ascii="宋体" w:hAnsi="宋体"/>
          <w:szCs w:val="21"/>
        </w:rPr>
      </w:pPr>
      <w:r>
        <w:rPr>
          <w:rFonts w:hint="eastAsia" w:ascii="宋体" w:hAnsi="宋体"/>
          <w:szCs w:val="21"/>
        </w:rPr>
        <w:t>9.3.2 参加政府采购活动的中小企业应当提供《中小企</w:t>
      </w:r>
      <w:r>
        <w:rPr>
          <w:rFonts w:hint="eastAsia" w:ascii="宋体" w:hAnsi="宋体"/>
          <w:szCs w:val="21"/>
          <w:lang w:eastAsia="zh-CN"/>
        </w:rPr>
        <w:t>业</w:t>
      </w:r>
      <w:r>
        <w:rPr>
          <w:rFonts w:hint="eastAsia" w:ascii="宋体" w:hAnsi="宋体"/>
          <w:szCs w:val="21"/>
        </w:rPr>
        <w:t>声明函</w:t>
      </w:r>
      <w:r>
        <w:rPr>
          <w:rFonts w:hint="eastAsia" w:ascii="宋体" w:hAnsi="宋体"/>
          <w:szCs w:val="21"/>
          <w:lang w:eastAsia="zh-CN"/>
        </w:rPr>
        <w:t>（货物）</w:t>
      </w:r>
      <w:r>
        <w:rPr>
          <w:rFonts w:hint="eastAsia" w:ascii="宋体" w:hAnsi="宋体"/>
          <w:szCs w:val="21"/>
        </w:rPr>
        <w:t>》</w:t>
      </w:r>
      <w:r>
        <w:rPr>
          <w:rFonts w:hint="eastAsia" w:ascii="宋体" w:hAnsi="宋体"/>
          <w:szCs w:val="21"/>
          <w:lang w:eastAsia="zh-CN"/>
        </w:rPr>
        <w:t>或</w:t>
      </w:r>
      <w:r>
        <w:rPr>
          <w:rFonts w:hint="eastAsia" w:ascii="宋体" w:hAnsi="宋体"/>
          <w:szCs w:val="21"/>
        </w:rPr>
        <w:t>《中小企</w:t>
      </w:r>
      <w:r>
        <w:rPr>
          <w:rFonts w:hint="eastAsia" w:ascii="宋体" w:hAnsi="宋体"/>
          <w:szCs w:val="21"/>
          <w:lang w:eastAsia="zh-CN"/>
        </w:rPr>
        <w:t>业</w:t>
      </w:r>
      <w:r>
        <w:rPr>
          <w:rFonts w:hint="eastAsia" w:ascii="宋体" w:hAnsi="宋体"/>
          <w:szCs w:val="21"/>
        </w:rPr>
        <w:t>声明函</w:t>
      </w:r>
      <w:r>
        <w:rPr>
          <w:rFonts w:hint="eastAsia" w:ascii="宋体" w:hAnsi="宋体"/>
          <w:szCs w:val="21"/>
          <w:lang w:eastAsia="zh-CN"/>
        </w:rPr>
        <w:t>（</w:t>
      </w:r>
      <w:r>
        <w:rPr>
          <w:rFonts w:hint="eastAsia" w:ascii="宋体" w:hAnsi="宋体"/>
          <w:szCs w:val="21"/>
          <w:lang w:val="en-US" w:eastAsia="zh-CN"/>
        </w:rPr>
        <w:t>工程、服务</w:t>
      </w:r>
      <w:r>
        <w:rPr>
          <w:rFonts w:hint="eastAsia" w:ascii="宋体" w:hAnsi="宋体"/>
          <w:szCs w:val="21"/>
          <w:lang w:eastAsia="zh-CN"/>
        </w:rPr>
        <w:t>）</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9.3.3 对于非专门面向中小企业的项目，对小型和微型企业产品的价格应给予6%-10%</w:t>
      </w:r>
      <w:r>
        <w:rPr>
          <w:rFonts w:hint="eastAsia" w:ascii="宋体" w:hAnsi="宋体"/>
          <w:szCs w:val="21"/>
          <w:lang w:eastAsia="zh-CN"/>
        </w:rPr>
        <w:t>（工程项目为</w:t>
      </w:r>
      <w:r>
        <w:rPr>
          <w:rFonts w:hint="eastAsia" w:ascii="宋体" w:hAnsi="宋体"/>
          <w:szCs w:val="21"/>
          <w:lang w:val="en-US" w:eastAsia="zh-CN"/>
        </w:rPr>
        <w:t>3%-5%</w:t>
      </w:r>
      <w:r>
        <w:rPr>
          <w:rFonts w:hint="eastAsia" w:ascii="宋体" w:hAnsi="宋体"/>
          <w:szCs w:val="21"/>
          <w:lang w:eastAsia="zh-CN"/>
        </w:rPr>
        <w:t>）</w:t>
      </w:r>
      <w:r>
        <w:rPr>
          <w:rFonts w:hint="eastAsia" w:ascii="宋体" w:hAnsi="宋体"/>
          <w:szCs w:val="21"/>
        </w:rPr>
        <w:t>的扣除，用扣除后的价格参与评审。</w:t>
      </w:r>
      <w:r>
        <w:rPr>
          <w:rFonts w:hint="eastAsia" w:ascii="宋体" w:hAnsi="宋体"/>
          <w:szCs w:val="21"/>
          <w:lang w:eastAsia="zh-CN"/>
        </w:rPr>
        <w:t>适用招标投标法的政府采购工程建设项目，采用综合评估法但未采用低价优先法计算价格分的，评标时</w:t>
      </w:r>
      <w:r>
        <w:rPr>
          <w:rFonts w:hint="eastAsia" w:ascii="宋体" w:hAnsi="宋体"/>
          <w:szCs w:val="21"/>
          <w:lang w:val="en-US" w:eastAsia="zh-CN"/>
        </w:rPr>
        <w:t>应当在采用原报价进行评分的基础上增加其价格得分的3%-5%作为其价格得分。</w:t>
      </w:r>
      <w:r>
        <w:rPr>
          <w:rFonts w:hint="eastAsia" w:ascii="宋体" w:hAnsi="宋体"/>
          <w:szCs w:val="21"/>
        </w:rPr>
        <w:t>具体比例见评分表（如有）。</w:t>
      </w:r>
    </w:p>
    <w:p>
      <w:pPr>
        <w:spacing w:line="360" w:lineRule="auto"/>
        <w:ind w:firstLine="420" w:firstLineChars="200"/>
        <w:rPr>
          <w:rFonts w:hint="eastAsia" w:ascii="宋体" w:hAnsi="宋体" w:eastAsia="宋体" w:cs="Times New Roman"/>
          <w:szCs w:val="21"/>
        </w:rPr>
      </w:pPr>
      <w:r>
        <w:rPr>
          <w:rFonts w:hint="eastAsia" w:ascii="宋体" w:hAnsi="宋体"/>
          <w:szCs w:val="21"/>
        </w:rPr>
        <w:t>9.3.4 根据《财政部司法部关于政府采购支持监狱企业发展有关问题的通知》（财库[2014]68号）规定，监狱</w:t>
      </w:r>
      <w:r>
        <w:rPr>
          <w:rFonts w:hint="eastAsia" w:ascii="宋体" w:hAnsi="宋体" w:eastAsia="宋体" w:cs="Times New Roman"/>
          <w:szCs w:val="21"/>
        </w:rPr>
        <w:t>企业视同小型、微型企业。监狱企业参加政府采购活动时，应当提供由省级及以上监狱管理局、戒毒管理局（含新疆生产建设兵团）出具的属于监狱企业的证明文件。</w:t>
      </w:r>
    </w:p>
    <w:p>
      <w:pPr>
        <w:spacing w:line="360" w:lineRule="auto"/>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9.3.5</w:t>
      </w:r>
      <w:r>
        <w:rPr>
          <w:rFonts w:hint="eastAsia" w:ascii="宋体" w:hAnsi="宋体" w:eastAsia="宋体" w:cs="Times New Roman"/>
          <w:szCs w:val="21"/>
        </w:rPr>
        <w:t>根据《关于促进残疾人就业政府采购政策的通知》（财库[2017]141号）规定，残疾人福利性单位视同小型、微型企业。符合条件的残疾人福利性单位在参加政府采购活动时，应当在投标文件中提供通知规定的《残疾人福利性单位声明函》，并对声明的真实性负责。</w:t>
      </w:r>
    </w:p>
    <w:p>
      <w:pPr>
        <w:widowControl w:val="0"/>
        <w:spacing w:line="336" w:lineRule="auto"/>
        <w:ind w:firstLine="420"/>
        <w:rPr>
          <w:rFonts w:hint="eastAsia"/>
        </w:rPr>
      </w:pPr>
      <w:r>
        <w:rPr>
          <w:rFonts w:hint="eastAsia" w:ascii="宋体" w:hAnsi="宋体"/>
          <w:szCs w:val="21"/>
        </w:rPr>
        <w:t xml:space="preserve">9.3.5 </w:t>
      </w:r>
      <w:r>
        <w:rPr>
          <w:rFonts w:hint="eastAsia" w:ascii="宋体" w:hAnsi="宋体" w:cs="宋体"/>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w:t>
      </w:r>
      <w:r>
        <w:rPr>
          <w:rFonts w:hint="eastAsia" w:ascii="宋体" w:hAnsi="宋体" w:cs="宋体"/>
          <w:szCs w:val="21"/>
          <w:highlight w:val="none"/>
          <w:lang w:val="en-US" w:eastAsia="zh-CN"/>
        </w:rPr>
        <w:t>-3%</w:t>
      </w:r>
      <w:r>
        <w:rPr>
          <w:rFonts w:hint="eastAsia" w:ascii="宋体" w:hAnsi="宋体" w:cs="宋体"/>
          <w:szCs w:val="21"/>
          <w:highlight w:val="none"/>
        </w:rPr>
        <w:t>（工程项目为1%</w:t>
      </w:r>
      <w:r>
        <w:rPr>
          <w:rFonts w:hint="eastAsia" w:ascii="宋体" w:hAnsi="宋体" w:cs="宋体"/>
          <w:szCs w:val="21"/>
          <w:highlight w:val="none"/>
          <w:lang w:val="en-US" w:eastAsia="zh-CN"/>
        </w:rPr>
        <w:t>-2%</w:t>
      </w:r>
      <w:r>
        <w:rPr>
          <w:rFonts w:hint="eastAsia" w:ascii="宋体" w:hAnsi="宋体" w:cs="宋体"/>
          <w:szCs w:val="21"/>
          <w:highlight w:val="none"/>
        </w:rPr>
        <w:t>）的扣除，用扣除后的价格参加评审。适用招标投标法的政府采购工程建设项目，采用综合评估法但未采用低价优先法计算价格分的，评标时应当在采用原报价进行评分的基础上增加其价格得分的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widowControl w:val="0"/>
        <w:spacing w:line="336" w:lineRule="auto"/>
        <w:ind w:firstLine="420"/>
        <w:rPr>
          <w:rFonts w:hint="eastAsia" w:ascii="宋体" w:hAnsi="宋体" w:cs="宋体"/>
          <w:szCs w:val="21"/>
          <w:highlight w:val="none"/>
        </w:rPr>
      </w:pPr>
      <w:r>
        <w:rPr>
          <w:rFonts w:hint="eastAsia" w:ascii="宋体" w:hAnsi="宋体"/>
          <w:szCs w:val="21"/>
        </w:rPr>
        <w:t xml:space="preserve">9.3.6 </w:t>
      </w:r>
      <w:r>
        <w:rPr>
          <w:rFonts w:hint="eastAsia" w:ascii="宋体" w:hAnsi="宋体" w:cs="宋体"/>
          <w:szCs w:val="21"/>
          <w:highlight w:val="none"/>
        </w:rPr>
        <w:t>按规定享受扶持政策获得政府采购合同的，小微企业不得将合同分包给大中型企业，中型企业不得将合同分包给大型企业。</w:t>
      </w:r>
    </w:p>
    <w:p>
      <w:pPr>
        <w:pStyle w:val="7"/>
        <w:snapToGrid w:val="0"/>
        <w:spacing w:line="360" w:lineRule="auto"/>
        <w:ind w:firstLine="420"/>
        <w:rPr>
          <w:rFonts w:hint="eastAsia" w:ascii="宋体" w:hAnsi="宋体"/>
          <w:szCs w:val="21"/>
        </w:rPr>
      </w:pPr>
      <w:r>
        <w:rPr>
          <w:rFonts w:hint="eastAsia" w:hAnsi="宋体" w:cs="宋体"/>
          <w:szCs w:val="21"/>
          <w:highlight w:val="none"/>
          <w:lang w:val="en-US" w:eastAsia="zh-CN"/>
        </w:rPr>
        <w:t>9.3.7鼓励各地区、各部门在采购活动中允许中小企业引入信用担保手段，为中小企业在投标（响应）保证、履约保证等方面提供专业化服务。鼓励中小企业依法合规通过政府采购合同融资。</w:t>
      </w:r>
    </w:p>
    <w:p>
      <w:pPr>
        <w:spacing w:line="420" w:lineRule="exact"/>
        <w:ind w:firstLine="420" w:firstLineChars="200"/>
        <w:rPr>
          <w:rFonts w:hint="eastAsia" w:hAnsi="宋体" w:cs="宋体"/>
          <w:szCs w:val="21"/>
          <w:highlight w:val="none"/>
        </w:rPr>
      </w:pPr>
      <w:r>
        <w:rPr>
          <w:rFonts w:hint="eastAsia" w:ascii="宋体" w:hAnsi="宋体"/>
          <w:szCs w:val="21"/>
        </w:rPr>
        <w:t>9.3.</w:t>
      </w:r>
      <w:r>
        <w:rPr>
          <w:rFonts w:hint="eastAsia" w:ascii="宋体" w:hAnsi="宋体"/>
          <w:szCs w:val="21"/>
          <w:lang w:val="en-US" w:eastAsia="zh-CN"/>
        </w:rPr>
        <w:t>8</w:t>
      </w:r>
      <w:r>
        <w:rPr>
          <w:rFonts w:hint="eastAsia" w:hAnsi="宋体" w:cs="宋体"/>
          <w:szCs w:val="21"/>
          <w:highlight w:val="none"/>
        </w:rPr>
        <w:t>供应商按照《政府采购促进中小企业发展管理办法》（财库﹝2020﹞46号）规定提供声明函内容不实的，属于提供虚假材料谋取中标、成交，依照《中华人民共和国政府采购法》等国家有关规定追究相应责任。</w:t>
      </w:r>
    </w:p>
    <w:p>
      <w:pPr>
        <w:spacing w:line="420" w:lineRule="exact"/>
        <w:ind w:firstLine="420" w:firstLineChars="200"/>
        <w:rPr>
          <w:rFonts w:hint="eastAsia" w:ascii="黑体" w:hAnsi="黑体" w:eastAsia="黑体"/>
          <w:szCs w:val="24"/>
        </w:rPr>
      </w:pPr>
      <w:r>
        <w:rPr>
          <w:rFonts w:hint="eastAsia" w:ascii="黑体" w:hAnsi="黑体" w:eastAsia="黑体"/>
          <w:szCs w:val="24"/>
        </w:rPr>
        <w:t>10. 质疑和投诉</w:t>
      </w:r>
    </w:p>
    <w:p>
      <w:pPr>
        <w:spacing w:line="360" w:lineRule="auto"/>
        <w:ind w:firstLine="420" w:firstLineChars="200"/>
        <w:rPr>
          <w:rFonts w:hint="eastAsia" w:ascii="宋体" w:hAnsi="宋体"/>
          <w:szCs w:val="21"/>
        </w:rPr>
      </w:pPr>
      <w:r>
        <w:rPr>
          <w:rFonts w:hint="eastAsia" w:ascii="宋体" w:hAnsi="宋体"/>
          <w:szCs w:val="21"/>
        </w:rPr>
        <w:t>10.1 供应商认为采购文件、招标过程或中标结果使自己的合法权益受到损害的，应当在知道或者应知其权益受到损害之日起七个工作日内，以书面形式向采购人、采购代理机构提出质疑。供应商对招标采购单位的质疑答复不满意或者招标采购单位未在规定时间内作出答复的，可以在答复期满后十五个工作日内向同级采购监管部门投诉。</w:t>
      </w:r>
    </w:p>
    <w:p>
      <w:pPr>
        <w:spacing w:line="360" w:lineRule="auto"/>
        <w:ind w:firstLine="420" w:firstLineChars="200"/>
        <w:rPr>
          <w:rFonts w:hint="eastAsia" w:ascii="宋体" w:hAnsi="宋体"/>
          <w:szCs w:val="21"/>
        </w:rPr>
      </w:pPr>
      <w:r>
        <w:rPr>
          <w:rFonts w:hint="eastAsia" w:ascii="宋体" w:hAnsi="宋体"/>
          <w:szCs w:val="21"/>
        </w:rPr>
        <w:t>10.2提出质疑的供应商应当是参与所质疑项目采购活动的供应商，</w:t>
      </w:r>
    </w:p>
    <w:p>
      <w:pPr>
        <w:spacing w:line="360" w:lineRule="auto"/>
        <w:ind w:firstLine="420" w:firstLineChars="200"/>
        <w:rPr>
          <w:rFonts w:hint="eastAsia" w:ascii="宋体" w:hAnsi="宋体"/>
          <w:szCs w:val="21"/>
        </w:rPr>
      </w:pPr>
      <w:r>
        <w:rPr>
          <w:rFonts w:hint="eastAsia" w:ascii="宋体" w:hAnsi="宋体"/>
          <w:szCs w:val="21"/>
          <w:lang w:val="en-US" w:eastAsia="zh-CN"/>
        </w:rPr>
        <w:t>10.3</w:t>
      </w:r>
      <w:r>
        <w:rPr>
          <w:rFonts w:hint="eastAsia" w:ascii="宋体" w:hAnsi="宋体"/>
          <w:szCs w:val="21"/>
        </w:rPr>
        <w:t>供应商应在法定质疑期内一次性提出针对同一采购程序环节的质疑。</w:t>
      </w:r>
    </w:p>
    <w:p>
      <w:pPr>
        <w:spacing w:line="360" w:lineRule="auto"/>
        <w:ind w:firstLine="420" w:firstLineChars="200"/>
        <w:rPr>
          <w:rFonts w:hint="eastAsia" w:ascii="宋体" w:hAnsi="宋体"/>
          <w:szCs w:val="21"/>
        </w:rPr>
      </w:pPr>
      <w:r>
        <w:rPr>
          <w:rFonts w:hint="eastAsia" w:ascii="宋体" w:hAnsi="宋体"/>
          <w:szCs w:val="21"/>
        </w:rPr>
        <w:t>10.</w:t>
      </w:r>
      <w:r>
        <w:rPr>
          <w:rFonts w:hint="eastAsia" w:ascii="宋体" w:hAnsi="宋体"/>
          <w:szCs w:val="21"/>
          <w:lang w:val="en-US" w:eastAsia="zh-CN"/>
        </w:rPr>
        <w:t>4</w:t>
      </w:r>
      <w:r>
        <w:rPr>
          <w:rFonts w:hint="eastAsia" w:ascii="宋体" w:hAnsi="宋体"/>
          <w:szCs w:val="21"/>
        </w:rPr>
        <w:t>潜在供应商已依法获取其可质疑的采购文件的，可以对该文件提出质疑。对采购文件提出质疑的，应当在获取采购文件或者采购文件公告期限届满之日起7个工作日内提出。</w:t>
      </w:r>
    </w:p>
    <w:p>
      <w:pPr>
        <w:spacing w:line="360" w:lineRule="auto"/>
        <w:ind w:firstLine="420" w:firstLineChars="200"/>
        <w:rPr>
          <w:rFonts w:hint="eastAsia" w:ascii="宋体" w:hAnsi="宋体"/>
          <w:szCs w:val="21"/>
        </w:rPr>
      </w:pPr>
      <w:r>
        <w:rPr>
          <w:rFonts w:hint="eastAsia" w:ascii="宋体" w:hAnsi="宋体"/>
          <w:szCs w:val="21"/>
        </w:rPr>
        <w:t>10.</w:t>
      </w:r>
      <w:r>
        <w:rPr>
          <w:rFonts w:hint="eastAsia" w:ascii="宋体" w:hAnsi="宋体"/>
          <w:szCs w:val="21"/>
          <w:lang w:val="en-US" w:eastAsia="zh-CN"/>
        </w:rPr>
        <w:t>5</w:t>
      </w:r>
      <w:r>
        <w:rPr>
          <w:rFonts w:hint="eastAsia" w:ascii="宋体" w:hAnsi="宋体"/>
          <w:szCs w:val="21"/>
        </w:rPr>
        <w:t>质疑、投诉应当采用书面形式，质疑书、投诉书均应明确阐述采购文件、招标过程或中标结果中使自己合法权益受到损害的实质性内容，提供相关事实、依据和证明文件或线索，便于有关单位调查、答复和处理。</w:t>
      </w:r>
    </w:p>
    <w:p>
      <w:pPr>
        <w:spacing w:line="420" w:lineRule="exact"/>
        <w:rPr>
          <w:rFonts w:hint="eastAsia" w:ascii="宋体" w:hAnsi="宋体"/>
          <w:szCs w:val="21"/>
        </w:rPr>
      </w:pPr>
    </w:p>
    <w:p>
      <w:pPr>
        <w:tabs>
          <w:tab w:val="left" w:pos="0"/>
        </w:tabs>
        <w:spacing w:line="420" w:lineRule="exact"/>
        <w:rPr>
          <w:rFonts w:ascii="宋体" w:hAnsi="宋体"/>
          <w:b/>
          <w:szCs w:val="28"/>
        </w:rPr>
      </w:pPr>
    </w:p>
    <w:p>
      <w:pPr>
        <w:pStyle w:val="4"/>
        <w:widowControl w:val="0"/>
        <w:adjustRightInd w:val="0"/>
        <w:spacing w:line="240" w:lineRule="auto"/>
        <w:jc w:val="center"/>
        <w:textAlignment w:val="baseline"/>
        <w:rPr>
          <w:rFonts w:ascii="宋体" w:hAnsi="宋体" w:eastAsia="宋体"/>
          <w:b w:val="0"/>
          <w:sz w:val="28"/>
          <w:szCs w:val="28"/>
        </w:rPr>
      </w:pPr>
      <w:bookmarkStart w:id="81" w:name="_Toc14698"/>
      <w:bookmarkStart w:id="82" w:name="_Toc1311"/>
      <w:bookmarkStart w:id="83" w:name="_Toc10619"/>
      <w:bookmarkStart w:id="84" w:name="_Toc498091085"/>
      <w:bookmarkStart w:id="85" w:name="_Toc404692901"/>
      <w:r>
        <w:rPr>
          <w:rFonts w:hint="eastAsia" w:ascii="宋体" w:hAnsi="宋体" w:eastAsia="宋体"/>
          <w:b w:val="0"/>
          <w:sz w:val="28"/>
          <w:szCs w:val="28"/>
        </w:rPr>
        <w:t>三、招标文件</w:t>
      </w:r>
      <w:bookmarkEnd w:id="81"/>
      <w:bookmarkEnd w:id="82"/>
      <w:bookmarkEnd w:id="83"/>
      <w:bookmarkEnd w:id="84"/>
      <w:bookmarkEnd w:id="85"/>
    </w:p>
    <w:p>
      <w:pPr>
        <w:spacing w:line="420" w:lineRule="exact"/>
        <w:rPr>
          <w:rFonts w:ascii="宋体" w:hAnsi="宋体"/>
          <w:szCs w:val="21"/>
        </w:rPr>
      </w:pPr>
    </w:p>
    <w:p>
      <w:pPr>
        <w:spacing w:line="420" w:lineRule="exact"/>
        <w:ind w:firstLine="420" w:firstLineChars="200"/>
        <w:rPr>
          <w:rFonts w:ascii="黑体" w:hAnsi="黑体" w:eastAsia="黑体"/>
          <w:szCs w:val="21"/>
        </w:rPr>
      </w:pPr>
      <w:r>
        <w:rPr>
          <w:rFonts w:hint="eastAsia" w:ascii="黑体" w:hAnsi="黑体" w:eastAsia="黑体"/>
          <w:szCs w:val="21"/>
        </w:rPr>
        <w:t xml:space="preserve"> 11. 招标文件</w:t>
      </w:r>
    </w:p>
    <w:p>
      <w:pPr>
        <w:spacing w:line="420" w:lineRule="exact"/>
        <w:ind w:firstLine="412"/>
        <w:rPr>
          <w:rFonts w:ascii="宋体" w:hAnsi="宋体"/>
          <w:szCs w:val="21"/>
        </w:rPr>
      </w:pPr>
      <w:r>
        <w:rPr>
          <w:rFonts w:hint="eastAsia" w:ascii="宋体" w:hAnsi="宋体"/>
          <w:szCs w:val="21"/>
        </w:rPr>
        <w:t xml:space="preserve"> 11.1 招标文件包括下列内容：</w:t>
      </w:r>
    </w:p>
    <w:p>
      <w:pPr>
        <w:spacing w:line="420" w:lineRule="exact"/>
        <w:ind w:firstLine="621" w:firstLineChars="296"/>
        <w:rPr>
          <w:rFonts w:ascii="宋体" w:hAnsi="宋体"/>
          <w:szCs w:val="21"/>
        </w:rPr>
      </w:pPr>
      <w:r>
        <w:rPr>
          <w:rFonts w:hint="eastAsia" w:ascii="宋体" w:hAnsi="宋体"/>
          <w:szCs w:val="21"/>
        </w:rPr>
        <w:t>第一章  招标公告；</w:t>
      </w:r>
    </w:p>
    <w:p>
      <w:pPr>
        <w:spacing w:line="420" w:lineRule="exact"/>
        <w:ind w:firstLine="621" w:firstLineChars="296"/>
        <w:rPr>
          <w:rFonts w:ascii="宋体" w:hAnsi="宋体"/>
          <w:szCs w:val="21"/>
        </w:rPr>
      </w:pPr>
      <w:r>
        <w:rPr>
          <w:rFonts w:hint="eastAsia" w:ascii="宋体" w:hAnsi="宋体"/>
          <w:szCs w:val="21"/>
        </w:rPr>
        <w:t>第二章  投标人须知；</w:t>
      </w:r>
    </w:p>
    <w:p>
      <w:pPr>
        <w:spacing w:line="420" w:lineRule="exact"/>
        <w:ind w:firstLine="621" w:firstLineChars="296"/>
        <w:rPr>
          <w:rFonts w:ascii="宋体" w:hAnsi="宋体"/>
          <w:szCs w:val="21"/>
        </w:rPr>
      </w:pPr>
      <w:r>
        <w:rPr>
          <w:rFonts w:hint="eastAsia" w:ascii="宋体" w:hAnsi="宋体"/>
          <w:szCs w:val="21"/>
        </w:rPr>
        <w:t>第三章  项目需求说明；</w:t>
      </w:r>
    </w:p>
    <w:p>
      <w:pPr>
        <w:spacing w:line="420" w:lineRule="exact"/>
        <w:ind w:firstLine="621" w:firstLineChars="296"/>
        <w:rPr>
          <w:rFonts w:ascii="宋体" w:hAnsi="宋体"/>
          <w:szCs w:val="21"/>
        </w:rPr>
      </w:pPr>
      <w:r>
        <w:rPr>
          <w:rFonts w:hint="eastAsia" w:ascii="宋体" w:hAnsi="宋体"/>
          <w:szCs w:val="21"/>
        </w:rPr>
        <w:t>第四章  合同条款及格式；</w:t>
      </w:r>
    </w:p>
    <w:p>
      <w:pPr>
        <w:spacing w:line="420" w:lineRule="exact"/>
        <w:ind w:firstLine="621" w:firstLineChars="296"/>
        <w:rPr>
          <w:rFonts w:ascii="宋体" w:hAnsi="宋体"/>
          <w:szCs w:val="21"/>
        </w:rPr>
      </w:pPr>
      <w:r>
        <w:rPr>
          <w:rFonts w:hint="eastAsia" w:ascii="宋体" w:hAnsi="宋体"/>
          <w:szCs w:val="21"/>
        </w:rPr>
        <w:t>第五章  部分投标文件格式。</w:t>
      </w:r>
    </w:p>
    <w:p>
      <w:pPr>
        <w:spacing w:line="420" w:lineRule="exact"/>
        <w:ind w:firstLine="420"/>
        <w:rPr>
          <w:rFonts w:ascii="宋体" w:hAnsi="宋体"/>
          <w:szCs w:val="21"/>
        </w:rPr>
      </w:pPr>
      <w:r>
        <w:rPr>
          <w:rFonts w:hint="eastAsia" w:ascii="宋体" w:hAnsi="宋体"/>
          <w:szCs w:val="21"/>
        </w:rPr>
        <w:t xml:space="preserve"> 11.2 投标人应详细阅读招标文件的全部内容。不按招标文件的要求提供的投标文件和资料，则可能被视为无效标而导致投标被拒绝。</w:t>
      </w:r>
    </w:p>
    <w:p>
      <w:pPr>
        <w:spacing w:line="420" w:lineRule="exact"/>
        <w:ind w:firstLine="420"/>
        <w:rPr>
          <w:rFonts w:ascii="宋体" w:hAnsi="宋体"/>
          <w:szCs w:val="21"/>
        </w:rPr>
      </w:pPr>
      <w:r>
        <w:rPr>
          <w:rFonts w:hint="eastAsia" w:ascii="宋体" w:hAnsi="宋体"/>
          <w:szCs w:val="21"/>
        </w:rPr>
        <w:t xml:space="preserve"> 11.3集中采购机构对已发出的招标文件进行必要澄清或修改的，应在投标截止时间15日前，在发布招标公告相同网站上发布补充公告。招标文件的澄清或修改是招标文件</w:t>
      </w:r>
      <w:r>
        <w:rPr>
          <w:rFonts w:ascii="宋体" w:hAnsi="宋体"/>
          <w:szCs w:val="21"/>
        </w:rPr>
        <w:t>的组</w:t>
      </w:r>
      <w:r>
        <w:rPr>
          <w:rFonts w:hint="eastAsia" w:ascii="宋体" w:hAnsi="宋体"/>
          <w:szCs w:val="21"/>
        </w:rPr>
        <w:t>成部分，并</w:t>
      </w:r>
      <w:r>
        <w:rPr>
          <w:rFonts w:ascii="宋体" w:hAnsi="宋体"/>
          <w:szCs w:val="21"/>
        </w:rPr>
        <w:t>对</w:t>
      </w:r>
      <w:r>
        <w:rPr>
          <w:rFonts w:hint="eastAsia" w:ascii="宋体" w:hAnsi="宋体"/>
          <w:szCs w:val="21"/>
        </w:rPr>
        <w:t>所有投</w:t>
      </w:r>
      <w:r>
        <w:rPr>
          <w:rFonts w:ascii="宋体" w:hAnsi="宋体"/>
          <w:szCs w:val="21"/>
        </w:rPr>
        <w:t>标</w:t>
      </w:r>
      <w:r>
        <w:rPr>
          <w:rFonts w:hint="eastAsia" w:ascii="宋体" w:hAnsi="宋体"/>
          <w:szCs w:val="21"/>
        </w:rPr>
        <w:t>人具有</w:t>
      </w:r>
      <w:r>
        <w:rPr>
          <w:rFonts w:ascii="宋体" w:hAnsi="宋体"/>
          <w:szCs w:val="21"/>
        </w:rPr>
        <w:t>约</w:t>
      </w:r>
      <w:r>
        <w:rPr>
          <w:rFonts w:hint="eastAsia" w:ascii="宋体" w:hAnsi="宋体"/>
          <w:szCs w:val="21"/>
        </w:rPr>
        <w:t>束力。</w:t>
      </w:r>
    </w:p>
    <w:p>
      <w:pPr>
        <w:spacing w:line="420" w:lineRule="exact"/>
        <w:ind w:firstLine="420" w:firstLineChars="200"/>
        <w:rPr>
          <w:rFonts w:ascii="宋体" w:hAnsi="宋体"/>
          <w:szCs w:val="21"/>
        </w:rPr>
      </w:pPr>
      <w:r>
        <w:rPr>
          <w:rFonts w:hint="eastAsia" w:ascii="宋体" w:hAnsi="宋体"/>
          <w:szCs w:val="21"/>
        </w:rPr>
        <w:t>11.4所有投</w:t>
      </w:r>
      <w:r>
        <w:rPr>
          <w:rFonts w:ascii="宋体" w:hAnsi="宋体"/>
          <w:szCs w:val="21"/>
        </w:rPr>
        <w:t>标</w:t>
      </w:r>
      <w:r>
        <w:rPr>
          <w:rFonts w:hint="eastAsia" w:ascii="宋体" w:hAnsi="宋体"/>
          <w:szCs w:val="21"/>
        </w:rPr>
        <w:t>人（</w:t>
      </w:r>
      <w:r>
        <w:rPr>
          <w:rFonts w:hint="eastAsia" w:ascii="宋体" w:hAnsi="宋体"/>
          <w:b/>
          <w:szCs w:val="21"/>
        </w:rPr>
        <w:t>尤其是从网站自行下载招标文件的投标人</w:t>
      </w:r>
      <w:r>
        <w:rPr>
          <w:rFonts w:hint="eastAsia" w:ascii="宋体" w:hAnsi="宋体"/>
          <w:szCs w:val="21"/>
        </w:rPr>
        <w:t>）均</w:t>
      </w:r>
      <w:r>
        <w:rPr>
          <w:rFonts w:ascii="宋体" w:hAnsi="宋体"/>
          <w:szCs w:val="21"/>
        </w:rPr>
        <w:t>有义务</w:t>
      </w:r>
      <w:r>
        <w:rPr>
          <w:rFonts w:hint="eastAsia" w:ascii="宋体" w:hAnsi="宋体"/>
          <w:szCs w:val="21"/>
        </w:rPr>
        <w:t>不定期登</w:t>
      </w:r>
      <w:r>
        <w:rPr>
          <w:rFonts w:ascii="宋体" w:hAnsi="宋体"/>
          <w:szCs w:val="21"/>
        </w:rPr>
        <w:t>陆</w:t>
      </w:r>
      <w:r>
        <w:rPr>
          <w:rFonts w:hint="eastAsia" w:ascii="宋体" w:hAnsi="宋体"/>
          <w:szCs w:val="21"/>
        </w:rPr>
        <w:t>集中采</w:t>
      </w:r>
      <w:r>
        <w:rPr>
          <w:rFonts w:ascii="宋体" w:hAnsi="宋体"/>
          <w:szCs w:val="21"/>
        </w:rPr>
        <w:t>购</w:t>
      </w:r>
      <w:r>
        <w:rPr>
          <w:rFonts w:hint="eastAsia" w:ascii="宋体" w:hAnsi="宋体"/>
          <w:szCs w:val="21"/>
        </w:rPr>
        <w:t>机构公布的网站</w:t>
      </w:r>
      <w:r>
        <w:rPr>
          <w:rFonts w:ascii="宋体" w:hAnsi="宋体"/>
          <w:szCs w:val="21"/>
        </w:rPr>
        <w:t>获</w:t>
      </w:r>
      <w:r>
        <w:rPr>
          <w:rFonts w:hint="eastAsia" w:ascii="宋体" w:hAnsi="宋体"/>
          <w:szCs w:val="21"/>
        </w:rPr>
        <w:t>取相</w:t>
      </w:r>
      <w:r>
        <w:rPr>
          <w:rFonts w:ascii="宋体" w:hAnsi="宋体"/>
          <w:szCs w:val="21"/>
        </w:rPr>
        <w:t>关</w:t>
      </w:r>
      <w:r>
        <w:rPr>
          <w:rFonts w:hint="eastAsia" w:ascii="宋体" w:hAnsi="宋体"/>
          <w:szCs w:val="21"/>
        </w:rPr>
        <w:t>信息，集中采</w:t>
      </w:r>
      <w:r>
        <w:rPr>
          <w:rFonts w:ascii="宋体" w:hAnsi="宋体"/>
          <w:szCs w:val="21"/>
        </w:rPr>
        <w:t>购</w:t>
      </w:r>
      <w:r>
        <w:rPr>
          <w:rFonts w:hint="eastAsia" w:ascii="宋体" w:hAnsi="宋体"/>
          <w:szCs w:val="21"/>
        </w:rPr>
        <w:t>机构</w:t>
      </w:r>
      <w:r>
        <w:rPr>
          <w:rFonts w:ascii="宋体" w:hAnsi="宋体"/>
          <w:szCs w:val="21"/>
        </w:rPr>
        <w:t>发</w:t>
      </w:r>
      <w:r>
        <w:rPr>
          <w:rFonts w:hint="eastAsia" w:ascii="宋体" w:hAnsi="宋体"/>
          <w:szCs w:val="21"/>
        </w:rPr>
        <w:t>布在网站的补充公告</w:t>
      </w:r>
      <w:r>
        <w:rPr>
          <w:rFonts w:ascii="宋体" w:hAnsi="宋体"/>
          <w:szCs w:val="21"/>
        </w:rPr>
        <w:t>视为已</w:t>
      </w:r>
      <w:r>
        <w:rPr>
          <w:rFonts w:hint="eastAsia" w:ascii="宋体" w:hAnsi="宋体"/>
          <w:szCs w:val="21"/>
        </w:rPr>
        <w:t>送</w:t>
      </w:r>
      <w:r>
        <w:rPr>
          <w:rFonts w:ascii="宋体" w:hAnsi="宋体"/>
          <w:szCs w:val="21"/>
        </w:rPr>
        <w:t>达各</w:t>
      </w:r>
      <w:r>
        <w:rPr>
          <w:rFonts w:hint="eastAsia" w:ascii="宋体" w:hAnsi="宋体"/>
          <w:szCs w:val="21"/>
        </w:rPr>
        <w:t>投</w:t>
      </w:r>
      <w:r>
        <w:rPr>
          <w:rFonts w:ascii="宋体" w:hAnsi="宋体"/>
          <w:szCs w:val="21"/>
        </w:rPr>
        <w:t>标</w:t>
      </w:r>
      <w:r>
        <w:rPr>
          <w:rFonts w:hint="eastAsia" w:ascii="宋体" w:hAnsi="宋体"/>
          <w:szCs w:val="21"/>
        </w:rPr>
        <w:t>人且</w:t>
      </w:r>
      <w:r>
        <w:rPr>
          <w:rFonts w:ascii="宋体" w:hAnsi="宋体"/>
          <w:szCs w:val="21"/>
        </w:rPr>
        <w:t>已为</w:t>
      </w:r>
      <w:r>
        <w:rPr>
          <w:rFonts w:hint="eastAsia" w:ascii="宋体" w:hAnsi="宋体"/>
          <w:szCs w:val="21"/>
        </w:rPr>
        <w:t>各投</w:t>
      </w:r>
      <w:r>
        <w:rPr>
          <w:rFonts w:ascii="宋体" w:hAnsi="宋体"/>
          <w:szCs w:val="21"/>
        </w:rPr>
        <w:t>标</w:t>
      </w:r>
      <w:r>
        <w:rPr>
          <w:rFonts w:hint="eastAsia" w:ascii="宋体" w:hAnsi="宋体"/>
          <w:szCs w:val="21"/>
        </w:rPr>
        <w:t>人知悉，</w:t>
      </w:r>
      <w:r>
        <w:rPr>
          <w:rFonts w:ascii="宋体" w:hAnsi="宋体"/>
          <w:szCs w:val="21"/>
        </w:rPr>
        <w:t>请</w:t>
      </w:r>
      <w:r>
        <w:rPr>
          <w:rFonts w:hint="eastAsia" w:ascii="宋体" w:hAnsi="宋体"/>
          <w:szCs w:val="21"/>
        </w:rPr>
        <w:t>各投</w:t>
      </w:r>
      <w:r>
        <w:rPr>
          <w:rFonts w:ascii="宋体" w:hAnsi="宋体"/>
          <w:szCs w:val="21"/>
        </w:rPr>
        <w:t>标</w:t>
      </w:r>
      <w:r>
        <w:rPr>
          <w:rFonts w:hint="eastAsia" w:ascii="宋体" w:hAnsi="宋体"/>
          <w:szCs w:val="21"/>
        </w:rPr>
        <w:t>人密切</w:t>
      </w:r>
      <w:r>
        <w:rPr>
          <w:rFonts w:ascii="宋体" w:hAnsi="宋体"/>
          <w:szCs w:val="21"/>
        </w:rPr>
        <w:t>关</w:t>
      </w:r>
      <w:r>
        <w:rPr>
          <w:rFonts w:hint="eastAsia" w:ascii="宋体" w:hAnsi="宋体"/>
          <w:szCs w:val="21"/>
        </w:rPr>
        <w:t>注。</w:t>
      </w:r>
    </w:p>
    <w:p>
      <w:pPr>
        <w:spacing w:line="420" w:lineRule="exact"/>
        <w:ind w:firstLine="420"/>
        <w:rPr>
          <w:rFonts w:ascii="宋体" w:hAnsi="宋体"/>
          <w:szCs w:val="21"/>
        </w:rPr>
      </w:pPr>
    </w:p>
    <w:p>
      <w:pPr>
        <w:pStyle w:val="4"/>
        <w:widowControl w:val="0"/>
        <w:adjustRightInd w:val="0"/>
        <w:spacing w:line="240" w:lineRule="auto"/>
        <w:jc w:val="center"/>
        <w:textAlignment w:val="baseline"/>
        <w:rPr>
          <w:rFonts w:ascii="宋体" w:hAnsi="宋体" w:eastAsia="宋体"/>
          <w:b w:val="0"/>
          <w:sz w:val="28"/>
          <w:szCs w:val="28"/>
        </w:rPr>
      </w:pPr>
      <w:bookmarkStart w:id="86" w:name="_Toc31718"/>
      <w:bookmarkStart w:id="87" w:name="_Toc498091086"/>
      <w:bookmarkStart w:id="88" w:name="_Toc404692902"/>
      <w:bookmarkStart w:id="89" w:name="_Toc14403"/>
      <w:bookmarkStart w:id="90" w:name="_Toc23544"/>
      <w:r>
        <w:rPr>
          <w:rFonts w:hint="eastAsia" w:ascii="宋体" w:hAnsi="宋体" w:eastAsia="宋体"/>
          <w:b w:val="0"/>
          <w:sz w:val="28"/>
          <w:szCs w:val="28"/>
        </w:rPr>
        <w:t>四、投标文件</w:t>
      </w:r>
      <w:bookmarkEnd w:id="86"/>
      <w:bookmarkEnd w:id="87"/>
      <w:bookmarkEnd w:id="88"/>
      <w:bookmarkEnd w:id="89"/>
      <w:bookmarkEnd w:id="90"/>
    </w:p>
    <w:p>
      <w:pPr>
        <w:spacing w:line="420" w:lineRule="exact"/>
        <w:rPr>
          <w:rFonts w:ascii="宋体" w:hAnsi="宋体"/>
          <w:b/>
          <w:szCs w:val="21"/>
        </w:rPr>
      </w:pPr>
      <w:r>
        <w:rPr>
          <w:rFonts w:hint="eastAsia" w:ascii="宋体" w:hAnsi="宋体"/>
          <w:b/>
          <w:szCs w:val="21"/>
        </w:rPr>
        <w:t xml:space="preserve">    </w:t>
      </w:r>
    </w:p>
    <w:p>
      <w:pPr>
        <w:spacing w:line="420" w:lineRule="exact"/>
        <w:ind w:firstLine="420" w:firstLineChars="200"/>
        <w:rPr>
          <w:rFonts w:ascii="黑体" w:hAnsi="黑体" w:eastAsia="黑体"/>
          <w:szCs w:val="21"/>
        </w:rPr>
      </w:pPr>
      <w:r>
        <w:rPr>
          <w:rFonts w:hint="eastAsia" w:ascii="黑体" w:hAnsi="黑体" w:eastAsia="黑体"/>
          <w:szCs w:val="21"/>
        </w:rPr>
        <w:t>12. 投标文件语言和计量单位</w:t>
      </w:r>
    </w:p>
    <w:p>
      <w:pPr>
        <w:spacing w:line="420" w:lineRule="exact"/>
        <w:rPr>
          <w:rFonts w:ascii="宋体" w:hAnsi="宋体"/>
          <w:szCs w:val="21"/>
        </w:rPr>
      </w:pPr>
      <w:r>
        <w:rPr>
          <w:rFonts w:hint="eastAsia" w:ascii="宋体" w:hAnsi="宋体"/>
          <w:szCs w:val="21"/>
        </w:rPr>
        <w:t xml:space="preserve">    12.1 投标文件应用中文书写。投标文件中所附或所引用的原件不是中文时，应附中文译本。在此，为了解释投标文件，应以中文为准。</w:t>
      </w:r>
    </w:p>
    <w:p>
      <w:pPr>
        <w:spacing w:line="420" w:lineRule="exact"/>
        <w:ind w:firstLine="411"/>
        <w:rPr>
          <w:rFonts w:ascii="宋体" w:hAnsi="宋体"/>
          <w:szCs w:val="21"/>
        </w:rPr>
      </w:pPr>
      <w:r>
        <w:rPr>
          <w:rFonts w:hint="eastAsia" w:ascii="宋体" w:hAnsi="宋体"/>
          <w:szCs w:val="21"/>
        </w:rPr>
        <w:t>12.2 投标文件中所使用的计量单位，除招标文件中有特殊要求外，应采用国家法定计量单位。</w:t>
      </w:r>
    </w:p>
    <w:p>
      <w:pPr>
        <w:spacing w:line="420" w:lineRule="exact"/>
        <w:ind w:firstLine="420" w:firstLineChars="200"/>
        <w:rPr>
          <w:rFonts w:ascii="黑体" w:hAnsi="黑体" w:eastAsia="黑体"/>
          <w:szCs w:val="21"/>
        </w:rPr>
      </w:pPr>
      <w:r>
        <w:rPr>
          <w:rFonts w:hint="eastAsia" w:ascii="黑体" w:hAnsi="黑体" w:eastAsia="黑体"/>
          <w:szCs w:val="21"/>
        </w:rPr>
        <w:t>13.投</w:t>
      </w:r>
      <w:r>
        <w:rPr>
          <w:rFonts w:ascii="黑体" w:hAnsi="黑体" w:eastAsia="黑体"/>
          <w:szCs w:val="21"/>
        </w:rPr>
        <w:t>标</w:t>
      </w:r>
      <w:r>
        <w:rPr>
          <w:rFonts w:hint="eastAsia" w:ascii="黑体" w:hAnsi="黑体" w:eastAsia="黑体"/>
          <w:szCs w:val="21"/>
        </w:rPr>
        <w:t>文件</w:t>
      </w:r>
      <w:r>
        <w:rPr>
          <w:rFonts w:ascii="黑体" w:hAnsi="黑体" w:eastAsia="黑体"/>
          <w:szCs w:val="21"/>
        </w:rPr>
        <w:t>编</w:t>
      </w:r>
      <w:r>
        <w:rPr>
          <w:rFonts w:hint="eastAsia" w:ascii="黑体" w:hAnsi="黑体" w:eastAsia="黑体"/>
          <w:szCs w:val="21"/>
        </w:rPr>
        <w:t>制的要求</w:t>
      </w:r>
    </w:p>
    <w:p>
      <w:pPr>
        <w:spacing w:line="420" w:lineRule="exact"/>
        <w:ind w:firstLine="420" w:firstLineChars="200"/>
        <w:rPr>
          <w:rFonts w:ascii="宋体" w:hAnsi="宋体"/>
          <w:szCs w:val="21"/>
        </w:rPr>
      </w:pPr>
      <w:r>
        <w:rPr>
          <w:rFonts w:hint="eastAsia" w:ascii="宋体" w:hAnsi="宋体"/>
          <w:szCs w:val="21"/>
        </w:rPr>
        <w:t>13</w:t>
      </w:r>
      <w:r>
        <w:rPr>
          <w:rFonts w:ascii="宋体" w:hAnsi="宋体"/>
          <w:szCs w:val="21"/>
        </w:rPr>
        <w:t>.1</w:t>
      </w:r>
      <w:r>
        <w:rPr>
          <w:rFonts w:ascii="宋体" w:hAnsi="宋体"/>
          <w:b/>
          <w:szCs w:val="21"/>
        </w:rPr>
        <w:t xml:space="preserve"> </w:t>
      </w:r>
      <w:r>
        <w:rPr>
          <w:rFonts w:hint="eastAsia" w:ascii="宋体" w:hAnsi="宋体"/>
          <w:b/>
          <w:szCs w:val="21"/>
        </w:rPr>
        <w:t>投</w:t>
      </w:r>
      <w:r>
        <w:rPr>
          <w:rFonts w:ascii="宋体" w:hAnsi="宋体"/>
          <w:b/>
          <w:szCs w:val="21"/>
        </w:rPr>
        <w:t>标</w:t>
      </w:r>
      <w:r>
        <w:rPr>
          <w:rFonts w:hint="eastAsia" w:ascii="宋体" w:hAnsi="宋体"/>
          <w:b/>
          <w:szCs w:val="21"/>
        </w:rPr>
        <w:t>人</w:t>
      </w:r>
      <w:r>
        <w:rPr>
          <w:rFonts w:ascii="宋体" w:hAnsi="宋体"/>
          <w:b/>
          <w:szCs w:val="21"/>
        </w:rPr>
        <w:t>应认</w:t>
      </w:r>
      <w:r>
        <w:rPr>
          <w:rFonts w:hint="eastAsia" w:ascii="宋体" w:hAnsi="宋体"/>
          <w:b/>
          <w:szCs w:val="21"/>
        </w:rPr>
        <w:t>真</w:t>
      </w:r>
      <w:r>
        <w:rPr>
          <w:rFonts w:ascii="宋体" w:hAnsi="宋体"/>
          <w:b/>
          <w:szCs w:val="21"/>
        </w:rPr>
        <w:t>阅读</w:t>
      </w:r>
      <w:r>
        <w:rPr>
          <w:rFonts w:hint="eastAsia" w:ascii="宋体" w:hAnsi="宋体"/>
          <w:b/>
          <w:szCs w:val="21"/>
        </w:rPr>
        <w:t>招标文件中所有的事</w:t>
      </w:r>
      <w:r>
        <w:rPr>
          <w:rFonts w:ascii="宋体" w:hAnsi="宋体"/>
          <w:b/>
          <w:szCs w:val="21"/>
        </w:rPr>
        <w:t>项</w:t>
      </w:r>
      <w:r>
        <w:rPr>
          <w:rFonts w:hint="eastAsia" w:ascii="宋体" w:hAnsi="宋体"/>
          <w:b/>
          <w:szCs w:val="21"/>
        </w:rPr>
        <w:t>、格式、</w:t>
      </w:r>
      <w:r>
        <w:rPr>
          <w:rFonts w:ascii="宋体" w:hAnsi="宋体"/>
          <w:b/>
          <w:szCs w:val="21"/>
        </w:rPr>
        <w:t>条</w:t>
      </w:r>
      <w:r>
        <w:rPr>
          <w:rFonts w:hint="eastAsia" w:ascii="宋体" w:hAnsi="宋体"/>
          <w:b/>
          <w:szCs w:val="21"/>
        </w:rPr>
        <w:t>款等要求，按要求</w:t>
      </w:r>
      <w:r>
        <w:rPr>
          <w:rFonts w:ascii="宋体" w:hAnsi="宋体"/>
          <w:b/>
          <w:szCs w:val="21"/>
        </w:rPr>
        <w:t>编</w:t>
      </w:r>
      <w:r>
        <w:rPr>
          <w:rFonts w:hint="eastAsia" w:ascii="宋体" w:hAnsi="宋体"/>
          <w:b/>
          <w:szCs w:val="21"/>
        </w:rPr>
        <w:t>制投</w:t>
      </w:r>
      <w:r>
        <w:rPr>
          <w:rFonts w:ascii="宋体" w:hAnsi="宋体"/>
          <w:b/>
          <w:szCs w:val="21"/>
        </w:rPr>
        <w:t>标</w:t>
      </w:r>
      <w:r>
        <w:rPr>
          <w:rFonts w:hint="eastAsia" w:ascii="宋体" w:hAnsi="宋体"/>
          <w:b/>
          <w:szCs w:val="21"/>
        </w:rPr>
        <w:t>文件。</w:t>
      </w:r>
    </w:p>
    <w:p>
      <w:pPr>
        <w:spacing w:line="420" w:lineRule="exact"/>
        <w:ind w:firstLine="420" w:firstLineChars="200"/>
        <w:rPr>
          <w:rFonts w:hint="eastAsia" w:ascii="宋体" w:hAnsi="宋体"/>
          <w:szCs w:val="21"/>
        </w:rPr>
      </w:pPr>
      <w:r>
        <w:rPr>
          <w:rFonts w:hint="eastAsia" w:ascii="宋体" w:hAnsi="宋体"/>
          <w:szCs w:val="21"/>
        </w:rPr>
        <w:t>13</w:t>
      </w:r>
      <w:r>
        <w:rPr>
          <w:rFonts w:ascii="宋体" w:hAnsi="宋体"/>
          <w:szCs w:val="21"/>
        </w:rPr>
        <w:t xml:space="preserve">.2 </w:t>
      </w:r>
      <w:r>
        <w:rPr>
          <w:rFonts w:hint="eastAsia" w:ascii="宋体" w:hAnsi="宋体"/>
          <w:szCs w:val="21"/>
        </w:rPr>
        <w:t>投</w:t>
      </w:r>
      <w:r>
        <w:rPr>
          <w:rFonts w:ascii="宋体" w:hAnsi="宋体"/>
          <w:szCs w:val="21"/>
        </w:rPr>
        <w:t>标</w:t>
      </w:r>
      <w:r>
        <w:rPr>
          <w:rFonts w:hint="eastAsia" w:ascii="宋体" w:hAnsi="宋体"/>
          <w:szCs w:val="21"/>
        </w:rPr>
        <w:t>文件</w:t>
      </w:r>
      <w:r>
        <w:rPr>
          <w:rFonts w:ascii="宋体" w:hAnsi="宋体"/>
          <w:szCs w:val="21"/>
        </w:rPr>
        <w:t>应</w:t>
      </w:r>
      <w:r>
        <w:rPr>
          <w:rFonts w:hint="eastAsia" w:ascii="宋体" w:hAnsi="宋体"/>
          <w:szCs w:val="21"/>
        </w:rPr>
        <w:t>字</w:t>
      </w:r>
      <w:r>
        <w:rPr>
          <w:rFonts w:ascii="宋体" w:hAnsi="宋体"/>
          <w:szCs w:val="21"/>
        </w:rPr>
        <w:t>迹</w:t>
      </w:r>
      <w:r>
        <w:rPr>
          <w:rFonts w:hint="eastAsia" w:ascii="宋体" w:hAnsi="宋体"/>
          <w:szCs w:val="21"/>
        </w:rPr>
        <w:t>清楚，</w:t>
      </w:r>
      <w:r>
        <w:rPr>
          <w:rFonts w:ascii="宋体" w:hAnsi="宋体"/>
          <w:szCs w:val="21"/>
        </w:rPr>
        <w:t>内</w:t>
      </w:r>
      <w:r>
        <w:rPr>
          <w:rFonts w:hint="eastAsia" w:ascii="宋体" w:hAnsi="宋体"/>
          <w:szCs w:val="21"/>
        </w:rPr>
        <w:t>容</w:t>
      </w:r>
      <w:r>
        <w:rPr>
          <w:rFonts w:ascii="宋体" w:hAnsi="宋体"/>
          <w:szCs w:val="21"/>
        </w:rPr>
        <w:t>齐</w:t>
      </w:r>
      <w:r>
        <w:rPr>
          <w:rFonts w:hint="eastAsia" w:ascii="宋体" w:hAnsi="宋体"/>
          <w:szCs w:val="21"/>
        </w:rPr>
        <w:t>全，不得涂改和增</w:t>
      </w:r>
      <w:r>
        <w:rPr>
          <w:rFonts w:ascii="宋体" w:hAnsi="宋体"/>
          <w:szCs w:val="21"/>
        </w:rPr>
        <w:t>删。</w:t>
      </w:r>
      <w:r>
        <w:rPr>
          <w:rFonts w:hint="eastAsia" w:ascii="宋体" w:hAnsi="宋体"/>
          <w:szCs w:val="21"/>
        </w:rPr>
        <w:t>如有修改</w:t>
      </w:r>
      <w:r>
        <w:rPr>
          <w:rFonts w:ascii="宋体" w:hAnsi="宋体"/>
          <w:szCs w:val="21"/>
        </w:rPr>
        <w:t>错漏处</w:t>
      </w:r>
      <w:r>
        <w:rPr>
          <w:rFonts w:hint="eastAsia" w:ascii="宋体" w:hAnsi="宋体"/>
          <w:szCs w:val="21"/>
        </w:rPr>
        <w:t>，必</w:t>
      </w:r>
      <w:r>
        <w:rPr>
          <w:rFonts w:ascii="宋体" w:hAnsi="宋体"/>
          <w:szCs w:val="21"/>
        </w:rPr>
        <w:t>须</w:t>
      </w:r>
      <w:r>
        <w:rPr>
          <w:rFonts w:hint="eastAsia" w:ascii="宋体" w:hAnsi="宋体"/>
          <w:szCs w:val="21"/>
        </w:rPr>
        <w:t>由投</w:t>
      </w:r>
      <w:r>
        <w:rPr>
          <w:rFonts w:ascii="宋体" w:hAnsi="宋体"/>
          <w:szCs w:val="21"/>
        </w:rPr>
        <w:t>标</w:t>
      </w:r>
      <w:r>
        <w:rPr>
          <w:rFonts w:hint="eastAsia" w:ascii="宋体" w:hAnsi="宋体"/>
          <w:szCs w:val="21"/>
        </w:rPr>
        <w:t>人法定代表人（代表人）或其授</w:t>
      </w:r>
      <w:r>
        <w:rPr>
          <w:rFonts w:ascii="宋体" w:hAnsi="宋体"/>
          <w:szCs w:val="21"/>
        </w:rPr>
        <w:t>权</w:t>
      </w:r>
      <w:r>
        <w:rPr>
          <w:rFonts w:hint="eastAsia" w:ascii="宋体" w:hAnsi="宋体"/>
          <w:szCs w:val="21"/>
        </w:rPr>
        <w:t>委托人</w:t>
      </w:r>
      <w:r>
        <w:rPr>
          <w:rFonts w:ascii="宋体" w:hAnsi="宋体"/>
          <w:szCs w:val="21"/>
        </w:rPr>
        <w:t>签</w:t>
      </w:r>
      <w:r>
        <w:rPr>
          <w:rFonts w:hint="eastAsia" w:ascii="宋体" w:hAnsi="宋体"/>
          <w:szCs w:val="21"/>
        </w:rPr>
        <w:t>字。</w:t>
      </w:r>
      <w:r>
        <w:rPr>
          <w:rFonts w:ascii="宋体" w:hAnsi="宋体"/>
          <w:szCs w:val="21"/>
        </w:rPr>
        <w:t>资</w:t>
      </w:r>
      <w:r>
        <w:rPr>
          <w:rFonts w:hint="eastAsia" w:ascii="宋体" w:hAnsi="宋体"/>
          <w:szCs w:val="21"/>
        </w:rPr>
        <w:t>格性</w:t>
      </w:r>
      <w:r>
        <w:rPr>
          <w:rFonts w:ascii="宋体" w:hAnsi="宋体"/>
          <w:szCs w:val="21"/>
        </w:rPr>
        <w:t>审</w:t>
      </w:r>
      <w:r>
        <w:rPr>
          <w:rFonts w:hint="eastAsia" w:ascii="宋体" w:hAnsi="宋体"/>
          <w:szCs w:val="21"/>
        </w:rPr>
        <w:t>查材料的复印件</w:t>
      </w:r>
      <w:r>
        <w:rPr>
          <w:rFonts w:ascii="宋体" w:hAnsi="宋体"/>
          <w:szCs w:val="21"/>
        </w:rPr>
        <w:t>应</w:t>
      </w:r>
      <w:r>
        <w:rPr>
          <w:rFonts w:hint="eastAsia" w:ascii="宋体" w:hAnsi="宋体"/>
          <w:szCs w:val="21"/>
        </w:rPr>
        <w:t>是清晰可辨的。</w:t>
      </w:r>
    </w:p>
    <w:p>
      <w:pPr>
        <w:spacing w:line="420" w:lineRule="exact"/>
        <w:ind w:firstLine="422" w:firstLineChars="200"/>
        <w:rPr>
          <w:rFonts w:hint="eastAsia" w:ascii="宋体" w:hAnsi="宋体"/>
          <w:b/>
          <w:szCs w:val="21"/>
        </w:rPr>
      </w:pPr>
      <w:r>
        <w:rPr>
          <w:rFonts w:hint="eastAsia" w:ascii="宋体" w:hAnsi="宋体"/>
          <w:b/>
          <w:szCs w:val="21"/>
        </w:rPr>
        <w:t>13.3投标人必须按照招标文件给定的投标文件格式编制投标文件并自编目录及页码。除投标文件封面以外，每页（非空白页）都要编制页码，如有资格证明文件或宣传资料彩页等材料而无法编制页码的，可用不退色的墨水笔按顺序书写，但字迹必须清晰可认，不可潦草。由于编排混乱导致投标文件被误读或查找不到而被视为无效投标等不利后果由投标人自行承担。</w:t>
      </w:r>
    </w:p>
    <w:p>
      <w:pPr>
        <w:spacing w:line="420" w:lineRule="exact"/>
        <w:ind w:firstLine="420" w:firstLineChars="200"/>
        <w:rPr>
          <w:rFonts w:hint="eastAsia" w:ascii="宋体" w:hAnsi="宋体"/>
          <w:b/>
          <w:szCs w:val="21"/>
        </w:rPr>
      </w:pPr>
      <w:r>
        <w:rPr>
          <w:rFonts w:hint="eastAsia" w:ascii="宋体" w:hAnsi="宋体"/>
          <w:szCs w:val="21"/>
        </w:rPr>
        <w:t>13</w:t>
      </w:r>
      <w:r>
        <w:rPr>
          <w:rFonts w:ascii="宋体" w:hAnsi="宋体"/>
          <w:szCs w:val="21"/>
        </w:rPr>
        <w:t>.</w:t>
      </w:r>
      <w:r>
        <w:rPr>
          <w:rFonts w:hint="eastAsia" w:ascii="宋体" w:hAnsi="宋体"/>
          <w:szCs w:val="21"/>
        </w:rPr>
        <w:t>4</w:t>
      </w:r>
      <w:r>
        <w:rPr>
          <w:rFonts w:ascii="宋体" w:hAnsi="宋体"/>
          <w:szCs w:val="21"/>
        </w:rPr>
        <w:t xml:space="preserve"> </w:t>
      </w:r>
      <w:r>
        <w:rPr>
          <w:rFonts w:hint="eastAsia" w:ascii="宋体" w:hAnsi="宋体"/>
          <w:b/>
          <w:szCs w:val="21"/>
        </w:rPr>
        <w:t>投</w:t>
      </w:r>
      <w:r>
        <w:rPr>
          <w:rFonts w:ascii="宋体" w:hAnsi="宋体"/>
          <w:b/>
          <w:szCs w:val="21"/>
        </w:rPr>
        <w:t>标</w:t>
      </w:r>
      <w:r>
        <w:rPr>
          <w:rFonts w:hint="eastAsia" w:ascii="宋体" w:hAnsi="宋体"/>
          <w:b/>
          <w:szCs w:val="21"/>
        </w:rPr>
        <w:t>文件所提供的全部</w:t>
      </w:r>
      <w:r>
        <w:rPr>
          <w:rFonts w:ascii="宋体" w:hAnsi="宋体"/>
          <w:b/>
          <w:szCs w:val="21"/>
        </w:rPr>
        <w:t>数</w:t>
      </w:r>
      <w:r>
        <w:rPr>
          <w:rFonts w:hint="eastAsia" w:ascii="宋体" w:hAnsi="宋体"/>
          <w:b/>
          <w:szCs w:val="21"/>
        </w:rPr>
        <w:t>据必</w:t>
      </w:r>
      <w:r>
        <w:rPr>
          <w:rFonts w:ascii="宋体" w:hAnsi="宋体"/>
          <w:b/>
          <w:szCs w:val="21"/>
        </w:rPr>
        <w:t>须</w:t>
      </w:r>
      <w:r>
        <w:rPr>
          <w:rFonts w:hint="eastAsia" w:ascii="宋体" w:hAnsi="宋体"/>
          <w:b/>
          <w:szCs w:val="21"/>
        </w:rPr>
        <w:t>真</w:t>
      </w:r>
      <w:r>
        <w:rPr>
          <w:rFonts w:ascii="宋体" w:hAnsi="宋体"/>
          <w:b/>
          <w:szCs w:val="21"/>
        </w:rPr>
        <w:t>实</w:t>
      </w:r>
      <w:r>
        <w:rPr>
          <w:rFonts w:hint="eastAsia" w:ascii="宋体" w:hAnsi="宋体"/>
          <w:b/>
          <w:szCs w:val="21"/>
        </w:rPr>
        <w:t>可靠。</w:t>
      </w:r>
    </w:p>
    <w:p>
      <w:pPr>
        <w:spacing w:line="420" w:lineRule="exact"/>
        <w:ind w:firstLine="420" w:firstLineChars="200"/>
        <w:rPr>
          <w:rFonts w:hint="eastAsia" w:ascii="黑体" w:hAnsi="黑体" w:eastAsia="黑体"/>
          <w:szCs w:val="21"/>
        </w:rPr>
      </w:pPr>
      <w:r>
        <w:rPr>
          <w:rFonts w:hint="eastAsia" w:ascii="黑体" w:hAnsi="黑体" w:eastAsia="黑体"/>
          <w:szCs w:val="21"/>
        </w:rPr>
        <w:t>14.投标文件的组成</w:t>
      </w:r>
    </w:p>
    <w:p>
      <w:pPr>
        <w:spacing w:line="420" w:lineRule="exact"/>
        <w:ind w:firstLine="420"/>
        <w:rPr>
          <w:rFonts w:hint="eastAsia" w:ascii="宋体" w:hAnsi="宋体"/>
          <w:szCs w:val="21"/>
        </w:rPr>
      </w:pPr>
      <w:r>
        <w:rPr>
          <w:rFonts w:hint="eastAsia" w:ascii="宋体" w:hAnsi="宋体"/>
          <w:szCs w:val="21"/>
        </w:rPr>
        <w:t>14.1</w:t>
      </w:r>
      <w:r>
        <w:rPr>
          <w:rFonts w:hint="eastAsia" w:ascii="宋体" w:hAnsi="宋体"/>
          <w:b/>
          <w:bCs/>
          <w:szCs w:val="21"/>
        </w:rPr>
        <w:t>资格技术文件（分标项编制，单独包封，在封面上注明所投标项）：</w:t>
      </w:r>
    </w:p>
    <w:p>
      <w:pPr>
        <w:spacing w:line="420" w:lineRule="exact"/>
        <w:ind w:firstLine="630" w:firstLineChars="300"/>
        <w:rPr>
          <w:rFonts w:hint="eastAsia" w:ascii="黑体" w:hAnsi="黑体" w:eastAsia="黑体" w:cs="黑体"/>
          <w:b/>
          <w:szCs w:val="21"/>
        </w:rPr>
      </w:pPr>
      <w:r>
        <w:rPr>
          <w:rFonts w:hint="eastAsia" w:ascii="黑体" w:hAnsi="黑体" w:eastAsia="黑体" w:cs="黑体"/>
          <w:bCs/>
          <w:szCs w:val="21"/>
        </w:rPr>
        <w:t>资格部分</w:t>
      </w:r>
    </w:p>
    <w:p>
      <w:pPr>
        <w:spacing w:line="420" w:lineRule="exact"/>
        <w:ind w:firstLine="420" w:firstLineChars="200"/>
        <w:rPr>
          <w:rFonts w:ascii="宋体" w:hAnsi="宋体"/>
          <w:szCs w:val="21"/>
        </w:rPr>
      </w:pPr>
      <w:r>
        <w:rPr>
          <w:rFonts w:hint="eastAsia" w:ascii="宋体" w:hAnsi="宋体"/>
          <w:szCs w:val="21"/>
        </w:rPr>
        <w:t>（1）投标人营业执照副本复印件；</w:t>
      </w:r>
    </w:p>
    <w:p>
      <w:pPr>
        <w:spacing w:line="420" w:lineRule="exact"/>
        <w:ind w:firstLine="420" w:firstLineChars="200"/>
        <w:rPr>
          <w:rFonts w:hint="eastAsia" w:ascii="宋体" w:hAnsi="宋体"/>
          <w:szCs w:val="21"/>
        </w:rPr>
      </w:pPr>
      <w:r>
        <w:rPr>
          <w:rFonts w:hint="eastAsia" w:ascii="宋体" w:hAnsi="宋体"/>
          <w:szCs w:val="21"/>
        </w:rPr>
        <w:t>（2）投标人</w:t>
      </w:r>
      <w:r>
        <w:rPr>
          <w:rFonts w:hint="eastAsia" w:ascii="宋体" w:hAnsi="宋体"/>
          <w:szCs w:val="21"/>
          <w:lang w:val="en-US" w:eastAsia="zh-CN"/>
        </w:rPr>
        <w:t>2020年</w:t>
      </w:r>
      <w:r>
        <w:rPr>
          <w:rFonts w:hint="eastAsia" w:ascii="宋体" w:hAnsi="宋体"/>
          <w:szCs w:val="21"/>
        </w:rPr>
        <w:t>的财务状况报告复印件，其他组织或投标人新成立不足一年的提供银行出具的资信证明材料复印件</w:t>
      </w:r>
      <w:r>
        <w:rPr>
          <w:rFonts w:hint="eastAsia" w:ascii="宋体" w:hAnsi="宋体" w:cs="宋体"/>
          <w:szCs w:val="21"/>
        </w:rPr>
        <w:t>（若20</w:t>
      </w:r>
      <w:r>
        <w:rPr>
          <w:rFonts w:hint="eastAsia" w:ascii="宋体" w:hAnsi="宋体" w:cs="宋体"/>
          <w:szCs w:val="21"/>
          <w:lang w:val="en-US" w:eastAsia="zh-CN"/>
        </w:rPr>
        <w:t>20</w:t>
      </w:r>
      <w:r>
        <w:rPr>
          <w:rFonts w:hint="eastAsia" w:ascii="宋体" w:hAnsi="宋体" w:cs="宋体"/>
          <w:szCs w:val="21"/>
        </w:rPr>
        <w:t>年财务状况报告尚未审计的，可提供财务报表）</w:t>
      </w:r>
      <w:r>
        <w:rPr>
          <w:rFonts w:hint="eastAsia" w:ascii="宋体" w:hAnsi="宋体"/>
          <w:szCs w:val="21"/>
        </w:rPr>
        <w:t>；</w:t>
      </w:r>
    </w:p>
    <w:p>
      <w:pPr>
        <w:numPr>
          <w:ilvl w:val="0"/>
          <w:numId w:val="4"/>
        </w:numPr>
        <w:spacing w:line="420" w:lineRule="exact"/>
        <w:ind w:firstLine="420" w:firstLineChars="200"/>
        <w:rPr>
          <w:rFonts w:hint="eastAsia" w:ascii="宋体" w:hAnsi="宋体"/>
          <w:szCs w:val="21"/>
        </w:rPr>
      </w:pPr>
      <w:r>
        <w:rPr>
          <w:rFonts w:hint="eastAsia" w:ascii="宋体" w:hAnsi="宋体"/>
          <w:szCs w:val="21"/>
        </w:rPr>
        <w:t>投标人开标日前六个月内任意一期依法缴纳（国税或地税）税收的凭证复印件，</w:t>
      </w:r>
      <w:r>
        <w:rPr>
          <w:rFonts w:hint="eastAsia"/>
        </w:rPr>
        <w:t>如依法免税或未开始缴纳税收的，应提供相应证明文件；</w:t>
      </w:r>
    </w:p>
    <w:p>
      <w:pPr>
        <w:numPr>
          <w:ilvl w:val="0"/>
          <w:numId w:val="4"/>
        </w:numPr>
        <w:spacing w:line="420" w:lineRule="exact"/>
        <w:ind w:firstLine="420" w:firstLineChars="200"/>
        <w:rPr>
          <w:rFonts w:hint="eastAsia" w:ascii="宋体" w:hAnsi="宋体"/>
          <w:szCs w:val="21"/>
        </w:rPr>
      </w:pPr>
      <w:r>
        <w:rPr>
          <w:rFonts w:hint="eastAsia" w:ascii="宋体" w:hAnsi="宋体"/>
          <w:szCs w:val="21"/>
        </w:rPr>
        <w:t>投标人开标日前六个月内任意一期社会保障资金的凭证复印件，</w:t>
      </w:r>
      <w:r>
        <w:rPr>
          <w:rFonts w:hint="eastAsia"/>
        </w:rPr>
        <w:t>如依法不需要缴纳社会保障资金的，应提供相应证明文件</w:t>
      </w:r>
      <w:r>
        <w:rPr>
          <w:rFonts w:hint="eastAsia" w:ascii="宋体" w:hAnsi="宋体"/>
          <w:szCs w:val="21"/>
        </w:rPr>
        <w:t>；</w:t>
      </w:r>
    </w:p>
    <w:p>
      <w:pPr>
        <w:spacing w:line="420" w:lineRule="exact"/>
        <w:ind w:firstLine="420" w:firstLineChars="200"/>
        <w:rPr>
          <w:rFonts w:hint="eastAsia" w:ascii="宋体" w:hAnsi="宋体"/>
          <w:szCs w:val="21"/>
        </w:rPr>
      </w:pPr>
      <w:r>
        <w:rPr>
          <w:rFonts w:hint="eastAsia" w:ascii="宋体" w:hAnsi="宋体"/>
          <w:szCs w:val="21"/>
        </w:rPr>
        <w:t>（5）</w:t>
      </w:r>
      <w:r>
        <w:rPr>
          <w:rFonts w:hint="eastAsia" w:ascii="宋体" w:hAnsi="宋体"/>
          <w:b/>
          <w:bCs/>
          <w:szCs w:val="21"/>
        </w:rPr>
        <w:t>投标人于“信用中国”网站(www.creditchina.gov.cn)“记录失信被执行人或重大税收违法案件当事人名单或政府采购严重违法失信行为”、中国政府采购网(www.ccgp.gov.cn)“政府采购严重违法失信行为信息记录”查询结果；</w:t>
      </w:r>
    </w:p>
    <w:p>
      <w:pPr>
        <w:spacing w:line="420" w:lineRule="exact"/>
        <w:ind w:firstLine="420" w:firstLineChars="200"/>
        <w:rPr>
          <w:rFonts w:hint="eastAsia" w:ascii="宋体" w:hAnsi="宋体"/>
          <w:szCs w:val="21"/>
        </w:rPr>
      </w:pPr>
      <w:r>
        <w:rPr>
          <w:rFonts w:hint="eastAsia" w:ascii="宋体" w:hAnsi="宋体"/>
          <w:szCs w:val="21"/>
        </w:rPr>
        <w:t>（6）投标人商业贿赂行为承诺书；</w:t>
      </w:r>
    </w:p>
    <w:p>
      <w:pPr>
        <w:spacing w:line="420" w:lineRule="exact"/>
        <w:ind w:firstLine="420" w:firstLineChars="200"/>
        <w:rPr>
          <w:rFonts w:hint="eastAsia" w:ascii="宋体" w:hAnsi="宋体"/>
          <w:szCs w:val="21"/>
        </w:rPr>
      </w:pPr>
      <w:r>
        <w:rPr>
          <w:rFonts w:hint="eastAsia" w:ascii="宋体" w:hAnsi="宋体"/>
          <w:szCs w:val="21"/>
        </w:rPr>
        <w:t>（7）投标人法定代表人资格证明书或法定代表人授权委托书；</w:t>
      </w:r>
    </w:p>
    <w:p>
      <w:pPr>
        <w:spacing w:line="420" w:lineRule="exact"/>
        <w:ind w:firstLine="420" w:firstLineChars="200"/>
        <w:rPr>
          <w:rFonts w:ascii="宋体" w:hAnsi="宋体"/>
          <w:szCs w:val="21"/>
        </w:rPr>
      </w:pPr>
      <w:r>
        <w:rPr>
          <w:rFonts w:hint="eastAsia" w:ascii="宋体" w:hAnsi="宋体"/>
          <w:szCs w:val="21"/>
        </w:rPr>
        <w:t>（8）招标公告特定条件的相关证明资料；</w:t>
      </w:r>
    </w:p>
    <w:p>
      <w:pPr>
        <w:spacing w:line="420" w:lineRule="exact"/>
        <w:ind w:firstLine="420" w:firstLineChars="200"/>
        <w:rPr>
          <w:rFonts w:hint="eastAsia" w:ascii="宋体" w:hAnsi="宋体"/>
          <w:szCs w:val="21"/>
        </w:rPr>
      </w:pPr>
      <w:r>
        <w:rPr>
          <w:rFonts w:hint="eastAsia" w:ascii="宋体" w:hAnsi="宋体"/>
          <w:szCs w:val="21"/>
        </w:rPr>
        <w:t>（9）其他所需证明材料。</w:t>
      </w:r>
    </w:p>
    <w:p>
      <w:pPr>
        <w:spacing w:line="420" w:lineRule="exact"/>
        <w:ind w:firstLine="630" w:firstLineChars="300"/>
        <w:rPr>
          <w:rFonts w:hint="eastAsia" w:ascii="宋体" w:hAnsi="宋体"/>
          <w:bCs/>
          <w:szCs w:val="21"/>
        </w:rPr>
      </w:pPr>
      <w:r>
        <w:rPr>
          <w:rFonts w:hint="eastAsia" w:ascii="宋体" w:hAnsi="宋体"/>
          <w:bCs/>
          <w:szCs w:val="21"/>
        </w:rPr>
        <w:t>技术部分</w:t>
      </w:r>
    </w:p>
    <w:p>
      <w:pPr>
        <w:spacing w:line="420" w:lineRule="exact"/>
        <w:ind w:firstLine="420" w:firstLineChars="200"/>
        <w:rPr>
          <w:rFonts w:hint="eastAsia" w:ascii="宋体" w:hAnsi="宋体" w:cs="宋体"/>
          <w:kern w:val="0"/>
          <w:sz w:val="21"/>
          <w:szCs w:val="21"/>
          <w:lang w:val="en-US" w:eastAsia="zh-CN" w:bidi="ar"/>
        </w:rPr>
      </w:pPr>
      <w:r>
        <w:rPr>
          <w:rFonts w:hint="eastAsia" w:ascii="宋体" w:hAnsi="宋体" w:cs="宋体"/>
          <w:kern w:val="0"/>
          <w:sz w:val="21"/>
          <w:szCs w:val="21"/>
          <w:lang w:val="en-US" w:eastAsia="zh-CN" w:bidi="ar"/>
        </w:rPr>
        <w:t>（10）技术/服务条款偏离表；</w:t>
      </w:r>
    </w:p>
    <w:p>
      <w:pPr>
        <w:spacing w:line="420" w:lineRule="exact"/>
        <w:ind w:firstLine="420" w:firstLineChars="200"/>
        <w:rPr>
          <w:rFonts w:hint="eastAsia" w:ascii="宋体" w:hAnsi="宋体" w:cs="宋体"/>
          <w:kern w:val="0"/>
          <w:sz w:val="21"/>
          <w:szCs w:val="21"/>
          <w:lang w:val="en-US" w:eastAsia="zh-CN" w:bidi="ar"/>
        </w:rPr>
      </w:pPr>
      <w:r>
        <w:rPr>
          <w:rFonts w:hint="eastAsia" w:ascii="宋体" w:hAnsi="宋体" w:cs="宋体"/>
          <w:kern w:val="0"/>
          <w:sz w:val="21"/>
          <w:szCs w:val="21"/>
          <w:lang w:val="en-US" w:eastAsia="zh-CN" w:bidi="ar"/>
        </w:rPr>
        <w:t>（11）投标产品详情(投标商须同时写明所投产品品牌及型号)；</w:t>
      </w:r>
    </w:p>
    <w:p>
      <w:pPr>
        <w:spacing w:line="420" w:lineRule="exact"/>
        <w:ind w:firstLine="420" w:firstLineChars="200"/>
        <w:rPr>
          <w:rFonts w:hint="eastAsia" w:ascii="宋体" w:hAnsi="宋体" w:cs="宋体"/>
          <w:kern w:val="0"/>
          <w:sz w:val="21"/>
          <w:szCs w:val="21"/>
          <w:lang w:val="en-US" w:eastAsia="zh-CN" w:bidi="ar"/>
        </w:rPr>
      </w:pPr>
      <w:r>
        <w:rPr>
          <w:rFonts w:hint="eastAsia" w:ascii="宋体" w:hAnsi="宋体" w:cs="宋体"/>
          <w:kern w:val="0"/>
          <w:sz w:val="21"/>
          <w:szCs w:val="21"/>
          <w:lang w:val="en-US" w:eastAsia="zh-CN" w:bidi="ar"/>
        </w:rPr>
        <w:t>（12）技术方案；</w:t>
      </w:r>
    </w:p>
    <w:p>
      <w:pPr>
        <w:spacing w:line="420" w:lineRule="exact"/>
        <w:ind w:firstLine="420" w:firstLineChars="200"/>
        <w:rPr>
          <w:rFonts w:hint="eastAsia" w:ascii="宋体" w:hAnsi="宋体" w:cs="宋体"/>
          <w:kern w:val="0"/>
          <w:sz w:val="21"/>
          <w:szCs w:val="21"/>
          <w:lang w:val="en-US" w:eastAsia="zh-CN" w:bidi="ar"/>
        </w:rPr>
      </w:pPr>
      <w:r>
        <w:rPr>
          <w:rFonts w:hint="eastAsia" w:ascii="宋体" w:hAnsi="宋体" w:cs="宋体"/>
          <w:kern w:val="0"/>
          <w:sz w:val="21"/>
          <w:szCs w:val="21"/>
          <w:lang w:val="en-US" w:eastAsia="zh-CN" w:bidi="ar"/>
        </w:rPr>
        <w:t>（13）实施方案；</w:t>
      </w:r>
    </w:p>
    <w:p>
      <w:pPr>
        <w:spacing w:line="420" w:lineRule="exact"/>
        <w:ind w:firstLine="420" w:firstLineChars="200"/>
        <w:rPr>
          <w:rFonts w:hint="eastAsia" w:ascii="宋体" w:hAnsi="宋体" w:cs="宋体"/>
          <w:kern w:val="0"/>
          <w:sz w:val="21"/>
          <w:szCs w:val="21"/>
          <w:lang w:val="en-US" w:eastAsia="zh-CN" w:bidi="ar"/>
        </w:rPr>
      </w:pPr>
      <w:r>
        <w:rPr>
          <w:rFonts w:hint="eastAsia" w:ascii="宋体" w:hAnsi="宋体" w:cs="宋体"/>
          <w:kern w:val="0"/>
          <w:sz w:val="21"/>
          <w:szCs w:val="21"/>
          <w:lang w:val="en-US" w:eastAsia="zh-CN" w:bidi="ar"/>
        </w:rPr>
        <w:t>（14）售后服务方案；</w:t>
      </w:r>
    </w:p>
    <w:p>
      <w:pPr>
        <w:spacing w:line="420" w:lineRule="exact"/>
        <w:ind w:firstLine="420" w:firstLineChars="200"/>
        <w:rPr>
          <w:rFonts w:hint="eastAsia" w:ascii="宋体" w:hAnsi="宋体" w:cs="宋体"/>
          <w:kern w:val="0"/>
          <w:sz w:val="21"/>
          <w:szCs w:val="21"/>
          <w:lang w:val="en-US" w:eastAsia="zh-CN" w:bidi="ar"/>
        </w:rPr>
      </w:pPr>
      <w:r>
        <w:rPr>
          <w:rFonts w:hint="eastAsia" w:ascii="宋体" w:hAnsi="宋体" w:cs="宋体"/>
          <w:kern w:val="0"/>
          <w:sz w:val="21"/>
          <w:szCs w:val="21"/>
          <w:lang w:val="en-US" w:eastAsia="zh-CN" w:bidi="ar"/>
        </w:rPr>
        <w:t>（15）</w:t>
      </w:r>
      <w:r>
        <w:rPr>
          <w:rFonts w:hint="eastAsia" w:ascii="宋体" w:hAnsi="宋体" w:cs="宋体"/>
          <w:kern w:val="0"/>
          <w:sz w:val="21"/>
          <w:szCs w:val="21"/>
          <w:lang w:val="zh-CN" w:eastAsia="zh-CN" w:bidi="ar"/>
        </w:rPr>
        <w:t>完成的类似项目一览表及相关合同复印件；</w:t>
      </w:r>
    </w:p>
    <w:p>
      <w:pPr>
        <w:spacing w:line="420" w:lineRule="exact"/>
        <w:ind w:firstLine="420" w:firstLineChars="200"/>
        <w:rPr>
          <w:rFonts w:hint="eastAsia" w:ascii="宋体" w:hAnsi="宋体" w:cs="宋体"/>
          <w:kern w:val="0"/>
          <w:sz w:val="21"/>
          <w:szCs w:val="21"/>
          <w:lang w:val="en-US" w:eastAsia="zh-CN" w:bidi="ar"/>
        </w:rPr>
      </w:pPr>
      <w:r>
        <w:rPr>
          <w:rFonts w:hint="eastAsia" w:ascii="宋体" w:hAnsi="宋体" w:cs="宋体"/>
          <w:kern w:val="0"/>
          <w:sz w:val="21"/>
          <w:szCs w:val="21"/>
          <w:lang w:val="en-US" w:eastAsia="zh-CN" w:bidi="ar"/>
        </w:rPr>
        <w:t>（16）</w:t>
      </w:r>
      <w:r>
        <w:rPr>
          <w:rFonts w:hint="eastAsia" w:ascii="宋体" w:hAnsi="宋体" w:cs="宋体"/>
          <w:kern w:val="0"/>
          <w:sz w:val="21"/>
          <w:szCs w:val="21"/>
          <w:lang w:val="zh-CN" w:eastAsia="zh-CN" w:bidi="ar"/>
        </w:rPr>
        <w:t>实施技术/服务人员一览表</w:t>
      </w:r>
      <w:r>
        <w:rPr>
          <w:rFonts w:hint="eastAsia" w:ascii="宋体" w:hAnsi="宋体" w:cs="宋体"/>
          <w:kern w:val="0"/>
          <w:sz w:val="21"/>
          <w:szCs w:val="21"/>
          <w:lang w:val="en-US" w:eastAsia="zh-CN" w:bidi="ar"/>
        </w:rPr>
        <w:t>；</w:t>
      </w:r>
    </w:p>
    <w:p>
      <w:pPr>
        <w:spacing w:line="420" w:lineRule="exact"/>
        <w:ind w:firstLine="420" w:firstLineChars="200"/>
        <w:rPr>
          <w:rFonts w:hint="eastAsia" w:ascii="宋体" w:hAnsi="宋体" w:cs="宋体"/>
          <w:kern w:val="0"/>
          <w:sz w:val="21"/>
          <w:szCs w:val="21"/>
          <w:lang w:val="en-US" w:eastAsia="zh-CN" w:bidi="ar"/>
        </w:rPr>
      </w:pPr>
      <w:r>
        <w:rPr>
          <w:rFonts w:hint="eastAsia" w:ascii="宋体" w:hAnsi="宋体" w:cs="宋体"/>
          <w:kern w:val="0"/>
          <w:sz w:val="21"/>
          <w:szCs w:val="21"/>
          <w:lang w:val="en-US" w:eastAsia="zh-CN" w:bidi="ar"/>
        </w:rPr>
        <w:t>（17）评分标准中打分需要提供证明文件复印件；</w:t>
      </w:r>
    </w:p>
    <w:p>
      <w:pPr>
        <w:spacing w:line="420" w:lineRule="exact"/>
        <w:ind w:firstLine="420" w:firstLineChars="200"/>
        <w:rPr>
          <w:rFonts w:hint="eastAsia" w:ascii="宋体" w:hAnsi="宋体" w:cs="宋体"/>
          <w:kern w:val="0"/>
          <w:sz w:val="21"/>
          <w:szCs w:val="21"/>
          <w:lang w:val="en-US" w:eastAsia="zh-CN" w:bidi="ar"/>
        </w:rPr>
      </w:pPr>
      <w:r>
        <w:rPr>
          <w:rFonts w:hint="eastAsia" w:ascii="宋体" w:hAnsi="宋体" w:cs="宋体"/>
          <w:kern w:val="0"/>
          <w:sz w:val="21"/>
          <w:szCs w:val="21"/>
          <w:lang w:val="en-US" w:eastAsia="zh-CN" w:bidi="ar"/>
        </w:rPr>
        <w:t>（18）行业或产品必须的相关技术/功能证明资料或检验报告（若有）；</w:t>
      </w:r>
    </w:p>
    <w:p>
      <w:pPr>
        <w:spacing w:line="420" w:lineRule="exact"/>
        <w:ind w:firstLine="420" w:firstLineChars="200"/>
        <w:rPr>
          <w:rFonts w:hint="eastAsia" w:ascii="宋体" w:hAnsi="宋体" w:cs="宋体"/>
          <w:kern w:val="0"/>
          <w:sz w:val="21"/>
          <w:szCs w:val="21"/>
          <w:lang w:val="en-US" w:eastAsia="zh-CN" w:bidi="ar"/>
        </w:rPr>
      </w:pPr>
      <w:r>
        <w:rPr>
          <w:rFonts w:hint="eastAsia" w:ascii="宋体" w:hAnsi="宋体" w:cs="宋体"/>
          <w:kern w:val="0"/>
          <w:sz w:val="21"/>
          <w:szCs w:val="21"/>
          <w:lang w:val="en-US" w:eastAsia="zh-CN" w:bidi="ar"/>
        </w:rPr>
        <w:t>（19）与技术相关的其他资料。</w:t>
      </w:r>
    </w:p>
    <w:p>
      <w:pPr>
        <w:spacing w:line="420" w:lineRule="exact"/>
        <w:ind w:firstLine="420" w:firstLineChars="200"/>
        <w:rPr>
          <w:rFonts w:hint="eastAsia" w:ascii="宋体" w:hAnsi="宋体"/>
          <w:b/>
          <w:bCs/>
          <w:szCs w:val="21"/>
        </w:rPr>
      </w:pPr>
      <w:r>
        <w:rPr>
          <w:rFonts w:hint="eastAsia" w:ascii="宋体" w:hAnsi="宋体"/>
          <w:szCs w:val="21"/>
        </w:rPr>
        <w:t>14.2</w:t>
      </w:r>
      <w:r>
        <w:rPr>
          <w:rFonts w:hint="eastAsia" w:ascii="宋体" w:hAnsi="宋体"/>
          <w:b/>
          <w:bCs/>
          <w:szCs w:val="21"/>
        </w:rPr>
        <w:t>投标报价文件（分标项编制，分标项单独包封）：</w:t>
      </w:r>
    </w:p>
    <w:p>
      <w:pPr>
        <w:spacing w:line="360" w:lineRule="auto"/>
        <w:ind w:firstLine="420" w:firstLineChars="200"/>
        <w:rPr>
          <w:rFonts w:ascii="宋体" w:hAnsi="宋体"/>
          <w:szCs w:val="21"/>
        </w:rPr>
      </w:pPr>
      <w:r>
        <w:rPr>
          <w:rFonts w:hint="eastAsia" w:ascii="宋体" w:hAnsi="宋体"/>
          <w:szCs w:val="21"/>
        </w:rPr>
        <w:t>（1）投标函；</w:t>
      </w:r>
    </w:p>
    <w:p>
      <w:pPr>
        <w:spacing w:line="360" w:lineRule="auto"/>
        <w:ind w:firstLine="420" w:firstLineChars="200"/>
        <w:rPr>
          <w:rFonts w:ascii="宋体" w:hAnsi="宋体"/>
          <w:szCs w:val="21"/>
        </w:rPr>
      </w:pPr>
      <w:r>
        <w:rPr>
          <w:rFonts w:hint="eastAsia" w:ascii="宋体" w:hAnsi="宋体"/>
          <w:szCs w:val="21"/>
        </w:rPr>
        <w:t>（2）开标一览表；</w:t>
      </w:r>
    </w:p>
    <w:p>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rPr>
        <w:t>投标分项报价表；</w:t>
      </w:r>
    </w:p>
    <w:p>
      <w:pPr>
        <w:spacing w:line="360" w:lineRule="auto"/>
        <w:ind w:firstLine="420" w:firstLineChars="200"/>
        <w:rPr>
          <w:rFonts w:hint="eastAsia" w:ascii="宋体" w:hAnsi="宋体"/>
          <w:szCs w:val="21"/>
        </w:rPr>
      </w:pPr>
      <w:r>
        <w:rPr>
          <w:rFonts w:hint="eastAsia" w:ascii="宋体" w:hAnsi="宋体"/>
          <w:szCs w:val="21"/>
        </w:rPr>
        <w:t>（4）中小企业声明函；</w:t>
      </w:r>
    </w:p>
    <w:p>
      <w:pPr>
        <w:spacing w:line="360" w:lineRule="auto"/>
        <w:ind w:firstLine="420" w:firstLineChars="200"/>
        <w:rPr>
          <w:rFonts w:hint="eastAsia" w:ascii="宋体" w:hAnsi="宋体"/>
          <w:szCs w:val="21"/>
        </w:rPr>
      </w:pPr>
      <w:r>
        <w:rPr>
          <w:rFonts w:hint="eastAsia" w:ascii="宋体" w:hAnsi="宋体"/>
          <w:szCs w:val="21"/>
        </w:rPr>
        <w:t>（5）与报价相关的其他资料。</w:t>
      </w:r>
    </w:p>
    <w:p>
      <w:pPr>
        <w:spacing w:line="420" w:lineRule="exact"/>
        <w:ind w:firstLine="420" w:firstLineChars="200"/>
        <w:rPr>
          <w:rFonts w:ascii="宋体" w:hAnsi="宋体"/>
          <w:szCs w:val="21"/>
        </w:rPr>
      </w:pPr>
      <w:r>
        <w:rPr>
          <w:rFonts w:hint="eastAsia" w:ascii="宋体" w:hAnsi="宋体"/>
          <w:szCs w:val="21"/>
        </w:rPr>
        <w:t>14.3其他材料。投标人认为需要提供的其他相关数据和材料。</w:t>
      </w:r>
    </w:p>
    <w:p>
      <w:pPr>
        <w:tabs>
          <w:tab w:val="left" w:pos="0"/>
        </w:tabs>
        <w:spacing w:line="420" w:lineRule="exact"/>
        <w:ind w:firstLine="420"/>
        <w:rPr>
          <w:rFonts w:ascii="黑体" w:hAnsi="黑体" w:eastAsia="黑体"/>
          <w:szCs w:val="21"/>
        </w:rPr>
      </w:pPr>
      <w:r>
        <w:rPr>
          <w:rFonts w:hint="eastAsia" w:ascii="黑体" w:hAnsi="黑体" w:eastAsia="黑体"/>
          <w:szCs w:val="21"/>
        </w:rPr>
        <w:t>15. 投标文件的有效期、签署及规定</w:t>
      </w:r>
    </w:p>
    <w:p>
      <w:pPr>
        <w:tabs>
          <w:tab w:val="left" w:pos="0"/>
        </w:tabs>
        <w:spacing w:line="420" w:lineRule="exact"/>
        <w:ind w:firstLine="420"/>
        <w:rPr>
          <w:rFonts w:ascii="宋体" w:hAnsi="宋体"/>
          <w:szCs w:val="21"/>
        </w:rPr>
      </w:pPr>
      <w:r>
        <w:rPr>
          <w:rFonts w:hint="eastAsia" w:ascii="宋体" w:hAnsi="宋体"/>
          <w:szCs w:val="21"/>
        </w:rPr>
        <w:t>15.1 自开标日起</w:t>
      </w:r>
      <w:r>
        <w:rPr>
          <w:rFonts w:hint="eastAsia" w:ascii="宋体" w:hAnsi="宋体"/>
          <w:szCs w:val="21"/>
          <w:u w:val="single"/>
        </w:rPr>
        <w:t xml:space="preserve"> 90</w:t>
      </w:r>
      <w:r>
        <w:rPr>
          <w:rFonts w:hint="eastAsia" w:ascii="宋体" w:hAnsi="宋体"/>
          <w:b/>
          <w:bCs/>
          <w:szCs w:val="21"/>
          <w:u w:val="single"/>
        </w:rPr>
        <w:t xml:space="preserve"> </w:t>
      </w:r>
      <w:r>
        <w:rPr>
          <w:rFonts w:hint="eastAsia" w:ascii="宋体" w:hAnsi="宋体"/>
          <w:szCs w:val="21"/>
        </w:rPr>
        <w:t>天内，投标书应保持有效。</w:t>
      </w:r>
    </w:p>
    <w:p>
      <w:pPr>
        <w:tabs>
          <w:tab w:val="left" w:pos="0"/>
        </w:tabs>
        <w:spacing w:line="420" w:lineRule="exact"/>
        <w:ind w:firstLine="420"/>
        <w:rPr>
          <w:rFonts w:ascii="宋体" w:hAnsi="宋体"/>
          <w:szCs w:val="21"/>
        </w:rPr>
      </w:pPr>
      <w:r>
        <w:rPr>
          <w:rFonts w:hint="eastAsia" w:ascii="宋体" w:hAnsi="宋体"/>
          <w:szCs w:val="21"/>
        </w:rPr>
        <w:t>15.2 在特殊情况下，招标方可与投标人协商延长投标标书的有效期。这种要求和答复都应以书面的形式进行。投标人同意延长有效期的投标人不能修改投标文件。</w:t>
      </w:r>
    </w:p>
    <w:p>
      <w:pPr>
        <w:tabs>
          <w:tab w:val="left" w:pos="0"/>
        </w:tabs>
        <w:spacing w:line="420" w:lineRule="exact"/>
        <w:ind w:firstLine="420"/>
        <w:rPr>
          <w:rFonts w:ascii="宋体" w:hAnsi="宋体"/>
          <w:szCs w:val="21"/>
        </w:rPr>
      </w:pPr>
      <w:r>
        <w:rPr>
          <w:rFonts w:hint="eastAsia" w:ascii="宋体" w:hAnsi="宋体"/>
          <w:szCs w:val="21"/>
        </w:rPr>
        <w:t>15.3 组成投标文件的各项资料（本须知第14条中所规定）均应遵守本条。</w:t>
      </w:r>
    </w:p>
    <w:p>
      <w:pPr>
        <w:tabs>
          <w:tab w:val="left" w:pos="0"/>
        </w:tabs>
        <w:spacing w:line="420" w:lineRule="exact"/>
        <w:ind w:firstLine="420"/>
        <w:rPr>
          <w:rFonts w:ascii="宋体" w:hAnsi="宋体"/>
          <w:szCs w:val="21"/>
        </w:rPr>
      </w:pPr>
      <w:r>
        <w:rPr>
          <w:rFonts w:hint="eastAsia" w:ascii="宋体" w:hAnsi="宋体"/>
          <w:szCs w:val="21"/>
        </w:rPr>
        <w:t>15.4 投标文件的正本必须以不褪色的墨水书写或打印，注明“正本”字样，副本可以是“正本”的复印件。</w:t>
      </w:r>
    </w:p>
    <w:p>
      <w:pPr>
        <w:tabs>
          <w:tab w:val="left" w:pos="0"/>
        </w:tabs>
        <w:spacing w:line="420" w:lineRule="exact"/>
        <w:ind w:firstLine="420"/>
        <w:rPr>
          <w:rFonts w:ascii="宋体" w:hAnsi="宋体"/>
          <w:szCs w:val="21"/>
        </w:rPr>
      </w:pPr>
      <w:r>
        <w:rPr>
          <w:rFonts w:hint="eastAsia" w:ascii="宋体" w:hAnsi="宋体"/>
          <w:szCs w:val="21"/>
        </w:rPr>
        <w:t>15.5 投标文件的正、副本份数按《第二章 投标人须知前附表》中规定。如果正本与副本内容不符，以正本为准。</w:t>
      </w:r>
    </w:p>
    <w:p>
      <w:pPr>
        <w:tabs>
          <w:tab w:val="left" w:pos="0"/>
        </w:tabs>
        <w:spacing w:line="420" w:lineRule="exact"/>
        <w:ind w:left="420" w:leftChars="200"/>
        <w:rPr>
          <w:rFonts w:hint="eastAsia" w:ascii="宋体" w:hAnsi="宋体"/>
          <w:b/>
          <w:bCs/>
          <w:szCs w:val="21"/>
        </w:rPr>
      </w:pPr>
      <w:r>
        <w:rPr>
          <w:rFonts w:ascii="宋体" w:hAnsi="宋体"/>
          <w:b/>
          <w:bCs/>
          <w:szCs w:val="21"/>
        </w:rPr>
        <w:t>1</w:t>
      </w:r>
      <w:r>
        <w:rPr>
          <w:rFonts w:hint="eastAsia" w:ascii="宋体" w:hAnsi="宋体"/>
          <w:b/>
          <w:bCs/>
          <w:szCs w:val="21"/>
        </w:rPr>
        <w:t>5.6 投标人应在封面填写全称，同时加盖单位公章（如果加盖投标专用章、合同专用章等，投标无效）。</w:t>
      </w:r>
    </w:p>
    <w:p>
      <w:pPr>
        <w:tabs>
          <w:tab w:val="left" w:pos="0"/>
        </w:tabs>
        <w:spacing w:line="420" w:lineRule="exact"/>
        <w:ind w:left="420" w:leftChars="200"/>
        <w:rPr>
          <w:rFonts w:hint="eastAsia" w:ascii="宋体" w:hAnsi="宋体"/>
          <w:b/>
          <w:bCs/>
          <w:szCs w:val="21"/>
        </w:rPr>
      </w:pPr>
      <w:r>
        <w:rPr>
          <w:rFonts w:hint="eastAsia" w:ascii="宋体" w:hAnsi="宋体"/>
          <w:b/>
          <w:bCs/>
          <w:szCs w:val="21"/>
        </w:rPr>
        <w:t>15.7 投标文件必须有逐页小签或加盖骑缝章（公章）或逐页加盖公章。</w:t>
      </w:r>
    </w:p>
    <w:p>
      <w:pPr>
        <w:tabs>
          <w:tab w:val="left" w:pos="0"/>
        </w:tabs>
        <w:spacing w:line="420" w:lineRule="exact"/>
        <w:ind w:firstLine="420"/>
        <w:rPr>
          <w:rFonts w:ascii="宋体" w:hAnsi="宋体"/>
          <w:szCs w:val="21"/>
        </w:rPr>
      </w:pPr>
      <w:r>
        <w:rPr>
          <w:rFonts w:hint="eastAsia" w:ascii="宋体" w:hAnsi="宋体"/>
          <w:b/>
          <w:bCs/>
          <w:szCs w:val="21"/>
        </w:rPr>
        <w:t>15.8 投标文件所有要求签署的地方必须以不褪色的墨水签署。</w:t>
      </w:r>
    </w:p>
    <w:p>
      <w:pPr>
        <w:tabs>
          <w:tab w:val="left" w:pos="0"/>
        </w:tabs>
        <w:spacing w:line="420" w:lineRule="exact"/>
        <w:rPr>
          <w:rFonts w:hint="eastAsia" w:ascii="宋体" w:hAnsi="宋体"/>
          <w:szCs w:val="21"/>
        </w:rPr>
      </w:pPr>
      <w:r>
        <w:rPr>
          <w:rFonts w:hint="eastAsia" w:ascii="宋体" w:hAnsi="宋体"/>
          <w:szCs w:val="21"/>
        </w:rPr>
        <w:tab/>
      </w:r>
      <w:r>
        <w:rPr>
          <w:rFonts w:ascii="宋体" w:hAnsi="宋体"/>
          <w:szCs w:val="21"/>
        </w:rPr>
        <w:t>1</w:t>
      </w:r>
      <w:r>
        <w:rPr>
          <w:rFonts w:hint="eastAsia" w:ascii="宋体" w:hAnsi="宋体"/>
          <w:szCs w:val="21"/>
        </w:rPr>
        <w:t>5.9 投标文件不得涂改和增删，如有修改错漏处，必须由同一签署人签字或盖章。因字迹潦草或表达不清所引起的后果由投标人负责。</w:t>
      </w:r>
    </w:p>
    <w:p>
      <w:pPr>
        <w:tabs>
          <w:tab w:val="left" w:pos="0"/>
        </w:tabs>
        <w:spacing w:line="420" w:lineRule="exact"/>
        <w:rPr>
          <w:rFonts w:ascii="宋体" w:hAnsi="宋体"/>
          <w:szCs w:val="21"/>
        </w:rPr>
      </w:pPr>
    </w:p>
    <w:p>
      <w:pPr>
        <w:pStyle w:val="4"/>
        <w:widowControl w:val="0"/>
        <w:adjustRightInd w:val="0"/>
        <w:spacing w:line="240" w:lineRule="auto"/>
        <w:jc w:val="center"/>
        <w:textAlignment w:val="baseline"/>
        <w:rPr>
          <w:rFonts w:ascii="宋体" w:hAnsi="宋体" w:eastAsia="宋体"/>
          <w:b w:val="0"/>
          <w:sz w:val="28"/>
          <w:szCs w:val="28"/>
        </w:rPr>
      </w:pPr>
      <w:bookmarkStart w:id="91" w:name="_Toc17967"/>
      <w:bookmarkStart w:id="92" w:name="_Toc10657"/>
      <w:bookmarkStart w:id="93" w:name="_Toc32335"/>
      <w:bookmarkStart w:id="94" w:name="_Toc404692903"/>
      <w:bookmarkStart w:id="95" w:name="_Toc498091087"/>
      <w:bookmarkStart w:id="96" w:name="_Toc334173492"/>
      <w:r>
        <w:rPr>
          <w:rFonts w:hint="eastAsia" w:ascii="宋体" w:hAnsi="宋体" w:eastAsia="宋体"/>
          <w:b w:val="0"/>
          <w:sz w:val="28"/>
          <w:szCs w:val="28"/>
        </w:rPr>
        <w:t>五、投标文件的递交</w:t>
      </w:r>
      <w:bookmarkEnd w:id="91"/>
      <w:bookmarkEnd w:id="92"/>
      <w:bookmarkEnd w:id="93"/>
      <w:bookmarkEnd w:id="94"/>
      <w:bookmarkEnd w:id="95"/>
      <w:bookmarkEnd w:id="96"/>
    </w:p>
    <w:p>
      <w:pPr>
        <w:tabs>
          <w:tab w:val="left" w:pos="0"/>
        </w:tabs>
        <w:spacing w:line="420" w:lineRule="exact"/>
        <w:ind w:firstLine="420"/>
        <w:rPr>
          <w:rFonts w:ascii="宋体" w:hAnsi="宋体"/>
          <w:szCs w:val="21"/>
        </w:rPr>
      </w:pPr>
      <w:r>
        <w:rPr>
          <w:rFonts w:hint="eastAsia" w:ascii="宋体" w:hAnsi="宋体"/>
          <w:szCs w:val="21"/>
        </w:rPr>
        <w:t xml:space="preserve"> </w:t>
      </w:r>
    </w:p>
    <w:p>
      <w:pPr>
        <w:tabs>
          <w:tab w:val="left" w:pos="0"/>
        </w:tabs>
        <w:spacing w:line="360" w:lineRule="auto"/>
        <w:ind w:firstLine="420"/>
        <w:rPr>
          <w:rFonts w:ascii="黑体" w:hAnsi="黑体" w:eastAsia="黑体"/>
          <w:szCs w:val="21"/>
        </w:rPr>
      </w:pPr>
      <w:r>
        <w:rPr>
          <w:rFonts w:hint="eastAsia" w:ascii="黑体" w:hAnsi="黑体" w:eastAsia="黑体"/>
          <w:szCs w:val="21"/>
        </w:rPr>
        <w:t>16. 投标文件的密封及标记</w:t>
      </w:r>
    </w:p>
    <w:p>
      <w:pPr>
        <w:tabs>
          <w:tab w:val="left" w:pos="0"/>
        </w:tabs>
        <w:spacing w:line="360" w:lineRule="auto"/>
        <w:ind w:firstLine="420"/>
        <w:rPr>
          <w:rFonts w:ascii="宋体" w:hAnsi="宋体"/>
          <w:b/>
          <w:szCs w:val="21"/>
        </w:rPr>
      </w:pPr>
      <w:r>
        <w:rPr>
          <w:rFonts w:hint="eastAsia" w:ascii="宋体" w:hAnsi="宋体"/>
          <w:szCs w:val="21"/>
        </w:rPr>
        <w:t>16.1投</w:t>
      </w:r>
      <w:r>
        <w:rPr>
          <w:rFonts w:ascii="宋体" w:hAnsi="宋体"/>
          <w:szCs w:val="21"/>
        </w:rPr>
        <w:t>标</w:t>
      </w:r>
      <w:r>
        <w:rPr>
          <w:rFonts w:hint="eastAsia" w:ascii="宋体" w:hAnsi="宋体"/>
          <w:szCs w:val="21"/>
        </w:rPr>
        <w:t>人</w:t>
      </w:r>
      <w:r>
        <w:rPr>
          <w:rFonts w:ascii="宋体" w:hAnsi="宋体"/>
          <w:szCs w:val="21"/>
        </w:rPr>
        <w:t>应将</w:t>
      </w:r>
      <w:r>
        <w:rPr>
          <w:rFonts w:hint="eastAsia" w:ascii="宋体" w:hAnsi="宋体"/>
          <w:szCs w:val="21"/>
        </w:rPr>
        <w:t>资格技术文件和投标报价文件分别</w:t>
      </w:r>
      <w:r>
        <w:rPr>
          <w:rFonts w:ascii="宋体" w:hAnsi="宋体"/>
          <w:szCs w:val="21"/>
        </w:rPr>
        <w:t>装订</w:t>
      </w:r>
      <w:r>
        <w:rPr>
          <w:rFonts w:hint="eastAsia" w:ascii="宋体" w:hAnsi="宋体"/>
          <w:szCs w:val="21"/>
        </w:rPr>
        <w:t>成</w:t>
      </w:r>
      <w:r>
        <w:rPr>
          <w:rFonts w:ascii="宋体" w:hAnsi="宋体"/>
          <w:szCs w:val="21"/>
        </w:rPr>
        <w:t>册</w:t>
      </w:r>
      <w:r>
        <w:rPr>
          <w:rFonts w:hint="eastAsia" w:ascii="宋体" w:hAnsi="宋体"/>
          <w:szCs w:val="21"/>
        </w:rPr>
        <w:t>，且在每本投保文件封面上</w:t>
      </w:r>
      <w:r>
        <w:rPr>
          <w:rFonts w:ascii="宋体" w:hAnsi="宋体"/>
          <w:szCs w:val="21"/>
        </w:rPr>
        <w:t>标</w:t>
      </w:r>
      <w:r>
        <w:rPr>
          <w:rFonts w:hint="eastAsia" w:ascii="宋体" w:hAnsi="宋体"/>
          <w:szCs w:val="21"/>
        </w:rPr>
        <w:t>明“正本”或“副本”字</w:t>
      </w:r>
      <w:r>
        <w:rPr>
          <w:rFonts w:ascii="宋体" w:hAnsi="宋体"/>
          <w:szCs w:val="21"/>
        </w:rPr>
        <w:t>样</w:t>
      </w:r>
      <w:r>
        <w:rPr>
          <w:rFonts w:hint="eastAsia" w:ascii="宋体" w:hAnsi="宋体"/>
          <w:szCs w:val="21"/>
        </w:rPr>
        <w:t>；</w:t>
      </w:r>
      <w:r>
        <w:rPr>
          <w:rFonts w:hint="eastAsia" w:ascii="宋体" w:hAnsi="宋体"/>
          <w:b/>
          <w:szCs w:val="21"/>
        </w:rPr>
        <w:t>按资格技术文件和投标报价文件两类分别密封封装。各标包分别密封封装。</w:t>
      </w:r>
    </w:p>
    <w:p>
      <w:pPr>
        <w:spacing w:line="360" w:lineRule="auto"/>
        <w:ind w:firstLine="411" w:firstLineChars="196"/>
        <w:rPr>
          <w:rFonts w:ascii="宋体" w:hAnsi="宋体"/>
          <w:szCs w:val="21"/>
        </w:rPr>
      </w:pPr>
      <w:r>
        <w:rPr>
          <w:rFonts w:hint="eastAsia" w:ascii="宋体" w:hAnsi="宋体"/>
          <w:szCs w:val="21"/>
        </w:rPr>
        <w:t>16.1.1如果要求投标人提供合同原件、资质原件或</w:t>
      </w:r>
      <w:r>
        <w:rPr>
          <w:rFonts w:ascii="宋体" w:hAnsi="宋体"/>
          <w:szCs w:val="21"/>
        </w:rPr>
        <w:t>样</w:t>
      </w:r>
      <w:r>
        <w:rPr>
          <w:rFonts w:hint="eastAsia" w:ascii="宋体" w:hAnsi="宋体"/>
          <w:szCs w:val="21"/>
        </w:rPr>
        <w:t>品，</w:t>
      </w:r>
      <w:r>
        <w:rPr>
          <w:rFonts w:ascii="宋体" w:hAnsi="宋体"/>
          <w:szCs w:val="21"/>
        </w:rPr>
        <w:t>应单独</w:t>
      </w:r>
      <w:r>
        <w:rPr>
          <w:rFonts w:hint="eastAsia" w:ascii="宋体" w:hAnsi="宋体"/>
          <w:szCs w:val="21"/>
        </w:rPr>
        <w:t>包封并注明其内容，以便评标委员会查阅后退回投标人。</w:t>
      </w:r>
    </w:p>
    <w:p>
      <w:pPr>
        <w:spacing w:line="360" w:lineRule="auto"/>
        <w:ind w:firstLine="411" w:firstLineChars="196"/>
        <w:rPr>
          <w:rFonts w:ascii="宋体" w:hAnsi="宋体"/>
          <w:szCs w:val="21"/>
        </w:rPr>
      </w:pPr>
      <w:r>
        <w:rPr>
          <w:rFonts w:hint="eastAsia" w:ascii="宋体" w:hAnsi="宋体"/>
          <w:szCs w:val="21"/>
        </w:rPr>
        <w:t>16.1.2如果要求投标人提供如光盘等一次性介质，则该介质必须作为投标文件的一部分与投标文件封装在一个包封中。</w:t>
      </w:r>
    </w:p>
    <w:p>
      <w:pPr>
        <w:tabs>
          <w:tab w:val="left" w:pos="0"/>
        </w:tabs>
        <w:spacing w:line="360" w:lineRule="auto"/>
        <w:ind w:firstLine="420"/>
        <w:rPr>
          <w:rFonts w:hint="eastAsia" w:ascii="宋体" w:hAnsi="宋体"/>
          <w:szCs w:val="21"/>
        </w:rPr>
      </w:pPr>
      <w:r>
        <w:rPr>
          <w:rFonts w:hint="eastAsia" w:ascii="宋体" w:hAnsi="宋体"/>
          <w:szCs w:val="21"/>
        </w:rPr>
        <w:t>16.1.4注明下列</w:t>
      </w:r>
      <w:r>
        <w:rPr>
          <w:rFonts w:ascii="宋体" w:hAnsi="宋体"/>
          <w:szCs w:val="21"/>
        </w:rPr>
        <w:t>识别标</w:t>
      </w:r>
      <w:r>
        <w:rPr>
          <w:rFonts w:hint="eastAsia" w:ascii="宋体" w:hAnsi="宋体"/>
          <w:szCs w:val="21"/>
        </w:rPr>
        <w:t>志：投标文件的外包装封皮上应注明招标项目名</w:t>
      </w:r>
      <w:r>
        <w:rPr>
          <w:rFonts w:ascii="宋体" w:hAnsi="宋体"/>
          <w:szCs w:val="21"/>
        </w:rPr>
        <w:t>称、</w:t>
      </w:r>
      <w:r>
        <w:rPr>
          <w:rFonts w:hint="eastAsia" w:ascii="宋体" w:hAnsi="宋体"/>
          <w:szCs w:val="21"/>
        </w:rPr>
        <w:t>投标文件类型、招标项目</w:t>
      </w:r>
      <w:r>
        <w:rPr>
          <w:rFonts w:ascii="宋体" w:hAnsi="宋体"/>
          <w:szCs w:val="21"/>
        </w:rPr>
        <w:t>编号</w:t>
      </w:r>
      <w:r>
        <w:rPr>
          <w:rFonts w:hint="eastAsia" w:ascii="宋体" w:hAnsi="宋体"/>
          <w:szCs w:val="21"/>
        </w:rPr>
        <w:t>、标包号和“北京</w:t>
      </w:r>
      <w:r>
        <w:rPr>
          <w:rFonts w:ascii="宋体" w:hAnsi="宋体"/>
          <w:szCs w:val="21"/>
        </w:rPr>
        <w:t>时间</w:t>
      </w:r>
      <w:r>
        <w:rPr>
          <w:rFonts w:hint="eastAsia" w:ascii="宋体" w:hAnsi="宋体"/>
          <w:szCs w:val="21"/>
        </w:rPr>
        <w:t xml:space="preserve">    年  月  日</w:t>
      </w:r>
      <w:r>
        <w:rPr>
          <w:rFonts w:ascii="宋体" w:hAnsi="宋体"/>
          <w:szCs w:val="21"/>
        </w:rPr>
        <w:t>时</w:t>
      </w:r>
      <w:r>
        <w:rPr>
          <w:rFonts w:hint="eastAsia" w:ascii="宋体" w:hAnsi="宋体"/>
          <w:szCs w:val="21"/>
        </w:rPr>
        <w:t xml:space="preserve">  分之前不</w:t>
      </w:r>
      <w:r>
        <w:rPr>
          <w:rFonts w:ascii="宋体" w:hAnsi="宋体"/>
          <w:szCs w:val="21"/>
        </w:rPr>
        <w:t>得启</w:t>
      </w:r>
      <w:r>
        <w:rPr>
          <w:rFonts w:hint="eastAsia" w:ascii="宋体" w:hAnsi="宋体"/>
          <w:szCs w:val="21"/>
        </w:rPr>
        <w:t>封”的字</w:t>
      </w:r>
      <w:r>
        <w:rPr>
          <w:rFonts w:ascii="宋体" w:hAnsi="宋体"/>
          <w:szCs w:val="21"/>
        </w:rPr>
        <w:t>样</w:t>
      </w:r>
      <w:r>
        <w:rPr>
          <w:rFonts w:hint="eastAsia" w:ascii="宋体" w:hAnsi="宋体"/>
          <w:szCs w:val="21"/>
        </w:rPr>
        <w:t>（具体</w:t>
      </w:r>
      <w:r>
        <w:rPr>
          <w:rFonts w:ascii="宋体" w:hAnsi="宋体"/>
          <w:szCs w:val="21"/>
        </w:rPr>
        <w:t>时间详见</w:t>
      </w:r>
      <w:r>
        <w:rPr>
          <w:rFonts w:hint="eastAsia" w:ascii="宋体" w:hAnsi="宋体"/>
          <w:szCs w:val="21"/>
        </w:rPr>
        <w:t>招标文件第一章“</w:t>
      </w:r>
      <w:r>
        <w:rPr>
          <w:rFonts w:ascii="宋体" w:hAnsi="宋体"/>
          <w:szCs w:val="21"/>
        </w:rPr>
        <w:t>招标</w:t>
      </w:r>
      <w:r>
        <w:rPr>
          <w:rFonts w:hint="eastAsia" w:ascii="宋体" w:hAnsi="宋体"/>
          <w:szCs w:val="21"/>
        </w:rPr>
        <w:t>公告”</w:t>
      </w:r>
      <w:r>
        <w:rPr>
          <w:rFonts w:ascii="宋体" w:hAnsi="宋体"/>
          <w:szCs w:val="21"/>
        </w:rPr>
        <w:t>规</w:t>
      </w:r>
      <w:r>
        <w:rPr>
          <w:rFonts w:hint="eastAsia" w:ascii="宋体" w:hAnsi="宋体"/>
          <w:szCs w:val="21"/>
        </w:rPr>
        <w:t>定的投</w:t>
      </w:r>
      <w:r>
        <w:rPr>
          <w:rFonts w:ascii="宋体" w:hAnsi="宋体"/>
          <w:szCs w:val="21"/>
        </w:rPr>
        <w:t>标截止时间</w:t>
      </w:r>
      <w:r>
        <w:rPr>
          <w:rFonts w:hint="eastAsia" w:ascii="宋体" w:hAnsi="宋体"/>
          <w:szCs w:val="21"/>
        </w:rPr>
        <w:t>），注明“资格技术文件”和“投标报价文件”，并加</w:t>
      </w:r>
      <w:r>
        <w:rPr>
          <w:rFonts w:ascii="宋体" w:hAnsi="宋体"/>
          <w:szCs w:val="21"/>
        </w:rPr>
        <w:t>盖</w:t>
      </w:r>
      <w:r>
        <w:rPr>
          <w:rFonts w:hint="eastAsia" w:ascii="宋体" w:hAnsi="宋体"/>
          <w:szCs w:val="21"/>
        </w:rPr>
        <w:t>投</w:t>
      </w:r>
      <w:r>
        <w:rPr>
          <w:rFonts w:ascii="宋体" w:hAnsi="宋体"/>
          <w:szCs w:val="21"/>
        </w:rPr>
        <w:t>标</w:t>
      </w:r>
      <w:r>
        <w:rPr>
          <w:rFonts w:hint="eastAsia" w:ascii="宋体" w:hAnsi="宋体"/>
          <w:szCs w:val="21"/>
        </w:rPr>
        <w:t>人公章。</w:t>
      </w:r>
    </w:p>
    <w:p>
      <w:pPr>
        <w:spacing w:line="360" w:lineRule="auto"/>
        <w:ind w:firstLine="420" w:firstLineChars="200"/>
        <w:rPr>
          <w:rFonts w:hint="eastAsia" w:ascii="宋体" w:hAnsi="宋体"/>
          <w:szCs w:val="21"/>
        </w:rPr>
      </w:pPr>
      <w:r>
        <w:rPr>
          <w:rFonts w:hint="eastAsia" w:ascii="宋体" w:hAnsi="宋体"/>
          <w:szCs w:val="21"/>
        </w:rPr>
        <w:t>16.1.5</w:t>
      </w:r>
      <w:r>
        <w:rPr>
          <w:rFonts w:hint="eastAsia"/>
          <w:szCs w:val="21"/>
        </w:rPr>
        <w:t>“</w:t>
      </w:r>
      <w:r>
        <w:rPr>
          <w:rFonts w:hint="eastAsia"/>
        </w:rPr>
        <w:t>资格技术文件</w:t>
      </w:r>
      <w:r>
        <w:rPr>
          <w:rFonts w:hint="eastAsia"/>
          <w:szCs w:val="21"/>
        </w:rPr>
        <w:t>”正本1份、副本</w:t>
      </w:r>
      <w:r>
        <w:rPr>
          <w:rFonts w:hint="eastAsia"/>
          <w:szCs w:val="21"/>
          <w:lang w:val="en-US" w:eastAsia="zh-CN"/>
        </w:rPr>
        <w:t>7</w:t>
      </w:r>
      <w:r>
        <w:rPr>
          <w:rFonts w:hint="eastAsia"/>
          <w:szCs w:val="21"/>
        </w:rPr>
        <w:t>份（含其他招标文件要求的资料）密封在“资格技术文件”包封中；“投标报价文件”正本1份、副本</w:t>
      </w:r>
      <w:r>
        <w:rPr>
          <w:rFonts w:hint="eastAsia"/>
          <w:szCs w:val="21"/>
          <w:lang w:val="en-US" w:eastAsia="zh-CN"/>
        </w:rPr>
        <w:t>7</w:t>
      </w:r>
      <w:r>
        <w:rPr>
          <w:rFonts w:hint="eastAsia"/>
          <w:szCs w:val="21"/>
        </w:rPr>
        <w:t>份（含其他招标文件要求的资料）密封在“投标报价文件”包封中；并正确标明“资格技术文件”、“投标报价文件”及其他相关信息。</w:t>
      </w:r>
    </w:p>
    <w:p>
      <w:pPr>
        <w:tabs>
          <w:tab w:val="left" w:pos="0"/>
        </w:tabs>
        <w:spacing w:line="420" w:lineRule="exact"/>
        <w:ind w:firstLine="420"/>
        <w:rPr>
          <w:rFonts w:ascii="宋体" w:hAnsi="宋体"/>
          <w:szCs w:val="21"/>
        </w:rPr>
      </w:pPr>
      <w:r>
        <w:rPr>
          <w:rFonts w:ascii="宋体" w:hAnsi="宋体"/>
          <w:szCs w:val="21"/>
        </w:rPr>
        <w:t>1</w:t>
      </w:r>
      <w:r>
        <w:rPr>
          <w:rFonts w:hint="eastAsia" w:ascii="宋体" w:hAnsi="宋体"/>
          <w:szCs w:val="21"/>
        </w:rPr>
        <w:t>6</w:t>
      </w:r>
      <w:r>
        <w:rPr>
          <w:rFonts w:ascii="宋体" w:hAnsi="宋体"/>
          <w:szCs w:val="21"/>
        </w:rPr>
        <w:t>.</w:t>
      </w:r>
      <w:r>
        <w:rPr>
          <w:rFonts w:hint="eastAsia" w:ascii="宋体" w:hAnsi="宋体"/>
          <w:szCs w:val="21"/>
        </w:rPr>
        <w:t>2</w:t>
      </w:r>
      <w:r>
        <w:rPr>
          <w:rFonts w:ascii="宋体" w:hAnsi="宋体"/>
          <w:szCs w:val="21"/>
        </w:rPr>
        <w:t xml:space="preserve"> </w:t>
      </w:r>
      <w:r>
        <w:rPr>
          <w:rFonts w:hint="eastAsia" w:ascii="宋体" w:hAnsi="宋体"/>
          <w:szCs w:val="21"/>
        </w:rPr>
        <w:t>如果投标人未按第</w:t>
      </w:r>
      <w:r>
        <w:rPr>
          <w:rFonts w:ascii="宋体" w:hAnsi="宋体"/>
          <w:szCs w:val="21"/>
        </w:rPr>
        <w:t>1</w:t>
      </w:r>
      <w:r>
        <w:rPr>
          <w:rFonts w:hint="eastAsia" w:ascii="宋体" w:hAnsi="宋体"/>
          <w:szCs w:val="21"/>
        </w:rPr>
        <w:t>6</w:t>
      </w:r>
      <w:r>
        <w:rPr>
          <w:rFonts w:ascii="宋体" w:hAnsi="宋体"/>
          <w:szCs w:val="21"/>
        </w:rPr>
        <w:t>.</w:t>
      </w:r>
      <w:r>
        <w:rPr>
          <w:rFonts w:hint="eastAsia" w:ascii="宋体" w:hAnsi="宋体"/>
          <w:szCs w:val="21"/>
        </w:rPr>
        <w:t>1</w:t>
      </w:r>
      <w:r>
        <w:rPr>
          <w:rFonts w:ascii="宋体" w:hAnsi="宋体"/>
          <w:szCs w:val="21"/>
        </w:rPr>
        <w:t>条</w:t>
      </w:r>
      <w:r>
        <w:rPr>
          <w:rFonts w:hint="eastAsia" w:ascii="宋体" w:hAnsi="宋体"/>
          <w:szCs w:val="21"/>
        </w:rPr>
        <w:t>要求密封和</w:t>
      </w:r>
      <w:r>
        <w:rPr>
          <w:rFonts w:ascii="宋体" w:hAnsi="宋体"/>
          <w:szCs w:val="21"/>
        </w:rPr>
        <w:t>标记</w:t>
      </w:r>
      <w:r>
        <w:rPr>
          <w:rFonts w:hint="eastAsia" w:ascii="宋体" w:hAnsi="宋体"/>
          <w:szCs w:val="21"/>
        </w:rPr>
        <w:t>，集中采</w:t>
      </w:r>
      <w:r>
        <w:rPr>
          <w:rFonts w:ascii="宋体" w:hAnsi="宋体"/>
          <w:szCs w:val="21"/>
        </w:rPr>
        <w:t>购</w:t>
      </w:r>
      <w:r>
        <w:rPr>
          <w:rFonts w:hint="eastAsia" w:ascii="宋体" w:hAnsi="宋体"/>
          <w:szCs w:val="21"/>
        </w:rPr>
        <w:t>机构</w:t>
      </w:r>
      <w:r>
        <w:rPr>
          <w:rFonts w:ascii="宋体" w:hAnsi="宋体"/>
          <w:szCs w:val="21"/>
        </w:rPr>
        <w:t>对</w:t>
      </w:r>
      <w:r>
        <w:rPr>
          <w:rFonts w:hint="eastAsia" w:ascii="宋体" w:hAnsi="宋体"/>
          <w:szCs w:val="21"/>
        </w:rPr>
        <w:t>投标文件的</w:t>
      </w:r>
      <w:r>
        <w:rPr>
          <w:rFonts w:ascii="宋体" w:hAnsi="宋体"/>
          <w:szCs w:val="21"/>
        </w:rPr>
        <w:t>误</w:t>
      </w:r>
      <w:r>
        <w:rPr>
          <w:rFonts w:hint="eastAsia" w:ascii="宋体" w:hAnsi="宋体"/>
          <w:szCs w:val="21"/>
        </w:rPr>
        <w:t>投、错投</w:t>
      </w:r>
      <w:r>
        <w:rPr>
          <w:rFonts w:ascii="宋体" w:hAnsi="宋体"/>
          <w:szCs w:val="21"/>
        </w:rPr>
        <w:t>或</w:t>
      </w:r>
      <w:r>
        <w:rPr>
          <w:rFonts w:hint="eastAsia" w:ascii="宋体" w:hAnsi="宋体"/>
          <w:szCs w:val="21"/>
        </w:rPr>
        <w:t>提前</w:t>
      </w:r>
      <w:r>
        <w:rPr>
          <w:rFonts w:ascii="宋体" w:hAnsi="宋体"/>
          <w:szCs w:val="21"/>
        </w:rPr>
        <w:t>启</w:t>
      </w:r>
      <w:r>
        <w:rPr>
          <w:rFonts w:hint="eastAsia" w:ascii="宋体" w:hAnsi="宋体"/>
          <w:szCs w:val="21"/>
        </w:rPr>
        <w:t>封概不</w:t>
      </w:r>
      <w:r>
        <w:rPr>
          <w:rFonts w:ascii="宋体" w:hAnsi="宋体"/>
          <w:szCs w:val="21"/>
        </w:rPr>
        <w:t>负责</w:t>
      </w:r>
      <w:r>
        <w:rPr>
          <w:rFonts w:hint="eastAsia" w:ascii="宋体" w:hAnsi="宋体"/>
          <w:szCs w:val="21"/>
        </w:rPr>
        <w:t>。</w:t>
      </w:r>
      <w:r>
        <w:rPr>
          <w:rFonts w:ascii="宋体" w:hAnsi="宋体"/>
          <w:szCs w:val="21"/>
        </w:rPr>
        <w:t>对</w:t>
      </w:r>
      <w:r>
        <w:rPr>
          <w:rFonts w:hint="eastAsia" w:ascii="宋体" w:hAnsi="宋体"/>
          <w:szCs w:val="21"/>
        </w:rPr>
        <w:t>由此造成提前启封的投</w:t>
      </w:r>
      <w:r>
        <w:rPr>
          <w:rFonts w:ascii="宋体" w:hAnsi="宋体"/>
          <w:szCs w:val="21"/>
        </w:rPr>
        <w:t>标</w:t>
      </w:r>
      <w:r>
        <w:rPr>
          <w:rFonts w:hint="eastAsia" w:ascii="宋体" w:hAnsi="宋体"/>
          <w:szCs w:val="21"/>
        </w:rPr>
        <w:t>文件，集中采</w:t>
      </w:r>
      <w:r>
        <w:rPr>
          <w:rFonts w:ascii="宋体" w:hAnsi="宋体"/>
          <w:szCs w:val="21"/>
        </w:rPr>
        <w:t>购</w:t>
      </w:r>
      <w:r>
        <w:rPr>
          <w:rFonts w:hint="eastAsia" w:ascii="宋体" w:hAnsi="宋体"/>
          <w:szCs w:val="21"/>
        </w:rPr>
        <w:t>机构</w:t>
      </w:r>
      <w:r>
        <w:rPr>
          <w:rFonts w:ascii="宋体" w:hAnsi="宋体"/>
          <w:szCs w:val="21"/>
        </w:rPr>
        <w:t>将</w:t>
      </w:r>
      <w:r>
        <w:rPr>
          <w:rFonts w:hint="eastAsia" w:ascii="宋体" w:hAnsi="宋体"/>
          <w:szCs w:val="21"/>
        </w:rPr>
        <w:t>予以拒</w:t>
      </w:r>
      <w:r>
        <w:rPr>
          <w:rFonts w:ascii="宋体" w:hAnsi="宋体"/>
          <w:szCs w:val="21"/>
        </w:rPr>
        <w:t>绝</w:t>
      </w:r>
      <w:r>
        <w:rPr>
          <w:rFonts w:hint="eastAsia" w:ascii="宋体" w:hAnsi="宋体"/>
          <w:szCs w:val="21"/>
        </w:rPr>
        <w:t>，并退回投</w:t>
      </w:r>
      <w:r>
        <w:rPr>
          <w:rFonts w:ascii="宋体" w:hAnsi="宋体"/>
          <w:szCs w:val="21"/>
        </w:rPr>
        <w:t>标</w:t>
      </w:r>
      <w:r>
        <w:rPr>
          <w:rFonts w:hint="eastAsia" w:ascii="宋体" w:hAnsi="宋体"/>
          <w:szCs w:val="21"/>
        </w:rPr>
        <w:t>人。</w:t>
      </w:r>
    </w:p>
    <w:p>
      <w:pPr>
        <w:tabs>
          <w:tab w:val="left" w:pos="0"/>
        </w:tabs>
        <w:spacing w:line="420" w:lineRule="exact"/>
        <w:ind w:firstLine="420"/>
        <w:rPr>
          <w:rFonts w:ascii="宋体" w:hAnsi="宋体"/>
          <w:szCs w:val="21"/>
        </w:rPr>
      </w:pPr>
      <w:r>
        <w:rPr>
          <w:rFonts w:hint="eastAsia" w:ascii="宋体" w:hAnsi="宋体"/>
          <w:szCs w:val="21"/>
        </w:rPr>
        <w:t>16.3投</w:t>
      </w:r>
      <w:r>
        <w:rPr>
          <w:rFonts w:ascii="宋体" w:hAnsi="宋体"/>
          <w:szCs w:val="21"/>
        </w:rPr>
        <w:t>标</w:t>
      </w:r>
      <w:r>
        <w:rPr>
          <w:rFonts w:hint="eastAsia" w:ascii="宋体" w:hAnsi="宋体"/>
          <w:szCs w:val="21"/>
        </w:rPr>
        <w:t>人在投</w:t>
      </w:r>
      <w:r>
        <w:rPr>
          <w:rFonts w:ascii="宋体" w:hAnsi="宋体"/>
          <w:szCs w:val="21"/>
        </w:rPr>
        <w:t>标时</w:t>
      </w:r>
      <w:r>
        <w:rPr>
          <w:rFonts w:hint="eastAsia" w:ascii="宋体" w:hAnsi="宋体"/>
          <w:szCs w:val="21"/>
        </w:rPr>
        <w:t>有下列情形之一的，集中采</w:t>
      </w:r>
      <w:r>
        <w:rPr>
          <w:rFonts w:ascii="宋体" w:hAnsi="宋体"/>
          <w:szCs w:val="21"/>
        </w:rPr>
        <w:t>购</w:t>
      </w:r>
      <w:r>
        <w:rPr>
          <w:rFonts w:hint="eastAsia" w:ascii="宋体" w:hAnsi="宋体"/>
          <w:szCs w:val="21"/>
        </w:rPr>
        <w:t>机构</w:t>
      </w:r>
      <w:r>
        <w:rPr>
          <w:rFonts w:ascii="宋体" w:hAnsi="宋体"/>
          <w:szCs w:val="21"/>
        </w:rPr>
        <w:t>将</w:t>
      </w:r>
      <w:r>
        <w:rPr>
          <w:rFonts w:hint="eastAsia" w:ascii="宋体" w:hAnsi="宋体"/>
          <w:szCs w:val="21"/>
        </w:rPr>
        <w:t>拒</w:t>
      </w:r>
      <w:r>
        <w:rPr>
          <w:rFonts w:ascii="宋体" w:hAnsi="宋体"/>
          <w:szCs w:val="21"/>
        </w:rPr>
        <w:t>绝接</w:t>
      </w:r>
      <w:r>
        <w:rPr>
          <w:rFonts w:hint="eastAsia" w:ascii="宋体" w:hAnsi="宋体"/>
          <w:szCs w:val="21"/>
        </w:rPr>
        <w:t>受其投</w:t>
      </w:r>
      <w:r>
        <w:rPr>
          <w:rFonts w:ascii="宋体" w:hAnsi="宋体"/>
          <w:szCs w:val="21"/>
        </w:rPr>
        <w:t>标</w:t>
      </w:r>
      <w:r>
        <w:rPr>
          <w:rFonts w:hint="eastAsia" w:ascii="宋体" w:hAnsi="宋体"/>
          <w:szCs w:val="21"/>
        </w:rPr>
        <w:t>文件：</w:t>
      </w:r>
    </w:p>
    <w:p>
      <w:pPr>
        <w:tabs>
          <w:tab w:val="left" w:pos="0"/>
        </w:tabs>
        <w:spacing w:line="420" w:lineRule="exact"/>
        <w:ind w:firstLine="42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）在招标文件</w:t>
      </w:r>
      <w:r>
        <w:rPr>
          <w:rFonts w:ascii="宋体" w:hAnsi="宋体"/>
          <w:szCs w:val="21"/>
        </w:rPr>
        <w:t>规</w:t>
      </w:r>
      <w:r>
        <w:rPr>
          <w:rFonts w:hint="eastAsia" w:ascii="宋体" w:hAnsi="宋体"/>
          <w:szCs w:val="21"/>
        </w:rPr>
        <w:t>定的投</w:t>
      </w:r>
      <w:r>
        <w:rPr>
          <w:rFonts w:ascii="宋体" w:hAnsi="宋体"/>
          <w:szCs w:val="21"/>
        </w:rPr>
        <w:t>标截止时间之</w:t>
      </w:r>
      <w:r>
        <w:rPr>
          <w:rFonts w:hint="eastAsia" w:ascii="宋体" w:hAnsi="宋体"/>
          <w:szCs w:val="21"/>
        </w:rPr>
        <w:t>后投</w:t>
      </w:r>
      <w:r>
        <w:rPr>
          <w:rFonts w:ascii="宋体" w:hAnsi="宋体"/>
          <w:szCs w:val="21"/>
        </w:rPr>
        <w:t>标</w:t>
      </w:r>
      <w:r>
        <w:rPr>
          <w:rFonts w:hint="eastAsia" w:ascii="宋体" w:hAnsi="宋体"/>
          <w:szCs w:val="21"/>
        </w:rPr>
        <w:t>的；</w:t>
      </w:r>
    </w:p>
    <w:p>
      <w:pPr>
        <w:tabs>
          <w:tab w:val="left" w:pos="0"/>
        </w:tabs>
        <w:spacing w:line="420" w:lineRule="exact"/>
        <w:ind w:firstLine="420"/>
        <w:rPr>
          <w:rFonts w:hint="eastAsia" w:ascii="宋体" w:hAnsi="宋体" w:eastAsia="宋体"/>
          <w:szCs w:val="21"/>
          <w:lang w:eastAsia="zh-CN"/>
        </w:rPr>
      </w:pPr>
      <w:r>
        <w:rPr>
          <w:rFonts w:hint="eastAsia" w:ascii="宋体" w:hAnsi="宋体"/>
          <w:szCs w:val="21"/>
        </w:rPr>
        <w:t>（</w:t>
      </w:r>
      <w:r>
        <w:rPr>
          <w:rFonts w:ascii="宋体" w:hAnsi="宋体"/>
          <w:szCs w:val="21"/>
        </w:rPr>
        <w:t>2</w:t>
      </w:r>
      <w:r>
        <w:rPr>
          <w:rFonts w:hint="eastAsia" w:ascii="宋体" w:hAnsi="宋体"/>
          <w:szCs w:val="21"/>
        </w:rPr>
        <w:t>）投</w:t>
      </w:r>
      <w:r>
        <w:rPr>
          <w:rFonts w:ascii="宋体" w:hAnsi="宋体"/>
          <w:szCs w:val="21"/>
        </w:rPr>
        <w:t>标</w:t>
      </w:r>
      <w:r>
        <w:rPr>
          <w:rFonts w:hint="eastAsia" w:ascii="宋体" w:hAnsi="宋体"/>
          <w:szCs w:val="21"/>
        </w:rPr>
        <w:t>文件未按招标文件</w:t>
      </w:r>
      <w:r>
        <w:rPr>
          <w:rFonts w:ascii="宋体" w:hAnsi="宋体"/>
          <w:szCs w:val="21"/>
        </w:rPr>
        <w:t>规</w:t>
      </w:r>
      <w:r>
        <w:rPr>
          <w:rFonts w:hint="eastAsia" w:ascii="宋体" w:hAnsi="宋体"/>
          <w:szCs w:val="21"/>
        </w:rPr>
        <w:t>定密封的</w:t>
      </w:r>
      <w:r>
        <w:rPr>
          <w:rFonts w:hint="eastAsia" w:ascii="宋体" w:hAnsi="宋体"/>
          <w:szCs w:val="21"/>
          <w:lang w:val="en-US" w:eastAsia="zh-CN"/>
        </w:rPr>
        <w:t>。</w:t>
      </w:r>
    </w:p>
    <w:p>
      <w:pPr>
        <w:tabs>
          <w:tab w:val="left" w:pos="0"/>
        </w:tabs>
        <w:spacing w:line="420" w:lineRule="exact"/>
        <w:ind w:firstLine="420"/>
        <w:rPr>
          <w:rFonts w:ascii="黑体" w:hAnsi="黑体" w:eastAsia="黑体"/>
          <w:szCs w:val="21"/>
        </w:rPr>
      </w:pPr>
      <w:r>
        <w:rPr>
          <w:rFonts w:hint="eastAsia" w:ascii="黑体" w:hAnsi="黑体" w:eastAsia="黑体"/>
          <w:szCs w:val="21"/>
        </w:rPr>
        <w:t>17. 投标文件的修改和撤回</w:t>
      </w:r>
    </w:p>
    <w:p>
      <w:pPr>
        <w:tabs>
          <w:tab w:val="left" w:pos="0"/>
        </w:tabs>
        <w:spacing w:line="420" w:lineRule="exact"/>
        <w:ind w:firstLine="420"/>
        <w:rPr>
          <w:rFonts w:hint="eastAsia" w:ascii="宋体" w:hAnsi="宋体"/>
          <w:szCs w:val="21"/>
        </w:rPr>
      </w:pPr>
      <w:r>
        <w:rPr>
          <w:rFonts w:hint="eastAsia" w:ascii="宋体" w:hAnsi="宋体"/>
          <w:szCs w:val="21"/>
          <w:lang w:val="zh-CN"/>
        </w:rPr>
        <w:t>1</w:t>
      </w:r>
      <w:r>
        <w:rPr>
          <w:rFonts w:hint="eastAsia" w:ascii="宋体" w:hAnsi="宋体"/>
          <w:szCs w:val="21"/>
        </w:rPr>
        <w:t>7.1投标人在投标截止时间前，可以对所递交的投标文件进行补充、修改或撤回，撤回情况须书面通知集中采购机构。补充、修改的内容应当按照招标文件要求签署、盖章，并作为投标文件的组成部分，修改的内容</w:t>
      </w:r>
      <w:r>
        <w:rPr>
          <w:rFonts w:hint="eastAsia" w:ascii="宋体" w:hAnsi="宋体"/>
          <w:szCs w:val="21"/>
          <w:lang w:eastAsia="zh-CN"/>
        </w:rPr>
        <w:t>需</w:t>
      </w:r>
      <w:r>
        <w:rPr>
          <w:rFonts w:hint="eastAsia" w:ascii="宋体" w:hAnsi="宋体"/>
          <w:szCs w:val="21"/>
        </w:rPr>
        <w:t>密封提交。</w:t>
      </w:r>
    </w:p>
    <w:p>
      <w:pPr>
        <w:tabs>
          <w:tab w:val="left" w:pos="0"/>
        </w:tabs>
        <w:spacing w:line="420" w:lineRule="exact"/>
        <w:ind w:firstLine="420"/>
        <w:rPr>
          <w:rFonts w:hint="eastAsia" w:ascii="宋体" w:hAnsi="宋体"/>
          <w:szCs w:val="21"/>
        </w:rPr>
      </w:pPr>
      <w:r>
        <w:rPr>
          <w:rFonts w:hint="eastAsia" w:ascii="宋体" w:hAnsi="宋体"/>
          <w:szCs w:val="21"/>
        </w:rPr>
        <w:t>17</w:t>
      </w:r>
      <w:r>
        <w:rPr>
          <w:rFonts w:ascii="宋体" w:hAnsi="宋体"/>
          <w:szCs w:val="21"/>
        </w:rPr>
        <w:t>.</w:t>
      </w:r>
      <w:r>
        <w:rPr>
          <w:rFonts w:hint="eastAsia" w:ascii="宋体" w:hAnsi="宋体"/>
          <w:szCs w:val="21"/>
        </w:rPr>
        <w:t>2 投标截止时间之后，投标文件不得</w:t>
      </w:r>
      <w:r>
        <w:rPr>
          <w:rFonts w:hint="eastAsia" w:ascii="宋体" w:hAnsi="宋体"/>
          <w:szCs w:val="21"/>
          <w:lang w:eastAsia="zh-CN"/>
        </w:rPr>
        <w:t>撤销</w:t>
      </w:r>
      <w:r>
        <w:rPr>
          <w:rFonts w:hint="eastAsia" w:ascii="宋体" w:hAnsi="宋体"/>
          <w:szCs w:val="21"/>
        </w:rPr>
        <w:t>。如</w:t>
      </w:r>
      <w:r>
        <w:rPr>
          <w:rFonts w:hint="eastAsia" w:ascii="宋体" w:hAnsi="宋体"/>
          <w:szCs w:val="21"/>
          <w:lang w:eastAsia="zh-CN"/>
        </w:rPr>
        <w:t>在投标有效期内撤销投标文件</w:t>
      </w:r>
      <w:r>
        <w:rPr>
          <w:rFonts w:hint="eastAsia" w:ascii="宋体" w:hAnsi="宋体"/>
          <w:szCs w:val="21"/>
        </w:rPr>
        <w:t>的，追究其违约责任，并将此作为失信行为记录报政府采购监管部门。</w:t>
      </w:r>
    </w:p>
    <w:p>
      <w:pPr>
        <w:tabs>
          <w:tab w:val="left" w:pos="0"/>
        </w:tabs>
        <w:spacing w:line="420" w:lineRule="exact"/>
        <w:ind w:firstLine="420"/>
        <w:rPr>
          <w:rFonts w:hint="eastAsia" w:ascii="宋体" w:hAnsi="宋体"/>
          <w:szCs w:val="21"/>
        </w:rPr>
      </w:pPr>
    </w:p>
    <w:p>
      <w:pPr>
        <w:tabs>
          <w:tab w:val="left" w:pos="0"/>
        </w:tabs>
        <w:spacing w:line="420" w:lineRule="exact"/>
        <w:ind w:firstLine="420"/>
        <w:rPr>
          <w:rFonts w:hint="eastAsia" w:ascii="宋体" w:hAnsi="宋体"/>
          <w:szCs w:val="21"/>
        </w:rPr>
      </w:pPr>
    </w:p>
    <w:p>
      <w:pPr>
        <w:pStyle w:val="4"/>
        <w:widowControl w:val="0"/>
        <w:adjustRightInd w:val="0"/>
        <w:spacing w:line="240" w:lineRule="auto"/>
        <w:jc w:val="center"/>
        <w:textAlignment w:val="baseline"/>
        <w:rPr>
          <w:rFonts w:ascii="宋体" w:hAnsi="宋体" w:eastAsia="宋体"/>
          <w:b w:val="0"/>
          <w:sz w:val="28"/>
          <w:szCs w:val="28"/>
        </w:rPr>
      </w:pPr>
      <w:bookmarkStart w:id="97" w:name="_Toc15973"/>
      <w:bookmarkStart w:id="98" w:name="_Toc404692904"/>
      <w:bookmarkStart w:id="99" w:name="_Toc13653"/>
      <w:bookmarkStart w:id="100" w:name="_Toc498091088"/>
      <w:bookmarkStart w:id="101" w:name="_Toc29748"/>
      <w:r>
        <w:rPr>
          <w:rFonts w:hint="eastAsia" w:ascii="宋体" w:hAnsi="宋体" w:eastAsia="宋体"/>
          <w:b w:val="0"/>
          <w:sz w:val="28"/>
          <w:szCs w:val="28"/>
        </w:rPr>
        <w:t>六、开标及评标</w:t>
      </w:r>
      <w:bookmarkEnd w:id="97"/>
      <w:bookmarkEnd w:id="98"/>
      <w:bookmarkEnd w:id="99"/>
      <w:bookmarkEnd w:id="100"/>
      <w:bookmarkEnd w:id="101"/>
    </w:p>
    <w:p>
      <w:pPr>
        <w:tabs>
          <w:tab w:val="left" w:pos="0"/>
        </w:tabs>
        <w:spacing w:line="420" w:lineRule="exact"/>
        <w:ind w:firstLine="420"/>
        <w:jc w:val="center"/>
        <w:rPr>
          <w:rFonts w:ascii="宋体" w:hAnsi="宋体"/>
          <w:b/>
          <w:sz w:val="44"/>
          <w:szCs w:val="21"/>
        </w:rPr>
      </w:pPr>
    </w:p>
    <w:p>
      <w:pPr>
        <w:tabs>
          <w:tab w:val="left" w:pos="0"/>
        </w:tabs>
        <w:spacing w:line="420" w:lineRule="exact"/>
        <w:ind w:firstLine="420"/>
        <w:rPr>
          <w:rFonts w:ascii="黑体" w:hAnsi="黑体" w:eastAsia="黑体"/>
          <w:szCs w:val="21"/>
        </w:rPr>
      </w:pPr>
      <w:r>
        <w:rPr>
          <w:rFonts w:hint="eastAsia" w:ascii="黑体" w:hAnsi="黑体" w:eastAsia="黑体"/>
          <w:szCs w:val="21"/>
        </w:rPr>
        <w:t>18. 开标</w:t>
      </w:r>
    </w:p>
    <w:p>
      <w:pPr>
        <w:tabs>
          <w:tab w:val="left" w:pos="0"/>
        </w:tabs>
        <w:spacing w:line="420" w:lineRule="exact"/>
        <w:rPr>
          <w:rFonts w:ascii="宋体" w:hAnsi="宋体"/>
          <w:szCs w:val="21"/>
        </w:rPr>
      </w:pPr>
      <w:r>
        <w:rPr>
          <w:rFonts w:hint="eastAsia" w:ascii="宋体" w:hAnsi="宋体"/>
          <w:szCs w:val="21"/>
        </w:rPr>
        <w:t xml:space="preserve">    18.1 集中采购机构按招标文件规定的时间、地点公开开标。开标仪式由集中采购机构主持，采购人、投标人和有关方面代表参加。</w:t>
      </w:r>
    </w:p>
    <w:p>
      <w:pPr>
        <w:tabs>
          <w:tab w:val="left" w:pos="0"/>
        </w:tabs>
        <w:spacing w:line="420" w:lineRule="exact"/>
        <w:rPr>
          <w:rFonts w:ascii="宋体" w:hAnsi="宋体"/>
          <w:szCs w:val="21"/>
        </w:rPr>
      </w:pPr>
      <w:r>
        <w:rPr>
          <w:rFonts w:hint="eastAsia" w:ascii="宋体" w:hAnsi="宋体"/>
          <w:szCs w:val="21"/>
        </w:rPr>
        <w:t xml:space="preserve">    18.2 投标人应派代表参加开标仪式，并签到。主持人介绍参加开标会议与会人员，并宣布开标纪律。</w:t>
      </w:r>
    </w:p>
    <w:p>
      <w:pPr>
        <w:tabs>
          <w:tab w:val="left" w:pos="0"/>
        </w:tabs>
        <w:spacing w:line="420" w:lineRule="exact"/>
        <w:ind w:firstLine="420" w:firstLineChars="200"/>
        <w:rPr>
          <w:rFonts w:hint="eastAsia" w:ascii="宋体" w:hAnsi="宋体"/>
          <w:szCs w:val="21"/>
        </w:rPr>
      </w:pPr>
      <w:r>
        <w:rPr>
          <w:rFonts w:hint="eastAsia" w:ascii="宋体" w:hAnsi="宋体"/>
          <w:szCs w:val="21"/>
        </w:rPr>
        <w:t>18.3 开标时由投标人代表或公证机构查验投标文件密封情况，确认无误后拆封。</w:t>
      </w:r>
    </w:p>
    <w:p>
      <w:pPr>
        <w:tabs>
          <w:tab w:val="left" w:pos="0"/>
        </w:tabs>
        <w:spacing w:line="420" w:lineRule="exact"/>
        <w:ind w:firstLine="420" w:firstLineChars="200"/>
        <w:rPr>
          <w:rFonts w:hint="eastAsia" w:ascii="宋体" w:hAnsi="宋体"/>
        </w:rPr>
      </w:pPr>
      <w:r>
        <w:rPr>
          <w:rFonts w:hint="eastAsia" w:ascii="宋体" w:hAnsi="宋体"/>
          <w:szCs w:val="21"/>
        </w:rPr>
        <w:t>18.4集中采购机构在开标仪式上，</w:t>
      </w:r>
      <w:r>
        <w:rPr>
          <w:rFonts w:hint="eastAsia" w:ascii="宋体" w:hAnsi="宋体"/>
        </w:rPr>
        <w:t>由工作人员当众拆封资格技术文件后提交评标委员会评定，公布资格技术结果后，再开投标报价文件提交评标委员会评定，公布评标结果。</w:t>
      </w:r>
    </w:p>
    <w:p>
      <w:pPr>
        <w:tabs>
          <w:tab w:val="left" w:pos="0"/>
        </w:tabs>
        <w:spacing w:line="420" w:lineRule="exact"/>
        <w:ind w:firstLine="420" w:firstLineChars="200"/>
        <w:rPr>
          <w:rFonts w:ascii="黑体" w:hAnsi="黑体" w:eastAsia="黑体"/>
          <w:szCs w:val="21"/>
        </w:rPr>
      </w:pPr>
      <w:r>
        <w:rPr>
          <w:rFonts w:hint="eastAsia" w:ascii="黑体" w:hAnsi="黑体" w:eastAsia="黑体"/>
          <w:szCs w:val="21"/>
        </w:rPr>
        <w:t>19. 评标</w:t>
      </w:r>
    </w:p>
    <w:p>
      <w:pPr>
        <w:tabs>
          <w:tab w:val="left" w:pos="0"/>
        </w:tabs>
        <w:spacing w:line="420" w:lineRule="exact"/>
        <w:ind w:firstLine="420"/>
        <w:rPr>
          <w:rFonts w:ascii="宋体" w:hAnsi="宋体"/>
          <w:szCs w:val="21"/>
        </w:rPr>
      </w:pPr>
      <w:r>
        <w:rPr>
          <w:rFonts w:hint="eastAsia" w:ascii="宋体" w:hAnsi="宋体"/>
          <w:szCs w:val="21"/>
        </w:rPr>
        <w:t>19.1 招标方根据项目特点组建评标委员会，对具备明确响应招标文件的投标文件进行评估和比较。评标委员会由技术、经济专家等组成。</w:t>
      </w:r>
    </w:p>
    <w:p>
      <w:pPr>
        <w:tabs>
          <w:tab w:val="left" w:pos="0"/>
        </w:tabs>
        <w:spacing w:line="420" w:lineRule="exact"/>
        <w:ind w:firstLine="420"/>
        <w:rPr>
          <w:rFonts w:ascii="宋体" w:hAnsi="宋体"/>
          <w:szCs w:val="21"/>
        </w:rPr>
      </w:pPr>
      <w:r>
        <w:rPr>
          <w:rFonts w:hint="eastAsia" w:ascii="宋体" w:hAnsi="宋体"/>
          <w:szCs w:val="21"/>
        </w:rPr>
        <w:t>19.2 评标严格按照招标文件的要求和条件，遵循公正、公平、科学、择优的原则，同时考虑以下因素：</w:t>
      </w:r>
    </w:p>
    <w:p>
      <w:pPr>
        <w:spacing w:line="360" w:lineRule="auto"/>
        <w:ind w:firstLine="412"/>
        <w:rPr>
          <w:rFonts w:ascii="宋体" w:hAnsi="宋体"/>
        </w:rPr>
      </w:pPr>
      <w:r>
        <w:rPr>
          <w:rFonts w:hint="eastAsia" w:ascii="宋体" w:hAnsi="宋体"/>
        </w:rPr>
        <w:t>（1）招标的目的；</w:t>
      </w:r>
    </w:p>
    <w:p>
      <w:pPr>
        <w:spacing w:line="360" w:lineRule="auto"/>
        <w:ind w:firstLine="412"/>
        <w:rPr>
          <w:rFonts w:ascii="宋体" w:hAnsi="宋体"/>
        </w:rPr>
      </w:pPr>
      <w:r>
        <w:rPr>
          <w:rFonts w:hint="eastAsia" w:ascii="宋体" w:hAnsi="宋体"/>
        </w:rPr>
        <w:t>（2）招标项目需求的范围和性质；</w:t>
      </w:r>
    </w:p>
    <w:p>
      <w:pPr>
        <w:spacing w:line="360" w:lineRule="auto"/>
        <w:ind w:firstLine="412"/>
        <w:rPr>
          <w:rFonts w:ascii="宋体" w:hAnsi="宋体"/>
        </w:rPr>
      </w:pPr>
      <w:r>
        <w:rPr>
          <w:rFonts w:hint="eastAsia" w:ascii="宋体" w:hAnsi="宋体"/>
        </w:rPr>
        <w:t>（3）招标文件规定的投标人的资质、财政预算限额、商务条款；</w:t>
      </w:r>
    </w:p>
    <w:p>
      <w:pPr>
        <w:spacing w:line="360" w:lineRule="auto"/>
        <w:ind w:firstLine="412"/>
        <w:rPr>
          <w:rFonts w:ascii="宋体" w:hAnsi="宋体"/>
        </w:rPr>
      </w:pPr>
      <w:r>
        <w:rPr>
          <w:rFonts w:hint="eastAsia" w:ascii="宋体" w:hAnsi="宋体"/>
        </w:rPr>
        <w:t>（4）招标文件规定的评标程序、评标方法和评标因素；</w:t>
      </w:r>
    </w:p>
    <w:p>
      <w:pPr>
        <w:spacing w:line="420" w:lineRule="exact"/>
        <w:ind w:firstLine="420" w:firstLineChars="200"/>
        <w:rPr>
          <w:rFonts w:ascii="宋体" w:hAnsi="宋体"/>
          <w:szCs w:val="21"/>
        </w:rPr>
      </w:pPr>
      <w:r>
        <w:rPr>
          <w:rFonts w:hint="eastAsia" w:ascii="宋体" w:hAnsi="宋体"/>
        </w:rPr>
        <w:t>（5）招标文件所列示的无效标条件</w:t>
      </w:r>
    </w:p>
    <w:p>
      <w:pPr>
        <w:spacing w:line="420" w:lineRule="exact"/>
        <w:ind w:firstLine="210" w:firstLineChars="100"/>
        <w:rPr>
          <w:rFonts w:ascii="宋体" w:hAnsi="宋体"/>
          <w:szCs w:val="21"/>
        </w:rPr>
      </w:pPr>
      <w:r>
        <w:rPr>
          <w:rFonts w:hint="eastAsia" w:ascii="宋体" w:hAnsi="宋体"/>
          <w:szCs w:val="21"/>
        </w:rPr>
        <w:t xml:space="preserve">  （6）经营信誉。</w:t>
      </w:r>
    </w:p>
    <w:p>
      <w:pPr>
        <w:tabs>
          <w:tab w:val="left" w:pos="0"/>
        </w:tabs>
        <w:spacing w:line="420" w:lineRule="exact"/>
        <w:ind w:firstLine="420" w:firstLineChars="200"/>
        <w:rPr>
          <w:rFonts w:hint="eastAsia" w:ascii="黑体" w:hAnsi="黑体" w:eastAsia="黑体"/>
          <w:szCs w:val="21"/>
        </w:rPr>
      </w:pPr>
      <w:r>
        <w:rPr>
          <w:rFonts w:hint="eastAsia" w:ascii="黑体" w:hAnsi="黑体" w:eastAsia="黑体"/>
          <w:szCs w:val="21"/>
        </w:rPr>
        <w:t>20. 评标方法及投标无效的情形</w:t>
      </w:r>
    </w:p>
    <w:p>
      <w:pPr>
        <w:tabs>
          <w:tab w:val="left" w:pos="780"/>
        </w:tabs>
        <w:spacing w:line="420" w:lineRule="exact"/>
        <w:ind w:firstLine="420" w:firstLineChars="200"/>
        <w:rPr>
          <w:rFonts w:ascii="宋体" w:hAnsi="宋体"/>
          <w:color w:val="000000"/>
          <w:szCs w:val="21"/>
        </w:rPr>
      </w:pPr>
      <w:r>
        <w:rPr>
          <w:rFonts w:hint="eastAsia" w:ascii="宋体" w:hAnsi="宋体"/>
          <w:color w:val="000000"/>
          <w:szCs w:val="21"/>
        </w:rPr>
        <w:t>20.1本项目的评标方法采用：综合评分法。综合评分法是指在最大限度地满足招标文件实质性要求前提下，按照招标文件中规定的各项要素进行综合评审得出总分进行排名。</w:t>
      </w:r>
      <w:r>
        <w:rPr>
          <w:rFonts w:hint="eastAsia" w:ascii="宋体" w:hAnsi="宋体"/>
          <w:color w:val="000000"/>
          <w:szCs w:val="21"/>
          <w:lang w:eastAsia="zh-CN"/>
        </w:rPr>
        <w:t>各标项</w:t>
      </w:r>
      <w:r>
        <w:rPr>
          <w:rFonts w:hint="eastAsia" w:ascii="宋体" w:hAnsi="宋体"/>
          <w:color w:val="000000"/>
          <w:szCs w:val="21"/>
        </w:rPr>
        <w:t>评标总分为100分，具体详见附：评分表。评分过程中采用四舍五入法，保留小数点2位。</w:t>
      </w:r>
    </w:p>
    <w:p>
      <w:pPr>
        <w:tabs>
          <w:tab w:val="left" w:pos="780"/>
        </w:tabs>
        <w:spacing w:line="420" w:lineRule="exact"/>
        <w:ind w:firstLine="422" w:firstLineChars="200"/>
        <w:rPr>
          <w:rFonts w:hint="eastAsia" w:ascii="宋体" w:hAnsi="宋体"/>
          <w:b/>
          <w:bCs/>
          <w:color w:val="000000"/>
          <w:szCs w:val="21"/>
        </w:rPr>
      </w:pPr>
      <w:r>
        <w:rPr>
          <w:rFonts w:hint="eastAsia" w:ascii="宋体" w:hAnsi="宋体"/>
          <w:b/>
          <w:bCs/>
          <w:color w:val="000000"/>
          <w:szCs w:val="21"/>
        </w:rPr>
        <w:t>20.2投标文件有下列情形之一的，按照无效投标处理：</w:t>
      </w:r>
    </w:p>
    <w:p>
      <w:pPr>
        <w:tabs>
          <w:tab w:val="left" w:pos="780"/>
        </w:tabs>
        <w:spacing w:line="420" w:lineRule="exact"/>
        <w:ind w:firstLine="422" w:firstLineChars="200"/>
        <w:rPr>
          <w:rFonts w:hint="eastAsia" w:ascii="宋体" w:hAnsi="宋体"/>
          <w:b/>
          <w:bCs/>
          <w:color w:val="000000"/>
          <w:szCs w:val="21"/>
        </w:rPr>
      </w:pPr>
      <w:r>
        <w:rPr>
          <w:rFonts w:hint="eastAsia" w:ascii="宋体" w:hAnsi="宋体"/>
          <w:b/>
          <w:bCs/>
          <w:color w:val="000000"/>
          <w:szCs w:val="21"/>
        </w:rPr>
        <w:t>（1）投标商未能通过资格性审查的，审查内容主要包括招标文件14.1的资格部分；</w:t>
      </w:r>
    </w:p>
    <w:p>
      <w:pPr>
        <w:tabs>
          <w:tab w:val="left" w:pos="780"/>
        </w:tabs>
        <w:spacing w:line="420" w:lineRule="exact"/>
        <w:ind w:firstLine="422" w:firstLineChars="200"/>
        <w:rPr>
          <w:rFonts w:hint="eastAsia" w:ascii="宋体" w:hAnsi="宋体"/>
          <w:b/>
          <w:bCs/>
          <w:color w:val="000000"/>
          <w:szCs w:val="21"/>
        </w:rPr>
      </w:pPr>
      <w:r>
        <w:rPr>
          <w:rFonts w:hint="eastAsia" w:ascii="宋体" w:hAnsi="宋体"/>
          <w:b/>
          <w:bCs/>
          <w:color w:val="000000"/>
          <w:szCs w:val="21"/>
        </w:rPr>
        <w:t>（2）投标文件未能通过符合性、有效性审查的，审查内容主要包括招标文件第二章第一、四部分相关内容；</w:t>
      </w:r>
    </w:p>
    <w:p>
      <w:pPr>
        <w:tabs>
          <w:tab w:val="left" w:pos="780"/>
        </w:tabs>
        <w:spacing w:line="420" w:lineRule="exact"/>
        <w:ind w:firstLine="422" w:firstLineChars="200"/>
        <w:rPr>
          <w:rFonts w:hint="eastAsia" w:ascii="宋体" w:hAnsi="宋体"/>
          <w:b/>
          <w:bCs/>
          <w:color w:val="000000"/>
          <w:szCs w:val="21"/>
        </w:rPr>
      </w:pPr>
      <w:r>
        <w:rPr>
          <w:rFonts w:hint="eastAsia" w:ascii="宋体" w:hAnsi="宋体"/>
          <w:b/>
          <w:bCs/>
          <w:color w:val="000000"/>
          <w:szCs w:val="21"/>
        </w:rPr>
        <w:t>（3）投标人未按采购文件规定的时间和方式获取采购文件的；</w:t>
      </w:r>
    </w:p>
    <w:p>
      <w:pPr>
        <w:tabs>
          <w:tab w:val="left" w:pos="780"/>
        </w:tabs>
        <w:spacing w:line="420" w:lineRule="exact"/>
        <w:ind w:firstLine="422" w:firstLineChars="200"/>
        <w:rPr>
          <w:rFonts w:hint="eastAsia" w:ascii="宋体" w:hAnsi="宋体"/>
          <w:b/>
          <w:bCs/>
          <w:color w:val="000000"/>
          <w:szCs w:val="21"/>
        </w:rPr>
      </w:pPr>
      <w:r>
        <w:rPr>
          <w:rFonts w:hint="eastAsia" w:ascii="宋体" w:hAnsi="宋体"/>
          <w:b/>
          <w:bCs/>
          <w:color w:val="000000"/>
          <w:szCs w:val="21"/>
        </w:rPr>
        <w:t>（4）在评标过程中，投标人有企图影响评委行为的；</w:t>
      </w:r>
    </w:p>
    <w:p>
      <w:pPr>
        <w:tabs>
          <w:tab w:val="left" w:pos="780"/>
        </w:tabs>
        <w:spacing w:line="420" w:lineRule="exact"/>
        <w:ind w:firstLine="422" w:firstLineChars="200"/>
        <w:rPr>
          <w:rFonts w:hint="eastAsia" w:ascii="宋体" w:hAnsi="宋体"/>
          <w:b/>
          <w:bCs/>
          <w:color w:val="000000"/>
          <w:szCs w:val="21"/>
        </w:rPr>
      </w:pPr>
      <w:r>
        <w:rPr>
          <w:rFonts w:hint="eastAsia" w:ascii="宋体" w:hAnsi="宋体"/>
          <w:b/>
          <w:bCs/>
          <w:color w:val="000000"/>
          <w:szCs w:val="21"/>
        </w:rPr>
        <w:t>（5）投标文件具有重大偏差情形的；</w:t>
      </w:r>
    </w:p>
    <w:p>
      <w:pPr>
        <w:tabs>
          <w:tab w:val="left" w:pos="780"/>
        </w:tabs>
        <w:spacing w:line="420" w:lineRule="exact"/>
        <w:ind w:firstLine="422" w:firstLineChars="200"/>
        <w:rPr>
          <w:rFonts w:hint="eastAsia" w:ascii="宋体" w:hAnsi="宋体"/>
          <w:b/>
          <w:bCs/>
          <w:color w:val="000000"/>
          <w:szCs w:val="21"/>
        </w:rPr>
      </w:pPr>
      <w:r>
        <w:rPr>
          <w:rFonts w:hint="eastAsia" w:ascii="宋体" w:hAnsi="宋体"/>
          <w:b/>
          <w:bCs/>
          <w:color w:val="000000"/>
          <w:szCs w:val="21"/>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780"/>
        </w:tabs>
        <w:spacing w:line="420" w:lineRule="exact"/>
        <w:ind w:firstLine="422" w:firstLineChars="200"/>
        <w:rPr>
          <w:rFonts w:hint="eastAsia" w:ascii="宋体" w:hAnsi="宋体"/>
          <w:b/>
          <w:bCs/>
          <w:color w:val="000000"/>
          <w:szCs w:val="21"/>
        </w:rPr>
      </w:pPr>
      <w:r>
        <w:rPr>
          <w:rFonts w:hint="eastAsia" w:ascii="宋体" w:hAnsi="宋体"/>
          <w:b/>
          <w:bCs/>
          <w:color w:val="000000"/>
          <w:szCs w:val="21"/>
        </w:rPr>
        <w:t>（7）未按要求提交全部资料或者投标文件没有对招标文件的要求做出明确响应的，投标将被作为无效投标处理。</w:t>
      </w:r>
    </w:p>
    <w:p>
      <w:pPr>
        <w:tabs>
          <w:tab w:val="left" w:pos="780"/>
        </w:tabs>
        <w:spacing w:line="420" w:lineRule="exact"/>
        <w:ind w:firstLine="422" w:firstLineChars="200"/>
        <w:rPr>
          <w:rFonts w:hint="eastAsia" w:ascii="宋体" w:hAnsi="宋体"/>
          <w:b/>
          <w:bCs/>
          <w:color w:val="000000"/>
          <w:szCs w:val="21"/>
        </w:rPr>
      </w:pPr>
      <w:r>
        <w:rPr>
          <w:rFonts w:hint="eastAsia" w:ascii="宋体" w:hAnsi="宋体"/>
          <w:b/>
          <w:bCs/>
          <w:color w:val="000000"/>
          <w:szCs w:val="21"/>
        </w:rPr>
        <w:t>（8）若投标文件填报的内容数据不详，或提供了虚假数据，其投标文件为无效投标文件。</w:t>
      </w:r>
    </w:p>
    <w:p>
      <w:pPr>
        <w:tabs>
          <w:tab w:val="left" w:pos="780"/>
        </w:tabs>
        <w:spacing w:line="420" w:lineRule="exact"/>
        <w:ind w:firstLine="422" w:firstLineChars="200"/>
        <w:rPr>
          <w:rFonts w:hint="eastAsia" w:ascii="宋体" w:hAnsi="宋体"/>
          <w:b/>
          <w:bCs/>
          <w:color w:val="000000"/>
          <w:szCs w:val="21"/>
        </w:rPr>
      </w:pPr>
      <w:r>
        <w:rPr>
          <w:rFonts w:hint="eastAsia" w:ascii="宋体" w:hAnsi="宋体"/>
          <w:b/>
          <w:bCs/>
          <w:color w:val="000000"/>
          <w:szCs w:val="21"/>
        </w:rPr>
        <w:t>（9）投标文件采用活页装订。活页装订是指用卡条、抽杆夹、订书机等形式装订，使投标文件可以拆卸或者翻动过程中易脱落的一种装订方式。</w:t>
      </w:r>
    </w:p>
    <w:p>
      <w:pPr>
        <w:tabs>
          <w:tab w:val="left" w:pos="780"/>
        </w:tabs>
        <w:spacing w:line="420" w:lineRule="exact"/>
        <w:ind w:firstLine="422" w:firstLineChars="200"/>
        <w:rPr>
          <w:rFonts w:hint="eastAsia" w:ascii="宋体" w:hAnsi="宋体"/>
          <w:b/>
          <w:bCs/>
          <w:color w:val="000000"/>
          <w:szCs w:val="21"/>
        </w:rPr>
      </w:pPr>
      <w:r>
        <w:rPr>
          <w:rFonts w:hint="eastAsia" w:ascii="宋体" w:hAnsi="宋体"/>
          <w:b/>
          <w:bCs/>
          <w:color w:val="000000"/>
          <w:szCs w:val="21"/>
        </w:rPr>
        <w:t>（10）投标人在投标文件及相关文件的签订、履行、通知等事项书面文件中的单位盖章、印章、公章等处均仅指与当事人名称全称相一致的标准公章，不得使用其他形式（如带有“专用章”等字样）的印章，否则将被视为无效。</w:t>
      </w:r>
    </w:p>
    <w:p>
      <w:pPr>
        <w:tabs>
          <w:tab w:val="left" w:pos="780"/>
        </w:tabs>
        <w:spacing w:line="420" w:lineRule="exact"/>
        <w:ind w:firstLine="422" w:firstLineChars="200"/>
        <w:rPr>
          <w:rFonts w:hint="eastAsia" w:ascii="宋体" w:hAnsi="宋体"/>
          <w:b/>
          <w:bCs/>
          <w:color w:val="000000"/>
          <w:szCs w:val="21"/>
        </w:rPr>
      </w:pPr>
      <w:r>
        <w:rPr>
          <w:rFonts w:hint="eastAsia" w:ascii="宋体" w:hAnsi="宋体"/>
          <w:b/>
          <w:bCs/>
          <w:color w:val="000000"/>
          <w:szCs w:val="21"/>
        </w:rPr>
        <w:t>（11）评委会认定的其他违法违规情况的。</w:t>
      </w:r>
    </w:p>
    <w:p>
      <w:pPr>
        <w:spacing w:line="420" w:lineRule="exact"/>
        <w:rPr>
          <w:rFonts w:hint="eastAsia" w:ascii="宋体" w:hAnsi="宋体"/>
          <w:b/>
          <w:szCs w:val="21"/>
        </w:rPr>
      </w:pPr>
    </w:p>
    <w:p>
      <w:pPr>
        <w:tabs>
          <w:tab w:val="left" w:pos="0"/>
        </w:tabs>
        <w:spacing w:line="420" w:lineRule="exact"/>
        <w:ind w:firstLine="420" w:firstLineChars="200"/>
        <w:rPr>
          <w:rFonts w:ascii="黑体" w:hAnsi="黑体" w:eastAsia="黑体"/>
          <w:szCs w:val="21"/>
        </w:rPr>
      </w:pPr>
      <w:r>
        <w:rPr>
          <w:rFonts w:hint="eastAsia" w:ascii="黑体" w:hAnsi="黑体" w:eastAsia="黑体"/>
          <w:szCs w:val="21"/>
        </w:rPr>
        <w:t>21. 评标纪律</w:t>
      </w:r>
    </w:p>
    <w:p>
      <w:pPr>
        <w:tabs>
          <w:tab w:val="left" w:pos="0"/>
        </w:tabs>
        <w:spacing w:line="420" w:lineRule="exact"/>
        <w:ind w:firstLine="420" w:firstLineChars="200"/>
        <w:jc w:val="both"/>
        <w:rPr>
          <w:rFonts w:hint="eastAsia" w:ascii="宋体" w:hAnsi="宋体"/>
          <w:szCs w:val="21"/>
        </w:rPr>
      </w:pPr>
      <w:r>
        <w:rPr>
          <w:rFonts w:hint="eastAsia" w:ascii="宋体" w:hAnsi="宋体"/>
          <w:szCs w:val="21"/>
        </w:rPr>
        <w:t>21.1评标委员会成员应当客观、公正地履行职务，遵守职业道德，对所提出的评审意见承担个人责               任。评标委员会成员不得私下接触投标人，不得收受投标人财物或者其他好处。评标委员会成员和参与评标的有关工作人员不得透露对投标文件的评审和比较、中标候选人的推荐情况以及与评标有关的其他情况。</w:t>
      </w:r>
    </w:p>
    <w:p>
      <w:pPr>
        <w:tabs>
          <w:tab w:val="left" w:pos="0"/>
        </w:tabs>
        <w:spacing w:line="420" w:lineRule="exact"/>
        <w:ind w:firstLine="420" w:firstLineChars="200"/>
        <w:jc w:val="both"/>
        <w:rPr>
          <w:rFonts w:hint="eastAsia" w:ascii="宋体" w:hAnsi="宋体"/>
          <w:szCs w:val="21"/>
        </w:rPr>
      </w:pPr>
      <w:r>
        <w:rPr>
          <w:rFonts w:hint="eastAsia" w:ascii="宋体" w:hAnsi="宋体"/>
          <w:szCs w:val="21"/>
        </w:rPr>
        <w:t>21.2评审专家有下列情形之一的，受到邀请应主动提出回避，采购当事人也可以要求该评审专家回避：</w:t>
      </w:r>
    </w:p>
    <w:p>
      <w:pPr>
        <w:tabs>
          <w:tab w:val="left" w:pos="0"/>
        </w:tabs>
        <w:spacing w:line="420" w:lineRule="exact"/>
        <w:ind w:firstLine="420" w:firstLineChars="200"/>
        <w:jc w:val="both"/>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参加采购活动前三年内,与供应商存在劳动关系,或者担任过供应商的董事、监事,或者是供应商的控股股东或实际控制人；</w:t>
      </w:r>
    </w:p>
    <w:p>
      <w:pPr>
        <w:tabs>
          <w:tab w:val="left" w:pos="0"/>
        </w:tabs>
        <w:spacing w:line="420" w:lineRule="exact"/>
        <w:ind w:firstLine="420" w:firstLineChars="200"/>
        <w:jc w:val="both"/>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与供应商的法定代表人或者负责人有夫妻、直系血亲、三代以内旁系血亲或者近姻亲关系；</w:t>
      </w:r>
    </w:p>
    <w:p>
      <w:pPr>
        <w:tabs>
          <w:tab w:val="left" w:pos="0"/>
        </w:tabs>
        <w:spacing w:line="420" w:lineRule="exact"/>
        <w:ind w:firstLine="420" w:firstLineChars="200"/>
        <w:jc w:val="both"/>
        <w:rPr>
          <w:rFonts w:hint="eastAsia" w:ascii="宋体" w:hAnsi="宋体"/>
          <w:szCs w:val="21"/>
        </w:rPr>
      </w:pPr>
      <w:r>
        <w:rPr>
          <w:rFonts w:hint="eastAsia" w:ascii="宋体" w:hAnsi="宋体"/>
          <w:szCs w:val="21"/>
        </w:rPr>
        <w:t>（3）曾经参加过该采购项目的进口产品或采购文件、采购需求、采购方式的论证和咨询服务工作；</w:t>
      </w:r>
    </w:p>
    <w:p>
      <w:pPr>
        <w:tabs>
          <w:tab w:val="left" w:pos="0"/>
        </w:tabs>
        <w:spacing w:line="420" w:lineRule="exact"/>
        <w:ind w:firstLine="420" w:firstLineChars="200"/>
        <w:jc w:val="both"/>
        <w:rPr>
          <w:rFonts w:hint="eastAsia" w:ascii="宋体" w:hAnsi="宋体"/>
          <w:szCs w:val="21"/>
        </w:rPr>
      </w:pPr>
      <w:r>
        <w:rPr>
          <w:rFonts w:hint="eastAsia" w:ascii="宋体" w:hAnsi="宋体"/>
          <w:szCs w:val="21"/>
        </w:rPr>
        <w:t>（4）法律、法规、规章规定应当回避以及其他可能影响公正评审的。</w:t>
      </w:r>
    </w:p>
    <w:p>
      <w:pPr>
        <w:pStyle w:val="7"/>
        <w:snapToGrid w:val="0"/>
        <w:spacing w:line="360" w:lineRule="auto"/>
        <w:ind w:firstLine="420"/>
        <w:rPr>
          <w:rFonts w:hint="eastAsia" w:hAnsi="宋体"/>
          <w:szCs w:val="21"/>
        </w:rPr>
      </w:pPr>
      <w:r>
        <w:rPr>
          <w:rFonts w:hint="eastAsia" w:hAnsi="宋体"/>
          <w:szCs w:val="21"/>
        </w:rPr>
        <w:t>21.</w:t>
      </w:r>
      <w:r>
        <w:rPr>
          <w:rFonts w:hint="eastAsia" w:hAnsi="宋体"/>
          <w:szCs w:val="21"/>
          <w:lang w:val="en-US" w:eastAsia="zh-CN"/>
        </w:rPr>
        <w:t>3</w:t>
      </w:r>
      <w:r>
        <w:rPr>
          <w:rFonts w:hint="eastAsia" w:hAnsi="宋体"/>
          <w:szCs w:val="21"/>
        </w:rPr>
        <w:t>评委依法独立评审，并对评审意见承担个人责任。评委对需要共同认定的事项存在争议的，按照少数服从多数的原则做出结论。持不同意见的评委应当在评审报告上签署不同意见并说明理由，否则视为同意。</w:t>
      </w:r>
    </w:p>
    <w:p>
      <w:pPr>
        <w:tabs>
          <w:tab w:val="left" w:pos="0"/>
        </w:tabs>
        <w:spacing w:line="420" w:lineRule="exact"/>
        <w:ind w:firstLine="420" w:firstLineChars="200"/>
        <w:rPr>
          <w:rFonts w:ascii="黑体" w:hAnsi="黑体" w:eastAsia="黑体"/>
          <w:szCs w:val="21"/>
        </w:rPr>
      </w:pPr>
      <w:r>
        <w:rPr>
          <w:rFonts w:hint="eastAsia" w:ascii="黑体" w:hAnsi="黑体" w:eastAsia="黑体"/>
          <w:szCs w:val="21"/>
        </w:rPr>
        <w:t>22. 评标程序</w:t>
      </w:r>
    </w:p>
    <w:p>
      <w:pPr>
        <w:tabs>
          <w:tab w:val="left" w:pos="0"/>
        </w:tabs>
        <w:spacing w:line="420" w:lineRule="exact"/>
        <w:ind w:firstLine="420"/>
        <w:rPr>
          <w:rFonts w:ascii="宋体" w:hAnsi="宋体"/>
          <w:szCs w:val="21"/>
        </w:rPr>
      </w:pPr>
      <w:r>
        <w:rPr>
          <w:rFonts w:hint="eastAsia" w:ascii="宋体" w:hAnsi="宋体"/>
          <w:szCs w:val="21"/>
        </w:rPr>
        <w:t>22.1 先评资格技术标。对投标文件的初审，初审内容为资格性检查和符合性检查。</w:t>
      </w:r>
    </w:p>
    <w:p>
      <w:pPr>
        <w:spacing w:line="432" w:lineRule="auto"/>
        <w:ind w:firstLine="420" w:firstLineChars="200"/>
        <w:rPr>
          <w:rFonts w:ascii="宋体" w:hAnsi="宋体" w:cs="宋体"/>
          <w:szCs w:val="21"/>
        </w:rPr>
      </w:pPr>
      <w:r>
        <w:rPr>
          <w:rFonts w:hint="eastAsia" w:ascii="宋体" w:hAnsi="宋体" w:cs="宋体"/>
          <w:szCs w:val="21"/>
        </w:rPr>
        <w:t>22.1.1</w:t>
      </w:r>
      <w:r>
        <w:rPr>
          <w:rFonts w:ascii="宋体" w:hAnsi="宋体" w:cs="宋体"/>
          <w:szCs w:val="21"/>
        </w:rPr>
        <w:t>资格性检查。依据招标文件的规定，对投标文件中的资格</w:t>
      </w:r>
      <w:r>
        <w:rPr>
          <w:rFonts w:hint="eastAsia" w:ascii="宋体" w:hAnsi="宋体" w:cs="宋体"/>
          <w:szCs w:val="21"/>
        </w:rPr>
        <w:t>部分</w:t>
      </w:r>
      <w:r>
        <w:rPr>
          <w:rFonts w:ascii="宋体" w:hAnsi="宋体" w:cs="宋体"/>
          <w:szCs w:val="21"/>
        </w:rPr>
        <w:t>进行审查，以确定投标供应商是否具备投标资格。</w:t>
      </w:r>
    </w:p>
    <w:p>
      <w:pPr>
        <w:spacing w:line="432" w:lineRule="auto"/>
        <w:ind w:firstLine="420" w:firstLineChars="200"/>
        <w:rPr>
          <w:rFonts w:ascii="宋体" w:hAnsi="宋体"/>
          <w:color w:val="000000"/>
          <w:szCs w:val="21"/>
        </w:rPr>
      </w:pPr>
      <w:r>
        <w:rPr>
          <w:rFonts w:hint="eastAsia" w:ascii="宋体" w:hAnsi="宋体"/>
          <w:color w:val="000000"/>
          <w:szCs w:val="21"/>
        </w:rPr>
        <w:t>23.1.2</w:t>
      </w:r>
      <w:r>
        <w:rPr>
          <w:rFonts w:ascii="宋体" w:hAnsi="宋体"/>
          <w:color w:val="000000"/>
          <w:szCs w:val="21"/>
        </w:rPr>
        <w:t>符合性检查。依据招标文件的规定，从投标文件的有效性、完整性和对招标文件的响应程度进行审查，以确定是否对招标文件的实质性要求作出</w:t>
      </w:r>
      <w:r>
        <w:rPr>
          <w:rFonts w:hint="eastAsia" w:ascii="宋体" w:hAnsi="宋体"/>
          <w:color w:val="000000"/>
          <w:szCs w:val="21"/>
        </w:rPr>
        <w:t>明确</w:t>
      </w:r>
      <w:r>
        <w:rPr>
          <w:rFonts w:ascii="宋体" w:hAnsi="宋体"/>
          <w:color w:val="000000"/>
          <w:szCs w:val="21"/>
        </w:rPr>
        <w:t>响应。</w:t>
      </w:r>
    </w:p>
    <w:p>
      <w:pPr>
        <w:spacing w:line="432" w:lineRule="auto"/>
        <w:ind w:firstLine="420" w:firstLineChars="200"/>
        <w:rPr>
          <w:rFonts w:ascii="宋体" w:hAnsi="宋体"/>
          <w:color w:val="000000"/>
          <w:szCs w:val="21"/>
        </w:rPr>
      </w:pPr>
      <w:r>
        <w:rPr>
          <w:rFonts w:hint="eastAsia" w:ascii="宋体" w:hAnsi="宋体"/>
          <w:color w:val="000000"/>
          <w:szCs w:val="21"/>
        </w:rPr>
        <w:t>22.2投标的澄清。</w:t>
      </w:r>
      <w:r>
        <w:rPr>
          <w:rFonts w:ascii="宋体" w:hAnsi="宋体"/>
          <w:color w:val="000000"/>
          <w:szCs w:val="21"/>
        </w:rPr>
        <w:t>评标委员会可以书面方式要求投标人对投标文件中含义不明确、对同类问题表述不一致或者有明显文字和计算错误的内容作必要的澄清、说明或者纠正。澄清、说明或者补正应以书面方式进行并不得超出投标文件的范围或者改变投标文件的实质性内容。投标人拒不按照要求对投标文件进行澄清、说明或者补正的，评标委员会可以否决</w:t>
      </w:r>
      <w:r>
        <w:rPr>
          <w:rFonts w:hint="eastAsia" w:ascii="宋体" w:hAnsi="宋体"/>
          <w:color w:val="000000"/>
          <w:szCs w:val="21"/>
        </w:rPr>
        <w:t>其投标。</w:t>
      </w:r>
    </w:p>
    <w:p>
      <w:pPr>
        <w:spacing w:line="432" w:lineRule="auto"/>
        <w:ind w:firstLine="420" w:firstLineChars="200"/>
        <w:rPr>
          <w:rFonts w:hint="eastAsia" w:ascii="宋体" w:hAnsi="宋体"/>
          <w:szCs w:val="21"/>
        </w:rPr>
      </w:pPr>
      <w:r>
        <w:rPr>
          <w:rFonts w:hint="eastAsia" w:ascii="宋体" w:hAnsi="宋体"/>
          <w:color w:val="000000"/>
          <w:szCs w:val="21"/>
        </w:rPr>
        <w:t>22.3错误的修正。</w:t>
      </w:r>
      <w:r>
        <w:rPr>
          <w:rFonts w:hint="eastAsia" w:ascii="宋体" w:hAnsi="宋体"/>
          <w:szCs w:val="21"/>
        </w:rPr>
        <w:t>投标文件如果出现计算或表达上的错误，修正错误的原则如下：</w:t>
      </w:r>
    </w:p>
    <w:p>
      <w:pPr>
        <w:spacing w:line="432" w:lineRule="auto"/>
        <w:ind w:firstLine="420" w:firstLineChars="200"/>
        <w:rPr>
          <w:rFonts w:hint="eastAsia" w:ascii="宋体" w:hAnsi="宋体"/>
          <w:szCs w:val="21"/>
        </w:rPr>
      </w:pPr>
      <w:r>
        <w:rPr>
          <w:rFonts w:hint="eastAsia" w:ascii="宋体" w:hAnsi="宋体"/>
          <w:szCs w:val="21"/>
        </w:rPr>
        <w:t>22.3.1 投标文件中开标一览表（报价表）内容与投标文件中相应内容不一致的，以开标一览表（报价表）为准；</w:t>
      </w:r>
    </w:p>
    <w:p>
      <w:pPr>
        <w:spacing w:line="432" w:lineRule="auto"/>
        <w:ind w:firstLine="420" w:firstLineChars="200"/>
        <w:rPr>
          <w:rFonts w:hint="eastAsia" w:ascii="宋体" w:hAnsi="宋体"/>
          <w:szCs w:val="21"/>
        </w:rPr>
      </w:pPr>
      <w:r>
        <w:rPr>
          <w:rFonts w:hint="eastAsia" w:ascii="宋体" w:hAnsi="宋体"/>
          <w:szCs w:val="21"/>
        </w:rPr>
        <w:t>22.3.2 大写金额和小写金额不一致的，以大写金额为准；</w:t>
      </w:r>
    </w:p>
    <w:p>
      <w:pPr>
        <w:spacing w:line="432" w:lineRule="auto"/>
        <w:ind w:firstLine="420" w:firstLineChars="200"/>
        <w:rPr>
          <w:rFonts w:hint="eastAsia" w:ascii="宋体" w:hAnsi="宋体"/>
          <w:szCs w:val="21"/>
        </w:rPr>
      </w:pPr>
      <w:r>
        <w:rPr>
          <w:rFonts w:hint="eastAsia" w:ascii="宋体" w:hAnsi="宋体"/>
          <w:szCs w:val="21"/>
        </w:rPr>
        <w:t>22.3.3 单价金额小数点或者百分比有明显错位的，以开标一览表的总价为准，并修改单价；</w:t>
      </w:r>
    </w:p>
    <w:p>
      <w:pPr>
        <w:spacing w:line="432" w:lineRule="auto"/>
        <w:ind w:firstLine="420" w:firstLineChars="200"/>
        <w:rPr>
          <w:rFonts w:hint="eastAsia" w:ascii="宋体" w:hAnsi="宋体"/>
          <w:szCs w:val="21"/>
        </w:rPr>
      </w:pPr>
      <w:r>
        <w:rPr>
          <w:rFonts w:hint="eastAsia" w:ascii="宋体" w:hAnsi="宋体"/>
          <w:szCs w:val="21"/>
        </w:rPr>
        <w:t>22.3.4 总价金额与按单价汇总金额不一致的，以单价金额计算结果为准。</w:t>
      </w:r>
    </w:p>
    <w:p>
      <w:pPr>
        <w:spacing w:line="432" w:lineRule="auto"/>
        <w:ind w:firstLine="420" w:firstLineChars="200"/>
        <w:rPr>
          <w:rFonts w:ascii="宋体" w:hAnsi="宋体"/>
          <w:color w:val="000000"/>
          <w:szCs w:val="21"/>
        </w:rPr>
      </w:pPr>
      <w:r>
        <w:rPr>
          <w:rFonts w:hint="eastAsia" w:ascii="宋体" w:hAnsi="宋体"/>
          <w:szCs w:val="21"/>
        </w:rPr>
        <w:t>同时出现两种以上不一致的，按照前款规定的顺序修正。修正后的报价按照投标文件澄清第二款的规定经供应商确认后产生约束力，供应商不确认的，其投标无效。</w:t>
      </w:r>
    </w:p>
    <w:p>
      <w:pPr>
        <w:tabs>
          <w:tab w:val="left" w:pos="0"/>
        </w:tabs>
        <w:spacing w:line="420" w:lineRule="exact"/>
        <w:ind w:firstLine="420"/>
        <w:rPr>
          <w:rFonts w:ascii="宋体" w:hAnsi="宋体"/>
          <w:color w:val="000000"/>
          <w:szCs w:val="21"/>
        </w:rPr>
      </w:pPr>
      <w:r>
        <w:rPr>
          <w:rFonts w:hint="eastAsia" w:ascii="宋体" w:hAnsi="宋体"/>
          <w:color w:val="000000"/>
          <w:szCs w:val="21"/>
        </w:rPr>
        <w:t>22.4评标委员会对投标文件的判定，只依据投标内容本身，不依靠开标后的任何外来证明。</w:t>
      </w:r>
    </w:p>
    <w:p>
      <w:pPr>
        <w:tabs>
          <w:tab w:val="left" w:pos="0"/>
        </w:tabs>
        <w:spacing w:line="420" w:lineRule="exact"/>
        <w:ind w:firstLine="420"/>
        <w:rPr>
          <w:rFonts w:ascii="宋体" w:hAnsi="宋体"/>
          <w:color w:val="000000"/>
          <w:szCs w:val="21"/>
        </w:rPr>
      </w:pPr>
      <w:r>
        <w:rPr>
          <w:rFonts w:hint="eastAsia" w:ascii="宋体" w:hAnsi="宋体"/>
          <w:color w:val="000000"/>
          <w:szCs w:val="21"/>
        </w:rPr>
        <w:t>22.5</w:t>
      </w:r>
      <w:r>
        <w:rPr>
          <w:rFonts w:ascii="宋体" w:hAnsi="宋体"/>
          <w:color w:val="000000"/>
          <w:szCs w:val="21"/>
        </w:rPr>
        <w:t>评标委员会应当审查每一投标文件是否对招标文件提出的所有实质性要求和条件作出</w:t>
      </w:r>
      <w:r>
        <w:rPr>
          <w:rFonts w:hint="eastAsia" w:ascii="宋体" w:hAnsi="宋体"/>
          <w:color w:val="000000"/>
          <w:szCs w:val="21"/>
        </w:rPr>
        <w:t>明确</w:t>
      </w:r>
      <w:r>
        <w:rPr>
          <w:rFonts w:ascii="宋体" w:hAnsi="宋体"/>
          <w:color w:val="000000"/>
          <w:szCs w:val="21"/>
        </w:rPr>
        <w:t>响应。未能在</w:t>
      </w:r>
      <w:r>
        <w:rPr>
          <w:rFonts w:hint="eastAsia" w:ascii="宋体" w:hAnsi="宋体"/>
          <w:color w:val="000000"/>
          <w:szCs w:val="21"/>
        </w:rPr>
        <w:t>实质上明确</w:t>
      </w:r>
      <w:r>
        <w:rPr>
          <w:rFonts w:ascii="宋体" w:hAnsi="宋体"/>
          <w:color w:val="000000"/>
          <w:szCs w:val="21"/>
        </w:rPr>
        <w:t>响应的投标，应做</w:t>
      </w:r>
      <w:r>
        <w:rPr>
          <w:rFonts w:hint="eastAsia" w:ascii="宋体" w:hAnsi="宋体"/>
          <w:color w:val="000000"/>
          <w:szCs w:val="21"/>
        </w:rPr>
        <w:t>无效标</w:t>
      </w:r>
      <w:r>
        <w:rPr>
          <w:rFonts w:ascii="宋体" w:hAnsi="宋体"/>
          <w:color w:val="000000"/>
          <w:szCs w:val="21"/>
        </w:rPr>
        <w:t>处理。</w:t>
      </w:r>
    </w:p>
    <w:p>
      <w:pPr>
        <w:tabs>
          <w:tab w:val="left" w:pos="0"/>
        </w:tabs>
        <w:spacing w:line="420" w:lineRule="exact"/>
        <w:ind w:firstLine="420" w:firstLineChars="200"/>
        <w:rPr>
          <w:rFonts w:ascii="宋体" w:hAnsi="宋体"/>
          <w:color w:val="000000"/>
          <w:szCs w:val="21"/>
        </w:rPr>
      </w:pPr>
      <w:r>
        <w:rPr>
          <w:rFonts w:hint="eastAsia" w:ascii="宋体" w:hAnsi="宋体"/>
          <w:color w:val="000000"/>
          <w:szCs w:val="21"/>
        </w:rPr>
        <w:t>22.6</w:t>
      </w:r>
      <w:r>
        <w:rPr>
          <w:rFonts w:ascii="宋体" w:hAnsi="宋体"/>
          <w:color w:val="000000"/>
          <w:szCs w:val="21"/>
        </w:rPr>
        <w:t>评标委员会应当根据招标文件，审查并逐项列出投标文件的全部投标偏差。 </w:t>
      </w:r>
    </w:p>
    <w:p>
      <w:pPr>
        <w:tabs>
          <w:tab w:val="left" w:pos="0"/>
        </w:tabs>
        <w:spacing w:line="420" w:lineRule="exact"/>
        <w:ind w:firstLine="420" w:firstLineChars="200"/>
        <w:rPr>
          <w:rFonts w:ascii="宋体" w:hAnsi="宋体"/>
          <w:color w:val="000000"/>
          <w:szCs w:val="21"/>
        </w:rPr>
      </w:pPr>
      <w:r>
        <w:rPr>
          <w:rFonts w:ascii="宋体" w:hAnsi="宋体"/>
          <w:color w:val="000000"/>
          <w:szCs w:val="21"/>
        </w:rPr>
        <w:t>投标偏差分为重大偏差和细微偏差。 </w:t>
      </w:r>
    </w:p>
    <w:p>
      <w:pPr>
        <w:spacing w:line="432" w:lineRule="auto"/>
        <w:ind w:firstLine="420" w:firstLineChars="200"/>
        <w:rPr>
          <w:rFonts w:ascii="宋体" w:hAnsi="宋体"/>
          <w:color w:val="000000"/>
          <w:szCs w:val="21"/>
        </w:rPr>
      </w:pPr>
      <w:r>
        <w:rPr>
          <w:rFonts w:hint="eastAsia" w:ascii="宋体" w:hAnsi="宋体"/>
          <w:color w:val="000000"/>
          <w:szCs w:val="21"/>
        </w:rPr>
        <w:t>22.6.1</w:t>
      </w:r>
      <w:r>
        <w:rPr>
          <w:rFonts w:ascii="宋体" w:hAnsi="宋体"/>
          <w:color w:val="000000"/>
          <w:szCs w:val="21"/>
        </w:rPr>
        <w:t>下列情况属于重大偏差： </w:t>
      </w:r>
    </w:p>
    <w:p>
      <w:pPr>
        <w:spacing w:line="432" w:lineRule="auto"/>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1</w:t>
      </w:r>
      <w:r>
        <w:rPr>
          <w:rFonts w:ascii="宋体" w:hAnsi="宋体"/>
          <w:color w:val="000000"/>
          <w:szCs w:val="21"/>
        </w:rPr>
        <w:t>）没有按照招标文件要求提供投标担保或者所提供的投标担保有瑕疵；</w:t>
      </w:r>
    </w:p>
    <w:p>
      <w:pPr>
        <w:spacing w:line="432" w:lineRule="auto"/>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2</w:t>
      </w:r>
      <w:r>
        <w:rPr>
          <w:rFonts w:ascii="宋体" w:hAnsi="宋体"/>
          <w:color w:val="000000"/>
          <w:szCs w:val="21"/>
        </w:rPr>
        <w:t>）投标文件没有投标人授权代表签字和加盖公章；</w:t>
      </w:r>
    </w:p>
    <w:p>
      <w:pPr>
        <w:spacing w:line="432" w:lineRule="auto"/>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3</w:t>
      </w:r>
      <w:r>
        <w:rPr>
          <w:rFonts w:ascii="宋体" w:hAnsi="宋体"/>
          <w:color w:val="000000"/>
          <w:szCs w:val="21"/>
        </w:rPr>
        <w:t>）投标文件载明的招标项目完成期限</w:t>
      </w:r>
      <w:r>
        <w:rPr>
          <w:rFonts w:hint="eastAsia" w:ascii="宋体" w:hAnsi="宋体"/>
          <w:color w:val="000000"/>
          <w:szCs w:val="21"/>
        </w:rPr>
        <w:t>不满足</w:t>
      </w:r>
      <w:r>
        <w:rPr>
          <w:rFonts w:ascii="宋体" w:hAnsi="宋体"/>
          <w:color w:val="000000"/>
          <w:szCs w:val="21"/>
        </w:rPr>
        <w:t>招标文件规定的期限；</w:t>
      </w:r>
    </w:p>
    <w:p>
      <w:pPr>
        <w:spacing w:line="432" w:lineRule="auto"/>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4</w:t>
      </w:r>
      <w:r>
        <w:rPr>
          <w:rFonts w:ascii="宋体" w:hAnsi="宋体"/>
          <w:color w:val="000000"/>
          <w:szCs w:val="21"/>
        </w:rPr>
        <w:t>）投标文件附有招标人不能接受的条件；</w:t>
      </w:r>
    </w:p>
    <w:p>
      <w:pPr>
        <w:spacing w:line="432" w:lineRule="auto"/>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5</w:t>
      </w:r>
      <w:r>
        <w:rPr>
          <w:rFonts w:ascii="宋体" w:hAnsi="宋体"/>
          <w:color w:val="000000"/>
          <w:szCs w:val="21"/>
        </w:rPr>
        <w:t>）不符合招标文件中规定的其他实质性要求。</w:t>
      </w:r>
    </w:p>
    <w:p>
      <w:pPr>
        <w:spacing w:line="432" w:lineRule="auto"/>
        <w:ind w:firstLine="422" w:firstLineChars="200"/>
        <w:rPr>
          <w:rFonts w:ascii="宋体" w:hAnsi="宋体"/>
          <w:b/>
          <w:bCs/>
          <w:color w:val="000000"/>
          <w:szCs w:val="21"/>
        </w:rPr>
      </w:pPr>
      <w:r>
        <w:rPr>
          <w:rFonts w:ascii="宋体" w:hAnsi="宋体"/>
          <w:b/>
          <w:bCs/>
          <w:color w:val="000000"/>
          <w:szCs w:val="21"/>
        </w:rPr>
        <w:t>投标文件有上述情形之一的，为未能对招标文件作出</w:t>
      </w:r>
      <w:r>
        <w:rPr>
          <w:rFonts w:hint="eastAsia" w:ascii="宋体" w:hAnsi="宋体"/>
          <w:b/>
          <w:bCs/>
          <w:color w:val="000000"/>
          <w:szCs w:val="21"/>
        </w:rPr>
        <w:t>明确</w:t>
      </w:r>
      <w:r>
        <w:rPr>
          <w:rFonts w:ascii="宋体" w:hAnsi="宋体"/>
          <w:b/>
          <w:bCs/>
          <w:color w:val="000000"/>
          <w:szCs w:val="21"/>
        </w:rPr>
        <w:t>响应，并按本规定第</w:t>
      </w:r>
      <w:r>
        <w:rPr>
          <w:rFonts w:hint="eastAsia" w:ascii="宋体" w:hAnsi="宋体"/>
          <w:b/>
          <w:bCs/>
          <w:color w:val="000000"/>
          <w:szCs w:val="21"/>
        </w:rPr>
        <w:t>20.2</w:t>
      </w:r>
      <w:r>
        <w:rPr>
          <w:rFonts w:ascii="宋体" w:hAnsi="宋体"/>
          <w:b/>
          <w:bCs/>
          <w:color w:val="000000"/>
          <w:szCs w:val="21"/>
        </w:rPr>
        <w:t>规定作</w:t>
      </w:r>
      <w:r>
        <w:rPr>
          <w:rFonts w:hint="eastAsia" w:ascii="宋体" w:hAnsi="宋体"/>
          <w:b/>
          <w:bCs/>
          <w:color w:val="000000"/>
          <w:szCs w:val="21"/>
        </w:rPr>
        <w:t>无效</w:t>
      </w:r>
      <w:r>
        <w:rPr>
          <w:rFonts w:ascii="宋体" w:hAnsi="宋体"/>
          <w:b/>
          <w:bCs/>
          <w:color w:val="000000"/>
          <w:szCs w:val="21"/>
        </w:rPr>
        <w:t>标处理</w:t>
      </w:r>
      <w:r>
        <w:rPr>
          <w:rFonts w:hint="eastAsia" w:ascii="宋体" w:hAnsi="宋体"/>
          <w:b/>
          <w:bCs/>
          <w:color w:val="000000"/>
          <w:szCs w:val="21"/>
        </w:rPr>
        <w:t>。</w:t>
      </w:r>
    </w:p>
    <w:p>
      <w:pPr>
        <w:spacing w:line="432" w:lineRule="auto"/>
        <w:ind w:firstLine="420" w:firstLineChars="200"/>
        <w:rPr>
          <w:rFonts w:ascii="宋体" w:hAnsi="宋体"/>
          <w:color w:val="000000"/>
          <w:szCs w:val="21"/>
        </w:rPr>
      </w:pPr>
      <w:r>
        <w:rPr>
          <w:rFonts w:hint="eastAsia" w:ascii="宋体" w:hAnsi="宋体"/>
          <w:color w:val="000000"/>
          <w:szCs w:val="21"/>
        </w:rPr>
        <w:t xml:space="preserve">22.6.2 </w:t>
      </w:r>
      <w:r>
        <w:rPr>
          <w:rFonts w:ascii="宋体" w:hAnsi="宋体"/>
          <w:color w:val="000000"/>
          <w:szCs w:val="21"/>
        </w:rPr>
        <w:t>细微偏差是指投标文件</w:t>
      </w:r>
      <w:r>
        <w:rPr>
          <w:rFonts w:hint="eastAsia" w:ascii="宋体" w:hAnsi="宋体"/>
          <w:color w:val="000000"/>
          <w:szCs w:val="21"/>
        </w:rPr>
        <w:t>明确</w:t>
      </w:r>
      <w:r>
        <w:rPr>
          <w:rFonts w:ascii="宋体" w:hAnsi="宋体"/>
          <w:color w:val="000000"/>
          <w:szCs w:val="21"/>
        </w:rPr>
        <w:t>响应招标文件要求，但在个别地方存在漏项或者提供了不完整的技术信息和数据等情况，并且补正这些遗漏或者不完整不会对其他投标人造成不公平的结果。细微偏差不影响投标文件的有效性。</w:t>
      </w:r>
    </w:p>
    <w:p>
      <w:pPr>
        <w:spacing w:line="420" w:lineRule="exact"/>
        <w:ind w:firstLine="420" w:firstLineChars="200"/>
        <w:rPr>
          <w:rFonts w:ascii="宋体" w:hAnsi="宋体"/>
          <w:color w:val="000000"/>
          <w:szCs w:val="21"/>
        </w:rPr>
      </w:pPr>
      <w:r>
        <w:rPr>
          <w:rFonts w:hint="eastAsia" w:ascii="宋体" w:hAnsi="宋体"/>
          <w:color w:val="000000"/>
          <w:szCs w:val="21"/>
        </w:rPr>
        <w:t>22.7详细技术评审。</w:t>
      </w:r>
      <w:r>
        <w:rPr>
          <w:rFonts w:ascii="宋体" w:hAnsi="宋体"/>
          <w:color w:val="000000"/>
          <w:szCs w:val="21"/>
        </w:rPr>
        <w:t>经初步评审合格的投标文件，评标委员会应当根据招标文件确定的评标标准和方法，对其技术部分作进一步评审、比较</w:t>
      </w:r>
      <w:r>
        <w:rPr>
          <w:rFonts w:hint="eastAsia" w:ascii="宋体" w:hAnsi="宋体"/>
          <w:color w:val="000000"/>
          <w:szCs w:val="21"/>
        </w:rPr>
        <w:t>。以招标文件要求为基础，考虑各项相关因素的影响，将相关因素以定量计算的方法转换成分数表示形式，进行打分汇总。</w:t>
      </w:r>
    </w:p>
    <w:p>
      <w:pPr>
        <w:spacing w:line="420" w:lineRule="exact"/>
        <w:ind w:firstLine="420" w:firstLineChars="200"/>
        <w:rPr>
          <w:rFonts w:hint="eastAsia" w:ascii="宋体" w:hAnsi="宋体"/>
          <w:color w:val="000000"/>
          <w:szCs w:val="21"/>
        </w:rPr>
      </w:pPr>
      <w:r>
        <w:rPr>
          <w:rFonts w:hint="eastAsia" w:ascii="宋体" w:hAnsi="宋体"/>
          <w:color w:val="000000"/>
          <w:szCs w:val="21"/>
        </w:rPr>
        <w:t>22.7.1由评委对各投标人的投标文件进行审阅，然后对投标人进行询标和评议，并按以上指标进行记名打分。统计、汇总所有专家对每一份投标文件的评分，用算术平均法求出每一份投标文件的平均得分（小数点后保留2位，四舍五入）。</w:t>
      </w:r>
      <w:r>
        <w:rPr>
          <w:rFonts w:hint="eastAsia" w:ascii="宋体" w:hAnsi="宋体"/>
          <w:szCs w:val="21"/>
        </w:rPr>
        <w:t>对明显畸高、畸低的评分（其总评分偏离平均分30%以上的），评委会组长提醒相关评审人员进行复核或书面说明理由。</w:t>
      </w:r>
    </w:p>
    <w:p>
      <w:pPr>
        <w:spacing w:line="400" w:lineRule="exact"/>
        <w:ind w:firstLine="420" w:firstLineChars="200"/>
        <w:rPr>
          <w:rFonts w:hint="eastAsia" w:ascii="黑体" w:hAnsi="黑体" w:eastAsia="黑体"/>
          <w:szCs w:val="21"/>
        </w:rPr>
      </w:pPr>
      <w:r>
        <w:rPr>
          <w:rFonts w:hint="eastAsia" w:ascii="宋体" w:hAnsi="宋体"/>
          <w:szCs w:val="21"/>
        </w:rPr>
        <w:t>22.7.2综合评分。评分标准的评分，除明确给出评判标准的项目，各项指标得分的最小打分单位为0.1分。</w:t>
      </w:r>
      <w:r>
        <w:rPr>
          <w:rFonts w:hint="eastAsia" w:ascii="宋体" w:hAnsi="宋体"/>
          <w:b/>
          <w:bCs/>
          <w:color w:val="000000"/>
          <w:szCs w:val="21"/>
        </w:rPr>
        <w:t>附：评分表</w:t>
      </w:r>
    </w:p>
    <w:tbl>
      <w:tblPr>
        <w:tblStyle w:val="14"/>
        <w:tblW w:w="5000" w:type="pct"/>
        <w:tblInd w:w="0" w:type="dxa"/>
        <w:tblLayout w:type="autofit"/>
        <w:tblCellMar>
          <w:top w:w="0" w:type="dxa"/>
          <w:left w:w="108" w:type="dxa"/>
          <w:bottom w:w="0" w:type="dxa"/>
          <w:right w:w="108" w:type="dxa"/>
        </w:tblCellMar>
      </w:tblPr>
      <w:tblGrid>
        <w:gridCol w:w="1193"/>
        <w:gridCol w:w="1225"/>
        <w:gridCol w:w="6824"/>
        <w:gridCol w:w="698"/>
      </w:tblGrid>
      <w:tr>
        <w:tblPrEx>
          <w:tblCellMar>
            <w:top w:w="0" w:type="dxa"/>
            <w:left w:w="108" w:type="dxa"/>
            <w:bottom w:w="0" w:type="dxa"/>
            <w:right w:w="108" w:type="dxa"/>
          </w:tblCellMar>
        </w:tblPrEx>
        <w:trPr>
          <w:trHeight w:val="300" w:hRule="atLeast"/>
        </w:trPr>
        <w:tc>
          <w:tcPr>
            <w:tcW w:w="600" w:type="pct"/>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b/>
                <w:bCs/>
                <w:sz w:val="18"/>
                <w:szCs w:val="18"/>
              </w:rPr>
            </w:pPr>
            <w:r>
              <w:rPr>
                <w:rFonts w:hint="eastAsia" w:ascii="宋体" w:hAnsi="宋体" w:cs="宋体"/>
                <w:b/>
                <w:bCs/>
                <w:sz w:val="18"/>
                <w:szCs w:val="18"/>
              </w:rPr>
              <w:t>评分因素</w:t>
            </w:r>
          </w:p>
        </w:tc>
        <w:tc>
          <w:tcPr>
            <w:tcW w:w="4048" w:type="pct"/>
            <w:gridSpan w:val="2"/>
            <w:tcBorders>
              <w:top w:val="single" w:color="auto" w:sz="8" w:space="0"/>
              <w:left w:val="nil"/>
              <w:bottom w:val="single" w:color="auto" w:sz="8" w:space="0"/>
              <w:right w:val="single" w:color="000000" w:sz="8" w:space="0"/>
            </w:tcBorders>
            <w:noWrap/>
            <w:vAlign w:val="center"/>
          </w:tcPr>
          <w:p>
            <w:pPr>
              <w:jc w:val="center"/>
              <w:rPr>
                <w:rFonts w:ascii="宋体" w:hAnsi="宋体" w:cs="宋体"/>
                <w:b/>
                <w:bCs/>
                <w:sz w:val="18"/>
                <w:szCs w:val="18"/>
              </w:rPr>
            </w:pPr>
            <w:r>
              <w:rPr>
                <w:rFonts w:hint="eastAsia" w:ascii="宋体" w:hAnsi="宋体" w:cs="宋体"/>
                <w:b/>
                <w:bCs/>
                <w:sz w:val="18"/>
                <w:szCs w:val="18"/>
              </w:rPr>
              <w:t>评审标准</w:t>
            </w:r>
          </w:p>
        </w:tc>
        <w:tc>
          <w:tcPr>
            <w:tcW w:w="351" w:type="pct"/>
            <w:tcBorders>
              <w:top w:val="single" w:color="auto" w:sz="8" w:space="0"/>
              <w:left w:val="nil"/>
              <w:bottom w:val="single" w:color="auto" w:sz="8" w:space="0"/>
              <w:right w:val="single" w:color="auto" w:sz="8" w:space="0"/>
            </w:tcBorders>
            <w:noWrap w:val="0"/>
            <w:vAlign w:val="center"/>
          </w:tcPr>
          <w:p>
            <w:pPr>
              <w:jc w:val="center"/>
              <w:rPr>
                <w:rFonts w:ascii="宋体" w:hAnsi="宋体" w:cs="宋体"/>
                <w:b/>
                <w:bCs/>
                <w:sz w:val="18"/>
                <w:szCs w:val="18"/>
              </w:rPr>
            </w:pPr>
            <w:r>
              <w:rPr>
                <w:rFonts w:hint="eastAsia" w:ascii="宋体" w:hAnsi="宋体" w:cs="宋体"/>
                <w:b/>
                <w:bCs/>
                <w:sz w:val="18"/>
                <w:szCs w:val="18"/>
              </w:rPr>
              <w:t>分值</w:t>
            </w:r>
          </w:p>
        </w:tc>
      </w:tr>
      <w:tr>
        <w:tblPrEx>
          <w:tblCellMar>
            <w:top w:w="0" w:type="dxa"/>
            <w:left w:w="108" w:type="dxa"/>
            <w:bottom w:w="0" w:type="dxa"/>
            <w:right w:w="108" w:type="dxa"/>
          </w:tblCellMar>
        </w:tblPrEx>
        <w:trPr>
          <w:trHeight w:val="2235" w:hRule="atLeast"/>
        </w:trPr>
        <w:tc>
          <w:tcPr>
            <w:tcW w:w="600" w:type="pct"/>
            <w:tcBorders>
              <w:top w:val="nil"/>
              <w:left w:val="single" w:color="auto" w:sz="8" w:space="0"/>
              <w:bottom w:val="nil"/>
              <w:right w:val="single" w:color="auto" w:sz="8" w:space="0"/>
            </w:tcBorders>
            <w:noWrap w:val="0"/>
            <w:vAlign w:val="center"/>
          </w:tcPr>
          <w:p>
            <w:pPr>
              <w:jc w:val="center"/>
              <w:rPr>
                <w:rFonts w:ascii="宋体" w:hAnsi="宋体" w:cs="宋体"/>
                <w:b/>
                <w:bCs/>
                <w:sz w:val="18"/>
                <w:szCs w:val="18"/>
              </w:rPr>
            </w:pPr>
            <w:r>
              <w:rPr>
                <w:rFonts w:hint="eastAsia" w:ascii="宋体" w:hAnsi="宋体" w:cs="宋体"/>
                <w:b/>
                <w:bCs/>
                <w:sz w:val="18"/>
                <w:szCs w:val="18"/>
              </w:rPr>
              <w:t>价格分“各标项单独评分”（30分）</w:t>
            </w:r>
          </w:p>
        </w:tc>
        <w:tc>
          <w:tcPr>
            <w:tcW w:w="4048" w:type="pct"/>
            <w:gridSpan w:val="2"/>
            <w:tcBorders>
              <w:top w:val="single" w:color="auto" w:sz="8" w:space="0"/>
              <w:left w:val="nil"/>
              <w:bottom w:val="single" w:color="auto" w:sz="8" w:space="0"/>
              <w:right w:val="single" w:color="000000" w:sz="8" w:space="0"/>
            </w:tcBorders>
            <w:noWrap w:val="0"/>
            <w:vAlign w:val="center"/>
          </w:tcPr>
          <w:p>
            <w:pPr>
              <w:rPr>
                <w:rFonts w:ascii="宋体" w:hAnsi="宋体" w:cs="宋体"/>
                <w:sz w:val="18"/>
                <w:szCs w:val="18"/>
              </w:rPr>
            </w:pPr>
            <w:r>
              <w:rPr>
                <w:rFonts w:hint="eastAsia" w:ascii="宋体" w:hAnsi="宋体" w:cs="宋体"/>
                <w:sz w:val="18"/>
                <w:szCs w:val="18"/>
              </w:rPr>
              <w:t>参与评审的各标项价格=各标项投标报价-小微企业价格扣除优惠值6%</w:t>
            </w:r>
            <w:r>
              <w:rPr>
                <w:rFonts w:hint="eastAsia" w:ascii="宋体" w:hAnsi="宋体" w:cs="宋体"/>
                <w:sz w:val="18"/>
                <w:szCs w:val="18"/>
              </w:rPr>
              <w:br w:type="textWrapping"/>
            </w:r>
            <w:r>
              <w:rPr>
                <w:rFonts w:hint="eastAsia" w:ascii="宋体" w:hAnsi="宋体" w:cs="宋体"/>
                <w:sz w:val="18"/>
                <w:szCs w:val="18"/>
              </w:rPr>
              <w:t>各标项满足采购文件要求且“参与评审的价格”中最低的投标报价为评标基准价，评标基准价得30分。</w:t>
            </w:r>
            <w:r>
              <w:rPr>
                <w:rFonts w:hint="eastAsia" w:ascii="宋体" w:hAnsi="宋体" w:cs="宋体"/>
                <w:sz w:val="18"/>
                <w:szCs w:val="18"/>
              </w:rPr>
              <w:br w:type="textWrapping"/>
            </w:r>
            <w:r>
              <w:rPr>
                <w:rFonts w:hint="eastAsia" w:ascii="宋体" w:hAnsi="宋体" w:cs="宋体"/>
                <w:sz w:val="18"/>
                <w:szCs w:val="18"/>
              </w:rPr>
              <w:t>注：</w:t>
            </w:r>
            <w:r>
              <w:rPr>
                <w:rFonts w:hint="eastAsia" w:ascii="宋体" w:hAnsi="宋体" w:cs="宋体"/>
                <w:sz w:val="18"/>
                <w:szCs w:val="18"/>
                <w:lang w:val="zh-CN"/>
              </w:rPr>
              <w:t>低于所有</w:t>
            </w:r>
            <w:r>
              <w:rPr>
                <w:rFonts w:hint="eastAsia" w:ascii="宋体" w:hAnsi="宋体" w:cs="宋体"/>
                <w:sz w:val="18"/>
                <w:szCs w:val="18"/>
              </w:rPr>
              <w:t>各标项</w:t>
            </w:r>
            <w:r>
              <w:rPr>
                <w:rFonts w:hint="eastAsia" w:ascii="宋体" w:hAnsi="宋体" w:cs="宋体"/>
                <w:sz w:val="18"/>
                <w:szCs w:val="18"/>
                <w:lang w:val="zh-CN"/>
              </w:rPr>
              <w:t>有效投标报价算术平均值80%的投标报价视为</w:t>
            </w:r>
            <w:r>
              <w:rPr>
                <w:rFonts w:hint="eastAsia" w:ascii="宋体" w:hAnsi="宋体" w:cs="宋体"/>
                <w:sz w:val="18"/>
                <w:szCs w:val="18"/>
              </w:rPr>
              <w:t>“过低报价”</w:t>
            </w:r>
            <w:r>
              <w:rPr>
                <w:rFonts w:hint="eastAsia" w:ascii="宋体" w:hAnsi="宋体" w:cs="宋体"/>
                <w:sz w:val="18"/>
                <w:szCs w:val="18"/>
                <w:lang w:val="zh-CN"/>
              </w:rPr>
              <w:t>。评审委员会</w:t>
            </w:r>
            <w:r>
              <w:rPr>
                <w:rFonts w:hint="eastAsia" w:ascii="宋体" w:hAnsi="宋体" w:cs="宋体"/>
                <w:sz w:val="18"/>
                <w:szCs w:val="18"/>
              </w:rPr>
              <w:t>应当要求其在评标现场0.5小时内提供书面说明及相关证明材料，若投标人未提供或虽然提供了证明资料，但评审委员会</w:t>
            </w:r>
            <w:r>
              <w:rPr>
                <w:rFonts w:hint="eastAsia" w:ascii="宋体" w:hAnsi="宋体" w:cs="宋体"/>
                <w:sz w:val="18"/>
                <w:szCs w:val="18"/>
                <w:lang w:val="zh-CN"/>
              </w:rPr>
              <w:t>三分之二以上</w:t>
            </w:r>
            <w:r>
              <w:rPr>
                <w:rFonts w:hint="eastAsia" w:ascii="宋体" w:hAnsi="宋体" w:cs="宋体"/>
                <w:sz w:val="18"/>
                <w:szCs w:val="18"/>
              </w:rPr>
              <w:t>成员认为其证明材料依据不合理的，</w:t>
            </w:r>
            <w:r>
              <w:rPr>
                <w:rFonts w:hint="eastAsia" w:ascii="宋体" w:hAnsi="宋体" w:cs="宋体"/>
                <w:sz w:val="18"/>
                <w:szCs w:val="18"/>
                <w:lang w:val="zh-CN"/>
              </w:rPr>
              <w:t>由三分之二以上评委书面确认后，</w:t>
            </w:r>
            <w:r>
              <w:rPr>
                <w:rFonts w:hint="eastAsia" w:ascii="宋体" w:hAnsi="宋体" w:cs="宋体"/>
                <w:sz w:val="18"/>
                <w:szCs w:val="18"/>
              </w:rPr>
              <w:t>该报价不再作为评标基准价，且价格得分为0分。</w:t>
            </w:r>
            <w:r>
              <w:rPr>
                <w:rFonts w:hint="eastAsia" w:ascii="宋体" w:hAnsi="宋体" w:cs="宋体"/>
                <w:sz w:val="18"/>
                <w:szCs w:val="18"/>
              </w:rPr>
              <w:br w:type="textWrapping"/>
            </w:r>
            <w:r>
              <w:rPr>
                <w:rFonts w:hint="eastAsia" w:ascii="宋体" w:hAnsi="宋体" w:cs="宋体"/>
                <w:sz w:val="18"/>
                <w:szCs w:val="18"/>
              </w:rPr>
              <w:t>其他投标人的价格分统一按照下列公式计算：</w:t>
            </w:r>
            <w:r>
              <w:rPr>
                <w:rFonts w:hint="eastAsia" w:ascii="宋体" w:hAnsi="宋体" w:cs="宋体"/>
                <w:sz w:val="18"/>
                <w:szCs w:val="18"/>
              </w:rPr>
              <w:br w:type="textWrapping"/>
            </w:r>
            <w:r>
              <w:rPr>
                <w:rFonts w:hint="eastAsia" w:ascii="宋体" w:hAnsi="宋体" w:cs="宋体"/>
                <w:sz w:val="18"/>
                <w:szCs w:val="18"/>
              </w:rPr>
              <w:t>各标项投标报价得分=(评标基准价/参与评审的价格)×30%×100</w:t>
            </w:r>
            <w:r>
              <w:rPr>
                <w:rFonts w:hint="eastAsia" w:ascii="宋体" w:hAnsi="宋体" w:cs="宋体"/>
                <w:sz w:val="18"/>
                <w:szCs w:val="18"/>
              </w:rPr>
              <w:br w:type="textWrapping"/>
            </w:r>
            <w:r>
              <w:rPr>
                <w:rFonts w:hint="eastAsia" w:ascii="宋体" w:hAnsi="宋体" w:cs="宋体"/>
                <w:b/>
                <w:bCs/>
                <w:sz w:val="18"/>
                <w:szCs w:val="18"/>
              </w:rPr>
              <w:t>备注：</w:t>
            </w:r>
            <w:r>
              <w:rPr>
                <w:szCs w:val="21"/>
              </w:rPr>
              <w:t>★</w:t>
            </w:r>
            <w:r>
              <w:rPr>
                <w:rFonts w:hint="eastAsia" w:ascii="宋体" w:hAnsi="宋体" w:cs="宋体"/>
                <w:b/>
                <w:bCs/>
                <w:sz w:val="18"/>
                <w:szCs w:val="18"/>
              </w:rPr>
              <w:t>本项目最高限价为标项一人民币19879779元整，标项二人民币17612047元整，标项三人民币15291543元整，标项四人民币16977676元整，标项五人民币11709073元整，报价超过最高限价的视为无效投标。</w:t>
            </w:r>
          </w:p>
        </w:tc>
        <w:tc>
          <w:tcPr>
            <w:tcW w:w="351" w:type="pct"/>
            <w:tcBorders>
              <w:top w:val="nil"/>
              <w:left w:val="nil"/>
              <w:bottom w:val="single" w:color="auto" w:sz="8" w:space="0"/>
              <w:right w:val="single" w:color="auto" w:sz="8" w:space="0"/>
            </w:tcBorders>
            <w:noWrap w:val="0"/>
            <w:vAlign w:val="center"/>
          </w:tcPr>
          <w:p>
            <w:pPr>
              <w:jc w:val="center"/>
              <w:rPr>
                <w:rFonts w:ascii="宋体" w:hAnsi="宋体" w:cs="宋体"/>
                <w:sz w:val="18"/>
                <w:szCs w:val="18"/>
              </w:rPr>
            </w:pPr>
            <w:r>
              <w:rPr>
                <w:rFonts w:hint="eastAsia" w:ascii="宋体" w:hAnsi="宋体" w:cs="宋体"/>
                <w:sz w:val="18"/>
                <w:szCs w:val="18"/>
              </w:rPr>
              <w:t>30</w:t>
            </w:r>
          </w:p>
        </w:tc>
      </w:tr>
      <w:tr>
        <w:tblPrEx>
          <w:tblCellMar>
            <w:top w:w="0" w:type="dxa"/>
            <w:left w:w="108" w:type="dxa"/>
            <w:bottom w:w="0" w:type="dxa"/>
            <w:right w:w="108" w:type="dxa"/>
          </w:tblCellMar>
        </w:tblPrEx>
        <w:trPr>
          <w:trHeight w:val="90" w:hRule="atLeast"/>
        </w:trPr>
        <w:tc>
          <w:tcPr>
            <w:tcW w:w="600" w:type="pct"/>
            <w:vMerge w:val="restart"/>
            <w:tcBorders>
              <w:top w:val="single" w:color="auto" w:sz="8" w:space="0"/>
              <w:left w:val="single" w:color="auto" w:sz="8" w:space="0"/>
              <w:bottom w:val="single" w:color="000000" w:sz="8" w:space="0"/>
              <w:right w:val="single" w:color="auto" w:sz="8" w:space="0"/>
            </w:tcBorders>
            <w:noWrap w:val="0"/>
            <w:vAlign w:val="center"/>
          </w:tcPr>
          <w:p>
            <w:pPr>
              <w:jc w:val="center"/>
              <w:rPr>
                <w:rFonts w:ascii="宋体" w:hAnsi="宋体" w:cs="宋体"/>
                <w:b/>
                <w:bCs/>
                <w:sz w:val="18"/>
                <w:szCs w:val="18"/>
              </w:rPr>
            </w:pPr>
            <w:r>
              <w:rPr>
                <w:rFonts w:hint="eastAsia" w:ascii="宋体" w:hAnsi="宋体" w:cs="宋体"/>
                <w:b/>
                <w:bCs/>
                <w:sz w:val="18"/>
                <w:szCs w:val="18"/>
              </w:rPr>
              <w:t>商务技术分“分标项评分”（70分）</w:t>
            </w:r>
          </w:p>
        </w:tc>
        <w:tc>
          <w:tcPr>
            <w:tcW w:w="616" w:type="pct"/>
            <w:tcBorders>
              <w:top w:val="nil"/>
              <w:left w:val="nil"/>
              <w:bottom w:val="single" w:color="auto" w:sz="8" w:space="0"/>
              <w:right w:val="single" w:color="auto" w:sz="8" w:space="0"/>
            </w:tcBorders>
            <w:noWrap w:val="0"/>
            <w:vAlign w:val="center"/>
          </w:tcPr>
          <w:p>
            <w:pPr>
              <w:jc w:val="center"/>
              <w:rPr>
                <w:rFonts w:ascii="宋体" w:hAnsi="宋体" w:cs="宋体"/>
                <w:sz w:val="18"/>
                <w:szCs w:val="18"/>
              </w:rPr>
            </w:pPr>
            <w:r>
              <w:rPr>
                <w:rFonts w:hint="eastAsia" w:ascii="宋体" w:hAnsi="宋体" w:cs="宋体"/>
                <w:sz w:val="18"/>
                <w:szCs w:val="18"/>
              </w:rPr>
              <w:t>技术（24分）</w:t>
            </w:r>
          </w:p>
        </w:tc>
        <w:tc>
          <w:tcPr>
            <w:tcW w:w="3432" w:type="pct"/>
            <w:tcBorders>
              <w:top w:val="nil"/>
              <w:left w:val="nil"/>
              <w:bottom w:val="single" w:color="auto" w:sz="8" w:space="0"/>
              <w:right w:val="single" w:color="auto" w:sz="8" w:space="0"/>
            </w:tcBorders>
            <w:noWrap w:val="0"/>
            <w:vAlign w:val="center"/>
          </w:tcPr>
          <w:p>
            <w:pPr>
              <w:rPr>
                <w:rFonts w:ascii="宋体" w:hAnsi="宋体" w:cs="宋体"/>
                <w:sz w:val="18"/>
                <w:szCs w:val="18"/>
              </w:rPr>
            </w:pPr>
            <w:r>
              <w:rPr>
                <w:rFonts w:ascii="宋体" w:hAnsi="宋体" w:cs="宋体"/>
                <w:sz w:val="18"/>
                <w:szCs w:val="18"/>
              </w:rPr>
              <w:t>需求指标偏离情况</w:t>
            </w:r>
            <w:r>
              <w:rPr>
                <w:rFonts w:hint="eastAsia" w:ascii="宋体" w:hAnsi="宋体" w:cs="宋体"/>
                <w:sz w:val="18"/>
                <w:szCs w:val="18"/>
              </w:rPr>
              <w:t>24</w:t>
            </w:r>
            <w:r>
              <w:rPr>
                <w:rFonts w:ascii="宋体" w:hAnsi="宋体" w:cs="宋体"/>
                <w:sz w:val="18"/>
                <w:szCs w:val="18"/>
              </w:rPr>
              <w:t>分：对主要技术性能及功能满足情况进行评比，按技术性能优劣情况打分。全部满足或者优于招标要求的得</w:t>
            </w:r>
            <w:r>
              <w:rPr>
                <w:rFonts w:hint="eastAsia" w:ascii="宋体" w:hAnsi="宋体" w:cs="宋体"/>
                <w:sz w:val="18"/>
                <w:szCs w:val="18"/>
              </w:rPr>
              <w:t>24</w:t>
            </w:r>
            <w:r>
              <w:rPr>
                <w:rFonts w:ascii="宋体" w:hAnsi="宋体" w:cs="宋体"/>
                <w:sz w:val="18"/>
                <w:szCs w:val="18"/>
              </w:rPr>
              <w:t>分，打“</w:t>
            </w:r>
            <w:r>
              <w:rPr>
                <w:rFonts w:hint="eastAsia" w:ascii="宋体" w:hAnsi="宋体" w:cs="宋体"/>
                <w:sz w:val="18"/>
                <w:szCs w:val="18"/>
              </w:rPr>
              <w:t>▲</w:t>
            </w:r>
            <w:r>
              <w:rPr>
                <w:rFonts w:ascii="宋体" w:hAnsi="宋体" w:cs="宋体"/>
                <w:sz w:val="18"/>
                <w:szCs w:val="18"/>
              </w:rPr>
              <w:t>”条款存在实质性负偏离（含响应不明确）1条扣2分，其他条款实质性负偏离（含响应不明确）1条扣1分，扣完为止，实质性负偏离由评委会集体评定。</w:t>
            </w:r>
          </w:p>
          <w:p>
            <w:pPr>
              <w:rPr>
                <w:sz w:val="18"/>
                <w:szCs w:val="18"/>
              </w:rPr>
            </w:pPr>
            <w:r>
              <w:rPr>
                <w:rFonts w:hint="eastAsia"/>
                <w:sz w:val="18"/>
                <w:szCs w:val="18"/>
              </w:rPr>
              <w:t>注：采购需求中需提供证明材料的条款，投标人如满足需附相关证明材料，否则评分细则“技术参数响应”中按照负偏离计算。</w:t>
            </w:r>
          </w:p>
        </w:tc>
        <w:tc>
          <w:tcPr>
            <w:tcW w:w="351" w:type="pct"/>
            <w:tcBorders>
              <w:top w:val="nil"/>
              <w:left w:val="nil"/>
              <w:bottom w:val="single" w:color="auto" w:sz="8" w:space="0"/>
              <w:right w:val="single" w:color="auto" w:sz="8" w:space="0"/>
            </w:tcBorders>
            <w:noWrap w:val="0"/>
            <w:vAlign w:val="center"/>
          </w:tcPr>
          <w:p>
            <w:pPr>
              <w:jc w:val="center"/>
              <w:rPr>
                <w:rFonts w:ascii="宋体" w:hAnsi="宋体" w:cs="宋体"/>
                <w:sz w:val="18"/>
                <w:szCs w:val="18"/>
              </w:rPr>
            </w:pPr>
            <w:r>
              <w:rPr>
                <w:rFonts w:hint="eastAsia" w:ascii="宋体" w:hAnsi="宋体" w:cs="宋体"/>
                <w:sz w:val="18"/>
                <w:szCs w:val="18"/>
              </w:rPr>
              <w:t>24</w:t>
            </w:r>
          </w:p>
        </w:tc>
      </w:tr>
      <w:tr>
        <w:tblPrEx>
          <w:tblCellMar>
            <w:top w:w="0" w:type="dxa"/>
            <w:left w:w="108" w:type="dxa"/>
            <w:bottom w:w="0" w:type="dxa"/>
            <w:right w:w="108" w:type="dxa"/>
          </w:tblCellMar>
        </w:tblPrEx>
        <w:trPr>
          <w:trHeight w:val="90" w:hRule="atLeast"/>
        </w:trPr>
        <w:tc>
          <w:tcPr>
            <w:tcW w:w="600" w:type="pct"/>
            <w:vMerge w:val="continue"/>
            <w:tcBorders>
              <w:left w:val="single" w:color="auto" w:sz="8" w:space="0"/>
              <w:right w:val="single" w:color="auto" w:sz="8" w:space="0"/>
            </w:tcBorders>
            <w:noWrap w:val="0"/>
            <w:vAlign w:val="center"/>
          </w:tcPr>
          <w:p>
            <w:pPr>
              <w:jc w:val="center"/>
              <w:rPr>
                <w:rFonts w:ascii="宋体" w:hAnsi="宋体" w:cs="宋体"/>
                <w:b/>
                <w:bCs/>
                <w:sz w:val="18"/>
                <w:szCs w:val="18"/>
              </w:rPr>
            </w:pPr>
          </w:p>
        </w:tc>
        <w:tc>
          <w:tcPr>
            <w:tcW w:w="616" w:type="pct"/>
            <w:tcBorders>
              <w:top w:val="nil"/>
              <w:left w:val="nil"/>
              <w:bottom w:val="single" w:color="auto" w:sz="8" w:space="0"/>
              <w:right w:val="single" w:color="auto" w:sz="8" w:space="0"/>
            </w:tcBorders>
            <w:noWrap w:val="0"/>
            <w:vAlign w:val="center"/>
          </w:tcPr>
          <w:p>
            <w:pPr>
              <w:jc w:val="center"/>
              <w:rPr>
                <w:rFonts w:ascii="宋体" w:hAnsi="宋体" w:cs="宋体"/>
                <w:sz w:val="18"/>
                <w:szCs w:val="18"/>
              </w:rPr>
            </w:pPr>
            <w:r>
              <w:rPr>
                <w:rFonts w:hint="eastAsia" w:ascii="宋体" w:hAnsi="宋体" w:cs="宋体"/>
                <w:sz w:val="18"/>
                <w:szCs w:val="18"/>
              </w:rPr>
              <w:t>实施方案（10分）</w:t>
            </w:r>
          </w:p>
        </w:tc>
        <w:tc>
          <w:tcPr>
            <w:tcW w:w="3432" w:type="pct"/>
            <w:tcBorders>
              <w:top w:val="nil"/>
              <w:left w:val="nil"/>
              <w:bottom w:val="single" w:color="auto" w:sz="8" w:space="0"/>
              <w:right w:val="single" w:color="auto" w:sz="8" w:space="0"/>
            </w:tcBorders>
            <w:noWrap w:val="0"/>
            <w:vAlign w:val="center"/>
          </w:tcPr>
          <w:p>
            <w:pPr>
              <w:rPr>
                <w:rFonts w:ascii="宋体" w:hAnsi="宋体" w:cs="宋体"/>
                <w:sz w:val="18"/>
                <w:szCs w:val="18"/>
              </w:rPr>
            </w:pPr>
            <w:r>
              <w:rPr>
                <w:rFonts w:ascii="宋体" w:hAnsi="宋体" w:cs="宋体"/>
                <w:sz w:val="18"/>
                <w:szCs w:val="18"/>
              </w:rPr>
              <w:t>包括但不限于施工/供货方案的合理性、可行性、实用性、完善性，安装组织措施、施工进度计划合理性，工期/供货期的合理性等综合评价。</w:t>
            </w:r>
            <w:r>
              <w:rPr>
                <w:rFonts w:hint="eastAsia" w:ascii="宋体" w:hAnsi="宋体" w:cs="宋体"/>
                <w:sz w:val="18"/>
                <w:szCs w:val="18"/>
              </w:rPr>
              <w:t>0-10</w:t>
            </w:r>
            <w:r>
              <w:rPr>
                <w:rFonts w:ascii="宋体" w:hAnsi="宋体" w:cs="宋体"/>
                <w:sz w:val="18"/>
                <w:szCs w:val="18"/>
              </w:rPr>
              <w:t>分</w:t>
            </w:r>
            <w:r>
              <w:rPr>
                <w:rFonts w:hint="eastAsia" w:ascii="宋体" w:hAnsi="宋体" w:cs="宋体"/>
                <w:sz w:val="18"/>
                <w:szCs w:val="18"/>
              </w:rPr>
              <w:t>。</w:t>
            </w:r>
          </w:p>
        </w:tc>
        <w:tc>
          <w:tcPr>
            <w:tcW w:w="351" w:type="pct"/>
            <w:tcBorders>
              <w:top w:val="nil"/>
              <w:left w:val="nil"/>
              <w:bottom w:val="single" w:color="auto" w:sz="8" w:space="0"/>
              <w:right w:val="single" w:color="auto" w:sz="8" w:space="0"/>
            </w:tcBorders>
            <w:noWrap w:val="0"/>
            <w:vAlign w:val="center"/>
          </w:tcPr>
          <w:p>
            <w:pPr>
              <w:jc w:val="center"/>
              <w:rPr>
                <w:rFonts w:ascii="宋体" w:hAnsi="宋体" w:cs="宋体"/>
                <w:sz w:val="18"/>
                <w:szCs w:val="18"/>
              </w:rPr>
            </w:pPr>
            <w:r>
              <w:rPr>
                <w:rFonts w:hint="eastAsia" w:ascii="宋体" w:hAnsi="宋体" w:cs="宋体"/>
                <w:sz w:val="18"/>
                <w:szCs w:val="18"/>
              </w:rPr>
              <w:t>10</w:t>
            </w:r>
          </w:p>
        </w:tc>
      </w:tr>
      <w:tr>
        <w:tblPrEx>
          <w:tblCellMar>
            <w:top w:w="0" w:type="dxa"/>
            <w:left w:w="108" w:type="dxa"/>
            <w:bottom w:w="0" w:type="dxa"/>
            <w:right w:w="108" w:type="dxa"/>
          </w:tblCellMar>
        </w:tblPrEx>
        <w:trPr>
          <w:trHeight w:val="90" w:hRule="atLeast"/>
        </w:trPr>
        <w:tc>
          <w:tcPr>
            <w:tcW w:w="600" w:type="pct"/>
            <w:vMerge w:val="continue"/>
            <w:tcBorders>
              <w:left w:val="single" w:color="auto" w:sz="8" w:space="0"/>
              <w:right w:val="single" w:color="auto" w:sz="8" w:space="0"/>
            </w:tcBorders>
            <w:noWrap w:val="0"/>
            <w:vAlign w:val="center"/>
          </w:tcPr>
          <w:p>
            <w:pPr>
              <w:jc w:val="center"/>
              <w:rPr>
                <w:rFonts w:ascii="宋体" w:hAnsi="宋体" w:cs="宋体"/>
                <w:b/>
                <w:bCs/>
                <w:sz w:val="18"/>
                <w:szCs w:val="18"/>
              </w:rPr>
            </w:pPr>
          </w:p>
        </w:tc>
        <w:tc>
          <w:tcPr>
            <w:tcW w:w="616" w:type="pct"/>
            <w:tcBorders>
              <w:top w:val="nil"/>
              <w:left w:val="nil"/>
              <w:bottom w:val="single" w:color="auto" w:sz="8" w:space="0"/>
              <w:right w:val="single" w:color="auto" w:sz="8" w:space="0"/>
            </w:tcBorders>
            <w:noWrap w:val="0"/>
            <w:vAlign w:val="center"/>
          </w:tcPr>
          <w:p>
            <w:pPr>
              <w:jc w:val="center"/>
              <w:rPr>
                <w:rFonts w:ascii="宋体" w:hAnsi="宋体" w:cs="宋体"/>
                <w:sz w:val="18"/>
                <w:szCs w:val="18"/>
              </w:rPr>
            </w:pPr>
            <w:r>
              <w:rPr>
                <w:rFonts w:hint="eastAsia" w:ascii="宋体" w:hAnsi="宋体" w:cs="宋体"/>
                <w:sz w:val="18"/>
                <w:szCs w:val="18"/>
              </w:rPr>
              <w:t>详细技术方案（10分）</w:t>
            </w:r>
          </w:p>
        </w:tc>
        <w:tc>
          <w:tcPr>
            <w:tcW w:w="3432" w:type="pct"/>
            <w:tcBorders>
              <w:top w:val="nil"/>
              <w:left w:val="nil"/>
              <w:bottom w:val="single" w:color="auto" w:sz="8" w:space="0"/>
              <w:right w:val="single" w:color="auto" w:sz="8" w:space="0"/>
            </w:tcBorders>
            <w:noWrap w:val="0"/>
            <w:vAlign w:val="center"/>
          </w:tcPr>
          <w:p>
            <w:pPr>
              <w:rPr>
                <w:rFonts w:ascii="宋体" w:hAnsi="宋体" w:cs="宋体"/>
                <w:sz w:val="18"/>
                <w:szCs w:val="18"/>
              </w:rPr>
            </w:pPr>
            <w:r>
              <w:rPr>
                <w:rFonts w:hint="eastAsia" w:ascii="宋体" w:hAnsi="宋体" w:cs="宋体"/>
                <w:sz w:val="18"/>
                <w:szCs w:val="18"/>
              </w:rPr>
              <w:t>(1)包括技术方案的完整性、先进性、合理性、实用性等进行综合评价。（0-6分）</w:t>
            </w:r>
          </w:p>
          <w:p>
            <w:pPr>
              <w:rPr>
                <w:rFonts w:ascii="宋体" w:hAnsi="宋体" w:cs="宋体"/>
                <w:sz w:val="18"/>
                <w:szCs w:val="18"/>
              </w:rPr>
            </w:pPr>
            <w:r>
              <w:rPr>
                <w:rFonts w:hint="eastAsia" w:ascii="宋体" w:hAnsi="宋体" w:cs="宋体"/>
                <w:sz w:val="18"/>
                <w:szCs w:val="18"/>
              </w:rPr>
              <w:t>(2)现状分析与系统对接方案：针对海曙已建智安管控平台及相关系统现状进行详细说明，对接方案进行详细阐述。（0-4分）</w:t>
            </w:r>
          </w:p>
        </w:tc>
        <w:tc>
          <w:tcPr>
            <w:tcW w:w="351" w:type="pct"/>
            <w:tcBorders>
              <w:top w:val="nil"/>
              <w:left w:val="nil"/>
              <w:bottom w:val="single" w:color="auto" w:sz="8" w:space="0"/>
              <w:right w:val="single" w:color="auto" w:sz="8" w:space="0"/>
            </w:tcBorders>
            <w:noWrap w:val="0"/>
            <w:vAlign w:val="center"/>
          </w:tcPr>
          <w:p>
            <w:pPr>
              <w:jc w:val="center"/>
              <w:rPr>
                <w:rFonts w:ascii="宋体" w:hAnsi="宋体" w:cs="宋体"/>
                <w:sz w:val="18"/>
                <w:szCs w:val="18"/>
              </w:rPr>
            </w:pPr>
            <w:r>
              <w:rPr>
                <w:rFonts w:hint="eastAsia" w:ascii="宋体" w:hAnsi="宋体" w:cs="宋体"/>
                <w:sz w:val="18"/>
                <w:szCs w:val="18"/>
              </w:rPr>
              <w:t>10</w:t>
            </w:r>
          </w:p>
        </w:tc>
      </w:tr>
      <w:tr>
        <w:tblPrEx>
          <w:tblCellMar>
            <w:top w:w="0" w:type="dxa"/>
            <w:left w:w="108" w:type="dxa"/>
            <w:bottom w:w="0" w:type="dxa"/>
            <w:right w:w="108" w:type="dxa"/>
          </w:tblCellMar>
        </w:tblPrEx>
        <w:trPr>
          <w:trHeight w:val="465" w:hRule="atLeast"/>
        </w:trPr>
        <w:tc>
          <w:tcPr>
            <w:tcW w:w="600" w:type="pct"/>
            <w:vMerge w:val="continue"/>
            <w:tcBorders>
              <w:top w:val="single" w:color="auto" w:sz="8" w:space="0"/>
              <w:left w:val="single" w:color="auto" w:sz="8" w:space="0"/>
              <w:bottom w:val="single" w:color="000000" w:sz="8" w:space="0"/>
              <w:right w:val="single" w:color="auto" w:sz="8" w:space="0"/>
            </w:tcBorders>
            <w:noWrap w:val="0"/>
            <w:vAlign w:val="center"/>
          </w:tcPr>
          <w:p>
            <w:pPr>
              <w:rPr>
                <w:rFonts w:ascii="宋体" w:hAnsi="宋体" w:cs="宋体"/>
                <w:b/>
                <w:bCs/>
                <w:sz w:val="18"/>
                <w:szCs w:val="18"/>
              </w:rPr>
            </w:pPr>
          </w:p>
        </w:tc>
        <w:tc>
          <w:tcPr>
            <w:tcW w:w="616" w:type="pct"/>
            <w:tcBorders>
              <w:top w:val="nil"/>
              <w:left w:val="nil"/>
              <w:bottom w:val="single" w:color="auto" w:sz="8" w:space="0"/>
              <w:right w:val="single" w:color="auto" w:sz="8" w:space="0"/>
            </w:tcBorders>
            <w:noWrap w:val="0"/>
            <w:vAlign w:val="center"/>
          </w:tcPr>
          <w:p>
            <w:pPr>
              <w:jc w:val="center"/>
              <w:rPr>
                <w:rFonts w:ascii="宋体" w:hAnsi="宋体" w:cs="宋体"/>
                <w:sz w:val="18"/>
                <w:szCs w:val="18"/>
              </w:rPr>
            </w:pPr>
            <w:r>
              <w:rPr>
                <w:rFonts w:hint="eastAsia" w:ascii="宋体" w:hAnsi="宋体" w:cs="宋体"/>
                <w:sz w:val="18"/>
                <w:szCs w:val="18"/>
              </w:rPr>
              <w:t>人员配备（4分）</w:t>
            </w:r>
          </w:p>
        </w:tc>
        <w:tc>
          <w:tcPr>
            <w:tcW w:w="3432" w:type="pct"/>
            <w:tcBorders>
              <w:top w:val="nil"/>
              <w:left w:val="nil"/>
              <w:bottom w:val="single" w:color="auto" w:sz="8" w:space="0"/>
              <w:right w:val="single" w:color="auto" w:sz="8" w:space="0"/>
            </w:tcBorders>
            <w:noWrap w:val="0"/>
            <w:vAlign w:val="center"/>
          </w:tcPr>
          <w:p>
            <w:pPr>
              <w:rPr>
                <w:sz w:val="18"/>
                <w:szCs w:val="18"/>
              </w:rPr>
            </w:pPr>
            <w:r>
              <w:rPr>
                <w:rFonts w:hint="eastAsia" w:ascii="宋体" w:hAnsi="宋体" w:cs="宋体"/>
                <w:sz w:val="18"/>
                <w:szCs w:val="18"/>
              </w:rPr>
              <w:t>(1)</w:t>
            </w:r>
            <w:r>
              <w:rPr>
                <w:rFonts w:hint="eastAsia"/>
                <w:sz w:val="18"/>
                <w:szCs w:val="18"/>
              </w:rPr>
              <w:t>拟投入本项目的实施团队人员结构中，项目负责人具备机电工程一级注册建造师得2分，项目负责人具有建筑电气高级工程师得0.5分，项目负责人拥有信息系统项目高级管理师得0.5分，最多得3分；</w:t>
            </w:r>
          </w:p>
          <w:p>
            <w:pPr>
              <w:rPr>
                <w:sz w:val="18"/>
                <w:szCs w:val="18"/>
              </w:rPr>
            </w:pPr>
            <w:r>
              <w:rPr>
                <w:rFonts w:hint="eastAsia" w:ascii="宋体" w:hAnsi="宋体" w:cs="宋体"/>
                <w:sz w:val="18"/>
                <w:szCs w:val="18"/>
              </w:rPr>
              <w:t>(2)项</w:t>
            </w:r>
            <w:r>
              <w:rPr>
                <w:rFonts w:hint="eastAsia"/>
                <w:sz w:val="18"/>
                <w:szCs w:val="18"/>
              </w:rPr>
              <w:t>目技术负责人拥有建筑电气高级工程师得1分。</w:t>
            </w:r>
          </w:p>
          <w:p>
            <w:pPr>
              <w:rPr>
                <w:sz w:val="18"/>
                <w:szCs w:val="18"/>
              </w:rPr>
            </w:pPr>
            <w:r>
              <w:rPr>
                <w:rFonts w:hint="eastAsia"/>
                <w:sz w:val="18"/>
                <w:szCs w:val="18"/>
              </w:rPr>
              <w:t>（注:项目管理人员提供近三个月社保证明，资质证书复印件盖章，原件备查）。</w:t>
            </w:r>
          </w:p>
        </w:tc>
        <w:tc>
          <w:tcPr>
            <w:tcW w:w="351" w:type="pct"/>
            <w:tcBorders>
              <w:top w:val="nil"/>
              <w:left w:val="nil"/>
              <w:bottom w:val="single" w:color="auto" w:sz="8" w:space="0"/>
              <w:right w:val="single" w:color="auto" w:sz="8" w:space="0"/>
            </w:tcBorders>
            <w:noWrap w:val="0"/>
            <w:vAlign w:val="center"/>
          </w:tcPr>
          <w:p>
            <w:pPr>
              <w:jc w:val="center"/>
              <w:rPr>
                <w:rFonts w:ascii="宋体" w:hAnsi="宋体" w:cs="宋体"/>
                <w:sz w:val="18"/>
                <w:szCs w:val="18"/>
              </w:rPr>
            </w:pPr>
            <w:r>
              <w:rPr>
                <w:rFonts w:hint="eastAsia" w:ascii="宋体" w:hAnsi="宋体" w:cs="宋体"/>
                <w:sz w:val="18"/>
                <w:szCs w:val="18"/>
              </w:rPr>
              <w:t>4</w:t>
            </w:r>
          </w:p>
        </w:tc>
      </w:tr>
      <w:tr>
        <w:tblPrEx>
          <w:tblCellMar>
            <w:top w:w="0" w:type="dxa"/>
            <w:left w:w="108" w:type="dxa"/>
            <w:bottom w:w="0" w:type="dxa"/>
            <w:right w:w="108" w:type="dxa"/>
          </w:tblCellMar>
        </w:tblPrEx>
        <w:trPr>
          <w:trHeight w:val="375" w:hRule="atLeast"/>
        </w:trPr>
        <w:tc>
          <w:tcPr>
            <w:tcW w:w="600" w:type="pct"/>
            <w:vMerge w:val="continue"/>
            <w:tcBorders>
              <w:top w:val="single" w:color="auto" w:sz="8" w:space="0"/>
              <w:left w:val="single" w:color="auto" w:sz="8" w:space="0"/>
              <w:bottom w:val="single" w:color="000000" w:sz="8" w:space="0"/>
              <w:right w:val="single" w:color="auto" w:sz="8" w:space="0"/>
            </w:tcBorders>
            <w:noWrap w:val="0"/>
            <w:vAlign w:val="center"/>
          </w:tcPr>
          <w:p>
            <w:pPr>
              <w:rPr>
                <w:rFonts w:ascii="宋体" w:hAnsi="宋体" w:cs="宋体"/>
                <w:b/>
                <w:bCs/>
                <w:sz w:val="18"/>
                <w:szCs w:val="18"/>
              </w:rPr>
            </w:pPr>
          </w:p>
        </w:tc>
        <w:tc>
          <w:tcPr>
            <w:tcW w:w="616" w:type="pct"/>
            <w:tcBorders>
              <w:top w:val="nil"/>
              <w:left w:val="nil"/>
              <w:bottom w:val="single" w:color="auto" w:sz="8" w:space="0"/>
              <w:right w:val="single" w:color="auto" w:sz="8" w:space="0"/>
            </w:tcBorders>
            <w:noWrap w:val="0"/>
            <w:vAlign w:val="center"/>
          </w:tcPr>
          <w:p>
            <w:pPr>
              <w:jc w:val="center"/>
              <w:rPr>
                <w:rFonts w:ascii="宋体" w:hAnsi="宋体" w:cs="宋体"/>
                <w:sz w:val="18"/>
                <w:szCs w:val="18"/>
              </w:rPr>
            </w:pPr>
            <w:r>
              <w:rPr>
                <w:rFonts w:hint="eastAsia" w:ascii="宋体" w:hAnsi="宋体" w:cs="宋体"/>
                <w:sz w:val="18"/>
                <w:szCs w:val="18"/>
              </w:rPr>
              <w:t>售后服务（8分）</w:t>
            </w:r>
          </w:p>
        </w:tc>
        <w:tc>
          <w:tcPr>
            <w:tcW w:w="3432" w:type="pct"/>
            <w:tcBorders>
              <w:top w:val="nil"/>
              <w:left w:val="nil"/>
              <w:bottom w:val="single" w:color="auto" w:sz="8" w:space="0"/>
              <w:right w:val="single" w:color="auto" w:sz="8" w:space="0"/>
            </w:tcBorders>
            <w:noWrap w:val="0"/>
            <w:vAlign w:val="center"/>
          </w:tcPr>
          <w:p>
            <w:pPr>
              <w:rPr>
                <w:rFonts w:ascii="宋体" w:hAnsi="宋体" w:cs="宋体"/>
                <w:sz w:val="18"/>
                <w:szCs w:val="18"/>
              </w:rPr>
            </w:pPr>
            <w:r>
              <w:rPr>
                <w:rFonts w:hint="eastAsia" w:ascii="宋体" w:hAnsi="宋体" w:cs="宋体"/>
                <w:sz w:val="18"/>
                <w:szCs w:val="18"/>
                <w:lang w:val="zh-CN"/>
              </w:rPr>
              <w:t>（</w:t>
            </w:r>
            <w:r>
              <w:rPr>
                <w:rFonts w:hint="eastAsia" w:ascii="宋体" w:hAnsi="宋体" w:cs="宋体"/>
                <w:sz w:val="18"/>
                <w:szCs w:val="18"/>
              </w:rPr>
              <w:t>1</w:t>
            </w:r>
            <w:r>
              <w:rPr>
                <w:rFonts w:hint="eastAsia" w:ascii="宋体" w:hAnsi="宋体" w:cs="宋体"/>
                <w:sz w:val="18"/>
                <w:szCs w:val="18"/>
                <w:lang w:val="zh-CN"/>
              </w:rPr>
              <w:t>）售后服务方案：投标人</w:t>
            </w:r>
            <w:r>
              <w:rPr>
                <w:rFonts w:hint="eastAsia" w:ascii="宋体" w:hAnsi="宋体" w:cs="宋体"/>
                <w:sz w:val="18"/>
                <w:szCs w:val="18"/>
              </w:rPr>
              <w:t>提供的售后服务内容及措施完整情况，0-2分</w:t>
            </w:r>
          </w:p>
          <w:p>
            <w:pPr>
              <w:rPr>
                <w:rFonts w:ascii="宋体" w:hAnsi="宋体" w:cs="宋体"/>
                <w:sz w:val="18"/>
                <w:szCs w:val="18"/>
                <w:lang w:val="zh-CN"/>
              </w:rPr>
            </w:pPr>
            <w:r>
              <w:rPr>
                <w:rFonts w:hint="eastAsia" w:ascii="宋体" w:hAnsi="宋体" w:cs="宋体"/>
                <w:sz w:val="18"/>
                <w:szCs w:val="18"/>
                <w:lang w:val="zh-CN"/>
              </w:rPr>
              <w:t>（</w:t>
            </w:r>
            <w:r>
              <w:rPr>
                <w:rFonts w:hint="eastAsia" w:ascii="宋体" w:hAnsi="宋体" w:cs="宋体"/>
                <w:sz w:val="18"/>
                <w:szCs w:val="18"/>
              </w:rPr>
              <w:t>2</w:t>
            </w:r>
            <w:r>
              <w:rPr>
                <w:rFonts w:hint="eastAsia" w:ascii="宋体" w:hAnsi="宋体" w:cs="宋体"/>
                <w:sz w:val="18"/>
                <w:szCs w:val="18"/>
                <w:lang w:val="zh-CN"/>
              </w:rPr>
              <w:t>）投标人能提供7*24小时级别服务的快速响应并及时进行维修的得2分。</w:t>
            </w:r>
          </w:p>
          <w:p>
            <w:pPr>
              <w:rPr>
                <w:rFonts w:ascii="宋体" w:hAnsi="宋体" w:cs="宋体"/>
                <w:sz w:val="18"/>
                <w:szCs w:val="18"/>
                <w:lang w:val="zh-CN"/>
              </w:rPr>
            </w:pPr>
            <w:r>
              <w:rPr>
                <w:rFonts w:hint="eastAsia" w:ascii="宋体" w:hAnsi="宋体" w:cs="宋体"/>
                <w:sz w:val="18"/>
                <w:szCs w:val="18"/>
                <w:lang w:val="zh-CN"/>
              </w:rPr>
              <w:t>（</w:t>
            </w:r>
            <w:r>
              <w:rPr>
                <w:rFonts w:hint="eastAsia" w:ascii="宋体" w:hAnsi="宋体" w:cs="宋体"/>
                <w:sz w:val="18"/>
                <w:szCs w:val="18"/>
              </w:rPr>
              <w:t>3</w:t>
            </w:r>
            <w:r>
              <w:rPr>
                <w:rFonts w:hint="eastAsia" w:ascii="宋体" w:hAnsi="宋体" w:cs="宋体"/>
                <w:sz w:val="18"/>
                <w:szCs w:val="18"/>
                <w:lang w:val="zh-CN"/>
              </w:rPr>
              <w:t>）提供备品配件情况及其它特色服务，0-</w:t>
            </w:r>
            <w:r>
              <w:rPr>
                <w:rFonts w:hint="eastAsia" w:ascii="宋体" w:hAnsi="宋体" w:cs="宋体"/>
                <w:sz w:val="18"/>
                <w:szCs w:val="18"/>
              </w:rPr>
              <w:t>2</w:t>
            </w:r>
            <w:r>
              <w:rPr>
                <w:rFonts w:hint="eastAsia" w:ascii="宋体" w:hAnsi="宋体" w:cs="宋体"/>
                <w:sz w:val="18"/>
                <w:szCs w:val="18"/>
                <w:lang w:val="zh-CN"/>
              </w:rPr>
              <w:t>分。</w:t>
            </w:r>
          </w:p>
          <w:p>
            <w:pPr>
              <w:rPr>
                <w:rFonts w:ascii="宋体" w:hAnsi="宋体" w:cs="宋体"/>
                <w:sz w:val="18"/>
                <w:szCs w:val="18"/>
                <w:lang w:val="zh-CN"/>
              </w:rPr>
            </w:pPr>
            <w:r>
              <w:rPr>
                <w:rFonts w:hint="eastAsia" w:ascii="宋体" w:hAnsi="宋体" w:cs="宋体"/>
                <w:sz w:val="18"/>
                <w:szCs w:val="18"/>
                <w:lang w:val="zh-CN"/>
              </w:rPr>
              <w:t>（</w:t>
            </w:r>
            <w:r>
              <w:rPr>
                <w:rFonts w:hint="eastAsia" w:ascii="宋体" w:hAnsi="宋体" w:cs="宋体"/>
                <w:sz w:val="18"/>
                <w:szCs w:val="18"/>
              </w:rPr>
              <w:t>4</w:t>
            </w:r>
            <w:r>
              <w:rPr>
                <w:rFonts w:hint="eastAsia" w:ascii="宋体" w:hAnsi="宋体" w:cs="宋体"/>
                <w:sz w:val="18"/>
                <w:szCs w:val="18"/>
                <w:lang w:val="zh-CN"/>
              </w:rPr>
              <w:t>）投标人本地化服务能力：根据投标人已有服务场所的稳定性及服务场所相对本项目服务地点的便捷性等情况进行综合评议，</w:t>
            </w:r>
            <w:r>
              <w:rPr>
                <w:rFonts w:hint="eastAsia" w:ascii="宋体" w:hAnsi="宋体" w:cs="宋体"/>
                <w:sz w:val="18"/>
                <w:szCs w:val="18"/>
              </w:rPr>
              <w:t>0-</w:t>
            </w:r>
            <w:r>
              <w:rPr>
                <w:rFonts w:hint="eastAsia" w:ascii="宋体" w:hAnsi="宋体" w:cs="宋体"/>
                <w:sz w:val="18"/>
                <w:szCs w:val="18"/>
                <w:lang w:val="zh-CN"/>
              </w:rPr>
              <w:t>2分。</w:t>
            </w:r>
          </w:p>
          <w:p>
            <w:pPr>
              <w:rPr>
                <w:rFonts w:ascii="宋体" w:hAnsi="宋体" w:cs="宋体"/>
                <w:sz w:val="18"/>
                <w:szCs w:val="18"/>
                <w:lang w:val="zh-CN"/>
              </w:rPr>
            </w:pPr>
            <w:r>
              <w:rPr>
                <w:rFonts w:hint="eastAsia" w:ascii="宋体" w:hAnsi="宋体" w:cs="宋体"/>
                <w:sz w:val="18"/>
                <w:szCs w:val="18"/>
                <w:lang w:val="zh-CN"/>
              </w:rPr>
              <w:t>（投标文件中提供房产证或房屋租赁协议复印件加盖公章）</w:t>
            </w:r>
          </w:p>
        </w:tc>
        <w:tc>
          <w:tcPr>
            <w:tcW w:w="351" w:type="pct"/>
            <w:tcBorders>
              <w:top w:val="nil"/>
              <w:left w:val="nil"/>
              <w:bottom w:val="single" w:color="auto" w:sz="8" w:space="0"/>
              <w:right w:val="single" w:color="auto" w:sz="8" w:space="0"/>
            </w:tcBorders>
            <w:noWrap w:val="0"/>
            <w:vAlign w:val="center"/>
          </w:tcPr>
          <w:p>
            <w:pPr>
              <w:jc w:val="center"/>
              <w:rPr>
                <w:rFonts w:ascii="宋体" w:hAnsi="宋体" w:cs="宋体"/>
                <w:sz w:val="18"/>
                <w:szCs w:val="18"/>
              </w:rPr>
            </w:pPr>
            <w:r>
              <w:rPr>
                <w:rFonts w:hint="eastAsia" w:ascii="宋体" w:hAnsi="宋体" w:cs="宋体"/>
                <w:sz w:val="18"/>
                <w:szCs w:val="18"/>
              </w:rPr>
              <w:t>8</w:t>
            </w:r>
          </w:p>
        </w:tc>
      </w:tr>
      <w:tr>
        <w:tblPrEx>
          <w:tblCellMar>
            <w:top w:w="0" w:type="dxa"/>
            <w:left w:w="108" w:type="dxa"/>
            <w:bottom w:w="0" w:type="dxa"/>
            <w:right w:w="108" w:type="dxa"/>
          </w:tblCellMar>
        </w:tblPrEx>
        <w:trPr>
          <w:trHeight w:val="375" w:hRule="atLeast"/>
        </w:trPr>
        <w:tc>
          <w:tcPr>
            <w:tcW w:w="600" w:type="pct"/>
            <w:vMerge w:val="continue"/>
            <w:tcBorders>
              <w:top w:val="single" w:color="auto" w:sz="8" w:space="0"/>
              <w:left w:val="single" w:color="auto" w:sz="8" w:space="0"/>
              <w:bottom w:val="single" w:color="000000" w:sz="8" w:space="0"/>
              <w:right w:val="single" w:color="auto" w:sz="8" w:space="0"/>
            </w:tcBorders>
            <w:noWrap w:val="0"/>
            <w:vAlign w:val="center"/>
          </w:tcPr>
          <w:p>
            <w:pPr>
              <w:rPr>
                <w:rFonts w:ascii="宋体" w:hAnsi="宋体" w:cs="宋体"/>
                <w:b/>
                <w:bCs/>
                <w:sz w:val="18"/>
                <w:szCs w:val="18"/>
              </w:rPr>
            </w:pPr>
          </w:p>
        </w:tc>
        <w:tc>
          <w:tcPr>
            <w:tcW w:w="616" w:type="pct"/>
            <w:tcBorders>
              <w:top w:val="nil"/>
              <w:left w:val="nil"/>
              <w:bottom w:val="single" w:color="auto" w:sz="8" w:space="0"/>
              <w:right w:val="single" w:color="auto" w:sz="8" w:space="0"/>
            </w:tcBorders>
            <w:noWrap w:val="0"/>
            <w:vAlign w:val="center"/>
          </w:tcPr>
          <w:p>
            <w:pPr>
              <w:jc w:val="center"/>
              <w:rPr>
                <w:rFonts w:ascii="宋体" w:hAnsi="宋体" w:cs="宋体"/>
                <w:sz w:val="18"/>
                <w:szCs w:val="18"/>
              </w:rPr>
            </w:pPr>
            <w:r>
              <w:rPr>
                <w:rFonts w:hint="eastAsia" w:ascii="宋体" w:hAnsi="宋体" w:cs="宋体"/>
                <w:sz w:val="18"/>
                <w:szCs w:val="18"/>
              </w:rPr>
              <w:t>培训方案（3分）</w:t>
            </w:r>
          </w:p>
        </w:tc>
        <w:tc>
          <w:tcPr>
            <w:tcW w:w="3432" w:type="pct"/>
            <w:tcBorders>
              <w:top w:val="nil"/>
              <w:left w:val="nil"/>
              <w:bottom w:val="single" w:color="auto" w:sz="8" w:space="0"/>
              <w:right w:val="single" w:color="auto" w:sz="8" w:space="0"/>
            </w:tcBorders>
            <w:noWrap w:val="0"/>
            <w:vAlign w:val="center"/>
          </w:tcPr>
          <w:p>
            <w:pPr>
              <w:rPr>
                <w:rFonts w:ascii="宋体" w:hAnsi="宋体" w:cs="宋体"/>
                <w:sz w:val="18"/>
                <w:szCs w:val="18"/>
              </w:rPr>
            </w:pPr>
            <w:r>
              <w:rPr>
                <w:rFonts w:hint="eastAsia" w:ascii="宋体" w:hAnsi="宋体" w:cs="宋体"/>
                <w:sz w:val="18"/>
                <w:szCs w:val="18"/>
                <w:lang w:val="zh-CN"/>
              </w:rPr>
              <w:t>评委根据投标人提供的投标文件，对其针对本项目的培训方案完整性、培训计划合理性等方面酌情打分，0-</w:t>
            </w:r>
            <w:r>
              <w:rPr>
                <w:rFonts w:hint="eastAsia" w:ascii="宋体" w:hAnsi="宋体" w:cs="宋体"/>
                <w:sz w:val="18"/>
                <w:szCs w:val="18"/>
              </w:rPr>
              <w:t>3</w:t>
            </w:r>
            <w:r>
              <w:rPr>
                <w:rFonts w:hint="eastAsia" w:ascii="宋体" w:hAnsi="宋体" w:cs="宋体"/>
                <w:sz w:val="18"/>
                <w:szCs w:val="18"/>
                <w:lang w:val="zh-CN"/>
              </w:rPr>
              <w:t>分。</w:t>
            </w:r>
          </w:p>
        </w:tc>
        <w:tc>
          <w:tcPr>
            <w:tcW w:w="351" w:type="pct"/>
            <w:tcBorders>
              <w:top w:val="nil"/>
              <w:left w:val="nil"/>
              <w:bottom w:val="single" w:color="auto" w:sz="8" w:space="0"/>
              <w:right w:val="single" w:color="auto" w:sz="8" w:space="0"/>
            </w:tcBorders>
            <w:noWrap w:val="0"/>
            <w:vAlign w:val="center"/>
          </w:tcPr>
          <w:p>
            <w:pPr>
              <w:jc w:val="center"/>
              <w:rPr>
                <w:rFonts w:ascii="宋体" w:hAnsi="宋体" w:cs="宋体"/>
                <w:sz w:val="18"/>
                <w:szCs w:val="18"/>
              </w:rPr>
            </w:pPr>
            <w:r>
              <w:rPr>
                <w:rFonts w:hint="eastAsia" w:ascii="宋体" w:hAnsi="宋体" w:cs="宋体"/>
                <w:sz w:val="18"/>
                <w:szCs w:val="18"/>
              </w:rPr>
              <w:t>3</w:t>
            </w:r>
          </w:p>
        </w:tc>
      </w:tr>
      <w:tr>
        <w:tblPrEx>
          <w:tblCellMar>
            <w:top w:w="0" w:type="dxa"/>
            <w:left w:w="108" w:type="dxa"/>
            <w:bottom w:w="0" w:type="dxa"/>
            <w:right w:w="108" w:type="dxa"/>
          </w:tblCellMar>
        </w:tblPrEx>
        <w:trPr>
          <w:trHeight w:val="445" w:hRule="atLeast"/>
        </w:trPr>
        <w:tc>
          <w:tcPr>
            <w:tcW w:w="600" w:type="pct"/>
            <w:vMerge w:val="continue"/>
            <w:tcBorders>
              <w:top w:val="single" w:color="auto" w:sz="8" w:space="0"/>
              <w:left w:val="single" w:color="auto" w:sz="8" w:space="0"/>
              <w:bottom w:val="single" w:color="000000" w:sz="8" w:space="0"/>
              <w:right w:val="single" w:color="auto" w:sz="8" w:space="0"/>
            </w:tcBorders>
            <w:noWrap w:val="0"/>
            <w:vAlign w:val="center"/>
          </w:tcPr>
          <w:p>
            <w:pPr>
              <w:rPr>
                <w:rFonts w:ascii="宋体" w:hAnsi="宋体" w:cs="宋体"/>
                <w:b/>
                <w:bCs/>
                <w:sz w:val="18"/>
                <w:szCs w:val="18"/>
              </w:rPr>
            </w:pPr>
          </w:p>
        </w:tc>
        <w:tc>
          <w:tcPr>
            <w:tcW w:w="616" w:type="pct"/>
            <w:tcBorders>
              <w:top w:val="nil"/>
              <w:left w:val="nil"/>
              <w:bottom w:val="single" w:color="auto" w:sz="4" w:space="0"/>
              <w:right w:val="single" w:color="auto" w:sz="8" w:space="0"/>
            </w:tcBorders>
            <w:noWrap w:val="0"/>
            <w:vAlign w:val="center"/>
          </w:tcPr>
          <w:p>
            <w:pPr>
              <w:jc w:val="center"/>
              <w:rPr>
                <w:rFonts w:ascii="宋体" w:hAnsi="宋体" w:cs="宋体"/>
                <w:sz w:val="18"/>
                <w:szCs w:val="18"/>
              </w:rPr>
            </w:pPr>
            <w:r>
              <w:rPr>
                <w:rFonts w:hint="eastAsia" w:ascii="宋体" w:hAnsi="宋体" w:cs="宋体"/>
                <w:sz w:val="18"/>
                <w:szCs w:val="18"/>
              </w:rPr>
              <w:t>类似业绩（3分）</w:t>
            </w:r>
          </w:p>
        </w:tc>
        <w:tc>
          <w:tcPr>
            <w:tcW w:w="3432" w:type="pct"/>
            <w:tcBorders>
              <w:top w:val="nil"/>
              <w:left w:val="nil"/>
              <w:bottom w:val="single" w:color="auto" w:sz="4" w:space="0"/>
              <w:right w:val="single" w:color="auto" w:sz="8" w:space="0"/>
            </w:tcBorders>
            <w:noWrap w:val="0"/>
            <w:vAlign w:val="center"/>
          </w:tcPr>
          <w:p>
            <w:pPr>
              <w:rPr>
                <w:rFonts w:ascii="宋体" w:hAnsi="宋体" w:cs="宋体"/>
                <w:sz w:val="18"/>
                <w:szCs w:val="18"/>
              </w:rPr>
            </w:pPr>
            <w:r>
              <w:rPr>
                <w:rFonts w:hint="eastAsia" w:ascii="宋体" w:hAnsi="宋体" w:cs="宋体"/>
                <w:sz w:val="18"/>
                <w:szCs w:val="18"/>
              </w:rPr>
              <w:t>(1)</w:t>
            </w:r>
            <w:r>
              <w:rPr>
                <w:rFonts w:ascii="宋体" w:hAnsi="宋体" w:cs="宋体"/>
                <w:sz w:val="18"/>
                <w:szCs w:val="18"/>
              </w:rPr>
              <w:t>投标人201</w:t>
            </w:r>
            <w:r>
              <w:rPr>
                <w:rFonts w:hint="eastAsia" w:ascii="宋体" w:hAnsi="宋体" w:cs="宋体"/>
                <w:sz w:val="18"/>
                <w:szCs w:val="18"/>
              </w:rPr>
              <w:t>8</w:t>
            </w:r>
            <w:r>
              <w:rPr>
                <w:rFonts w:ascii="宋体" w:hAnsi="宋体" w:cs="宋体"/>
                <w:sz w:val="18"/>
                <w:szCs w:val="18"/>
              </w:rPr>
              <w:t>年1月1日以来至投标截止前（以合同签订时间为准）有</w:t>
            </w:r>
            <w:r>
              <w:rPr>
                <w:rFonts w:hint="eastAsia" w:ascii="宋体" w:hAnsi="宋体" w:cs="宋体"/>
                <w:sz w:val="18"/>
                <w:szCs w:val="18"/>
              </w:rPr>
              <w:t>小区智能化建设或</w:t>
            </w:r>
            <w:r>
              <w:rPr>
                <w:rFonts w:ascii="宋体" w:hAnsi="宋体" w:cs="宋体"/>
                <w:sz w:val="18"/>
                <w:szCs w:val="18"/>
              </w:rPr>
              <w:t>类似</w:t>
            </w:r>
            <w:r>
              <w:rPr>
                <w:rFonts w:hint="eastAsia" w:ascii="宋体" w:hAnsi="宋体" w:cs="宋体"/>
                <w:sz w:val="18"/>
                <w:szCs w:val="18"/>
              </w:rPr>
              <w:t>老小区改造</w:t>
            </w:r>
            <w:r>
              <w:rPr>
                <w:rFonts w:ascii="宋体" w:hAnsi="宋体" w:cs="宋体"/>
                <w:sz w:val="18"/>
                <w:szCs w:val="18"/>
              </w:rPr>
              <w:t>业绩案例，一个得1分，最多得3分</w:t>
            </w:r>
          </w:p>
          <w:p>
            <w:pPr>
              <w:rPr>
                <w:rFonts w:ascii="宋体" w:hAnsi="宋体" w:cs="宋体"/>
                <w:sz w:val="18"/>
                <w:szCs w:val="18"/>
              </w:rPr>
            </w:pPr>
            <w:r>
              <w:rPr>
                <w:rFonts w:ascii="宋体" w:hAnsi="宋体" w:cs="宋体"/>
                <w:sz w:val="18"/>
                <w:szCs w:val="18"/>
              </w:rPr>
              <w:t>（投标文件中附有合同复印件，投标时</w:t>
            </w:r>
            <w:r>
              <w:rPr>
                <w:rFonts w:hint="eastAsia" w:ascii="宋体" w:hAnsi="宋体" w:cs="宋体"/>
                <w:sz w:val="18"/>
                <w:szCs w:val="18"/>
              </w:rPr>
              <w:t>需携带</w:t>
            </w:r>
            <w:r>
              <w:rPr>
                <w:rFonts w:ascii="宋体" w:hAnsi="宋体" w:cs="宋体"/>
                <w:sz w:val="18"/>
                <w:szCs w:val="18"/>
              </w:rPr>
              <w:t>原件</w:t>
            </w:r>
            <w:r>
              <w:rPr>
                <w:rFonts w:hint="eastAsia" w:ascii="宋体" w:hAnsi="宋体" w:cs="宋体"/>
                <w:sz w:val="18"/>
                <w:szCs w:val="18"/>
              </w:rPr>
              <w:t>，未提供原件不得分）</w:t>
            </w:r>
          </w:p>
        </w:tc>
        <w:tc>
          <w:tcPr>
            <w:tcW w:w="351" w:type="pct"/>
            <w:tcBorders>
              <w:top w:val="nil"/>
              <w:left w:val="nil"/>
              <w:bottom w:val="single" w:color="auto" w:sz="8" w:space="0"/>
              <w:right w:val="single" w:color="auto" w:sz="8" w:space="0"/>
            </w:tcBorders>
            <w:noWrap w:val="0"/>
            <w:vAlign w:val="center"/>
          </w:tcPr>
          <w:p>
            <w:pPr>
              <w:jc w:val="center"/>
              <w:rPr>
                <w:rFonts w:ascii="宋体" w:hAnsi="宋体" w:cs="宋体"/>
                <w:sz w:val="18"/>
                <w:szCs w:val="18"/>
              </w:rPr>
            </w:pPr>
            <w:r>
              <w:rPr>
                <w:rFonts w:hint="eastAsia" w:ascii="宋体" w:hAnsi="宋体" w:cs="宋体"/>
                <w:sz w:val="18"/>
                <w:szCs w:val="18"/>
              </w:rPr>
              <w:t>3</w:t>
            </w:r>
          </w:p>
        </w:tc>
      </w:tr>
      <w:tr>
        <w:tblPrEx>
          <w:tblCellMar>
            <w:top w:w="0" w:type="dxa"/>
            <w:left w:w="108" w:type="dxa"/>
            <w:bottom w:w="0" w:type="dxa"/>
            <w:right w:w="108" w:type="dxa"/>
          </w:tblCellMar>
        </w:tblPrEx>
        <w:trPr>
          <w:trHeight w:val="1395" w:hRule="atLeast"/>
        </w:trPr>
        <w:tc>
          <w:tcPr>
            <w:tcW w:w="600" w:type="pct"/>
            <w:vMerge w:val="continue"/>
            <w:tcBorders>
              <w:top w:val="single" w:color="auto" w:sz="8" w:space="0"/>
              <w:left w:val="single" w:color="auto" w:sz="8" w:space="0"/>
              <w:bottom w:val="single" w:color="000000" w:sz="8" w:space="0"/>
              <w:right w:val="single" w:color="auto" w:sz="4" w:space="0"/>
            </w:tcBorders>
            <w:noWrap w:val="0"/>
            <w:vAlign w:val="center"/>
          </w:tcPr>
          <w:p>
            <w:pPr>
              <w:rPr>
                <w:rFonts w:ascii="宋体" w:hAnsi="宋体" w:cs="宋体"/>
                <w:b/>
                <w:bCs/>
                <w:sz w:val="18"/>
                <w:szCs w:val="18"/>
              </w:rPr>
            </w:pPr>
          </w:p>
        </w:tc>
        <w:tc>
          <w:tcPr>
            <w:tcW w:w="616" w:type="pct"/>
            <w:tcBorders>
              <w:top w:val="single" w:color="auto" w:sz="4" w:space="0"/>
              <w:left w:val="single" w:color="auto" w:sz="4" w:space="0"/>
              <w:bottom w:val="single" w:color="auto" w:sz="4" w:space="0"/>
              <w:right w:val="single" w:color="auto" w:sz="8" w:space="0"/>
            </w:tcBorders>
            <w:noWrap w:val="0"/>
            <w:vAlign w:val="center"/>
          </w:tcPr>
          <w:p>
            <w:pPr>
              <w:jc w:val="center"/>
              <w:rPr>
                <w:rFonts w:ascii="宋体" w:hAnsi="宋体" w:cs="宋体"/>
                <w:sz w:val="18"/>
                <w:szCs w:val="18"/>
              </w:rPr>
            </w:pPr>
            <w:r>
              <w:rPr>
                <w:rFonts w:hint="eastAsia" w:ascii="宋体" w:hAnsi="宋体" w:cs="宋体"/>
                <w:sz w:val="18"/>
                <w:szCs w:val="18"/>
              </w:rPr>
              <w:t>投标人资质（3分）</w:t>
            </w:r>
          </w:p>
        </w:tc>
        <w:tc>
          <w:tcPr>
            <w:tcW w:w="3432" w:type="pct"/>
            <w:tcBorders>
              <w:top w:val="single" w:color="auto" w:sz="4" w:space="0"/>
              <w:left w:val="nil"/>
              <w:bottom w:val="single" w:color="auto" w:sz="4" w:space="0"/>
              <w:right w:val="single" w:color="auto" w:sz="4" w:space="0"/>
            </w:tcBorders>
            <w:noWrap w:val="0"/>
            <w:vAlign w:val="center"/>
          </w:tcPr>
          <w:p>
            <w:pPr>
              <w:numPr>
                <w:ilvl w:val="0"/>
                <w:numId w:val="5"/>
              </w:numPr>
              <w:rPr>
                <w:sz w:val="18"/>
                <w:szCs w:val="18"/>
              </w:rPr>
            </w:pPr>
            <w:r>
              <w:rPr>
                <w:rFonts w:hint="eastAsia"/>
                <w:sz w:val="18"/>
                <w:szCs w:val="18"/>
              </w:rPr>
              <w:t>投标人资质，共3分：</w:t>
            </w:r>
          </w:p>
          <w:p>
            <w:pPr>
              <w:ind w:firstLine="180" w:firstLineChars="100"/>
              <w:rPr>
                <w:sz w:val="18"/>
                <w:szCs w:val="18"/>
              </w:rPr>
            </w:pPr>
            <w:r>
              <w:rPr>
                <w:rFonts w:hint="eastAsia"/>
                <w:sz w:val="18"/>
                <w:szCs w:val="18"/>
              </w:rPr>
              <w:t>投标人具备电子与智能化工程专业承包壹级资质，得2分；</w:t>
            </w:r>
          </w:p>
          <w:p>
            <w:pPr>
              <w:ind w:firstLine="180" w:firstLineChars="100"/>
              <w:rPr>
                <w:sz w:val="18"/>
                <w:szCs w:val="18"/>
              </w:rPr>
            </w:pPr>
            <w:r>
              <w:rPr>
                <w:rFonts w:hint="eastAsia"/>
                <w:sz w:val="18"/>
                <w:szCs w:val="18"/>
              </w:rPr>
              <w:t>投标人具备省级安防工程企业贰级及以上资质，得0.5分；</w:t>
            </w:r>
          </w:p>
          <w:p>
            <w:pPr>
              <w:rPr>
                <w:sz w:val="18"/>
                <w:szCs w:val="18"/>
              </w:rPr>
            </w:pPr>
            <w:r>
              <w:rPr>
                <w:rFonts w:hint="eastAsia"/>
                <w:sz w:val="18"/>
                <w:szCs w:val="18"/>
              </w:rPr>
              <w:t xml:space="preserve">  投标人具有信息技术服务运行维护标准证书（ITSS），得0.5分；</w:t>
            </w:r>
          </w:p>
          <w:p>
            <w:pPr>
              <w:pStyle w:val="2"/>
            </w:pPr>
            <w:r>
              <w:rPr>
                <w:b/>
                <w:bCs/>
                <w:sz w:val="18"/>
                <w:szCs w:val="18"/>
              </w:rPr>
              <w:t>（提供有效的证书复印件加盖供应商公章）</w:t>
            </w:r>
          </w:p>
        </w:tc>
        <w:tc>
          <w:tcPr>
            <w:tcW w:w="351" w:type="pct"/>
            <w:tcBorders>
              <w:top w:val="nil"/>
              <w:left w:val="single" w:color="auto" w:sz="4" w:space="0"/>
              <w:bottom w:val="single" w:color="auto" w:sz="8" w:space="0"/>
              <w:right w:val="single" w:color="auto" w:sz="8" w:space="0"/>
            </w:tcBorders>
            <w:noWrap w:val="0"/>
            <w:vAlign w:val="center"/>
          </w:tcPr>
          <w:p>
            <w:pPr>
              <w:jc w:val="center"/>
              <w:rPr>
                <w:rFonts w:ascii="宋体" w:hAnsi="宋体" w:cs="宋体"/>
                <w:sz w:val="18"/>
                <w:szCs w:val="18"/>
              </w:rPr>
            </w:pPr>
            <w:r>
              <w:rPr>
                <w:rFonts w:hint="eastAsia" w:ascii="宋体" w:hAnsi="宋体" w:cs="宋体"/>
                <w:sz w:val="18"/>
                <w:szCs w:val="18"/>
              </w:rPr>
              <w:t>3</w:t>
            </w:r>
          </w:p>
        </w:tc>
      </w:tr>
      <w:tr>
        <w:tblPrEx>
          <w:tblCellMar>
            <w:top w:w="0" w:type="dxa"/>
            <w:left w:w="108" w:type="dxa"/>
            <w:bottom w:w="0" w:type="dxa"/>
            <w:right w:w="108" w:type="dxa"/>
          </w:tblCellMar>
        </w:tblPrEx>
        <w:trPr>
          <w:trHeight w:val="1115" w:hRule="atLeast"/>
        </w:trPr>
        <w:tc>
          <w:tcPr>
            <w:tcW w:w="600" w:type="pct"/>
            <w:vMerge w:val="continue"/>
            <w:tcBorders>
              <w:top w:val="single" w:color="auto" w:sz="8" w:space="0"/>
              <w:left w:val="single" w:color="auto" w:sz="8" w:space="0"/>
              <w:bottom w:val="single" w:color="000000" w:sz="8" w:space="0"/>
              <w:right w:val="single" w:color="auto" w:sz="8" w:space="0"/>
            </w:tcBorders>
            <w:noWrap w:val="0"/>
            <w:vAlign w:val="center"/>
          </w:tcPr>
          <w:p>
            <w:pPr>
              <w:rPr>
                <w:rFonts w:ascii="宋体" w:hAnsi="宋体" w:cs="宋体"/>
                <w:b/>
                <w:bCs/>
                <w:sz w:val="18"/>
                <w:szCs w:val="18"/>
              </w:rPr>
            </w:pPr>
          </w:p>
        </w:tc>
        <w:tc>
          <w:tcPr>
            <w:tcW w:w="616" w:type="pct"/>
            <w:tcBorders>
              <w:top w:val="single" w:color="auto" w:sz="4" w:space="0"/>
              <w:left w:val="single" w:color="auto" w:sz="8" w:space="0"/>
              <w:bottom w:val="single" w:color="000000" w:sz="8" w:space="0"/>
              <w:right w:val="single" w:color="auto" w:sz="8" w:space="0"/>
            </w:tcBorders>
            <w:noWrap w:val="0"/>
            <w:vAlign w:val="center"/>
          </w:tcPr>
          <w:p>
            <w:pPr>
              <w:jc w:val="center"/>
              <w:rPr>
                <w:rFonts w:ascii="宋体" w:hAnsi="宋体" w:cs="宋体"/>
                <w:sz w:val="18"/>
                <w:szCs w:val="18"/>
              </w:rPr>
            </w:pPr>
            <w:r>
              <w:rPr>
                <w:rFonts w:hint="eastAsia" w:ascii="宋体" w:hAnsi="宋体" w:cs="宋体"/>
                <w:sz w:val="18"/>
                <w:szCs w:val="18"/>
              </w:rPr>
              <w:t>企业实力（2分）</w:t>
            </w:r>
          </w:p>
        </w:tc>
        <w:tc>
          <w:tcPr>
            <w:tcW w:w="3432" w:type="pct"/>
            <w:tcBorders>
              <w:top w:val="single" w:color="auto" w:sz="4" w:space="0"/>
              <w:left w:val="nil"/>
              <w:bottom w:val="single" w:color="auto" w:sz="8" w:space="0"/>
              <w:right w:val="single" w:color="auto" w:sz="8" w:space="0"/>
            </w:tcBorders>
            <w:noWrap w:val="0"/>
            <w:vAlign w:val="center"/>
          </w:tcPr>
          <w:p>
            <w:pPr>
              <w:numPr>
                <w:ilvl w:val="0"/>
                <w:numId w:val="6"/>
              </w:numPr>
              <w:rPr>
                <w:sz w:val="18"/>
                <w:szCs w:val="18"/>
              </w:rPr>
            </w:pPr>
            <w:r>
              <w:rPr>
                <w:rFonts w:hint="eastAsia"/>
                <w:sz w:val="18"/>
                <w:szCs w:val="18"/>
              </w:rPr>
              <w:t>企业实力，共2分</w:t>
            </w:r>
          </w:p>
          <w:p>
            <w:pPr>
              <w:ind w:firstLine="180" w:firstLineChars="100"/>
              <w:rPr>
                <w:sz w:val="18"/>
                <w:szCs w:val="18"/>
              </w:rPr>
            </w:pPr>
            <w:r>
              <w:rPr>
                <w:rFonts w:hint="eastAsia"/>
                <w:sz w:val="18"/>
                <w:szCs w:val="18"/>
              </w:rPr>
              <w:t>投标人具备第三方资信等级AAA及以上的，得1分；</w:t>
            </w:r>
          </w:p>
          <w:p>
            <w:pPr>
              <w:ind w:firstLine="180" w:firstLineChars="100"/>
              <w:rPr>
                <w:sz w:val="18"/>
                <w:szCs w:val="18"/>
              </w:rPr>
            </w:pPr>
            <w:r>
              <w:rPr>
                <w:rFonts w:hint="eastAsia"/>
                <w:sz w:val="18"/>
                <w:szCs w:val="18"/>
              </w:rPr>
              <w:t>投标人具备高新技术企业证书的，得1分；</w:t>
            </w:r>
          </w:p>
          <w:p>
            <w:pPr>
              <w:rPr>
                <w:rFonts w:ascii="宋体" w:hAnsi="宋体" w:cs="宋体"/>
                <w:sz w:val="18"/>
                <w:szCs w:val="18"/>
              </w:rPr>
            </w:pPr>
            <w:r>
              <w:rPr>
                <w:b/>
                <w:bCs/>
                <w:sz w:val="18"/>
                <w:szCs w:val="18"/>
              </w:rPr>
              <w:t>（提供有效的证书复印件加盖供应商公章）</w:t>
            </w:r>
          </w:p>
        </w:tc>
        <w:tc>
          <w:tcPr>
            <w:tcW w:w="351" w:type="pct"/>
            <w:tcBorders>
              <w:top w:val="nil"/>
              <w:left w:val="single" w:color="auto" w:sz="8" w:space="0"/>
              <w:bottom w:val="single" w:color="000000" w:sz="8" w:space="0"/>
              <w:right w:val="single" w:color="auto" w:sz="8" w:space="0"/>
            </w:tcBorders>
            <w:noWrap w:val="0"/>
            <w:vAlign w:val="center"/>
          </w:tcPr>
          <w:p>
            <w:pPr>
              <w:jc w:val="center"/>
              <w:rPr>
                <w:rFonts w:ascii="宋体" w:hAnsi="宋体" w:cs="宋体"/>
                <w:sz w:val="18"/>
                <w:szCs w:val="18"/>
              </w:rPr>
            </w:pPr>
            <w:r>
              <w:rPr>
                <w:rFonts w:hint="eastAsia" w:ascii="宋体" w:hAnsi="宋体" w:cs="宋体"/>
                <w:sz w:val="18"/>
                <w:szCs w:val="18"/>
              </w:rPr>
              <w:t>2</w:t>
            </w:r>
          </w:p>
        </w:tc>
      </w:tr>
      <w:tr>
        <w:tblPrEx>
          <w:tblCellMar>
            <w:top w:w="0" w:type="dxa"/>
            <w:left w:w="108" w:type="dxa"/>
            <w:bottom w:w="0" w:type="dxa"/>
            <w:right w:w="108" w:type="dxa"/>
          </w:tblCellMar>
        </w:tblPrEx>
        <w:trPr>
          <w:trHeight w:val="1175" w:hRule="atLeast"/>
        </w:trPr>
        <w:tc>
          <w:tcPr>
            <w:tcW w:w="600" w:type="pct"/>
            <w:vMerge w:val="continue"/>
            <w:tcBorders>
              <w:top w:val="single" w:color="auto" w:sz="8" w:space="0"/>
              <w:left w:val="single" w:color="auto" w:sz="8" w:space="0"/>
              <w:bottom w:val="single" w:color="000000" w:sz="8" w:space="0"/>
              <w:right w:val="single" w:color="auto" w:sz="8" w:space="0"/>
            </w:tcBorders>
            <w:noWrap w:val="0"/>
            <w:vAlign w:val="center"/>
          </w:tcPr>
          <w:p>
            <w:pPr>
              <w:rPr>
                <w:rFonts w:ascii="宋体" w:hAnsi="宋体" w:cs="宋体"/>
                <w:b/>
                <w:bCs/>
                <w:sz w:val="18"/>
                <w:szCs w:val="18"/>
              </w:rPr>
            </w:pPr>
          </w:p>
        </w:tc>
        <w:tc>
          <w:tcPr>
            <w:tcW w:w="616" w:type="pct"/>
            <w:tcBorders>
              <w:top w:val="single" w:color="auto" w:sz="4" w:space="0"/>
              <w:left w:val="single" w:color="auto" w:sz="8" w:space="0"/>
              <w:bottom w:val="single" w:color="000000" w:sz="8" w:space="0"/>
              <w:right w:val="single" w:color="auto" w:sz="8" w:space="0"/>
            </w:tcBorders>
            <w:noWrap w:val="0"/>
            <w:vAlign w:val="center"/>
          </w:tcPr>
          <w:p>
            <w:pPr>
              <w:jc w:val="center"/>
              <w:rPr>
                <w:rFonts w:ascii="宋体" w:hAnsi="宋体" w:cs="宋体"/>
                <w:sz w:val="18"/>
                <w:szCs w:val="18"/>
              </w:rPr>
            </w:pPr>
            <w:r>
              <w:rPr>
                <w:rFonts w:hint="eastAsia" w:ascii="宋体" w:hAnsi="宋体" w:cs="宋体"/>
                <w:sz w:val="18"/>
                <w:szCs w:val="18"/>
              </w:rPr>
              <w:t>政策（3分）</w:t>
            </w:r>
          </w:p>
        </w:tc>
        <w:tc>
          <w:tcPr>
            <w:tcW w:w="3432" w:type="pct"/>
            <w:tcBorders>
              <w:top w:val="single" w:color="auto" w:sz="4" w:space="0"/>
              <w:left w:val="nil"/>
              <w:bottom w:val="single" w:color="auto" w:sz="8" w:space="0"/>
              <w:right w:val="single" w:color="auto" w:sz="8" w:space="0"/>
            </w:tcBorders>
            <w:noWrap w:val="0"/>
            <w:vAlign w:val="center"/>
          </w:tcPr>
          <w:p>
            <w:pPr>
              <w:rPr>
                <w:rFonts w:ascii="宋体" w:hAnsi="宋体" w:cs="宋体"/>
                <w:sz w:val="18"/>
                <w:szCs w:val="18"/>
              </w:rPr>
            </w:pPr>
            <w:r>
              <w:rPr>
                <w:rFonts w:ascii="宋体" w:hAnsi="宋体" w:cs="宋体"/>
                <w:sz w:val="18"/>
                <w:szCs w:val="18"/>
              </w:rPr>
              <w:t>投标人是国家认定的不发达地区或少数民族地区企业的加1分；投标产品全部为列入中国政府采购网“节能产品政府采购清单”的加1分，部分列入的得分按节能产品投标价格除以投标总价后保留1位小数；投标产品全部为列入中国政府采购网“环境标志产品政府采购清单”的加1分，部分列入的得分按环境标志产品投标价格除以投标总价后保留1位小数。</w:t>
            </w:r>
          </w:p>
          <w:p>
            <w:pPr>
              <w:rPr>
                <w:rFonts w:ascii="宋体" w:hAnsi="宋体" w:cs="宋体"/>
                <w:sz w:val="18"/>
                <w:szCs w:val="18"/>
              </w:rPr>
            </w:pPr>
            <w:r>
              <w:rPr>
                <w:rFonts w:ascii="宋体" w:hAnsi="宋体" w:cs="宋体"/>
                <w:sz w:val="18"/>
                <w:szCs w:val="18"/>
              </w:rPr>
              <w:t>监狱企业和残疾人福利性单位视同小微企业。</w:t>
            </w:r>
          </w:p>
        </w:tc>
        <w:tc>
          <w:tcPr>
            <w:tcW w:w="351" w:type="pct"/>
            <w:tcBorders>
              <w:top w:val="nil"/>
              <w:left w:val="single" w:color="auto" w:sz="8" w:space="0"/>
              <w:bottom w:val="single" w:color="000000" w:sz="8" w:space="0"/>
              <w:right w:val="single" w:color="auto" w:sz="8" w:space="0"/>
            </w:tcBorders>
            <w:noWrap w:val="0"/>
            <w:vAlign w:val="center"/>
          </w:tcPr>
          <w:p>
            <w:pPr>
              <w:jc w:val="center"/>
              <w:rPr>
                <w:rFonts w:ascii="宋体" w:hAnsi="宋体" w:cs="宋体"/>
                <w:sz w:val="18"/>
                <w:szCs w:val="18"/>
              </w:rPr>
            </w:pPr>
            <w:r>
              <w:rPr>
                <w:rFonts w:hint="eastAsia" w:ascii="宋体" w:hAnsi="宋体" w:cs="宋体"/>
                <w:sz w:val="18"/>
                <w:szCs w:val="18"/>
              </w:rPr>
              <w:t>3</w:t>
            </w:r>
          </w:p>
        </w:tc>
      </w:tr>
    </w:tbl>
    <w:p>
      <w:pPr>
        <w:spacing w:line="420" w:lineRule="exact"/>
        <w:ind w:firstLine="420" w:firstLineChars="200"/>
        <w:rPr>
          <w:rFonts w:hint="eastAsia" w:ascii="宋体" w:hAnsi="宋体"/>
          <w:color w:val="000000"/>
          <w:szCs w:val="21"/>
        </w:rPr>
      </w:pPr>
    </w:p>
    <w:p>
      <w:pPr>
        <w:spacing w:line="420" w:lineRule="exact"/>
        <w:ind w:firstLine="420" w:firstLineChars="200"/>
        <w:rPr>
          <w:rFonts w:hint="eastAsia"/>
        </w:rPr>
      </w:pPr>
      <w:r>
        <w:rPr>
          <w:rFonts w:hint="eastAsia" w:ascii="宋体" w:hAnsi="宋体"/>
          <w:color w:val="000000"/>
          <w:szCs w:val="21"/>
        </w:rPr>
        <w:t>22.8</w:t>
      </w:r>
      <w:r>
        <w:rPr>
          <w:rFonts w:hint="eastAsia" w:ascii="宋体" w:hAnsi="宋体"/>
          <w:szCs w:val="21"/>
        </w:rPr>
        <w:t>最终得分及排序</w:t>
      </w:r>
    </w:p>
    <w:p>
      <w:pPr>
        <w:spacing w:line="420" w:lineRule="exact"/>
        <w:ind w:firstLine="315" w:firstLineChars="150"/>
        <w:rPr>
          <w:rFonts w:ascii="宋体" w:hAnsi="宋体"/>
          <w:color w:val="000000"/>
          <w:szCs w:val="21"/>
        </w:rPr>
      </w:pPr>
      <w:bookmarkStart w:id="102" w:name="_Toc498091090"/>
      <w:bookmarkStart w:id="103" w:name="_Toc404692907"/>
      <w:r>
        <w:rPr>
          <w:rFonts w:hint="eastAsia" w:ascii="宋体" w:hAnsi="宋体"/>
          <w:color w:val="000000"/>
          <w:szCs w:val="21"/>
        </w:rPr>
        <w:t>（1）各投标人各标项最终得分由技术资格得分和报价分组成；</w:t>
      </w:r>
    </w:p>
    <w:p>
      <w:pPr>
        <w:spacing w:line="420" w:lineRule="exact"/>
        <w:ind w:firstLine="315" w:firstLineChars="150"/>
        <w:rPr>
          <w:rFonts w:ascii="宋体" w:hAnsi="宋体"/>
          <w:color w:val="000000"/>
          <w:szCs w:val="21"/>
        </w:rPr>
      </w:pPr>
      <w:r>
        <w:rPr>
          <w:rFonts w:hint="eastAsia" w:ascii="宋体" w:hAnsi="宋体"/>
          <w:color w:val="000000"/>
          <w:szCs w:val="21"/>
        </w:rPr>
        <w:t>（2）按照</w:t>
      </w:r>
      <w:r>
        <w:rPr>
          <w:rFonts w:hint="eastAsia" w:ascii="宋体" w:hAnsi="宋体"/>
        </w:rPr>
        <w:t>标项一、标项二、标项三、标项四、标项五</w:t>
      </w:r>
      <w:r>
        <w:rPr>
          <w:rFonts w:hint="eastAsia" w:ascii="宋体" w:hAnsi="宋体"/>
          <w:color w:val="000000"/>
          <w:szCs w:val="21"/>
        </w:rPr>
        <w:t>的顺序，对各标项综合得分从高到低进行排序，每标段推荐标项综合得分最高的投标人为中标候选人。</w:t>
      </w:r>
      <w:r>
        <w:rPr>
          <w:rFonts w:hint="eastAsia" w:ascii="宋体" w:hAnsi="宋体"/>
          <w:b/>
          <w:bCs/>
          <w:color w:val="000000"/>
          <w:szCs w:val="21"/>
        </w:rPr>
        <w:t>已被确定为前序标项中标候选人的投标人，不参与后续标项的评审，也不能被确定为后续标项的中标候选人。</w:t>
      </w:r>
    </w:p>
    <w:p>
      <w:pPr>
        <w:spacing w:line="420" w:lineRule="exact"/>
        <w:ind w:firstLine="315" w:firstLineChars="150"/>
        <w:rPr>
          <w:rFonts w:hint="eastAsia" w:ascii="宋体" w:hAnsi="宋体"/>
          <w:color w:val="000000"/>
          <w:szCs w:val="21"/>
        </w:rPr>
      </w:pPr>
      <w:r>
        <w:rPr>
          <w:rFonts w:hint="eastAsia" w:ascii="宋体" w:hAnsi="宋体"/>
          <w:color w:val="000000"/>
          <w:szCs w:val="21"/>
        </w:rPr>
        <w:t>（3）各投标人的最终得分若出现并列分，由评标委员会讨论确定。</w:t>
      </w:r>
    </w:p>
    <w:p>
      <w:pPr>
        <w:spacing w:line="420" w:lineRule="exact"/>
        <w:ind w:firstLine="420" w:firstLineChars="200"/>
        <w:rPr>
          <w:rFonts w:ascii="宋体" w:hAnsi="宋体"/>
          <w:color w:val="000000"/>
          <w:szCs w:val="21"/>
        </w:rPr>
      </w:pPr>
      <w:r>
        <w:rPr>
          <w:rFonts w:hint="eastAsia" w:ascii="宋体" w:hAnsi="宋体"/>
          <w:color w:val="000000"/>
          <w:szCs w:val="21"/>
        </w:rPr>
        <w:t>22.9编写评标报告</w:t>
      </w:r>
    </w:p>
    <w:p>
      <w:pPr>
        <w:spacing w:line="420" w:lineRule="exact"/>
        <w:ind w:firstLine="420" w:firstLineChars="200"/>
        <w:rPr>
          <w:rFonts w:ascii="宋体" w:hAnsi="宋体"/>
          <w:color w:val="000000"/>
          <w:szCs w:val="21"/>
        </w:rPr>
      </w:pPr>
      <w:r>
        <w:rPr>
          <w:rFonts w:hint="eastAsia" w:ascii="宋体" w:hAnsi="宋体"/>
          <w:color w:val="000000"/>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拒绝在评标报告上签字且不陈述其不同意见和理由的，视为同意评标结论。评标委员会应当对此作出书面说明并记录在案。</w:t>
      </w:r>
    </w:p>
    <w:p>
      <w:pPr>
        <w:tabs>
          <w:tab w:val="left" w:pos="0"/>
        </w:tabs>
        <w:spacing w:line="420" w:lineRule="exact"/>
        <w:ind w:firstLine="420" w:firstLineChars="200"/>
        <w:rPr>
          <w:rFonts w:ascii="黑体" w:hAnsi="黑体" w:eastAsia="黑体"/>
          <w:szCs w:val="21"/>
        </w:rPr>
      </w:pPr>
      <w:r>
        <w:rPr>
          <w:rFonts w:hint="eastAsia" w:ascii="黑体" w:hAnsi="黑体" w:eastAsia="黑体"/>
          <w:szCs w:val="21"/>
        </w:rPr>
        <w:t>23． 评标过程监控及保密</w:t>
      </w:r>
    </w:p>
    <w:p>
      <w:pPr>
        <w:tabs>
          <w:tab w:val="left" w:pos="0"/>
        </w:tabs>
        <w:spacing w:line="420" w:lineRule="exact"/>
        <w:ind w:firstLine="420"/>
        <w:rPr>
          <w:rFonts w:hint="eastAsia" w:ascii="宋体" w:hAnsi="宋体"/>
          <w:szCs w:val="21"/>
        </w:rPr>
      </w:pPr>
      <w:r>
        <w:rPr>
          <w:rFonts w:hint="eastAsia" w:ascii="宋体" w:hAnsi="宋体"/>
          <w:szCs w:val="21"/>
        </w:rPr>
        <w:t>23.1 本项目评标过程实行全程录音、录像监控，供应商在评标过程中所进行的试图影响评标结果的不公正活动，可能导致其投标被拒绝，并承担相应法律责任；</w:t>
      </w:r>
    </w:p>
    <w:p>
      <w:pPr>
        <w:tabs>
          <w:tab w:val="left" w:pos="0"/>
        </w:tabs>
        <w:spacing w:line="420" w:lineRule="exact"/>
        <w:ind w:firstLine="420"/>
        <w:rPr>
          <w:rFonts w:ascii="宋体" w:hAnsi="宋体"/>
          <w:szCs w:val="21"/>
        </w:rPr>
      </w:pPr>
      <w:r>
        <w:rPr>
          <w:rFonts w:hint="eastAsia" w:ascii="宋体" w:hAnsi="宋体"/>
          <w:szCs w:val="21"/>
        </w:rPr>
        <w:t>23.2 开标之后，直到授予投标人合同止，凡是属于审查、澄清、评价和比较投标的有关资料以及授标意向等，均不得向投标人或其他无关的人员透露。</w:t>
      </w:r>
    </w:p>
    <w:p>
      <w:pPr>
        <w:tabs>
          <w:tab w:val="left" w:pos="0"/>
        </w:tabs>
        <w:spacing w:line="420" w:lineRule="exact"/>
        <w:ind w:firstLine="420" w:firstLineChars="200"/>
        <w:rPr>
          <w:rFonts w:hint="eastAsia" w:ascii="黑体" w:hAnsi="黑体" w:eastAsia="黑体"/>
          <w:szCs w:val="21"/>
        </w:rPr>
      </w:pPr>
      <w:r>
        <w:rPr>
          <w:rFonts w:hint="eastAsia" w:ascii="黑体" w:hAnsi="黑体" w:eastAsia="黑体"/>
          <w:szCs w:val="21"/>
        </w:rPr>
        <w:t>24. 中标人确定</w:t>
      </w:r>
    </w:p>
    <w:p>
      <w:pPr>
        <w:tabs>
          <w:tab w:val="left" w:pos="0"/>
        </w:tabs>
        <w:spacing w:line="420" w:lineRule="exact"/>
        <w:ind w:firstLine="420" w:firstLineChars="200"/>
        <w:rPr>
          <w:rFonts w:hint="eastAsia" w:ascii="宋体" w:hAnsi="宋体"/>
          <w:szCs w:val="21"/>
        </w:rPr>
      </w:pPr>
      <w:r>
        <w:rPr>
          <w:rFonts w:hint="eastAsia" w:ascii="宋体" w:hAnsi="宋体"/>
          <w:szCs w:val="21"/>
        </w:rPr>
        <w:t>政府集中采购机构自评审结束之日起2个工作日内将评审报告送交采购人。采购人自收到评审报告之日起5个工作日内在评审报告推荐的中标候选人中按顺序确定中标供应商。</w:t>
      </w:r>
    </w:p>
    <w:p>
      <w:pPr>
        <w:tabs>
          <w:tab w:val="left" w:pos="0"/>
        </w:tabs>
        <w:spacing w:line="420" w:lineRule="exact"/>
        <w:ind w:firstLine="420" w:firstLineChars="200"/>
        <w:rPr>
          <w:rFonts w:ascii="黑体" w:hAnsi="黑体" w:eastAsia="黑体"/>
          <w:szCs w:val="21"/>
        </w:rPr>
      </w:pPr>
      <w:r>
        <w:rPr>
          <w:rFonts w:hint="eastAsia" w:ascii="黑体" w:hAnsi="黑体" w:eastAsia="黑体"/>
          <w:szCs w:val="21"/>
        </w:rPr>
        <w:t>25. 中标通知书及中标结果公告</w:t>
      </w:r>
    </w:p>
    <w:p>
      <w:pPr>
        <w:spacing w:line="420" w:lineRule="exact"/>
        <w:ind w:firstLine="420" w:firstLineChars="200"/>
        <w:rPr>
          <w:rFonts w:hint="eastAsia" w:ascii="宋体" w:hAnsi="宋体"/>
        </w:rPr>
      </w:pPr>
      <w:r>
        <w:rPr>
          <w:rFonts w:hint="eastAsia" w:ascii="宋体" w:hAnsi="宋体"/>
        </w:rPr>
        <w:t>自采购人确定中标供应商之日起2个工作日内，宁波市海曙区公共资源交易中心将向中标人发出《中标通知书》，并在招标公告相同网站上发布中标结果公告。</w:t>
      </w:r>
    </w:p>
    <w:p>
      <w:pPr>
        <w:tabs>
          <w:tab w:val="left" w:pos="0"/>
        </w:tabs>
        <w:spacing w:line="420" w:lineRule="exact"/>
        <w:ind w:firstLine="420" w:firstLineChars="200"/>
        <w:rPr>
          <w:rFonts w:hint="eastAsia" w:ascii="黑体" w:hAnsi="黑体" w:eastAsia="黑体"/>
          <w:szCs w:val="21"/>
        </w:rPr>
      </w:pPr>
      <w:r>
        <w:rPr>
          <w:rFonts w:hint="eastAsia" w:ascii="黑体" w:hAnsi="黑体" w:eastAsia="黑体"/>
          <w:szCs w:val="21"/>
        </w:rPr>
        <w:t>26.其他事项</w:t>
      </w:r>
    </w:p>
    <w:p>
      <w:pPr>
        <w:spacing w:line="420" w:lineRule="exact"/>
        <w:ind w:left="420"/>
        <w:rPr>
          <w:rFonts w:hint="eastAsia" w:ascii="宋体" w:hAnsi="宋体"/>
        </w:rPr>
      </w:pPr>
      <w:r>
        <w:rPr>
          <w:rFonts w:hint="eastAsia" w:ascii="宋体" w:hAnsi="宋体"/>
        </w:rPr>
        <w:t>26.1到报名截止时间，投标人不足3家的，将重新招标。</w:t>
      </w:r>
    </w:p>
    <w:p>
      <w:pPr>
        <w:spacing w:line="420" w:lineRule="exact"/>
        <w:ind w:firstLine="420" w:firstLineChars="200"/>
        <w:rPr>
          <w:rFonts w:hint="eastAsia" w:ascii="黑体" w:hAnsi="黑体" w:eastAsia="黑体"/>
          <w:szCs w:val="21"/>
        </w:rPr>
      </w:pPr>
      <w:r>
        <w:rPr>
          <w:rFonts w:hint="eastAsia" w:ascii="宋体" w:hAnsi="宋体"/>
        </w:rPr>
        <w:t>26.2投标截止后投标人不足3家或者通过资格审查或符合性审查的投标人不足3家的，除采购任务取消情形外，按照以下方式处理：（1）招标文件存在不合理条款或者招标程序不符合规定的，采购人、采购代理机构改正后依法重新招标；（2）招标文件没有不合理条款、招标程序符合规定，需要采用其他采购方式采购的，采购人应当依法报财政部门批准。</w:t>
      </w:r>
    </w:p>
    <w:p>
      <w:pPr>
        <w:pStyle w:val="4"/>
        <w:widowControl w:val="0"/>
        <w:adjustRightInd w:val="0"/>
        <w:spacing w:line="240" w:lineRule="auto"/>
        <w:jc w:val="center"/>
        <w:textAlignment w:val="baseline"/>
        <w:rPr>
          <w:rFonts w:ascii="宋体" w:hAnsi="宋体" w:eastAsia="宋体"/>
          <w:b w:val="0"/>
          <w:sz w:val="28"/>
          <w:szCs w:val="28"/>
        </w:rPr>
      </w:pPr>
      <w:bookmarkStart w:id="104" w:name="_Toc12369"/>
      <w:bookmarkStart w:id="105" w:name="_Toc19192"/>
      <w:bookmarkStart w:id="106" w:name="_Toc16237"/>
      <w:r>
        <w:rPr>
          <w:rFonts w:hint="eastAsia" w:ascii="宋体" w:hAnsi="宋体" w:eastAsia="宋体"/>
          <w:b w:val="0"/>
          <w:sz w:val="28"/>
          <w:szCs w:val="28"/>
        </w:rPr>
        <w:t>七、合同签订</w:t>
      </w:r>
      <w:bookmarkEnd w:id="104"/>
      <w:bookmarkEnd w:id="105"/>
      <w:bookmarkEnd w:id="106"/>
    </w:p>
    <w:p>
      <w:pPr>
        <w:tabs>
          <w:tab w:val="left" w:pos="0"/>
        </w:tabs>
        <w:spacing w:line="420" w:lineRule="exact"/>
        <w:rPr>
          <w:rFonts w:ascii="宋体" w:hAnsi="宋体"/>
        </w:rPr>
      </w:pPr>
      <w:r>
        <w:rPr>
          <w:rFonts w:hint="eastAsia" w:ascii="宋体" w:hAnsi="宋体"/>
          <w:szCs w:val="21"/>
        </w:rPr>
        <w:t xml:space="preserve">    </w:t>
      </w:r>
      <w:r>
        <w:rPr>
          <w:rFonts w:hint="eastAsia" w:ascii="宋体" w:hAnsi="宋体"/>
        </w:rPr>
        <w:t>27. 中标供应商应当自中标通知书发出之日起30日内，按照招标文件和中标供应商投标文件等约定与采购人签订政府采购合同，所签订的合同不得对招标文件和中标供应商投标文件作实质性修改。</w:t>
      </w:r>
    </w:p>
    <w:p>
      <w:pPr>
        <w:spacing w:line="420" w:lineRule="exact"/>
        <w:ind w:firstLine="420" w:firstLineChars="200"/>
        <w:rPr>
          <w:rFonts w:ascii="宋体" w:hAnsi="宋体"/>
          <w:szCs w:val="21"/>
        </w:rPr>
      </w:pPr>
      <w:r>
        <w:rPr>
          <w:rFonts w:hint="eastAsia" w:ascii="宋体" w:hAnsi="宋体"/>
        </w:rPr>
        <w:t>28. 采购人不得向中标供应商提出任何不合理的要求作为签订合同的条件，不得与中标供应商私下订立背离合同实质性内容的协议</w:t>
      </w:r>
      <w:r>
        <w:rPr>
          <w:rFonts w:hint="eastAsia" w:ascii="宋体" w:hAnsi="宋体"/>
          <w:szCs w:val="21"/>
        </w:rPr>
        <w:t>。</w:t>
      </w:r>
    </w:p>
    <w:p>
      <w:pPr>
        <w:spacing w:line="420" w:lineRule="exact"/>
        <w:ind w:firstLine="420" w:firstLineChars="200"/>
        <w:rPr>
          <w:rFonts w:ascii="宋体" w:hAnsi="宋体"/>
        </w:rPr>
      </w:pPr>
      <w:r>
        <w:rPr>
          <w:rFonts w:hint="eastAsia" w:ascii="宋体" w:hAnsi="宋体"/>
        </w:rPr>
        <w:t>29. 中标供应商因不可抗力或者自身原因不能履行政府采购合同的，采购人可以视情与排位在中标供应商之后第一位的中标候选供应商签订政府采购合同，以此类推，或者重新组织招标。</w:t>
      </w:r>
    </w:p>
    <w:p>
      <w:pPr>
        <w:spacing w:line="420" w:lineRule="exact"/>
        <w:ind w:firstLine="420" w:firstLineChars="200"/>
        <w:rPr>
          <w:rFonts w:hint="eastAsia" w:ascii="宋体" w:hAnsi="宋体"/>
        </w:rPr>
      </w:pPr>
      <w:r>
        <w:rPr>
          <w:rFonts w:hint="eastAsia" w:ascii="宋体" w:hAnsi="宋体"/>
        </w:rPr>
        <w:t>30. 政府采购合同履行中，采购人需追加与合同标的相同的货物的，在不改变合同其他条款的前提下，可以与供应商协商签订补充合同，但所有补充合同的采购金额不得超过原合同采购金额的10%（除经政府采购监管部门认定的跟标采购项目外）。</w:t>
      </w:r>
    </w:p>
    <w:p>
      <w:pPr>
        <w:spacing w:line="420" w:lineRule="exact"/>
        <w:ind w:firstLine="420" w:firstLineChars="200"/>
        <w:rPr>
          <w:rFonts w:hint="eastAsia" w:ascii="宋体" w:hAnsi="宋体"/>
        </w:rPr>
      </w:pPr>
      <w:r>
        <w:rPr>
          <w:rFonts w:hint="eastAsia" w:ascii="宋体" w:hAnsi="宋体"/>
        </w:rPr>
        <w:t>31.</w:t>
      </w:r>
      <w:r>
        <w:rPr>
          <w:rFonts w:hint="eastAsia"/>
        </w:rPr>
        <w:t>中标人在合同有效期内，不得以任何理由终止合同，确有特殊情况的，须提前两个月向采购人提出书面申请，经采购人同意后，方可终止合同，同时酌情扣除履约保证金。因中标人不能保证工作质量，或发生重大差错事故的，采购人可有权终止协议，中标人承担全部责任。</w:t>
      </w: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3"/>
        <w:numPr>
          <w:ilvl w:val="0"/>
          <w:numId w:val="7"/>
        </w:numPr>
        <w:tabs>
          <w:tab w:val="center" w:pos="4819"/>
        </w:tabs>
        <w:spacing w:before="200" w:after="200" w:line="360" w:lineRule="auto"/>
        <w:jc w:val="center"/>
        <w:rPr>
          <w:rFonts w:hint="eastAsia" w:ascii="宋体" w:hAnsi="宋体"/>
          <w:sz w:val="32"/>
        </w:rPr>
      </w:pPr>
      <w:bookmarkStart w:id="107" w:name="_Toc29391"/>
      <w:bookmarkStart w:id="108" w:name="_Toc28612"/>
      <w:r>
        <w:rPr>
          <w:rFonts w:hint="eastAsia" w:ascii="宋体" w:hAnsi="宋体"/>
          <w:sz w:val="32"/>
        </w:rPr>
        <w:t>项目需求说明</w:t>
      </w:r>
      <w:bookmarkEnd w:id="102"/>
      <w:bookmarkEnd w:id="103"/>
      <w:bookmarkEnd w:id="107"/>
      <w:bookmarkEnd w:id="108"/>
    </w:p>
    <w:p>
      <w:pPr>
        <w:pStyle w:val="41"/>
        <w:spacing w:before="0" w:after="0" w:line="480" w:lineRule="auto"/>
        <w:rPr>
          <w:lang w:eastAsia="zh-CN"/>
        </w:rPr>
      </w:pPr>
      <w:bookmarkStart w:id="109" w:name="_Toc2001"/>
      <w:bookmarkStart w:id="110" w:name="_Toc404692909"/>
      <w:r>
        <w:rPr>
          <w:rFonts w:hint="eastAsia"/>
          <w:lang w:eastAsia="zh-CN"/>
        </w:rPr>
        <w:t>项目概述</w:t>
      </w:r>
      <w:bookmarkEnd w:id="109"/>
    </w:p>
    <w:p>
      <w:pPr>
        <w:pStyle w:val="39"/>
        <w:widowControl w:val="0"/>
        <w:spacing w:line="360" w:lineRule="auto"/>
        <w:rPr>
          <w:lang w:eastAsia="zh-CN"/>
        </w:rPr>
      </w:pPr>
      <w:bookmarkStart w:id="111" w:name="_Toc14336"/>
      <w:r>
        <w:rPr>
          <w:rFonts w:hint="eastAsia"/>
          <w:lang w:eastAsia="zh-CN"/>
        </w:rPr>
        <w:t>项目背景</w:t>
      </w:r>
      <w:bookmarkEnd w:id="111"/>
    </w:p>
    <w:p>
      <w:pPr>
        <w:tabs>
          <w:tab w:val="left" w:pos="0"/>
        </w:tabs>
        <w:spacing w:line="420" w:lineRule="exact"/>
        <w:ind w:firstLine="420" w:firstLineChars="200"/>
        <w:rPr>
          <w:rFonts w:ascii="宋体" w:hAnsi="宋体"/>
          <w:szCs w:val="21"/>
        </w:rPr>
      </w:pPr>
      <w:r>
        <w:rPr>
          <w:rFonts w:hint="eastAsia" w:ascii="宋体" w:hAnsi="宋体"/>
          <w:szCs w:val="21"/>
        </w:rPr>
        <w:t>中国共产党第十九次全国代表大会的报告中指出，要推进国家治理体系现代化和治理能力现代化，以及创新社会治理体系的重大战略任务。这表明党对社会治理的理论认识和实践要求正在变得系统化。因而，做好社区的建设与治理工作，事关人民幸福安康，事关社会和谐稳定。然而，在快速城市化的过程中，社会结构不断分化，利益诉求不再单一，矛盾和问题日益突出。现有的社区治理体系与手段，逐渐与城市的社会经济发展不相适应，导致城市社会秩序的稳定受到了较大的影响。2017年6月，《中共中央国务院关于加强和完善城乡社区治理的意见》指出:“推进智慧社区信息系统建设，积极开发智慧社区移动客户端，实现服务项目、资源和信息的多平台交互和多终端同步。全面提升城乡社区治理法治化、科学化、精细化水平和组织化程度，促进城乡社区治理体系和治理能力现代化。”随着社会的不断进步和新一代信息技术的快速发展和深入应用，我国和世界许多发达国家利用新技术、新方法来探索符合国情地情的智慧城市和智慧社区，智慧城市与智慧社区的建设与发展顺应了时代要求，已成为实现社区治理现代化的重要路径。</w:t>
      </w:r>
    </w:p>
    <w:p>
      <w:pPr>
        <w:tabs>
          <w:tab w:val="left" w:pos="0"/>
        </w:tabs>
        <w:spacing w:line="420" w:lineRule="exact"/>
        <w:ind w:firstLine="420" w:firstLineChars="200"/>
        <w:rPr>
          <w:rFonts w:ascii="宋体" w:hAnsi="宋体"/>
          <w:szCs w:val="21"/>
        </w:rPr>
      </w:pPr>
      <w:r>
        <w:rPr>
          <w:rFonts w:hint="eastAsia" w:ascii="宋体" w:hAnsi="宋体"/>
          <w:szCs w:val="21"/>
        </w:rPr>
        <w:t>公安部于2016年8月会同国家发展改革委、财政部、民政部和国家安监总局共同起草了《“十三五”平安中国建设规划》。其中重点提出创新完善立体化社会治安防控体系，加强和改进流动人口服务管理、特殊人群关爱帮扶，加强基础性平台建设，继续深入推进网格化建设，加快推进智慧社区建设。</w:t>
      </w:r>
    </w:p>
    <w:p>
      <w:pPr>
        <w:tabs>
          <w:tab w:val="left" w:pos="0"/>
        </w:tabs>
        <w:spacing w:line="420" w:lineRule="exact"/>
        <w:ind w:firstLine="420" w:firstLineChars="200"/>
        <w:rPr>
          <w:rFonts w:ascii="宋体" w:hAnsi="宋体"/>
          <w:szCs w:val="21"/>
        </w:rPr>
      </w:pPr>
      <w:r>
        <w:rPr>
          <w:rFonts w:hint="eastAsia" w:ascii="宋体" w:hAnsi="宋体"/>
          <w:szCs w:val="21"/>
        </w:rPr>
        <w:t>公安部、省公安厅、宁波市公安局也多次以文件、会议当形式督促各级政府和公安机关积极推进智慧安防小区和村庄建设，提升社区农村安防水平。</w:t>
      </w:r>
    </w:p>
    <w:p>
      <w:pPr>
        <w:tabs>
          <w:tab w:val="left" w:pos="0"/>
        </w:tabs>
        <w:spacing w:line="420" w:lineRule="exact"/>
        <w:ind w:firstLine="420" w:firstLineChars="200"/>
        <w:rPr>
          <w:rFonts w:ascii="宋体" w:hAnsi="宋体"/>
          <w:szCs w:val="21"/>
        </w:rPr>
      </w:pPr>
      <w:r>
        <w:rPr>
          <w:rFonts w:hint="eastAsia" w:ascii="宋体" w:hAnsi="宋体"/>
          <w:szCs w:val="21"/>
        </w:rPr>
        <w:t>为深入践行习近平总书记对宁波的系列重要指示和中央城市会议精神，以及2019年6月李克强总理在国务院常务会议上提出的重要指导意见，宁波相继发布《中共宁波市委办公厅宁波市人民政府办公厅转发市住建委&lt;关于推进老旧小区改造工作的实施意见&gt;的通知》、《2019年度全市老旧住宅小区整治改造工作实施方案》、《宁波市老旧住宅小区改造建设指南（试行）》等，并积极拟写《宁波市老旧小区改造工作三年行动方案》等文件，全面展开老旧小区改造的实践行动。2019年9月，宁波入选全国城镇老旧小区改造试点城市，为进一步推进老旧小区更新改造工作，提高老旧小区的业主的归属感，海曙区将在去年的基础上，加大对老旧小区的改造，2021年，计划对86个老旧小区的集中改造。</w:t>
      </w:r>
    </w:p>
    <w:p>
      <w:pPr>
        <w:pStyle w:val="39"/>
        <w:widowControl w:val="0"/>
        <w:spacing w:line="360" w:lineRule="auto"/>
        <w:rPr>
          <w:lang w:eastAsia="zh-CN"/>
        </w:rPr>
      </w:pPr>
      <w:bookmarkStart w:id="112" w:name="_Toc3856"/>
      <w:r>
        <w:rPr>
          <w:rFonts w:hint="eastAsia"/>
          <w:lang w:eastAsia="zh-CN"/>
        </w:rPr>
        <w:t>总体目标</w:t>
      </w:r>
      <w:bookmarkEnd w:id="112"/>
    </w:p>
    <w:p>
      <w:pPr>
        <w:tabs>
          <w:tab w:val="left" w:pos="0"/>
        </w:tabs>
        <w:spacing w:line="420" w:lineRule="exact"/>
        <w:ind w:firstLine="420" w:firstLineChars="200"/>
        <w:rPr>
          <w:rFonts w:ascii="宋体" w:hAnsi="宋体"/>
          <w:szCs w:val="21"/>
        </w:rPr>
      </w:pPr>
      <w:r>
        <w:rPr>
          <w:rFonts w:hint="eastAsia" w:ascii="宋体" w:hAnsi="宋体"/>
          <w:szCs w:val="21"/>
        </w:rPr>
        <w:t>智慧安防社区是通过综合运用现代科学技术，整合区域人、地、物、情、事、组织和房屋等信息，统筹公共管理、公共服务和商业服务等资源，以智慧安防社区综合信息服务平台为支撑，依托适度领先的基础设施建设，提升社区治理和小区管理现代化，促进公共服务和便民利民服务智能化的一种社区管理和服务的创新模式，也是实现新型城镇化发展目标和社区服务体系建设目标的重要举措之一。</w:t>
      </w:r>
    </w:p>
    <w:p>
      <w:pPr>
        <w:tabs>
          <w:tab w:val="left" w:pos="0"/>
        </w:tabs>
        <w:spacing w:line="420" w:lineRule="exact"/>
        <w:ind w:firstLine="420" w:firstLineChars="200"/>
        <w:rPr>
          <w:rFonts w:ascii="宋体" w:hAnsi="宋体"/>
          <w:szCs w:val="21"/>
        </w:rPr>
      </w:pPr>
      <w:r>
        <w:rPr>
          <w:rFonts w:hint="eastAsia" w:ascii="宋体" w:hAnsi="宋体"/>
          <w:szCs w:val="21"/>
        </w:rPr>
        <w:t>我国智慧安防社区建设仍然处于初级阶段，存在着一些困难和问题。比如社区基础设施建设水平参差不齐，缺乏社区综合服务平台，应用尚未形成规模；社区治理职能亟待完善，公共服务项目少且使用不便；小区房屋和物业管理服务层次低，社区自治能力尚未充分发挥；便民利民领域应用未能广泛推广；缺乏统筹规划，体制机制不顺畅，相关人才队伍欠缺，可持续的建设运营模式尚未形成。作为智慧城市建设的核心组成部分，智慧社区建设具有见效快、惠民利民的特征，智慧社区还能增强社区居民对智慧城市建设的感知度和社会认同度，为智慧城市建设的普及和宣传增光添彩。</w:t>
      </w:r>
    </w:p>
    <w:p>
      <w:pPr>
        <w:tabs>
          <w:tab w:val="left" w:pos="0"/>
        </w:tabs>
        <w:spacing w:line="420" w:lineRule="exact"/>
        <w:ind w:firstLine="420" w:firstLineChars="200"/>
        <w:rPr>
          <w:rFonts w:ascii="宋体" w:hAnsi="宋体"/>
          <w:szCs w:val="21"/>
        </w:rPr>
      </w:pPr>
      <w:r>
        <w:rPr>
          <w:rFonts w:hint="eastAsia" w:ascii="宋体" w:hAnsi="宋体"/>
          <w:szCs w:val="21"/>
        </w:rPr>
        <w:t>积极推进智慧安防社区建设，有利于提高基础设施的集约化和智能化水平，实现绿色生态社区建设；有利于促进和扩大政务信息共享范围，降低行政管理成本，增强行政运行效能，推动基层政府向服务型政府的转型，促进社区治理体系的现代化；有利于减轻社区组织的工作负担，改善社区组织的工作条件，优化社区自治环境，提升社区服务和管理能力；有利于保障基本公共服务均等化，改进基本公共服务的提供方式，以及拓展社区服务内容和领域，为建立多元化、多层次的社区服务体系打下良好基础。</w:t>
      </w:r>
    </w:p>
    <w:p>
      <w:pPr>
        <w:tabs>
          <w:tab w:val="left" w:pos="0"/>
        </w:tabs>
        <w:spacing w:line="420" w:lineRule="exact"/>
        <w:ind w:firstLine="420" w:firstLineChars="200"/>
        <w:rPr>
          <w:rFonts w:ascii="宋体" w:hAnsi="宋体"/>
          <w:szCs w:val="21"/>
        </w:rPr>
      </w:pPr>
      <w:r>
        <w:rPr>
          <w:rFonts w:hint="eastAsia" w:ascii="宋体" w:hAnsi="宋体"/>
          <w:szCs w:val="21"/>
        </w:rPr>
        <w:t>积极推进智慧安防社区建设，是践行、创新和发展新时代“枫桥经验”的一项重要举措。智慧安防社区建设是利用科技信息化手段来更好、更快、更准的访民情、察民意、惠民生、帮民困、解民难、扶民危、保民安，是新时代“枫桥经验”在科技信息化建设领域的创新和发展。</w:t>
      </w:r>
    </w:p>
    <w:p>
      <w:pPr>
        <w:tabs>
          <w:tab w:val="left" w:pos="0"/>
        </w:tabs>
        <w:spacing w:line="420" w:lineRule="exact"/>
        <w:ind w:firstLine="420" w:firstLineChars="200"/>
        <w:rPr>
          <w:rFonts w:ascii="宋体" w:hAnsi="宋体"/>
          <w:szCs w:val="21"/>
        </w:rPr>
      </w:pPr>
      <w:r>
        <w:rPr>
          <w:rFonts w:hint="eastAsia" w:ascii="宋体" w:hAnsi="宋体"/>
          <w:szCs w:val="21"/>
        </w:rPr>
        <w:t>积极推进智慧安防社区建设，是做好流动人口管理和服务，夯实社会管理基础能力的一项重要举措。</w:t>
      </w:r>
    </w:p>
    <w:p>
      <w:pPr>
        <w:tabs>
          <w:tab w:val="left" w:pos="0"/>
        </w:tabs>
        <w:spacing w:line="420" w:lineRule="exact"/>
        <w:ind w:firstLine="420" w:firstLineChars="200"/>
        <w:rPr>
          <w:rFonts w:ascii="宋体" w:hAnsi="宋体"/>
          <w:szCs w:val="21"/>
        </w:rPr>
      </w:pPr>
      <w:r>
        <w:rPr>
          <w:rFonts w:hint="eastAsia" w:ascii="宋体" w:hAnsi="宋体"/>
          <w:szCs w:val="21"/>
        </w:rPr>
        <w:t>积极推进智慧安防社区建设，为夯实“扫黑除恶”阶段性成果，更加精细化、深入化推进“扫黑除恶”专项行动的重要提供科技保障。社区农村是黑恶势力盘踞的主要场所，严重侵蚀着社会肌体。但黑恶势力打击面临着线索发现难、案情研判难和证据收集难的现状。</w:t>
      </w:r>
    </w:p>
    <w:p>
      <w:pPr>
        <w:pStyle w:val="39"/>
        <w:widowControl w:val="0"/>
        <w:spacing w:line="360" w:lineRule="auto"/>
        <w:rPr>
          <w:lang w:eastAsia="zh-CN"/>
        </w:rPr>
      </w:pPr>
      <w:bookmarkStart w:id="113" w:name="_Toc9145"/>
      <w:r>
        <w:rPr>
          <w:rFonts w:hint="eastAsia"/>
          <w:lang w:eastAsia="zh-CN"/>
        </w:rPr>
        <w:t>建设思路</w:t>
      </w:r>
      <w:bookmarkEnd w:id="113"/>
    </w:p>
    <w:p>
      <w:pPr>
        <w:tabs>
          <w:tab w:val="left" w:pos="0"/>
        </w:tabs>
        <w:spacing w:line="420" w:lineRule="exact"/>
        <w:ind w:firstLine="420" w:firstLineChars="200"/>
        <w:rPr>
          <w:rFonts w:ascii="宋体" w:hAnsi="宋体"/>
          <w:szCs w:val="21"/>
        </w:rPr>
      </w:pPr>
      <w:r>
        <w:rPr>
          <w:rFonts w:hint="eastAsia" w:ascii="宋体" w:hAnsi="宋体"/>
          <w:szCs w:val="21"/>
        </w:rPr>
        <w:t>以新时代“枫桥经验”为指引，通过智慧安防社区建设，以创新和发展的思路来实践“枫桥经验”，主要从以下三个方面入手：</w:t>
      </w:r>
    </w:p>
    <w:p>
      <w:pPr>
        <w:tabs>
          <w:tab w:val="left" w:pos="0"/>
        </w:tabs>
        <w:spacing w:line="420" w:lineRule="exact"/>
        <w:ind w:firstLine="420" w:firstLineChars="200"/>
        <w:rPr>
          <w:rFonts w:ascii="宋体" w:hAnsi="宋体"/>
          <w:szCs w:val="21"/>
        </w:rPr>
      </w:pPr>
      <w:r>
        <w:rPr>
          <w:rFonts w:hint="eastAsia" w:ascii="宋体" w:hAnsi="宋体"/>
          <w:szCs w:val="21"/>
        </w:rPr>
        <w:t>一是更及时、准确的访民情、察民意。通过智慧社区智能感知体系地建设与大数据分析研判，能够及时发现一些群体性地民情民意。通过与社区网格化综治平台的深度结合，更加方便群众反映对党和政府的意见和建议。</w:t>
      </w:r>
    </w:p>
    <w:p>
      <w:pPr>
        <w:tabs>
          <w:tab w:val="left" w:pos="0"/>
        </w:tabs>
        <w:spacing w:line="420" w:lineRule="exact"/>
        <w:ind w:firstLine="420" w:firstLineChars="200"/>
        <w:rPr>
          <w:rFonts w:ascii="宋体" w:hAnsi="宋体"/>
          <w:szCs w:val="21"/>
        </w:rPr>
      </w:pPr>
      <w:r>
        <w:rPr>
          <w:rFonts w:hint="eastAsia" w:ascii="宋体" w:hAnsi="宋体"/>
          <w:szCs w:val="21"/>
        </w:rPr>
        <w:t>二是更及时、方便的帮民困、解民难。通过与社区**相结合，依托信息化技术，为社区民众提供诸如政务信息查询、业务咨询等更多贴心的服务。</w:t>
      </w:r>
    </w:p>
    <w:p>
      <w:pPr>
        <w:tabs>
          <w:tab w:val="left" w:pos="0"/>
        </w:tabs>
        <w:spacing w:line="420" w:lineRule="exact"/>
        <w:ind w:firstLine="420" w:firstLineChars="200"/>
        <w:rPr>
          <w:rFonts w:ascii="宋体" w:hAnsi="宋体"/>
          <w:szCs w:val="21"/>
        </w:rPr>
      </w:pPr>
      <w:r>
        <w:rPr>
          <w:rFonts w:hint="eastAsia" w:ascii="宋体" w:hAnsi="宋体"/>
          <w:szCs w:val="21"/>
        </w:rPr>
        <w:t>三是更快更好的惠民生、保民安。通过智慧社区智能感知系统建设，能够及时掌握外来人员和流动人口的情况，更加科学合理地配置公共服务资源，为他们提供更多的关怀和帮助。同时也能及时发现影响社区安全的各类风险因素，对可能发生的各类违法犯罪案件进行预警防范，对违反犯罪人员进行更加精准的打击，更好地保护社区和群众安全。</w:t>
      </w:r>
    </w:p>
    <w:p>
      <w:pPr>
        <w:pStyle w:val="39"/>
        <w:widowControl w:val="0"/>
        <w:spacing w:line="360" w:lineRule="auto"/>
        <w:rPr>
          <w:lang w:eastAsia="zh-CN"/>
        </w:rPr>
      </w:pPr>
      <w:bookmarkStart w:id="114" w:name="_Toc26144"/>
      <w:r>
        <w:rPr>
          <w:rFonts w:hint="eastAsia"/>
          <w:lang w:eastAsia="zh-CN"/>
        </w:rPr>
        <w:t>建设依据</w:t>
      </w:r>
      <w:bookmarkEnd w:id="114"/>
    </w:p>
    <w:p>
      <w:pPr>
        <w:tabs>
          <w:tab w:val="left" w:pos="0"/>
        </w:tabs>
        <w:spacing w:line="420" w:lineRule="exact"/>
        <w:ind w:firstLine="420" w:firstLineChars="200"/>
        <w:rPr>
          <w:rFonts w:ascii="宋体" w:hAnsi="宋体"/>
          <w:szCs w:val="21"/>
        </w:rPr>
      </w:pPr>
      <w:r>
        <w:rPr>
          <w:rFonts w:hint="eastAsia" w:ascii="宋体" w:hAnsi="宋体"/>
          <w:szCs w:val="21"/>
        </w:rPr>
        <w:t>社会治安防控体系实战业务应用系统技术规范（第4.1部分：智慧安防小区管控系统通用技术要求）</w:t>
      </w:r>
    </w:p>
    <w:p>
      <w:pPr>
        <w:tabs>
          <w:tab w:val="left" w:pos="0"/>
        </w:tabs>
        <w:spacing w:line="420" w:lineRule="exact"/>
        <w:ind w:firstLine="420" w:firstLineChars="200"/>
        <w:rPr>
          <w:rFonts w:ascii="宋体" w:hAnsi="宋体"/>
          <w:szCs w:val="21"/>
        </w:rPr>
      </w:pPr>
      <w:r>
        <w:rPr>
          <w:rFonts w:hint="eastAsia" w:ascii="宋体" w:hAnsi="宋体"/>
          <w:szCs w:val="21"/>
        </w:rPr>
        <w:t>社会治安防控体系实战业务应用系统技术规范（第4.2部分：智慧安防小区管控系统接口协议要求）</w:t>
      </w:r>
    </w:p>
    <w:p>
      <w:pPr>
        <w:tabs>
          <w:tab w:val="left" w:pos="0"/>
        </w:tabs>
        <w:spacing w:line="420" w:lineRule="exact"/>
        <w:ind w:firstLine="420" w:firstLineChars="200"/>
        <w:rPr>
          <w:rFonts w:ascii="宋体" w:hAnsi="宋体"/>
          <w:szCs w:val="21"/>
        </w:rPr>
      </w:pPr>
      <w:r>
        <w:rPr>
          <w:rFonts w:hint="eastAsia" w:ascii="宋体" w:hAnsi="宋体"/>
          <w:szCs w:val="21"/>
        </w:rPr>
        <w:t>社会治安防控体系实战业务应用系统技术规范（第4.3部分：智慧安防小区管控信息数据项）</w:t>
      </w:r>
    </w:p>
    <w:p>
      <w:pPr>
        <w:tabs>
          <w:tab w:val="left" w:pos="0"/>
        </w:tabs>
        <w:spacing w:line="420" w:lineRule="exact"/>
        <w:ind w:firstLine="420" w:firstLineChars="200"/>
        <w:rPr>
          <w:rFonts w:ascii="宋体" w:hAnsi="宋体"/>
          <w:szCs w:val="21"/>
        </w:rPr>
      </w:pPr>
      <w:r>
        <w:rPr>
          <w:rFonts w:hint="eastAsia" w:ascii="宋体" w:hAnsi="宋体"/>
          <w:szCs w:val="21"/>
        </w:rPr>
        <w:t>《安全防范视频监控联网系统传输、交换、控制技术要求》（GB/T28181-2016）</w:t>
      </w:r>
    </w:p>
    <w:p>
      <w:pPr>
        <w:tabs>
          <w:tab w:val="left" w:pos="0"/>
        </w:tabs>
        <w:spacing w:line="420" w:lineRule="exact"/>
        <w:ind w:firstLine="420" w:firstLineChars="200"/>
        <w:rPr>
          <w:rFonts w:ascii="宋体" w:hAnsi="宋体"/>
          <w:szCs w:val="21"/>
        </w:rPr>
      </w:pPr>
      <w:r>
        <w:rPr>
          <w:rFonts w:hint="eastAsia" w:ascii="宋体" w:hAnsi="宋体"/>
          <w:szCs w:val="21"/>
        </w:rPr>
        <w:t>《公安视频图像分析系统第1部分：通用技术要求》（GA/T1399.1-2017）</w:t>
      </w:r>
    </w:p>
    <w:p>
      <w:pPr>
        <w:tabs>
          <w:tab w:val="left" w:pos="0"/>
        </w:tabs>
        <w:spacing w:line="420" w:lineRule="exact"/>
        <w:ind w:firstLine="420" w:firstLineChars="200"/>
        <w:rPr>
          <w:rFonts w:ascii="宋体" w:hAnsi="宋体"/>
          <w:szCs w:val="21"/>
        </w:rPr>
      </w:pPr>
      <w:r>
        <w:rPr>
          <w:rFonts w:hint="eastAsia" w:ascii="宋体" w:hAnsi="宋体"/>
          <w:szCs w:val="21"/>
        </w:rPr>
        <w:t>《公安视频图像分析系统第2部分：视频图像内容分析及描述技术要求》（GA/T1399.2-2017）</w:t>
      </w:r>
    </w:p>
    <w:p>
      <w:pPr>
        <w:tabs>
          <w:tab w:val="left" w:pos="0"/>
        </w:tabs>
        <w:spacing w:line="420" w:lineRule="exact"/>
        <w:ind w:firstLine="420" w:firstLineChars="200"/>
        <w:rPr>
          <w:rFonts w:ascii="宋体" w:hAnsi="宋体"/>
          <w:szCs w:val="21"/>
        </w:rPr>
      </w:pPr>
      <w:r>
        <w:rPr>
          <w:rFonts w:hint="eastAsia" w:ascii="宋体" w:hAnsi="宋体"/>
          <w:szCs w:val="21"/>
        </w:rPr>
        <w:t>《公安视频图像信息应用系统第1部分：通用技术要求》（GA/T1400.1-2017）</w:t>
      </w:r>
    </w:p>
    <w:p>
      <w:pPr>
        <w:tabs>
          <w:tab w:val="left" w:pos="0"/>
        </w:tabs>
        <w:spacing w:line="420" w:lineRule="exact"/>
        <w:ind w:firstLine="420" w:firstLineChars="200"/>
        <w:rPr>
          <w:rFonts w:ascii="宋体" w:hAnsi="宋体"/>
          <w:szCs w:val="21"/>
        </w:rPr>
      </w:pPr>
      <w:r>
        <w:rPr>
          <w:rFonts w:hint="eastAsia" w:ascii="宋体" w:hAnsi="宋体"/>
          <w:szCs w:val="21"/>
        </w:rPr>
        <w:t>《公安视频图像信息应用系统第2部分：应用平台技术要求》（GA/T1400.2-2017）</w:t>
      </w:r>
    </w:p>
    <w:p>
      <w:pPr>
        <w:tabs>
          <w:tab w:val="left" w:pos="0"/>
        </w:tabs>
        <w:spacing w:line="420" w:lineRule="exact"/>
        <w:ind w:firstLine="420" w:firstLineChars="200"/>
        <w:rPr>
          <w:rFonts w:ascii="宋体" w:hAnsi="宋体"/>
          <w:szCs w:val="21"/>
        </w:rPr>
      </w:pPr>
      <w:r>
        <w:rPr>
          <w:rFonts w:hint="eastAsia" w:ascii="宋体" w:hAnsi="宋体"/>
          <w:szCs w:val="21"/>
        </w:rPr>
        <w:t>《公安视频图像信息应用系统第3部分：数据库技术要求》（GA/T1400.3-2017）</w:t>
      </w:r>
    </w:p>
    <w:p>
      <w:pPr>
        <w:tabs>
          <w:tab w:val="left" w:pos="0"/>
        </w:tabs>
        <w:spacing w:line="420" w:lineRule="exact"/>
        <w:ind w:firstLine="420" w:firstLineChars="200"/>
        <w:rPr>
          <w:rFonts w:ascii="宋体" w:hAnsi="宋体"/>
          <w:szCs w:val="21"/>
        </w:rPr>
      </w:pPr>
      <w:r>
        <w:rPr>
          <w:rFonts w:hint="eastAsia" w:ascii="宋体" w:hAnsi="宋体"/>
          <w:szCs w:val="21"/>
        </w:rPr>
        <w:t>《公安视频图像信息应用系统第4部分：接口协议要求》（GA/T1400.4-2017）</w:t>
      </w:r>
    </w:p>
    <w:p>
      <w:pPr>
        <w:tabs>
          <w:tab w:val="left" w:pos="0"/>
        </w:tabs>
        <w:spacing w:line="420" w:lineRule="exact"/>
        <w:ind w:firstLine="420" w:firstLineChars="200"/>
        <w:rPr>
          <w:rFonts w:ascii="宋体" w:hAnsi="宋体"/>
          <w:szCs w:val="21"/>
        </w:rPr>
      </w:pPr>
      <w:r>
        <w:rPr>
          <w:rFonts w:hint="eastAsia" w:ascii="宋体" w:hAnsi="宋体"/>
          <w:szCs w:val="21"/>
        </w:rPr>
        <w:t xml:space="preserve">《安全防范工程技术标准》（GB50348-2018） </w:t>
      </w:r>
    </w:p>
    <w:p>
      <w:pPr>
        <w:tabs>
          <w:tab w:val="left" w:pos="0"/>
        </w:tabs>
        <w:spacing w:line="420" w:lineRule="exact"/>
        <w:ind w:firstLine="420" w:firstLineChars="200"/>
        <w:rPr>
          <w:rFonts w:ascii="宋体" w:hAnsi="宋体"/>
          <w:szCs w:val="21"/>
        </w:rPr>
      </w:pPr>
      <w:r>
        <w:rPr>
          <w:rFonts w:hint="eastAsia" w:ascii="宋体" w:hAnsi="宋体"/>
          <w:szCs w:val="21"/>
        </w:rPr>
        <w:t xml:space="preserve">《视频安防监控系统工程设计规范》（GB50395-2007） </w:t>
      </w:r>
    </w:p>
    <w:p>
      <w:pPr>
        <w:tabs>
          <w:tab w:val="left" w:pos="0"/>
        </w:tabs>
        <w:spacing w:line="420" w:lineRule="exact"/>
        <w:ind w:firstLine="420" w:firstLineChars="200"/>
        <w:rPr>
          <w:rFonts w:ascii="宋体" w:hAnsi="宋体"/>
          <w:szCs w:val="21"/>
        </w:rPr>
      </w:pPr>
      <w:r>
        <w:rPr>
          <w:rFonts w:hint="eastAsia" w:ascii="宋体" w:hAnsi="宋体"/>
          <w:szCs w:val="21"/>
        </w:rPr>
        <w:t>《视频安防监控系统技术要求》（GB/T367-2001）</w:t>
      </w:r>
    </w:p>
    <w:p>
      <w:pPr>
        <w:tabs>
          <w:tab w:val="left" w:pos="0"/>
        </w:tabs>
        <w:spacing w:line="420" w:lineRule="exact"/>
        <w:ind w:firstLine="420" w:firstLineChars="200"/>
        <w:rPr>
          <w:rFonts w:ascii="宋体" w:hAnsi="宋体"/>
          <w:szCs w:val="21"/>
        </w:rPr>
      </w:pPr>
      <w:r>
        <w:rPr>
          <w:rFonts w:hint="eastAsia" w:ascii="宋体" w:hAnsi="宋体"/>
          <w:szCs w:val="21"/>
        </w:rPr>
        <w:t>《建筑物电子信息系统防雷技术规范》（GB50343-2012）</w:t>
      </w:r>
    </w:p>
    <w:p>
      <w:pPr>
        <w:tabs>
          <w:tab w:val="left" w:pos="0"/>
        </w:tabs>
        <w:spacing w:line="420" w:lineRule="exact"/>
        <w:ind w:firstLine="420" w:firstLineChars="200"/>
        <w:rPr>
          <w:rFonts w:ascii="宋体" w:hAnsi="宋体"/>
          <w:szCs w:val="21"/>
        </w:rPr>
      </w:pPr>
      <w:r>
        <w:rPr>
          <w:rFonts w:hint="eastAsia" w:ascii="宋体" w:hAnsi="宋体"/>
          <w:szCs w:val="21"/>
        </w:rPr>
        <w:t>《民用建筑电气设计规范》（JGJ16-2008）</w:t>
      </w:r>
    </w:p>
    <w:p>
      <w:pPr>
        <w:tabs>
          <w:tab w:val="left" w:pos="0"/>
        </w:tabs>
        <w:spacing w:line="420" w:lineRule="exact"/>
        <w:ind w:firstLine="420" w:firstLineChars="200"/>
        <w:rPr>
          <w:rFonts w:ascii="宋体" w:hAnsi="宋体"/>
          <w:szCs w:val="21"/>
        </w:rPr>
      </w:pPr>
      <w:r>
        <w:rPr>
          <w:rFonts w:hint="eastAsia" w:ascii="宋体" w:hAnsi="宋体"/>
          <w:szCs w:val="21"/>
        </w:rPr>
        <w:t>《城市监控报警联网系统管理标准第1部分：图像信息采集、接入、使用管理要求》（GA/T792.1-2008）</w:t>
      </w:r>
    </w:p>
    <w:p>
      <w:pPr>
        <w:tabs>
          <w:tab w:val="left" w:pos="0"/>
        </w:tabs>
        <w:spacing w:line="420" w:lineRule="exact"/>
        <w:ind w:firstLine="420" w:firstLineChars="200"/>
        <w:rPr>
          <w:rFonts w:ascii="宋体" w:hAnsi="宋体"/>
          <w:szCs w:val="21"/>
        </w:rPr>
      </w:pPr>
      <w:r>
        <w:rPr>
          <w:rFonts w:hint="eastAsia" w:ascii="宋体" w:hAnsi="宋体"/>
          <w:szCs w:val="21"/>
        </w:rPr>
        <w:t>《城市监控报警联网系统通用技术要求》（GA/T669-2008）</w:t>
      </w:r>
    </w:p>
    <w:p>
      <w:pPr>
        <w:pStyle w:val="39"/>
        <w:widowControl w:val="0"/>
        <w:spacing w:line="360" w:lineRule="auto"/>
        <w:rPr>
          <w:lang w:eastAsia="zh-CN"/>
        </w:rPr>
      </w:pPr>
      <w:bookmarkStart w:id="115" w:name="_Toc29690"/>
      <w:r>
        <w:rPr>
          <w:rFonts w:hint="eastAsia"/>
          <w:lang w:eastAsia="zh-CN"/>
        </w:rPr>
        <w:t>建设范围</w:t>
      </w:r>
      <w:bookmarkEnd w:id="115"/>
    </w:p>
    <w:p>
      <w:pPr>
        <w:tabs>
          <w:tab w:val="left" w:pos="0"/>
        </w:tabs>
        <w:spacing w:line="420" w:lineRule="exact"/>
        <w:ind w:firstLine="420" w:firstLineChars="200"/>
        <w:rPr>
          <w:rFonts w:ascii="宋体" w:hAnsi="宋体"/>
          <w:szCs w:val="21"/>
        </w:rPr>
      </w:pPr>
      <w:r>
        <w:rPr>
          <w:rFonts w:hint="eastAsia" w:ascii="宋体" w:hAnsi="宋体"/>
          <w:szCs w:val="21"/>
        </w:rPr>
        <w:t>海曙区10个街道乡镇的90个老旧小区，其中4个小区为2020年续建项目，2021年新改建为86个小区。</w:t>
      </w:r>
    </w:p>
    <w:tbl>
      <w:tblPr>
        <w:tblStyle w:val="14"/>
        <w:tblW w:w="9240" w:type="dxa"/>
        <w:tblInd w:w="93" w:type="dxa"/>
        <w:tblLayout w:type="autofit"/>
        <w:tblCellMar>
          <w:top w:w="0" w:type="dxa"/>
          <w:left w:w="108" w:type="dxa"/>
          <w:bottom w:w="0" w:type="dxa"/>
          <w:right w:w="108" w:type="dxa"/>
        </w:tblCellMar>
      </w:tblPr>
      <w:tblGrid>
        <w:gridCol w:w="945"/>
        <w:gridCol w:w="1620"/>
        <w:gridCol w:w="2805"/>
        <w:gridCol w:w="3870"/>
      </w:tblGrid>
      <w:tr>
        <w:tblPrEx>
          <w:tblCellMar>
            <w:top w:w="0" w:type="dxa"/>
            <w:left w:w="108" w:type="dxa"/>
            <w:bottom w:w="0" w:type="dxa"/>
            <w:right w:w="108" w:type="dxa"/>
          </w:tblCellMar>
        </w:tblPrEx>
        <w:trPr>
          <w:trHeight w:val="680" w:hRule="atLeast"/>
        </w:trPr>
        <w:tc>
          <w:tcPr>
            <w:tcW w:w="9240" w:type="dxa"/>
            <w:gridSpan w:val="4"/>
            <w:tcBorders>
              <w:top w:val="nil"/>
              <w:left w:val="nil"/>
              <w:bottom w:val="nil"/>
              <w:right w:val="nil"/>
            </w:tcBorders>
            <w:noWrap w:val="0"/>
            <w:vAlign w:val="center"/>
          </w:tcPr>
          <w:p>
            <w:pPr>
              <w:jc w:val="center"/>
              <w:textAlignment w:val="center"/>
              <w:rPr>
                <w:rFonts w:ascii="宋体" w:hAnsi="宋体" w:cs="宋体"/>
                <w:b/>
                <w:bCs/>
                <w:color w:val="000000"/>
                <w:sz w:val="21"/>
                <w:szCs w:val="21"/>
              </w:rPr>
            </w:pPr>
            <w:r>
              <w:rPr>
                <w:rFonts w:hint="eastAsia" w:ascii="宋体" w:hAnsi="宋体" w:cs="宋体"/>
                <w:b/>
                <w:bCs/>
                <w:color w:val="000000"/>
                <w:sz w:val="21"/>
                <w:szCs w:val="21"/>
              </w:rPr>
              <w:t>2021年海曙区城镇老旧小区改造计划情况明细表</w:t>
            </w:r>
          </w:p>
        </w:tc>
      </w:tr>
      <w:tr>
        <w:tblPrEx>
          <w:tblCellMar>
            <w:top w:w="0" w:type="dxa"/>
            <w:left w:w="108" w:type="dxa"/>
            <w:bottom w:w="0" w:type="dxa"/>
            <w:right w:w="108" w:type="dxa"/>
          </w:tblCellMar>
        </w:tblPrEx>
        <w:trPr>
          <w:trHeight w:val="311" w:hRule="atLeast"/>
        </w:trPr>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楷体" w:hAnsi="楷体" w:eastAsia="楷体" w:cs="楷体"/>
                <w:b/>
                <w:bCs/>
                <w:color w:val="000000"/>
                <w:sz w:val="21"/>
                <w:szCs w:val="21"/>
              </w:rPr>
            </w:pPr>
            <w:r>
              <w:rPr>
                <w:rFonts w:hint="eastAsia" w:ascii="楷体" w:hAnsi="楷体" w:eastAsia="楷体" w:cs="楷体"/>
                <w:b/>
                <w:bCs/>
                <w:color w:val="000000"/>
                <w:sz w:val="21"/>
                <w:szCs w:val="21"/>
              </w:rPr>
              <w:t>序号</w:t>
            </w:r>
          </w:p>
        </w:tc>
        <w:tc>
          <w:tcPr>
            <w:tcW w:w="162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楷体" w:hAnsi="楷体" w:eastAsia="楷体" w:cs="楷体"/>
                <w:b/>
                <w:bCs/>
                <w:color w:val="000000"/>
                <w:sz w:val="21"/>
                <w:szCs w:val="21"/>
              </w:rPr>
            </w:pPr>
            <w:r>
              <w:rPr>
                <w:rFonts w:hint="eastAsia" w:ascii="楷体" w:hAnsi="楷体" w:eastAsia="楷体" w:cs="楷体"/>
                <w:b/>
                <w:bCs/>
                <w:color w:val="000000"/>
                <w:sz w:val="21"/>
                <w:szCs w:val="21"/>
              </w:rPr>
              <w:t>地区</w:t>
            </w:r>
          </w:p>
        </w:tc>
        <w:tc>
          <w:tcPr>
            <w:tcW w:w="280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楷体" w:hAnsi="楷体" w:eastAsia="楷体" w:cs="楷体"/>
                <w:b/>
                <w:bCs/>
                <w:color w:val="000000"/>
                <w:sz w:val="21"/>
                <w:szCs w:val="21"/>
              </w:rPr>
            </w:pPr>
            <w:r>
              <w:rPr>
                <w:rFonts w:hint="eastAsia" w:ascii="楷体" w:hAnsi="楷体" w:eastAsia="楷体" w:cs="楷体"/>
                <w:b/>
                <w:bCs/>
                <w:color w:val="000000"/>
                <w:sz w:val="21"/>
                <w:szCs w:val="21"/>
              </w:rPr>
              <w:t>所在街道及社区</w:t>
            </w:r>
          </w:p>
        </w:tc>
        <w:tc>
          <w:tcPr>
            <w:tcW w:w="387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楷体" w:hAnsi="楷体" w:eastAsia="楷体" w:cs="楷体"/>
                <w:b/>
                <w:bCs/>
                <w:color w:val="000000"/>
                <w:sz w:val="21"/>
                <w:szCs w:val="21"/>
              </w:rPr>
            </w:pPr>
            <w:r>
              <w:rPr>
                <w:rFonts w:hint="eastAsia" w:ascii="楷体" w:hAnsi="楷体" w:eastAsia="楷体" w:cs="楷体"/>
                <w:b/>
                <w:bCs/>
                <w:color w:val="000000"/>
                <w:sz w:val="21"/>
                <w:szCs w:val="21"/>
              </w:rPr>
              <w:t>小区名称</w:t>
            </w:r>
          </w:p>
        </w:tc>
      </w:tr>
      <w:tr>
        <w:tblPrEx>
          <w:tblCellMar>
            <w:top w:w="0" w:type="dxa"/>
            <w:left w:w="108" w:type="dxa"/>
            <w:bottom w:w="0" w:type="dxa"/>
            <w:right w:w="108" w:type="dxa"/>
          </w:tblCellMar>
        </w:tblPrEx>
        <w:trPr>
          <w:trHeight w:val="311"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楷体" w:hAnsi="楷体" w:eastAsia="楷体" w:cs="楷体"/>
                <w:b/>
                <w:bCs/>
                <w:color w:val="000000"/>
                <w:sz w:val="21"/>
                <w:szCs w:val="21"/>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楷体" w:hAnsi="楷体" w:eastAsia="楷体" w:cs="楷体"/>
                <w:b/>
                <w:bCs/>
                <w:color w:val="000000"/>
                <w:sz w:val="21"/>
                <w:szCs w:val="21"/>
              </w:rPr>
            </w:pPr>
          </w:p>
        </w:tc>
        <w:tc>
          <w:tcPr>
            <w:tcW w:w="28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楷体" w:hAnsi="楷体" w:eastAsia="楷体" w:cs="楷体"/>
                <w:b/>
                <w:bCs/>
                <w:color w:val="000000"/>
                <w:sz w:val="21"/>
                <w:szCs w:val="21"/>
              </w:rPr>
            </w:pPr>
          </w:p>
        </w:tc>
        <w:tc>
          <w:tcPr>
            <w:tcW w:w="3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楷体" w:hAnsi="楷体" w:eastAsia="楷体" w:cs="楷体"/>
                <w:b/>
                <w:bCs/>
                <w:color w:val="000000"/>
                <w:sz w:val="21"/>
                <w:szCs w:val="21"/>
              </w:rPr>
            </w:pPr>
          </w:p>
        </w:tc>
      </w:tr>
      <w:tr>
        <w:tblPrEx>
          <w:tblCellMar>
            <w:top w:w="0" w:type="dxa"/>
            <w:left w:w="108" w:type="dxa"/>
            <w:bottom w:w="0" w:type="dxa"/>
            <w:right w:w="108" w:type="dxa"/>
          </w:tblCellMar>
        </w:tblPrEx>
        <w:trPr>
          <w:trHeight w:val="420" w:hRule="atLeast"/>
        </w:trPr>
        <w:tc>
          <w:tcPr>
            <w:tcW w:w="924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楷体" w:hAnsi="楷体" w:eastAsia="楷体" w:cs="楷体"/>
                <w:b/>
                <w:bCs/>
                <w:color w:val="000000"/>
                <w:sz w:val="21"/>
                <w:szCs w:val="21"/>
              </w:rPr>
            </w:pPr>
            <w:r>
              <w:rPr>
                <w:rFonts w:hint="eastAsia" w:ascii="楷体" w:hAnsi="楷体" w:eastAsia="楷体" w:cs="楷体"/>
                <w:b/>
                <w:bCs/>
                <w:color w:val="000000"/>
                <w:sz w:val="21"/>
                <w:szCs w:val="21"/>
              </w:rPr>
              <w:t>西门街道</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西门街道柳庄社区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城市广场（2020年项目，2021年建设）</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西门街道汪弄社区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汪弄小区</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西门街道汪弄社区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人丰小区</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西门街道新高社区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高塘人家</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西门街道新高社区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高塘怡景苑</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西门街道北郊社区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白鹭园小区</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西门街道永丰社区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望京人文</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西门街道北郊社区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东方花园</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西门街道北郊社区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高塘公寓</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10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西门街道新高社区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新高路47弄</w:t>
            </w:r>
          </w:p>
        </w:tc>
      </w:tr>
      <w:tr>
        <w:tblPrEx>
          <w:tblCellMar>
            <w:top w:w="0" w:type="dxa"/>
            <w:left w:w="108" w:type="dxa"/>
            <w:bottom w:w="0" w:type="dxa"/>
            <w:right w:w="108"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11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西门街道文化社区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文化路零星</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12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西门街道胜丰社区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胜丰小区</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13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西门街道胜丰社区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中山雅园</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14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西门街道新芝社区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新芝小区</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15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西门街道新芝社区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西湾小区</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16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西门街道新芝社区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西河花园</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17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西门街道翠中社区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西湾路69弄</w:t>
            </w:r>
          </w:p>
        </w:tc>
      </w:tr>
      <w:tr>
        <w:tblPrEx>
          <w:tblCellMar>
            <w:top w:w="0" w:type="dxa"/>
            <w:left w:w="108" w:type="dxa"/>
            <w:bottom w:w="0" w:type="dxa"/>
            <w:right w:w="108" w:type="dxa"/>
          </w:tblCellMar>
        </w:tblPrEx>
        <w:trPr>
          <w:trHeight w:val="420" w:hRule="atLeast"/>
        </w:trPr>
        <w:tc>
          <w:tcPr>
            <w:tcW w:w="924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楷体" w:hAnsi="楷体" w:eastAsia="楷体" w:cs="楷体"/>
                <w:b/>
                <w:bCs/>
                <w:color w:val="000000"/>
                <w:sz w:val="21"/>
                <w:szCs w:val="21"/>
              </w:rPr>
            </w:pPr>
            <w:r>
              <w:rPr>
                <w:rFonts w:hint="eastAsia" w:ascii="楷体" w:hAnsi="楷体" w:eastAsia="楷体" w:cs="楷体"/>
                <w:b/>
                <w:bCs/>
                <w:color w:val="000000"/>
                <w:sz w:val="21"/>
                <w:szCs w:val="21"/>
              </w:rPr>
              <w:t>望春街道</w:t>
            </w:r>
          </w:p>
        </w:tc>
      </w:tr>
      <w:tr>
        <w:tblPrEx>
          <w:tblCellMar>
            <w:top w:w="0" w:type="dxa"/>
            <w:left w:w="108" w:type="dxa"/>
            <w:bottom w:w="0" w:type="dxa"/>
            <w:right w:w="108"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望春街道泰安社区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广安里一期+景泰里</w:t>
            </w:r>
          </w:p>
        </w:tc>
      </w:tr>
      <w:tr>
        <w:tblPrEx>
          <w:tblCellMar>
            <w:top w:w="0" w:type="dxa"/>
            <w:left w:w="108" w:type="dxa"/>
            <w:bottom w:w="0" w:type="dxa"/>
            <w:right w:w="108"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望春街道泰安社区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广安里二期</w:t>
            </w:r>
          </w:p>
        </w:tc>
      </w:tr>
      <w:tr>
        <w:tblPrEx>
          <w:tblCellMar>
            <w:top w:w="0" w:type="dxa"/>
            <w:left w:w="108" w:type="dxa"/>
            <w:bottom w:w="0" w:type="dxa"/>
            <w:right w:w="108" w:type="dxa"/>
          </w:tblCellMar>
        </w:tblPrEx>
        <w:trPr>
          <w:trHeight w:val="66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新增</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望春街道泰天一家园社区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天一家园</w:t>
            </w:r>
          </w:p>
        </w:tc>
      </w:tr>
      <w:tr>
        <w:tblPrEx>
          <w:tblCellMar>
            <w:top w:w="0" w:type="dxa"/>
            <w:left w:w="108" w:type="dxa"/>
            <w:bottom w:w="0" w:type="dxa"/>
            <w:right w:w="108"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望春街道新星社区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清林闲庭</w:t>
            </w:r>
          </w:p>
        </w:tc>
      </w:tr>
      <w:tr>
        <w:tblPrEx>
          <w:tblCellMar>
            <w:top w:w="0" w:type="dxa"/>
            <w:left w:w="108" w:type="dxa"/>
            <w:bottom w:w="0" w:type="dxa"/>
            <w:right w:w="108"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望春街道泰安社区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六和嘉园</w:t>
            </w:r>
          </w:p>
        </w:tc>
      </w:tr>
      <w:tr>
        <w:tblPrEx>
          <w:tblCellMar>
            <w:top w:w="0" w:type="dxa"/>
            <w:left w:w="108" w:type="dxa"/>
            <w:bottom w:w="0" w:type="dxa"/>
            <w:right w:w="108"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望春街道泰安社区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胜丰佳苑</w:t>
            </w:r>
          </w:p>
        </w:tc>
      </w:tr>
      <w:tr>
        <w:tblPrEx>
          <w:tblCellMar>
            <w:top w:w="0" w:type="dxa"/>
            <w:left w:w="108" w:type="dxa"/>
            <w:bottom w:w="0" w:type="dxa"/>
            <w:right w:w="108"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望春街道广安社区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永和居易</w:t>
            </w:r>
          </w:p>
        </w:tc>
      </w:tr>
      <w:tr>
        <w:tblPrEx>
          <w:tblCellMar>
            <w:top w:w="0" w:type="dxa"/>
            <w:left w:w="108" w:type="dxa"/>
            <w:bottom w:w="0" w:type="dxa"/>
            <w:right w:w="108" w:type="dxa"/>
          </w:tblCellMar>
        </w:tblPrEx>
        <w:trPr>
          <w:trHeight w:val="600" w:hRule="atLeast"/>
        </w:trPr>
        <w:tc>
          <w:tcPr>
            <w:tcW w:w="924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楷体" w:hAnsi="楷体" w:eastAsia="楷体" w:cs="楷体"/>
                <w:b/>
                <w:bCs/>
                <w:color w:val="000000"/>
                <w:sz w:val="21"/>
                <w:szCs w:val="21"/>
              </w:rPr>
            </w:pPr>
            <w:r>
              <w:rPr>
                <w:rFonts w:hint="eastAsia" w:ascii="楷体" w:hAnsi="楷体" w:eastAsia="楷体" w:cs="楷体"/>
                <w:b/>
                <w:bCs/>
                <w:color w:val="000000"/>
                <w:sz w:val="21"/>
                <w:szCs w:val="21"/>
              </w:rPr>
              <w:t>段塘街道</w:t>
            </w:r>
          </w:p>
        </w:tc>
      </w:tr>
      <w:tr>
        <w:tblPrEx>
          <w:tblCellMar>
            <w:top w:w="0" w:type="dxa"/>
            <w:left w:w="108" w:type="dxa"/>
            <w:bottom w:w="0" w:type="dxa"/>
            <w:right w:w="108"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段塘街道南塘社区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南苑街148弄</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段塘街道南苑社区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南苑南区</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段塘街道新典社区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启文花园</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段塘街道新典社区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花苑新村</w:t>
            </w:r>
          </w:p>
        </w:tc>
      </w:tr>
      <w:tr>
        <w:tblPrEx>
          <w:tblCellMar>
            <w:top w:w="0" w:type="dxa"/>
            <w:left w:w="108" w:type="dxa"/>
            <w:bottom w:w="0" w:type="dxa"/>
            <w:right w:w="108"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段塘街道雄镇社区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牡丹新村</w:t>
            </w:r>
          </w:p>
        </w:tc>
      </w:tr>
      <w:tr>
        <w:tblPrEx>
          <w:tblCellMar>
            <w:top w:w="0" w:type="dxa"/>
            <w:left w:w="108" w:type="dxa"/>
            <w:bottom w:w="0" w:type="dxa"/>
            <w:right w:w="108" w:type="dxa"/>
          </w:tblCellMar>
        </w:tblPrEx>
        <w:trPr>
          <w:trHeight w:val="420" w:hRule="atLeast"/>
        </w:trPr>
        <w:tc>
          <w:tcPr>
            <w:tcW w:w="924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楷体" w:hAnsi="楷体" w:eastAsia="楷体" w:cs="楷体"/>
                <w:b/>
                <w:bCs/>
                <w:color w:val="000000"/>
                <w:sz w:val="21"/>
                <w:szCs w:val="21"/>
              </w:rPr>
            </w:pPr>
            <w:r>
              <w:rPr>
                <w:rFonts w:hint="eastAsia" w:ascii="楷体" w:hAnsi="楷体" w:eastAsia="楷体" w:cs="楷体"/>
                <w:b/>
                <w:bCs/>
                <w:color w:val="000000"/>
                <w:sz w:val="21"/>
                <w:szCs w:val="21"/>
              </w:rPr>
              <w:t>南门街道</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南门街道马园社区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柳汀新村（2020年项目，2021年建设）</w:t>
            </w:r>
          </w:p>
        </w:tc>
      </w:tr>
      <w:tr>
        <w:tblPrEx>
          <w:tblCellMar>
            <w:top w:w="0" w:type="dxa"/>
            <w:left w:w="108" w:type="dxa"/>
            <w:bottom w:w="0" w:type="dxa"/>
            <w:right w:w="108"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南门街道马园社区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柳汀新村384号（2020年项目，2021年建设）</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南门街道马园社区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吴家塘（2020年项目，2021年建设）</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南门街道尹江岸社区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尹江一村</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南门街道郎官社区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假山苗圃</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南门街道尹江岸社区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尹江岸三村</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南门街道尹江岸社区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尹江岸二村</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南门街道郎官社区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郎官小区</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南门街道郎官社区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区府住宅（同德楼）</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10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南门街道郎官社区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金谷小区</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11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南门街道迎春社区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苗圃路77弄1—4</w:t>
            </w:r>
          </w:p>
        </w:tc>
      </w:tr>
      <w:tr>
        <w:tblPrEx>
          <w:tblCellMar>
            <w:top w:w="0" w:type="dxa"/>
            <w:left w:w="108" w:type="dxa"/>
            <w:bottom w:w="0" w:type="dxa"/>
            <w:right w:w="108" w:type="dxa"/>
          </w:tblCellMar>
        </w:tblPrEx>
        <w:trPr>
          <w:trHeight w:val="74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12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南门街道郎官、迎春（各4幢）</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马园新村1-8幢</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13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南门街道澄浪社区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汇头巷</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14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南门街道迎春社区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世纪长春</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15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南门街道万安社区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万安小区</w:t>
            </w:r>
          </w:p>
        </w:tc>
      </w:tr>
      <w:tr>
        <w:tblPrEx>
          <w:tblCellMar>
            <w:top w:w="0" w:type="dxa"/>
            <w:left w:w="108" w:type="dxa"/>
            <w:bottom w:w="0" w:type="dxa"/>
            <w:right w:w="108" w:type="dxa"/>
          </w:tblCellMar>
        </w:tblPrEx>
        <w:trPr>
          <w:trHeight w:val="36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16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南门街道万安社区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文化家园</w:t>
            </w:r>
          </w:p>
        </w:tc>
      </w:tr>
      <w:tr>
        <w:tblPrEx>
          <w:tblCellMar>
            <w:top w:w="0" w:type="dxa"/>
            <w:left w:w="108" w:type="dxa"/>
            <w:bottom w:w="0" w:type="dxa"/>
            <w:right w:w="108" w:type="dxa"/>
          </w:tblCellMar>
        </w:tblPrEx>
        <w:trPr>
          <w:trHeight w:val="56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17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南门街道柳锦社区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柳锦花园</w:t>
            </w:r>
          </w:p>
        </w:tc>
      </w:tr>
      <w:tr>
        <w:tblPrEx>
          <w:tblCellMar>
            <w:top w:w="0" w:type="dxa"/>
            <w:left w:w="108" w:type="dxa"/>
            <w:bottom w:w="0" w:type="dxa"/>
            <w:right w:w="108" w:type="dxa"/>
          </w:tblCellMar>
        </w:tblPrEx>
        <w:trPr>
          <w:trHeight w:val="36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18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南门街道车站社区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柳汀花苑</w:t>
            </w:r>
          </w:p>
        </w:tc>
      </w:tr>
      <w:tr>
        <w:tblPrEx>
          <w:tblCellMar>
            <w:top w:w="0" w:type="dxa"/>
            <w:left w:w="108" w:type="dxa"/>
            <w:bottom w:w="0" w:type="dxa"/>
            <w:right w:w="108" w:type="dxa"/>
          </w:tblCellMar>
        </w:tblPrEx>
        <w:trPr>
          <w:trHeight w:val="36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19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南门街道澄浪社区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星河湾公寓</w:t>
            </w:r>
          </w:p>
        </w:tc>
      </w:tr>
      <w:tr>
        <w:tblPrEx>
          <w:tblCellMar>
            <w:top w:w="0" w:type="dxa"/>
            <w:left w:w="108" w:type="dxa"/>
            <w:bottom w:w="0" w:type="dxa"/>
            <w:right w:w="108" w:type="dxa"/>
          </w:tblCellMar>
        </w:tblPrEx>
        <w:trPr>
          <w:trHeight w:val="36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20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南门街道马园社区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武警宿舍</w:t>
            </w:r>
          </w:p>
        </w:tc>
      </w:tr>
      <w:tr>
        <w:tblPrEx>
          <w:tblCellMar>
            <w:top w:w="0" w:type="dxa"/>
            <w:left w:w="108" w:type="dxa"/>
            <w:bottom w:w="0" w:type="dxa"/>
            <w:right w:w="108" w:type="dxa"/>
          </w:tblCellMar>
        </w:tblPrEx>
        <w:trPr>
          <w:trHeight w:val="420" w:hRule="atLeast"/>
        </w:trPr>
        <w:tc>
          <w:tcPr>
            <w:tcW w:w="924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楷体" w:hAnsi="楷体" w:eastAsia="楷体" w:cs="楷体"/>
                <w:b/>
                <w:bCs/>
                <w:color w:val="000000"/>
                <w:sz w:val="21"/>
                <w:szCs w:val="21"/>
              </w:rPr>
            </w:pPr>
            <w:r>
              <w:rPr>
                <w:rFonts w:hint="eastAsia" w:ascii="楷体" w:hAnsi="楷体" w:eastAsia="楷体" w:cs="楷体"/>
                <w:b/>
                <w:bCs/>
                <w:color w:val="000000"/>
                <w:sz w:val="21"/>
                <w:szCs w:val="21"/>
              </w:rPr>
              <w:t>月湖街道</w:t>
            </w:r>
          </w:p>
        </w:tc>
      </w:tr>
      <w:tr>
        <w:tblPrEx>
          <w:tblCellMar>
            <w:top w:w="0" w:type="dxa"/>
            <w:left w:w="108" w:type="dxa"/>
            <w:bottom w:w="0" w:type="dxa"/>
            <w:right w:w="108" w:type="dxa"/>
          </w:tblCellMar>
        </w:tblPrEx>
        <w:trPr>
          <w:trHeight w:val="80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月湖街道梅园社区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紫金梅园小区</w:t>
            </w:r>
          </w:p>
        </w:tc>
      </w:tr>
      <w:tr>
        <w:tblPrEx>
          <w:tblCellMar>
            <w:top w:w="0" w:type="dxa"/>
            <w:left w:w="108" w:type="dxa"/>
            <w:bottom w:w="0" w:type="dxa"/>
            <w:right w:w="108" w:type="dxa"/>
          </w:tblCellMar>
        </w:tblPrEx>
        <w:trPr>
          <w:trHeight w:val="48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月湖街道梅园社区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三支街48.54.62号</w:t>
            </w:r>
          </w:p>
        </w:tc>
      </w:tr>
      <w:tr>
        <w:tblPrEx>
          <w:tblCellMar>
            <w:top w:w="0" w:type="dxa"/>
            <w:left w:w="108" w:type="dxa"/>
            <w:bottom w:w="0" w:type="dxa"/>
            <w:right w:w="108" w:type="dxa"/>
          </w:tblCellMar>
        </w:tblPrEx>
        <w:trPr>
          <w:trHeight w:val="48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月湖街道梅园社区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紫金巷（老）30.34.35.36号</w:t>
            </w:r>
          </w:p>
        </w:tc>
      </w:tr>
      <w:tr>
        <w:tblPrEx>
          <w:tblCellMar>
            <w:top w:w="0" w:type="dxa"/>
            <w:left w:w="108" w:type="dxa"/>
            <w:bottom w:w="0" w:type="dxa"/>
            <w:right w:w="108" w:type="dxa"/>
          </w:tblCellMar>
        </w:tblPrEx>
        <w:trPr>
          <w:trHeight w:val="48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月湖街道梅园社区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三支街（老）25号、平安巷（老）6号</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月湖街道太阳社区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太阳公寓</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月湖街道太阳社区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月湖人家</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月湖街道太阳社区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仓基街61号</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月湖街道太阳社区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仓基小区</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月湖街道迎凤社区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广济街14.16号</w:t>
            </w:r>
          </w:p>
        </w:tc>
      </w:tr>
      <w:tr>
        <w:tblPrEx>
          <w:tblCellMar>
            <w:top w:w="0" w:type="dxa"/>
            <w:left w:w="108" w:type="dxa"/>
            <w:bottom w:w="0" w:type="dxa"/>
            <w:right w:w="108" w:type="dxa"/>
          </w:tblCellMar>
        </w:tblPrEx>
        <w:trPr>
          <w:trHeight w:val="40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10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月湖街道迎凤社区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游河小区</w:t>
            </w:r>
          </w:p>
        </w:tc>
      </w:tr>
      <w:tr>
        <w:tblPrEx>
          <w:tblCellMar>
            <w:top w:w="0" w:type="dxa"/>
            <w:left w:w="108" w:type="dxa"/>
            <w:bottom w:w="0" w:type="dxa"/>
            <w:right w:w="108" w:type="dxa"/>
          </w:tblCellMar>
        </w:tblPrEx>
        <w:trPr>
          <w:trHeight w:val="66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11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月湖街道迎凤社区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解放南路265、267、269</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12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月湖街道平桥社区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菱池街（凌池西区）</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13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月湖街道平桥社区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菱池东区</w:t>
            </w:r>
          </w:p>
        </w:tc>
      </w:tr>
      <w:tr>
        <w:tblPrEx>
          <w:tblCellMar>
            <w:top w:w="0" w:type="dxa"/>
            <w:left w:w="108" w:type="dxa"/>
            <w:bottom w:w="0" w:type="dxa"/>
            <w:right w:w="108" w:type="dxa"/>
          </w:tblCellMar>
        </w:tblPrEx>
        <w:trPr>
          <w:trHeight w:val="60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14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月湖-天一（桂井）社区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桂井街14.18号</w:t>
            </w:r>
          </w:p>
        </w:tc>
      </w:tr>
      <w:tr>
        <w:tblPrEx>
          <w:tblCellMar>
            <w:top w:w="0" w:type="dxa"/>
            <w:left w:w="108" w:type="dxa"/>
            <w:bottom w:w="0" w:type="dxa"/>
            <w:right w:w="108"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15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月湖街道平桥社区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惠政巷31号</w:t>
            </w:r>
          </w:p>
        </w:tc>
      </w:tr>
      <w:tr>
        <w:tblPrEx>
          <w:tblCellMar>
            <w:top w:w="0" w:type="dxa"/>
            <w:left w:w="108" w:type="dxa"/>
            <w:bottom w:w="0" w:type="dxa"/>
            <w:right w:w="108"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16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月湖街道平桥社区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青石巷1、2号、4-6号、6号-1</w:t>
            </w:r>
          </w:p>
        </w:tc>
      </w:tr>
      <w:tr>
        <w:tblPrEx>
          <w:tblCellMar>
            <w:top w:w="0" w:type="dxa"/>
            <w:left w:w="108" w:type="dxa"/>
            <w:bottom w:w="0" w:type="dxa"/>
            <w:right w:w="108" w:type="dxa"/>
          </w:tblCellMar>
        </w:tblPrEx>
        <w:trPr>
          <w:trHeight w:val="68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17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月湖街道平桥社区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中山西路207号、201弄11-16号中山西路等零星地块</w:t>
            </w:r>
          </w:p>
        </w:tc>
      </w:tr>
      <w:tr>
        <w:tblPrEx>
          <w:tblCellMar>
            <w:top w:w="0" w:type="dxa"/>
            <w:left w:w="108" w:type="dxa"/>
            <w:bottom w:w="0" w:type="dxa"/>
            <w:right w:w="108" w:type="dxa"/>
          </w:tblCellMar>
        </w:tblPrEx>
        <w:trPr>
          <w:trHeight w:val="420" w:hRule="atLeast"/>
        </w:trPr>
        <w:tc>
          <w:tcPr>
            <w:tcW w:w="924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楷体" w:hAnsi="楷体" w:eastAsia="楷体" w:cs="楷体"/>
                <w:b/>
                <w:bCs/>
                <w:color w:val="000000"/>
                <w:sz w:val="21"/>
                <w:szCs w:val="21"/>
              </w:rPr>
            </w:pPr>
            <w:r>
              <w:rPr>
                <w:rFonts w:hint="eastAsia" w:ascii="楷体" w:hAnsi="楷体" w:eastAsia="楷体" w:cs="楷体"/>
                <w:b/>
                <w:bCs/>
                <w:color w:val="000000"/>
                <w:sz w:val="21"/>
                <w:szCs w:val="21"/>
              </w:rPr>
              <w:t>白云街道</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白云街道南雅社区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南雅南光</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白云街道南雅社区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南雅小区</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白云街道南雅社区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海怡花园</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白云街道宝善社区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宝善小区</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白云街道宝善社区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柳汀街617弄等零星住宅</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白云街道白云庄社区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白云一村</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白云街道白云庄社区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文苑风荷</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白云街道云乐社区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欢乐精品园</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白云街道云乐社区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欢乐家园</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10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白云街道宝善社区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柳馨花园</w:t>
            </w:r>
          </w:p>
        </w:tc>
      </w:tr>
      <w:tr>
        <w:tblPrEx>
          <w:tblCellMar>
            <w:top w:w="0" w:type="dxa"/>
            <w:left w:w="108" w:type="dxa"/>
            <w:bottom w:w="0" w:type="dxa"/>
            <w:right w:w="108" w:type="dxa"/>
          </w:tblCellMar>
        </w:tblPrEx>
        <w:trPr>
          <w:trHeight w:val="420" w:hRule="atLeast"/>
        </w:trPr>
        <w:tc>
          <w:tcPr>
            <w:tcW w:w="924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楷体" w:hAnsi="楷体" w:eastAsia="楷体" w:cs="楷体"/>
                <w:b/>
                <w:bCs/>
                <w:color w:val="000000"/>
                <w:sz w:val="21"/>
                <w:szCs w:val="21"/>
              </w:rPr>
            </w:pPr>
            <w:r>
              <w:rPr>
                <w:rFonts w:hint="eastAsia" w:ascii="楷体" w:hAnsi="楷体" w:eastAsia="楷体" w:cs="楷体"/>
                <w:b/>
                <w:bCs/>
                <w:color w:val="000000"/>
                <w:sz w:val="21"/>
                <w:szCs w:val="21"/>
              </w:rPr>
              <w:t>鼓楼街道</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鼓楼街道文昌社区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文昌花园</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鼓楼街道孝闻社区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西河小区</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鼓楼街道孝闻社区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孝闻花园</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鼓楼街道秀水社区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孝闻白衣</w:t>
            </w:r>
          </w:p>
        </w:tc>
      </w:tr>
      <w:tr>
        <w:tblPrEx>
          <w:tblCellMar>
            <w:top w:w="0" w:type="dxa"/>
            <w:left w:w="108" w:type="dxa"/>
            <w:bottom w:w="0" w:type="dxa"/>
            <w:right w:w="108" w:type="dxa"/>
          </w:tblCellMar>
        </w:tblPrEx>
        <w:trPr>
          <w:trHeight w:val="68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鼓楼街道秀水、中山、孝闻社区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2021年零星住宅</w:t>
            </w:r>
          </w:p>
        </w:tc>
      </w:tr>
      <w:tr>
        <w:tblPrEx>
          <w:tblCellMar>
            <w:top w:w="0" w:type="dxa"/>
            <w:left w:w="108" w:type="dxa"/>
            <w:bottom w:w="0" w:type="dxa"/>
            <w:right w:w="108" w:type="dxa"/>
          </w:tblCellMar>
        </w:tblPrEx>
        <w:trPr>
          <w:trHeight w:val="420" w:hRule="atLeast"/>
        </w:trPr>
        <w:tc>
          <w:tcPr>
            <w:tcW w:w="924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楷体" w:hAnsi="楷体" w:eastAsia="楷体" w:cs="楷体"/>
                <w:b/>
                <w:bCs/>
                <w:color w:val="000000"/>
                <w:sz w:val="21"/>
                <w:szCs w:val="21"/>
              </w:rPr>
            </w:pPr>
            <w:r>
              <w:rPr>
                <w:rFonts w:hint="eastAsia" w:ascii="楷体" w:hAnsi="楷体" w:eastAsia="楷体" w:cs="楷体"/>
                <w:b/>
                <w:bCs/>
                <w:color w:val="000000"/>
                <w:sz w:val="21"/>
                <w:szCs w:val="21"/>
              </w:rPr>
              <w:t>江厦街道</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江厦街道新街社区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新街小区</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江厦街道新街社区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双梁小区</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江厦街道郡庙社区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新大世界小区</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江厦街道新街社区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开明巷</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江厦街道天封社区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玲珑苑</w:t>
            </w:r>
          </w:p>
        </w:tc>
      </w:tr>
      <w:tr>
        <w:tblPrEx>
          <w:tblCellMar>
            <w:top w:w="0" w:type="dxa"/>
            <w:left w:w="108" w:type="dxa"/>
            <w:bottom w:w="0" w:type="dxa"/>
            <w:right w:w="108" w:type="dxa"/>
          </w:tblCellMar>
        </w:tblPrEx>
        <w:trPr>
          <w:trHeight w:val="420" w:hRule="atLeast"/>
        </w:trPr>
        <w:tc>
          <w:tcPr>
            <w:tcW w:w="924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楷体" w:hAnsi="楷体" w:eastAsia="楷体" w:cs="楷体"/>
                <w:b/>
                <w:bCs/>
                <w:color w:val="000000"/>
                <w:sz w:val="21"/>
                <w:szCs w:val="21"/>
              </w:rPr>
            </w:pPr>
            <w:r>
              <w:rPr>
                <w:rFonts w:hint="eastAsia" w:ascii="楷体" w:hAnsi="楷体" w:eastAsia="楷体" w:cs="楷体"/>
                <w:b/>
                <w:bCs/>
                <w:color w:val="000000"/>
                <w:sz w:val="21"/>
                <w:szCs w:val="21"/>
              </w:rPr>
              <w:t>石碶街道</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石碶街道新区社区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广场墙门</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石碶街道石碶社区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写字楼小区</w:t>
            </w:r>
          </w:p>
        </w:tc>
      </w:tr>
      <w:tr>
        <w:tblPrEx>
          <w:tblCellMar>
            <w:top w:w="0" w:type="dxa"/>
            <w:left w:w="108" w:type="dxa"/>
            <w:bottom w:w="0" w:type="dxa"/>
            <w:right w:w="108" w:type="dxa"/>
          </w:tblCellMar>
        </w:tblPrEx>
        <w:trPr>
          <w:trHeight w:val="46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石碶街道东方社区</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汽运小区</w:t>
            </w:r>
          </w:p>
        </w:tc>
      </w:tr>
      <w:tr>
        <w:tblPrEx>
          <w:tblCellMar>
            <w:top w:w="0" w:type="dxa"/>
            <w:left w:w="108" w:type="dxa"/>
            <w:bottom w:w="0" w:type="dxa"/>
            <w:right w:w="108" w:type="dxa"/>
          </w:tblCellMar>
        </w:tblPrEx>
        <w:trPr>
          <w:trHeight w:val="460" w:hRule="atLeast"/>
        </w:trPr>
        <w:tc>
          <w:tcPr>
            <w:tcW w:w="924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楷体" w:hAnsi="楷体" w:eastAsia="楷体" w:cs="楷体"/>
                <w:b/>
                <w:bCs/>
                <w:color w:val="000000"/>
                <w:sz w:val="21"/>
                <w:szCs w:val="21"/>
              </w:rPr>
            </w:pPr>
            <w:r>
              <w:rPr>
                <w:rFonts w:hint="eastAsia" w:ascii="楷体" w:hAnsi="楷体" w:eastAsia="楷体" w:cs="楷体"/>
                <w:b/>
                <w:bCs/>
                <w:color w:val="000000"/>
                <w:sz w:val="21"/>
                <w:szCs w:val="21"/>
              </w:rPr>
              <w:t>鄞江镇</w:t>
            </w:r>
          </w:p>
        </w:tc>
      </w:tr>
      <w:tr>
        <w:tblPrEx>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海曙区</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rPr>
              <w:t>鄞江镇鄞江居委会</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1"/>
                <w:szCs w:val="21"/>
              </w:rPr>
            </w:pPr>
            <w:r>
              <w:rPr>
                <w:rFonts w:hint="eastAsia" w:ascii="宋体" w:hAnsi="宋体" w:cs="宋体"/>
                <w:color w:val="000000"/>
                <w:sz w:val="21"/>
                <w:szCs w:val="21"/>
              </w:rPr>
              <w:t>官池小区</w:t>
            </w:r>
          </w:p>
        </w:tc>
      </w:tr>
    </w:tbl>
    <w:p>
      <w:pPr>
        <w:pStyle w:val="2"/>
      </w:pPr>
    </w:p>
    <w:p>
      <w:pPr>
        <w:pStyle w:val="41"/>
        <w:rPr>
          <w:lang w:eastAsia="zh-CN"/>
        </w:rPr>
      </w:pPr>
      <w:bookmarkStart w:id="116" w:name="_Toc2218"/>
      <w:r>
        <w:rPr>
          <w:rFonts w:hint="eastAsia"/>
          <w:lang w:eastAsia="zh-CN"/>
        </w:rPr>
        <w:t>需求分析</w:t>
      </w:r>
      <w:bookmarkEnd w:id="116"/>
    </w:p>
    <w:p>
      <w:pPr>
        <w:pStyle w:val="39"/>
        <w:spacing w:line="360" w:lineRule="auto"/>
      </w:pPr>
      <w:bookmarkStart w:id="117" w:name="_Toc6033"/>
      <w:r>
        <w:rPr>
          <w:rFonts w:hint="eastAsia"/>
          <w:lang w:eastAsia="zh-CN"/>
        </w:rPr>
        <w:t>现状分析</w:t>
      </w:r>
      <w:bookmarkEnd w:id="117"/>
    </w:p>
    <w:p>
      <w:pPr>
        <w:pStyle w:val="39"/>
        <w:numPr>
          <w:ilvl w:val="2"/>
          <w:numId w:val="0"/>
        </w:numPr>
        <w:spacing w:line="360" w:lineRule="auto"/>
        <w:rPr>
          <w:lang w:eastAsia="zh-CN"/>
        </w:rPr>
      </w:pPr>
      <w:r>
        <w:rPr>
          <w:rFonts w:hint="eastAsia"/>
          <w:lang w:eastAsia="zh-CN"/>
        </w:rPr>
        <w:t>1.2.1.1小区安防建设及智能应用现状</w:t>
      </w:r>
    </w:p>
    <w:p>
      <w:pPr>
        <w:pStyle w:val="43"/>
        <w:spacing w:line="360" w:lineRule="auto"/>
        <w:ind w:firstLine="420"/>
      </w:pPr>
      <w:r>
        <w:rPr>
          <w:rFonts w:hint="eastAsia"/>
        </w:rPr>
        <w:t>一、小区安防先天不足</w:t>
      </w:r>
    </w:p>
    <w:p>
      <w:pPr>
        <w:pStyle w:val="43"/>
        <w:numPr>
          <w:ilvl w:val="0"/>
          <w:numId w:val="8"/>
        </w:numPr>
        <w:spacing w:line="360" w:lineRule="auto"/>
        <w:ind w:firstLineChars="0"/>
      </w:pPr>
      <w:r>
        <w:rPr>
          <w:rFonts w:hint="eastAsia"/>
        </w:rPr>
        <w:t>存在</w:t>
      </w:r>
      <w:r>
        <w:t>部分小区尤其是</w:t>
      </w:r>
      <w:r>
        <w:rPr>
          <w:rFonts w:hint="eastAsia"/>
        </w:rPr>
        <w:t>老旧小区并非合围式、全封闭管理、存在安防</w:t>
      </w:r>
      <w:r>
        <w:t>盲区</w:t>
      </w:r>
      <w:r>
        <w:rPr>
          <w:rFonts w:hint="eastAsia"/>
        </w:rPr>
        <w:t>；</w:t>
      </w:r>
    </w:p>
    <w:p>
      <w:pPr>
        <w:pStyle w:val="43"/>
        <w:numPr>
          <w:ilvl w:val="0"/>
          <w:numId w:val="8"/>
        </w:numPr>
        <w:spacing w:line="360" w:lineRule="auto"/>
        <w:ind w:firstLineChars="0"/>
      </w:pPr>
      <w:r>
        <w:rPr>
          <w:rFonts w:hint="eastAsia"/>
        </w:rPr>
        <w:t>小区内各业务系统相互隔离，不同厂家，数据呈现“烟囱”式相互孤立；</w:t>
      </w:r>
    </w:p>
    <w:p>
      <w:pPr>
        <w:pStyle w:val="43"/>
        <w:numPr>
          <w:ilvl w:val="0"/>
          <w:numId w:val="8"/>
        </w:numPr>
        <w:spacing w:line="360" w:lineRule="auto"/>
        <w:ind w:firstLineChars="0"/>
      </w:pPr>
      <w:r>
        <w:rPr>
          <w:rFonts w:hint="eastAsia"/>
        </w:rPr>
        <w:t>小区系统设计缺陷：小区在规划建设中，并没有从自身所处环境考虑，安防设计按部就班，缺乏针对性。</w:t>
      </w:r>
    </w:p>
    <w:p>
      <w:pPr>
        <w:pStyle w:val="43"/>
        <w:spacing w:line="360" w:lineRule="auto"/>
        <w:ind w:firstLine="420"/>
      </w:pPr>
      <w:r>
        <w:rPr>
          <w:rFonts w:hint="eastAsia"/>
        </w:rPr>
        <w:t>二、小区人防管理缺位</w:t>
      </w:r>
    </w:p>
    <w:p>
      <w:pPr>
        <w:pStyle w:val="43"/>
        <w:numPr>
          <w:ilvl w:val="0"/>
          <w:numId w:val="8"/>
        </w:numPr>
        <w:spacing w:line="360" w:lineRule="auto"/>
        <w:ind w:firstLineChars="0"/>
      </w:pPr>
      <w:r>
        <w:rPr>
          <w:rFonts w:hint="eastAsia"/>
        </w:rPr>
        <w:t>保安力量有限：许多小区保安年龄普遍偏大、文化程度不高，仅能满足有人值守这一最低安防标准；</w:t>
      </w:r>
    </w:p>
    <w:p>
      <w:pPr>
        <w:pStyle w:val="43"/>
        <w:numPr>
          <w:ilvl w:val="0"/>
          <w:numId w:val="8"/>
        </w:numPr>
        <w:spacing w:line="360" w:lineRule="auto"/>
        <w:ind w:firstLineChars="0"/>
      </w:pPr>
      <w:r>
        <w:rPr>
          <w:rFonts w:hint="eastAsia"/>
        </w:rPr>
        <w:t>门卫制度落实不到位：登记管理制度不严，未完全落实封闭式管理要求，门卫无法识别人员和车辆是否为小区业主。</w:t>
      </w:r>
    </w:p>
    <w:p>
      <w:pPr>
        <w:pStyle w:val="43"/>
        <w:spacing w:line="360" w:lineRule="auto"/>
        <w:ind w:firstLine="420"/>
      </w:pPr>
      <w:r>
        <w:rPr>
          <w:rFonts w:hint="eastAsia"/>
        </w:rPr>
        <w:t>三、小区信息化建设滞后</w:t>
      </w:r>
    </w:p>
    <w:p>
      <w:pPr>
        <w:pStyle w:val="43"/>
        <w:numPr>
          <w:ilvl w:val="0"/>
          <w:numId w:val="8"/>
        </w:numPr>
        <w:spacing w:line="360" w:lineRule="auto"/>
        <w:ind w:firstLineChars="0"/>
      </w:pPr>
      <w:r>
        <w:rPr>
          <w:rFonts w:hint="eastAsia"/>
        </w:rPr>
        <w:t>出入口门禁、道闸、楼道可视门禁等设备多数缺失、损坏，影响使用；</w:t>
      </w:r>
    </w:p>
    <w:p>
      <w:pPr>
        <w:pStyle w:val="43"/>
        <w:numPr>
          <w:ilvl w:val="0"/>
          <w:numId w:val="8"/>
        </w:numPr>
        <w:spacing w:line="360" w:lineRule="auto"/>
        <w:ind w:firstLineChars="0"/>
      </w:pPr>
      <w:r>
        <w:rPr>
          <w:rFonts w:hint="eastAsia"/>
        </w:rPr>
        <w:t>监控质量不高，存储时间短、文件格式不统一、数据接口不匹配等，许多资源未接入上级公安政府部门汇聚使用；</w:t>
      </w:r>
    </w:p>
    <w:p>
      <w:pPr>
        <w:pStyle w:val="43"/>
        <w:numPr>
          <w:ilvl w:val="0"/>
          <w:numId w:val="8"/>
        </w:numPr>
        <w:spacing w:line="360" w:lineRule="auto"/>
        <w:ind w:firstLineChars="0"/>
      </w:pPr>
      <w:r>
        <w:rPr>
          <w:rFonts w:hint="eastAsia"/>
        </w:rPr>
        <w:t>老旧小区管线混乱，影响小区形象。</w:t>
      </w:r>
    </w:p>
    <w:p>
      <w:pPr>
        <w:pStyle w:val="43"/>
        <w:spacing w:line="360" w:lineRule="auto"/>
        <w:ind w:firstLine="420"/>
      </w:pPr>
      <w:r>
        <w:rPr>
          <w:rFonts w:hint="eastAsia"/>
        </w:rPr>
        <w:t>四、居民防范意识不强</w:t>
      </w:r>
    </w:p>
    <w:p>
      <w:pPr>
        <w:pStyle w:val="43"/>
        <w:numPr>
          <w:ilvl w:val="0"/>
          <w:numId w:val="8"/>
        </w:numPr>
        <w:spacing w:line="360" w:lineRule="auto"/>
        <w:ind w:firstLineChars="0"/>
      </w:pPr>
      <w:r>
        <w:rPr>
          <w:rFonts w:hint="eastAsia"/>
        </w:rPr>
        <w:t>不自觉使用单元门禁，不遵守门卫制度，对物业安防管理不配合；</w:t>
      </w:r>
    </w:p>
    <w:p>
      <w:pPr>
        <w:pStyle w:val="43"/>
        <w:numPr>
          <w:ilvl w:val="0"/>
          <w:numId w:val="8"/>
        </w:numPr>
        <w:spacing w:line="360" w:lineRule="auto"/>
        <w:ind w:firstLineChars="0"/>
      </w:pPr>
      <w:r>
        <w:rPr>
          <w:rFonts w:hint="eastAsia"/>
        </w:rPr>
        <w:t>存在</w:t>
      </w:r>
      <w:r>
        <w:t>车辆随意摆放、</w:t>
      </w:r>
      <w:r>
        <w:rPr>
          <w:rFonts w:hint="eastAsia"/>
        </w:rPr>
        <w:t>违停</w:t>
      </w:r>
      <w:r>
        <w:t>占据消防通道等社区生活不文明</w:t>
      </w:r>
      <w:r>
        <w:rPr>
          <w:rFonts w:hint="eastAsia"/>
        </w:rPr>
        <w:t>现象。</w:t>
      </w:r>
    </w:p>
    <w:p>
      <w:pPr>
        <w:pStyle w:val="39"/>
        <w:numPr>
          <w:ilvl w:val="2"/>
          <w:numId w:val="0"/>
        </w:numPr>
        <w:spacing w:line="360" w:lineRule="auto"/>
        <w:rPr>
          <w:lang w:eastAsia="zh-CN"/>
        </w:rPr>
      </w:pPr>
      <w:r>
        <w:rPr>
          <w:rFonts w:hint="eastAsia"/>
          <w:lang w:eastAsia="zh-CN"/>
        </w:rPr>
        <w:t>1.2.1.2数据信息采集及数据应用现状</w:t>
      </w:r>
    </w:p>
    <w:p>
      <w:pPr>
        <w:pStyle w:val="43"/>
        <w:spacing w:line="360" w:lineRule="auto"/>
        <w:ind w:firstLine="420"/>
      </w:pPr>
      <w:r>
        <w:rPr>
          <w:rFonts w:hint="eastAsia"/>
        </w:rPr>
        <w:t>一、数据</w:t>
      </w:r>
      <w:r>
        <w:t>感知不</w:t>
      </w:r>
      <w:r>
        <w:rPr>
          <w:rFonts w:hint="eastAsia"/>
        </w:rPr>
        <w:t>全面</w:t>
      </w:r>
    </w:p>
    <w:p>
      <w:pPr>
        <w:pStyle w:val="43"/>
        <w:spacing w:line="360" w:lineRule="auto"/>
        <w:ind w:firstLine="420"/>
      </w:pPr>
      <w:r>
        <w:rPr>
          <w:rFonts w:hint="eastAsia"/>
        </w:rPr>
        <w:t>社区管理中现存在大量监控盲区，物联网技术、智能感知技术应用较少，社区基础设施建设水平较低。未能对社区场景下</w:t>
      </w:r>
      <w:r>
        <w:t>“”</w:t>
      </w:r>
      <w:r>
        <w:rPr>
          <w:rFonts w:hint="eastAsia"/>
        </w:rPr>
        <w:t>人、车、事、物、地、组织”信息进行全面感知。</w:t>
      </w:r>
    </w:p>
    <w:p>
      <w:pPr>
        <w:pStyle w:val="43"/>
        <w:spacing w:line="360" w:lineRule="auto"/>
        <w:ind w:firstLine="420"/>
      </w:pPr>
      <w:r>
        <w:rPr>
          <w:rFonts w:hint="eastAsia"/>
        </w:rPr>
        <w:t>二、数据掌握</w:t>
      </w:r>
      <w:r>
        <w:t>不及时</w:t>
      </w:r>
    </w:p>
    <w:p>
      <w:pPr>
        <w:pStyle w:val="43"/>
        <w:spacing w:line="360" w:lineRule="auto"/>
        <w:ind w:firstLine="420"/>
      </w:pPr>
      <w:r>
        <w:rPr>
          <w:rFonts w:hint="eastAsia"/>
        </w:rPr>
        <w:t>社区</w:t>
      </w:r>
      <w:r>
        <w:t>数据采集未成体系，小区</w:t>
      </w:r>
      <w:r>
        <w:rPr>
          <w:rFonts w:hint="eastAsia"/>
        </w:rPr>
        <w:t>运行</w:t>
      </w:r>
      <w:r>
        <w:t>数据多未及时采集</w:t>
      </w:r>
      <w:r>
        <w:rPr>
          <w:rFonts w:hint="eastAsia"/>
        </w:rPr>
        <w:t>，</w:t>
      </w:r>
      <w:r>
        <w:t>或单个小区采集数据未能及时</w:t>
      </w:r>
      <w:r>
        <w:rPr>
          <w:rFonts w:hint="eastAsia"/>
        </w:rPr>
        <w:t>统一汇聚、</w:t>
      </w:r>
      <w:r>
        <w:t>合理</w:t>
      </w:r>
      <w:r>
        <w:rPr>
          <w:rFonts w:hint="eastAsia"/>
        </w:rPr>
        <w:t>运用</w:t>
      </w:r>
      <w:r>
        <w:t>；</w:t>
      </w:r>
      <w:r>
        <w:rPr>
          <w:rFonts w:hint="eastAsia"/>
        </w:rPr>
        <w:t>社区基础数据</w:t>
      </w:r>
      <w:r>
        <w:t>采集难，</w:t>
      </w:r>
      <w:r>
        <w:rPr>
          <w:rFonts w:hint="eastAsia"/>
        </w:rPr>
        <w:t>在开展流动人口服务管理专项工作期间，上门摸排统计流动人口数据效率低，社区对居民缺乏有效制约措施，社区所掌握的流动人口底数和实际情况存在一定的误差。</w:t>
      </w:r>
    </w:p>
    <w:p>
      <w:pPr>
        <w:pStyle w:val="43"/>
        <w:spacing w:line="360" w:lineRule="auto"/>
        <w:ind w:firstLine="420"/>
      </w:pPr>
      <w:r>
        <w:rPr>
          <w:rFonts w:hint="eastAsia"/>
        </w:rPr>
        <w:t>三、数据价值</w:t>
      </w:r>
      <w:r>
        <w:t>未挖掘</w:t>
      </w:r>
    </w:p>
    <w:p>
      <w:pPr>
        <w:pStyle w:val="43"/>
        <w:spacing w:line="360" w:lineRule="auto"/>
        <w:ind w:firstLine="420"/>
      </w:pPr>
      <w:r>
        <w:rPr>
          <w:rFonts w:hint="eastAsia"/>
        </w:rPr>
        <w:t>社区物联感知数据尚未深度挖掘，应用也尚未形成规模，管理者难以有效通过后台数据监管并进行有效的预警防治。社区人员的出入，滞留行为无有效手段监管，一旦突发治安事件，将会出现“案前无预警，案发无处置措施，案后无记录查询”的情况，形成社区安全隐患。</w:t>
      </w:r>
    </w:p>
    <w:p>
      <w:pPr>
        <w:pStyle w:val="43"/>
        <w:spacing w:line="360" w:lineRule="auto"/>
        <w:ind w:firstLine="420"/>
      </w:pPr>
      <w:r>
        <w:rPr>
          <w:rFonts w:hint="eastAsia"/>
        </w:rPr>
        <w:t>四、数据资源</w:t>
      </w:r>
      <w:r>
        <w:t>未</w:t>
      </w:r>
      <w:r>
        <w:rPr>
          <w:rFonts w:hint="eastAsia"/>
        </w:rPr>
        <w:t>共享</w:t>
      </w:r>
    </w:p>
    <w:p>
      <w:pPr>
        <w:pStyle w:val="43"/>
        <w:spacing w:line="360" w:lineRule="auto"/>
        <w:ind w:firstLine="420"/>
      </w:pPr>
      <w:r>
        <w:rPr>
          <w:rFonts w:hint="eastAsia"/>
        </w:rPr>
        <w:t>社区所属辖区缺乏统一</w:t>
      </w:r>
      <w:r>
        <w:t>的</w:t>
      </w:r>
      <w:r>
        <w:rPr>
          <w:rFonts w:hint="eastAsia"/>
        </w:rPr>
        <w:t>社区治理管理系统，社区数据资源尚未有效共享机制。对于人员、房屋、车辆管理等社会治理要素，尚未形成完善管理机制，社区治理职能亟待完善。</w:t>
      </w:r>
    </w:p>
    <w:p>
      <w:pPr>
        <w:pStyle w:val="39"/>
        <w:spacing w:line="360" w:lineRule="auto"/>
        <w:rPr>
          <w:lang w:eastAsia="zh-CN"/>
        </w:rPr>
      </w:pPr>
      <w:bookmarkStart w:id="118" w:name="_Toc11499"/>
      <w:r>
        <w:rPr>
          <w:rFonts w:hint="eastAsia"/>
          <w:lang w:eastAsia="zh-CN"/>
        </w:rPr>
        <w:t>需求分析</w:t>
      </w:r>
      <w:bookmarkEnd w:id="118"/>
    </w:p>
    <w:p>
      <w:pPr>
        <w:pStyle w:val="39"/>
        <w:numPr>
          <w:ilvl w:val="2"/>
          <w:numId w:val="0"/>
        </w:numPr>
        <w:spacing w:line="360" w:lineRule="auto"/>
      </w:pPr>
      <w:r>
        <w:rPr>
          <w:rFonts w:hint="eastAsia"/>
          <w:lang w:eastAsia="zh-CN"/>
        </w:rPr>
        <w:t>1.2.2.1</w:t>
      </w:r>
      <w:r>
        <w:rPr>
          <w:rFonts w:hint="eastAsia"/>
        </w:rPr>
        <w:t>公安治安管理需求分析</w:t>
      </w:r>
    </w:p>
    <w:p>
      <w:pPr>
        <w:pStyle w:val="43"/>
        <w:spacing w:line="360" w:lineRule="auto"/>
        <w:ind w:firstLine="420"/>
      </w:pPr>
      <w:r>
        <w:rPr>
          <w:rFonts w:hint="eastAsia"/>
        </w:rPr>
        <w:t>一、社区</w:t>
      </w:r>
      <w:r>
        <w:t>数据采集</w:t>
      </w:r>
      <w:r>
        <w:rPr>
          <w:rFonts w:hint="eastAsia"/>
        </w:rPr>
        <w:t>全面</w:t>
      </w:r>
      <w:r>
        <w:t>鲜活</w:t>
      </w:r>
    </w:p>
    <w:p>
      <w:pPr>
        <w:pStyle w:val="43"/>
        <w:spacing w:line="360" w:lineRule="auto"/>
        <w:ind w:firstLine="420"/>
      </w:pPr>
      <w:r>
        <w:rPr>
          <w:rFonts w:hint="eastAsia"/>
        </w:rPr>
        <w:t>通过</w:t>
      </w:r>
      <w:r>
        <w:t>在</w:t>
      </w:r>
      <w:r>
        <w:rPr>
          <w:rFonts w:hint="eastAsia"/>
        </w:rPr>
        <w:t>小区</w:t>
      </w:r>
      <w:r>
        <w:t>出入口、</w:t>
      </w:r>
      <w:r>
        <w:rPr>
          <w:rFonts w:hint="eastAsia"/>
        </w:rPr>
        <w:t>主要</w:t>
      </w:r>
      <w:r>
        <w:t>道路、</w:t>
      </w:r>
      <w:r>
        <w:rPr>
          <w:rFonts w:hint="eastAsia"/>
        </w:rPr>
        <w:t>单元楼门口</w:t>
      </w:r>
      <w:r>
        <w:t>等重要场景下</w:t>
      </w:r>
      <w:r>
        <w:rPr>
          <w:rFonts w:hint="eastAsia"/>
        </w:rPr>
        <w:t>建设人脸抓拍摄像机、车辆智能抓拍卡口、高清智能监控、智能移动终端数据采集设备，全面构建治安防控“最后一公里”多维信息动态感知体系。实现对辖区内实有人房</w:t>
      </w:r>
      <w:r>
        <w:t>等基础数据</w:t>
      </w:r>
      <w:r>
        <w:rPr>
          <w:rFonts w:hint="eastAsia"/>
        </w:rPr>
        <w:t>采集，</w:t>
      </w:r>
      <w:r>
        <w:t>以及</w:t>
      </w:r>
      <w:r>
        <w:rPr>
          <w:rFonts w:hint="eastAsia"/>
        </w:rPr>
        <w:t>小区</w:t>
      </w:r>
      <w:r>
        <w:t>的</w:t>
      </w:r>
      <w:r>
        <w:rPr>
          <w:rFonts w:hint="eastAsia"/>
        </w:rPr>
        <w:t>人员进出、车辆</w:t>
      </w:r>
      <w:r>
        <w:t>进出、</w:t>
      </w:r>
      <w:r>
        <w:rPr>
          <w:rFonts w:hint="eastAsia"/>
        </w:rPr>
        <w:t>虚拟身份、</w:t>
      </w:r>
      <w:r>
        <w:t>物联传感</w:t>
      </w:r>
      <w:r>
        <w:rPr>
          <w:rFonts w:hint="eastAsia"/>
        </w:rPr>
        <w:t>等</w:t>
      </w:r>
      <w:r>
        <w:t>动态感知</w:t>
      </w:r>
      <w:r>
        <w:rPr>
          <w:rFonts w:hint="eastAsia"/>
        </w:rPr>
        <w:t>数据远程非接触式采集和泛在感知。</w:t>
      </w:r>
    </w:p>
    <w:p>
      <w:pPr>
        <w:pStyle w:val="43"/>
        <w:spacing w:line="360" w:lineRule="auto"/>
        <w:ind w:firstLine="420"/>
      </w:pPr>
      <w:r>
        <w:rPr>
          <w:rFonts w:hint="eastAsia"/>
        </w:rPr>
        <w:t>基于</w:t>
      </w:r>
      <w:r>
        <w:t>社区感知数据统一接入及传输标准要求，</w:t>
      </w:r>
      <w:r>
        <w:rPr>
          <w:rFonts w:hint="eastAsia"/>
        </w:rPr>
        <w:t>实现感知</w:t>
      </w:r>
      <w:r>
        <w:t>数据</w:t>
      </w:r>
      <w:r>
        <w:rPr>
          <w:rFonts w:hint="eastAsia"/>
        </w:rPr>
        <w:t>的</w:t>
      </w:r>
      <w:r>
        <w:t>标准接入</w:t>
      </w:r>
      <w:r>
        <w:rPr>
          <w:rFonts w:hint="eastAsia"/>
        </w:rPr>
        <w:t>、统一</w:t>
      </w:r>
      <w:r>
        <w:t>汇聚，</w:t>
      </w:r>
      <w:r>
        <w:rPr>
          <w:rFonts w:hint="eastAsia"/>
        </w:rPr>
        <w:t>实现人像、人车、人机一一对应，融合城中村、村居、社区、旅馆等区域内（流动）人口的身份证、照片、工作、社会关系等基本信息，完善以“人”为中心的多维档案，为公共安全风险</w:t>
      </w:r>
      <w:r>
        <w:t>预警</w:t>
      </w:r>
      <w:r>
        <w:rPr>
          <w:rFonts w:hint="eastAsia"/>
        </w:rPr>
        <w:t>、违法</w:t>
      </w:r>
      <w:r>
        <w:t>犯罪打击等</w:t>
      </w:r>
      <w:r>
        <w:rPr>
          <w:rFonts w:hint="eastAsia"/>
        </w:rPr>
        <w:t>业务</w:t>
      </w:r>
      <w:r>
        <w:t>应用提供</w:t>
      </w:r>
      <w:r>
        <w:rPr>
          <w:rFonts w:hint="eastAsia"/>
        </w:rPr>
        <w:t>数据</w:t>
      </w:r>
      <w:r>
        <w:t>支撑</w:t>
      </w:r>
      <w:r>
        <w:rPr>
          <w:rFonts w:hint="eastAsia"/>
        </w:rPr>
        <w:t>。</w:t>
      </w:r>
    </w:p>
    <w:p>
      <w:pPr>
        <w:pStyle w:val="43"/>
        <w:spacing w:line="360" w:lineRule="auto"/>
        <w:ind w:firstLine="420"/>
      </w:pPr>
      <w:r>
        <w:rPr>
          <w:rFonts w:hint="eastAsia"/>
        </w:rPr>
        <w:t>结合</w:t>
      </w:r>
      <w:r>
        <w:t>信息化技术手段，</w:t>
      </w:r>
      <w:r>
        <w:rPr>
          <w:rFonts w:hint="eastAsia"/>
        </w:rPr>
        <w:t>改变</w:t>
      </w:r>
      <w:r>
        <w:t>以往依靠</w:t>
      </w:r>
      <w:r>
        <w:rPr>
          <w:rFonts w:hint="eastAsia"/>
        </w:rPr>
        <w:t>人工</w:t>
      </w:r>
      <w:r>
        <w:t>摸排走访</w:t>
      </w:r>
      <w:r>
        <w:rPr>
          <w:rFonts w:hint="eastAsia"/>
        </w:rPr>
        <w:t>的老旧形式，减少</w:t>
      </w:r>
      <w:r>
        <w:t>警力，</w:t>
      </w:r>
      <w:r>
        <w:rPr>
          <w:rFonts w:hint="eastAsia"/>
        </w:rPr>
        <w:t>实现人口管理</w:t>
      </w:r>
      <w:r>
        <w:t>工作</w:t>
      </w:r>
      <w:r>
        <w:rPr>
          <w:rFonts w:hint="eastAsia"/>
        </w:rPr>
        <w:t>由</w:t>
      </w:r>
      <w:r>
        <w:t>盲目采集为精准采集</w:t>
      </w:r>
      <w:r>
        <w:rPr>
          <w:rFonts w:hint="eastAsia"/>
        </w:rPr>
        <w:t>转变，</w:t>
      </w:r>
      <w:r>
        <w:t>及时掌握辖区内</w:t>
      </w:r>
      <w:r>
        <w:rPr>
          <w:rFonts w:hint="eastAsia"/>
        </w:rPr>
        <w:t>真实人员</w:t>
      </w:r>
      <w:r>
        <w:t>底数</w:t>
      </w:r>
      <w:r>
        <w:rPr>
          <w:rFonts w:hint="eastAsia"/>
        </w:rPr>
        <w:t>。推动基层</w:t>
      </w:r>
      <w:r>
        <w:t>**</w:t>
      </w:r>
      <w:r>
        <w:rPr>
          <w:rFonts w:hint="eastAsia"/>
        </w:rPr>
        <w:t>人口</w:t>
      </w:r>
      <w:r>
        <w:t>管理</w:t>
      </w:r>
      <w:r>
        <w:rPr>
          <w:rFonts w:hint="eastAsia"/>
        </w:rPr>
        <w:t>工作</w:t>
      </w:r>
      <w:r>
        <w:t>机制转变，</w:t>
      </w:r>
      <w:r>
        <w:rPr>
          <w:rFonts w:hint="eastAsia"/>
        </w:rPr>
        <w:t>实现</w:t>
      </w:r>
      <w:r>
        <w:t>由</w:t>
      </w:r>
      <w:r>
        <w:rPr>
          <w:rFonts w:hint="eastAsia"/>
        </w:rPr>
        <w:t>“汗水</w:t>
      </w:r>
      <w:r>
        <w:t>**</w:t>
      </w:r>
      <w:r>
        <w:rPr>
          <w:rFonts w:hint="eastAsia"/>
        </w:rPr>
        <w:t>”向“智慧</w:t>
      </w:r>
      <w:r>
        <w:t>**</w:t>
      </w:r>
      <w:r>
        <w:rPr>
          <w:rFonts w:hint="eastAsia"/>
        </w:rPr>
        <w:t>”转变</w:t>
      </w:r>
      <w:r>
        <w:t>。</w:t>
      </w:r>
    </w:p>
    <w:p>
      <w:pPr>
        <w:pStyle w:val="43"/>
        <w:spacing w:line="360" w:lineRule="auto"/>
        <w:ind w:firstLine="420"/>
      </w:pPr>
      <w:r>
        <w:rPr>
          <w:rFonts w:hint="eastAsia"/>
        </w:rPr>
        <w:t>二、社区公共安全水平提升</w:t>
      </w:r>
    </w:p>
    <w:p>
      <w:pPr>
        <w:pStyle w:val="43"/>
        <w:spacing w:line="360" w:lineRule="auto"/>
        <w:ind w:firstLine="420"/>
      </w:pPr>
      <w:r>
        <w:rPr>
          <w:rFonts w:hint="eastAsia"/>
        </w:rPr>
        <w:t>通过</w:t>
      </w:r>
      <w:r>
        <w:t>多维</w:t>
      </w:r>
      <w:r>
        <w:rPr>
          <w:rFonts w:hint="eastAsia"/>
        </w:rPr>
        <w:t>信息</w:t>
      </w:r>
      <w:r>
        <w:t>感知</w:t>
      </w:r>
      <w:r>
        <w:rPr>
          <w:rFonts w:hint="eastAsia"/>
        </w:rPr>
        <w:t>和</w:t>
      </w:r>
      <w:r>
        <w:t>智能分析，实现对社区内可疑人员、可疑车辆、可疑行为、可疑事件</w:t>
      </w:r>
      <w:r>
        <w:rPr>
          <w:rFonts w:hint="eastAsia"/>
        </w:rPr>
        <w:t>的异常告警处置、潜在风险预控，实现公安部门预警预测预防能力、</w:t>
      </w:r>
      <w:r>
        <w:t>精准打击和动态管理能力提升</w:t>
      </w:r>
      <w:r>
        <w:rPr>
          <w:rFonts w:hint="eastAsia"/>
        </w:rPr>
        <w:t>。</w:t>
      </w:r>
    </w:p>
    <w:p>
      <w:pPr>
        <w:pStyle w:val="43"/>
        <w:spacing w:line="360" w:lineRule="auto"/>
        <w:ind w:firstLine="420"/>
      </w:pPr>
      <w:r>
        <w:rPr>
          <w:rFonts w:hint="eastAsia"/>
        </w:rPr>
        <w:t>实现多维数据查询和展示需求，将管辖小区采集的多维度信息汇聚到分局，结合公安其它业务信息形成数据资源仓库，可对辖区范围内的人员、车辆轨迹进行分析，对目标人员和车辆进行布控，发现其行踪时报警。可对海量多维度数据资源进行碰撞分析和研判预警，提供服务于实战的应用工具，对辖区案事件进行预警和处置。</w:t>
      </w:r>
    </w:p>
    <w:p>
      <w:pPr>
        <w:pStyle w:val="43"/>
        <w:spacing w:line="360" w:lineRule="auto"/>
        <w:ind w:firstLine="420"/>
      </w:pPr>
      <w:r>
        <w:rPr>
          <w:rFonts w:hint="eastAsia"/>
        </w:rPr>
        <w:t>三、重点人群服务管理</w:t>
      </w:r>
      <w:r>
        <w:t>需求</w:t>
      </w:r>
    </w:p>
    <w:p>
      <w:pPr>
        <w:pStyle w:val="43"/>
        <w:spacing w:line="360" w:lineRule="auto"/>
        <w:ind w:firstLine="420"/>
      </w:pPr>
      <w:r>
        <w:rPr>
          <w:rFonts w:hint="eastAsia"/>
        </w:rPr>
        <w:t>在上访人员、涉毒人员、前科人员、敏感人群、卖淫嫖娼、赌博案底、涉稳、涉恐、涉案等重点人员管控措施上，面临监管范围大、人员流动性强、身份核实不配合等一系列问题。通过人脸识别、车辆识别、虚拟身份等技术的应用及时发现预警，通过行为</w:t>
      </w:r>
      <w:r>
        <w:t>规律挖掘和针对性模型自动分析，</w:t>
      </w:r>
      <w:r>
        <w:rPr>
          <w:rFonts w:hint="eastAsia"/>
        </w:rPr>
        <w:t>结合实地排查、巡检情况，公安机关在加强对重点区域排查整治，实时掌控重点人员的动态，对有违法犯罪苗头的做到实时发现、及时布控、快速打击。</w:t>
      </w:r>
    </w:p>
    <w:p>
      <w:pPr>
        <w:pStyle w:val="43"/>
        <w:spacing w:line="360" w:lineRule="auto"/>
        <w:ind w:firstLine="420"/>
      </w:pPr>
      <w:r>
        <w:rPr>
          <w:rFonts w:hint="eastAsia"/>
        </w:rPr>
        <w:t>四、创新服务社区</w:t>
      </w:r>
      <w:r>
        <w:t>群众需求</w:t>
      </w:r>
    </w:p>
    <w:p>
      <w:pPr>
        <w:pStyle w:val="43"/>
        <w:spacing w:line="360" w:lineRule="auto"/>
        <w:ind w:firstLine="420"/>
      </w:pPr>
      <w:r>
        <w:rPr>
          <w:rFonts w:hint="eastAsia"/>
        </w:rPr>
        <w:t>城乡社区治理的出发点和落脚点就是服务居民、造福居民，通过</w:t>
      </w:r>
      <w:r>
        <w:t>智慧社区</w:t>
      </w:r>
      <w:r>
        <w:rPr>
          <w:rFonts w:hint="eastAsia"/>
        </w:rPr>
        <w:t>建设</w:t>
      </w:r>
      <w:r>
        <w:t>来提升居民的安全感，</w:t>
      </w:r>
      <w:r>
        <w:rPr>
          <w:rFonts w:hint="eastAsia"/>
        </w:rPr>
        <w:t>依靠居民、依法有序组织居民群众参与社区治理，实现人人参与、人人尽力、人人共享。</w:t>
      </w:r>
    </w:p>
    <w:p>
      <w:pPr>
        <w:pStyle w:val="43"/>
        <w:spacing w:line="360" w:lineRule="auto"/>
        <w:ind w:firstLine="420"/>
      </w:pPr>
      <w:r>
        <w:rPr>
          <w:rFonts w:hint="eastAsia"/>
        </w:rPr>
        <w:t>通过</w:t>
      </w:r>
      <w:r>
        <w:t>警情通报和防范宣传</w:t>
      </w:r>
      <w:r>
        <w:rPr>
          <w:rFonts w:hint="eastAsia"/>
        </w:rPr>
        <w:t>，</w:t>
      </w:r>
      <w:r>
        <w:t>将群众身边发生的案件作为宣传题材</w:t>
      </w:r>
      <w:r>
        <w:rPr>
          <w:rFonts w:hint="eastAsia"/>
        </w:rPr>
        <w:t>，</w:t>
      </w:r>
      <w:r>
        <w:t>提升群众安全防范意识。</w:t>
      </w:r>
    </w:p>
    <w:p>
      <w:pPr>
        <w:pStyle w:val="39"/>
        <w:numPr>
          <w:ilvl w:val="2"/>
          <w:numId w:val="0"/>
        </w:numPr>
        <w:spacing w:line="360" w:lineRule="auto"/>
        <w:rPr>
          <w:lang w:eastAsia="zh-CN"/>
        </w:rPr>
      </w:pPr>
      <w:r>
        <w:rPr>
          <w:rFonts w:hint="eastAsia"/>
          <w:lang w:eastAsia="zh-CN"/>
        </w:rPr>
        <w:t>1.2.2.2 小区管理需求分析</w:t>
      </w:r>
    </w:p>
    <w:p>
      <w:pPr>
        <w:pStyle w:val="43"/>
        <w:spacing w:line="360" w:lineRule="auto"/>
        <w:ind w:firstLine="420"/>
      </w:pPr>
      <w:r>
        <w:rPr>
          <w:rFonts w:hint="eastAsia"/>
        </w:rPr>
        <w:t>随着我国市场经济的快速发展和人们生活水平的不断提高，简单的社区服务已经不能满足人们的需求。如何利用先进的管理手段，提高物业管理水平，是当今社会所面临的一个重要课题。要想提高物业管理水平，必须全方位地提高物业管理意识。只有高标准、高质量的社区服务才能满足人们的需求。面对信息时代的挑战，利用高科技手段来提高物业管理无疑是一条行之有效的途径。在某种意义上，信息与科技在物业管理与现代化建设中显现出越来越重要的地位。物业管理方面的信息化与科技化，已成为现代化生活水平步入高台阶的重要标志。</w:t>
      </w:r>
    </w:p>
    <w:p>
      <w:pPr>
        <w:pStyle w:val="39"/>
        <w:numPr>
          <w:ilvl w:val="2"/>
          <w:numId w:val="0"/>
        </w:numPr>
        <w:spacing w:line="360" w:lineRule="auto"/>
        <w:rPr>
          <w:lang w:eastAsia="zh-CN"/>
        </w:rPr>
      </w:pPr>
      <w:r>
        <w:rPr>
          <w:rFonts w:hint="eastAsia"/>
          <w:lang w:eastAsia="zh-CN"/>
        </w:rPr>
        <w:t>1.2.2.3居民应用需求分析</w:t>
      </w:r>
    </w:p>
    <w:p>
      <w:pPr>
        <w:pStyle w:val="43"/>
        <w:spacing w:line="360" w:lineRule="auto"/>
        <w:ind w:firstLine="420"/>
      </w:pPr>
      <w:r>
        <w:rPr>
          <w:rFonts w:hint="eastAsia"/>
        </w:rPr>
        <w:t>一、小区</w:t>
      </w:r>
      <w:r>
        <w:t>安全需求</w:t>
      </w:r>
    </w:p>
    <w:p>
      <w:pPr>
        <w:pStyle w:val="43"/>
        <w:spacing w:line="360" w:lineRule="auto"/>
        <w:ind w:firstLine="420"/>
      </w:pPr>
      <w:r>
        <w:rPr>
          <w:rFonts w:hint="eastAsia"/>
        </w:rPr>
        <w:t>居住小区能够对外来人员、车辆进行严格、规范的管理，降低案件发生率，避免偷盗</w:t>
      </w:r>
      <w:r>
        <w:t>与</w:t>
      </w:r>
      <w:r>
        <w:rPr>
          <w:rFonts w:hint="eastAsia"/>
        </w:rPr>
        <w:t>犯罪威胁，生活起居不受伤害，人身及财产安全得到有效的保障。居所以外的社区公安安全得以保障，避免交通事故、打架斗殴、消防事故等等威胁，安全</w:t>
      </w:r>
      <w:r>
        <w:t>隐患及时发现化解，</w:t>
      </w:r>
      <w:r>
        <w:rPr>
          <w:rFonts w:hint="eastAsia"/>
        </w:rPr>
        <w:t>提升社区安全防范水平。</w:t>
      </w:r>
    </w:p>
    <w:p>
      <w:pPr>
        <w:pStyle w:val="43"/>
        <w:spacing w:line="360" w:lineRule="auto"/>
        <w:ind w:firstLine="420"/>
      </w:pPr>
      <w:r>
        <w:rPr>
          <w:rFonts w:hint="eastAsia"/>
        </w:rPr>
        <w:t>二、品质生活</w:t>
      </w:r>
      <w:r>
        <w:t>需求</w:t>
      </w:r>
    </w:p>
    <w:p>
      <w:pPr>
        <w:pStyle w:val="43"/>
        <w:spacing w:line="360" w:lineRule="auto"/>
        <w:ind w:firstLine="420"/>
      </w:pPr>
      <w:r>
        <w:rPr>
          <w:rFonts w:hint="eastAsia"/>
        </w:rPr>
        <w:t>居住小区人员</w:t>
      </w:r>
      <w:r>
        <w:t>、车辆</w:t>
      </w:r>
      <w:r>
        <w:rPr>
          <w:rFonts w:hint="eastAsia"/>
        </w:rPr>
        <w:t>出行便利，社区秩序</w:t>
      </w:r>
      <w:r>
        <w:t>管理规范</w:t>
      </w:r>
      <w:r>
        <w:rPr>
          <w:rFonts w:hint="eastAsia"/>
        </w:rPr>
        <w:t>，社区居住环境</w:t>
      </w:r>
      <w:r>
        <w:t>舒适，</w:t>
      </w:r>
      <w:r>
        <w:rPr>
          <w:rFonts w:hint="eastAsia"/>
        </w:rPr>
        <w:t>并能享受到现代技术提供的舒适、便捷的生活体验。社区</w:t>
      </w:r>
      <w:r>
        <w:t>居住</w:t>
      </w:r>
      <w:r>
        <w:rPr>
          <w:rFonts w:hint="eastAsia"/>
        </w:rPr>
        <w:t>条件及社区</w:t>
      </w:r>
      <w:r>
        <w:t>周边</w:t>
      </w:r>
      <w:r>
        <w:rPr>
          <w:rFonts w:hint="eastAsia"/>
        </w:rPr>
        <w:t>公共环境、交通</w:t>
      </w:r>
      <w:r>
        <w:t>条件</w:t>
      </w:r>
      <w:r>
        <w:rPr>
          <w:rFonts w:hint="eastAsia"/>
        </w:rPr>
        <w:t>、配套措施等环境品质得以提升。针对社区特殊人群（如独居老人、儿童）等，能够结合居民</w:t>
      </w:r>
      <w:r>
        <w:t>需求</w:t>
      </w:r>
      <w:r>
        <w:rPr>
          <w:rFonts w:hint="eastAsia"/>
        </w:rPr>
        <w:t>，出现居家紧急意外得以及时发现和援助服务。</w:t>
      </w:r>
    </w:p>
    <w:p>
      <w:pPr>
        <w:pStyle w:val="43"/>
        <w:spacing w:line="360" w:lineRule="auto"/>
        <w:ind w:firstLine="420"/>
      </w:pPr>
      <w:r>
        <w:rPr>
          <w:rFonts w:hint="eastAsia"/>
        </w:rPr>
        <w:t>三、全面</w:t>
      </w:r>
      <w:r>
        <w:t>保障需求</w:t>
      </w:r>
    </w:p>
    <w:p>
      <w:pPr>
        <w:pStyle w:val="43"/>
        <w:spacing w:line="360" w:lineRule="auto"/>
        <w:ind w:firstLine="420"/>
      </w:pPr>
      <w:r>
        <w:rPr>
          <w:rFonts w:hint="eastAsia"/>
        </w:rPr>
        <w:t>以人为本</w:t>
      </w:r>
      <w:r>
        <w:t>，</w:t>
      </w:r>
      <w:r>
        <w:rPr>
          <w:rFonts w:hint="eastAsia"/>
        </w:rPr>
        <w:t>社区</w:t>
      </w:r>
      <w:r>
        <w:t>居民的各</w:t>
      </w:r>
      <w:r>
        <w:rPr>
          <w:rFonts w:hint="eastAsia"/>
        </w:rPr>
        <w:t>层级</w:t>
      </w:r>
      <w:r>
        <w:t>需求，包括安全</w:t>
      </w:r>
      <w:r>
        <w:rPr>
          <w:rFonts w:hint="eastAsia"/>
        </w:rPr>
        <w:t>需求</w:t>
      </w:r>
      <w:r>
        <w:t>、生活需求、服务需求</w:t>
      </w:r>
      <w:r>
        <w:rPr>
          <w:rFonts w:hint="eastAsia"/>
        </w:rPr>
        <w:t>、参与需求</w:t>
      </w:r>
      <w:r>
        <w:t>等，能够得以全面的保障</w:t>
      </w:r>
      <w:r>
        <w:rPr>
          <w:rFonts w:hint="eastAsia"/>
        </w:rPr>
        <w:t>。提供安全、高效、便捷的智慧化服务，让居民</w:t>
      </w:r>
      <w:r>
        <w:t>享受多元信息沟通渠道，</w:t>
      </w:r>
      <w:r>
        <w:rPr>
          <w:rFonts w:hint="eastAsia"/>
        </w:rPr>
        <w:t>享受社区发展治理成果，对</w:t>
      </w:r>
      <w:r>
        <w:t>社区生活增强归属感，对社区治理服务</w:t>
      </w:r>
      <w:r>
        <w:rPr>
          <w:rFonts w:hint="eastAsia"/>
        </w:rPr>
        <w:t>增加参与感</w:t>
      </w:r>
      <w:r>
        <w:t>、获得感。</w:t>
      </w:r>
    </w:p>
    <w:p>
      <w:pPr>
        <w:pStyle w:val="41"/>
        <w:spacing w:line="360" w:lineRule="auto"/>
      </w:pPr>
      <w:bookmarkStart w:id="119" w:name="_Toc27615"/>
      <w:r>
        <w:rPr>
          <w:rFonts w:hint="eastAsia"/>
        </w:rPr>
        <w:t>系统总体架构设计</w:t>
      </w:r>
      <w:bookmarkEnd w:id="119"/>
    </w:p>
    <w:p>
      <w:pPr>
        <w:pStyle w:val="39"/>
        <w:spacing w:line="360" w:lineRule="auto"/>
      </w:pPr>
      <w:bookmarkStart w:id="120" w:name="_Toc8814"/>
      <w:r>
        <w:rPr>
          <w:rFonts w:hint="eastAsia"/>
        </w:rPr>
        <w:t>设计思路</w:t>
      </w:r>
      <w:bookmarkEnd w:id="120"/>
    </w:p>
    <w:p>
      <w:pPr>
        <w:pStyle w:val="43"/>
        <w:spacing w:line="360" w:lineRule="auto"/>
        <w:ind w:firstLine="420"/>
      </w:pPr>
      <w:r>
        <w:rPr>
          <w:rFonts w:hint="eastAsia"/>
        </w:rPr>
        <w:t>基于“泛感知、汇数据、智应用，AI助力</w:t>
      </w:r>
      <w:r>
        <w:t>社区治理‘</w:t>
      </w:r>
      <w:r>
        <w:rPr>
          <w:rFonts w:hint="eastAsia"/>
        </w:rPr>
        <w:t>最后</w:t>
      </w:r>
      <w:r>
        <w:t>一公里’</w:t>
      </w:r>
      <w:r>
        <w:rPr>
          <w:rFonts w:hint="eastAsia"/>
        </w:rPr>
        <w:t>”的</w:t>
      </w:r>
      <w:r>
        <w:t>构建理念，</w:t>
      </w:r>
      <w:r>
        <w:rPr>
          <w:rFonts w:hint="eastAsia"/>
        </w:rPr>
        <w:t>以智慧安防</w:t>
      </w:r>
      <w:r>
        <w:t>社区</w:t>
      </w:r>
      <w:r>
        <w:rPr>
          <w:rFonts w:hint="eastAsia"/>
        </w:rPr>
        <w:t>平台为</w:t>
      </w:r>
      <w:r>
        <w:t>基础，</w:t>
      </w:r>
      <w:r>
        <w:rPr>
          <w:rFonts w:hint="eastAsia"/>
        </w:rPr>
        <w:t>打造</w:t>
      </w:r>
      <w:r>
        <w:t>社区数据中枢和</w:t>
      </w:r>
      <w:r>
        <w:rPr>
          <w:rFonts w:hint="eastAsia"/>
        </w:rPr>
        <w:t>联动</w:t>
      </w:r>
      <w:r>
        <w:t>枢纽，</w:t>
      </w:r>
      <w:r>
        <w:rPr>
          <w:rFonts w:hint="eastAsia"/>
        </w:rPr>
        <w:t>实现分级</w:t>
      </w:r>
      <w:r>
        <w:t>信息传递和一体化运作，</w:t>
      </w:r>
      <w:r>
        <w:rPr>
          <w:rFonts w:hint="eastAsia"/>
        </w:rPr>
        <w:t>构建安全、</w:t>
      </w:r>
      <w:r>
        <w:t>治理、惠民</w:t>
      </w:r>
      <w:r>
        <w:rPr>
          <w:rFonts w:hint="eastAsia"/>
        </w:rPr>
        <w:t>于一体的社区治安防控体系，为公安部门等政府部门和社区居民提供了一整套的智慧安防社区整体解决方案。</w:t>
      </w:r>
    </w:p>
    <w:p>
      <w:pPr>
        <w:pStyle w:val="43"/>
        <w:spacing w:line="360" w:lineRule="auto"/>
        <w:ind w:firstLine="422"/>
      </w:pPr>
      <w:r>
        <w:rPr>
          <w:rFonts w:hint="eastAsia"/>
          <w:b/>
          <w:bCs/>
        </w:rPr>
        <w:t>泛感知</w:t>
      </w:r>
      <w:r>
        <w:rPr>
          <w:rFonts w:hint="eastAsia"/>
        </w:rPr>
        <w:t>：以</w:t>
      </w:r>
      <w:r>
        <w:t>社区网格为载体，</w:t>
      </w:r>
      <w:r>
        <w:rPr>
          <w:rFonts w:hint="eastAsia"/>
        </w:rPr>
        <w:t>通过社区视频监控、出入口控制、人车卡口、移动巡防、报警联防、</w:t>
      </w:r>
      <w:r>
        <w:t>消防感知</w:t>
      </w:r>
      <w:r>
        <w:rPr>
          <w:rFonts w:hint="eastAsia"/>
        </w:rPr>
        <w:t>等建设，实现各类泛在感知数据信息的采集汇聚。</w:t>
      </w:r>
    </w:p>
    <w:p>
      <w:pPr>
        <w:pStyle w:val="43"/>
        <w:spacing w:line="360" w:lineRule="auto"/>
        <w:ind w:firstLine="422"/>
      </w:pPr>
      <w:r>
        <w:rPr>
          <w:rFonts w:hint="eastAsia"/>
          <w:b/>
          <w:bCs/>
        </w:rPr>
        <w:t>汇数据</w:t>
      </w:r>
      <w:r>
        <w:rPr>
          <w:rFonts w:hint="eastAsia"/>
        </w:rPr>
        <w:t>：按照数据规范建设社区数据库系统，包括辖区内人员、房屋、车辆、单位事件、轨迹跟踪、</w:t>
      </w:r>
      <w:r>
        <w:t>物联</w:t>
      </w:r>
      <w:r>
        <w:rPr>
          <w:rFonts w:hint="eastAsia"/>
        </w:rPr>
        <w:t>感知等静态和动态信息，形成社区</w:t>
      </w:r>
      <w:r>
        <w:t>感知数据中枢，</w:t>
      </w:r>
      <w:r>
        <w:rPr>
          <w:rFonts w:hint="eastAsia"/>
        </w:rPr>
        <w:t>实现数据融合</w:t>
      </w:r>
      <w:r>
        <w:t>和</w:t>
      </w:r>
      <w:r>
        <w:rPr>
          <w:rFonts w:hint="eastAsia"/>
        </w:rPr>
        <w:t>分类管理。</w:t>
      </w:r>
    </w:p>
    <w:p>
      <w:pPr>
        <w:pStyle w:val="43"/>
        <w:spacing w:line="360" w:lineRule="auto"/>
        <w:ind w:firstLine="422"/>
      </w:pPr>
      <w:r>
        <w:rPr>
          <w:rFonts w:hint="eastAsia"/>
          <w:b/>
          <w:bCs/>
        </w:rPr>
        <w:t>智应用</w:t>
      </w:r>
      <w:r>
        <w:rPr>
          <w:rFonts w:hint="eastAsia"/>
        </w:rPr>
        <w:t>：利用深度AI技术、大数据技术，形成信息智能感知，异常智能发现，情报智能研判等智能功能，为人民群众安居乐业、公安基层</w:t>
      </w:r>
      <w:r>
        <w:t>智慧**应用</w:t>
      </w:r>
      <w:r>
        <w:rPr>
          <w:rFonts w:hint="eastAsia"/>
        </w:rPr>
        <w:t>提供</w:t>
      </w:r>
      <w:r>
        <w:t>应用</w:t>
      </w:r>
      <w:r>
        <w:rPr>
          <w:rFonts w:hint="eastAsia"/>
        </w:rPr>
        <w:t>服务。</w:t>
      </w:r>
    </w:p>
    <w:p>
      <w:pPr>
        <w:pStyle w:val="43"/>
        <w:spacing w:line="360" w:lineRule="auto"/>
        <w:ind w:firstLine="422"/>
      </w:pPr>
      <w:r>
        <w:rPr>
          <w:rFonts w:hint="eastAsia"/>
          <w:b/>
          <w:bCs/>
        </w:rPr>
        <w:t>社区治理</w:t>
      </w:r>
      <w:r>
        <w:rPr>
          <w:b/>
          <w:bCs/>
        </w:rPr>
        <w:t>”</w:t>
      </w:r>
      <w:r>
        <w:rPr>
          <w:rFonts w:hint="eastAsia"/>
          <w:b/>
          <w:bCs/>
        </w:rPr>
        <w:t>最后一公里</w:t>
      </w:r>
      <w:r>
        <w:rPr>
          <w:b/>
          <w:bCs/>
        </w:rPr>
        <w:t>”</w:t>
      </w:r>
      <w:r>
        <w:rPr>
          <w:rFonts w:hint="eastAsia"/>
        </w:rPr>
        <w:t>：围绕城市综合治理要素，依托人力、技术、警情、民情</w:t>
      </w:r>
      <w:r>
        <w:t>、</w:t>
      </w:r>
      <w:r>
        <w:rPr>
          <w:rFonts w:hint="eastAsia"/>
        </w:rPr>
        <w:t>档案等手段，汇聚多网络数据，形成以物联感知</w:t>
      </w:r>
      <w:r>
        <w:t>、数据应用</w:t>
      </w:r>
      <w:r>
        <w:rPr>
          <w:rFonts w:hint="eastAsia"/>
        </w:rPr>
        <w:t>为主，可视化展现手段为辅，实现社区“人、房、车、场、网”等的管理立体化、可视化和可控化，构建管理、防范、控制于一体的社区治安防控体系，</w:t>
      </w:r>
      <w:r>
        <w:t>打通</w:t>
      </w:r>
      <w:r>
        <w:rPr>
          <w:rFonts w:hint="eastAsia"/>
        </w:rPr>
        <w:t>社区治理”最后一公里”。</w:t>
      </w:r>
    </w:p>
    <w:p>
      <w:pPr>
        <w:pStyle w:val="39"/>
        <w:spacing w:line="360" w:lineRule="auto"/>
      </w:pPr>
      <w:bookmarkStart w:id="121" w:name="_Toc4908"/>
      <w:r>
        <w:rPr>
          <w:rFonts w:hint="eastAsia"/>
          <w:lang w:eastAsia="zh-CN"/>
        </w:rPr>
        <w:t>建设原则和策略</w:t>
      </w:r>
      <w:bookmarkEnd w:id="121"/>
    </w:p>
    <w:p>
      <w:pPr>
        <w:pStyle w:val="43"/>
        <w:spacing w:line="360" w:lineRule="auto"/>
        <w:ind w:firstLine="420"/>
      </w:pPr>
    </w:p>
    <w:p>
      <w:pPr>
        <w:pStyle w:val="43"/>
        <w:spacing w:line="360" w:lineRule="auto"/>
        <w:ind w:firstLine="420"/>
        <w:rPr>
          <w:rFonts w:hAnsi="宋体" w:eastAsia="宋体" w:cs="Arial"/>
        </w:rPr>
      </w:pPr>
      <w:r>
        <w:rPr>
          <w:rFonts w:hint="eastAsia" w:hAnsi="宋体" w:eastAsia="宋体" w:cs="Arial"/>
        </w:rPr>
        <w:t>海曙区智慧安防社区建设项目应遵循以下建设原则：</w:t>
      </w:r>
    </w:p>
    <w:p>
      <w:pPr>
        <w:pStyle w:val="43"/>
        <w:spacing w:line="360" w:lineRule="auto"/>
        <w:ind w:firstLine="420"/>
      </w:pPr>
      <w:r>
        <w:rPr>
          <w:rFonts w:hint="eastAsia"/>
        </w:rPr>
        <w:t>要充分考虑小区现有情况，对近两年改造的设备和能正常使用的设备做到合理利用；</w:t>
      </w:r>
    </w:p>
    <w:p>
      <w:pPr>
        <w:pStyle w:val="43"/>
        <w:spacing w:line="360" w:lineRule="auto"/>
        <w:ind w:firstLine="420"/>
      </w:pPr>
      <w:r>
        <w:rPr>
          <w:rFonts w:hint="eastAsia"/>
        </w:rPr>
        <w:t>安防设施的改造需结合老旧小区的居住人群特点，做到方便实用；</w:t>
      </w:r>
    </w:p>
    <w:p>
      <w:pPr>
        <w:pStyle w:val="43"/>
        <w:spacing w:line="360" w:lineRule="auto"/>
        <w:ind w:firstLine="420"/>
      </w:pPr>
      <w:r>
        <w:rPr>
          <w:rFonts w:hint="eastAsia"/>
        </w:rPr>
        <w:t>通过智慧安防社区的建设，为小区居民提供方便实用的智慧安防设施，创造安全便利的生活环境；</w:t>
      </w:r>
    </w:p>
    <w:p>
      <w:pPr>
        <w:pStyle w:val="43"/>
        <w:spacing w:line="360" w:lineRule="auto"/>
        <w:ind w:firstLine="420"/>
      </w:pPr>
      <w:r>
        <w:rPr>
          <w:rFonts w:hint="eastAsia"/>
        </w:rPr>
        <w:t>通过智慧安防社区的建设，为小区物业管理提供便利，节约人工成本；为综治网格化管理提供丰富的基础数据，提高网格员的管理效率；</w:t>
      </w:r>
    </w:p>
    <w:p>
      <w:pPr>
        <w:pStyle w:val="43"/>
        <w:spacing w:line="360" w:lineRule="auto"/>
        <w:ind w:firstLine="420"/>
      </w:pPr>
      <w:r>
        <w:rPr>
          <w:rFonts w:hint="eastAsia"/>
        </w:rPr>
        <w:t>智慧安防社区是通过综合运用现代科学技术，整合区域人、地、物、情、事、组织和房屋等信息，统筹公共管理、公共服务和商业服务等资源，以智慧安防社区综合信息服务平台为支撑，依托适度领先的基础设施建设，提升社区治理和小区管理现代化，促进公共服务和便民利民服务智能化的一种社区管理和服务的创新模式，也是实现新型城镇化发展目标和社区服务体系建设目标的重要举措之一。</w:t>
      </w:r>
    </w:p>
    <w:p>
      <w:pPr>
        <w:pStyle w:val="39"/>
        <w:spacing w:line="360" w:lineRule="auto"/>
      </w:pPr>
      <w:bookmarkStart w:id="122" w:name="_Toc30621"/>
      <w:r>
        <w:rPr>
          <w:rFonts w:hint="eastAsia"/>
          <w:lang w:eastAsia="zh-CN"/>
        </w:rPr>
        <w:t>总体目标</w:t>
      </w:r>
      <w:bookmarkEnd w:id="122"/>
    </w:p>
    <w:p>
      <w:pPr>
        <w:pStyle w:val="43"/>
        <w:spacing w:line="360" w:lineRule="auto"/>
        <w:ind w:firstLine="420"/>
      </w:pPr>
      <w:r>
        <w:rPr>
          <w:rFonts w:hint="eastAsia"/>
        </w:rPr>
        <w:t>我国智慧安防社区建设仍然处于初级阶段，存在着一些困难和问题。比如社区基础设施建设水平参差不齐，缺乏社区综合服务平台，应用尚未形成规模；社区治理职能亟待完善，公共服务项目少且使用不便；小区房屋和物业管理服务层次低，社区自治能力尚未充分发挥；便民利民领域应用未能广泛推广；缺乏统筹规划，体制机制不顺畅，相关人才队伍欠缺，可持续的建设运营模式尚未形成。作为智慧城市建设的核心组成部分，智慧社区建设具有见效快、惠民利民的特征，智慧社区还能增强社区居民对智慧城市建设的感知度和社会认同度，为智慧城市建设的普及和宣传增光添彩。</w:t>
      </w:r>
    </w:p>
    <w:p>
      <w:pPr>
        <w:pStyle w:val="43"/>
        <w:spacing w:line="360" w:lineRule="auto"/>
        <w:ind w:firstLine="420"/>
      </w:pPr>
      <w:r>
        <w:rPr>
          <w:rFonts w:hint="eastAsia"/>
        </w:rPr>
        <w:t>积极推进智慧安防社区建设，有利于提高基础设施的集约化和智能化水平，实现绿色生态社区建设；有利于促进和扩大政务信息共享范围，降低行政管理成本，增强行政运行效能，推动基层政府向服务型政府的转型，促进社区治理体系的现代化；有利于减轻社区组织的工作负担，改善社区组织的工作条件，优化社区自治环境，提升社区服务和管理能力；有利于保障基本公共服务均等化，改进基本公共服务的提供方式，以及拓展社区服务内容和领域，为建立多元化、多层次的社区服务体系打下良好基础。</w:t>
      </w:r>
    </w:p>
    <w:p>
      <w:pPr>
        <w:pStyle w:val="43"/>
        <w:spacing w:line="360" w:lineRule="auto"/>
        <w:ind w:firstLine="420"/>
      </w:pPr>
      <w:r>
        <w:rPr>
          <w:rFonts w:hint="eastAsia"/>
        </w:rPr>
        <w:t>积极推进智慧安防社区建设，是践行、创新和发展新时代“枫桥经验”的一项重要举措。智慧安防社区建设是利用科技信息化手段来更好、更快、更准的访民情、察民意、惠民生、帮民困、解民难、扶民危、保民安，是新时代“枫桥经验”在科技信息化建设领域的创新和发展。</w:t>
      </w:r>
    </w:p>
    <w:p>
      <w:pPr>
        <w:pStyle w:val="43"/>
        <w:spacing w:line="360" w:lineRule="auto"/>
        <w:ind w:firstLine="420"/>
      </w:pPr>
      <w:r>
        <w:rPr>
          <w:rFonts w:hint="eastAsia"/>
        </w:rPr>
        <w:t>积极推进智慧安防社区建设，是做好流动人口管理和服务，夯实社会管理基础能力的一项重要举措。</w:t>
      </w:r>
    </w:p>
    <w:p>
      <w:pPr>
        <w:pStyle w:val="43"/>
        <w:spacing w:line="360" w:lineRule="auto"/>
        <w:ind w:firstLine="420"/>
      </w:pPr>
      <w:r>
        <w:rPr>
          <w:rFonts w:hint="eastAsia"/>
        </w:rPr>
        <w:t>积极推进智慧安防社区建设，为夯实“扫黑除恶”阶段性成果，更加精细化、深入化推进“扫黑除恶”专项行动的重要提供科技保障。社区是黑恶势力盘踞的主要场所，严重侵蚀着社会肌体，但黑恶势力打击面临着线索发现难、案情研判难和证据收集难的现状。</w:t>
      </w:r>
    </w:p>
    <w:p>
      <w:pPr>
        <w:pStyle w:val="39"/>
        <w:spacing w:line="360" w:lineRule="auto"/>
        <w:rPr>
          <w:lang w:eastAsia="zh-CN"/>
        </w:rPr>
      </w:pPr>
      <w:bookmarkStart w:id="123" w:name="_Toc2681"/>
      <w:r>
        <w:rPr>
          <w:rFonts w:hint="eastAsia"/>
          <w:lang w:eastAsia="zh-CN"/>
        </w:rPr>
        <w:t>总体架构</w:t>
      </w:r>
      <w:bookmarkEnd w:id="123"/>
    </w:p>
    <w:p>
      <w:pPr>
        <w:pStyle w:val="43"/>
        <w:numPr>
          <w:ilvl w:val="0"/>
          <w:numId w:val="9"/>
        </w:numPr>
        <w:spacing w:line="360" w:lineRule="auto"/>
        <w:ind w:firstLineChars="0"/>
      </w:pPr>
      <w:r>
        <w:rPr>
          <w:rFonts w:hint="eastAsia"/>
        </w:rPr>
        <w:t>前端部分</w:t>
      </w:r>
    </w:p>
    <w:p>
      <w:pPr>
        <w:pStyle w:val="43"/>
        <w:spacing w:line="360" w:lineRule="auto"/>
        <w:ind w:firstLine="420"/>
      </w:pPr>
      <w:r>
        <w:rPr>
          <w:rFonts w:hint="eastAsia"/>
        </w:rPr>
        <w:t>前端子系统主要将社区视频信息、人员信息、车辆信息、出入口信息、门禁信息、消防智能传感信息等基础数据资源进行充分、准确采集，并汇聚至各小区安全防范管理系统平台，前端系统主要包括人员出入口、智能停车、视频</w:t>
      </w:r>
      <w:r>
        <w:t>监控</w:t>
      </w:r>
      <w:r>
        <w:rPr>
          <w:rFonts w:hint="eastAsia"/>
        </w:rPr>
        <w:t>、消防报警、周界报警、人脸抓拍、车辆抓拍等。</w:t>
      </w:r>
    </w:p>
    <w:p>
      <w:pPr>
        <w:pStyle w:val="43"/>
        <w:numPr>
          <w:ilvl w:val="0"/>
          <w:numId w:val="9"/>
        </w:numPr>
        <w:spacing w:line="360" w:lineRule="auto"/>
        <w:ind w:firstLineChars="0"/>
      </w:pPr>
      <w:r>
        <w:rPr>
          <w:rFonts w:hint="eastAsia"/>
        </w:rPr>
        <w:t>小区安全防范管理系统</w:t>
      </w:r>
    </w:p>
    <w:p>
      <w:pPr>
        <w:pStyle w:val="43"/>
        <w:spacing w:line="360" w:lineRule="auto"/>
        <w:ind w:firstLine="420"/>
      </w:pPr>
      <w:r>
        <w:rPr>
          <w:rFonts w:hint="eastAsia"/>
        </w:rPr>
        <w:t>作为前端多维感知数据的汇聚地，系统实现小区人房录入、视频监控、车辆、人脸、消防管理等子系统统一管理、统一切换控制、统一显示以及基本物业管理服务功能，实现对小区系统的统一配置和管理。</w:t>
      </w:r>
    </w:p>
    <w:p>
      <w:pPr>
        <w:pStyle w:val="43"/>
        <w:numPr>
          <w:ilvl w:val="0"/>
          <w:numId w:val="9"/>
        </w:numPr>
        <w:spacing w:line="360" w:lineRule="auto"/>
        <w:ind w:firstLineChars="0"/>
      </w:pPr>
      <w:r>
        <w:rPr>
          <w:rFonts w:hint="eastAsia"/>
        </w:rPr>
        <w:t>智慧安防小区数据汇聚平台（政务外网）（已建设）</w:t>
      </w:r>
    </w:p>
    <w:p>
      <w:pPr>
        <w:pStyle w:val="43"/>
        <w:spacing w:line="360" w:lineRule="auto"/>
        <w:ind w:firstLine="420"/>
      </w:pPr>
      <w:r>
        <w:rPr>
          <w:rFonts w:hint="eastAsia"/>
        </w:rPr>
        <w:t>本架构采用市县两级汇聚模式，区县建设区县级智慧安防小区数据汇聚平台，部署在政务外网，实现智慧安防小区数据汇聚，同时实现与区县各政府部门之间的数据共享。数据汇聚根据前端各小区的管理平台建设情况，可分为平台接入、设备直接接入和原有云平台对接三种模式，实现对前端各小区设备数据的汇聚。</w:t>
      </w:r>
    </w:p>
    <w:p>
      <w:pPr>
        <w:pStyle w:val="43"/>
        <w:numPr>
          <w:ilvl w:val="0"/>
          <w:numId w:val="9"/>
        </w:numPr>
        <w:spacing w:line="360" w:lineRule="auto"/>
        <w:ind w:firstLineChars="0"/>
      </w:pPr>
      <w:r>
        <w:rPr>
          <w:rFonts w:hint="eastAsia"/>
        </w:rPr>
        <w:t>智慧安防小区管控平台（已建设）</w:t>
      </w:r>
    </w:p>
    <w:p>
      <w:pPr>
        <w:pStyle w:val="43"/>
        <w:spacing w:line="360" w:lineRule="auto"/>
        <w:ind w:firstLine="420"/>
      </w:pPr>
      <w:r>
        <w:rPr>
          <w:rFonts w:hint="eastAsia"/>
        </w:rPr>
        <w:t>按需汇聚后的数据经过解析、清洗、分类、碰撞、关联处理后形成人员信息专题库、车辆信息专题库、物联信息专题库等等专题数据库，最后将这些专题数据与业务相关联为用户提供人员管控、异常行为分析、预警预测、综合研判的等功能应用。</w:t>
      </w:r>
    </w:p>
    <w:p>
      <w:pPr>
        <w:pStyle w:val="43"/>
        <w:ind w:firstLine="480"/>
      </w:pPr>
      <w:r>
        <w:rPr>
          <w:rFonts w:hint="eastAsia" w:ascii="宋体" w:hAnsi="宋体" w:cs="宋体"/>
          <w:sz w:val="24"/>
        </w:rPr>
        <w:drawing>
          <wp:inline distT="0" distB="0" distL="114300" distR="114300">
            <wp:extent cx="5744845" cy="4611370"/>
            <wp:effectExtent l="0" t="0" r="8255" b="17780"/>
            <wp:docPr id="1" name="图片 1" descr="16184923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18492354(1)"/>
                    <pic:cNvPicPr>
                      <a:picLocks noChangeAspect="1"/>
                    </pic:cNvPicPr>
                  </pic:nvPicPr>
                  <pic:blipFill>
                    <a:blip r:embed="rId15"/>
                    <a:stretch>
                      <a:fillRect/>
                    </a:stretch>
                  </pic:blipFill>
                  <pic:spPr>
                    <a:xfrm>
                      <a:off x="0" y="0"/>
                      <a:ext cx="5744845" cy="4611370"/>
                    </a:xfrm>
                    <a:prstGeom prst="rect">
                      <a:avLst/>
                    </a:prstGeom>
                    <a:noFill/>
                    <a:ln>
                      <a:noFill/>
                    </a:ln>
                  </pic:spPr>
                </pic:pic>
              </a:graphicData>
            </a:graphic>
          </wp:inline>
        </w:drawing>
      </w:r>
    </w:p>
    <w:p>
      <w:pPr>
        <w:pStyle w:val="39"/>
        <w:spacing w:line="360" w:lineRule="auto"/>
      </w:pPr>
      <w:r>
        <w:rPr>
          <w:rFonts w:hint="eastAsia"/>
        </w:rPr>
        <w:t>联网架构</w:t>
      </w:r>
    </w:p>
    <w:p>
      <w:pPr>
        <w:pStyle w:val="43"/>
        <w:spacing w:line="360" w:lineRule="auto"/>
        <w:ind w:firstLine="420"/>
      </w:pPr>
      <w:r>
        <w:rPr>
          <w:rFonts w:hint="eastAsia"/>
        </w:rPr>
        <w:t>智慧安防社区防控体系主要</w:t>
      </w:r>
      <w:r>
        <w:t>由</w:t>
      </w:r>
      <w:r>
        <w:rPr>
          <w:rFonts w:hint="eastAsia"/>
        </w:rPr>
        <w:t>小区</w:t>
      </w:r>
      <w:r>
        <w:t>侧的</w:t>
      </w:r>
      <w:r>
        <w:rPr>
          <w:rFonts w:hint="eastAsia"/>
        </w:rPr>
        <w:t>小区安全防范管理系统</w:t>
      </w:r>
      <w:r>
        <w:t>、</w:t>
      </w:r>
      <w:r>
        <w:rPr>
          <w:rFonts w:hint="eastAsia"/>
        </w:rPr>
        <w:t>小区出入口等</w:t>
      </w:r>
      <w:r>
        <w:t>场景下</w:t>
      </w:r>
      <w:r>
        <w:rPr>
          <w:rFonts w:hint="eastAsia"/>
        </w:rPr>
        <w:t>智能</w:t>
      </w:r>
      <w:r>
        <w:t>感知采集设备，</w:t>
      </w:r>
      <w:r>
        <w:rPr>
          <w:rFonts w:hint="eastAsia"/>
        </w:rPr>
        <w:t>政务外网的数据汇聚平台以及公安侧</w:t>
      </w:r>
      <w:r>
        <w:t>的</w:t>
      </w:r>
      <w:r>
        <w:rPr>
          <w:rFonts w:hint="eastAsia"/>
        </w:rPr>
        <w:t>智慧</w:t>
      </w:r>
      <w:r>
        <w:t>安防</w:t>
      </w:r>
      <w:r>
        <w:rPr>
          <w:rFonts w:hint="eastAsia"/>
        </w:rPr>
        <w:t>小区管控平台组成</w:t>
      </w:r>
      <w:r>
        <w:t>。</w:t>
      </w:r>
      <w:r>
        <w:rPr>
          <w:rFonts w:hint="eastAsia"/>
        </w:rPr>
        <w:t>小区</w:t>
      </w:r>
      <w:r>
        <w:t>侧的</w:t>
      </w:r>
      <w:r>
        <w:rPr>
          <w:rFonts w:hint="eastAsia"/>
        </w:rPr>
        <w:t>智能感知采集设备主要分布</w:t>
      </w:r>
      <w:r>
        <w:t>在局域网，</w:t>
      </w:r>
      <w:r>
        <w:rPr>
          <w:rFonts w:hint="eastAsia"/>
        </w:rPr>
        <w:t>其中</w:t>
      </w:r>
      <w:r>
        <w:t>，</w:t>
      </w:r>
      <w:r>
        <w:rPr>
          <w:rFonts w:hint="eastAsia"/>
        </w:rPr>
        <w:t>小区安全防范管理系统平台在实现</w:t>
      </w:r>
      <w:r>
        <w:t>对</w:t>
      </w:r>
      <w:r>
        <w:rPr>
          <w:rFonts w:hint="eastAsia"/>
        </w:rPr>
        <w:t>小区安防设施接入和管理的同时，获取小区安防设施所采集到的基础要素数据，并进行分析管理，将结果数据上传至数据汇聚平台。</w:t>
      </w:r>
    </w:p>
    <w:p>
      <w:pPr>
        <w:pStyle w:val="43"/>
        <w:spacing w:line="360" w:lineRule="auto"/>
        <w:ind w:firstLine="420"/>
      </w:pPr>
      <w:r>
        <w:rPr>
          <w:rFonts w:hint="eastAsia"/>
        </w:rPr>
        <w:t>社区智能</w:t>
      </w:r>
      <w:r>
        <w:t>感知采集设备</w:t>
      </w:r>
      <w:r>
        <w:rPr>
          <w:rFonts w:hint="eastAsia"/>
        </w:rPr>
        <w:t>/系统的采集感知</w:t>
      </w:r>
      <w:r>
        <w:t>信息、数据通信</w:t>
      </w:r>
      <w:r>
        <w:rPr>
          <w:rFonts w:hint="eastAsia"/>
        </w:rPr>
        <w:t>应</w:t>
      </w:r>
      <w:r>
        <w:t>符合</w:t>
      </w:r>
      <w:r>
        <w:rPr>
          <w:rFonts w:hint="eastAsia"/>
        </w:rPr>
        <w:t>《公安视频图像信息应用系统》标准；根据社区</w:t>
      </w:r>
      <w:r>
        <w:t>场景</w:t>
      </w:r>
      <w:r>
        <w:rPr>
          <w:rFonts w:hint="eastAsia"/>
        </w:rPr>
        <w:t>下智能摄像机、视频图像智能分析产品、报警主机、门禁控制器等智能设备采集</w:t>
      </w:r>
      <w:r>
        <w:t>数据类型</w:t>
      </w:r>
      <w:r>
        <w:rPr>
          <w:rFonts w:hint="eastAsia"/>
        </w:rPr>
        <w:t>对</w:t>
      </w:r>
      <w:r>
        <w:t>标准协议进行</w:t>
      </w:r>
      <w:r>
        <w:rPr>
          <w:rFonts w:hint="eastAsia"/>
        </w:rPr>
        <w:t>延伸</w:t>
      </w:r>
      <w:r>
        <w:t>拓展</w:t>
      </w:r>
      <w:r>
        <w:rPr>
          <w:rFonts w:hint="eastAsia"/>
        </w:rPr>
        <w:t>；视频监控图像信息采集传输应符合《公共安全视频监控联网系统信息传输、交换、控制技术要求》要求。</w:t>
      </w:r>
    </w:p>
    <w:p>
      <w:pPr>
        <w:pStyle w:val="43"/>
        <w:spacing w:line="360" w:lineRule="auto"/>
        <w:ind w:firstLine="420"/>
      </w:pPr>
      <w:r>
        <w:rPr>
          <w:rFonts w:hint="eastAsia"/>
        </w:rPr>
        <w:t>智慧安防社区管控平台对小区提供的小区基础要素数据进行集约化管理、数据</w:t>
      </w:r>
      <w:r>
        <w:t>分析挖掘</w:t>
      </w:r>
      <w:r>
        <w:rPr>
          <w:rFonts w:hint="eastAsia"/>
        </w:rPr>
        <w:t>及共享应用。智能感知平台主要用于感知数据的缓存，公安信息网中的智慧安防小区管控平台</w:t>
      </w:r>
      <w:r>
        <w:t>主要用于社区**</w:t>
      </w:r>
      <w:r>
        <w:rPr>
          <w:rFonts w:hint="eastAsia"/>
        </w:rPr>
        <w:t>实战应用。智慧安防社区防控体系的设计具备与上一级管理系统联网功能，终端接口及通信协议应符合国家现行有关标准规定。</w:t>
      </w:r>
    </w:p>
    <w:p>
      <w:pPr>
        <w:pStyle w:val="43"/>
        <w:spacing w:line="360" w:lineRule="auto"/>
        <w:ind w:firstLine="420"/>
      </w:pPr>
      <w:r>
        <w:rPr>
          <w:rFonts w:hint="eastAsia"/>
        </w:rPr>
        <w:t>一、小区平台</w:t>
      </w:r>
      <w:r>
        <w:t>对接</w:t>
      </w:r>
    </w:p>
    <w:p>
      <w:pPr>
        <w:pStyle w:val="43"/>
        <w:spacing w:line="360" w:lineRule="auto"/>
        <w:ind w:firstLine="420"/>
      </w:pPr>
      <w:r>
        <w:rPr>
          <w:rFonts w:hint="eastAsia"/>
        </w:rPr>
        <w:t>智慧小区管理平台对于设备前端及管理人员可实现门禁卡片管理、停车场管理、人员管理、事件管理、设备管理、权限配置、高级应用管理等。本地管理中心根据应用场景被不同的人员使用，社区的操作人员实现人员统一开卡、授权及门禁记录和停车场出入场记录回查等。</w:t>
      </w:r>
    </w:p>
    <w:p>
      <w:pPr>
        <w:pStyle w:val="43"/>
        <w:spacing w:line="360" w:lineRule="auto"/>
        <w:ind w:firstLine="420"/>
      </w:pPr>
      <w:r>
        <w:rPr>
          <w:rFonts w:hint="eastAsia"/>
        </w:rPr>
        <w:t>同时，小区平台支持实时上传事件及数据信息至上级</w:t>
      </w:r>
      <w:r>
        <w:t>智慧安防社区平台进行</w:t>
      </w:r>
      <w:r>
        <w:rPr>
          <w:rFonts w:hint="eastAsia"/>
        </w:rPr>
        <w:t>联网汇聚。上下级联网平台之间应能根据事先配置的连接信息（资源编码ID、IP地址或域名等）建立通讯连接，同时应具备身份验证、数据加密、数字摘要等数据完整性保护等安全性功能。</w:t>
      </w:r>
    </w:p>
    <w:p>
      <w:pPr>
        <w:pStyle w:val="43"/>
        <w:spacing w:line="360" w:lineRule="auto"/>
        <w:ind w:firstLine="420"/>
      </w:pPr>
      <w:r>
        <w:rPr>
          <w:rFonts w:hint="eastAsia"/>
        </w:rPr>
        <w:t>本级向上的汇聚数据支持：人员基础信息、房屋</w:t>
      </w:r>
      <w:r>
        <w:t>基础信息、</w:t>
      </w:r>
      <w:r>
        <w:rPr>
          <w:rFonts w:hint="eastAsia"/>
        </w:rPr>
        <w:t>车辆</w:t>
      </w:r>
      <w:r>
        <w:t>基础信息、</w:t>
      </w:r>
      <w:r>
        <w:rPr>
          <w:rFonts w:hint="eastAsia"/>
        </w:rPr>
        <w:t>人脸</w:t>
      </w:r>
      <w:r>
        <w:t>抓拍事件、车辆抓拍事件、</w:t>
      </w:r>
      <w:r>
        <w:rPr>
          <w:rFonts w:hint="eastAsia"/>
        </w:rPr>
        <w:t>门禁出入事件、访客出入事件</w:t>
      </w:r>
      <w:r>
        <w:t>、</w:t>
      </w:r>
      <w:r>
        <w:rPr>
          <w:rFonts w:hint="eastAsia"/>
        </w:rPr>
        <w:t>车辆出入事件、</w:t>
      </w:r>
      <w:r>
        <w:t>出入设备信息</w:t>
      </w:r>
      <w:r>
        <w:rPr>
          <w:rFonts w:hint="eastAsia"/>
        </w:rPr>
        <w:t>等</w:t>
      </w:r>
      <w:r>
        <w:t>。</w:t>
      </w:r>
    </w:p>
    <w:p>
      <w:pPr>
        <w:pStyle w:val="43"/>
        <w:spacing w:line="360" w:lineRule="auto"/>
        <w:ind w:firstLine="420"/>
      </w:pPr>
      <w:r>
        <w:rPr>
          <w:rFonts w:hint="eastAsia"/>
        </w:rPr>
        <w:t>二、上下级</w:t>
      </w:r>
      <w:r>
        <w:t>平台级联</w:t>
      </w:r>
    </w:p>
    <w:p>
      <w:pPr>
        <w:pStyle w:val="43"/>
        <w:spacing w:line="360" w:lineRule="auto"/>
        <w:ind w:firstLine="420"/>
      </w:pPr>
      <w:r>
        <w:rPr>
          <w:rFonts w:hint="eastAsia"/>
        </w:rPr>
        <w:t>县（区）级视频</w:t>
      </w:r>
      <w:r>
        <w:t>专网智慧</w:t>
      </w:r>
      <w:r>
        <w:rPr>
          <w:rFonts w:hint="eastAsia"/>
        </w:rPr>
        <w:t>安防</w:t>
      </w:r>
      <w:r>
        <w:t>社区平台</w:t>
      </w:r>
      <w:r>
        <w:rPr>
          <w:rFonts w:hint="eastAsia"/>
        </w:rPr>
        <w:t>和县（区）级公安网智慧安防社区数据应用平台分别依托视频专网和公安信息网实现纵向级联，上下级平台的联网对接应满足</w:t>
      </w:r>
      <w:r>
        <w:t>《全国公安机关图像信息联网总体技术方案》</w:t>
      </w:r>
      <w:r>
        <w:rPr>
          <w:rFonts w:hint="eastAsia"/>
        </w:rPr>
        <w:t>、《公共</w:t>
      </w:r>
      <w:r>
        <w:t>安全视频监控联网系统信息传输、交换、控制技术要求</w:t>
      </w:r>
      <w:r>
        <w:rPr>
          <w:rFonts w:hint="eastAsia"/>
        </w:rPr>
        <w:t>》</w:t>
      </w:r>
      <w:r>
        <w:t>的标准强制项</w:t>
      </w:r>
      <w:r>
        <w:rPr>
          <w:rFonts w:hint="eastAsia"/>
        </w:rPr>
        <w:t>要求</w:t>
      </w:r>
      <w:r>
        <w:t>。</w:t>
      </w:r>
    </w:p>
    <w:p>
      <w:pPr>
        <w:pStyle w:val="43"/>
        <w:spacing w:line="360" w:lineRule="auto"/>
        <w:ind w:firstLine="420"/>
      </w:pPr>
      <w:r>
        <w:rPr>
          <w:rFonts w:hint="eastAsia"/>
        </w:rPr>
        <w:t>本级向上的汇聚数据支持：智能摄像机视频流、人员基础信息、房屋基础信息、车辆基础信息、人脸抓拍事件、车辆抓拍事件、门禁出入事件、访客出入事件、车辆出入事件、出入设备信息等。</w:t>
      </w:r>
    </w:p>
    <w:p>
      <w:pPr>
        <w:pStyle w:val="43"/>
        <w:spacing w:line="360" w:lineRule="auto"/>
        <w:ind w:firstLine="420"/>
      </w:pPr>
      <w:r>
        <w:rPr>
          <w:rFonts w:hint="eastAsia"/>
        </w:rPr>
        <w:t>三、同级平台</w:t>
      </w:r>
      <w:r>
        <w:t>级联</w:t>
      </w:r>
    </w:p>
    <w:p>
      <w:pPr>
        <w:pStyle w:val="43"/>
        <w:spacing w:line="360" w:lineRule="auto"/>
        <w:ind w:firstLine="420"/>
        <w:rPr>
          <w:rFonts w:hAnsi="宋体" w:eastAsia="宋体" w:cs="Arial"/>
        </w:rPr>
      </w:pPr>
      <w:r>
        <w:rPr>
          <w:rFonts w:hint="eastAsia"/>
        </w:rPr>
        <w:t>智慧安防社区数据汇聚平台、县（区）级公安网络的智慧安防社区管控平台跨网对接，需要经过边界安全接入平台，可实现互联网与视频专网、视频专网</w:t>
      </w:r>
      <w:r>
        <w:t>与公安信息网之间双向</w:t>
      </w:r>
      <w:r>
        <w:rPr>
          <w:rFonts w:hint="eastAsia"/>
        </w:rPr>
        <w:t>的数据</w:t>
      </w:r>
      <w:r>
        <w:t>资源（</w:t>
      </w:r>
      <w:r>
        <w:rPr>
          <w:rFonts w:hint="eastAsia"/>
        </w:rPr>
        <w:t>数据库</w:t>
      </w:r>
      <w:r>
        <w:t>和文件等）</w:t>
      </w:r>
      <w:r>
        <w:rPr>
          <w:rFonts w:hint="eastAsia"/>
        </w:rPr>
        <w:t>共享</w:t>
      </w:r>
      <w:r>
        <w:t>和安全交换</w:t>
      </w:r>
      <w:r>
        <w:rPr>
          <w:rFonts w:hint="eastAsia"/>
        </w:rPr>
        <w:t>，应满足</w:t>
      </w:r>
      <w:r>
        <w:t>《全国公安机关图像信息联网总体技术方案》</w:t>
      </w:r>
      <w:r>
        <w:rPr>
          <w:rFonts w:hint="eastAsia"/>
        </w:rPr>
        <w:t>、《公共</w:t>
      </w:r>
      <w:r>
        <w:t>安全视频监控联网系统信息传输、交换、控制技术要求</w:t>
      </w:r>
      <w:r>
        <w:rPr>
          <w:rFonts w:hint="eastAsia"/>
        </w:rPr>
        <w:t>》（GB/T28181</w:t>
      </w:r>
      <w:r>
        <w:t>-2016）</w:t>
      </w:r>
      <w:r>
        <w:rPr>
          <w:rFonts w:hint="eastAsia"/>
        </w:rPr>
        <w:t>等</w:t>
      </w:r>
      <w:r>
        <w:t>标准强制项</w:t>
      </w:r>
      <w:r>
        <w:rPr>
          <w:rFonts w:hint="eastAsia"/>
        </w:rPr>
        <w:t>要求</w:t>
      </w:r>
      <w:r>
        <w:t>。</w:t>
      </w:r>
    </w:p>
    <w:p>
      <w:pPr>
        <w:pStyle w:val="41"/>
        <w:spacing w:line="360" w:lineRule="auto"/>
      </w:pPr>
      <w:bookmarkStart w:id="124" w:name="_Toc9418"/>
      <w:r>
        <w:rPr>
          <w:rFonts w:hint="eastAsia"/>
        </w:rPr>
        <w:t>前端采集系统设计</w:t>
      </w:r>
      <w:bookmarkEnd w:id="124"/>
    </w:p>
    <w:p>
      <w:pPr>
        <w:pStyle w:val="39"/>
        <w:spacing w:line="360" w:lineRule="auto"/>
      </w:pPr>
      <w:bookmarkStart w:id="125" w:name="_Toc25303"/>
      <w:r>
        <w:rPr>
          <w:rFonts w:hint="eastAsia"/>
        </w:rPr>
        <w:t>视频安防监控系统</w:t>
      </w:r>
      <w:bookmarkEnd w:id="125"/>
    </w:p>
    <w:p>
      <w:pPr>
        <w:pStyle w:val="37"/>
        <w:spacing w:line="360" w:lineRule="auto"/>
        <w:ind w:firstLine="420"/>
        <w:rPr>
          <w:rFonts w:ascii="Arial" w:hAnsi="宋体" w:eastAsia="宋体" w:cs="Arial"/>
          <w:szCs w:val="24"/>
        </w:rPr>
      </w:pPr>
      <w:r>
        <w:rPr>
          <w:rFonts w:hint="eastAsia" w:ascii="Arial" w:hAnsi="宋体" w:eastAsia="宋体" w:cs="Arial"/>
          <w:szCs w:val="24"/>
        </w:rPr>
        <w:t>一、系统概述</w:t>
      </w:r>
    </w:p>
    <w:p>
      <w:pPr>
        <w:pStyle w:val="43"/>
        <w:spacing w:line="360" w:lineRule="auto"/>
        <w:ind w:firstLine="420"/>
      </w:pPr>
      <w:r>
        <w:rPr>
          <w:rFonts w:hint="eastAsia"/>
        </w:rPr>
        <w:t>由于小区人流与车流进出频繁，难免会有不法份子或熟悉社区环境的不速之客进入小区内部，为确保小区内部公共区域的安全，同时为避免业主由于车辆刮擦等造成的日常纠纷，需要在重点关注区域实施24小时视频监控。</w:t>
      </w:r>
    </w:p>
    <w:p>
      <w:pPr>
        <w:pStyle w:val="43"/>
        <w:spacing w:line="360" w:lineRule="auto"/>
        <w:ind w:firstLine="420"/>
      </w:pPr>
      <w:r>
        <w:rPr>
          <w:rFonts w:hint="eastAsia"/>
        </w:rPr>
        <w:t>简单的视频监控系统为物业管理人员带来繁复的工作量，现代化社区的高效管理要求视频监控具备高清、智能、联动特性，间接提升社区安全性。</w:t>
      </w:r>
    </w:p>
    <w:p>
      <w:pPr>
        <w:pStyle w:val="43"/>
        <w:spacing w:line="360" w:lineRule="auto"/>
        <w:ind w:firstLine="420"/>
      </w:pPr>
      <w:r>
        <w:rPr>
          <w:rFonts w:hint="eastAsia"/>
        </w:rPr>
        <w:t>在小区内</w:t>
      </w:r>
      <w:r>
        <w:t>部重点公共区域设置红外枪式摄像机，根据具体环境特点</w:t>
      </w:r>
      <w:r>
        <w:rPr>
          <w:rFonts w:hint="eastAsia"/>
        </w:rPr>
        <w:t>选</w:t>
      </w:r>
      <w:r>
        <w:t>配超低照度、强光</w:t>
      </w:r>
      <w:r>
        <w:rPr>
          <w:rFonts w:hint="eastAsia"/>
        </w:rPr>
        <w:t>抑制</w:t>
      </w:r>
      <w:r>
        <w:t>、宽动态等功能，以</w:t>
      </w:r>
      <w:r>
        <w:rPr>
          <w:rFonts w:hint="eastAsia"/>
        </w:rPr>
        <w:t>实现小区室外公共区域的视频监控管理，具体包括对小区主要干道、活动广场、室外停车位、广场水池等重点关注区域等。</w:t>
      </w:r>
    </w:p>
    <w:p>
      <w:pPr>
        <w:pStyle w:val="37"/>
        <w:spacing w:line="360" w:lineRule="auto"/>
        <w:ind w:firstLine="420"/>
        <w:rPr>
          <w:rFonts w:ascii="Arial" w:hAnsi="宋体" w:eastAsia="宋体" w:cs="Arial"/>
          <w:szCs w:val="24"/>
        </w:rPr>
      </w:pPr>
      <w:r>
        <w:rPr>
          <w:rFonts w:hint="eastAsia" w:ascii="Arial" w:hAnsi="宋体" w:eastAsia="宋体" w:cs="Arial"/>
          <w:szCs w:val="24"/>
        </w:rPr>
        <w:t>二、系统架构</w:t>
      </w:r>
    </w:p>
    <w:p>
      <w:pPr>
        <w:pStyle w:val="37"/>
        <w:spacing w:line="360" w:lineRule="auto"/>
        <w:ind w:firstLine="0" w:firstLineChars="0"/>
        <w:jc w:val="center"/>
        <w:rPr>
          <w:rFonts w:ascii="Arial" w:hAnsi="宋体" w:eastAsia="宋体" w:cs="Arial"/>
          <w:szCs w:val="24"/>
        </w:rPr>
      </w:pPr>
      <w:r>
        <w:rPr>
          <w:rFonts w:ascii="Arial" w:hAnsi="宋体" w:eastAsia="宋体" w:cs="Arial"/>
          <w:szCs w:val="24"/>
        </w:rPr>
        <w:drawing>
          <wp:inline distT="0" distB="0" distL="114300" distR="114300">
            <wp:extent cx="4718050" cy="2973070"/>
            <wp:effectExtent l="0" t="0" r="6350" b="1778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6"/>
                    <a:stretch>
                      <a:fillRect/>
                    </a:stretch>
                  </pic:blipFill>
                  <pic:spPr>
                    <a:xfrm>
                      <a:off x="0" y="0"/>
                      <a:ext cx="4718050" cy="2973070"/>
                    </a:xfrm>
                    <a:prstGeom prst="rect">
                      <a:avLst/>
                    </a:prstGeom>
                    <a:noFill/>
                    <a:ln>
                      <a:noFill/>
                    </a:ln>
                  </pic:spPr>
                </pic:pic>
              </a:graphicData>
            </a:graphic>
          </wp:inline>
        </w:drawing>
      </w:r>
    </w:p>
    <w:p>
      <w:pPr>
        <w:pStyle w:val="43"/>
        <w:spacing w:line="360" w:lineRule="auto"/>
        <w:ind w:firstLine="420"/>
      </w:pPr>
      <w:r>
        <w:rPr>
          <w:rFonts w:hint="eastAsia"/>
        </w:rPr>
        <w:t>前端部分：前端支持多种类型的摄像机接入，前端网络摄像机将采集的视频信号转换成网络数字信号，按照标准的音视频编码格式及标准的通信协议，可直接接入网络并进行视频图像的传输。</w:t>
      </w:r>
    </w:p>
    <w:p>
      <w:pPr>
        <w:pStyle w:val="43"/>
        <w:spacing w:line="360" w:lineRule="auto"/>
        <w:ind w:firstLine="420"/>
      </w:pPr>
      <w:r>
        <w:rPr>
          <w:rFonts w:hint="eastAsia"/>
        </w:rPr>
        <w:t>传输网络部分：传输网络部分主要是对前端接入到核心交换机(小区端)之间的网络进行设计，前端系统通过光纤收发器等网络传输设备将新建前端网络高清摄像机连接至监控中心的接入交换机，再通过接入交换机将网络信号汇聚到中心的核心交换机。</w:t>
      </w:r>
    </w:p>
    <w:p>
      <w:pPr>
        <w:pStyle w:val="43"/>
        <w:spacing w:line="360" w:lineRule="auto"/>
        <w:ind w:firstLine="420"/>
      </w:pPr>
      <w:r>
        <w:rPr>
          <w:rFonts w:hint="eastAsia"/>
        </w:rPr>
        <w:t>监控中心部分：监控中心采用NVR将高清视频图像进行存储，存储时间不少于3</w:t>
      </w:r>
      <w:r>
        <w:t>0</w:t>
      </w:r>
      <w:r>
        <w:rPr>
          <w:rFonts w:hint="eastAsia"/>
        </w:rPr>
        <w:t>天，解决数据落地问题。监控中心部署显示器和管理电脑用来显示。</w:t>
      </w:r>
    </w:p>
    <w:p>
      <w:pPr>
        <w:pStyle w:val="43"/>
        <w:spacing w:line="360" w:lineRule="auto"/>
        <w:ind w:firstLine="420"/>
      </w:pPr>
      <w:r>
        <w:rPr>
          <w:rFonts w:hint="eastAsia"/>
        </w:rPr>
        <w:t>平台部分：部分有条件的小区应用管理平台部署在综合平台的服务器上，形成一体化的配置，应用管理平台可以对高清视频和用户进行统一管控，并且配置PC工作站进行预览、回放、下载等操作。</w:t>
      </w:r>
    </w:p>
    <w:p>
      <w:pPr>
        <w:pStyle w:val="37"/>
        <w:spacing w:line="360" w:lineRule="auto"/>
        <w:ind w:firstLine="420"/>
        <w:rPr>
          <w:rFonts w:ascii="Arial" w:hAnsi="宋体" w:eastAsia="宋体" w:cs="Arial"/>
          <w:szCs w:val="24"/>
        </w:rPr>
      </w:pPr>
      <w:r>
        <w:rPr>
          <w:rFonts w:hint="eastAsia" w:ascii="Arial" w:hAnsi="宋体" w:eastAsia="宋体" w:cs="Arial"/>
          <w:szCs w:val="24"/>
        </w:rPr>
        <w:t>三、系统前端点位设计</w:t>
      </w:r>
    </w:p>
    <w:p>
      <w:pPr>
        <w:pStyle w:val="37"/>
        <w:spacing w:line="360" w:lineRule="auto"/>
        <w:ind w:firstLine="480"/>
        <w:rPr>
          <w:rFonts w:ascii="Arial" w:hAnsi="Arial"/>
          <w:sz w:val="24"/>
          <w:szCs w:val="24"/>
        </w:rPr>
      </w:pPr>
      <w:r>
        <w:rPr>
          <w:rFonts w:hint="eastAsia" w:ascii="Arial" w:hAnsi="Arial"/>
          <w:sz w:val="24"/>
          <w:szCs w:val="24"/>
        </w:rPr>
        <w:t>系统在小区出入口、小区主干道等处设置高清网络摄像机，针对特殊位置设置步态摄像机、高空抛物摄像机、人脸识别摄像机、微卡口摄像机等，具体点位设计详见各小区设计点位图。</w:t>
      </w:r>
    </w:p>
    <w:p>
      <w:pPr>
        <w:pStyle w:val="37"/>
        <w:spacing w:line="360" w:lineRule="auto"/>
        <w:ind w:firstLine="480"/>
        <w:rPr>
          <w:rFonts w:ascii="Arial" w:hAnsi="Arial"/>
          <w:sz w:val="24"/>
          <w:szCs w:val="24"/>
        </w:rPr>
      </w:pPr>
      <w:r>
        <w:rPr>
          <w:rFonts w:hint="eastAsia" w:ascii="Arial" w:hAnsi="Arial"/>
          <w:sz w:val="24"/>
          <w:szCs w:val="24"/>
        </w:rPr>
        <w:t>高空抛物被称为“悬在城市上空的痛”， 一直以来高空抛物行为倍受关注，作为城市不文明的行为的同时，它所带来的社会危害也很大。由于其不文明行为的实施场所多为高空楼层，少有目击者，由于抛物的下降速度非常快，抛物时间极短，甚至有人在抛物时故意隐去身影，使得相关部门很难追究抛物者的法律责任，此类事件屡见不鲜、屡禁不止。</w:t>
      </w:r>
    </w:p>
    <w:p>
      <w:pPr>
        <w:pStyle w:val="37"/>
        <w:spacing w:line="360" w:lineRule="auto"/>
        <w:ind w:firstLine="480"/>
        <w:rPr>
          <w:rFonts w:ascii="Arial" w:hAnsi="宋体" w:cs="Arial"/>
          <w:szCs w:val="24"/>
        </w:rPr>
      </w:pPr>
      <w:r>
        <w:rPr>
          <w:rFonts w:hint="eastAsia" w:ascii="Arial" w:hAnsi="Arial"/>
          <w:sz w:val="24"/>
          <w:szCs w:val="24"/>
        </w:rPr>
        <w:t>老旧小区虽然楼层不高，普遍六至七层，但高空抛物现象也时有发生，寄希望于居民提高素质完全杜绝这种行为，在目前是不现实的，且高空抛物又面临着取证处罚难的困境，有必要借助高科技手段，例如在小区安装摄像头时刻监控，不仅能够震慑素质低</w:t>
      </w:r>
      <w:r>
        <w:rPr>
          <w:rFonts w:hint="eastAsia" w:ascii="Arial" w:hAnsi="宋体" w:cs="Arial"/>
          <w:szCs w:val="24"/>
        </w:rPr>
        <w:t>下的人随意抛物，同时也能够在抛物事件发生后，做到事后取证并追究相关人员的法律责任。</w:t>
      </w:r>
    </w:p>
    <w:p>
      <w:pPr>
        <w:pStyle w:val="37"/>
        <w:spacing w:line="360" w:lineRule="auto"/>
        <w:ind w:firstLine="420"/>
        <w:rPr>
          <w:rFonts w:ascii="Arial" w:hAnsi="宋体" w:cs="Arial"/>
          <w:szCs w:val="24"/>
        </w:rPr>
      </w:pPr>
      <w:r>
        <w:rPr>
          <w:rFonts w:hint="eastAsia" w:ascii="Arial" w:hAnsi="宋体" w:cs="Arial"/>
          <w:szCs w:val="24"/>
        </w:rPr>
        <w:t xml:space="preserve">根据与街道社区及小区物业的沟通，在仓基小区和永和居易、星河湾公寓设置高空抛物监控，起到一定的威慑作用，增强业主的安全意识。 </w:t>
      </w:r>
    </w:p>
    <w:p>
      <w:pPr>
        <w:pStyle w:val="37"/>
        <w:spacing w:line="360" w:lineRule="auto"/>
        <w:ind w:firstLine="420"/>
        <w:rPr>
          <w:rFonts w:ascii="Arial" w:hAnsi="宋体" w:cs="Arial"/>
          <w:szCs w:val="24"/>
        </w:rPr>
      </w:pPr>
      <w:r>
        <w:rPr>
          <w:rFonts w:hint="eastAsia" w:ascii="Arial" w:hAnsi="宋体" w:cs="Arial"/>
          <w:szCs w:val="24"/>
        </w:rPr>
        <w:t>步态摄像机的布置随着视频监控的广泛应用，基于图像的身份识别技术在犯罪搜查中也起到越来越重要的作用，所以人脸比对成为了治安场景中应用较多的技术，但是如果捕捉不到人脸或者捕捉到的不够清晰，或者装束更换以后，人员身份信息将无法识别。</w:t>
      </w:r>
    </w:p>
    <w:p>
      <w:pPr>
        <w:pStyle w:val="37"/>
        <w:spacing w:line="360" w:lineRule="auto"/>
        <w:ind w:firstLine="420"/>
        <w:rPr>
          <w:rFonts w:ascii="Arial" w:hAnsi="宋体" w:cs="Arial"/>
          <w:szCs w:val="24"/>
        </w:rPr>
      </w:pPr>
      <w:r>
        <w:rPr>
          <w:rFonts w:hint="eastAsia" w:ascii="Arial" w:hAnsi="宋体" w:cs="Arial"/>
          <w:szCs w:val="24"/>
        </w:rPr>
        <w:t>但是每个人拥有一幅独特的面孔，也拥有一种与众不同的步态；步态唯一性的物理基础是每个人生理结构的差异性，不一样的腿骨长度、不一样的肌肉强度、不一样的重心高度、不一样的运动神经灵敏度，共同决定了步态的唯一性。</w:t>
      </w:r>
    </w:p>
    <w:p>
      <w:pPr>
        <w:pStyle w:val="37"/>
        <w:spacing w:line="360" w:lineRule="auto"/>
        <w:ind w:firstLine="420"/>
        <w:rPr>
          <w:rFonts w:ascii="Arial" w:hAnsi="宋体" w:cs="Arial"/>
          <w:szCs w:val="24"/>
        </w:rPr>
      </w:pPr>
      <w:r>
        <w:rPr>
          <w:rFonts w:hint="eastAsia" w:ascii="Arial" w:hAnsi="宋体" w:cs="Arial"/>
          <w:szCs w:val="24"/>
        </w:rPr>
        <w:t>相比于指纹、人脸、掌纹、静脉等静态生物特征而言，步态属于动态特征，因此在识别流程上更为复杂。采用精细人体部件分割技术，对人体进行透装精细分析，屏蔽衣服外观、背包等因素影响，步态识别以深度学习算法为核心，基于深思架构，采用精细人体部件分割技术，对治安监控场景下的行人步态进行建模比对，实现步态识别功能，用于解决人员伪装后难以识别问题。</w:t>
      </w:r>
    </w:p>
    <w:p>
      <w:pPr>
        <w:pStyle w:val="37"/>
        <w:spacing w:line="360" w:lineRule="auto"/>
        <w:ind w:firstLine="420"/>
        <w:rPr>
          <w:rFonts w:ascii="Arial" w:hAnsi="宋体" w:eastAsia="宋体" w:cs="Arial"/>
          <w:szCs w:val="24"/>
        </w:rPr>
      </w:pPr>
      <w:r>
        <w:rPr>
          <w:rFonts w:hint="eastAsia" w:ascii="Arial" w:hAnsi="宋体" w:cs="Arial"/>
          <w:szCs w:val="24"/>
        </w:rPr>
        <w:t>本项目对各小区出入口的实时视频进行人体步态分析，结合人脸识别的应用，为智慧安防小区管控平台提供更加丰富的基础数据。</w:t>
      </w:r>
    </w:p>
    <w:p>
      <w:pPr>
        <w:pStyle w:val="39"/>
        <w:spacing w:line="360" w:lineRule="auto"/>
      </w:pPr>
      <w:bookmarkStart w:id="126" w:name="_Toc12452"/>
      <w:r>
        <w:rPr>
          <w:rFonts w:hint="eastAsia"/>
        </w:rPr>
        <w:t>人脸信息采集系统</w:t>
      </w:r>
      <w:bookmarkEnd w:id="126"/>
    </w:p>
    <w:p>
      <w:pPr>
        <w:pStyle w:val="37"/>
        <w:spacing w:line="360" w:lineRule="auto"/>
        <w:ind w:firstLine="420"/>
        <w:rPr>
          <w:rFonts w:ascii="Arial" w:hAnsi="宋体" w:eastAsia="宋体" w:cs="Arial"/>
          <w:szCs w:val="24"/>
        </w:rPr>
      </w:pPr>
      <w:r>
        <w:rPr>
          <w:rFonts w:hint="eastAsia" w:ascii="Arial" w:hAnsi="宋体" w:eastAsia="宋体" w:cs="Arial"/>
          <w:szCs w:val="24"/>
        </w:rPr>
        <w:t>一、系统概述</w:t>
      </w:r>
    </w:p>
    <w:p>
      <w:pPr>
        <w:pStyle w:val="43"/>
        <w:spacing w:line="360" w:lineRule="auto"/>
        <w:ind w:firstLine="420"/>
      </w:pPr>
      <w:r>
        <w:rPr>
          <w:rFonts w:hint="eastAsia"/>
        </w:rPr>
        <w:t>在小区出入口处设置人脸抓拍机，以采集各出入口处进出人员人脸信息；</w:t>
      </w:r>
      <w:r>
        <w:t>在</w:t>
      </w:r>
      <w:r>
        <w:rPr>
          <w:rFonts w:hint="eastAsia"/>
        </w:rPr>
        <w:t>社区门口及主要道路口等大场景处设计全局摄像机，实现大场景和细节监控、人脸抓拍，还可用于抓拍未经人员道闸出入小区人员、如通过车辆道闸出入等情况进行记录</w:t>
      </w:r>
      <w:r>
        <w:t>，强化社区出入口人员管控措施。</w:t>
      </w:r>
      <w:r>
        <w:rPr>
          <w:rFonts w:hint="eastAsia"/>
        </w:rPr>
        <w:t>各抓拍人脸信息以供后端平台用作实时预警、检索以及数据碰撞等作用。</w:t>
      </w:r>
    </w:p>
    <w:p>
      <w:pPr>
        <w:pStyle w:val="37"/>
        <w:spacing w:line="360" w:lineRule="auto"/>
        <w:ind w:firstLine="420"/>
        <w:rPr>
          <w:rFonts w:ascii="Arial" w:hAnsi="宋体" w:eastAsia="宋体" w:cs="Arial"/>
          <w:szCs w:val="24"/>
        </w:rPr>
      </w:pPr>
      <w:r>
        <w:rPr>
          <w:rFonts w:hint="eastAsia" w:ascii="Arial" w:hAnsi="宋体" w:eastAsia="宋体" w:cs="Arial"/>
          <w:szCs w:val="24"/>
        </w:rPr>
        <w:t>二、系统设计</w:t>
      </w:r>
    </w:p>
    <w:p>
      <w:pPr>
        <w:pStyle w:val="37"/>
        <w:spacing w:line="360" w:lineRule="auto"/>
        <w:ind w:firstLine="420"/>
        <w:rPr>
          <w:rFonts w:ascii="Arial" w:hAnsi="宋体" w:eastAsia="宋体" w:cs="Arial"/>
          <w:szCs w:val="24"/>
        </w:rPr>
      </w:pPr>
      <w:r>
        <w:rPr>
          <w:rFonts w:hint="eastAsia" w:ascii="Arial" w:hAnsi="宋体" w:eastAsia="宋体" w:cs="Arial"/>
          <w:szCs w:val="24"/>
        </w:rPr>
        <w:t>在各小区的人行出入口设置人脸抓拍摄像机，对进出的人员人脸信息进行采集。人车混行出入口设置全局摄像机，对进入的人员人脸信息进行采集。系统数据接入区公安专网视频共享平台和人脸大数据平台。</w:t>
      </w:r>
    </w:p>
    <w:p>
      <w:pPr>
        <w:pStyle w:val="37"/>
        <w:spacing w:line="360" w:lineRule="auto"/>
        <w:ind w:firstLine="420"/>
        <w:rPr>
          <w:rFonts w:ascii="Arial" w:hAnsi="宋体" w:eastAsia="宋体" w:cs="Arial"/>
          <w:szCs w:val="24"/>
        </w:rPr>
      </w:pPr>
      <w:r>
        <w:rPr>
          <w:rFonts w:hint="eastAsia" w:ascii="Arial" w:hAnsi="宋体" w:eastAsia="宋体" w:cs="Arial"/>
          <w:szCs w:val="24"/>
        </w:rPr>
        <w:t>三、系统功能</w:t>
      </w:r>
    </w:p>
    <w:p>
      <w:pPr>
        <w:pStyle w:val="43"/>
        <w:numPr>
          <w:ilvl w:val="0"/>
          <w:numId w:val="10"/>
        </w:numPr>
        <w:spacing w:line="360" w:lineRule="auto"/>
        <w:ind w:firstLineChars="0"/>
      </w:pPr>
      <w:r>
        <w:rPr>
          <w:rFonts w:hint="eastAsia"/>
        </w:rPr>
        <w:t>实时视频采集</w:t>
      </w:r>
    </w:p>
    <w:p>
      <w:pPr>
        <w:pStyle w:val="43"/>
        <w:spacing w:line="360" w:lineRule="auto"/>
        <w:ind w:firstLine="420"/>
      </w:pPr>
      <w:r>
        <w:rPr>
          <w:rFonts w:hint="eastAsia"/>
        </w:rPr>
        <w:t>为满足中心实时视频预览和存储录像回放查看的要求，前端人脸抓拍机应具备如下功能：</w:t>
      </w:r>
    </w:p>
    <w:p>
      <w:pPr>
        <w:pStyle w:val="43"/>
        <w:spacing w:line="360" w:lineRule="auto"/>
        <w:ind w:firstLine="420"/>
      </w:pPr>
      <w:r>
        <w:rPr>
          <w:rFonts w:hint="eastAsia"/>
        </w:rPr>
        <w:t>能够采集和传输不同分辨率下的昼夜实时视频；</w:t>
      </w:r>
    </w:p>
    <w:p>
      <w:pPr>
        <w:pStyle w:val="43"/>
        <w:spacing w:line="360" w:lineRule="auto"/>
        <w:ind w:firstLine="420"/>
      </w:pPr>
      <w:r>
        <w:rPr>
          <w:rFonts w:hint="eastAsia"/>
        </w:rPr>
        <w:t>支持</w:t>
      </w:r>
      <w:r>
        <w:t>H.264/H.265</w:t>
      </w:r>
      <w:r>
        <w:rPr>
          <w:rFonts w:hint="eastAsia"/>
        </w:rPr>
        <w:t>视频编码压缩标准。</w:t>
      </w:r>
    </w:p>
    <w:p>
      <w:pPr>
        <w:pStyle w:val="43"/>
        <w:numPr>
          <w:ilvl w:val="0"/>
          <w:numId w:val="10"/>
        </w:numPr>
        <w:spacing w:line="360" w:lineRule="auto"/>
        <w:ind w:firstLineChars="0"/>
      </w:pPr>
      <w:r>
        <w:rPr>
          <w:rFonts w:hint="eastAsia"/>
        </w:rPr>
        <w:t>人脸数据采集</w:t>
      </w:r>
    </w:p>
    <w:p>
      <w:pPr>
        <w:pStyle w:val="43"/>
        <w:spacing w:line="360" w:lineRule="auto"/>
        <w:ind w:firstLine="420"/>
      </w:pPr>
      <w:r>
        <w:rPr>
          <w:rFonts w:hint="eastAsia"/>
        </w:rPr>
        <w:t>人脸抓拍机内嵌人脸算法，支持人脸抓拍功能，能够对经过设定区域的行人进行人脸检测和人脸跟踪，利用人脸质量评分算法从人脸轨迹中筛选出一张最优的人脸图像作为该行人的抓拍图像，详细功能如下：</w:t>
      </w:r>
    </w:p>
    <w:p>
      <w:pPr>
        <w:pStyle w:val="43"/>
        <w:spacing w:line="360" w:lineRule="auto"/>
        <w:ind w:firstLine="420"/>
      </w:pPr>
      <w:r>
        <w:rPr>
          <w:rFonts w:hint="eastAsia"/>
        </w:rPr>
        <w:t>支持同时对画面中</w:t>
      </w:r>
      <w:r>
        <w:t>20</w:t>
      </w:r>
      <w:r>
        <w:rPr>
          <w:rFonts w:hint="eastAsia"/>
        </w:rPr>
        <w:t>个以上的人脸进行检测和抓拍；</w:t>
      </w:r>
    </w:p>
    <w:p>
      <w:pPr>
        <w:pStyle w:val="43"/>
        <w:spacing w:line="360" w:lineRule="auto"/>
        <w:ind w:firstLine="420"/>
      </w:pPr>
      <w:r>
        <w:rPr>
          <w:rFonts w:hint="eastAsia"/>
        </w:rPr>
        <w:t>人脸抓拍准确率</w:t>
      </w:r>
      <w:r>
        <w:t>90%</w:t>
      </w:r>
      <w:r>
        <w:rPr>
          <w:rFonts w:hint="eastAsia"/>
        </w:rPr>
        <w:t>以上；</w:t>
      </w:r>
    </w:p>
    <w:p>
      <w:pPr>
        <w:pStyle w:val="43"/>
        <w:spacing w:line="360" w:lineRule="auto"/>
        <w:ind w:firstLine="420"/>
      </w:pPr>
      <w:r>
        <w:rPr>
          <w:rFonts w:hint="eastAsia"/>
        </w:rPr>
        <w:t>内置基于人脸的性别分类功能；</w:t>
      </w:r>
    </w:p>
    <w:p>
      <w:pPr>
        <w:pStyle w:val="43"/>
        <w:spacing w:line="360" w:lineRule="auto"/>
        <w:ind w:firstLine="420"/>
      </w:pPr>
      <w:r>
        <w:rPr>
          <w:rFonts w:hint="eastAsia"/>
        </w:rPr>
        <w:t>内置基于人脸的年龄段分类功能；</w:t>
      </w:r>
    </w:p>
    <w:p>
      <w:pPr>
        <w:pStyle w:val="43"/>
        <w:spacing w:line="360" w:lineRule="auto"/>
        <w:ind w:firstLine="420"/>
      </w:pPr>
      <w:r>
        <w:rPr>
          <w:rFonts w:hint="eastAsia"/>
        </w:rPr>
        <w:t>支持通道内的人脸检测、分类（年龄、性别）、捕获；</w:t>
      </w:r>
    </w:p>
    <w:p>
      <w:pPr>
        <w:pStyle w:val="43"/>
        <w:spacing w:line="360" w:lineRule="auto"/>
        <w:ind w:firstLine="420"/>
      </w:pPr>
      <w:r>
        <w:rPr>
          <w:rFonts w:hint="eastAsia"/>
        </w:rPr>
        <w:t>支持人脸图像优选功能，输出捕获的最佳人脸图像；</w:t>
      </w:r>
    </w:p>
    <w:p>
      <w:pPr>
        <w:pStyle w:val="43"/>
        <w:spacing w:line="360" w:lineRule="auto"/>
        <w:ind w:firstLine="420"/>
      </w:pPr>
      <w:r>
        <w:rPr>
          <w:rFonts w:hint="eastAsia"/>
        </w:rPr>
        <w:t>支持人脸区域自动曝光功能，能够根据外部不同场景以及光照变化自动控制调节曝光参数，确保在逆光等情况下抓拍人脸仍较为清晰。</w:t>
      </w:r>
    </w:p>
    <w:p>
      <w:pPr>
        <w:pStyle w:val="43"/>
        <w:numPr>
          <w:ilvl w:val="0"/>
          <w:numId w:val="10"/>
        </w:numPr>
        <w:spacing w:line="360" w:lineRule="auto"/>
        <w:ind w:firstLineChars="0"/>
      </w:pPr>
      <w:r>
        <w:rPr>
          <w:rFonts w:hint="eastAsia"/>
        </w:rPr>
        <w:t>系统管理</w:t>
      </w:r>
    </w:p>
    <w:p>
      <w:pPr>
        <w:pStyle w:val="43"/>
        <w:spacing w:line="360" w:lineRule="auto"/>
        <w:ind w:firstLine="420"/>
      </w:pPr>
      <w:r>
        <w:rPr>
          <w:rFonts w:hint="eastAsia"/>
        </w:rPr>
        <w:t>系统管理功能主要实现前端人脸抓拍设备的添加，人脸名单分组管理，布控名单报警设置，人脸存储管理，人脸抓拍实时预览，人脸抓拍图片查询，人脸布控报警查询。以及对人脸库、人脸数据进行管理（支持单个图片导入、文件夹批量导入、数据库对接导入），同时可对人脸检索、查重等功能进行参数配置</w:t>
      </w:r>
    </w:p>
    <w:p>
      <w:pPr>
        <w:pStyle w:val="39"/>
        <w:spacing w:line="360" w:lineRule="auto"/>
      </w:pPr>
      <w:bookmarkStart w:id="127" w:name="_Toc25234"/>
      <w:r>
        <w:rPr>
          <w:rFonts w:hint="eastAsia"/>
        </w:rPr>
        <w:t>车辆信息采集系统</w:t>
      </w:r>
      <w:bookmarkEnd w:id="127"/>
    </w:p>
    <w:p>
      <w:pPr>
        <w:pStyle w:val="43"/>
        <w:spacing w:line="360" w:lineRule="auto"/>
        <w:ind w:firstLine="420"/>
      </w:pPr>
      <w:r>
        <w:rPr>
          <w:rFonts w:hint="eastAsia"/>
        </w:rPr>
        <w:t>一、系统概述</w:t>
      </w:r>
    </w:p>
    <w:p>
      <w:pPr>
        <w:pStyle w:val="43"/>
        <w:spacing w:line="360" w:lineRule="auto"/>
        <w:ind w:firstLine="420"/>
      </w:pPr>
      <w:r>
        <w:rPr>
          <w:rFonts w:hint="eastAsia"/>
        </w:rPr>
        <w:t>在小区车行出入口采用微卡口系统提供车辆号牌等视频结构化数据，系统具有机动车通行记录、机动车特征属性（车牌号码、车牌颜色）自动提取、特征属性视频标签自动叠加等功能，解决传统的视频监控模式海量视频录像堆砌在中心，需要大量人力投入进行人工查证的问题；同时促成监控业务模式从事后查证到主动视频防控的质的飞跃。为监控业务模式从事后查证到主动视频防控的模式转变提供了技术手段。</w:t>
      </w:r>
    </w:p>
    <w:p>
      <w:pPr>
        <w:pStyle w:val="43"/>
        <w:spacing w:line="360" w:lineRule="auto"/>
        <w:ind w:firstLine="420"/>
        <w:rPr>
          <w:lang w:val="zh-CN"/>
        </w:rPr>
      </w:pPr>
      <w:r>
        <w:rPr>
          <w:rFonts w:hint="eastAsia"/>
          <w:lang w:val="zh-CN"/>
        </w:rPr>
        <w:t>二、系统架构</w:t>
      </w:r>
    </w:p>
    <w:p>
      <w:pPr>
        <w:pStyle w:val="43"/>
        <w:spacing w:line="360" w:lineRule="auto"/>
        <w:ind w:firstLine="420"/>
      </w:pPr>
      <w:r>
        <w:rPr>
          <w:rFonts w:hint="eastAsia"/>
        </w:rPr>
        <w:t>系统负责完成小区车行出入口的高清视频图像采集、编码、压缩及图像上传，同时完成对机动车的信息采集、识别、分类上传，包括车辆照片、车牌号码与车牌颜色等，主要由微卡口、补光灯组成。</w:t>
      </w:r>
    </w:p>
    <w:p>
      <w:pPr>
        <w:pStyle w:val="43"/>
        <w:spacing w:line="360" w:lineRule="auto"/>
        <w:ind w:firstLine="420"/>
      </w:pPr>
      <w:r>
        <w:rPr>
          <w:rFonts w:hint="eastAsia"/>
        </w:rPr>
        <w:t>三、系统设计</w:t>
      </w:r>
    </w:p>
    <w:p>
      <w:pPr>
        <w:pStyle w:val="43"/>
        <w:spacing w:line="360" w:lineRule="auto"/>
        <w:ind w:firstLine="420"/>
      </w:pPr>
      <w:r>
        <w:rPr>
          <w:rFonts w:hint="eastAsia"/>
        </w:rPr>
        <w:t>系统在小区车行入口设置微卡口摄像机，实现对进入小区的车辆信息进行采集。</w:t>
      </w:r>
    </w:p>
    <w:p>
      <w:pPr>
        <w:pStyle w:val="39"/>
        <w:spacing w:line="360" w:lineRule="auto"/>
      </w:pPr>
      <w:bookmarkStart w:id="128" w:name="_Toc8501"/>
      <w:r>
        <w:rPr>
          <w:rFonts w:hint="eastAsia"/>
        </w:rPr>
        <w:t>可视对讲系统</w:t>
      </w:r>
      <w:bookmarkEnd w:id="128"/>
    </w:p>
    <w:p>
      <w:pPr>
        <w:pStyle w:val="43"/>
        <w:spacing w:line="360" w:lineRule="auto"/>
        <w:ind w:firstLine="420"/>
      </w:pPr>
      <w:r>
        <w:rPr>
          <w:rFonts w:hint="eastAsia"/>
        </w:rPr>
        <w:t>一、系统概述</w:t>
      </w:r>
    </w:p>
    <w:p>
      <w:pPr>
        <w:pStyle w:val="43"/>
        <w:spacing w:line="360" w:lineRule="auto"/>
        <w:ind w:firstLine="420"/>
      </w:pPr>
      <w:r>
        <w:rPr>
          <w:rFonts w:hint="eastAsia"/>
        </w:rPr>
        <w:t>可视对讲系统是一种针对现代物业要求设计的保安系统，以管理中心为核心，以可视对讲为主体，可与计算机系统相连接，实现呼叫、对讲、监视、开锁、联网、文字/图片信息发布、住户/访客呼叫抓拍、安防报警、户户对讲等多种功能。</w:t>
      </w:r>
    </w:p>
    <w:p>
      <w:pPr>
        <w:pStyle w:val="43"/>
        <w:spacing w:line="360" w:lineRule="auto"/>
        <w:ind w:firstLine="420"/>
      </w:pPr>
      <w:r>
        <w:rPr>
          <w:rFonts w:hint="eastAsia"/>
        </w:rPr>
        <w:t>全数字可视对讲系统主要由前端设备(室内机、门口机、围墙机)，网络传输（以太网交换机）、管理中心三部分组成。</w:t>
      </w:r>
    </w:p>
    <w:p>
      <w:pPr>
        <w:pStyle w:val="43"/>
        <w:spacing w:line="360" w:lineRule="auto"/>
        <w:ind w:firstLine="420"/>
      </w:pPr>
      <w:r>
        <w:rPr>
          <w:rFonts w:hint="eastAsia"/>
        </w:rPr>
        <w:t>二、建设方案</w:t>
      </w:r>
    </w:p>
    <w:p>
      <w:pPr>
        <w:pStyle w:val="43"/>
        <w:spacing w:line="360" w:lineRule="auto"/>
        <w:ind w:firstLine="420"/>
      </w:pPr>
      <w:r>
        <w:rPr>
          <w:rFonts w:hint="eastAsia"/>
        </w:rPr>
        <w:t>系统在各住户室内设置可视对讲分机，在单元门设置带人脸识别功能的可视对讲门口机，在小区出入口设置围墙机，在门卫或管理室设置管理主机。</w:t>
      </w:r>
    </w:p>
    <w:p>
      <w:pPr>
        <w:pStyle w:val="43"/>
        <w:spacing w:line="360" w:lineRule="auto"/>
        <w:ind w:firstLine="420"/>
      </w:pPr>
      <w:r>
        <w:rPr>
          <w:rFonts w:hint="eastAsia"/>
        </w:rPr>
        <w:t>三、系统功能</w:t>
      </w:r>
    </w:p>
    <w:p>
      <w:pPr>
        <w:pStyle w:val="43"/>
        <w:numPr>
          <w:ilvl w:val="0"/>
          <w:numId w:val="11"/>
        </w:numPr>
        <w:spacing w:line="360" w:lineRule="auto"/>
        <w:ind w:firstLineChars="0"/>
      </w:pPr>
      <w:r>
        <w:rPr>
          <w:rFonts w:hint="eastAsia"/>
        </w:rPr>
        <w:t>访问对讲功能</w:t>
      </w:r>
    </w:p>
    <w:p>
      <w:pPr>
        <w:pStyle w:val="43"/>
        <w:spacing w:line="360" w:lineRule="auto"/>
        <w:ind w:firstLine="420"/>
      </w:pPr>
      <w:r>
        <w:rPr>
          <w:rFonts w:hint="eastAsia"/>
        </w:rPr>
        <w:t>访客的呼叫采取两次确认模式，即在小区每个出入口设立围墙机，通过围墙机可与住户进行对讲通话，经过住户确认后，访客进入小区，此为一次确认。访客来到相应的单元时，通过该单元可视对讲门口机与住户再次通话，由住户确认后开启单元电控门，此为二次确认。并且门口机有图像抓拍功能，室内机可存储门口机抓拍的图像，两次确认的方式可对小区的访客进行严格有效的出入控制，进一步保障小区的住户安全。</w:t>
      </w:r>
    </w:p>
    <w:p>
      <w:pPr>
        <w:pStyle w:val="43"/>
        <w:spacing w:line="360" w:lineRule="auto"/>
        <w:ind w:firstLine="420"/>
      </w:pPr>
      <w:r>
        <w:rPr>
          <w:rFonts w:hint="eastAsia"/>
        </w:rPr>
        <w:t>来访客人可在单元门口主机或围墙门口主机上拨号呼叫住户室内分机，住户室内分机振铃，屏幕上同时显示来访者的图像，住户提起话机即可与来访者通话；室内分机可随时显示单元门口机图像。</w:t>
      </w:r>
    </w:p>
    <w:p>
      <w:pPr>
        <w:pStyle w:val="43"/>
        <w:numPr>
          <w:ilvl w:val="0"/>
          <w:numId w:val="11"/>
        </w:numPr>
        <w:spacing w:line="360" w:lineRule="auto"/>
        <w:ind w:firstLineChars="0"/>
      </w:pPr>
      <w:r>
        <w:rPr>
          <w:rFonts w:hint="eastAsia"/>
        </w:rPr>
        <w:t>户户对讲功能</w:t>
      </w:r>
    </w:p>
    <w:p>
      <w:pPr>
        <w:pStyle w:val="43"/>
        <w:spacing w:line="360" w:lineRule="auto"/>
        <w:ind w:firstLine="420"/>
      </w:pPr>
      <w:r>
        <w:rPr>
          <w:rFonts w:hint="eastAsia"/>
        </w:rPr>
        <w:t>对讲系统室内机具有小区局域网户户对讲功能，即在同一个小区内任意两个室内机之间可实现呼叫对讲，此功能完全基于小区对讲局域网，无需任何费用，充分利用了可用资源。</w:t>
      </w:r>
    </w:p>
    <w:p>
      <w:pPr>
        <w:pStyle w:val="43"/>
        <w:numPr>
          <w:ilvl w:val="0"/>
          <w:numId w:val="11"/>
        </w:numPr>
        <w:spacing w:line="360" w:lineRule="auto"/>
        <w:ind w:firstLineChars="0"/>
      </w:pPr>
      <w:r>
        <w:rPr>
          <w:rFonts w:hint="eastAsia"/>
        </w:rPr>
        <w:t>三方通话功能</w:t>
      </w:r>
    </w:p>
    <w:p>
      <w:pPr>
        <w:pStyle w:val="43"/>
        <w:spacing w:line="360" w:lineRule="auto"/>
        <w:ind w:firstLine="420"/>
      </w:pPr>
      <w:r>
        <w:rPr>
          <w:rFonts w:hint="eastAsia"/>
        </w:rPr>
        <w:t>1）来访者与住户通话</w:t>
      </w:r>
    </w:p>
    <w:p>
      <w:pPr>
        <w:pStyle w:val="43"/>
        <w:spacing w:line="360" w:lineRule="auto"/>
        <w:ind w:firstLine="420"/>
      </w:pPr>
      <w:r>
        <w:rPr>
          <w:rFonts w:hint="eastAsia"/>
        </w:rPr>
        <w:t>客人来访，通过单元门口机拨打住户号码，对应的室内机即发出和弦振铃声，同时将来访者图像传至室内机可视模块，点触接听键即可通话。</w:t>
      </w:r>
    </w:p>
    <w:p>
      <w:pPr>
        <w:pStyle w:val="43"/>
        <w:spacing w:line="360" w:lineRule="auto"/>
        <w:ind w:firstLine="420"/>
      </w:pPr>
      <w:r>
        <w:rPr>
          <w:rFonts w:hint="eastAsia"/>
        </w:rPr>
        <w:t>2）来访者、住户与管理中心通话</w:t>
      </w:r>
    </w:p>
    <w:p>
      <w:pPr>
        <w:pStyle w:val="43"/>
        <w:spacing w:line="360" w:lineRule="auto"/>
        <w:ind w:firstLine="420"/>
      </w:pPr>
      <w:r>
        <w:rPr>
          <w:rFonts w:hint="eastAsia"/>
        </w:rPr>
        <w:t>来访者通过门口机，可呼叫住户与管理中心，实现双向对讲。</w:t>
      </w:r>
    </w:p>
    <w:p>
      <w:pPr>
        <w:pStyle w:val="43"/>
        <w:spacing w:line="360" w:lineRule="auto"/>
        <w:ind w:firstLine="420"/>
      </w:pPr>
      <w:r>
        <w:rPr>
          <w:rFonts w:hint="eastAsia"/>
        </w:rPr>
        <w:t>3）管理中心与住户通话</w:t>
      </w:r>
    </w:p>
    <w:p>
      <w:pPr>
        <w:pStyle w:val="43"/>
        <w:spacing w:line="360" w:lineRule="auto"/>
        <w:ind w:firstLine="420"/>
      </w:pPr>
      <w:r>
        <w:rPr>
          <w:rFonts w:hint="eastAsia"/>
        </w:rPr>
        <w:t>管理中心有事通知住户，也可通过管理机拔通住户分机，与住户实现双向对讲；住户可通过室内机直接呼叫管理中心，同时管理中心会显示出该住户的信息。</w:t>
      </w:r>
    </w:p>
    <w:p>
      <w:pPr>
        <w:pStyle w:val="43"/>
        <w:numPr>
          <w:ilvl w:val="0"/>
          <w:numId w:val="11"/>
        </w:numPr>
        <w:spacing w:line="360" w:lineRule="auto"/>
        <w:ind w:firstLineChars="0"/>
      </w:pPr>
      <w:r>
        <w:rPr>
          <w:rFonts w:hint="eastAsia"/>
        </w:rPr>
        <w:t>视频监控功能</w:t>
      </w:r>
    </w:p>
    <w:p>
      <w:pPr>
        <w:pStyle w:val="43"/>
        <w:spacing w:line="360" w:lineRule="auto"/>
        <w:ind w:firstLine="420"/>
      </w:pPr>
      <w:r>
        <w:rPr>
          <w:rFonts w:hint="eastAsia"/>
        </w:rPr>
        <w:t>住户和管理中心可通过单元门口机内置的摄像机监视周围环境，实现视频监控功能。门口机内置高性能监控级别的摄像机。</w:t>
      </w:r>
    </w:p>
    <w:p>
      <w:pPr>
        <w:pStyle w:val="43"/>
        <w:numPr>
          <w:ilvl w:val="0"/>
          <w:numId w:val="11"/>
        </w:numPr>
        <w:spacing w:line="360" w:lineRule="auto"/>
        <w:ind w:firstLineChars="0"/>
      </w:pPr>
      <w:r>
        <w:rPr>
          <w:rFonts w:hint="eastAsia"/>
        </w:rPr>
        <w:t>信息发布功能</w:t>
      </w:r>
    </w:p>
    <w:p>
      <w:pPr>
        <w:pStyle w:val="43"/>
        <w:spacing w:line="360" w:lineRule="auto"/>
        <w:ind w:firstLine="420"/>
      </w:pPr>
      <w:r>
        <w:rPr>
          <w:rFonts w:hint="eastAsia"/>
        </w:rPr>
        <w:t>1）信息群呼</w:t>
      </w:r>
    </w:p>
    <w:p>
      <w:pPr>
        <w:pStyle w:val="43"/>
        <w:spacing w:line="360" w:lineRule="auto"/>
        <w:ind w:firstLine="420"/>
      </w:pPr>
      <w:r>
        <w:rPr>
          <w:rFonts w:hint="eastAsia"/>
        </w:rPr>
        <w:t>管理中心通过信息发布软件编辑特定的文字信息（如天气预报、小区活动、收费通知等），向所有住户或某一单元（片区）发送，所有住户均可收到相同的信息。</w:t>
      </w:r>
    </w:p>
    <w:p>
      <w:pPr>
        <w:pStyle w:val="43"/>
        <w:spacing w:line="360" w:lineRule="auto"/>
        <w:ind w:firstLine="420"/>
      </w:pPr>
      <w:r>
        <w:rPr>
          <w:rFonts w:hint="eastAsia"/>
        </w:rPr>
        <w:t>2）信息指定发送</w:t>
      </w:r>
    </w:p>
    <w:p>
      <w:pPr>
        <w:pStyle w:val="43"/>
        <w:spacing w:line="360" w:lineRule="auto"/>
        <w:ind w:firstLine="420"/>
      </w:pPr>
      <w:r>
        <w:rPr>
          <w:rFonts w:hint="eastAsia"/>
        </w:rPr>
        <w:t>管理中心通过信息发布软件编辑特定的文字信息（如催交物业费等），按房号等信息向指定住户发送。</w:t>
      </w:r>
    </w:p>
    <w:p>
      <w:pPr>
        <w:pStyle w:val="43"/>
        <w:spacing w:line="360" w:lineRule="auto"/>
        <w:ind w:firstLine="420"/>
      </w:pPr>
      <w:r>
        <w:rPr>
          <w:rFonts w:hint="eastAsia"/>
        </w:rPr>
        <w:t>3）信息查询</w:t>
      </w:r>
    </w:p>
    <w:p>
      <w:pPr>
        <w:pStyle w:val="43"/>
        <w:spacing w:line="360" w:lineRule="auto"/>
        <w:ind w:firstLine="420"/>
      </w:pPr>
      <w:r>
        <w:rPr>
          <w:rFonts w:hint="eastAsia"/>
        </w:rPr>
        <w:t>所有发送的信息可通过信息发布软件进行查询并打印。</w:t>
      </w:r>
    </w:p>
    <w:p>
      <w:pPr>
        <w:pStyle w:val="43"/>
        <w:numPr>
          <w:ilvl w:val="0"/>
          <w:numId w:val="11"/>
        </w:numPr>
        <w:spacing w:line="360" w:lineRule="auto"/>
        <w:ind w:firstLineChars="0"/>
      </w:pPr>
      <w:r>
        <w:rPr>
          <w:rFonts w:hint="eastAsia"/>
        </w:rPr>
        <w:t>门禁管理功能</w:t>
      </w:r>
    </w:p>
    <w:p>
      <w:pPr>
        <w:spacing w:line="360" w:lineRule="auto"/>
        <w:ind w:firstLine="480"/>
      </w:pPr>
      <w:r>
        <w:rPr>
          <w:rFonts w:hint="eastAsia"/>
        </w:rPr>
        <w:t>访客呼叫住户后，主人如需接见访客，只要按下室内机开门键，大门即自动打开。访客进入后，大门自动关闭；中心管理员可通过管理机也可遥控开启各楼栋门口电锁。</w:t>
      </w:r>
    </w:p>
    <w:p>
      <w:pPr>
        <w:pStyle w:val="43"/>
        <w:numPr>
          <w:ilvl w:val="0"/>
          <w:numId w:val="11"/>
        </w:numPr>
        <w:spacing w:line="360" w:lineRule="auto"/>
        <w:ind w:firstLineChars="0"/>
      </w:pPr>
      <w:r>
        <w:rPr>
          <w:rFonts w:hint="eastAsia"/>
        </w:rPr>
        <w:t>手机对讲功能</w:t>
      </w:r>
    </w:p>
    <w:p>
      <w:pPr>
        <w:spacing w:line="360" w:lineRule="auto"/>
        <w:ind w:firstLine="480"/>
      </w:pPr>
      <w:r>
        <w:rPr>
          <w:rFonts w:hint="eastAsia"/>
        </w:rPr>
        <w:t>本系统支持手机对讲功能扩展，可以手机接听对讲并开锁、呼叫、监视等，用户可以随时随地用手机查看到来访的客人通话；</w:t>
      </w:r>
    </w:p>
    <w:p>
      <w:pPr>
        <w:spacing w:line="360" w:lineRule="auto"/>
        <w:ind w:firstLine="480"/>
      </w:pPr>
      <w:r>
        <w:rPr>
          <w:rFonts w:hint="eastAsia"/>
        </w:rPr>
        <w:t>门口机在待机状态下，在手机点击门口机即可监视门口画面。</w:t>
      </w:r>
    </w:p>
    <w:p>
      <w:pPr>
        <w:spacing w:line="360" w:lineRule="auto"/>
        <w:ind w:firstLine="480"/>
      </w:pPr>
      <w:r>
        <w:rPr>
          <w:rFonts w:hint="eastAsia"/>
        </w:rPr>
        <w:t>手机支持呼叫用户、呼叫中心等功能。</w:t>
      </w:r>
    </w:p>
    <w:p>
      <w:pPr>
        <w:pStyle w:val="43"/>
        <w:numPr>
          <w:ilvl w:val="0"/>
          <w:numId w:val="11"/>
        </w:numPr>
        <w:spacing w:line="360" w:lineRule="auto"/>
        <w:ind w:firstLineChars="0"/>
      </w:pPr>
      <w:r>
        <w:rPr>
          <w:rFonts w:hint="eastAsia"/>
        </w:rPr>
        <w:t>图像存储功能</w:t>
      </w:r>
    </w:p>
    <w:p>
      <w:pPr>
        <w:spacing w:line="360" w:lineRule="auto"/>
        <w:ind w:firstLine="480"/>
      </w:pPr>
      <w:r>
        <w:rPr>
          <w:rFonts w:hint="eastAsia"/>
        </w:rPr>
        <w:t>室内机开门后会自动抓拍呼叫的图片，方便查看来访人员的记录。</w:t>
      </w:r>
    </w:p>
    <w:p>
      <w:pPr>
        <w:pStyle w:val="43"/>
        <w:numPr>
          <w:ilvl w:val="0"/>
          <w:numId w:val="11"/>
        </w:numPr>
        <w:spacing w:line="360" w:lineRule="auto"/>
        <w:ind w:firstLineChars="0"/>
      </w:pPr>
      <w:r>
        <w:rPr>
          <w:rFonts w:hint="eastAsia"/>
        </w:rPr>
        <w:t>中心软件管理功能</w:t>
      </w:r>
    </w:p>
    <w:p>
      <w:pPr>
        <w:spacing w:line="360" w:lineRule="auto"/>
        <w:ind w:firstLine="480"/>
      </w:pPr>
      <w:r>
        <w:rPr>
          <w:rFonts w:hint="eastAsia"/>
        </w:rPr>
        <w:t>管理平台提供完善的可视对讲业务流程支持。基于用户的实际需求，实现了多方通话、门禁控制、报警管理、消息推送、数据存储、远程控制等功能。平台采用模块化设计，使用专业的大型数据库系统作为数据存储载体，整个系统能够长期高效稳定地运行。</w:t>
      </w:r>
    </w:p>
    <w:p>
      <w:pPr>
        <w:pStyle w:val="39"/>
        <w:spacing w:line="360" w:lineRule="auto"/>
      </w:pPr>
      <w:bookmarkStart w:id="129" w:name="_Toc13497"/>
      <w:r>
        <w:rPr>
          <w:rFonts w:hint="eastAsia"/>
        </w:rPr>
        <w:t>人员出入口控制系统</w:t>
      </w:r>
      <w:bookmarkEnd w:id="129"/>
    </w:p>
    <w:p>
      <w:pPr>
        <w:spacing w:line="360" w:lineRule="auto"/>
        <w:ind w:firstLine="480"/>
      </w:pPr>
      <w:r>
        <w:rPr>
          <w:rFonts w:hint="eastAsia"/>
        </w:rPr>
        <w:t>针对各小区对出入口人员通道控制系统的管理需求，结合各小区实际情况，在小区出入口设置电动移门或者人行通道，系统可以有效防止未授权人员随意进入小区，确保小区内部安全。系统可有效控制人员通行秩序，使得出入口通行井然有序，方便人员出入管理。</w:t>
      </w:r>
    </w:p>
    <w:p>
      <w:pPr>
        <w:spacing w:line="360" w:lineRule="auto"/>
        <w:ind w:firstLine="480"/>
      </w:pPr>
      <w:r>
        <w:rPr>
          <w:rFonts w:hint="eastAsia"/>
        </w:rPr>
        <w:t>为有效管理小区公共出入口等区域，小区应设置人车分流出入口，小区人员出入通道采取智能识别技术手段，设立人员通行道闸（摆闸、翼闸、速通门、电动门、智慧门等），进出人员应通过身份识别认证后方可通行，人员通行设备与认证识别联动，外部来访人员需通过管理人员进行身份登记确认或由住户授权方可通过,并在小区出入口安装人脸抓拍单元，进行人脸抓拍。</w:t>
      </w:r>
    </w:p>
    <w:p>
      <w:pPr>
        <w:spacing w:line="360" w:lineRule="auto"/>
        <w:ind w:firstLine="480"/>
      </w:pPr>
      <w:r>
        <w:rPr>
          <w:rFonts w:hint="eastAsia"/>
        </w:rPr>
        <w:t xml:space="preserve"> 在小区人行出入口设置1套同进同出的人行道闸系统（暂定智慧门）。人行出入口可通过刷卡和单独的人脸识别开启（围墙机）。根据小区的管理性质的不同设置开放式小区、半开放式小区、封闭式小区设置不同数量的智慧门。</w:t>
      </w:r>
    </w:p>
    <w:p>
      <w:pPr>
        <w:pStyle w:val="39"/>
        <w:spacing w:line="360" w:lineRule="auto"/>
      </w:pPr>
      <w:bookmarkStart w:id="130" w:name="_Toc26067"/>
      <w:r>
        <w:rPr>
          <w:rFonts w:hint="eastAsia"/>
        </w:rPr>
        <w:t>访客管理系统</w:t>
      </w:r>
      <w:bookmarkEnd w:id="130"/>
    </w:p>
    <w:p>
      <w:pPr>
        <w:spacing w:line="360" w:lineRule="auto"/>
        <w:ind w:firstLine="480"/>
      </w:pPr>
      <w:r>
        <w:rPr>
          <w:rFonts w:hint="eastAsia"/>
        </w:rPr>
        <w:t>访客管理系统主要用于访客的信息登记、操作记录与权限管理。访客来访，需要对访客信息做登记处理，主要是为了对来访访客的信息做统一的管理，以便后期做统计或查询操作。</w:t>
      </w:r>
    </w:p>
    <w:p>
      <w:pPr>
        <w:pStyle w:val="37"/>
        <w:spacing w:line="360" w:lineRule="auto"/>
        <w:ind w:firstLine="420"/>
        <w:rPr>
          <w:rFonts w:ascii="Arial" w:hAnsi="宋体" w:eastAsia="宋体" w:cs="Arial"/>
          <w:szCs w:val="24"/>
        </w:rPr>
      </w:pPr>
      <w:r>
        <w:rPr>
          <w:rFonts w:hint="eastAsia" w:ascii="Arial" w:hAnsi="宋体" w:eastAsia="宋体" w:cs="Arial"/>
          <w:szCs w:val="24"/>
        </w:rPr>
        <w:t>访客管理系统通过对访客的身份证信息和人脸信息进行比对，比对通过准予放行。系统在每个小区人行出入口设置1台访客机，对外来人员进行身份核验和信息登记。</w:t>
      </w:r>
    </w:p>
    <w:p>
      <w:pPr>
        <w:pStyle w:val="39"/>
        <w:spacing w:line="360" w:lineRule="auto"/>
      </w:pPr>
      <w:bookmarkStart w:id="131" w:name="_Toc16833"/>
      <w:r>
        <w:rPr>
          <w:rFonts w:hint="eastAsia"/>
        </w:rPr>
        <w:t>智能停车系统</w:t>
      </w:r>
      <w:bookmarkEnd w:id="131"/>
    </w:p>
    <w:p>
      <w:pPr>
        <w:pStyle w:val="43"/>
        <w:spacing w:line="360" w:lineRule="auto"/>
        <w:ind w:firstLine="420"/>
      </w:pPr>
      <w:r>
        <w:rPr>
          <w:rFonts w:hint="eastAsia"/>
        </w:rPr>
        <w:t>车辆出入口控制系统由前端系统、传输系统、中心系统组成，实现对车辆的24小时全天候监控覆盖，记录所有通行车辆，自动抓拍、记录、传输和处理，同时系统还能完成车牌与车主信息管理等功能。</w:t>
      </w:r>
    </w:p>
    <w:p>
      <w:pPr>
        <w:pStyle w:val="43"/>
        <w:spacing w:line="360" w:lineRule="auto"/>
        <w:ind w:firstLine="0" w:firstLineChars="0"/>
        <w:jc w:val="center"/>
      </w:pPr>
      <w:r>
        <w:drawing>
          <wp:inline distT="0" distB="0" distL="114300" distR="114300">
            <wp:extent cx="3472815" cy="2679065"/>
            <wp:effectExtent l="0" t="0" r="13335" b="6985"/>
            <wp:docPr id="3"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6"/>
                    <pic:cNvPicPr>
                      <a:picLocks noChangeAspect="1"/>
                    </pic:cNvPicPr>
                  </pic:nvPicPr>
                  <pic:blipFill>
                    <a:blip r:embed="rId17"/>
                    <a:stretch>
                      <a:fillRect/>
                    </a:stretch>
                  </pic:blipFill>
                  <pic:spPr>
                    <a:xfrm>
                      <a:off x="0" y="0"/>
                      <a:ext cx="3472815" cy="2679065"/>
                    </a:xfrm>
                    <a:prstGeom prst="rect">
                      <a:avLst/>
                    </a:prstGeom>
                    <a:noFill/>
                    <a:ln>
                      <a:noFill/>
                    </a:ln>
                  </pic:spPr>
                </pic:pic>
              </a:graphicData>
            </a:graphic>
          </wp:inline>
        </w:drawing>
      </w:r>
    </w:p>
    <w:p>
      <w:pPr>
        <w:pStyle w:val="37"/>
        <w:spacing w:line="360" w:lineRule="auto"/>
        <w:ind w:firstLine="420"/>
        <w:rPr>
          <w:rFonts w:ascii="Arial" w:hAnsi="宋体" w:eastAsia="宋体" w:cs="Arial"/>
          <w:szCs w:val="24"/>
        </w:rPr>
      </w:pPr>
      <w:r>
        <w:rPr>
          <w:rFonts w:hint="eastAsia" w:ascii="Arial" w:hAnsi="宋体" w:eastAsia="宋体" w:cs="Arial"/>
          <w:szCs w:val="24"/>
        </w:rPr>
        <w:t>二、系统设计</w:t>
      </w:r>
    </w:p>
    <w:p>
      <w:pPr>
        <w:pStyle w:val="37"/>
        <w:spacing w:line="360" w:lineRule="auto"/>
        <w:ind w:firstLine="420"/>
        <w:rPr>
          <w:rFonts w:ascii="Arial" w:hAnsi="宋体" w:eastAsia="宋体" w:cs="Arial"/>
          <w:szCs w:val="24"/>
        </w:rPr>
      </w:pPr>
      <w:r>
        <w:rPr>
          <w:rFonts w:hint="eastAsia" w:ascii="Arial" w:hAnsi="宋体" w:eastAsia="宋体" w:cs="Arial"/>
          <w:szCs w:val="24"/>
        </w:rPr>
        <w:t>在各小区车行通道设置车辆管理系统，对进出小区的车辆进行管理。车辆管理系统单独组网不在整个小区设备网之内。车辆管理系统的收费系统由物业公司或者社区统一管理。</w:t>
      </w:r>
    </w:p>
    <w:p>
      <w:pPr>
        <w:pStyle w:val="43"/>
        <w:spacing w:line="360" w:lineRule="auto"/>
        <w:ind w:firstLine="420"/>
      </w:pPr>
      <w:r>
        <w:rPr>
          <w:rFonts w:hint="eastAsia"/>
        </w:rPr>
        <w:t>三、系统功能</w:t>
      </w:r>
    </w:p>
    <w:p>
      <w:pPr>
        <w:pStyle w:val="43"/>
        <w:numPr>
          <w:ilvl w:val="0"/>
          <w:numId w:val="12"/>
        </w:numPr>
        <w:spacing w:line="360" w:lineRule="auto"/>
        <w:ind w:firstLineChars="0"/>
      </w:pPr>
      <w:r>
        <w:rPr>
          <w:rFonts w:hint="eastAsia"/>
        </w:rPr>
        <w:t>车辆管控</w:t>
      </w:r>
    </w:p>
    <w:p>
      <w:pPr>
        <w:pStyle w:val="43"/>
        <w:spacing w:line="360" w:lineRule="auto"/>
        <w:ind w:firstLine="420"/>
      </w:pPr>
      <w:r>
        <w:rPr>
          <w:rFonts w:hint="eastAsia"/>
        </w:rPr>
        <w:t>固定车辆：车牌识别、远距离卡识别且比对正确，即可进场，无需任何操作。</w:t>
      </w:r>
    </w:p>
    <w:p>
      <w:pPr>
        <w:pStyle w:val="43"/>
        <w:spacing w:line="360" w:lineRule="auto"/>
        <w:ind w:firstLine="420"/>
      </w:pPr>
      <w:r>
        <w:rPr>
          <w:rFonts w:hint="eastAsia"/>
        </w:rPr>
        <w:t>贵宾车辆：车牌识别或远距离卡片识别任一通过，即可进场，无需任何操作，体现尊贵身份。</w:t>
      </w:r>
    </w:p>
    <w:p>
      <w:pPr>
        <w:pStyle w:val="43"/>
        <w:spacing w:line="360" w:lineRule="auto"/>
        <w:ind w:firstLine="420"/>
      </w:pPr>
      <w:r>
        <w:rPr>
          <w:rFonts w:hint="eastAsia"/>
        </w:rPr>
        <w:t>临时车辆：停车取卡，抓拍车牌并识别，放行。</w:t>
      </w:r>
    </w:p>
    <w:p>
      <w:pPr>
        <w:pStyle w:val="43"/>
        <w:numPr>
          <w:ilvl w:val="0"/>
          <w:numId w:val="12"/>
        </w:numPr>
        <w:spacing w:line="360" w:lineRule="auto"/>
        <w:ind w:firstLineChars="0"/>
      </w:pPr>
      <w:r>
        <w:rPr>
          <w:rFonts w:hint="eastAsia"/>
        </w:rPr>
        <w:t>电动挡车器软件控制</w:t>
      </w:r>
    </w:p>
    <w:p>
      <w:pPr>
        <w:pStyle w:val="43"/>
        <w:spacing w:line="360" w:lineRule="auto"/>
        <w:ind w:firstLine="420"/>
      </w:pPr>
      <w:r>
        <w:rPr>
          <w:rFonts w:hint="eastAsia"/>
        </w:rPr>
        <w:t>客户端或中心管理平台能够远程控制电动挡车器启闭，方便操作人员管理和特殊需要。</w:t>
      </w:r>
    </w:p>
    <w:p>
      <w:pPr>
        <w:pStyle w:val="43"/>
        <w:numPr>
          <w:ilvl w:val="0"/>
          <w:numId w:val="12"/>
        </w:numPr>
        <w:spacing w:line="360" w:lineRule="auto"/>
        <w:ind w:firstLineChars="0"/>
      </w:pPr>
      <w:r>
        <w:rPr>
          <w:rFonts w:hint="eastAsia"/>
        </w:rPr>
        <w:t>图片/视频预览</w:t>
      </w:r>
    </w:p>
    <w:p>
      <w:pPr>
        <w:pStyle w:val="43"/>
        <w:spacing w:line="360" w:lineRule="auto"/>
        <w:ind w:firstLine="420"/>
      </w:pPr>
      <w:r>
        <w:rPr>
          <w:rFonts w:hint="eastAsia"/>
        </w:rPr>
        <w:t>过车图片和信息实时显示，视频实时预览，进出车辆自动匹配，图片预览按车道轮询。</w:t>
      </w:r>
    </w:p>
    <w:p>
      <w:pPr>
        <w:pStyle w:val="43"/>
        <w:numPr>
          <w:ilvl w:val="0"/>
          <w:numId w:val="12"/>
        </w:numPr>
        <w:spacing w:line="360" w:lineRule="auto"/>
        <w:ind w:firstLineChars="0"/>
      </w:pPr>
      <w:r>
        <w:rPr>
          <w:rFonts w:hint="eastAsia"/>
        </w:rPr>
        <w:t>LED屏显示</w:t>
      </w:r>
    </w:p>
    <w:p>
      <w:pPr>
        <w:spacing w:line="360" w:lineRule="auto"/>
        <w:ind w:firstLine="480"/>
      </w:pPr>
      <w:r>
        <w:rPr>
          <w:rFonts w:hint="eastAsia"/>
        </w:rPr>
        <w:t>控制主机包含语音提示系统、信息显示屏，车辆驶入、驶出可以根据客户需要提示语音，显示欢迎信息等。</w:t>
      </w:r>
    </w:p>
    <w:p>
      <w:pPr>
        <w:pStyle w:val="43"/>
        <w:numPr>
          <w:ilvl w:val="0"/>
          <w:numId w:val="12"/>
        </w:numPr>
        <w:spacing w:line="360" w:lineRule="auto"/>
        <w:ind w:firstLineChars="0"/>
      </w:pPr>
      <w:r>
        <w:rPr>
          <w:rFonts w:hint="eastAsia"/>
        </w:rPr>
        <w:t>车牌自动识别功能</w:t>
      </w:r>
    </w:p>
    <w:p>
      <w:pPr>
        <w:pStyle w:val="43"/>
        <w:spacing w:line="360" w:lineRule="auto"/>
        <w:ind w:firstLine="420"/>
      </w:pPr>
      <w:r>
        <w:rPr>
          <w:rFonts w:hint="eastAsia"/>
        </w:rPr>
        <w:t>系统可自动对车辆牌照进行识别，包括车牌号码、车牌颜色的识别。</w:t>
      </w:r>
    </w:p>
    <w:p>
      <w:pPr>
        <w:pStyle w:val="43"/>
        <w:spacing w:line="360" w:lineRule="auto"/>
        <w:ind w:firstLine="420"/>
      </w:pPr>
      <w:r>
        <w:rPr>
          <w:rFonts w:hint="eastAsia"/>
        </w:rPr>
        <w:t>在实时记录通行车辆图像的同时，还具备对符合“GA36-92”（92式牌照） 、“GA36-2007”（新号牌标准） 、“GA36.1-2001”（02式新牌照）标准的民用车牌、警用车牌、军用车牌、武警车牌的车牌自动识别能力，包括2002式号牌。</w:t>
      </w:r>
    </w:p>
    <w:p>
      <w:pPr>
        <w:pStyle w:val="43"/>
        <w:spacing w:line="360" w:lineRule="auto"/>
        <w:ind w:firstLine="420"/>
      </w:pPr>
      <w:r>
        <w:rPr>
          <w:rFonts w:hint="eastAsia"/>
        </w:rPr>
        <w:t>系统能识别黑、白、蓝、黄、绿五种车牌颜色。</w:t>
      </w:r>
    </w:p>
    <w:p>
      <w:pPr>
        <w:pStyle w:val="43"/>
        <w:numPr>
          <w:ilvl w:val="0"/>
          <w:numId w:val="12"/>
        </w:numPr>
        <w:spacing w:line="360" w:lineRule="auto"/>
        <w:ind w:firstLineChars="0"/>
      </w:pPr>
      <w:r>
        <w:rPr>
          <w:rFonts w:hint="eastAsia"/>
        </w:rPr>
        <w:t>车辆信息记录</w:t>
      </w:r>
    </w:p>
    <w:p>
      <w:pPr>
        <w:pStyle w:val="43"/>
        <w:spacing w:line="360" w:lineRule="auto"/>
        <w:ind w:firstLine="420"/>
      </w:pPr>
      <w:r>
        <w:rPr>
          <w:rFonts w:hint="eastAsia"/>
        </w:rPr>
        <w:t>车辆信息包括车辆通行信息和车辆图像信息两类。</w:t>
      </w:r>
    </w:p>
    <w:p>
      <w:pPr>
        <w:pStyle w:val="43"/>
        <w:spacing w:line="360" w:lineRule="auto"/>
        <w:ind w:firstLine="420"/>
      </w:pPr>
      <w:r>
        <w:rPr>
          <w:rFonts w:hint="eastAsia"/>
        </w:rPr>
        <w:t>在车辆通过出入口时，系统能准确记录车辆通行信息，如时间、地点、方向等。</w:t>
      </w:r>
    </w:p>
    <w:p>
      <w:pPr>
        <w:pStyle w:val="43"/>
        <w:spacing w:line="360" w:lineRule="auto"/>
        <w:ind w:firstLine="420"/>
      </w:pPr>
      <w:r>
        <w:rPr>
          <w:rFonts w:hint="eastAsia"/>
        </w:rPr>
        <w:t>在车辆通过出入口时，牌照识别系统能准确拍摄包含车辆前端、车牌的图像，并将图像和车辆通行信息传输给出入口控制终端，并可选择在图像中叠加车辆通行信息（如时间、地点等）。</w:t>
      </w:r>
    </w:p>
    <w:p>
      <w:pPr>
        <w:pStyle w:val="37"/>
        <w:spacing w:line="360" w:lineRule="auto"/>
        <w:ind w:firstLine="420"/>
      </w:pPr>
      <w:r>
        <w:rPr>
          <w:rFonts w:hint="eastAsia"/>
        </w:rPr>
        <w:t>系统采用的抓拍摄像机，具备智能成像和控制补光功能，能够在各种复杂环境（如雨雾、强逆光、弱光照、强光照等）下和夜间拍摄出清晰的图片。</w:t>
      </w:r>
    </w:p>
    <w:p>
      <w:pPr>
        <w:pStyle w:val="39"/>
        <w:spacing w:line="360" w:lineRule="auto"/>
        <w:rPr>
          <w:lang w:eastAsia="zh-CN"/>
        </w:rPr>
      </w:pPr>
      <w:bookmarkStart w:id="132" w:name="_Toc2485"/>
      <w:r>
        <w:rPr>
          <w:rFonts w:hint="eastAsia"/>
          <w:lang w:eastAsia="zh-CN"/>
        </w:rPr>
        <w:t>周界入侵报警、烟雾报警系统</w:t>
      </w:r>
      <w:bookmarkEnd w:id="132"/>
    </w:p>
    <w:p>
      <w:pPr>
        <w:pStyle w:val="37"/>
        <w:spacing w:line="360" w:lineRule="auto"/>
        <w:ind w:firstLine="420"/>
        <w:rPr>
          <w:rFonts w:ascii="Arial" w:hAnsi="宋体" w:eastAsia="宋体" w:cs="Arial"/>
          <w:szCs w:val="24"/>
        </w:rPr>
      </w:pPr>
      <w:r>
        <w:rPr>
          <w:rFonts w:hint="eastAsia" w:ascii="Arial" w:hAnsi="宋体" w:eastAsia="宋体" w:cs="Arial"/>
          <w:szCs w:val="24"/>
        </w:rPr>
        <w:t>一、系统概述</w:t>
      </w:r>
    </w:p>
    <w:p>
      <w:pPr>
        <w:spacing w:line="360" w:lineRule="auto"/>
        <w:ind w:firstLine="480"/>
      </w:pPr>
      <w:r>
        <w:rPr>
          <w:rFonts w:hint="eastAsia"/>
        </w:rPr>
        <w:t>小区周界是安全防范的第一道防线，没有安全防范措施的周界围墙容易成为不法份子入侵的首选途径，同时，做好第一道防线的安全防范，提高非法行为的实施难度，是小区安全管理应该考虑的首要问题。小区周界需要设立合适的入侵报警触发措施，一旦探测到入侵行为产生报警，并结合视频监控提供实时跟踪手段与事后追查依据。室内非机动车停放处由于空间封闭和用电等原因容易导致火灾或消防事故，因此在室内非机动车停放处公共区域设置感烟探测器。</w:t>
      </w:r>
    </w:p>
    <w:p>
      <w:pPr>
        <w:spacing w:line="360" w:lineRule="auto"/>
        <w:ind w:firstLine="480"/>
      </w:pPr>
    </w:p>
    <w:p>
      <w:pPr>
        <w:pStyle w:val="37"/>
        <w:spacing w:line="360" w:lineRule="auto"/>
        <w:ind w:firstLine="420"/>
        <w:rPr>
          <w:rFonts w:ascii="Arial" w:hAnsi="宋体" w:eastAsia="宋体" w:cs="Arial"/>
          <w:szCs w:val="24"/>
        </w:rPr>
      </w:pPr>
      <w:r>
        <w:rPr>
          <w:rFonts w:hint="eastAsia" w:ascii="Arial" w:hAnsi="宋体" w:eastAsia="宋体" w:cs="Arial"/>
          <w:szCs w:val="24"/>
        </w:rPr>
        <w:t>二、系统设置</w:t>
      </w:r>
    </w:p>
    <w:p>
      <w:pPr>
        <w:pStyle w:val="37"/>
        <w:spacing w:line="360" w:lineRule="auto"/>
        <w:ind w:firstLine="420"/>
        <w:rPr>
          <w:rFonts w:ascii="Arial" w:hAnsi="宋体" w:cs="Arial"/>
          <w:szCs w:val="24"/>
        </w:rPr>
      </w:pPr>
      <w:r>
        <w:rPr>
          <w:rFonts w:hint="eastAsia" w:ascii="Arial" w:hAnsi="宋体" w:cs="Arial"/>
          <w:szCs w:val="24"/>
        </w:rPr>
        <w:t>在设有围墙的小区周界围墙上方设置张力式电子围栏和高清网络防越界摄像机，对小区的周界进行全面设防。一旦有人攀爬围墙，系统会自动发出报警信息，同时联动现场灯光报警起到震慑作用。同时联动高清网络防越界摄像机对翻越画面实时查看。</w:t>
      </w:r>
    </w:p>
    <w:p>
      <w:pPr>
        <w:pStyle w:val="37"/>
        <w:spacing w:line="360" w:lineRule="auto"/>
        <w:ind w:firstLine="420"/>
        <w:rPr>
          <w:rFonts w:ascii="Arial" w:hAnsi="宋体" w:cs="Arial"/>
          <w:szCs w:val="24"/>
        </w:rPr>
      </w:pPr>
      <w:r>
        <w:rPr>
          <w:rFonts w:hint="eastAsia" w:ascii="Arial" w:hAnsi="宋体" w:cs="Arial"/>
          <w:szCs w:val="24"/>
        </w:rPr>
        <w:t>在部分非机动车库内设置感烟探测器，报警主机和入侵主机合用设置在监控中心。</w:t>
      </w:r>
    </w:p>
    <w:p>
      <w:pPr>
        <w:pStyle w:val="39"/>
        <w:spacing w:line="360" w:lineRule="auto"/>
      </w:pPr>
      <w:bookmarkStart w:id="133" w:name="_Toc25168"/>
      <w:r>
        <w:rPr>
          <w:rFonts w:hint="eastAsia"/>
        </w:rPr>
        <w:t>可视化巡更系统</w:t>
      </w:r>
      <w:bookmarkEnd w:id="133"/>
    </w:p>
    <w:p>
      <w:pPr>
        <w:spacing w:line="360" w:lineRule="auto"/>
        <w:ind w:firstLine="480"/>
        <w:rPr>
          <w:rFonts w:ascii="Arial" w:hAnsi="宋体" w:eastAsia="宋体" w:cs="Arial"/>
          <w:szCs w:val="24"/>
        </w:rPr>
      </w:pPr>
      <w:r>
        <w:rPr>
          <w:rFonts w:hint="eastAsia"/>
        </w:rPr>
        <w:t>可视化巡更系统是基于固定巡更作业需求，采用技术防范与人工防范相结合的安防系统。利用现有的人脸门禁和视频监控资源，将人脸门禁机作为巡更点，灵活配置巡更路线，定期安排巡更员按路线进行巡更，从而实现对巡更工作及时有效的监督和管理。结合视频关联、报警联动、电子地图、报表等功能，实现巡更工作的自动化运行，全方位调度和可视化管理。</w:t>
      </w:r>
    </w:p>
    <w:p>
      <w:pPr>
        <w:pStyle w:val="39"/>
        <w:spacing w:line="360" w:lineRule="auto"/>
        <w:rPr>
          <w:lang w:eastAsia="zh-CN"/>
        </w:rPr>
      </w:pPr>
      <w:bookmarkStart w:id="134" w:name="_Toc15365"/>
      <w:r>
        <w:rPr>
          <w:rFonts w:hint="eastAsia"/>
          <w:lang w:eastAsia="zh-CN"/>
        </w:rPr>
        <w:t>智能感知采集系统</w:t>
      </w:r>
      <w:bookmarkEnd w:id="134"/>
    </w:p>
    <w:p>
      <w:pPr>
        <w:pStyle w:val="37"/>
        <w:spacing w:line="360" w:lineRule="auto"/>
        <w:ind w:firstLine="420"/>
        <w:rPr>
          <w:rFonts w:ascii="Arial" w:hAnsi="宋体" w:eastAsia="宋体" w:cs="Arial"/>
          <w:szCs w:val="24"/>
        </w:rPr>
      </w:pPr>
      <w:r>
        <w:rPr>
          <w:rFonts w:hint="eastAsia" w:ascii="Arial" w:hAnsi="宋体" w:eastAsia="宋体" w:cs="Arial"/>
          <w:szCs w:val="24"/>
        </w:rPr>
        <w:t>一、系统概述</w:t>
      </w:r>
    </w:p>
    <w:p>
      <w:pPr>
        <w:pStyle w:val="37"/>
        <w:spacing w:line="360" w:lineRule="auto"/>
        <w:ind w:firstLine="420"/>
        <w:rPr>
          <w:rFonts w:ascii="Arial" w:hAnsi="宋体" w:eastAsia="宋体" w:cs="Arial"/>
          <w:szCs w:val="24"/>
        </w:rPr>
      </w:pPr>
      <w:r>
        <w:rPr>
          <w:rFonts w:hint="eastAsia" w:ascii="Arial" w:hAnsi="宋体" w:eastAsia="宋体" w:cs="Arial"/>
          <w:szCs w:val="24"/>
        </w:rPr>
        <w:t>小区出入口、内部区域安装无线</w:t>
      </w:r>
      <w:r>
        <w:rPr>
          <w:rFonts w:hint="eastAsia" w:cs="Times New Roman"/>
        </w:rPr>
        <w:t>智能感知</w:t>
      </w:r>
      <w:r>
        <w:rPr>
          <w:rFonts w:hint="eastAsia" w:ascii="Arial" w:hAnsi="宋体" w:cs="Arial"/>
          <w:szCs w:val="24"/>
        </w:rPr>
        <w:t>采集系统</w:t>
      </w:r>
      <w:r>
        <w:rPr>
          <w:rFonts w:hint="eastAsia" w:ascii="Arial" w:hAnsi="宋体" w:eastAsia="宋体" w:cs="Arial"/>
          <w:szCs w:val="24"/>
        </w:rPr>
        <w:t>，实现对无线上网数据的采集、筛查，上网终端的快速定位等功能。</w:t>
      </w:r>
    </w:p>
    <w:p>
      <w:pPr>
        <w:pStyle w:val="37"/>
        <w:spacing w:line="360" w:lineRule="auto"/>
        <w:ind w:firstLine="420"/>
        <w:rPr>
          <w:rFonts w:ascii="Arial" w:hAnsi="宋体" w:eastAsia="宋体" w:cs="Arial"/>
          <w:szCs w:val="24"/>
        </w:rPr>
      </w:pPr>
      <w:r>
        <w:rPr>
          <w:rFonts w:hint="eastAsia" w:ascii="Arial" w:hAnsi="宋体" w:eastAsia="宋体" w:cs="Arial"/>
          <w:szCs w:val="24"/>
        </w:rPr>
        <w:t>二、系统架构</w:t>
      </w:r>
    </w:p>
    <w:p>
      <w:pPr>
        <w:pStyle w:val="37"/>
        <w:spacing w:line="360" w:lineRule="auto"/>
        <w:ind w:firstLine="420"/>
        <w:rPr>
          <w:rFonts w:ascii="Arial" w:hAnsi="宋体" w:eastAsia="宋体" w:cs="Arial"/>
          <w:szCs w:val="24"/>
        </w:rPr>
      </w:pPr>
      <w:r>
        <w:rPr>
          <w:rFonts w:hint="eastAsia" w:ascii="Arial" w:hAnsi="宋体" w:eastAsia="宋体" w:cs="Arial"/>
          <w:szCs w:val="24"/>
        </w:rPr>
        <w:t>系统主要有三个部分组成：前端采集、传输和平台业务应用。</w:t>
      </w:r>
    </w:p>
    <w:p>
      <w:pPr>
        <w:pStyle w:val="37"/>
        <w:spacing w:line="360" w:lineRule="auto"/>
        <w:ind w:firstLine="420"/>
        <w:rPr>
          <w:rFonts w:ascii="Arial" w:hAnsi="宋体" w:eastAsia="宋体" w:cs="Arial"/>
          <w:szCs w:val="24"/>
        </w:rPr>
      </w:pPr>
      <w:r>
        <w:rPr>
          <w:rFonts w:hint="eastAsia" w:ascii="Arial" w:hAnsi="宋体" w:eastAsia="宋体" w:cs="Arial"/>
          <w:szCs w:val="24"/>
        </w:rPr>
        <w:t>前端采集：采用独立的无线</w:t>
      </w:r>
      <w:r>
        <w:rPr>
          <w:rFonts w:hint="eastAsia" w:cs="Times New Roman"/>
        </w:rPr>
        <w:t>智能感知</w:t>
      </w:r>
      <w:r>
        <w:rPr>
          <w:rFonts w:hint="eastAsia" w:ascii="Arial" w:hAnsi="宋体" w:cs="Arial"/>
          <w:szCs w:val="24"/>
        </w:rPr>
        <w:t>采集</w:t>
      </w:r>
      <w:r>
        <w:rPr>
          <w:rFonts w:hint="eastAsia" w:ascii="Arial" w:hAnsi="宋体" w:eastAsia="宋体" w:cs="Arial"/>
          <w:szCs w:val="24"/>
        </w:rPr>
        <w:t>设备。</w:t>
      </w:r>
    </w:p>
    <w:p>
      <w:pPr>
        <w:pStyle w:val="37"/>
        <w:spacing w:line="360" w:lineRule="auto"/>
        <w:ind w:firstLine="420"/>
        <w:rPr>
          <w:rFonts w:ascii="Arial" w:hAnsi="宋体" w:eastAsia="宋体" w:cs="Arial"/>
          <w:szCs w:val="24"/>
        </w:rPr>
      </w:pPr>
      <w:r>
        <w:rPr>
          <w:rFonts w:hint="eastAsia" w:ascii="Arial" w:hAnsi="宋体" w:eastAsia="宋体" w:cs="Arial"/>
          <w:szCs w:val="24"/>
        </w:rPr>
        <w:t>传输：数据通过专网对数据进行汇聚，并通过安全边界设备接入专网和公安信息网。</w:t>
      </w:r>
    </w:p>
    <w:p>
      <w:pPr>
        <w:pStyle w:val="37"/>
        <w:spacing w:line="360" w:lineRule="auto"/>
        <w:ind w:firstLine="420"/>
        <w:rPr>
          <w:rFonts w:ascii="Arial" w:hAnsi="宋体" w:eastAsia="宋体" w:cs="Arial"/>
          <w:szCs w:val="24"/>
        </w:rPr>
      </w:pPr>
      <w:r>
        <w:rPr>
          <w:rFonts w:hint="eastAsia" w:ascii="Arial" w:hAnsi="宋体" w:eastAsia="宋体" w:cs="Arial"/>
          <w:szCs w:val="24"/>
        </w:rPr>
        <w:t>公安机关管控后台：对前端采集的特征信息数据进行接收和统一管理，并对外提供统一的数据接口，为业务应用提供数据源。</w:t>
      </w:r>
    </w:p>
    <w:p>
      <w:pPr>
        <w:pStyle w:val="37"/>
        <w:spacing w:line="360" w:lineRule="auto"/>
        <w:ind w:firstLine="0" w:firstLineChars="0"/>
        <w:jc w:val="center"/>
        <w:rPr>
          <w:rFonts w:ascii="Arial" w:hAnsi="宋体" w:eastAsia="宋体" w:cs="Arial"/>
          <w:szCs w:val="24"/>
        </w:rPr>
      </w:pPr>
      <w:r>
        <w:drawing>
          <wp:inline distT="0" distB="0" distL="114300" distR="114300">
            <wp:extent cx="4274820" cy="3284220"/>
            <wp:effectExtent l="0" t="0" r="11430" b="11430"/>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18"/>
                    <a:stretch>
                      <a:fillRect/>
                    </a:stretch>
                  </pic:blipFill>
                  <pic:spPr>
                    <a:xfrm>
                      <a:off x="0" y="0"/>
                      <a:ext cx="4274820" cy="3284220"/>
                    </a:xfrm>
                    <a:prstGeom prst="rect">
                      <a:avLst/>
                    </a:prstGeom>
                    <a:noFill/>
                    <a:ln>
                      <a:noFill/>
                    </a:ln>
                  </pic:spPr>
                </pic:pic>
              </a:graphicData>
            </a:graphic>
          </wp:inline>
        </w:drawing>
      </w:r>
    </w:p>
    <w:p>
      <w:pPr>
        <w:pStyle w:val="37"/>
        <w:spacing w:line="360" w:lineRule="auto"/>
        <w:ind w:firstLine="420"/>
        <w:rPr>
          <w:rFonts w:ascii="Arial" w:hAnsi="宋体" w:eastAsia="宋体" w:cs="Arial"/>
          <w:szCs w:val="24"/>
        </w:rPr>
      </w:pPr>
      <w:r>
        <w:rPr>
          <w:rFonts w:hint="eastAsia" w:ascii="Arial" w:hAnsi="宋体" w:eastAsia="宋体" w:cs="Arial"/>
          <w:szCs w:val="24"/>
        </w:rPr>
        <w:t>三、系统设计</w:t>
      </w:r>
    </w:p>
    <w:p>
      <w:pPr>
        <w:pStyle w:val="37"/>
        <w:spacing w:line="360" w:lineRule="auto"/>
        <w:ind w:firstLine="420"/>
        <w:rPr>
          <w:rFonts w:ascii="Arial" w:hAnsi="宋体" w:eastAsia="宋体" w:cs="Arial"/>
          <w:szCs w:val="24"/>
        </w:rPr>
      </w:pPr>
      <w:r>
        <w:rPr>
          <w:rFonts w:hint="eastAsia" w:ascii="Arial" w:hAnsi="宋体" w:eastAsia="宋体" w:cs="Arial"/>
          <w:szCs w:val="24"/>
        </w:rPr>
        <w:t>在小区主要出入口处设置1只定向无线</w:t>
      </w:r>
      <w:r>
        <w:rPr>
          <w:rFonts w:hint="eastAsia" w:cs="Times New Roman"/>
        </w:rPr>
        <w:t>智能感知</w:t>
      </w:r>
      <w:r>
        <w:rPr>
          <w:rFonts w:hint="eastAsia" w:ascii="Arial" w:hAnsi="宋体" w:cs="Arial"/>
          <w:szCs w:val="24"/>
        </w:rPr>
        <w:t>采集</w:t>
      </w:r>
      <w:r>
        <w:rPr>
          <w:rFonts w:hint="eastAsia" w:ascii="Arial" w:hAnsi="宋体" w:eastAsia="宋体" w:cs="Arial"/>
          <w:szCs w:val="24"/>
        </w:rPr>
        <w:t>设备。</w:t>
      </w:r>
    </w:p>
    <w:p>
      <w:pPr>
        <w:pStyle w:val="39"/>
        <w:spacing w:line="360" w:lineRule="auto"/>
        <w:rPr>
          <w:lang w:eastAsia="zh-CN"/>
        </w:rPr>
      </w:pPr>
      <w:bookmarkStart w:id="135" w:name="_Toc25987"/>
      <w:r>
        <w:rPr>
          <w:rFonts w:hint="eastAsia"/>
          <w:lang w:eastAsia="zh-CN"/>
        </w:rPr>
        <w:t>机房建设（门卫、物业办公室）</w:t>
      </w:r>
      <w:bookmarkEnd w:id="135"/>
    </w:p>
    <w:p>
      <w:pPr>
        <w:pStyle w:val="37"/>
        <w:spacing w:line="360" w:lineRule="auto"/>
        <w:ind w:firstLine="420"/>
        <w:rPr>
          <w:rFonts w:ascii="Arial" w:hAnsi="宋体" w:eastAsia="宋体" w:cs="Arial"/>
          <w:szCs w:val="24"/>
        </w:rPr>
      </w:pPr>
      <w:r>
        <w:rPr>
          <w:rFonts w:hint="eastAsia" w:ascii="Arial" w:hAnsi="宋体" w:eastAsia="宋体" w:cs="Arial"/>
          <w:szCs w:val="24"/>
        </w:rPr>
        <w:t>本项目根据实际情况出发，老旧小区中大部分没有独立的监控机房。因此本次安防机房均设置在门卫或物业办公室。所有小区端汇聚设备均设置在门卫内中，设置1台操作台，同时在门卫内设置1台24U或42U标准机柜。设备电源取自强电预留回路。</w:t>
      </w:r>
    </w:p>
    <w:p>
      <w:pPr>
        <w:pStyle w:val="39"/>
        <w:spacing w:line="360" w:lineRule="auto"/>
        <w:rPr>
          <w:lang w:eastAsia="zh-CN"/>
        </w:rPr>
      </w:pPr>
      <w:bookmarkStart w:id="136" w:name="_Toc24997"/>
      <w:r>
        <w:rPr>
          <w:rFonts w:hint="eastAsia"/>
          <w:lang w:eastAsia="zh-CN"/>
        </w:rPr>
        <w:t>链路</w:t>
      </w:r>
      <w:bookmarkEnd w:id="136"/>
      <w:r>
        <w:rPr>
          <w:rFonts w:hint="eastAsia"/>
          <w:lang w:eastAsia="zh-CN"/>
        </w:rPr>
        <w:t>、综合管路</w:t>
      </w:r>
    </w:p>
    <w:p>
      <w:pPr>
        <w:pStyle w:val="37"/>
        <w:spacing w:line="360" w:lineRule="auto"/>
        <w:ind w:firstLine="420"/>
        <w:rPr>
          <w:rFonts w:ascii="Arial" w:hAnsi="宋体" w:eastAsia="宋体" w:cs="Arial"/>
          <w:szCs w:val="24"/>
        </w:rPr>
      </w:pPr>
      <w:r>
        <w:rPr>
          <w:rFonts w:hint="eastAsia" w:ascii="Arial" w:hAnsi="宋体" w:eastAsia="宋体" w:cs="Arial"/>
          <w:szCs w:val="24"/>
        </w:rPr>
        <w:t>本项目各个小区以街道管理机房为中心。汇聚交换机设置街道管机房内，各个小区以裸光纤链路形式敷设至本街道管理机房。部分机房设备已建设，本期项目以扩容的形式建设。</w:t>
      </w:r>
    </w:p>
    <w:p>
      <w:pPr>
        <w:pStyle w:val="43"/>
        <w:spacing w:line="360" w:lineRule="auto"/>
        <w:ind w:firstLine="420"/>
      </w:pPr>
      <w:r>
        <w:rPr>
          <w:rFonts w:hint="eastAsia" w:hAnsi="宋体" w:eastAsia="宋体" w:cs="Arial"/>
        </w:rPr>
        <w:t>本工程室外系统管子均采用聚乙烯管(PE)过马路采用C25混泥土包封，室外明管敷设部分采用紧定式钢管(JDG)，门禁采用紧定式钢管(JDG)，强电线单独敷管,室内管子采用阻燃型PVC管。</w:t>
      </w:r>
    </w:p>
    <w:p>
      <w:pPr>
        <w:pStyle w:val="41"/>
        <w:spacing w:line="360" w:lineRule="auto"/>
      </w:pPr>
      <w:r>
        <w:rPr>
          <w:rFonts w:hint="eastAsia"/>
          <w:lang w:eastAsia="zh-CN"/>
        </w:rPr>
        <w:t>设备参数要求</w:t>
      </w:r>
    </w:p>
    <w:p>
      <w:pPr>
        <w:spacing w:line="360" w:lineRule="auto"/>
        <w:ind w:firstLine="420" w:firstLineChars="200"/>
        <w:rPr>
          <w:szCs w:val="21"/>
        </w:rPr>
      </w:pPr>
      <w:r>
        <w:rPr>
          <w:szCs w:val="21"/>
        </w:rPr>
        <w:t xml:space="preserve">前注： </w:t>
      </w:r>
    </w:p>
    <w:p>
      <w:pPr>
        <w:numPr>
          <w:ilvl w:val="0"/>
          <w:numId w:val="13"/>
        </w:numPr>
        <w:spacing w:line="360" w:lineRule="auto"/>
        <w:rPr>
          <w:szCs w:val="21"/>
        </w:rPr>
      </w:pPr>
      <w:r>
        <w:rPr>
          <w:szCs w:val="21"/>
        </w:rPr>
        <w:t>以下设备参数</w:t>
      </w:r>
      <w:r>
        <w:rPr>
          <w:rFonts w:hint="eastAsia"/>
          <w:szCs w:val="21"/>
        </w:rPr>
        <w:t>要求</w:t>
      </w:r>
      <w:r>
        <w:rPr>
          <w:szCs w:val="21"/>
        </w:rPr>
        <w:t xml:space="preserve">所列清单为招标人（采购人）所提招标（采购）需求，投标人（供应商）应认真仔细研究，投标时应慎重选择相应的产品及技术参数、规格型号等进行投标。 </w:t>
      </w:r>
    </w:p>
    <w:p>
      <w:pPr>
        <w:numPr>
          <w:ilvl w:val="0"/>
          <w:numId w:val="13"/>
        </w:numPr>
        <w:spacing w:line="360" w:lineRule="auto"/>
        <w:rPr>
          <w:szCs w:val="21"/>
        </w:rPr>
      </w:pPr>
      <w:r>
        <w:rPr>
          <w:szCs w:val="21"/>
        </w:rPr>
        <w:t xml:space="preserve">以下设备清单仅为基本配置，对招标文件未明确、不能预测或未涵盖部分，实际交付设备以满足采购人系统业务功能建设需求为准，费用由中标供应商承担。 </w:t>
      </w:r>
    </w:p>
    <w:p>
      <w:pPr>
        <w:numPr>
          <w:ilvl w:val="0"/>
          <w:numId w:val="13"/>
        </w:numPr>
        <w:spacing w:line="360" w:lineRule="auto"/>
        <w:rPr>
          <w:szCs w:val="21"/>
        </w:rPr>
      </w:pPr>
      <w:r>
        <w:rPr>
          <w:szCs w:val="21"/>
        </w:rPr>
        <w:t>以下所有产品的免费维保期含建设期及</w:t>
      </w:r>
      <w:r>
        <w:rPr>
          <w:rFonts w:hint="eastAsia"/>
          <w:szCs w:val="21"/>
        </w:rPr>
        <w:t>15个月</w:t>
      </w:r>
      <w:r>
        <w:rPr>
          <w:szCs w:val="21"/>
        </w:rPr>
        <w:t>运维期</w:t>
      </w:r>
      <w:r>
        <w:rPr>
          <w:rFonts w:hint="eastAsia"/>
          <w:szCs w:val="21"/>
        </w:rPr>
        <w:t>，</w:t>
      </w:r>
      <w:r>
        <w:rPr>
          <w:szCs w:val="21"/>
        </w:rPr>
        <w:t>其中要求提供原厂质保的，签订合同前提供原厂商免费质保服务承诺函。</w:t>
      </w:r>
    </w:p>
    <w:tbl>
      <w:tblPr>
        <w:tblStyle w:val="14"/>
        <w:tblW w:w="9870" w:type="dxa"/>
        <w:tblInd w:w="93" w:type="dxa"/>
        <w:tblLayout w:type="fixed"/>
        <w:tblCellMar>
          <w:top w:w="0" w:type="dxa"/>
          <w:left w:w="108" w:type="dxa"/>
          <w:bottom w:w="0" w:type="dxa"/>
          <w:right w:w="108" w:type="dxa"/>
        </w:tblCellMar>
      </w:tblPr>
      <w:tblGrid>
        <w:gridCol w:w="627"/>
        <w:gridCol w:w="1150"/>
        <w:gridCol w:w="8093"/>
      </w:tblGrid>
      <w:tr>
        <w:tblPrEx>
          <w:tblCellMar>
            <w:top w:w="0" w:type="dxa"/>
            <w:left w:w="108" w:type="dxa"/>
            <w:bottom w:w="0" w:type="dxa"/>
            <w:right w:w="108" w:type="dxa"/>
          </w:tblCellMar>
        </w:tblPrEx>
        <w:trPr>
          <w:trHeight w:val="24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序号</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设备名称</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技术规格</w:t>
            </w:r>
          </w:p>
        </w:tc>
      </w:tr>
      <w:tr>
        <w:tblPrEx>
          <w:tblCellMar>
            <w:top w:w="0" w:type="dxa"/>
            <w:left w:w="108" w:type="dxa"/>
            <w:bottom w:w="0" w:type="dxa"/>
            <w:right w:w="108" w:type="dxa"/>
          </w:tblCellMar>
        </w:tblPrEx>
        <w:trPr>
          <w:trHeight w:val="439" w:hRule="atLeast"/>
        </w:trPr>
        <w:tc>
          <w:tcPr>
            <w:tcW w:w="9870" w:type="dxa"/>
            <w:gridSpan w:val="3"/>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b/>
                <w:bCs/>
                <w:color w:val="000000"/>
                <w:sz w:val="20"/>
              </w:rPr>
            </w:pPr>
            <w:r>
              <w:rPr>
                <w:rFonts w:hint="eastAsia" w:ascii="宋体" w:hAnsi="宋体" w:cs="宋体"/>
                <w:b/>
                <w:bCs/>
                <w:color w:val="000000"/>
                <w:sz w:val="20"/>
              </w:rPr>
              <w:t>一、出入口控制系统（人行出入口）</w:t>
            </w:r>
          </w:p>
        </w:tc>
      </w:tr>
      <w:tr>
        <w:tblPrEx>
          <w:tblCellMar>
            <w:top w:w="0" w:type="dxa"/>
            <w:left w:w="108" w:type="dxa"/>
            <w:bottom w:w="0" w:type="dxa"/>
            <w:right w:w="108" w:type="dxa"/>
          </w:tblCellMar>
        </w:tblPrEx>
        <w:trPr>
          <w:trHeight w:val="136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智慧门</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门板尺寸不小于1116mm*716mm，前后两张/通道宽度840mm—1200mm可调节。/工作电压24V/工作温度范围-20℃~70℃/断电轻推开门/开合方向可控制，开合方式可遥控，可刷卡，可联动门禁系统围墙机（开放方式：刷卡、人脸识别）/开门速度7—10秒可调节，开门信号可记忆，关门减速延时，遇阻返回或停止/指示灯指示门体运行且预警门体下一步动作。(包括1米以内智慧门同等高度的封闭栅栏）</w:t>
            </w:r>
          </w:p>
        </w:tc>
      </w:tr>
      <w:tr>
        <w:tblPrEx>
          <w:tblCellMar>
            <w:top w:w="0" w:type="dxa"/>
            <w:left w:w="108" w:type="dxa"/>
            <w:bottom w:w="0" w:type="dxa"/>
            <w:right w:w="108" w:type="dxa"/>
          </w:tblCellMar>
        </w:tblPrEx>
        <w:trPr>
          <w:trHeight w:val="394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双目人脸识别可视对讲围墙机</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200万CMOS双目低照度摄像头，视频压缩标准：H.264；</w:t>
            </w:r>
            <w:r>
              <w:rPr>
                <w:rFonts w:hint="eastAsia" w:ascii="宋体" w:hAnsi="宋体" w:cs="宋体"/>
                <w:color w:val="000000"/>
                <w:sz w:val="20"/>
              </w:rPr>
              <w:br w:type="textWrapping"/>
            </w:r>
            <w:r>
              <w:rPr>
                <w:rFonts w:hint="eastAsia" w:ascii="宋体" w:hAnsi="宋体" w:cs="宋体"/>
                <w:color w:val="000000"/>
                <w:sz w:val="20"/>
              </w:rPr>
              <w:t>8寸IPS屏，800×1280，电容触摸屏操作简便；</w:t>
            </w:r>
            <w:r>
              <w:rPr>
                <w:rFonts w:hint="eastAsia" w:ascii="宋体" w:hAnsi="宋体" w:cs="宋体"/>
                <w:color w:val="000000"/>
                <w:sz w:val="20"/>
              </w:rPr>
              <w:br w:type="textWrapping"/>
            </w:r>
            <w:r>
              <w:rPr>
                <w:rFonts w:hint="eastAsia" w:ascii="宋体" w:hAnsi="宋体" w:cs="宋体"/>
                <w:color w:val="000000"/>
                <w:sz w:val="20"/>
              </w:rPr>
              <w:t>支持刷卡、远程、密码、二维码、人脸识别开门多种开门方式；</w:t>
            </w:r>
            <w:r>
              <w:rPr>
                <w:rFonts w:hint="eastAsia" w:ascii="宋体" w:hAnsi="宋体" w:cs="宋体"/>
                <w:color w:val="000000"/>
                <w:sz w:val="20"/>
              </w:rPr>
              <w:br w:type="textWrapping"/>
            </w:r>
            <w:r>
              <w:rPr>
                <w:rFonts w:hint="eastAsia" w:ascii="宋体" w:hAnsi="宋体" w:cs="宋体"/>
                <w:color w:val="000000"/>
                <w:sz w:val="20"/>
              </w:rPr>
              <w:t>深度人脸识别算法，支持活体检测，人脸验证准确率≥99%，1：N比对时间≤0.2S/人，20000张人脸库支持信息发布、本地发卡、人体接近感应、留影留言、自动抓拍、防拆报警等功能；</w:t>
            </w:r>
            <w:r>
              <w:rPr>
                <w:rFonts w:hint="eastAsia" w:ascii="宋体" w:hAnsi="宋体" w:cs="宋体"/>
                <w:color w:val="000000"/>
                <w:sz w:val="20"/>
              </w:rPr>
              <w:br w:type="textWrapping"/>
            </w:r>
            <w:r>
              <w:rPr>
                <w:rFonts w:hint="eastAsia" w:ascii="宋体" w:hAnsi="宋体" w:cs="宋体"/>
                <w:color w:val="000000"/>
                <w:sz w:val="20"/>
              </w:rPr>
              <w:t>网络接口：1路RJ45，10M/100M以太网口，支持 IPv4，FTP，DNS，RTSP，RTP，TCP，UDP，SIP等网络协议音频；输入和输出：内置全指向麦克风和喇叭，RS485：1个，韦根接口：1路输入输出可配；</w:t>
            </w:r>
            <w:r>
              <w:rPr>
                <w:rFonts w:hint="eastAsia" w:ascii="宋体" w:hAnsi="宋体" w:cs="宋体"/>
                <w:color w:val="000000"/>
                <w:sz w:val="20"/>
              </w:rPr>
              <w:br w:type="textWrapping"/>
            </w:r>
            <w:r>
              <w:rPr>
                <w:rFonts w:hint="eastAsia" w:ascii="宋体" w:hAnsi="宋体" w:cs="宋体"/>
                <w:color w:val="000000"/>
                <w:sz w:val="20"/>
              </w:rPr>
              <w:t>报警接口：2路输入和2路输出开门接扭：1路；门状态检测:1路；</w:t>
            </w:r>
            <w:r>
              <w:rPr>
                <w:rFonts w:hint="eastAsia" w:ascii="宋体" w:hAnsi="宋体" w:cs="宋体"/>
                <w:color w:val="000000"/>
                <w:sz w:val="20"/>
              </w:rPr>
              <w:br w:type="textWrapping"/>
            </w:r>
            <w:r>
              <w:rPr>
                <w:rFonts w:hint="eastAsia" w:ascii="宋体" w:hAnsi="宋体" w:cs="宋体"/>
                <w:color w:val="000000"/>
                <w:sz w:val="20"/>
              </w:rPr>
              <w:t>门锁控制：1路常开，1路常闭；防护等级：IP66 IK07；</w:t>
            </w:r>
            <w:r>
              <w:rPr>
                <w:rFonts w:hint="eastAsia" w:ascii="宋体" w:hAnsi="宋体" w:cs="宋体"/>
                <w:color w:val="000000"/>
                <w:sz w:val="20"/>
              </w:rPr>
              <w:br w:type="textWrapping"/>
            </w:r>
            <w:r>
              <w:rPr>
                <w:rFonts w:hint="eastAsia" w:ascii="宋体" w:hAnsi="宋体" w:cs="宋体"/>
                <w:color w:val="000000"/>
                <w:sz w:val="20"/>
              </w:rPr>
              <w:t>▲呼叫:访客呼叫机应能呼叫用户接收机。呼叫过程中,访客呼叫机应有听觉和/或视觉的提示:用户接收机收到呼叫信号后,应能发出听觉和/或视觉的提示。（提供公安部有效检测报告复印件加盖原厂公章）</w:t>
            </w:r>
            <w:r>
              <w:rPr>
                <w:rFonts w:hint="eastAsia" w:ascii="宋体" w:hAnsi="宋体" w:cs="宋体"/>
                <w:color w:val="000000"/>
                <w:sz w:val="20"/>
              </w:rPr>
              <w:br w:type="textWrapping"/>
            </w:r>
            <w:r>
              <w:rPr>
                <w:rFonts w:hint="eastAsia" w:ascii="宋体" w:hAnsi="宋体" w:cs="宋体"/>
                <w:color w:val="000000"/>
                <w:sz w:val="20"/>
              </w:rPr>
              <w:t>▲防拆:当访客呼叫机被人为移离安装表面时,应立即发出本地听觉告警提示。（提供公安部有效检测报告复印件加盖原厂公章）</w:t>
            </w:r>
          </w:p>
        </w:tc>
      </w:tr>
      <w:tr>
        <w:tblPrEx>
          <w:tblCellMar>
            <w:top w:w="0" w:type="dxa"/>
            <w:left w:w="108" w:type="dxa"/>
            <w:bottom w:w="0" w:type="dxa"/>
            <w:right w:w="108" w:type="dxa"/>
          </w:tblCellMar>
        </w:tblPrEx>
        <w:trPr>
          <w:trHeight w:val="439"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主机电源12V/2A</w:t>
            </w:r>
          </w:p>
        </w:tc>
        <w:tc>
          <w:tcPr>
            <w:tcW w:w="8093"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宋体" w:hAnsi="宋体" w:cs="宋体"/>
                <w:color w:val="000000"/>
                <w:sz w:val="20"/>
              </w:rPr>
            </w:pPr>
            <w:r>
              <w:rPr>
                <w:rFonts w:hint="eastAsia" w:ascii="宋体" w:hAnsi="宋体" w:cs="宋体"/>
                <w:color w:val="000000"/>
                <w:sz w:val="20"/>
              </w:rPr>
              <w:t>12V2A</w:t>
            </w:r>
          </w:p>
        </w:tc>
      </w:tr>
      <w:tr>
        <w:tblPrEx>
          <w:tblCellMar>
            <w:top w:w="0" w:type="dxa"/>
            <w:left w:w="108" w:type="dxa"/>
            <w:bottom w:w="0" w:type="dxa"/>
            <w:right w:w="108" w:type="dxa"/>
          </w:tblCellMar>
        </w:tblPrEx>
        <w:trPr>
          <w:trHeight w:val="439"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磁力锁</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单门，拉力280公斤</w:t>
            </w:r>
          </w:p>
        </w:tc>
      </w:tr>
      <w:tr>
        <w:tblPrEx>
          <w:tblCellMar>
            <w:top w:w="0" w:type="dxa"/>
            <w:left w:w="108" w:type="dxa"/>
            <w:bottom w:w="0" w:type="dxa"/>
            <w:right w:w="108" w:type="dxa"/>
          </w:tblCellMar>
        </w:tblPrEx>
        <w:trPr>
          <w:trHeight w:val="439"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专用锁电源</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配套磁力锁电源</w:t>
            </w:r>
          </w:p>
        </w:tc>
      </w:tr>
      <w:tr>
        <w:tblPrEx>
          <w:tblCellMar>
            <w:top w:w="0" w:type="dxa"/>
            <w:left w:w="108" w:type="dxa"/>
            <w:bottom w:w="0" w:type="dxa"/>
            <w:right w:w="108" w:type="dxa"/>
          </w:tblCellMar>
        </w:tblPrEx>
        <w:trPr>
          <w:trHeight w:val="675"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闭门器</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最大门重:80KG 最大门宽:1100MM 关门力度:EN4  开门角度:180度 定速功能:有 定位功能:有 使用寿命:100万次 适用范围:工作温度：-20℃-+55℃， 工作湿度：≤95%；</w:t>
            </w:r>
          </w:p>
        </w:tc>
      </w:tr>
      <w:tr>
        <w:tblPrEx>
          <w:tblCellMar>
            <w:top w:w="0" w:type="dxa"/>
            <w:left w:w="108" w:type="dxa"/>
            <w:bottom w:w="0" w:type="dxa"/>
            <w:right w:w="108" w:type="dxa"/>
          </w:tblCellMar>
        </w:tblPrEx>
        <w:trPr>
          <w:trHeight w:val="52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防水出门按钮及支架</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定制防水开门、安装支架、1300mm~1500mm落地杆件。</w:t>
            </w:r>
          </w:p>
        </w:tc>
      </w:tr>
      <w:tr>
        <w:tblPrEx>
          <w:tblCellMar>
            <w:top w:w="0" w:type="dxa"/>
            <w:left w:w="108" w:type="dxa"/>
            <w:bottom w:w="0" w:type="dxa"/>
            <w:right w:w="108" w:type="dxa"/>
          </w:tblCellMar>
        </w:tblPrEx>
        <w:trPr>
          <w:trHeight w:val="434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人证合一 一体机</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操作系统：Android 7.1.2；</w:t>
            </w:r>
            <w:r>
              <w:rPr>
                <w:rFonts w:hint="eastAsia" w:ascii="宋体" w:hAnsi="宋体" w:cs="宋体"/>
                <w:color w:val="000000"/>
                <w:sz w:val="20"/>
              </w:rPr>
              <w:br w:type="textWrapping"/>
            </w:r>
            <w:r>
              <w:rPr>
                <w:rFonts w:hint="eastAsia" w:ascii="宋体" w:hAnsi="宋体" w:cs="宋体"/>
                <w:color w:val="000000"/>
                <w:sz w:val="20"/>
              </w:rPr>
              <w:t>设备外观：采用10.1英寸双面LCD显示屏，其中管理员屏支持触摸操作，200万像素双目宽动态摄像头，面部识别距离0.3m-1.5m，支持照片视频防假；</w:t>
            </w:r>
            <w:r>
              <w:rPr>
                <w:rFonts w:hint="eastAsia" w:ascii="宋体" w:hAnsi="宋体" w:cs="宋体"/>
                <w:color w:val="000000"/>
                <w:sz w:val="20"/>
              </w:rPr>
              <w:br w:type="textWrapping"/>
            </w:r>
            <w:r>
              <w:rPr>
                <w:rFonts w:hint="eastAsia" w:ascii="宋体" w:hAnsi="宋体" w:cs="宋体"/>
                <w:color w:val="000000"/>
                <w:sz w:val="20"/>
              </w:rPr>
              <w:t>认证方式：</w:t>
            </w:r>
            <w:r>
              <w:rPr>
                <w:rFonts w:hint="eastAsia" w:ascii="宋体" w:hAnsi="宋体" w:cs="宋体"/>
                <w:color w:val="000000"/>
                <w:sz w:val="20"/>
              </w:rPr>
              <w:br w:type="textWrapping"/>
            </w:r>
            <w:r>
              <w:rPr>
                <w:rFonts w:hint="eastAsia" w:ascii="宋体" w:hAnsi="宋体" w:cs="宋体"/>
                <w:color w:val="000000"/>
                <w:sz w:val="20"/>
              </w:rPr>
              <w:t>1）支持传统人证（身份证）比对功能，即将现场抓拍的人脸照片与身份证芯片内人脸照片进行比对，比对时间≤1s/人；</w:t>
            </w:r>
            <w:r>
              <w:rPr>
                <w:rFonts w:hint="eastAsia" w:ascii="宋体" w:hAnsi="宋体" w:cs="宋体"/>
                <w:color w:val="000000"/>
                <w:sz w:val="20"/>
              </w:rPr>
              <w:br w:type="textWrapping"/>
            </w:r>
            <w:r>
              <w:rPr>
                <w:rFonts w:hint="eastAsia" w:ascii="宋体" w:hAnsi="宋体" w:cs="宋体"/>
                <w:color w:val="000000"/>
                <w:sz w:val="20"/>
              </w:rPr>
              <w:t>2）自带独立证件拍照摄像头（500万像素），支持除身份证外其他证件的人证比对功能，即将现场抓拍的人脸照片与证件拍照摄像头抓拍的证件人脸照片进行比对，比对时间≤1s/人；</w:t>
            </w:r>
            <w:r>
              <w:rPr>
                <w:rFonts w:hint="eastAsia" w:ascii="宋体" w:hAnsi="宋体" w:cs="宋体"/>
                <w:color w:val="000000"/>
                <w:sz w:val="20"/>
              </w:rPr>
              <w:br w:type="textWrapping"/>
            </w:r>
            <w:r>
              <w:rPr>
                <w:rFonts w:hint="eastAsia" w:ascii="宋体" w:hAnsi="宋体" w:cs="宋体"/>
                <w:color w:val="000000"/>
                <w:sz w:val="20"/>
              </w:rPr>
              <w:t>设备支持视频、图片、文字形式的广告播放；可在广告区域选择多种预设模板；</w:t>
            </w:r>
          </w:p>
          <w:p>
            <w:pPr>
              <w:textAlignment w:val="center"/>
              <w:rPr>
                <w:rFonts w:ascii="宋体" w:hAnsi="宋体" w:cs="宋体"/>
                <w:color w:val="000000"/>
                <w:sz w:val="20"/>
              </w:rPr>
            </w:pPr>
            <w:r>
              <w:rPr>
                <w:rFonts w:hint="eastAsia" w:ascii="宋体" w:hAnsi="宋体" w:cs="宋体"/>
                <w:color w:val="000000"/>
                <w:sz w:val="20"/>
              </w:rPr>
              <w:t>设备容量：10000条事件记录，10000张证件抓拍照，100000黑名单证件号；</w:t>
            </w:r>
            <w:r>
              <w:rPr>
                <w:rFonts w:hint="eastAsia" w:ascii="宋体" w:hAnsi="宋体" w:cs="宋体"/>
                <w:color w:val="000000"/>
                <w:sz w:val="20"/>
              </w:rPr>
              <w:br w:type="textWrapping"/>
            </w:r>
            <w:r>
              <w:rPr>
                <w:rFonts w:hint="eastAsia" w:ascii="宋体" w:hAnsi="宋体" w:cs="宋体"/>
                <w:color w:val="000000"/>
                <w:sz w:val="20"/>
              </w:rPr>
              <w:t>通讯方式：有线网络、WiFi；</w:t>
            </w:r>
            <w:r>
              <w:rPr>
                <w:rFonts w:hint="eastAsia" w:ascii="宋体" w:hAnsi="宋体" w:cs="宋体"/>
                <w:color w:val="000000"/>
                <w:sz w:val="20"/>
              </w:rPr>
              <w:br w:type="textWrapping"/>
            </w:r>
            <w:r>
              <w:rPr>
                <w:rFonts w:hint="eastAsia" w:ascii="宋体" w:hAnsi="宋体" w:cs="宋体"/>
                <w:color w:val="000000"/>
                <w:sz w:val="20"/>
              </w:rPr>
              <w:t>设备具有以下接口：LAN*1、WiFi*1、USB、喇叭扬声器、I/O输出*1、I/O输入*1、红绿双色LED状态灯、开关机键*1、RS485*1；（公安部检测报告复印件证明并加盖原厂公章）</w:t>
            </w:r>
            <w:r>
              <w:rPr>
                <w:rFonts w:hint="eastAsia" w:ascii="宋体" w:hAnsi="宋体" w:cs="宋体"/>
                <w:color w:val="000000"/>
                <w:sz w:val="20"/>
              </w:rPr>
              <w:br w:type="textWrapping"/>
            </w:r>
            <w:r>
              <w:rPr>
                <w:rFonts w:hint="eastAsia" w:ascii="宋体" w:hAnsi="宋体" w:cs="宋体"/>
                <w:color w:val="000000"/>
                <w:sz w:val="20"/>
              </w:rPr>
              <w:t>设备接口：LAN*1、RS485*1、RS232*1、USB*2、I/O*2（报警*1/门锁*1）；</w:t>
            </w:r>
            <w:r>
              <w:rPr>
                <w:rFonts w:hint="eastAsia" w:ascii="宋体" w:hAnsi="宋体" w:cs="宋体"/>
                <w:color w:val="000000"/>
                <w:sz w:val="20"/>
              </w:rPr>
              <w:br w:type="textWrapping"/>
            </w:r>
            <w:r>
              <w:rPr>
                <w:rFonts w:hint="eastAsia" w:ascii="宋体" w:hAnsi="宋体" w:cs="宋体"/>
                <w:color w:val="000000"/>
                <w:sz w:val="20"/>
              </w:rPr>
              <w:t>工作电压：DC12V/3A (标配电源适配器）；</w:t>
            </w:r>
            <w:r>
              <w:rPr>
                <w:rFonts w:hint="eastAsia" w:ascii="宋体" w:hAnsi="宋体" w:cs="宋体"/>
                <w:color w:val="000000"/>
                <w:sz w:val="20"/>
              </w:rPr>
              <w:br w:type="textWrapping"/>
            </w:r>
            <w:r>
              <w:rPr>
                <w:rFonts w:hint="eastAsia" w:ascii="宋体" w:hAnsi="宋体" w:cs="宋体"/>
                <w:color w:val="000000"/>
                <w:sz w:val="20"/>
              </w:rPr>
              <w:t>使用环境：室内；</w:t>
            </w:r>
            <w:r>
              <w:rPr>
                <w:rFonts w:hint="eastAsia" w:ascii="宋体" w:hAnsi="宋体" w:cs="宋体"/>
                <w:color w:val="000000"/>
                <w:sz w:val="20"/>
              </w:rPr>
              <w:br w:type="textWrapping"/>
            </w:r>
            <w:r>
              <w:rPr>
                <w:rFonts w:hint="eastAsia" w:ascii="宋体" w:hAnsi="宋体" w:cs="宋体"/>
                <w:color w:val="000000"/>
                <w:sz w:val="20"/>
              </w:rPr>
              <w:t>安装方式：桌面安装；</w:t>
            </w:r>
          </w:p>
        </w:tc>
      </w:tr>
      <w:tr>
        <w:tblPrEx>
          <w:tblCellMar>
            <w:top w:w="0" w:type="dxa"/>
            <w:left w:w="108" w:type="dxa"/>
            <w:bottom w:w="0" w:type="dxa"/>
            <w:right w:w="108" w:type="dxa"/>
          </w:tblCellMar>
        </w:tblPrEx>
        <w:trPr>
          <w:trHeight w:val="534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9</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USB人像采集</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200万USB电视摄像机</w:t>
            </w:r>
            <w:r>
              <w:rPr>
                <w:rFonts w:hint="eastAsia" w:ascii="宋体" w:hAnsi="宋体" w:cs="宋体"/>
                <w:color w:val="000000"/>
                <w:sz w:val="20"/>
              </w:rPr>
              <w:br w:type="textWrapping"/>
            </w:r>
            <w:r>
              <w:rPr>
                <w:rFonts w:hint="eastAsia" w:ascii="宋体" w:hAnsi="宋体" w:cs="宋体"/>
                <w:color w:val="000000"/>
                <w:sz w:val="20"/>
              </w:rPr>
              <w:t>传感器类型:2.0 Mega Progressive Scan CMOS</w:t>
            </w:r>
            <w:r>
              <w:rPr>
                <w:rFonts w:hint="eastAsia" w:ascii="宋体" w:hAnsi="宋体" w:cs="宋体"/>
                <w:color w:val="000000"/>
                <w:sz w:val="20"/>
              </w:rPr>
              <w:br w:type="textWrapping"/>
            </w:r>
            <w:r>
              <w:rPr>
                <w:rFonts w:hint="eastAsia" w:ascii="宋体" w:hAnsi="宋体" w:cs="宋体"/>
                <w:color w:val="000000"/>
                <w:sz w:val="20"/>
              </w:rPr>
              <w:t>总像素:1920(水平)×1080(垂直)</w:t>
            </w:r>
            <w:r>
              <w:rPr>
                <w:rFonts w:hint="eastAsia" w:ascii="宋体" w:hAnsi="宋体" w:cs="宋体"/>
                <w:color w:val="000000"/>
                <w:sz w:val="20"/>
              </w:rPr>
              <w:br w:type="textWrapping"/>
            </w:r>
            <w:r>
              <w:rPr>
                <w:rFonts w:hint="eastAsia" w:ascii="宋体" w:hAnsi="宋体" w:cs="宋体"/>
                <w:color w:val="000000"/>
                <w:sz w:val="20"/>
              </w:rPr>
              <w:t>最低照度:0.1Lux @ (F1.2,AGC ON)</w:t>
            </w:r>
            <w:r>
              <w:rPr>
                <w:rFonts w:hint="eastAsia" w:ascii="宋体" w:hAnsi="宋体" w:cs="宋体"/>
                <w:color w:val="000000"/>
                <w:sz w:val="20"/>
              </w:rPr>
              <w:br w:type="textWrapping"/>
            </w:r>
            <w:r>
              <w:rPr>
                <w:rFonts w:hint="eastAsia" w:ascii="宋体" w:hAnsi="宋体" w:cs="宋体"/>
                <w:color w:val="000000"/>
                <w:sz w:val="20"/>
              </w:rPr>
              <w:t>镜头: 定焦：6 mm/2.1 mm可选</w:t>
            </w:r>
            <w:r>
              <w:rPr>
                <w:rFonts w:hint="eastAsia" w:ascii="宋体" w:hAnsi="宋体" w:cs="宋体"/>
                <w:color w:val="000000"/>
                <w:sz w:val="20"/>
              </w:rPr>
              <w:br w:type="textWrapping"/>
            </w:r>
            <w:r>
              <w:rPr>
                <w:rFonts w:hint="eastAsia" w:ascii="宋体" w:hAnsi="宋体" w:cs="宋体"/>
                <w:color w:val="000000"/>
                <w:sz w:val="20"/>
              </w:rPr>
              <w:t xml:space="preserve">视场角: </w:t>
            </w:r>
            <w:r>
              <w:rPr>
                <w:rFonts w:hint="eastAsia" w:ascii="宋体" w:hAnsi="宋体" w:cs="宋体"/>
                <w:color w:val="000000"/>
                <w:sz w:val="20"/>
              </w:rPr>
              <w:br w:type="textWrapping"/>
            </w:r>
            <w:r>
              <w:rPr>
                <w:rFonts w:hint="eastAsia" w:ascii="宋体" w:hAnsi="宋体" w:cs="宋体"/>
                <w:color w:val="000000"/>
                <w:sz w:val="20"/>
              </w:rPr>
              <w:t>2.1mm：水平112.7°，垂直64.5°，对角线128.3°</w:t>
            </w:r>
            <w:r>
              <w:rPr>
                <w:rFonts w:hint="eastAsia" w:ascii="宋体" w:hAnsi="宋体" w:cs="宋体"/>
                <w:color w:val="000000"/>
                <w:sz w:val="20"/>
              </w:rPr>
              <w:br w:type="textWrapping"/>
            </w:r>
            <w:r>
              <w:rPr>
                <w:rFonts w:hint="eastAsia" w:ascii="宋体" w:hAnsi="宋体" w:cs="宋体"/>
                <w:color w:val="000000"/>
                <w:sz w:val="20"/>
              </w:rPr>
              <w:t>6mm：水平56.6°，垂直31.5°，对角线65.3°</w:t>
            </w:r>
            <w:r>
              <w:rPr>
                <w:rFonts w:hint="eastAsia" w:ascii="宋体" w:hAnsi="宋体" w:cs="宋体"/>
                <w:color w:val="000000"/>
                <w:sz w:val="20"/>
              </w:rPr>
              <w:br w:type="textWrapping"/>
            </w:r>
            <w:r>
              <w:rPr>
                <w:rFonts w:hint="eastAsia" w:ascii="宋体" w:hAnsi="宋体" w:cs="宋体"/>
                <w:color w:val="000000"/>
                <w:sz w:val="20"/>
              </w:rPr>
              <w:t>出线长度:2m(2.1mm焦距设备出线为4m)</w:t>
            </w:r>
            <w:r>
              <w:rPr>
                <w:rFonts w:hint="eastAsia" w:ascii="宋体" w:hAnsi="宋体" w:cs="宋体"/>
                <w:color w:val="000000"/>
                <w:sz w:val="20"/>
              </w:rPr>
              <w:br w:type="textWrapping"/>
            </w:r>
            <w:r>
              <w:rPr>
                <w:rFonts w:hint="eastAsia" w:ascii="宋体" w:hAnsi="宋体" w:cs="宋体"/>
                <w:color w:val="000000"/>
                <w:sz w:val="20"/>
              </w:rPr>
              <w:t>日夜转换模式:单彩</w:t>
            </w:r>
            <w:r>
              <w:rPr>
                <w:rFonts w:hint="eastAsia" w:ascii="宋体" w:hAnsi="宋体" w:cs="宋体"/>
                <w:color w:val="000000"/>
                <w:sz w:val="20"/>
              </w:rPr>
              <w:br w:type="textWrapping"/>
            </w:r>
            <w:r>
              <w:rPr>
                <w:rFonts w:hint="eastAsia" w:ascii="宋体" w:hAnsi="宋体" w:cs="宋体"/>
                <w:color w:val="000000"/>
                <w:sz w:val="20"/>
              </w:rPr>
              <w:t>调整角度:水平:0°;垂直:-10°~30°;旋转:0°</w:t>
            </w:r>
            <w:r>
              <w:rPr>
                <w:rFonts w:hint="eastAsia" w:ascii="宋体" w:hAnsi="宋体" w:cs="宋体"/>
                <w:color w:val="000000"/>
                <w:sz w:val="20"/>
              </w:rPr>
              <w:br w:type="textWrapping"/>
            </w:r>
            <w:r>
              <w:rPr>
                <w:rFonts w:hint="eastAsia" w:ascii="宋体" w:hAnsi="宋体" w:cs="宋体"/>
                <w:color w:val="000000"/>
                <w:sz w:val="20"/>
              </w:rPr>
              <w:t>视频帧率:1080p@25fps;1080p@30fps</w:t>
            </w:r>
            <w:r>
              <w:rPr>
                <w:rFonts w:hint="eastAsia" w:ascii="宋体" w:hAnsi="宋体" w:cs="宋体"/>
                <w:color w:val="000000"/>
                <w:sz w:val="20"/>
              </w:rPr>
              <w:br w:type="textWrapping"/>
            </w:r>
            <w:r>
              <w:rPr>
                <w:rFonts w:hint="eastAsia" w:ascii="宋体" w:hAnsi="宋体" w:cs="宋体"/>
                <w:color w:val="000000"/>
                <w:sz w:val="20"/>
              </w:rPr>
              <w:t>信噪比:大于62dB</w:t>
            </w:r>
            <w:r>
              <w:rPr>
                <w:rFonts w:hint="eastAsia" w:ascii="宋体" w:hAnsi="宋体" w:cs="宋体"/>
                <w:color w:val="000000"/>
                <w:sz w:val="20"/>
              </w:rPr>
              <w:br w:type="textWrapping"/>
            </w:r>
            <w:r>
              <w:rPr>
                <w:rFonts w:hint="eastAsia" w:ascii="宋体" w:hAnsi="宋体" w:cs="宋体"/>
                <w:color w:val="000000"/>
                <w:sz w:val="20"/>
              </w:rPr>
              <w:t>视频输出:USB2.0</w:t>
            </w:r>
            <w:r>
              <w:rPr>
                <w:rFonts w:hint="eastAsia" w:ascii="宋体" w:hAnsi="宋体" w:cs="宋体"/>
                <w:color w:val="000000"/>
                <w:sz w:val="20"/>
              </w:rPr>
              <w:br w:type="textWrapping"/>
            </w:r>
            <w:r>
              <w:rPr>
                <w:rFonts w:hint="eastAsia" w:ascii="宋体" w:hAnsi="宋体" w:cs="宋体"/>
                <w:color w:val="000000"/>
                <w:sz w:val="20"/>
              </w:rPr>
              <w:t>音频输入:内置MIC</w:t>
            </w:r>
            <w:r>
              <w:rPr>
                <w:rFonts w:hint="eastAsia" w:ascii="宋体" w:hAnsi="宋体" w:cs="宋体"/>
                <w:color w:val="000000"/>
                <w:sz w:val="20"/>
              </w:rPr>
              <w:br w:type="textWrapping"/>
            </w:r>
            <w:r>
              <w:rPr>
                <w:rFonts w:hint="eastAsia" w:ascii="宋体" w:hAnsi="宋体" w:cs="宋体"/>
                <w:color w:val="000000"/>
                <w:sz w:val="20"/>
              </w:rPr>
              <w:t>音频输出:USB2.0</w:t>
            </w:r>
            <w:r>
              <w:rPr>
                <w:rFonts w:hint="eastAsia" w:ascii="宋体" w:hAnsi="宋体" w:cs="宋体"/>
                <w:color w:val="000000"/>
                <w:sz w:val="20"/>
              </w:rPr>
              <w:br w:type="textWrapping"/>
            </w:r>
            <w:r>
              <w:rPr>
                <w:rFonts w:hint="eastAsia" w:ascii="宋体" w:hAnsi="宋体" w:cs="宋体"/>
                <w:color w:val="000000"/>
                <w:sz w:val="20"/>
              </w:rPr>
              <w:t>白平衡:自动白平衡</w:t>
            </w:r>
            <w:r>
              <w:rPr>
                <w:rFonts w:hint="eastAsia" w:ascii="宋体" w:hAnsi="宋体" w:cs="宋体"/>
                <w:color w:val="000000"/>
                <w:sz w:val="20"/>
              </w:rPr>
              <w:br w:type="textWrapping"/>
            </w:r>
            <w:r>
              <w:rPr>
                <w:rFonts w:hint="eastAsia" w:ascii="宋体" w:hAnsi="宋体" w:cs="宋体"/>
                <w:color w:val="000000"/>
                <w:sz w:val="20"/>
              </w:rPr>
              <w:t>蜂鸣功能:支持</w:t>
            </w:r>
            <w:r>
              <w:rPr>
                <w:rFonts w:hint="eastAsia" w:ascii="宋体" w:hAnsi="宋体" w:cs="宋体"/>
                <w:color w:val="000000"/>
                <w:sz w:val="20"/>
              </w:rPr>
              <w:br w:type="textWrapping"/>
            </w:r>
            <w:r>
              <w:rPr>
                <w:rFonts w:hint="eastAsia" w:ascii="宋体" w:hAnsi="宋体" w:cs="宋体"/>
                <w:color w:val="000000"/>
                <w:sz w:val="20"/>
              </w:rPr>
              <w:t>LED指示灯:红色：待机状态; 蓝色：正常视频通话状态; 红色闪烁+蜂鸣：有视频通话请求状态</w:t>
            </w:r>
            <w:r>
              <w:rPr>
                <w:rFonts w:hint="eastAsia" w:ascii="宋体" w:hAnsi="宋体" w:cs="宋体"/>
                <w:color w:val="000000"/>
                <w:sz w:val="20"/>
              </w:rPr>
              <w:br w:type="textWrapping"/>
            </w:r>
            <w:r>
              <w:rPr>
                <w:rFonts w:hint="eastAsia" w:ascii="宋体" w:hAnsi="宋体" w:cs="宋体"/>
                <w:color w:val="000000"/>
                <w:sz w:val="20"/>
              </w:rPr>
              <w:t>工作温度和湿度:-10℃~45℃ ,湿度小于90%(无凝结)</w:t>
            </w:r>
            <w:r>
              <w:rPr>
                <w:rFonts w:hint="eastAsia" w:ascii="宋体" w:hAnsi="宋体" w:cs="宋体"/>
                <w:color w:val="000000"/>
                <w:sz w:val="20"/>
              </w:rPr>
              <w:br w:type="textWrapping"/>
            </w:r>
            <w:r>
              <w:rPr>
                <w:rFonts w:hint="eastAsia" w:ascii="宋体" w:hAnsi="宋体" w:cs="宋体"/>
                <w:color w:val="000000"/>
                <w:sz w:val="20"/>
              </w:rPr>
              <w:t>电源供应:DC5V±15%（USB接口）</w:t>
            </w:r>
            <w:r>
              <w:rPr>
                <w:rFonts w:hint="eastAsia" w:ascii="宋体" w:hAnsi="宋体" w:cs="宋体"/>
                <w:color w:val="000000"/>
                <w:sz w:val="20"/>
              </w:rPr>
              <w:br w:type="textWrapping"/>
            </w:r>
            <w:r>
              <w:rPr>
                <w:rFonts w:hint="eastAsia" w:ascii="宋体" w:hAnsi="宋体" w:cs="宋体"/>
                <w:color w:val="000000"/>
                <w:sz w:val="20"/>
              </w:rPr>
              <w:t>功耗:2W MAX</w:t>
            </w:r>
          </w:p>
        </w:tc>
      </w:tr>
      <w:tr>
        <w:tblPrEx>
          <w:tblCellMar>
            <w:top w:w="0" w:type="dxa"/>
            <w:left w:w="108" w:type="dxa"/>
            <w:bottom w:w="0" w:type="dxa"/>
            <w:right w:w="108" w:type="dxa"/>
          </w:tblCellMar>
        </w:tblPrEx>
        <w:trPr>
          <w:trHeight w:val="439"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基础（智慧门、围墙机支架、出门按钮支架）</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根据设备底座面积浇筑深度不小于300mm混泥土（C25)基础</w:t>
            </w:r>
          </w:p>
        </w:tc>
      </w:tr>
      <w:tr>
        <w:tblPrEx>
          <w:tblCellMar>
            <w:top w:w="0" w:type="dxa"/>
            <w:left w:w="108" w:type="dxa"/>
            <w:bottom w:w="0" w:type="dxa"/>
            <w:right w:w="108" w:type="dxa"/>
          </w:tblCellMar>
        </w:tblPrEx>
        <w:trPr>
          <w:trHeight w:val="439" w:hRule="atLeast"/>
        </w:trPr>
        <w:tc>
          <w:tcPr>
            <w:tcW w:w="9870" w:type="dxa"/>
            <w:gridSpan w:val="3"/>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b/>
                <w:bCs/>
                <w:color w:val="000000"/>
                <w:sz w:val="20"/>
              </w:rPr>
            </w:pPr>
            <w:r>
              <w:rPr>
                <w:rFonts w:hint="eastAsia" w:ascii="宋体" w:hAnsi="宋体" w:cs="宋体"/>
                <w:b/>
                <w:bCs/>
                <w:color w:val="000000"/>
                <w:sz w:val="20"/>
              </w:rPr>
              <w:t>二、出入口控制系统（停车系统设备）</w:t>
            </w:r>
          </w:p>
        </w:tc>
      </w:tr>
      <w:tr>
        <w:tblPrEx>
          <w:tblCellMar>
            <w:top w:w="0" w:type="dxa"/>
            <w:left w:w="108" w:type="dxa"/>
            <w:bottom w:w="0" w:type="dxa"/>
            <w:right w:w="108" w:type="dxa"/>
          </w:tblCellMar>
        </w:tblPrEx>
        <w:trPr>
          <w:trHeight w:val="439" w:hRule="atLeast"/>
        </w:trPr>
        <w:tc>
          <w:tcPr>
            <w:tcW w:w="9870" w:type="dxa"/>
            <w:gridSpan w:val="3"/>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b/>
                <w:bCs/>
                <w:color w:val="000000"/>
                <w:sz w:val="20"/>
              </w:rPr>
            </w:pPr>
            <w:r>
              <w:rPr>
                <w:rFonts w:hint="eastAsia" w:ascii="宋体" w:hAnsi="宋体" w:cs="宋体"/>
                <w:b/>
                <w:bCs/>
                <w:color w:val="000000"/>
                <w:sz w:val="20"/>
              </w:rPr>
              <w:t>2.1 主要出入口单进单出</w:t>
            </w:r>
          </w:p>
        </w:tc>
      </w:tr>
      <w:tr>
        <w:tblPrEx>
          <w:tblCellMar>
            <w:top w:w="0" w:type="dxa"/>
            <w:left w:w="108" w:type="dxa"/>
            <w:bottom w:w="0" w:type="dxa"/>
            <w:right w:w="108" w:type="dxa"/>
          </w:tblCellMar>
        </w:tblPrEx>
        <w:trPr>
          <w:trHeight w:val="774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出口杆式抓拍一体机</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包含：防护罩、镜头、摄像机、2个LED补光灯等</w:t>
            </w:r>
            <w:r>
              <w:rPr>
                <w:rFonts w:hint="eastAsia" w:ascii="宋体" w:hAnsi="宋体" w:cs="宋体"/>
                <w:color w:val="000000"/>
                <w:sz w:val="18"/>
                <w:szCs w:val="18"/>
              </w:rPr>
              <w:br w:type="textWrapping"/>
            </w:r>
            <w:r>
              <w:rPr>
                <w:rFonts w:hint="eastAsia" w:ascii="宋体" w:hAnsi="宋体" w:cs="宋体"/>
                <w:color w:val="000000"/>
                <w:sz w:val="18"/>
                <w:szCs w:val="18"/>
              </w:rPr>
              <w:t>分辨率：200万，1920*1200</w:t>
            </w:r>
            <w:r>
              <w:rPr>
                <w:rFonts w:hint="eastAsia" w:ascii="宋体" w:hAnsi="宋体" w:cs="宋体"/>
                <w:color w:val="000000"/>
                <w:sz w:val="18"/>
                <w:szCs w:val="18"/>
              </w:rPr>
              <w:br w:type="textWrapping"/>
            </w:r>
            <w:r>
              <w:rPr>
                <w:rFonts w:hint="eastAsia" w:ascii="宋体" w:hAnsi="宋体" w:cs="宋体"/>
                <w:color w:val="000000"/>
                <w:sz w:val="18"/>
                <w:szCs w:val="18"/>
              </w:rPr>
              <w:t>帧率：25fps(1920*1080)</w:t>
            </w:r>
            <w:r>
              <w:rPr>
                <w:rFonts w:hint="eastAsia" w:ascii="宋体" w:hAnsi="宋体" w:cs="宋体"/>
                <w:color w:val="000000"/>
                <w:sz w:val="18"/>
                <w:szCs w:val="18"/>
              </w:rPr>
              <w:br w:type="textWrapping"/>
            </w:r>
            <w:r>
              <w:rPr>
                <w:rFonts w:hint="eastAsia" w:ascii="宋体" w:hAnsi="宋体" w:cs="宋体"/>
                <w:color w:val="000000"/>
                <w:sz w:val="18"/>
                <w:szCs w:val="18"/>
              </w:rPr>
              <w:t>传感器类型：1/3"  Progressive Scan CMOS</w:t>
            </w:r>
            <w:r>
              <w:rPr>
                <w:rFonts w:hint="eastAsia" w:ascii="宋体" w:hAnsi="宋体" w:cs="宋体"/>
                <w:color w:val="000000"/>
                <w:sz w:val="18"/>
                <w:szCs w:val="18"/>
              </w:rPr>
              <w:br w:type="textWrapping"/>
            </w:r>
            <w:r>
              <w:rPr>
                <w:rFonts w:hint="eastAsia" w:ascii="宋体" w:hAnsi="宋体" w:cs="宋体"/>
                <w:color w:val="000000"/>
                <w:sz w:val="18"/>
                <w:szCs w:val="18"/>
              </w:rPr>
              <w:t>最小照度：彩色0.002Lux@(F1.4,AGCON，关闭帧积累，彩色模式)，黑白0.0002Lux@(F1.4,AGCON，关闭帧积累，黑白模式)（公安部检测报告复印件证明并加盖原厂公章）</w:t>
            </w:r>
            <w:r>
              <w:rPr>
                <w:rFonts w:hint="eastAsia" w:ascii="宋体" w:hAnsi="宋体" w:cs="宋体"/>
                <w:color w:val="000000"/>
                <w:sz w:val="18"/>
                <w:szCs w:val="18"/>
              </w:rPr>
              <w:br w:type="textWrapping"/>
            </w:r>
            <w:r>
              <w:rPr>
                <w:rFonts w:hint="eastAsia" w:ascii="宋体" w:hAnsi="宋体" w:cs="宋体"/>
                <w:color w:val="000000"/>
                <w:sz w:val="18"/>
                <w:szCs w:val="18"/>
              </w:rPr>
              <w:t>镜头：3.1-9mm电动变焦镜头，支持软件自动调焦</w:t>
            </w:r>
            <w:r>
              <w:rPr>
                <w:rFonts w:hint="eastAsia" w:ascii="宋体" w:hAnsi="宋体" w:cs="宋体"/>
                <w:color w:val="000000"/>
                <w:sz w:val="18"/>
                <w:szCs w:val="18"/>
              </w:rPr>
              <w:br w:type="textWrapping"/>
            </w:r>
            <w:r>
              <w:rPr>
                <w:rFonts w:hint="eastAsia" w:ascii="宋体" w:hAnsi="宋体" w:cs="宋体"/>
                <w:color w:val="000000"/>
                <w:sz w:val="18"/>
                <w:szCs w:val="18"/>
              </w:rPr>
              <w:t>自动光圈：DC驱动</w:t>
            </w:r>
            <w:r>
              <w:rPr>
                <w:rFonts w:hint="eastAsia" w:ascii="宋体" w:hAnsi="宋体" w:cs="宋体"/>
                <w:color w:val="000000"/>
                <w:sz w:val="18"/>
                <w:szCs w:val="18"/>
              </w:rPr>
              <w:br w:type="textWrapping"/>
            </w:r>
            <w:r>
              <w:rPr>
                <w:rFonts w:hint="eastAsia" w:ascii="宋体" w:hAnsi="宋体" w:cs="宋体"/>
                <w:color w:val="000000"/>
                <w:sz w:val="18"/>
                <w:szCs w:val="18"/>
              </w:rPr>
              <w:t>ICR切换：支持</w:t>
            </w:r>
            <w:r>
              <w:rPr>
                <w:rFonts w:hint="eastAsia" w:ascii="宋体" w:hAnsi="宋体" w:cs="宋体"/>
                <w:color w:val="000000"/>
                <w:sz w:val="18"/>
                <w:szCs w:val="18"/>
              </w:rPr>
              <w:br w:type="textWrapping"/>
            </w:r>
            <w:r>
              <w:rPr>
                <w:rFonts w:hint="eastAsia" w:ascii="宋体" w:hAnsi="宋体" w:cs="宋体"/>
                <w:color w:val="000000"/>
                <w:sz w:val="18"/>
                <w:szCs w:val="18"/>
              </w:rPr>
              <w:t>视频压缩标准：H.264/H.265/MJPEG</w:t>
            </w:r>
            <w:r>
              <w:rPr>
                <w:rFonts w:hint="eastAsia" w:ascii="宋体" w:hAnsi="宋体" w:cs="宋体"/>
                <w:color w:val="000000"/>
                <w:sz w:val="18"/>
                <w:szCs w:val="18"/>
              </w:rPr>
              <w:br w:type="textWrapping"/>
            </w:r>
            <w:r>
              <w:rPr>
                <w:rFonts w:hint="eastAsia" w:ascii="宋体" w:hAnsi="宋体" w:cs="宋体"/>
                <w:color w:val="000000"/>
                <w:sz w:val="18"/>
                <w:szCs w:val="18"/>
              </w:rPr>
              <w:t>图像设置：饱和度,亮度,对比度,白平衡,增益,3D降噪通过软件可调</w:t>
            </w:r>
            <w:r>
              <w:rPr>
                <w:rFonts w:hint="eastAsia" w:ascii="宋体" w:hAnsi="宋体" w:cs="宋体"/>
                <w:color w:val="000000"/>
                <w:sz w:val="18"/>
                <w:szCs w:val="18"/>
              </w:rPr>
              <w:br w:type="textWrapping"/>
            </w:r>
            <w:r>
              <w:rPr>
                <w:rFonts w:hint="eastAsia" w:ascii="宋体" w:hAnsi="宋体" w:cs="宋体"/>
                <w:color w:val="000000"/>
                <w:sz w:val="18"/>
                <w:szCs w:val="18"/>
              </w:rPr>
              <w:t>存储功能：内置TF卡槽</w:t>
            </w:r>
            <w:r>
              <w:rPr>
                <w:rFonts w:hint="eastAsia" w:ascii="宋体" w:hAnsi="宋体" w:cs="宋体"/>
                <w:color w:val="000000"/>
                <w:sz w:val="18"/>
                <w:szCs w:val="18"/>
              </w:rPr>
              <w:br w:type="textWrapping"/>
            </w:r>
            <w:r>
              <w:rPr>
                <w:rFonts w:hint="eastAsia" w:ascii="宋体" w:hAnsi="宋体" w:cs="宋体"/>
                <w:color w:val="000000"/>
                <w:sz w:val="18"/>
                <w:szCs w:val="18"/>
              </w:rPr>
              <w:t>智能识别：车牌识别、车型识别、车标识别、车身颜色识别</w:t>
            </w:r>
            <w:r>
              <w:rPr>
                <w:rFonts w:hint="eastAsia" w:ascii="宋体" w:hAnsi="宋体" w:cs="宋体"/>
                <w:color w:val="000000"/>
                <w:sz w:val="18"/>
                <w:szCs w:val="18"/>
              </w:rPr>
              <w:br w:type="textWrapping"/>
            </w:r>
            <w:r>
              <w:rPr>
                <w:rFonts w:hint="eastAsia" w:ascii="宋体" w:hAnsi="宋体" w:cs="宋体"/>
                <w:color w:val="000000"/>
                <w:sz w:val="18"/>
                <w:szCs w:val="18"/>
              </w:rPr>
              <w:t>补光灯控制：补光灯自动光控、时控可选</w:t>
            </w:r>
            <w:r>
              <w:rPr>
                <w:rFonts w:hint="eastAsia" w:ascii="宋体" w:hAnsi="宋体" w:cs="宋体"/>
                <w:color w:val="000000"/>
                <w:sz w:val="18"/>
                <w:szCs w:val="18"/>
              </w:rPr>
              <w:br w:type="textWrapping"/>
            </w:r>
            <w:r>
              <w:rPr>
                <w:rFonts w:hint="eastAsia" w:ascii="宋体" w:hAnsi="宋体" w:cs="宋体"/>
                <w:color w:val="000000"/>
                <w:sz w:val="18"/>
                <w:szCs w:val="18"/>
              </w:rPr>
              <w:t>支持串口推送功能，可将过程信息通过485输出，推送内容可以进行单独配置（公安部检测报告复印件证明并加盖原厂公章）</w:t>
            </w:r>
            <w:r>
              <w:rPr>
                <w:rFonts w:hint="eastAsia" w:ascii="宋体" w:hAnsi="宋体" w:cs="宋体"/>
                <w:color w:val="000000"/>
                <w:sz w:val="18"/>
                <w:szCs w:val="18"/>
              </w:rPr>
              <w:br w:type="textWrapping"/>
            </w:r>
            <w:r>
              <w:rPr>
                <w:rFonts w:hint="eastAsia" w:ascii="宋体" w:hAnsi="宋体" w:cs="宋体"/>
                <w:color w:val="000000"/>
                <w:sz w:val="18"/>
                <w:szCs w:val="18"/>
              </w:rPr>
              <w:t>接口：1 个RJ45 10M/100M/1000M 自适应以太网口，1个 RS-485 接口，1个RS-232接口，1路音频输入，1路音频输出，3路触发输入，2路继电器输出</w:t>
            </w:r>
            <w:r>
              <w:rPr>
                <w:rFonts w:hint="eastAsia" w:ascii="宋体" w:hAnsi="宋体" w:cs="宋体"/>
                <w:color w:val="000000"/>
                <w:sz w:val="18"/>
                <w:szCs w:val="18"/>
              </w:rPr>
              <w:br w:type="textWrapping"/>
            </w:r>
            <w:r>
              <w:rPr>
                <w:rFonts w:hint="eastAsia" w:ascii="宋体" w:hAnsi="宋体" w:cs="宋体"/>
                <w:color w:val="000000"/>
                <w:sz w:val="18"/>
                <w:szCs w:val="18"/>
              </w:rPr>
              <w:t>功能特性：外接道闸，布防状态下可根据存储黑白名单自动控制外接道闸开/关；车辆抓拍：支持车牌、车型、车标、车身颜色识别，电动变焦、自动光圈，内置LED补光灯，同步补光，同步录像，黑白名单控制，视频触发；</w:t>
            </w:r>
            <w:r>
              <w:rPr>
                <w:rFonts w:hint="eastAsia" w:ascii="宋体" w:hAnsi="宋体" w:cs="宋体"/>
                <w:color w:val="000000"/>
                <w:sz w:val="18"/>
                <w:szCs w:val="18"/>
              </w:rPr>
              <w:br w:type="textWrapping"/>
            </w:r>
            <w:r>
              <w:rPr>
                <w:rFonts w:hint="eastAsia" w:ascii="宋体" w:hAnsi="宋体" w:cs="宋体"/>
                <w:color w:val="000000"/>
                <w:sz w:val="18"/>
                <w:szCs w:val="18"/>
              </w:rPr>
              <w:t>【四行四字】室外显示屏</w:t>
            </w:r>
            <w:r>
              <w:rPr>
                <w:rFonts w:hint="eastAsia" w:ascii="宋体" w:hAnsi="宋体" w:cs="宋体"/>
                <w:color w:val="000000"/>
                <w:sz w:val="18"/>
                <w:szCs w:val="18"/>
              </w:rPr>
              <w:br w:type="textWrapping"/>
            </w:r>
            <w:r>
              <w:rPr>
                <w:rFonts w:hint="eastAsia" w:ascii="宋体" w:hAnsi="宋体" w:cs="宋体"/>
                <w:color w:val="000000"/>
                <w:sz w:val="18"/>
                <w:szCs w:val="18"/>
              </w:rPr>
              <w:t>工作电压:AC220V±10％，50Hz</w:t>
            </w:r>
            <w:r>
              <w:rPr>
                <w:rFonts w:hint="eastAsia" w:ascii="宋体" w:hAnsi="宋体" w:cs="宋体"/>
                <w:color w:val="000000"/>
                <w:sz w:val="18"/>
                <w:szCs w:val="18"/>
              </w:rPr>
              <w:br w:type="textWrapping"/>
            </w:r>
            <w:r>
              <w:rPr>
                <w:rFonts w:hint="eastAsia" w:ascii="宋体" w:hAnsi="宋体" w:cs="宋体"/>
                <w:color w:val="000000"/>
                <w:sz w:val="18"/>
                <w:szCs w:val="18"/>
              </w:rPr>
              <w:t>LED亮度:1200cd</w:t>
            </w:r>
            <w:r>
              <w:rPr>
                <w:rFonts w:hint="eastAsia" w:ascii="宋体" w:hAnsi="宋体" w:cs="宋体"/>
                <w:color w:val="000000"/>
                <w:sz w:val="18"/>
                <w:szCs w:val="18"/>
              </w:rPr>
              <w:br w:type="textWrapping"/>
            </w:r>
            <w:r>
              <w:rPr>
                <w:rFonts w:hint="eastAsia" w:ascii="宋体" w:hAnsi="宋体" w:cs="宋体"/>
                <w:color w:val="000000"/>
                <w:sz w:val="18"/>
                <w:szCs w:val="18"/>
              </w:rPr>
              <w:t>LED角度:110°</w:t>
            </w:r>
            <w:r>
              <w:rPr>
                <w:rFonts w:hint="eastAsia" w:ascii="宋体" w:hAnsi="宋体" w:cs="宋体"/>
                <w:color w:val="000000"/>
                <w:sz w:val="18"/>
                <w:szCs w:val="18"/>
              </w:rPr>
              <w:br w:type="textWrapping"/>
            </w:r>
            <w:r>
              <w:rPr>
                <w:rFonts w:hint="eastAsia" w:ascii="宋体" w:hAnsi="宋体" w:cs="宋体"/>
                <w:color w:val="000000"/>
                <w:sz w:val="18"/>
                <w:szCs w:val="18"/>
              </w:rPr>
              <w:t>外框材料:铁框喷塑（显示部分为深色钢化玻璃）</w:t>
            </w:r>
            <w:r>
              <w:rPr>
                <w:rFonts w:hint="eastAsia" w:ascii="宋体" w:hAnsi="宋体" w:cs="宋体"/>
                <w:color w:val="000000"/>
                <w:sz w:val="18"/>
                <w:szCs w:val="18"/>
              </w:rPr>
              <w:br w:type="textWrapping"/>
            </w:r>
            <w:r>
              <w:rPr>
                <w:rFonts w:hint="eastAsia" w:ascii="宋体" w:hAnsi="宋体" w:cs="宋体"/>
                <w:color w:val="000000"/>
                <w:sz w:val="18"/>
                <w:szCs w:val="18"/>
              </w:rPr>
              <w:t>安装方式:背面抱箍</w:t>
            </w:r>
            <w:r>
              <w:rPr>
                <w:rFonts w:hint="eastAsia" w:ascii="宋体" w:hAnsi="宋体" w:cs="宋体"/>
                <w:color w:val="000000"/>
                <w:sz w:val="18"/>
                <w:szCs w:val="18"/>
              </w:rPr>
              <w:br w:type="textWrapping"/>
            </w:r>
            <w:r>
              <w:rPr>
                <w:rFonts w:hint="eastAsia" w:ascii="宋体" w:hAnsi="宋体" w:cs="宋体"/>
                <w:color w:val="000000"/>
                <w:sz w:val="18"/>
                <w:szCs w:val="18"/>
              </w:rPr>
              <w:t>喇叭规格:4Ω10W</w:t>
            </w:r>
            <w:r>
              <w:rPr>
                <w:rFonts w:hint="eastAsia" w:ascii="宋体" w:hAnsi="宋体" w:cs="宋体"/>
                <w:color w:val="000000"/>
                <w:sz w:val="18"/>
                <w:szCs w:val="18"/>
              </w:rPr>
              <w:br w:type="textWrapping"/>
            </w:r>
            <w:r>
              <w:rPr>
                <w:rFonts w:hint="eastAsia" w:ascii="宋体" w:hAnsi="宋体" w:cs="宋体"/>
                <w:color w:val="000000"/>
                <w:sz w:val="18"/>
                <w:szCs w:val="18"/>
              </w:rPr>
              <w:t>防护等级:IP65</w:t>
            </w:r>
            <w:r>
              <w:rPr>
                <w:rFonts w:hint="eastAsia" w:ascii="宋体" w:hAnsi="宋体" w:cs="宋体"/>
                <w:color w:val="000000"/>
                <w:sz w:val="18"/>
                <w:szCs w:val="18"/>
              </w:rPr>
              <w:br w:type="textWrapping"/>
            </w:r>
            <w:r>
              <w:rPr>
                <w:rFonts w:hint="eastAsia" w:ascii="宋体" w:hAnsi="宋体" w:cs="宋体"/>
                <w:color w:val="000000"/>
                <w:sz w:val="18"/>
                <w:szCs w:val="18"/>
              </w:rPr>
              <w:t>点距:P4.75</w:t>
            </w:r>
            <w:r>
              <w:rPr>
                <w:rFonts w:hint="eastAsia" w:ascii="宋体" w:hAnsi="宋体" w:cs="宋体"/>
                <w:color w:val="000000"/>
                <w:sz w:val="18"/>
                <w:szCs w:val="18"/>
              </w:rPr>
              <w:br w:type="textWrapping"/>
            </w:r>
            <w:r>
              <w:rPr>
                <w:rFonts w:hint="eastAsia" w:ascii="宋体" w:hAnsi="宋体" w:cs="宋体"/>
                <w:color w:val="000000"/>
                <w:sz w:val="18"/>
                <w:szCs w:val="18"/>
              </w:rPr>
              <w:t>基色:1红1绿</w:t>
            </w:r>
            <w:r>
              <w:rPr>
                <w:rFonts w:hint="eastAsia" w:ascii="宋体" w:hAnsi="宋体" w:cs="宋体"/>
                <w:color w:val="000000"/>
                <w:sz w:val="18"/>
                <w:szCs w:val="18"/>
              </w:rPr>
              <w:br w:type="textWrapping"/>
            </w:r>
            <w:r>
              <w:rPr>
                <w:rFonts w:hint="eastAsia" w:ascii="宋体" w:hAnsi="宋体" w:cs="宋体"/>
                <w:color w:val="000000"/>
                <w:sz w:val="18"/>
                <w:szCs w:val="18"/>
              </w:rPr>
              <w:t>功能特性：四行，四字，双色，带语音模块及音箱，出入口室外显示屏，P4.75，抱箍安装</w:t>
            </w:r>
            <w:r>
              <w:rPr>
                <w:rFonts w:hint="eastAsia" w:ascii="宋体" w:hAnsi="宋体" w:cs="宋体"/>
                <w:color w:val="000000"/>
                <w:sz w:val="18"/>
                <w:szCs w:val="18"/>
              </w:rPr>
              <w:br w:type="textWrapping"/>
            </w:r>
            <w:r>
              <w:rPr>
                <w:rFonts w:hint="eastAsia" w:ascii="宋体" w:hAnsi="宋体" w:cs="宋体"/>
                <w:color w:val="000000"/>
                <w:sz w:val="18"/>
                <w:szCs w:val="18"/>
              </w:rPr>
              <w:t>1.3米处可安装一体机</w:t>
            </w:r>
            <w:r>
              <w:rPr>
                <w:rFonts w:hint="eastAsia" w:ascii="宋体" w:hAnsi="宋体" w:cs="宋体"/>
                <w:color w:val="000000"/>
                <w:sz w:val="18"/>
                <w:szCs w:val="18"/>
              </w:rPr>
              <w:br w:type="textWrapping"/>
            </w:r>
            <w:r>
              <w:rPr>
                <w:rFonts w:hint="eastAsia" w:ascii="宋体" w:hAnsi="宋体" w:cs="宋体"/>
                <w:color w:val="000000"/>
                <w:sz w:val="18"/>
                <w:szCs w:val="18"/>
              </w:rPr>
              <w:t>0.5米处可安装“四行LED显示屏”</w:t>
            </w:r>
          </w:p>
        </w:tc>
      </w:tr>
      <w:tr>
        <w:tblPrEx>
          <w:tblCellMar>
            <w:top w:w="0" w:type="dxa"/>
            <w:left w:w="108" w:type="dxa"/>
            <w:bottom w:w="0" w:type="dxa"/>
            <w:right w:w="108" w:type="dxa"/>
          </w:tblCellMar>
        </w:tblPrEx>
        <w:trPr>
          <w:trHeight w:val="344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道闸</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道闸</w:t>
            </w:r>
            <w:r>
              <w:rPr>
                <w:rFonts w:hint="eastAsia" w:ascii="宋体" w:hAnsi="宋体" w:cs="宋体"/>
                <w:color w:val="000000"/>
                <w:sz w:val="20"/>
              </w:rPr>
              <w:br w:type="textWrapping"/>
            </w:r>
            <w:r>
              <w:rPr>
                <w:rFonts w:hint="eastAsia" w:ascii="宋体" w:hAnsi="宋体" w:cs="宋体"/>
                <w:color w:val="000000"/>
                <w:sz w:val="20"/>
              </w:rPr>
              <w:t>包含：2个遥控器</w:t>
            </w:r>
            <w:r>
              <w:rPr>
                <w:rFonts w:hint="eastAsia" w:ascii="宋体" w:hAnsi="宋体" w:cs="宋体"/>
                <w:color w:val="000000"/>
                <w:sz w:val="20"/>
              </w:rPr>
              <w:br w:type="textWrapping"/>
            </w:r>
            <w:r>
              <w:rPr>
                <w:rFonts w:hint="eastAsia" w:ascii="宋体" w:hAnsi="宋体" w:cs="宋体"/>
                <w:color w:val="000000"/>
                <w:sz w:val="20"/>
              </w:rPr>
              <w:t>道闸类型：广告栅栏式杆件</w:t>
            </w:r>
            <w:r>
              <w:rPr>
                <w:rFonts w:hint="eastAsia" w:ascii="宋体" w:hAnsi="宋体" w:cs="宋体"/>
                <w:color w:val="000000"/>
                <w:sz w:val="20"/>
              </w:rPr>
              <w:br w:type="textWrapping"/>
            </w:r>
            <w:r>
              <w:rPr>
                <w:rFonts w:hint="eastAsia" w:ascii="宋体" w:hAnsi="宋体" w:cs="宋体"/>
                <w:color w:val="000000"/>
                <w:sz w:val="20"/>
              </w:rPr>
              <w:t>道闸方向：右向/左向。运行速度：5~6秒。</w:t>
            </w:r>
            <w:r>
              <w:rPr>
                <w:rFonts w:hint="eastAsia" w:ascii="宋体" w:hAnsi="宋体" w:cs="宋体"/>
                <w:color w:val="000000"/>
                <w:sz w:val="20"/>
              </w:rPr>
              <w:br w:type="textWrapping"/>
            </w:r>
            <w:r>
              <w:rPr>
                <w:rFonts w:hint="eastAsia" w:ascii="宋体" w:hAnsi="宋体" w:cs="宋体"/>
                <w:color w:val="000000"/>
                <w:sz w:val="20"/>
              </w:rPr>
              <w:t>道闸杆长：3~6米</w:t>
            </w:r>
            <w:r>
              <w:rPr>
                <w:rFonts w:hint="eastAsia" w:ascii="宋体" w:hAnsi="宋体" w:cs="宋体"/>
                <w:color w:val="000000"/>
                <w:sz w:val="20"/>
              </w:rPr>
              <w:br w:type="textWrapping"/>
            </w:r>
            <w:r>
              <w:rPr>
                <w:rFonts w:hint="eastAsia" w:ascii="宋体" w:hAnsi="宋体" w:cs="宋体"/>
                <w:color w:val="000000"/>
                <w:sz w:val="20"/>
              </w:rPr>
              <w:t>机箱材质：冷轧钢</w:t>
            </w:r>
            <w:r>
              <w:rPr>
                <w:rFonts w:hint="eastAsia" w:ascii="宋体" w:hAnsi="宋体" w:cs="宋体"/>
                <w:color w:val="000000"/>
                <w:sz w:val="20"/>
              </w:rPr>
              <w:br w:type="textWrapping"/>
            </w:r>
            <w:r>
              <w:rPr>
                <w:rFonts w:hint="eastAsia" w:ascii="宋体" w:hAnsi="宋体" w:cs="宋体"/>
                <w:color w:val="000000"/>
                <w:sz w:val="20"/>
              </w:rPr>
              <w:t>遥控距离：≥20m</w:t>
            </w:r>
            <w:r>
              <w:rPr>
                <w:rFonts w:hint="eastAsia" w:ascii="宋体" w:hAnsi="宋体" w:cs="宋体"/>
                <w:color w:val="000000"/>
                <w:sz w:val="20"/>
              </w:rPr>
              <w:br w:type="textWrapping"/>
            </w:r>
            <w:r>
              <w:rPr>
                <w:rFonts w:hint="eastAsia" w:ascii="宋体" w:hAnsi="宋体" w:cs="宋体"/>
                <w:color w:val="000000"/>
                <w:sz w:val="20"/>
              </w:rPr>
              <w:t>具有遇阻返回功能：当闸杆下落时，遇到物体阻挡，将立即开闸</w:t>
            </w:r>
          </w:p>
          <w:p>
            <w:pPr>
              <w:textAlignment w:val="center"/>
              <w:rPr>
                <w:rFonts w:ascii="宋体" w:hAnsi="宋体" w:cs="宋体"/>
                <w:color w:val="000000"/>
                <w:sz w:val="20"/>
              </w:rPr>
            </w:pPr>
            <w:r>
              <w:rPr>
                <w:rFonts w:hint="eastAsia" w:ascii="宋体" w:hAnsi="宋体" w:cs="宋体"/>
                <w:color w:val="000000"/>
                <w:sz w:val="20"/>
              </w:rPr>
              <w:t>应有自动限位功能，档杆开关到位后，将自动停机限位</w:t>
            </w:r>
            <w:r>
              <w:rPr>
                <w:rFonts w:hint="eastAsia" w:ascii="宋体" w:hAnsi="宋体" w:cs="宋体"/>
                <w:color w:val="000000"/>
                <w:sz w:val="20"/>
              </w:rPr>
              <w:br w:type="textWrapping"/>
            </w:r>
            <w:r>
              <w:rPr>
                <w:rFonts w:hint="eastAsia" w:ascii="宋体" w:hAnsi="宋体" w:cs="宋体"/>
                <w:color w:val="000000"/>
                <w:sz w:val="20"/>
              </w:rPr>
              <w:t>输入电压：220VAC+10%</w:t>
            </w:r>
            <w:r>
              <w:rPr>
                <w:rFonts w:hint="eastAsia" w:ascii="宋体" w:hAnsi="宋体" w:cs="宋体"/>
                <w:color w:val="000000"/>
                <w:sz w:val="20"/>
              </w:rPr>
              <w:br w:type="textWrapping"/>
            </w:r>
            <w:r>
              <w:rPr>
                <w:rFonts w:hint="eastAsia" w:ascii="宋体" w:hAnsi="宋体" w:cs="宋体"/>
                <w:color w:val="000000"/>
                <w:sz w:val="20"/>
              </w:rPr>
              <w:t>电机驱动：交流电机</w:t>
            </w:r>
            <w:r>
              <w:rPr>
                <w:rFonts w:hint="eastAsia" w:ascii="宋体" w:hAnsi="宋体" w:cs="宋体"/>
                <w:color w:val="000000"/>
                <w:sz w:val="20"/>
              </w:rPr>
              <w:br w:type="textWrapping"/>
            </w:r>
            <w:r>
              <w:rPr>
                <w:rFonts w:hint="eastAsia" w:ascii="宋体" w:hAnsi="宋体" w:cs="宋体"/>
                <w:color w:val="000000"/>
                <w:sz w:val="20"/>
              </w:rPr>
              <w:t>功能特性：支持外接红绿灯警示、外接红外雷达保护、外接地感功能，支持强冷天气</w:t>
            </w:r>
          </w:p>
        </w:tc>
      </w:tr>
      <w:tr>
        <w:tblPrEx>
          <w:tblCellMar>
            <w:top w:w="0" w:type="dxa"/>
            <w:left w:w="108" w:type="dxa"/>
            <w:bottom w:w="0" w:type="dxa"/>
            <w:right w:w="108" w:type="dxa"/>
          </w:tblCellMar>
        </w:tblPrEx>
        <w:trPr>
          <w:trHeight w:val="36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防砸雷达</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【防砸雷达】</w:t>
            </w:r>
            <w:r>
              <w:rPr>
                <w:rFonts w:hint="eastAsia" w:ascii="宋体" w:hAnsi="宋体" w:cs="宋体"/>
                <w:color w:val="000000"/>
                <w:sz w:val="20"/>
              </w:rPr>
              <w:br w:type="textWrapping"/>
            </w:r>
            <w:r>
              <w:rPr>
                <w:rFonts w:hint="eastAsia" w:ascii="宋体" w:hAnsi="宋体" w:cs="宋体"/>
                <w:color w:val="000000"/>
                <w:sz w:val="20"/>
              </w:rPr>
              <w:t>采用79GHz MMIC技术，分辨率更高，检测更稳定；</w:t>
            </w:r>
            <w:r>
              <w:rPr>
                <w:rFonts w:hint="eastAsia" w:ascii="宋体" w:hAnsi="宋体" w:cs="宋体"/>
                <w:color w:val="000000"/>
                <w:sz w:val="20"/>
              </w:rPr>
              <w:br w:type="textWrapping"/>
            </w:r>
            <w:r>
              <w:rPr>
                <w:rFonts w:hint="eastAsia" w:ascii="宋体" w:hAnsi="宋体" w:cs="宋体"/>
                <w:color w:val="000000"/>
                <w:sz w:val="20"/>
              </w:rPr>
              <w:t>雷达检测距离可调，检测宽度可调，操作方便，通用性强；</w:t>
            </w:r>
            <w:r>
              <w:rPr>
                <w:rFonts w:hint="eastAsia" w:ascii="宋体" w:hAnsi="宋体" w:cs="宋体"/>
                <w:color w:val="000000"/>
                <w:sz w:val="20"/>
              </w:rPr>
              <w:br w:type="textWrapping"/>
            </w:r>
            <w:r>
              <w:rPr>
                <w:rFonts w:hint="eastAsia" w:ascii="宋体" w:hAnsi="宋体" w:cs="宋体"/>
                <w:color w:val="000000"/>
                <w:sz w:val="20"/>
              </w:rPr>
              <w:t>无需学习背景，适应更多复杂现场环境；</w:t>
            </w:r>
            <w:r>
              <w:rPr>
                <w:rFonts w:hint="eastAsia" w:ascii="宋体" w:hAnsi="宋体" w:cs="宋体"/>
                <w:color w:val="000000"/>
                <w:sz w:val="20"/>
              </w:rPr>
              <w:br w:type="textWrapping"/>
            </w:r>
            <w:r>
              <w:rPr>
                <w:rFonts w:hint="eastAsia" w:ascii="宋体" w:hAnsi="宋体" w:cs="宋体"/>
                <w:color w:val="000000"/>
                <w:sz w:val="20"/>
              </w:rPr>
              <w:t>采用先进的信号处理技术，可稳定检测到行人和车辆，有效防止“砸车、砸人”事故的发生。</w:t>
            </w:r>
            <w:r>
              <w:rPr>
                <w:rFonts w:hint="eastAsia" w:ascii="宋体" w:hAnsi="宋体" w:cs="宋体"/>
                <w:color w:val="000000"/>
                <w:sz w:val="20"/>
              </w:rPr>
              <w:br w:type="textWrapping"/>
            </w:r>
            <w:r>
              <w:rPr>
                <w:rFonts w:hint="eastAsia" w:ascii="宋体" w:hAnsi="宋体" w:cs="宋体"/>
                <w:color w:val="000000"/>
                <w:sz w:val="20"/>
              </w:rPr>
              <w:t xml:space="preserve">采用LED灯指示雷达工作状态，状态更直观。 </w:t>
            </w:r>
            <w:r>
              <w:rPr>
                <w:rFonts w:hint="eastAsia" w:ascii="宋体" w:hAnsi="宋体" w:cs="宋体"/>
                <w:color w:val="000000"/>
                <w:sz w:val="20"/>
              </w:rPr>
              <w:br w:type="textWrapping"/>
            </w:r>
            <w:r>
              <w:rPr>
                <w:rFonts w:hint="eastAsia" w:ascii="宋体" w:hAnsi="宋体" w:cs="宋体"/>
                <w:color w:val="000000"/>
                <w:sz w:val="20"/>
              </w:rPr>
              <w:t>自动记录雷达的配置参数，断电重启后可恢复至之前的工作状态；</w:t>
            </w:r>
            <w:r>
              <w:rPr>
                <w:rFonts w:hint="eastAsia" w:ascii="宋体" w:hAnsi="宋体" w:cs="宋体"/>
                <w:color w:val="000000"/>
                <w:sz w:val="20"/>
              </w:rPr>
              <w:br w:type="textWrapping"/>
            </w:r>
            <w:r>
              <w:rPr>
                <w:rFonts w:hint="eastAsia" w:ascii="宋体" w:hAnsi="宋体" w:cs="宋体"/>
                <w:color w:val="000000"/>
                <w:sz w:val="20"/>
              </w:rPr>
              <w:t>环境适应性强，检测性能不受电磁干扰、光照、灰尘、雨雪等外界环境影响。</w:t>
            </w:r>
          </w:p>
        </w:tc>
      </w:tr>
      <w:tr>
        <w:tblPrEx>
          <w:tblCellMar>
            <w:top w:w="0" w:type="dxa"/>
            <w:left w:w="108" w:type="dxa"/>
            <w:bottom w:w="0" w:type="dxa"/>
            <w:right w:w="108" w:type="dxa"/>
          </w:tblCellMar>
        </w:tblPrEx>
        <w:trPr>
          <w:trHeight w:val="774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入口杆式抓拍一体机</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 xml:space="preserve">包含：防护罩、镜头、摄像机、2个LED补光灯等 </w:t>
            </w:r>
            <w:r>
              <w:rPr>
                <w:rFonts w:hint="eastAsia" w:ascii="宋体" w:hAnsi="宋体" w:cs="宋体"/>
                <w:color w:val="000000"/>
                <w:sz w:val="18"/>
                <w:szCs w:val="18"/>
              </w:rPr>
              <w:br w:type="textWrapping"/>
            </w:r>
            <w:r>
              <w:rPr>
                <w:rFonts w:hint="eastAsia" w:ascii="宋体" w:hAnsi="宋体" w:cs="宋体"/>
                <w:color w:val="000000"/>
                <w:sz w:val="18"/>
                <w:szCs w:val="18"/>
              </w:rPr>
              <w:t xml:space="preserve">分辨率：200万，1920*1200 </w:t>
            </w:r>
            <w:r>
              <w:rPr>
                <w:rFonts w:hint="eastAsia" w:ascii="宋体" w:hAnsi="宋体" w:cs="宋体"/>
                <w:color w:val="000000"/>
                <w:sz w:val="18"/>
                <w:szCs w:val="18"/>
              </w:rPr>
              <w:br w:type="textWrapping"/>
            </w:r>
            <w:r>
              <w:rPr>
                <w:rFonts w:hint="eastAsia" w:ascii="宋体" w:hAnsi="宋体" w:cs="宋体"/>
                <w:color w:val="000000"/>
                <w:sz w:val="18"/>
                <w:szCs w:val="18"/>
              </w:rPr>
              <w:t xml:space="preserve">帧率：25fps(1920*1080) </w:t>
            </w:r>
            <w:r>
              <w:rPr>
                <w:rFonts w:hint="eastAsia" w:ascii="宋体" w:hAnsi="宋体" w:cs="宋体"/>
                <w:color w:val="000000"/>
                <w:sz w:val="18"/>
                <w:szCs w:val="18"/>
              </w:rPr>
              <w:br w:type="textWrapping"/>
            </w:r>
            <w:r>
              <w:rPr>
                <w:rFonts w:hint="eastAsia" w:ascii="宋体" w:hAnsi="宋体" w:cs="宋体"/>
                <w:color w:val="000000"/>
                <w:sz w:val="18"/>
                <w:szCs w:val="18"/>
              </w:rPr>
              <w:t xml:space="preserve">传感器类型：1/3"  Progressive Scan CMOS </w:t>
            </w:r>
            <w:r>
              <w:rPr>
                <w:rFonts w:hint="eastAsia" w:ascii="宋体" w:hAnsi="宋体" w:cs="宋体"/>
                <w:color w:val="000000"/>
                <w:sz w:val="18"/>
                <w:szCs w:val="18"/>
              </w:rPr>
              <w:br w:type="textWrapping"/>
            </w:r>
            <w:r>
              <w:rPr>
                <w:rFonts w:hint="eastAsia" w:ascii="宋体" w:hAnsi="宋体" w:cs="宋体"/>
                <w:color w:val="000000"/>
                <w:sz w:val="18"/>
                <w:szCs w:val="18"/>
              </w:rPr>
              <w:t>最小照度：彩色0.002Lux@(F1.4,AGCON，关闭帧积累，彩色模式)，黑白0.0002Lux@(F1.4,AGCON，关闭帧积累，黑白模式)；</w:t>
            </w:r>
            <w:r>
              <w:rPr>
                <w:rFonts w:hint="eastAsia" w:ascii="宋体" w:hAnsi="宋体" w:cs="宋体"/>
                <w:color w:val="000000"/>
                <w:sz w:val="18"/>
                <w:szCs w:val="18"/>
              </w:rPr>
              <w:br w:type="textWrapping"/>
            </w:r>
            <w:r>
              <w:rPr>
                <w:rFonts w:hint="eastAsia" w:ascii="宋体" w:hAnsi="宋体" w:cs="宋体"/>
                <w:color w:val="000000"/>
                <w:sz w:val="18"/>
                <w:szCs w:val="18"/>
              </w:rPr>
              <w:t xml:space="preserve">镜头：3.1-9mm电动变焦镜头，支持软件自动调焦 </w:t>
            </w:r>
            <w:r>
              <w:rPr>
                <w:rFonts w:hint="eastAsia" w:ascii="宋体" w:hAnsi="宋体" w:cs="宋体"/>
                <w:color w:val="000000"/>
                <w:sz w:val="18"/>
                <w:szCs w:val="18"/>
              </w:rPr>
              <w:br w:type="textWrapping"/>
            </w:r>
            <w:r>
              <w:rPr>
                <w:rFonts w:hint="eastAsia" w:ascii="宋体" w:hAnsi="宋体" w:cs="宋体"/>
                <w:color w:val="000000"/>
                <w:sz w:val="18"/>
                <w:szCs w:val="18"/>
              </w:rPr>
              <w:t xml:space="preserve">自动光圈：DC驱动 </w:t>
            </w:r>
            <w:r>
              <w:rPr>
                <w:rFonts w:hint="eastAsia" w:ascii="宋体" w:hAnsi="宋体" w:cs="宋体"/>
                <w:color w:val="000000"/>
                <w:sz w:val="18"/>
                <w:szCs w:val="18"/>
              </w:rPr>
              <w:br w:type="textWrapping"/>
            </w:r>
            <w:r>
              <w:rPr>
                <w:rFonts w:hint="eastAsia" w:ascii="宋体" w:hAnsi="宋体" w:cs="宋体"/>
                <w:color w:val="000000"/>
                <w:sz w:val="18"/>
                <w:szCs w:val="18"/>
              </w:rPr>
              <w:t xml:space="preserve">ICR切换：支持 </w:t>
            </w:r>
            <w:r>
              <w:rPr>
                <w:rFonts w:hint="eastAsia" w:ascii="宋体" w:hAnsi="宋体" w:cs="宋体"/>
                <w:color w:val="000000"/>
                <w:sz w:val="18"/>
                <w:szCs w:val="18"/>
              </w:rPr>
              <w:br w:type="textWrapping"/>
            </w:r>
            <w:r>
              <w:rPr>
                <w:rFonts w:hint="eastAsia" w:ascii="宋体" w:hAnsi="宋体" w:cs="宋体"/>
                <w:color w:val="000000"/>
                <w:sz w:val="18"/>
                <w:szCs w:val="18"/>
              </w:rPr>
              <w:t xml:space="preserve">视频压缩标准：H.264/H.265/MJPEG </w:t>
            </w:r>
            <w:r>
              <w:rPr>
                <w:rFonts w:hint="eastAsia" w:ascii="宋体" w:hAnsi="宋体" w:cs="宋体"/>
                <w:color w:val="000000"/>
                <w:sz w:val="18"/>
                <w:szCs w:val="18"/>
              </w:rPr>
              <w:br w:type="textWrapping"/>
            </w:r>
            <w:r>
              <w:rPr>
                <w:rFonts w:hint="eastAsia" w:ascii="宋体" w:hAnsi="宋体" w:cs="宋体"/>
                <w:color w:val="000000"/>
                <w:sz w:val="18"/>
                <w:szCs w:val="18"/>
              </w:rPr>
              <w:t xml:space="preserve">图像设置：饱和度,亮度,对比度,白平衡,增益,3D降噪通过软件可调 </w:t>
            </w:r>
            <w:r>
              <w:rPr>
                <w:rFonts w:hint="eastAsia" w:ascii="宋体" w:hAnsi="宋体" w:cs="宋体"/>
                <w:color w:val="000000"/>
                <w:sz w:val="18"/>
                <w:szCs w:val="18"/>
              </w:rPr>
              <w:br w:type="textWrapping"/>
            </w:r>
            <w:r>
              <w:rPr>
                <w:rFonts w:hint="eastAsia" w:ascii="宋体" w:hAnsi="宋体" w:cs="宋体"/>
                <w:color w:val="000000"/>
                <w:sz w:val="18"/>
                <w:szCs w:val="18"/>
              </w:rPr>
              <w:t xml:space="preserve">存储功能：内置TF卡槽 </w:t>
            </w:r>
            <w:r>
              <w:rPr>
                <w:rFonts w:hint="eastAsia" w:ascii="宋体" w:hAnsi="宋体" w:cs="宋体"/>
                <w:color w:val="000000"/>
                <w:sz w:val="18"/>
                <w:szCs w:val="18"/>
              </w:rPr>
              <w:br w:type="textWrapping"/>
            </w:r>
            <w:r>
              <w:rPr>
                <w:rFonts w:hint="eastAsia" w:ascii="宋体" w:hAnsi="宋体" w:cs="宋体"/>
                <w:color w:val="000000"/>
                <w:sz w:val="18"/>
                <w:szCs w:val="18"/>
              </w:rPr>
              <w:t xml:space="preserve">智能识别：车牌识别、车型识别、车标识别、车身颜色识别 </w:t>
            </w:r>
            <w:r>
              <w:rPr>
                <w:rFonts w:hint="eastAsia" w:ascii="宋体" w:hAnsi="宋体" w:cs="宋体"/>
                <w:color w:val="000000"/>
                <w:sz w:val="18"/>
                <w:szCs w:val="18"/>
              </w:rPr>
              <w:br w:type="textWrapping"/>
            </w:r>
            <w:r>
              <w:rPr>
                <w:rFonts w:hint="eastAsia" w:ascii="宋体" w:hAnsi="宋体" w:cs="宋体"/>
                <w:color w:val="000000"/>
                <w:sz w:val="18"/>
                <w:szCs w:val="18"/>
              </w:rPr>
              <w:t xml:space="preserve">补光灯控制：补光灯自动光控、时控可选 </w:t>
            </w:r>
            <w:r>
              <w:rPr>
                <w:rFonts w:hint="eastAsia" w:ascii="宋体" w:hAnsi="宋体" w:cs="宋体"/>
                <w:color w:val="000000"/>
                <w:sz w:val="18"/>
                <w:szCs w:val="18"/>
              </w:rPr>
              <w:br w:type="textWrapping"/>
            </w:r>
            <w:r>
              <w:rPr>
                <w:rFonts w:hint="eastAsia" w:ascii="宋体" w:hAnsi="宋体" w:cs="宋体"/>
                <w:color w:val="000000"/>
                <w:sz w:val="18"/>
                <w:szCs w:val="18"/>
              </w:rPr>
              <w:t>支持串口推送功能，可将过程信息通过485输出，推送内容可以进行单独配置；</w:t>
            </w:r>
            <w:r>
              <w:rPr>
                <w:rFonts w:hint="eastAsia" w:ascii="宋体" w:hAnsi="宋体" w:cs="宋体"/>
                <w:color w:val="000000"/>
                <w:sz w:val="18"/>
                <w:szCs w:val="18"/>
              </w:rPr>
              <w:br w:type="textWrapping"/>
            </w:r>
            <w:r>
              <w:rPr>
                <w:rFonts w:hint="eastAsia" w:ascii="宋体" w:hAnsi="宋体" w:cs="宋体"/>
                <w:color w:val="000000"/>
                <w:sz w:val="18"/>
                <w:szCs w:val="18"/>
              </w:rPr>
              <w:t xml:space="preserve">接口：1 个RJ45 10M/100M/1000M 自适应以太网口，1个 RS-485 接口，1个RS-232接口，1路音频输入，1路音频输出，3路触发输入，2路继电器输出 </w:t>
            </w:r>
            <w:r>
              <w:rPr>
                <w:rFonts w:hint="eastAsia" w:ascii="宋体" w:hAnsi="宋体" w:cs="宋体"/>
                <w:color w:val="000000"/>
                <w:sz w:val="18"/>
                <w:szCs w:val="18"/>
              </w:rPr>
              <w:br w:type="textWrapping"/>
            </w:r>
            <w:r>
              <w:rPr>
                <w:rFonts w:hint="eastAsia" w:ascii="宋体" w:hAnsi="宋体" w:cs="宋体"/>
                <w:color w:val="000000"/>
                <w:sz w:val="18"/>
                <w:szCs w:val="18"/>
              </w:rPr>
              <w:t>功能特性：外接道闸，布防状态下可根据存储黑白名单自动控制外接道闸开/关；车辆抓拍：支持车牌、车型、车标、车身颜色识别，电动变焦、自动光圈，内置LED补光灯，同步补光，同步录像，黑白名单控制，视频触发；</w:t>
            </w:r>
            <w:r>
              <w:rPr>
                <w:rFonts w:hint="eastAsia" w:ascii="宋体" w:hAnsi="宋体" w:cs="宋体"/>
                <w:color w:val="000000"/>
                <w:sz w:val="18"/>
                <w:szCs w:val="18"/>
              </w:rPr>
              <w:br w:type="textWrapping"/>
            </w:r>
            <w:r>
              <w:rPr>
                <w:rFonts w:hint="eastAsia" w:ascii="宋体" w:hAnsi="宋体" w:cs="宋体"/>
                <w:color w:val="000000"/>
                <w:sz w:val="18"/>
                <w:szCs w:val="18"/>
              </w:rPr>
              <w:t>【四行四字】室外显示屏</w:t>
            </w:r>
            <w:r>
              <w:rPr>
                <w:rFonts w:hint="eastAsia" w:ascii="宋体" w:hAnsi="宋体" w:cs="宋体"/>
                <w:color w:val="000000"/>
                <w:sz w:val="18"/>
                <w:szCs w:val="18"/>
              </w:rPr>
              <w:br w:type="textWrapping"/>
            </w:r>
            <w:r>
              <w:rPr>
                <w:rFonts w:hint="eastAsia" w:ascii="宋体" w:hAnsi="宋体" w:cs="宋体"/>
                <w:color w:val="000000"/>
                <w:sz w:val="18"/>
                <w:szCs w:val="18"/>
              </w:rPr>
              <w:t>工作电压:AC220V±10％，50Hz</w:t>
            </w:r>
            <w:r>
              <w:rPr>
                <w:rFonts w:hint="eastAsia" w:ascii="宋体" w:hAnsi="宋体" w:cs="宋体"/>
                <w:color w:val="000000"/>
                <w:sz w:val="18"/>
                <w:szCs w:val="18"/>
              </w:rPr>
              <w:br w:type="textWrapping"/>
            </w:r>
            <w:r>
              <w:rPr>
                <w:rFonts w:hint="eastAsia" w:ascii="宋体" w:hAnsi="宋体" w:cs="宋体"/>
                <w:color w:val="000000"/>
                <w:sz w:val="18"/>
                <w:szCs w:val="18"/>
              </w:rPr>
              <w:t>LED亮度:1200cd</w:t>
            </w:r>
            <w:r>
              <w:rPr>
                <w:rFonts w:hint="eastAsia" w:ascii="宋体" w:hAnsi="宋体" w:cs="宋体"/>
                <w:color w:val="000000"/>
                <w:sz w:val="18"/>
                <w:szCs w:val="18"/>
              </w:rPr>
              <w:br w:type="textWrapping"/>
            </w:r>
            <w:r>
              <w:rPr>
                <w:rFonts w:hint="eastAsia" w:ascii="宋体" w:hAnsi="宋体" w:cs="宋体"/>
                <w:color w:val="000000"/>
                <w:sz w:val="18"/>
                <w:szCs w:val="18"/>
              </w:rPr>
              <w:t>LED角度:110°</w:t>
            </w:r>
            <w:r>
              <w:rPr>
                <w:rFonts w:hint="eastAsia" w:ascii="宋体" w:hAnsi="宋体" w:cs="宋体"/>
                <w:color w:val="000000"/>
                <w:sz w:val="18"/>
                <w:szCs w:val="18"/>
              </w:rPr>
              <w:br w:type="textWrapping"/>
            </w:r>
            <w:r>
              <w:rPr>
                <w:rFonts w:hint="eastAsia" w:ascii="宋体" w:hAnsi="宋体" w:cs="宋体"/>
                <w:color w:val="000000"/>
                <w:sz w:val="18"/>
                <w:szCs w:val="18"/>
              </w:rPr>
              <w:t>外框材料:铁框喷塑（显示部分为深色钢化玻璃）</w:t>
            </w:r>
            <w:r>
              <w:rPr>
                <w:rFonts w:hint="eastAsia" w:ascii="宋体" w:hAnsi="宋体" w:cs="宋体"/>
                <w:color w:val="000000"/>
                <w:sz w:val="18"/>
                <w:szCs w:val="18"/>
              </w:rPr>
              <w:br w:type="textWrapping"/>
            </w:r>
            <w:r>
              <w:rPr>
                <w:rFonts w:hint="eastAsia" w:ascii="宋体" w:hAnsi="宋体" w:cs="宋体"/>
                <w:color w:val="000000"/>
                <w:sz w:val="18"/>
                <w:szCs w:val="18"/>
              </w:rPr>
              <w:t>安装方式:背面抱箍</w:t>
            </w:r>
            <w:r>
              <w:rPr>
                <w:rFonts w:hint="eastAsia" w:ascii="宋体" w:hAnsi="宋体" w:cs="宋体"/>
                <w:color w:val="000000"/>
                <w:sz w:val="18"/>
                <w:szCs w:val="18"/>
              </w:rPr>
              <w:br w:type="textWrapping"/>
            </w:r>
            <w:r>
              <w:rPr>
                <w:rFonts w:hint="eastAsia" w:ascii="宋体" w:hAnsi="宋体" w:cs="宋体"/>
                <w:color w:val="000000"/>
                <w:sz w:val="18"/>
                <w:szCs w:val="18"/>
              </w:rPr>
              <w:t>喇叭规格:4Ω10W</w:t>
            </w:r>
            <w:r>
              <w:rPr>
                <w:rFonts w:hint="eastAsia" w:ascii="宋体" w:hAnsi="宋体" w:cs="宋体"/>
                <w:color w:val="000000"/>
                <w:sz w:val="18"/>
                <w:szCs w:val="18"/>
              </w:rPr>
              <w:br w:type="textWrapping"/>
            </w:r>
            <w:r>
              <w:rPr>
                <w:rFonts w:hint="eastAsia" w:ascii="宋体" w:hAnsi="宋体" w:cs="宋体"/>
                <w:color w:val="000000"/>
                <w:sz w:val="18"/>
                <w:szCs w:val="18"/>
              </w:rPr>
              <w:t>防护等级:IP65</w:t>
            </w:r>
            <w:r>
              <w:rPr>
                <w:rFonts w:hint="eastAsia" w:ascii="宋体" w:hAnsi="宋体" w:cs="宋体"/>
                <w:color w:val="000000"/>
                <w:sz w:val="18"/>
                <w:szCs w:val="18"/>
              </w:rPr>
              <w:br w:type="textWrapping"/>
            </w:r>
            <w:r>
              <w:rPr>
                <w:rFonts w:hint="eastAsia" w:ascii="宋体" w:hAnsi="宋体" w:cs="宋体"/>
                <w:color w:val="000000"/>
                <w:sz w:val="18"/>
                <w:szCs w:val="18"/>
              </w:rPr>
              <w:t>点距:P4.75</w:t>
            </w:r>
            <w:r>
              <w:rPr>
                <w:rFonts w:hint="eastAsia" w:ascii="宋体" w:hAnsi="宋体" w:cs="宋体"/>
                <w:color w:val="000000"/>
                <w:sz w:val="18"/>
                <w:szCs w:val="18"/>
              </w:rPr>
              <w:br w:type="textWrapping"/>
            </w:r>
            <w:r>
              <w:rPr>
                <w:rFonts w:hint="eastAsia" w:ascii="宋体" w:hAnsi="宋体" w:cs="宋体"/>
                <w:color w:val="000000"/>
                <w:sz w:val="18"/>
                <w:szCs w:val="18"/>
              </w:rPr>
              <w:t>基色:1红1绿</w:t>
            </w:r>
            <w:r>
              <w:rPr>
                <w:rFonts w:hint="eastAsia" w:ascii="宋体" w:hAnsi="宋体" w:cs="宋体"/>
                <w:color w:val="000000"/>
                <w:sz w:val="18"/>
                <w:szCs w:val="18"/>
              </w:rPr>
              <w:br w:type="textWrapping"/>
            </w:r>
            <w:r>
              <w:rPr>
                <w:rFonts w:hint="eastAsia" w:ascii="宋体" w:hAnsi="宋体" w:cs="宋体"/>
                <w:color w:val="000000"/>
                <w:sz w:val="18"/>
                <w:szCs w:val="18"/>
              </w:rPr>
              <w:t>功能特性：四行，四字，双色，带语音模块及音箱，出入口室外显示屏，P4.75，抱箍安装</w:t>
            </w:r>
            <w:r>
              <w:rPr>
                <w:rFonts w:hint="eastAsia" w:ascii="宋体" w:hAnsi="宋体" w:cs="宋体"/>
                <w:color w:val="000000"/>
                <w:sz w:val="18"/>
                <w:szCs w:val="18"/>
              </w:rPr>
              <w:br w:type="textWrapping"/>
            </w:r>
            <w:r>
              <w:rPr>
                <w:rFonts w:hint="eastAsia" w:ascii="宋体" w:hAnsi="宋体" w:cs="宋体"/>
                <w:color w:val="000000"/>
                <w:sz w:val="18"/>
                <w:szCs w:val="18"/>
              </w:rPr>
              <w:t>1.3米处可安装一体机</w:t>
            </w:r>
            <w:r>
              <w:rPr>
                <w:rFonts w:hint="eastAsia" w:ascii="宋体" w:hAnsi="宋体" w:cs="宋体"/>
                <w:color w:val="000000"/>
                <w:sz w:val="18"/>
                <w:szCs w:val="18"/>
              </w:rPr>
              <w:br w:type="textWrapping"/>
            </w:r>
            <w:r>
              <w:rPr>
                <w:rFonts w:hint="eastAsia" w:ascii="宋体" w:hAnsi="宋体" w:cs="宋体"/>
                <w:color w:val="000000"/>
                <w:sz w:val="18"/>
                <w:szCs w:val="18"/>
              </w:rPr>
              <w:t>0.5米处可安装“四行LED显示屏”</w:t>
            </w:r>
          </w:p>
        </w:tc>
      </w:tr>
      <w:tr>
        <w:tblPrEx>
          <w:tblCellMar>
            <w:top w:w="0" w:type="dxa"/>
            <w:left w:w="108" w:type="dxa"/>
            <w:bottom w:w="0" w:type="dxa"/>
            <w:right w:w="108" w:type="dxa"/>
          </w:tblCellMar>
        </w:tblPrEx>
        <w:trPr>
          <w:trHeight w:val="342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道闸</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道闸</w:t>
            </w:r>
            <w:r>
              <w:rPr>
                <w:rFonts w:hint="eastAsia" w:ascii="宋体" w:hAnsi="宋体" w:cs="宋体"/>
                <w:color w:val="000000"/>
                <w:sz w:val="20"/>
              </w:rPr>
              <w:br w:type="textWrapping"/>
            </w:r>
            <w:r>
              <w:rPr>
                <w:rFonts w:hint="eastAsia" w:ascii="宋体" w:hAnsi="宋体" w:cs="宋体"/>
                <w:color w:val="000000"/>
                <w:sz w:val="20"/>
              </w:rPr>
              <w:t>包含：2个遥控器</w:t>
            </w:r>
            <w:r>
              <w:rPr>
                <w:rFonts w:hint="eastAsia" w:ascii="宋体" w:hAnsi="宋体" w:cs="宋体"/>
                <w:color w:val="000000"/>
                <w:sz w:val="20"/>
              </w:rPr>
              <w:br w:type="textWrapping"/>
            </w:r>
            <w:r>
              <w:rPr>
                <w:rFonts w:hint="eastAsia" w:ascii="宋体" w:hAnsi="宋体" w:cs="宋体"/>
                <w:color w:val="000000"/>
                <w:sz w:val="20"/>
              </w:rPr>
              <w:t>道闸类型：广告栅栏式杆件</w:t>
            </w:r>
            <w:r>
              <w:rPr>
                <w:rFonts w:hint="eastAsia" w:ascii="宋体" w:hAnsi="宋体" w:cs="宋体"/>
                <w:color w:val="000000"/>
                <w:sz w:val="20"/>
              </w:rPr>
              <w:br w:type="textWrapping"/>
            </w:r>
            <w:r>
              <w:rPr>
                <w:rFonts w:hint="eastAsia" w:ascii="宋体" w:hAnsi="宋体" w:cs="宋体"/>
                <w:color w:val="000000"/>
                <w:sz w:val="20"/>
              </w:rPr>
              <w:t>道闸方向：右向/左向。运行速度：5~6秒。</w:t>
            </w:r>
            <w:r>
              <w:rPr>
                <w:rFonts w:hint="eastAsia" w:ascii="宋体" w:hAnsi="宋体" w:cs="宋体"/>
                <w:color w:val="000000"/>
                <w:sz w:val="20"/>
              </w:rPr>
              <w:br w:type="textWrapping"/>
            </w:r>
            <w:r>
              <w:rPr>
                <w:rFonts w:hint="eastAsia" w:ascii="宋体" w:hAnsi="宋体" w:cs="宋体"/>
                <w:color w:val="000000"/>
                <w:sz w:val="20"/>
              </w:rPr>
              <w:t>道闸杆长：3~6米</w:t>
            </w:r>
            <w:r>
              <w:rPr>
                <w:rFonts w:hint="eastAsia" w:ascii="宋体" w:hAnsi="宋体" w:cs="宋体"/>
                <w:color w:val="000000"/>
                <w:sz w:val="20"/>
              </w:rPr>
              <w:br w:type="textWrapping"/>
            </w:r>
            <w:r>
              <w:rPr>
                <w:rFonts w:hint="eastAsia" w:ascii="宋体" w:hAnsi="宋体" w:cs="宋体"/>
                <w:color w:val="000000"/>
                <w:sz w:val="20"/>
              </w:rPr>
              <w:t>机箱材质：冷轧钢</w:t>
            </w:r>
            <w:r>
              <w:rPr>
                <w:rFonts w:hint="eastAsia" w:ascii="宋体" w:hAnsi="宋体" w:cs="宋体"/>
                <w:color w:val="000000"/>
                <w:sz w:val="20"/>
              </w:rPr>
              <w:br w:type="textWrapping"/>
            </w:r>
            <w:r>
              <w:rPr>
                <w:rFonts w:hint="eastAsia" w:ascii="宋体" w:hAnsi="宋体" w:cs="宋体"/>
                <w:color w:val="000000"/>
                <w:sz w:val="20"/>
              </w:rPr>
              <w:t>遥控距离：≥20m</w:t>
            </w:r>
            <w:r>
              <w:rPr>
                <w:rFonts w:hint="eastAsia" w:ascii="宋体" w:hAnsi="宋体" w:cs="宋体"/>
                <w:color w:val="000000"/>
                <w:sz w:val="20"/>
              </w:rPr>
              <w:br w:type="textWrapping"/>
            </w:r>
            <w:r>
              <w:rPr>
                <w:rFonts w:hint="eastAsia" w:ascii="宋体" w:hAnsi="宋体" w:cs="宋体"/>
                <w:color w:val="000000"/>
                <w:sz w:val="20"/>
              </w:rPr>
              <w:t>具有遇阻返回功能：当闸杆下落时，遇到物体阻挡，将立即开闸；</w:t>
            </w:r>
            <w:r>
              <w:rPr>
                <w:rFonts w:hint="eastAsia" w:ascii="宋体" w:hAnsi="宋体" w:cs="宋体"/>
                <w:color w:val="000000"/>
                <w:sz w:val="20"/>
              </w:rPr>
              <w:br w:type="textWrapping"/>
            </w:r>
            <w:r>
              <w:rPr>
                <w:rFonts w:hint="eastAsia" w:ascii="宋体" w:hAnsi="宋体" w:cs="宋体"/>
                <w:color w:val="000000"/>
                <w:sz w:val="20"/>
              </w:rPr>
              <w:t>应有自动限位功能，档杆开关到位后，将自动停机限位；</w:t>
            </w:r>
          </w:p>
          <w:p>
            <w:pPr>
              <w:textAlignment w:val="center"/>
              <w:rPr>
                <w:rFonts w:ascii="宋体" w:hAnsi="宋体" w:cs="宋体"/>
                <w:color w:val="000000"/>
                <w:sz w:val="20"/>
              </w:rPr>
            </w:pPr>
            <w:r>
              <w:rPr>
                <w:rFonts w:hint="eastAsia" w:ascii="宋体" w:hAnsi="宋体" w:cs="宋体"/>
                <w:color w:val="000000"/>
                <w:sz w:val="20"/>
              </w:rPr>
              <w:t>输入电压：220VAC+10%</w:t>
            </w:r>
            <w:r>
              <w:rPr>
                <w:rFonts w:hint="eastAsia" w:ascii="宋体" w:hAnsi="宋体" w:cs="宋体"/>
                <w:color w:val="000000"/>
                <w:sz w:val="20"/>
              </w:rPr>
              <w:br w:type="textWrapping"/>
            </w:r>
            <w:r>
              <w:rPr>
                <w:rFonts w:hint="eastAsia" w:ascii="宋体" w:hAnsi="宋体" w:cs="宋体"/>
                <w:color w:val="000000"/>
                <w:sz w:val="20"/>
              </w:rPr>
              <w:t>电机驱动：交流电机</w:t>
            </w:r>
            <w:r>
              <w:rPr>
                <w:rFonts w:hint="eastAsia" w:ascii="宋体" w:hAnsi="宋体" w:cs="宋体"/>
                <w:color w:val="000000"/>
                <w:sz w:val="20"/>
              </w:rPr>
              <w:br w:type="textWrapping"/>
            </w:r>
            <w:r>
              <w:rPr>
                <w:rFonts w:hint="eastAsia" w:ascii="宋体" w:hAnsi="宋体" w:cs="宋体"/>
                <w:color w:val="000000"/>
                <w:sz w:val="20"/>
              </w:rPr>
              <w:t>功能特性：支持外接红绿灯警示、外接红外雷达保护、外接地感功能，支持强冷天气</w:t>
            </w:r>
          </w:p>
        </w:tc>
      </w:tr>
      <w:tr>
        <w:tblPrEx>
          <w:tblCellMar>
            <w:top w:w="0" w:type="dxa"/>
            <w:left w:w="108" w:type="dxa"/>
            <w:bottom w:w="0" w:type="dxa"/>
            <w:right w:w="108" w:type="dxa"/>
          </w:tblCellMar>
        </w:tblPrEx>
        <w:trPr>
          <w:trHeight w:val="208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防砸雷达</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【防砸雷达】</w:t>
            </w:r>
            <w:r>
              <w:rPr>
                <w:rFonts w:hint="eastAsia" w:ascii="宋体" w:hAnsi="宋体" w:cs="宋体"/>
                <w:color w:val="000000"/>
                <w:sz w:val="20"/>
              </w:rPr>
              <w:br w:type="textWrapping"/>
            </w:r>
            <w:r>
              <w:rPr>
                <w:rFonts w:hint="eastAsia" w:ascii="宋体" w:hAnsi="宋体" w:cs="宋体"/>
                <w:color w:val="000000"/>
                <w:sz w:val="20"/>
              </w:rPr>
              <w:t>采用79GHz MMIC技术，分辨率更高，检测更稳定；</w:t>
            </w:r>
            <w:r>
              <w:rPr>
                <w:rFonts w:hint="eastAsia" w:ascii="宋体" w:hAnsi="宋体" w:cs="宋体"/>
                <w:color w:val="000000"/>
                <w:sz w:val="20"/>
              </w:rPr>
              <w:br w:type="textWrapping"/>
            </w:r>
            <w:r>
              <w:rPr>
                <w:rFonts w:hint="eastAsia" w:ascii="宋体" w:hAnsi="宋体" w:cs="宋体"/>
                <w:color w:val="000000"/>
                <w:sz w:val="20"/>
              </w:rPr>
              <w:t>雷达检测距离可调，检测宽度可调，操作方便，通用性强；</w:t>
            </w:r>
            <w:r>
              <w:rPr>
                <w:rFonts w:hint="eastAsia" w:ascii="宋体" w:hAnsi="宋体" w:cs="宋体"/>
                <w:color w:val="000000"/>
                <w:sz w:val="20"/>
              </w:rPr>
              <w:br w:type="textWrapping"/>
            </w:r>
            <w:r>
              <w:rPr>
                <w:rFonts w:hint="eastAsia" w:ascii="宋体" w:hAnsi="宋体" w:cs="宋体"/>
                <w:color w:val="000000"/>
                <w:sz w:val="20"/>
              </w:rPr>
              <w:t>无需学习背景，适应更多复杂现场环境；</w:t>
            </w:r>
            <w:r>
              <w:rPr>
                <w:rFonts w:hint="eastAsia" w:ascii="宋体" w:hAnsi="宋体" w:cs="宋体"/>
                <w:color w:val="000000"/>
                <w:sz w:val="20"/>
              </w:rPr>
              <w:br w:type="textWrapping"/>
            </w:r>
            <w:r>
              <w:rPr>
                <w:rFonts w:hint="eastAsia" w:ascii="宋体" w:hAnsi="宋体" w:cs="宋体"/>
                <w:color w:val="000000"/>
                <w:sz w:val="20"/>
              </w:rPr>
              <w:t>采用先进的信号处理技术，可稳定检测到行人和车辆，有效防止“砸车、砸人”事故的发生。</w:t>
            </w:r>
            <w:r>
              <w:rPr>
                <w:rFonts w:hint="eastAsia" w:ascii="宋体" w:hAnsi="宋体" w:cs="宋体"/>
                <w:color w:val="000000"/>
                <w:sz w:val="20"/>
              </w:rPr>
              <w:br w:type="textWrapping"/>
            </w:r>
            <w:r>
              <w:rPr>
                <w:rFonts w:hint="eastAsia" w:ascii="宋体" w:hAnsi="宋体" w:cs="宋体"/>
                <w:color w:val="000000"/>
                <w:sz w:val="20"/>
              </w:rPr>
              <w:t xml:space="preserve">采用LED灯指示雷达工作状态，状态更直观。 </w:t>
            </w:r>
            <w:r>
              <w:rPr>
                <w:rFonts w:hint="eastAsia" w:ascii="宋体" w:hAnsi="宋体" w:cs="宋体"/>
                <w:color w:val="000000"/>
                <w:sz w:val="20"/>
              </w:rPr>
              <w:br w:type="textWrapping"/>
            </w:r>
            <w:r>
              <w:rPr>
                <w:rFonts w:hint="eastAsia" w:ascii="宋体" w:hAnsi="宋体" w:cs="宋体"/>
                <w:color w:val="000000"/>
                <w:sz w:val="20"/>
              </w:rPr>
              <w:t>自动记录雷达的配置参数，断电重启后可恢复至之前的工作状态；</w:t>
            </w:r>
            <w:r>
              <w:rPr>
                <w:rFonts w:hint="eastAsia" w:ascii="宋体" w:hAnsi="宋体" w:cs="宋体"/>
                <w:color w:val="000000"/>
                <w:sz w:val="20"/>
              </w:rPr>
              <w:br w:type="textWrapping"/>
            </w:r>
            <w:r>
              <w:rPr>
                <w:rFonts w:hint="eastAsia" w:ascii="宋体" w:hAnsi="宋体" w:cs="宋体"/>
                <w:color w:val="000000"/>
                <w:sz w:val="20"/>
              </w:rPr>
              <w:t>环境适应性强，检测性能不受电磁干扰、光照、灰尘、雨雪等外界环境影响。</w:t>
            </w:r>
          </w:p>
        </w:tc>
      </w:tr>
      <w:tr>
        <w:tblPrEx>
          <w:tblCellMar>
            <w:top w:w="0" w:type="dxa"/>
            <w:left w:w="108" w:type="dxa"/>
            <w:bottom w:w="0" w:type="dxa"/>
            <w:right w:w="108" w:type="dxa"/>
          </w:tblCellMar>
        </w:tblPrEx>
        <w:trPr>
          <w:trHeight w:val="228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逻辑雷达</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【触发雷达】</w:t>
            </w:r>
            <w:r>
              <w:rPr>
                <w:rFonts w:hint="eastAsia" w:ascii="宋体" w:hAnsi="宋体" w:cs="宋体"/>
                <w:color w:val="000000"/>
                <w:sz w:val="20"/>
              </w:rPr>
              <w:br w:type="textWrapping"/>
            </w:r>
            <w:r>
              <w:rPr>
                <w:rFonts w:hint="eastAsia" w:ascii="宋体" w:hAnsi="宋体" w:cs="宋体"/>
                <w:color w:val="000000"/>
                <w:sz w:val="20"/>
              </w:rPr>
              <w:t>采用79GHz MMIC技术，分辨率更高，检测更稳定；</w:t>
            </w:r>
            <w:r>
              <w:rPr>
                <w:rFonts w:hint="eastAsia" w:ascii="宋体" w:hAnsi="宋体" w:cs="宋体"/>
                <w:color w:val="000000"/>
                <w:sz w:val="20"/>
              </w:rPr>
              <w:br w:type="textWrapping"/>
            </w:r>
            <w:r>
              <w:rPr>
                <w:rFonts w:hint="eastAsia" w:ascii="宋体" w:hAnsi="宋体" w:cs="宋体"/>
                <w:color w:val="000000"/>
                <w:sz w:val="20"/>
              </w:rPr>
              <w:t>雷达检测距离可调，检测宽度可调，操作方便，通用性强；</w:t>
            </w:r>
            <w:r>
              <w:rPr>
                <w:rFonts w:hint="eastAsia" w:ascii="宋体" w:hAnsi="宋体" w:cs="宋体"/>
                <w:color w:val="000000"/>
                <w:sz w:val="20"/>
              </w:rPr>
              <w:br w:type="textWrapping"/>
            </w:r>
            <w:r>
              <w:rPr>
                <w:rFonts w:hint="eastAsia" w:ascii="宋体" w:hAnsi="宋体" w:cs="宋体"/>
                <w:color w:val="000000"/>
                <w:sz w:val="20"/>
              </w:rPr>
              <w:t>无需学习背景，适应更多复杂现场环境；</w:t>
            </w:r>
            <w:r>
              <w:rPr>
                <w:rFonts w:hint="eastAsia" w:ascii="宋体" w:hAnsi="宋体" w:cs="宋体"/>
                <w:color w:val="000000"/>
                <w:sz w:val="20"/>
              </w:rPr>
              <w:br w:type="textWrapping"/>
            </w:r>
            <w:r>
              <w:rPr>
                <w:rFonts w:hint="eastAsia" w:ascii="宋体" w:hAnsi="宋体" w:cs="宋体"/>
                <w:color w:val="000000"/>
                <w:sz w:val="20"/>
              </w:rPr>
              <w:t>提供RS485串口或者WIFI通讯功能，WIFI版本配备手机APP，可对雷达进行在线调试、固件升级，操作更方便；</w:t>
            </w:r>
            <w:r>
              <w:rPr>
                <w:rFonts w:hint="eastAsia" w:ascii="宋体" w:hAnsi="宋体" w:cs="宋体"/>
                <w:color w:val="000000"/>
                <w:sz w:val="20"/>
              </w:rPr>
              <w:br w:type="textWrapping"/>
            </w:r>
            <w:r>
              <w:rPr>
                <w:rFonts w:hint="eastAsia" w:ascii="宋体" w:hAnsi="宋体" w:cs="宋体"/>
                <w:color w:val="000000"/>
                <w:sz w:val="20"/>
              </w:rPr>
              <w:t>安装与维护方便，所需人力少，工时短。</w:t>
            </w:r>
            <w:r>
              <w:rPr>
                <w:rFonts w:hint="eastAsia" w:ascii="宋体" w:hAnsi="宋体" w:cs="宋体"/>
                <w:color w:val="000000"/>
                <w:sz w:val="20"/>
              </w:rPr>
              <w:br w:type="textWrapping"/>
            </w:r>
            <w:r>
              <w:rPr>
                <w:rFonts w:hint="eastAsia" w:ascii="宋体" w:hAnsi="宋体" w:cs="宋体"/>
                <w:color w:val="000000"/>
                <w:sz w:val="20"/>
              </w:rPr>
              <w:t>自动记录雷达的配置参数，断电重启后可恢复至之前的工作状态；</w:t>
            </w:r>
            <w:r>
              <w:rPr>
                <w:rFonts w:hint="eastAsia" w:ascii="宋体" w:hAnsi="宋体" w:cs="宋体"/>
                <w:color w:val="000000"/>
                <w:sz w:val="20"/>
              </w:rPr>
              <w:br w:type="textWrapping"/>
            </w:r>
            <w:r>
              <w:rPr>
                <w:rFonts w:hint="eastAsia" w:ascii="宋体" w:hAnsi="宋体" w:cs="宋体"/>
                <w:color w:val="000000"/>
                <w:sz w:val="20"/>
              </w:rPr>
              <w:t>环境适应性强，检测性能不受电磁干扰、光照、灰尘、雨雪等外界环境影响。</w:t>
            </w:r>
          </w:p>
        </w:tc>
      </w:tr>
      <w:tr>
        <w:tblPrEx>
          <w:tblCellMar>
            <w:top w:w="0" w:type="dxa"/>
            <w:left w:w="108" w:type="dxa"/>
            <w:bottom w:w="0" w:type="dxa"/>
            <w:right w:w="108" w:type="dxa"/>
          </w:tblCellMar>
        </w:tblPrEx>
        <w:trPr>
          <w:trHeight w:val="226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触发雷达</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【触发雷达】</w:t>
            </w:r>
            <w:r>
              <w:rPr>
                <w:rFonts w:hint="eastAsia" w:ascii="宋体" w:hAnsi="宋体" w:cs="宋体"/>
                <w:color w:val="000000"/>
                <w:sz w:val="20"/>
              </w:rPr>
              <w:br w:type="textWrapping"/>
            </w:r>
            <w:r>
              <w:rPr>
                <w:rFonts w:hint="eastAsia" w:ascii="宋体" w:hAnsi="宋体" w:cs="宋体"/>
                <w:color w:val="000000"/>
                <w:sz w:val="20"/>
              </w:rPr>
              <w:t>采用79GHz MMIC技术，分辨率更高，检测更稳定；</w:t>
            </w:r>
            <w:r>
              <w:rPr>
                <w:rFonts w:hint="eastAsia" w:ascii="宋体" w:hAnsi="宋体" w:cs="宋体"/>
                <w:color w:val="000000"/>
                <w:sz w:val="20"/>
              </w:rPr>
              <w:br w:type="textWrapping"/>
            </w:r>
            <w:r>
              <w:rPr>
                <w:rFonts w:hint="eastAsia" w:ascii="宋体" w:hAnsi="宋体" w:cs="宋体"/>
                <w:color w:val="000000"/>
                <w:sz w:val="20"/>
              </w:rPr>
              <w:t>雷达检测距离可调，检测宽度可调，操作方便，通用性强；</w:t>
            </w:r>
            <w:r>
              <w:rPr>
                <w:rFonts w:hint="eastAsia" w:ascii="宋体" w:hAnsi="宋体" w:cs="宋体"/>
                <w:color w:val="000000"/>
                <w:sz w:val="20"/>
              </w:rPr>
              <w:br w:type="textWrapping"/>
            </w:r>
            <w:r>
              <w:rPr>
                <w:rFonts w:hint="eastAsia" w:ascii="宋体" w:hAnsi="宋体" w:cs="宋体"/>
                <w:color w:val="000000"/>
                <w:sz w:val="20"/>
              </w:rPr>
              <w:t>无需学习背景，适应更多复杂现场环境；</w:t>
            </w:r>
            <w:r>
              <w:rPr>
                <w:rFonts w:hint="eastAsia" w:ascii="宋体" w:hAnsi="宋体" w:cs="宋体"/>
                <w:color w:val="000000"/>
                <w:sz w:val="20"/>
              </w:rPr>
              <w:br w:type="textWrapping"/>
            </w:r>
            <w:r>
              <w:rPr>
                <w:rFonts w:hint="eastAsia" w:ascii="宋体" w:hAnsi="宋体" w:cs="宋体"/>
                <w:color w:val="000000"/>
                <w:sz w:val="20"/>
              </w:rPr>
              <w:t>提供RS485串口或者WIFI通讯功能，WIFI版本配备手机APP，可对雷达进行在线调试、固件升级，操作更方便；</w:t>
            </w:r>
            <w:r>
              <w:rPr>
                <w:rFonts w:hint="eastAsia" w:ascii="宋体" w:hAnsi="宋体" w:cs="宋体"/>
                <w:color w:val="000000"/>
                <w:sz w:val="20"/>
              </w:rPr>
              <w:br w:type="textWrapping"/>
            </w:r>
            <w:r>
              <w:rPr>
                <w:rFonts w:hint="eastAsia" w:ascii="宋体" w:hAnsi="宋体" w:cs="宋体"/>
                <w:color w:val="000000"/>
                <w:sz w:val="20"/>
              </w:rPr>
              <w:t>安装与维护方便，所需人力少，工时短。</w:t>
            </w:r>
            <w:r>
              <w:rPr>
                <w:rFonts w:hint="eastAsia" w:ascii="宋体" w:hAnsi="宋体" w:cs="宋体"/>
                <w:color w:val="000000"/>
                <w:sz w:val="20"/>
              </w:rPr>
              <w:br w:type="textWrapping"/>
            </w:r>
            <w:r>
              <w:rPr>
                <w:rFonts w:hint="eastAsia" w:ascii="宋体" w:hAnsi="宋体" w:cs="宋体"/>
                <w:color w:val="000000"/>
                <w:sz w:val="20"/>
              </w:rPr>
              <w:t>自动记录雷达的配置参数，断电重启后可恢复至之前的工作状态；</w:t>
            </w:r>
            <w:r>
              <w:rPr>
                <w:rFonts w:hint="eastAsia" w:ascii="宋体" w:hAnsi="宋体" w:cs="宋体"/>
                <w:color w:val="000000"/>
                <w:sz w:val="20"/>
              </w:rPr>
              <w:br w:type="textWrapping"/>
            </w:r>
            <w:r>
              <w:rPr>
                <w:rFonts w:hint="eastAsia" w:ascii="宋体" w:hAnsi="宋体" w:cs="宋体"/>
                <w:color w:val="000000"/>
                <w:sz w:val="20"/>
              </w:rPr>
              <w:t>环境适应性强，检测性能不受电磁干扰、光照、灰尘、雨雪等外界环境影响。</w:t>
            </w:r>
          </w:p>
        </w:tc>
      </w:tr>
      <w:tr>
        <w:tblPrEx>
          <w:tblCellMar>
            <w:top w:w="0" w:type="dxa"/>
            <w:left w:w="108" w:type="dxa"/>
            <w:bottom w:w="0" w:type="dxa"/>
            <w:right w:w="108" w:type="dxa"/>
          </w:tblCellMar>
        </w:tblPrEx>
        <w:trPr>
          <w:trHeight w:val="1125"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9</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8口百兆接入交换机</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以太网交换机主机,支持8个10/1000BASE-T电口,支持1个1000BASE-X SFP端口,支持AC。背板带宽 18Gbps 包转发率 13.4Mbps 。支持绿色节能要求，采用无风扇静音设计；要求产品厂商在宁波市设有备品备件库，提供官网信息说明并原厂盖章；★生产厂商必须通过ISO14064温室气体核查，提供报告复印件并原厂盖章；</w:t>
            </w:r>
          </w:p>
        </w:tc>
      </w:tr>
      <w:tr>
        <w:tblPrEx>
          <w:tblCellMar>
            <w:top w:w="0" w:type="dxa"/>
            <w:left w:w="108" w:type="dxa"/>
            <w:bottom w:w="0" w:type="dxa"/>
            <w:right w:w="108" w:type="dxa"/>
          </w:tblCellMar>
        </w:tblPrEx>
        <w:trPr>
          <w:trHeight w:val="439" w:hRule="atLeast"/>
        </w:trPr>
        <w:tc>
          <w:tcPr>
            <w:tcW w:w="9870" w:type="dxa"/>
            <w:gridSpan w:val="3"/>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b/>
                <w:bCs/>
                <w:color w:val="000000"/>
                <w:sz w:val="20"/>
              </w:rPr>
            </w:pPr>
            <w:r>
              <w:rPr>
                <w:rFonts w:hint="eastAsia" w:ascii="宋体" w:hAnsi="宋体" w:cs="宋体"/>
                <w:b/>
                <w:bCs/>
                <w:color w:val="000000"/>
                <w:sz w:val="20"/>
              </w:rPr>
              <w:t>2.2 管理设备</w:t>
            </w:r>
          </w:p>
        </w:tc>
      </w:tr>
      <w:tr>
        <w:tblPrEx>
          <w:tblCellMar>
            <w:top w:w="0" w:type="dxa"/>
            <w:left w:w="108" w:type="dxa"/>
            <w:bottom w:w="0" w:type="dxa"/>
            <w:right w:w="108" w:type="dxa"/>
          </w:tblCellMar>
        </w:tblPrEx>
        <w:trPr>
          <w:trHeight w:val="805"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收费电脑</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【出入口控制终端】【固态硬盘】【含管理软件】</w:t>
            </w:r>
            <w:r>
              <w:rPr>
                <w:rFonts w:hint="eastAsia" w:ascii="宋体" w:hAnsi="宋体" w:cs="宋体"/>
                <w:color w:val="000000"/>
                <w:sz w:val="20"/>
              </w:rPr>
              <w:br w:type="textWrapping"/>
            </w:r>
            <w:r>
              <w:rPr>
                <w:rFonts w:hint="eastAsia" w:ascii="宋体" w:hAnsi="宋体" w:cs="宋体"/>
                <w:color w:val="000000"/>
                <w:sz w:val="20"/>
              </w:rPr>
              <w:t>CPU：Apollo Lake J3455平台处理器 ；</w:t>
            </w:r>
            <w:r>
              <w:rPr>
                <w:rFonts w:hint="eastAsia" w:ascii="宋体" w:hAnsi="宋体" w:cs="宋体"/>
                <w:color w:val="000000"/>
                <w:sz w:val="20"/>
              </w:rPr>
              <w:br w:type="textWrapping"/>
            </w:r>
            <w:r>
              <w:rPr>
                <w:rFonts w:hint="eastAsia" w:ascii="宋体" w:hAnsi="宋体" w:cs="宋体"/>
                <w:color w:val="000000"/>
                <w:sz w:val="20"/>
              </w:rPr>
              <w:t>内存：4GB；</w:t>
            </w:r>
            <w:r>
              <w:rPr>
                <w:rFonts w:hint="eastAsia" w:ascii="宋体" w:hAnsi="宋体" w:cs="宋体"/>
                <w:color w:val="000000"/>
                <w:sz w:val="20"/>
              </w:rPr>
              <w:br w:type="textWrapping"/>
            </w:r>
            <w:r>
              <w:rPr>
                <w:rFonts w:hint="eastAsia" w:ascii="宋体" w:hAnsi="宋体" w:cs="宋体"/>
                <w:color w:val="000000"/>
                <w:sz w:val="20"/>
              </w:rPr>
              <w:t>标配128G SSD，可选配一块3.5寸机械硬盘；</w:t>
            </w:r>
            <w:r>
              <w:rPr>
                <w:rFonts w:hint="eastAsia" w:ascii="宋体" w:hAnsi="宋体" w:cs="宋体"/>
                <w:color w:val="000000"/>
                <w:sz w:val="20"/>
              </w:rPr>
              <w:br w:type="textWrapping"/>
            </w:r>
            <w:r>
              <w:rPr>
                <w:rFonts w:hint="eastAsia" w:ascii="宋体" w:hAnsi="宋体" w:cs="宋体"/>
                <w:color w:val="000000"/>
                <w:sz w:val="20"/>
              </w:rPr>
              <w:t>其他接口：6个1000Mbps自适应网口（G2~G6为交换机，G1为独立网口，支持双网隔离）、2个RS232、2个RS485、4个USB3.0；4个开关量输入，4个继电器开关量输出、1个VGA输出接口，1路内置预留SATA接口、1路音频输入/输出接口、1个HDMI输出接口；</w:t>
            </w:r>
            <w:r>
              <w:rPr>
                <w:rFonts w:hint="eastAsia" w:ascii="宋体" w:hAnsi="宋体" w:cs="宋体"/>
                <w:color w:val="000000"/>
                <w:sz w:val="20"/>
              </w:rPr>
              <w:br w:type="textWrapping"/>
            </w:r>
            <w:r>
              <w:rPr>
                <w:rFonts w:hint="eastAsia" w:ascii="宋体" w:hAnsi="宋体" w:cs="宋体"/>
                <w:color w:val="000000"/>
                <w:sz w:val="20"/>
              </w:rPr>
              <w:t>交换机功能：具有多口交换机功能，能够使用5个10M/100M/1000M自适应RJ45接口进行网络交换功能；</w:t>
            </w:r>
            <w:r>
              <w:rPr>
                <w:rFonts w:hint="eastAsia" w:ascii="宋体" w:hAnsi="宋体" w:cs="宋体"/>
                <w:color w:val="000000"/>
                <w:sz w:val="20"/>
              </w:rPr>
              <w:br w:type="textWrapping"/>
            </w:r>
            <w:r>
              <w:rPr>
                <w:rFonts w:hint="eastAsia" w:ascii="宋体" w:hAnsi="宋体" w:cs="宋体"/>
                <w:color w:val="000000"/>
                <w:sz w:val="20"/>
              </w:rPr>
              <w:t>操作系统：无，需用户自行安装</w:t>
            </w:r>
            <w:r>
              <w:rPr>
                <w:rFonts w:hint="eastAsia" w:ascii="宋体" w:hAnsi="宋体" w:cs="宋体"/>
                <w:color w:val="000000"/>
                <w:sz w:val="20"/>
              </w:rPr>
              <w:br w:type="textWrapping"/>
            </w:r>
            <w:r>
              <w:rPr>
                <w:rFonts w:hint="eastAsia" w:ascii="宋体" w:hAnsi="宋体" w:cs="宋体"/>
                <w:color w:val="000000"/>
                <w:sz w:val="20"/>
              </w:rPr>
              <w:t>数据统计功能检验：支持按月、日、年统计收费情况、车流量，支持按交接班统计收费情况；</w:t>
            </w:r>
            <w:r>
              <w:rPr>
                <w:rFonts w:hint="eastAsia" w:ascii="宋体" w:hAnsi="宋体" w:cs="宋体"/>
                <w:color w:val="000000"/>
                <w:sz w:val="20"/>
              </w:rPr>
              <w:br w:type="textWrapping"/>
            </w:r>
            <w:r>
              <w:rPr>
                <w:rFonts w:hint="eastAsia" w:ascii="宋体" w:hAnsi="宋体" w:cs="宋体"/>
                <w:color w:val="000000"/>
                <w:sz w:val="20"/>
              </w:rPr>
              <w:t>支持接入的牌识设备数量：4路高清出入口视频单元；</w:t>
            </w:r>
            <w:r>
              <w:rPr>
                <w:rFonts w:hint="eastAsia" w:ascii="宋体" w:hAnsi="宋体" w:cs="宋体"/>
                <w:color w:val="000000"/>
                <w:sz w:val="20"/>
              </w:rPr>
              <w:br w:type="textWrapping"/>
            </w:r>
            <w:r>
              <w:rPr>
                <w:rFonts w:hint="eastAsia" w:ascii="宋体" w:hAnsi="宋体" w:cs="宋体"/>
                <w:color w:val="000000"/>
                <w:sz w:val="20"/>
              </w:rPr>
              <w:t>存储功能：支持对车辆出入记录的本地存储：≥80万辆通行车辆信息 或 ≥30万辆的违法车辆信息；</w:t>
            </w:r>
            <w:r>
              <w:rPr>
                <w:rFonts w:hint="eastAsia" w:ascii="宋体" w:hAnsi="宋体" w:cs="宋体"/>
                <w:color w:val="000000"/>
                <w:sz w:val="20"/>
              </w:rPr>
              <w:br w:type="textWrapping"/>
            </w:r>
            <w:r>
              <w:rPr>
                <w:rFonts w:hint="eastAsia" w:ascii="宋体" w:hAnsi="宋体" w:cs="宋体"/>
                <w:color w:val="000000"/>
                <w:sz w:val="20"/>
              </w:rPr>
              <w:t>双IP地址检查：可设置两个独立的IP地址；</w:t>
            </w:r>
            <w:r>
              <w:rPr>
                <w:rFonts w:hint="eastAsia" w:ascii="宋体" w:hAnsi="宋体" w:cs="宋体"/>
                <w:color w:val="000000"/>
                <w:sz w:val="20"/>
              </w:rPr>
              <w:br w:type="textWrapping"/>
            </w:r>
            <w:r>
              <w:rPr>
                <w:rFonts w:hint="eastAsia" w:ascii="宋体" w:hAnsi="宋体" w:cs="宋体"/>
                <w:color w:val="000000"/>
                <w:sz w:val="20"/>
              </w:rPr>
              <w:t>远程管理：支持远程进行权限设置或维护管理；</w:t>
            </w:r>
            <w:r>
              <w:rPr>
                <w:rFonts w:hint="eastAsia" w:ascii="宋体" w:hAnsi="宋体" w:cs="宋体"/>
                <w:color w:val="000000"/>
                <w:sz w:val="20"/>
              </w:rPr>
              <w:br w:type="textWrapping"/>
            </w:r>
            <w:r>
              <w:rPr>
                <w:rFonts w:hint="eastAsia" w:ascii="宋体" w:hAnsi="宋体" w:cs="宋体"/>
                <w:color w:val="000000"/>
                <w:sz w:val="20"/>
              </w:rPr>
              <w:t>工作电压:主机12VDC，外接220VAC电源适配器；</w:t>
            </w:r>
            <w:r>
              <w:rPr>
                <w:rFonts w:hint="eastAsia" w:ascii="宋体" w:hAnsi="宋体" w:cs="宋体"/>
                <w:color w:val="000000"/>
                <w:sz w:val="20"/>
              </w:rPr>
              <w:br w:type="textWrapping"/>
            </w:r>
            <w:r>
              <w:rPr>
                <w:rFonts w:hint="eastAsia" w:ascii="宋体" w:hAnsi="宋体" w:cs="宋体"/>
                <w:color w:val="000000"/>
                <w:sz w:val="20"/>
              </w:rPr>
              <w:t>功耗:平均25w，最高50w；</w:t>
            </w:r>
            <w:r>
              <w:rPr>
                <w:rFonts w:hint="eastAsia" w:ascii="宋体" w:hAnsi="宋体" w:cs="宋体"/>
                <w:color w:val="000000"/>
                <w:sz w:val="20"/>
              </w:rPr>
              <w:br w:type="textWrapping"/>
            </w:r>
            <w:r>
              <w:rPr>
                <w:rFonts w:hint="eastAsia" w:ascii="宋体" w:hAnsi="宋体" w:cs="宋体"/>
                <w:color w:val="000000"/>
                <w:sz w:val="20"/>
              </w:rPr>
              <w:t>工作环境温度:-20 ℃～70 ℃；</w:t>
            </w:r>
            <w:r>
              <w:rPr>
                <w:rFonts w:hint="eastAsia" w:ascii="宋体" w:hAnsi="宋体" w:cs="宋体"/>
                <w:color w:val="000000"/>
                <w:sz w:val="20"/>
              </w:rPr>
              <w:br w:type="textWrapping"/>
            </w:r>
            <w:r>
              <w:rPr>
                <w:rFonts w:hint="eastAsia" w:ascii="宋体" w:hAnsi="宋体" w:cs="宋体"/>
                <w:color w:val="000000"/>
                <w:sz w:val="20"/>
              </w:rPr>
              <w:t>工作环境湿度:10%~90%@40℃，无凝结；</w:t>
            </w:r>
            <w:r>
              <w:rPr>
                <w:rFonts w:hint="eastAsia" w:ascii="宋体" w:hAnsi="宋体" w:cs="宋体"/>
                <w:color w:val="000000"/>
                <w:sz w:val="20"/>
              </w:rPr>
              <w:br w:type="textWrapping"/>
            </w:r>
            <w:r>
              <w:rPr>
                <w:rFonts w:hint="eastAsia" w:ascii="宋体" w:hAnsi="宋体" w:cs="宋体"/>
                <w:color w:val="000000"/>
                <w:sz w:val="20"/>
              </w:rPr>
              <w:t xml:space="preserve">外形尺寸:245mm(W)×65mm(H)×170mm(D)；  </w:t>
            </w:r>
            <w:r>
              <w:rPr>
                <w:rFonts w:hint="eastAsia" w:ascii="宋体" w:hAnsi="宋体" w:cs="宋体"/>
                <w:color w:val="000000"/>
                <w:sz w:val="20"/>
              </w:rPr>
              <w:br w:type="textWrapping"/>
            </w:r>
            <w:r>
              <w:rPr>
                <w:rFonts w:hint="eastAsia" w:ascii="宋体" w:hAnsi="宋体" w:cs="宋体"/>
                <w:color w:val="000000"/>
                <w:sz w:val="20"/>
              </w:rPr>
              <w:t>重量:3.00kg。</w:t>
            </w:r>
            <w:r>
              <w:rPr>
                <w:rFonts w:hint="eastAsia" w:ascii="宋体" w:hAnsi="宋体" w:cs="宋体"/>
                <w:color w:val="000000"/>
                <w:sz w:val="20"/>
              </w:rPr>
              <w:br w:type="textWrapping"/>
            </w:r>
            <w:r>
              <w:rPr>
                <w:rFonts w:hint="eastAsia" w:ascii="宋体" w:hAnsi="宋体" w:cs="宋体"/>
                <w:color w:val="000000"/>
                <w:sz w:val="20"/>
              </w:rPr>
              <w:t>功能特性：含出入口管理软件，无风扇设计，集成交换机、485接口、报警2进4出、麦克风输入、视频HDMI及VGA接口</w:t>
            </w:r>
            <w:r>
              <w:rPr>
                <w:rFonts w:hint="eastAsia" w:ascii="宋体" w:hAnsi="宋体" w:cs="宋体"/>
                <w:color w:val="000000"/>
                <w:sz w:val="20"/>
              </w:rPr>
              <w:br w:type="textWrapping"/>
            </w:r>
            <w:r>
              <w:rPr>
                <w:rFonts w:hint="eastAsia" w:ascii="宋体" w:hAnsi="宋体" w:cs="宋体"/>
                <w:color w:val="000000"/>
                <w:sz w:val="20"/>
              </w:rPr>
              <w:t>配套21寸显示器</w:t>
            </w:r>
          </w:p>
        </w:tc>
      </w:tr>
      <w:tr>
        <w:tblPrEx>
          <w:tblCellMar>
            <w:top w:w="0" w:type="dxa"/>
            <w:left w:w="108" w:type="dxa"/>
            <w:bottom w:w="0" w:type="dxa"/>
            <w:right w:w="108" w:type="dxa"/>
          </w:tblCellMar>
        </w:tblPrEx>
        <w:trPr>
          <w:trHeight w:val="240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车辆收费软件</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支持展示已添加在平台的车辆信息；</w:t>
            </w:r>
            <w:r>
              <w:rPr>
                <w:rFonts w:hint="eastAsia" w:ascii="宋体" w:hAnsi="宋体" w:cs="宋体"/>
                <w:color w:val="000000"/>
                <w:sz w:val="20"/>
              </w:rPr>
              <w:br w:type="textWrapping"/>
            </w:r>
            <w:r>
              <w:rPr>
                <w:rFonts w:hint="eastAsia" w:ascii="宋体" w:hAnsi="宋体" w:cs="宋体"/>
                <w:color w:val="000000"/>
                <w:sz w:val="20"/>
              </w:rPr>
              <w:t>支持添加车辆信息，批量导入车辆信息、批量导出车辆信息；</w:t>
            </w:r>
            <w:r>
              <w:rPr>
                <w:rFonts w:hint="eastAsia" w:ascii="宋体" w:hAnsi="宋体" w:cs="宋体"/>
                <w:color w:val="000000"/>
                <w:sz w:val="20"/>
              </w:rPr>
              <w:br w:type="textWrapping"/>
            </w:r>
            <w:r>
              <w:rPr>
                <w:rFonts w:hint="eastAsia" w:ascii="宋体" w:hAnsi="宋体" w:cs="宋体"/>
                <w:color w:val="000000"/>
                <w:sz w:val="20"/>
              </w:rPr>
              <w:t xml:space="preserve">支持通过车主姓名、车牌号码、车牌类型、所属组织、车辆类型、车辆群组、有效期、停车库选项查询车辆信息；   </w:t>
            </w:r>
            <w:r>
              <w:rPr>
                <w:rFonts w:hint="eastAsia" w:ascii="宋体" w:hAnsi="宋体" w:cs="宋体"/>
                <w:color w:val="000000"/>
                <w:sz w:val="20"/>
              </w:rPr>
              <w:br w:type="textWrapping"/>
            </w:r>
            <w:r>
              <w:rPr>
                <w:rFonts w:hint="eastAsia" w:ascii="宋体" w:hAnsi="宋体" w:cs="宋体"/>
                <w:color w:val="000000"/>
                <w:sz w:val="20"/>
              </w:rPr>
              <w:t>支持按照车牌、卡号、停车库、出入口、开始时间、结束时间、过车方向、放行结果、车辆类型、车辆分类、放行方式、放行原因这些选项查询过车记录；</w:t>
            </w:r>
            <w:r>
              <w:rPr>
                <w:rFonts w:hint="eastAsia" w:ascii="宋体" w:hAnsi="宋体" w:cs="宋体"/>
                <w:color w:val="000000"/>
                <w:sz w:val="20"/>
              </w:rPr>
              <w:br w:type="textWrapping"/>
            </w:r>
            <w:r>
              <w:rPr>
                <w:rFonts w:hint="eastAsia" w:ascii="宋体" w:hAnsi="宋体" w:cs="宋体"/>
                <w:color w:val="000000"/>
                <w:sz w:val="20"/>
              </w:rPr>
              <w:t>支持按照车牌号码、卡号、停车库、支付方式、开始时间、结束时间、车辆类型、操作员这些选项查询临时车缴费记录；</w:t>
            </w:r>
            <w:r>
              <w:rPr>
                <w:rFonts w:hint="eastAsia" w:ascii="宋体" w:hAnsi="宋体" w:cs="宋体"/>
                <w:color w:val="000000"/>
                <w:sz w:val="20"/>
              </w:rPr>
              <w:br w:type="textWrapping"/>
            </w:r>
            <w:r>
              <w:rPr>
                <w:rFonts w:hint="eastAsia" w:ascii="宋体" w:hAnsi="宋体" w:cs="宋体"/>
                <w:color w:val="000000"/>
                <w:sz w:val="20"/>
              </w:rPr>
              <w:t>支持按照账户、收支类型、收支方式、开始时间、结束时间、操作员这些选项查询账户充值、退款记录；</w:t>
            </w:r>
          </w:p>
        </w:tc>
      </w:tr>
      <w:tr>
        <w:tblPrEx>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车辆管理服务器</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4210×1/32G DDR4/1.2T 10K  SAS×2(RAID_1)/SAS_HBA/1GbE×2/550W(1+1)/2U/16DIMM</w:t>
            </w:r>
            <w:r>
              <w:rPr>
                <w:rFonts w:hint="eastAsia" w:ascii="宋体" w:hAnsi="宋体" w:cs="宋体"/>
                <w:color w:val="000000"/>
                <w:sz w:val="20"/>
              </w:rPr>
              <w:br w:type="textWrapping"/>
            </w:r>
            <w:r>
              <w:rPr>
                <w:rFonts w:hint="eastAsia" w:ascii="宋体" w:hAnsi="宋体" w:cs="宋体"/>
                <w:color w:val="000000"/>
                <w:sz w:val="20"/>
              </w:rPr>
              <w:t>2U双路标准机架式服务器</w:t>
            </w:r>
            <w:r>
              <w:rPr>
                <w:rFonts w:hint="eastAsia" w:ascii="宋体" w:hAnsi="宋体" w:cs="宋体"/>
                <w:color w:val="000000"/>
                <w:sz w:val="20"/>
              </w:rPr>
              <w:br w:type="textWrapping"/>
            </w:r>
            <w:r>
              <w:rPr>
                <w:rFonts w:hint="eastAsia" w:ascii="宋体" w:hAnsi="宋体" w:cs="宋体"/>
                <w:color w:val="000000"/>
                <w:sz w:val="20"/>
              </w:rPr>
              <w:t>CPU：1颗intel至强系列处理器，核数≥10核，主频≥2.2GHz</w:t>
            </w:r>
            <w:r>
              <w:rPr>
                <w:rFonts w:hint="eastAsia" w:ascii="宋体" w:hAnsi="宋体" w:cs="宋体"/>
                <w:color w:val="000000"/>
                <w:sz w:val="20"/>
              </w:rPr>
              <w:br w:type="textWrapping"/>
            </w:r>
            <w:r>
              <w:rPr>
                <w:rFonts w:hint="eastAsia" w:ascii="宋体" w:hAnsi="宋体" w:cs="宋体"/>
                <w:color w:val="000000"/>
                <w:sz w:val="20"/>
              </w:rPr>
              <w:t>内存：16G*2 DDR4，16根内存插槽，最大支持扩展至2TB内存</w:t>
            </w:r>
            <w:r>
              <w:rPr>
                <w:rFonts w:hint="eastAsia" w:ascii="宋体" w:hAnsi="宋体" w:cs="宋体"/>
                <w:color w:val="000000"/>
                <w:sz w:val="20"/>
              </w:rPr>
              <w:br w:type="textWrapping"/>
            </w:r>
            <w:r>
              <w:rPr>
                <w:rFonts w:hint="eastAsia" w:ascii="宋体" w:hAnsi="宋体" w:cs="宋体"/>
                <w:color w:val="000000"/>
                <w:sz w:val="20"/>
              </w:rPr>
              <w:t>硬盘：2块1.2T 10K 2.5寸 SAS硬盘</w:t>
            </w:r>
            <w:r>
              <w:rPr>
                <w:rFonts w:hint="eastAsia" w:ascii="宋体" w:hAnsi="宋体" w:cs="宋体"/>
                <w:color w:val="000000"/>
                <w:sz w:val="20"/>
              </w:rPr>
              <w:br w:type="textWrapping"/>
            </w:r>
            <w:r>
              <w:rPr>
                <w:rFonts w:hint="eastAsia" w:ascii="宋体" w:hAnsi="宋体" w:cs="宋体"/>
                <w:color w:val="000000"/>
                <w:sz w:val="20"/>
              </w:rPr>
              <w:t>阵列卡：SAS_HBA卡, 支持RAID 0/1/10</w:t>
            </w:r>
            <w:r>
              <w:rPr>
                <w:rFonts w:hint="eastAsia" w:ascii="宋体" w:hAnsi="宋体" w:cs="宋体"/>
                <w:color w:val="000000"/>
                <w:sz w:val="20"/>
              </w:rPr>
              <w:br w:type="textWrapping"/>
            </w:r>
            <w:r>
              <w:rPr>
                <w:rFonts w:hint="eastAsia" w:ascii="宋体" w:hAnsi="宋体" w:cs="宋体"/>
                <w:color w:val="000000"/>
                <w:sz w:val="20"/>
              </w:rPr>
              <w:t>PCIE扩展：最大可支持6个PCIE扩展插槽</w:t>
            </w:r>
            <w:r>
              <w:rPr>
                <w:rFonts w:hint="eastAsia" w:ascii="宋体" w:hAnsi="宋体" w:cs="宋体"/>
                <w:color w:val="000000"/>
                <w:sz w:val="20"/>
              </w:rPr>
              <w:br w:type="textWrapping"/>
            </w:r>
            <w:r>
              <w:rPr>
                <w:rFonts w:hint="eastAsia" w:ascii="宋体" w:hAnsi="宋体" w:cs="宋体"/>
                <w:color w:val="000000"/>
                <w:sz w:val="20"/>
              </w:rPr>
              <w:t>网口：2个千兆电口</w:t>
            </w:r>
            <w:r>
              <w:rPr>
                <w:rFonts w:hint="eastAsia" w:ascii="宋体" w:hAnsi="宋体" w:cs="宋体"/>
                <w:color w:val="000000"/>
                <w:sz w:val="20"/>
              </w:rPr>
              <w:br w:type="textWrapping"/>
            </w:r>
            <w:r>
              <w:rPr>
                <w:rFonts w:hint="eastAsia" w:ascii="宋体" w:hAnsi="宋体" w:cs="宋体"/>
                <w:color w:val="000000"/>
                <w:sz w:val="20"/>
              </w:rPr>
              <w:t>其他接口：1个RJ45管理接口，后置2个USB 3.0接口，前置2个USB2.0接口，1个VGA接口</w:t>
            </w:r>
            <w:r>
              <w:rPr>
                <w:rFonts w:hint="eastAsia" w:ascii="宋体" w:hAnsi="宋体" w:cs="宋体"/>
                <w:color w:val="000000"/>
                <w:sz w:val="20"/>
              </w:rPr>
              <w:br w:type="textWrapping"/>
            </w:r>
            <w:r>
              <w:rPr>
                <w:rFonts w:hint="eastAsia" w:ascii="宋体" w:hAnsi="宋体" w:cs="宋体"/>
                <w:color w:val="000000"/>
                <w:sz w:val="20"/>
              </w:rPr>
              <w:t xml:space="preserve">电源：标配550W（1+1）高效铂金CRPS冗余电源 </w:t>
            </w:r>
          </w:p>
        </w:tc>
      </w:tr>
      <w:tr>
        <w:tblPrEx>
          <w:tblCellMar>
            <w:top w:w="0" w:type="dxa"/>
            <w:left w:w="108" w:type="dxa"/>
            <w:bottom w:w="0" w:type="dxa"/>
            <w:right w:w="108" w:type="dxa"/>
          </w:tblCellMar>
        </w:tblPrEx>
        <w:trPr>
          <w:trHeight w:val="439"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附件</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电源插座等附件</w:t>
            </w:r>
          </w:p>
        </w:tc>
      </w:tr>
      <w:tr>
        <w:tblPrEx>
          <w:tblCellMar>
            <w:top w:w="0" w:type="dxa"/>
            <w:left w:w="108" w:type="dxa"/>
            <w:bottom w:w="0" w:type="dxa"/>
            <w:right w:w="108" w:type="dxa"/>
          </w:tblCellMar>
        </w:tblPrEx>
        <w:trPr>
          <w:trHeight w:val="439"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光纤收发器</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一光一电、传输距离3KM、 单模光纤、传输速率千兆</w:t>
            </w:r>
          </w:p>
        </w:tc>
      </w:tr>
      <w:tr>
        <w:tblPrEx>
          <w:tblCellMar>
            <w:top w:w="0" w:type="dxa"/>
            <w:left w:w="108" w:type="dxa"/>
            <w:bottom w:w="0" w:type="dxa"/>
            <w:right w:w="108" w:type="dxa"/>
          </w:tblCellMar>
        </w:tblPrEx>
        <w:trPr>
          <w:trHeight w:val="224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8口千兆接入层交换机</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▲为保证系统兼容性，所投产品必须与核心交换机属于同一品牌；交换容量 ≥336Gbps，转发性能 ≥24Mpps，官网双指标的以最小的为准；固化Console管理端口≥1个，千兆电口≥8个，千兆光口≥2个；MAC地址数≥16K，提供官网截图和链接证明；支持横向虚拟化，可通过千兆光口及千兆电口进行虚拟化，最多9台设备虚成一台逻辑设备；支持纵向虚拟化技术；支持静态路由、RIP、OSPF；内置网络运维软件，无需配置额外软件，与上行设备互联实现统一界面管理、整网拓扑可视，提供官网截图说明并原厂盖章；▲支持10KV防雷，提供官网截图；投标产品制造厂商必需通过服务体系完善程度7星级（卓越）认证，提供证书复印件并原厂盖章；设备生产厂商须具备有害物质过程管理体系认证证书，提供QC080000有害物质过程管理体系认证证书复印件证明；▲产品厂商在宁波市设有备品备件库，提供官网信息说明并原厂盖章；</w:t>
            </w:r>
          </w:p>
        </w:tc>
      </w:tr>
      <w:tr>
        <w:tblPrEx>
          <w:tblCellMar>
            <w:top w:w="0" w:type="dxa"/>
            <w:left w:w="108" w:type="dxa"/>
            <w:bottom w:w="0" w:type="dxa"/>
            <w:right w:w="108" w:type="dxa"/>
          </w:tblCellMar>
        </w:tblPrEx>
        <w:trPr>
          <w:trHeight w:val="222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24口千兆接入层交换机</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▲为保证系统兼容性，所投产品必须与核心交换机属于同一品牌；交换容量 ≥336Gbps，转发性能 ≥50Mpps，官网双指标的以最小的为准；固化Console管理端口≥1个，千兆电口≥24个，千兆光口≥4个；MAC地址数≥16K，提供官网截图和链接证明；支持横向虚拟化，可通过千兆光口及千兆电口进行虚拟化，最多9台设备虚成一台逻辑设备；支持纵向虚拟化技术；支持静态路由、RIP、OSPF；内置网络运维软件，无需配置额外软件，与上行设备互联实现统一界面管理、整网拓扑可视，提供官网截图说明并原厂盖章；支持10KV防雷，提供官网截图；投标产品制造厂商必需通过服务体系完善程度7星级（卓越）认证，提供证书复印件并原厂盖章；设备生产厂商须具备有害物质过程管理体系认证证书，提供QC080000有害物质过程管理体系认证证书复印件证明；▲产品厂商在宁波市设有备品备件库，提供官网信息说明并原厂盖章；</w:t>
            </w:r>
          </w:p>
        </w:tc>
      </w:tr>
      <w:tr>
        <w:tblPrEx>
          <w:tblCellMar>
            <w:top w:w="0" w:type="dxa"/>
            <w:left w:w="108" w:type="dxa"/>
            <w:bottom w:w="0" w:type="dxa"/>
            <w:right w:w="108" w:type="dxa"/>
          </w:tblCellMar>
        </w:tblPrEx>
        <w:trPr>
          <w:trHeight w:val="439"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调试对接费用</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原停车道闸调试接入新建运维平台</w:t>
            </w:r>
          </w:p>
        </w:tc>
      </w:tr>
      <w:tr>
        <w:tblPrEx>
          <w:tblCellMar>
            <w:top w:w="0" w:type="dxa"/>
            <w:left w:w="108" w:type="dxa"/>
            <w:bottom w:w="0" w:type="dxa"/>
            <w:right w:w="108" w:type="dxa"/>
          </w:tblCellMar>
        </w:tblPrEx>
        <w:trPr>
          <w:trHeight w:val="305"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9</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基础（道闸设备机箱等基础）</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根据设备底座面积浇筑深度不小于300mm混泥土（C25)基础。包含全部调试、管线开槽、配件等。</w:t>
            </w:r>
          </w:p>
        </w:tc>
      </w:tr>
      <w:tr>
        <w:tblPrEx>
          <w:tblCellMar>
            <w:top w:w="0" w:type="dxa"/>
            <w:left w:w="108" w:type="dxa"/>
            <w:bottom w:w="0" w:type="dxa"/>
            <w:right w:w="108" w:type="dxa"/>
          </w:tblCellMar>
        </w:tblPrEx>
        <w:trPr>
          <w:trHeight w:val="439" w:hRule="atLeast"/>
        </w:trPr>
        <w:tc>
          <w:tcPr>
            <w:tcW w:w="9870" w:type="dxa"/>
            <w:gridSpan w:val="3"/>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b/>
                <w:bCs/>
                <w:color w:val="000000"/>
                <w:sz w:val="20"/>
              </w:rPr>
            </w:pPr>
            <w:r>
              <w:rPr>
                <w:rFonts w:hint="eastAsia" w:ascii="宋体" w:hAnsi="宋体" w:cs="宋体"/>
                <w:b/>
                <w:bCs/>
                <w:color w:val="000000"/>
                <w:sz w:val="20"/>
              </w:rPr>
              <w:t>三、视频监控系统</w:t>
            </w:r>
          </w:p>
        </w:tc>
      </w:tr>
      <w:tr>
        <w:tblPrEx>
          <w:tblCellMar>
            <w:top w:w="0" w:type="dxa"/>
            <w:left w:w="108" w:type="dxa"/>
            <w:bottom w:w="0" w:type="dxa"/>
            <w:right w:w="108" w:type="dxa"/>
          </w:tblCellMar>
        </w:tblPrEx>
        <w:trPr>
          <w:trHeight w:val="804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微卡摄像机</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400万星光级1/1.8” CMOS AI抓拍筒型网络摄像机</w:t>
            </w:r>
            <w:r>
              <w:rPr>
                <w:rFonts w:hint="eastAsia" w:ascii="宋体" w:hAnsi="宋体" w:cs="宋体"/>
                <w:color w:val="000000"/>
                <w:sz w:val="20"/>
              </w:rPr>
              <w:br w:type="textWrapping"/>
            </w:r>
            <w:r>
              <w:rPr>
                <w:rFonts w:hint="eastAsia" w:ascii="宋体" w:hAnsi="宋体" w:cs="宋体"/>
                <w:color w:val="000000"/>
                <w:sz w:val="20"/>
              </w:rPr>
              <w:t>a) 抓拍人体：支持运动方向、上衣颜色、下装颜色、性别、戴眼镜、背包、拎东西、戴帽子、戴口罩、上衣类型、下装类型、发型、骑行方向、载人状态等属性识别</w:t>
            </w:r>
            <w:r>
              <w:rPr>
                <w:rFonts w:hint="eastAsia" w:ascii="宋体" w:hAnsi="宋体" w:cs="宋体"/>
                <w:color w:val="000000"/>
                <w:sz w:val="20"/>
              </w:rPr>
              <w:br w:type="textWrapping"/>
            </w:r>
            <w:r>
              <w:rPr>
                <w:rFonts w:hint="eastAsia" w:ascii="宋体" w:hAnsi="宋体" w:cs="宋体"/>
                <w:color w:val="000000"/>
                <w:sz w:val="20"/>
              </w:rPr>
              <w:t>b) 抓拍人脸：支持对运动人脸进行抓拍，支持性别、年龄、年龄段、戴眼镜、戴口罩、表情、人种、戴帽子、大胡子属性识别</w:t>
            </w:r>
            <w:r>
              <w:rPr>
                <w:rFonts w:hint="eastAsia" w:ascii="宋体" w:hAnsi="宋体" w:cs="宋体"/>
                <w:color w:val="000000"/>
                <w:sz w:val="20"/>
              </w:rPr>
              <w:br w:type="textWrapping"/>
            </w:r>
            <w:r>
              <w:rPr>
                <w:rFonts w:hint="eastAsia" w:ascii="宋体" w:hAnsi="宋体" w:cs="宋体"/>
                <w:color w:val="000000"/>
                <w:sz w:val="20"/>
              </w:rPr>
              <w:t>c) 抓拍非机动车：支持上衣颜色、下衣颜色、性别、戴眼镜、年龄段、背包、拎东西、戴帽子、戴口罩、上衣类型、下装类型、戴口罩、发型、非机动车类型</w:t>
            </w:r>
            <w:r>
              <w:rPr>
                <w:rFonts w:hint="eastAsia" w:ascii="宋体" w:hAnsi="宋体" w:cs="宋体"/>
                <w:color w:val="000000"/>
                <w:sz w:val="20"/>
              </w:rPr>
              <w:br w:type="textWrapping"/>
            </w:r>
            <w:r>
              <w:rPr>
                <w:rFonts w:hint="eastAsia" w:ascii="宋体" w:hAnsi="宋体" w:cs="宋体"/>
                <w:color w:val="000000"/>
                <w:sz w:val="20"/>
              </w:rPr>
              <w:t>d) 抓拍机动车：支持车牌识别并抓拍。支持车型、车牌颜色、车身颜色、车牌类型、子品牌车身颜色属性识别</w:t>
            </w:r>
            <w:r>
              <w:rPr>
                <w:rFonts w:hint="eastAsia" w:ascii="宋体" w:hAnsi="宋体" w:cs="宋体"/>
                <w:color w:val="000000"/>
                <w:sz w:val="20"/>
              </w:rPr>
              <w:br w:type="textWrapping"/>
            </w:r>
            <w:r>
              <w:rPr>
                <w:rFonts w:hint="eastAsia" w:ascii="宋体" w:hAnsi="宋体" w:cs="宋体"/>
                <w:color w:val="000000"/>
                <w:sz w:val="20"/>
              </w:rPr>
              <w:t>▲支持批量导入人脸库，人脸库图片信息可更改；支持人脸比对，比对准确率不低于99%（公安部检测报告复印件证明并加盖原厂公章）</w:t>
            </w:r>
            <w:r>
              <w:rPr>
                <w:rFonts w:hint="eastAsia" w:ascii="宋体" w:hAnsi="宋体" w:cs="宋体"/>
                <w:color w:val="000000"/>
                <w:sz w:val="20"/>
              </w:rPr>
              <w:br w:type="textWrapping"/>
            </w:r>
            <w:r>
              <w:rPr>
                <w:rFonts w:hint="eastAsia" w:ascii="宋体" w:hAnsi="宋体" w:cs="宋体"/>
                <w:color w:val="000000"/>
                <w:sz w:val="20"/>
              </w:rPr>
              <w:t>最低照度彩色不大于0.0002 lx，黑白不大于0.0001 lx；</w:t>
            </w:r>
            <w:r>
              <w:rPr>
                <w:rFonts w:hint="eastAsia" w:ascii="宋体" w:hAnsi="宋体" w:cs="宋体"/>
                <w:sz w:val="18"/>
                <w:szCs w:val="18"/>
              </w:rPr>
              <w:t>（公安部检测报告复印件证明并加盖原厂公章）</w:t>
            </w:r>
          </w:p>
          <w:p>
            <w:pPr>
              <w:textAlignment w:val="center"/>
              <w:rPr>
                <w:rFonts w:ascii="宋体" w:hAnsi="宋体" w:cs="宋体"/>
                <w:color w:val="000000"/>
                <w:sz w:val="20"/>
              </w:rPr>
            </w:pPr>
            <w:r>
              <w:rPr>
                <w:rFonts w:hint="eastAsia" w:ascii="宋体" w:hAnsi="宋体" w:cs="宋体"/>
                <w:color w:val="000000"/>
                <w:sz w:val="20"/>
              </w:rPr>
              <w:t>镜头: （变焦）2.8-12mm @ F1.2,水平视场角：100°~39.8°，垂直视场角：52.0°~22.4°，对角线视场角：120°~45.7°</w:t>
            </w:r>
            <w:r>
              <w:rPr>
                <w:rFonts w:hint="eastAsia" w:ascii="宋体" w:hAnsi="宋体" w:cs="宋体"/>
                <w:color w:val="000000"/>
                <w:sz w:val="20"/>
              </w:rPr>
              <w:br w:type="textWrapping"/>
            </w:r>
            <w:r>
              <w:rPr>
                <w:rFonts w:hint="eastAsia" w:ascii="宋体" w:hAnsi="宋体" w:cs="宋体"/>
                <w:color w:val="000000"/>
                <w:sz w:val="20"/>
              </w:rPr>
              <w:t>宽动态: 超宽动态范围达120dB，室内逆光环境下监控</w:t>
            </w:r>
            <w:r>
              <w:rPr>
                <w:rFonts w:hint="eastAsia" w:ascii="宋体" w:hAnsi="宋体" w:cs="宋体"/>
                <w:color w:val="000000"/>
                <w:sz w:val="20"/>
              </w:rPr>
              <w:br w:type="textWrapping"/>
            </w:r>
            <w:r>
              <w:rPr>
                <w:rFonts w:hint="eastAsia" w:ascii="宋体" w:hAnsi="宋体" w:cs="宋体"/>
                <w:color w:val="000000"/>
                <w:sz w:val="20"/>
              </w:rPr>
              <w:t>视频压缩标准: H.265/H.264 / MJPEG</w:t>
            </w:r>
            <w:r>
              <w:rPr>
                <w:rFonts w:hint="eastAsia" w:ascii="宋体" w:hAnsi="宋体" w:cs="宋体"/>
                <w:color w:val="000000"/>
                <w:sz w:val="20"/>
              </w:rPr>
              <w:br w:type="textWrapping"/>
            </w:r>
            <w:r>
              <w:rPr>
                <w:rFonts w:hint="eastAsia" w:ascii="宋体" w:hAnsi="宋体" w:cs="宋体"/>
                <w:color w:val="000000"/>
                <w:sz w:val="20"/>
              </w:rPr>
              <w:t>最大图像尺寸: 2688×1520</w:t>
            </w:r>
            <w:r>
              <w:rPr>
                <w:rFonts w:hint="eastAsia" w:ascii="宋体" w:hAnsi="宋体" w:cs="宋体"/>
                <w:color w:val="000000"/>
                <w:sz w:val="20"/>
              </w:rPr>
              <w:br w:type="textWrapping"/>
            </w:r>
            <w:r>
              <w:rPr>
                <w:rFonts w:hint="eastAsia" w:ascii="宋体" w:hAnsi="宋体" w:cs="宋体"/>
                <w:color w:val="000000"/>
                <w:sz w:val="20"/>
              </w:rPr>
              <w:t>存储功能: 支持Micro SD(即TF卡)/Micro SDHC /Micro SDXC卡(128GB或者256GB)断网本地存储及断网续传,NAS(NFS,SMB/CIFS均支持),配合SD卡加密及SD状态检测功能</w:t>
            </w:r>
            <w:r>
              <w:rPr>
                <w:rFonts w:hint="eastAsia" w:ascii="宋体" w:hAnsi="宋体" w:cs="宋体"/>
                <w:color w:val="000000"/>
                <w:sz w:val="20"/>
              </w:rPr>
              <w:br w:type="textWrapping"/>
            </w:r>
            <w:r>
              <w:rPr>
                <w:rFonts w:hint="eastAsia" w:ascii="宋体" w:hAnsi="宋体" w:cs="宋体"/>
                <w:color w:val="000000"/>
                <w:sz w:val="20"/>
              </w:rPr>
              <w:t>设备恢复出厂设置后，通过客户端软件或WEB方式登录设备必须设置密码才能使用，无其他缺省密码或空密码；</w:t>
            </w:r>
            <w:r>
              <w:rPr>
                <w:rFonts w:hint="eastAsia" w:ascii="宋体" w:hAnsi="宋体" w:cs="宋体"/>
                <w:color w:val="000000"/>
                <w:sz w:val="20"/>
              </w:rPr>
              <w:br w:type="textWrapping"/>
            </w:r>
            <w:r>
              <w:rPr>
                <w:rFonts w:hint="eastAsia" w:ascii="宋体" w:hAnsi="宋体" w:cs="宋体"/>
                <w:color w:val="000000"/>
                <w:sz w:val="20"/>
              </w:rPr>
              <w:t>通讯接口: 1个RJ45 10M / 100M /1000M自适应以太网口；RS-485</w:t>
            </w:r>
            <w:r>
              <w:rPr>
                <w:rFonts w:hint="eastAsia" w:ascii="宋体" w:hAnsi="宋体" w:cs="宋体"/>
                <w:color w:val="000000"/>
                <w:sz w:val="20"/>
              </w:rPr>
              <w:br w:type="textWrapping"/>
            </w:r>
            <w:r>
              <w:rPr>
                <w:rFonts w:hint="eastAsia" w:ascii="宋体" w:hAnsi="宋体" w:cs="宋体"/>
                <w:color w:val="000000"/>
                <w:sz w:val="20"/>
              </w:rPr>
              <w:t>视频输出: 1Vp-p Composite Output(75Ω/CVBS)</w:t>
            </w:r>
            <w:r>
              <w:rPr>
                <w:rFonts w:hint="eastAsia" w:ascii="宋体" w:hAnsi="宋体" w:cs="宋体"/>
                <w:color w:val="000000"/>
                <w:sz w:val="20"/>
              </w:rPr>
              <w:br w:type="textWrapping"/>
            </w:r>
            <w:r>
              <w:rPr>
                <w:rFonts w:hint="eastAsia" w:ascii="宋体" w:hAnsi="宋体" w:cs="宋体"/>
                <w:color w:val="000000"/>
                <w:sz w:val="20"/>
              </w:rPr>
              <w:t>电源输出: DC12V 200mA</w:t>
            </w:r>
            <w:r>
              <w:rPr>
                <w:rFonts w:hint="eastAsia" w:ascii="宋体" w:hAnsi="宋体" w:cs="宋体"/>
                <w:color w:val="000000"/>
                <w:sz w:val="20"/>
              </w:rPr>
              <w:br w:type="textWrapping"/>
            </w:r>
            <w:r>
              <w:rPr>
                <w:rFonts w:hint="eastAsia" w:ascii="宋体" w:hAnsi="宋体" w:cs="宋体"/>
                <w:color w:val="000000"/>
                <w:sz w:val="20"/>
              </w:rPr>
              <w:t>音频接口: 音频输入：支持2路3.5mm JACK LINE IN；音频输出：支持1路3.5mm JACK LINE OUT</w:t>
            </w:r>
            <w:r>
              <w:rPr>
                <w:rFonts w:hint="eastAsia" w:ascii="宋体" w:hAnsi="宋体" w:cs="宋体"/>
                <w:color w:val="000000"/>
                <w:sz w:val="20"/>
              </w:rPr>
              <w:br w:type="textWrapping"/>
            </w:r>
            <w:r>
              <w:rPr>
                <w:rFonts w:hint="eastAsia" w:ascii="宋体" w:hAnsi="宋体" w:cs="宋体"/>
                <w:color w:val="000000"/>
                <w:sz w:val="20"/>
              </w:rPr>
              <w:t xml:space="preserve">报警接口: 3 输入，2 输出(报警输出最大支持AC/DC24V 1A） </w:t>
            </w:r>
            <w:r>
              <w:rPr>
                <w:rFonts w:hint="eastAsia" w:ascii="宋体" w:hAnsi="宋体" w:cs="宋体"/>
                <w:color w:val="000000"/>
                <w:sz w:val="20"/>
              </w:rPr>
              <w:br w:type="textWrapping"/>
            </w:r>
            <w:r>
              <w:rPr>
                <w:rFonts w:hint="eastAsia" w:ascii="宋体" w:hAnsi="宋体" w:cs="宋体"/>
                <w:color w:val="000000"/>
                <w:sz w:val="20"/>
              </w:rPr>
              <w:t>Reset按键: 支持</w:t>
            </w:r>
            <w:r>
              <w:rPr>
                <w:rFonts w:hint="eastAsia" w:ascii="宋体" w:hAnsi="宋体" w:cs="宋体"/>
                <w:color w:val="000000"/>
                <w:sz w:val="20"/>
              </w:rPr>
              <w:br w:type="textWrapping"/>
            </w:r>
            <w:r>
              <w:rPr>
                <w:rFonts w:hint="eastAsia" w:ascii="宋体" w:hAnsi="宋体" w:cs="宋体"/>
                <w:color w:val="000000"/>
                <w:sz w:val="20"/>
              </w:rPr>
              <w:t>工作温度和湿度: -30℃~60℃,湿度小于95%(无凝结)</w:t>
            </w:r>
            <w:r>
              <w:rPr>
                <w:rFonts w:hint="eastAsia" w:ascii="宋体" w:hAnsi="宋体" w:cs="宋体"/>
                <w:color w:val="000000"/>
                <w:sz w:val="20"/>
              </w:rPr>
              <w:br w:type="textWrapping"/>
            </w:r>
            <w:r>
              <w:rPr>
                <w:rFonts w:hint="eastAsia" w:ascii="宋体" w:hAnsi="宋体" w:cs="宋体"/>
                <w:color w:val="000000"/>
                <w:sz w:val="20"/>
              </w:rPr>
              <w:t>电源供应: DC：12V±20% ，支持防反接保护；PoE：802.3at, class 4</w:t>
            </w:r>
            <w:r>
              <w:rPr>
                <w:rFonts w:hint="eastAsia" w:ascii="宋体" w:hAnsi="宋体" w:cs="宋体"/>
                <w:color w:val="000000"/>
                <w:sz w:val="20"/>
              </w:rPr>
              <w:br w:type="textWrapping"/>
            </w:r>
            <w:r>
              <w:rPr>
                <w:rFonts w:hint="eastAsia" w:ascii="宋体" w:hAnsi="宋体" w:cs="宋体"/>
                <w:color w:val="000000"/>
                <w:sz w:val="20"/>
              </w:rPr>
              <w:t>防护等级: IP66</w:t>
            </w:r>
            <w:r>
              <w:rPr>
                <w:rFonts w:hint="eastAsia" w:ascii="宋体" w:hAnsi="宋体" w:cs="宋体"/>
                <w:color w:val="000000"/>
                <w:sz w:val="20"/>
              </w:rPr>
              <w:br w:type="textWrapping"/>
            </w:r>
            <w:r>
              <w:rPr>
                <w:rFonts w:hint="eastAsia" w:ascii="宋体" w:hAnsi="宋体" w:cs="宋体"/>
                <w:color w:val="000000"/>
                <w:sz w:val="20"/>
              </w:rPr>
              <w:t>补光距离: 混合补光：30米（人脸5米）</w:t>
            </w:r>
            <w:r>
              <w:rPr>
                <w:rFonts w:hint="eastAsia" w:ascii="宋体" w:hAnsi="宋体" w:cs="宋体"/>
                <w:color w:val="000000"/>
                <w:sz w:val="20"/>
              </w:rPr>
              <w:br w:type="textWrapping"/>
            </w:r>
            <w:r>
              <w:rPr>
                <w:rFonts w:hint="eastAsia" w:ascii="宋体" w:hAnsi="宋体" w:cs="宋体"/>
                <w:color w:val="000000"/>
                <w:sz w:val="20"/>
              </w:rPr>
              <w:t>内置混合补光灯，可对红外灯及白光灯功率进行调节。</w:t>
            </w:r>
          </w:p>
        </w:tc>
      </w:tr>
      <w:tr>
        <w:tblPrEx>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全局人脸摄像机</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全局摄像机集合定点看全景、动点看细节的优势，采用一体化设计，由双镜头相机与高性能GPU模块组成，内嵌深度学习算法，以海量图片及视频资源为路基，通过机器自身提取目标特征，形成深层可供学习的人脸人体车辆图像。极大的提升了目标人脸人体车辆的检出率。</w:t>
            </w:r>
            <w:r>
              <w:rPr>
                <w:rFonts w:hint="eastAsia" w:ascii="宋体" w:hAnsi="宋体" w:cs="宋体"/>
                <w:color w:val="000000"/>
                <w:sz w:val="20"/>
              </w:rPr>
              <w:br w:type="textWrapping"/>
            </w:r>
            <w:r>
              <w:rPr>
                <w:rFonts w:hint="eastAsia" w:ascii="宋体" w:hAnsi="宋体" w:cs="宋体"/>
                <w:color w:val="000000"/>
                <w:sz w:val="20"/>
              </w:rPr>
              <w:t>支持人员自动检测并联动动点镜头进行快速锁定抓拍，提供满足人脸比对的图片，并进行人体人脸关联</w:t>
            </w:r>
            <w:r>
              <w:rPr>
                <w:rFonts w:hint="eastAsia" w:ascii="宋体" w:hAnsi="宋体" w:cs="宋体"/>
                <w:color w:val="000000"/>
                <w:sz w:val="20"/>
              </w:rPr>
              <w:br w:type="textWrapping"/>
            </w:r>
            <w:r>
              <w:rPr>
                <w:rFonts w:hint="eastAsia" w:ascii="宋体" w:hAnsi="宋体" w:cs="宋体"/>
                <w:color w:val="000000"/>
                <w:sz w:val="20"/>
              </w:rPr>
              <w:t>▲通道1检测到且框出移动目标至通道2摄像机开始转动的时间不大于0.2秒（公安部检测报告复印件证明并加盖原厂公章）</w:t>
            </w:r>
            <w:r>
              <w:rPr>
                <w:rFonts w:hint="eastAsia" w:ascii="宋体" w:hAnsi="宋体" w:cs="宋体"/>
                <w:color w:val="000000"/>
                <w:sz w:val="20"/>
              </w:rPr>
              <w:br w:type="textWrapping"/>
            </w:r>
            <w:r>
              <w:rPr>
                <w:rFonts w:hint="eastAsia" w:ascii="宋体" w:hAnsi="宋体" w:cs="宋体"/>
                <w:color w:val="000000"/>
                <w:sz w:val="20"/>
              </w:rPr>
              <w:t>支持人体自动检测抓拍，并提供结构化后的人体属性图片</w:t>
            </w:r>
            <w:r>
              <w:rPr>
                <w:rFonts w:hint="eastAsia" w:ascii="宋体" w:hAnsi="宋体" w:cs="宋体"/>
                <w:color w:val="000000"/>
                <w:sz w:val="20"/>
              </w:rPr>
              <w:br w:type="textWrapping"/>
            </w:r>
            <w:r>
              <w:rPr>
                <w:rFonts w:hint="eastAsia" w:ascii="宋体" w:hAnsi="宋体" w:cs="宋体"/>
                <w:color w:val="000000"/>
                <w:sz w:val="20"/>
              </w:rPr>
              <w:t>支持车辆自动检测抓拍，并提供结构化后的车辆属性及车牌图片</w:t>
            </w:r>
            <w:r>
              <w:rPr>
                <w:rFonts w:hint="eastAsia" w:ascii="宋体" w:hAnsi="宋体" w:cs="宋体"/>
                <w:color w:val="000000"/>
                <w:sz w:val="20"/>
              </w:rPr>
              <w:br w:type="textWrapping"/>
            </w:r>
            <w:r>
              <w:rPr>
                <w:rFonts w:hint="eastAsia" w:ascii="宋体" w:hAnsi="宋体" w:cs="宋体"/>
                <w:color w:val="000000"/>
                <w:sz w:val="20"/>
              </w:rPr>
              <w:t>人体最远检测距离可达40米，人脸最远检测距离可达30米，车辆最远检测距离15米</w:t>
            </w:r>
            <w:r>
              <w:rPr>
                <w:rFonts w:hint="eastAsia" w:ascii="宋体" w:hAnsi="宋体" w:cs="宋体"/>
                <w:color w:val="000000"/>
                <w:sz w:val="20"/>
              </w:rPr>
              <w:br w:type="textWrapping"/>
            </w:r>
            <w:r>
              <w:rPr>
                <w:rFonts w:hint="eastAsia" w:ascii="宋体" w:hAnsi="宋体" w:cs="宋体"/>
                <w:color w:val="000000"/>
                <w:sz w:val="20"/>
              </w:rPr>
              <w:t>设备可对30米处的行人进行人脸抓拍，并可生成分辨率不小于110×120的人脸图片,图片中人脸两眼瞳距应≥40像素；</w:t>
            </w:r>
            <w:r>
              <w:rPr>
                <w:rFonts w:hint="eastAsia" w:ascii="宋体" w:hAnsi="宋体" w:cs="宋体"/>
                <w:sz w:val="18"/>
                <w:szCs w:val="18"/>
              </w:rPr>
              <w:t>（公安部检测报告复印件证明并加盖原厂公章）</w:t>
            </w:r>
            <w:r>
              <w:rPr>
                <w:rFonts w:hint="eastAsia" w:ascii="宋体" w:hAnsi="宋体" w:cs="宋体"/>
                <w:color w:val="000000"/>
                <w:sz w:val="20"/>
              </w:rPr>
              <w:br w:type="textWrapping"/>
            </w:r>
            <w:r>
              <w:rPr>
                <w:rFonts w:hint="eastAsia" w:ascii="宋体" w:hAnsi="宋体" w:cs="宋体"/>
                <w:color w:val="000000"/>
                <w:sz w:val="20"/>
              </w:rPr>
              <w:t>支持背景大图图片字符叠加功能，支持设备编号、抓拍时间、监测点信息</w:t>
            </w:r>
            <w:r>
              <w:rPr>
                <w:rFonts w:hint="eastAsia" w:ascii="宋体" w:hAnsi="宋体" w:cs="宋体"/>
                <w:color w:val="000000"/>
                <w:sz w:val="20"/>
              </w:rPr>
              <w:br w:type="textWrapping"/>
            </w:r>
            <w:r>
              <w:rPr>
                <w:rFonts w:hint="eastAsia" w:ascii="宋体" w:hAnsi="宋体" w:cs="宋体"/>
                <w:color w:val="000000"/>
                <w:sz w:val="20"/>
              </w:rPr>
              <w:t>全局相机内置高效白光全彩阵列灯，低功耗，夜间能正常进行人体车辆抓拍</w:t>
            </w:r>
            <w:r>
              <w:rPr>
                <w:rFonts w:hint="eastAsia" w:ascii="宋体" w:hAnsi="宋体" w:cs="宋体"/>
                <w:color w:val="000000"/>
                <w:sz w:val="20"/>
              </w:rPr>
              <w:br w:type="textWrapping"/>
            </w:r>
            <w:r>
              <w:rPr>
                <w:rFonts w:hint="eastAsia" w:ascii="宋体" w:hAnsi="宋体" w:cs="宋体"/>
                <w:color w:val="000000"/>
                <w:sz w:val="20"/>
              </w:rPr>
              <w:t>动点相机内置高效红外阵列灯，低功耗，夜间红外灯亮度、角度根据场景智能调整，能正常进行人脸抓拍</w:t>
            </w:r>
            <w:r>
              <w:rPr>
                <w:rFonts w:hint="eastAsia" w:ascii="宋体" w:hAnsi="宋体" w:cs="宋体"/>
                <w:color w:val="000000"/>
                <w:sz w:val="20"/>
              </w:rPr>
              <w:br w:type="textWrapping"/>
            </w:r>
            <w:r>
              <w:rPr>
                <w:rFonts w:hint="eastAsia" w:ascii="宋体" w:hAnsi="宋体" w:cs="宋体"/>
                <w:color w:val="000000"/>
                <w:sz w:val="20"/>
              </w:rPr>
              <w:t>全景相机:</w:t>
            </w:r>
            <w:r>
              <w:rPr>
                <w:rFonts w:hint="eastAsia" w:ascii="宋体" w:hAnsi="宋体" w:cs="宋体"/>
                <w:color w:val="000000"/>
                <w:sz w:val="20"/>
              </w:rPr>
              <w:br w:type="textWrapping"/>
            </w:r>
            <w:r>
              <w:rPr>
                <w:rFonts w:hint="eastAsia" w:ascii="宋体" w:hAnsi="宋体" w:cs="宋体"/>
                <w:color w:val="000000"/>
                <w:sz w:val="20"/>
              </w:rPr>
              <w:t>传感器类型:1/1.8＂ Progressive Scan CMOS</w:t>
            </w:r>
            <w:r>
              <w:rPr>
                <w:rFonts w:hint="eastAsia" w:ascii="宋体" w:hAnsi="宋体" w:cs="宋体"/>
                <w:color w:val="000000"/>
                <w:sz w:val="20"/>
              </w:rPr>
              <w:br w:type="textWrapping"/>
            </w:r>
            <w:r>
              <w:rPr>
                <w:rFonts w:hint="eastAsia" w:ascii="宋体" w:hAnsi="宋体" w:cs="宋体"/>
                <w:color w:val="000000"/>
                <w:sz w:val="20"/>
              </w:rPr>
              <w:t>最低照度:彩色:0.001 Lux @(F1.2,AGC ON)；黑白:0.0005Lux @(F1.2,AGC ON)</w:t>
            </w:r>
            <w:r>
              <w:rPr>
                <w:rFonts w:hint="eastAsia" w:ascii="宋体" w:hAnsi="宋体" w:cs="宋体"/>
                <w:color w:val="000000"/>
                <w:sz w:val="20"/>
              </w:rPr>
              <w:br w:type="textWrapping"/>
            </w:r>
            <w:r>
              <w:rPr>
                <w:rFonts w:hint="eastAsia" w:ascii="宋体" w:hAnsi="宋体" w:cs="宋体"/>
                <w:color w:val="000000"/>
                <w:sz w:val="20"/>
              </w:rPr>
              <w:t>镜头:6.0mm/F1.2</w:t>
            </w:r>
            <w:r>
              <w:rPr>
                <w:rFonts w:hint="eastAsia" w:ascii="宋体" w:hAnsi="宋体" w:cs="宋体"/>
                <w:color w:val="000000"/>
                <w:sz w:val="20"/>
              </w:rPr>
              <w:br w:type="textWrapping"/>
            </w:r>
            <w:r>
              <w:rPr>
                <w:rFonts w:hint="eastAsia" w:ascii="宋体" w:hAnsi="宋体" w:cs="宋体"/>
                <w:color w:val="000000"/>
                <w:sz w:val="20"/>
              </w:rPr>
              <w:t xml:space="preserve">白光功能:白光照射距离15m </w:t>
            </w:r>
            <w:r>
              <w:rPr>
                <w:rFonts w:hint="eastAsia" w:ascii="宋体" w:hAnsi="宋体" w:cs="宋体"/>
                <w:color w:val="000000"/>
                <w:sz w:val="20"/>
              </w:rPr>
              <w:br w:type="textWrapping"/>
            </w:r>
            <w:r>
              <w:rPr>
                <w:rFonts w:hint="eastAsia" w:ascii="宋体" w:hAnsi="宋体" w:cs="宋体"/>
                <w:color w:val="000000"/>
                <w:sz w:val="20"/>
              </w:rPr>
              <w:t>Smart图像增强:120dB宽动态、透雾、强光抑制、电子防抖、背光补偿</w:t>
            </w:r>
            <w:r>
              <w:rPr>
                <w:rFonts w:hint="eastAsia" w:ascii="宋体" w:hAnsi="宋体" w:cs="宋体"/>
                <w:color w:val="000000"/>
                <w:sz w:val="20"/>
              </w:rPr>
              <w:br w:type="textWrapping"/>
            </w:r>
            <w:r>
              <w:rPr>
                <w:rFonts w:hint="eastAsia" w:ascii="宋体" w:hAnsi="宋体" w:cs="宋体"/>
                <w:color w:val="000000"/>
                <w:sz w:val="20"/>
              </w:rPr>
              <w:t>视频压缩:H.265/H.264/MJPEG，H.264编码支持Baseline/Main/High Profile</w:t>
            </w:r>
            <w:r>
              <w:rPr>
                <w:rFonts w:hint="eastAsia" w:ascii="宋体" w:hAnsi="宋体" w:cs="宋体"/>
                <w:color w:val="000000"/>
                <w:sz w:val="20"/>
              </w:rPr>
              <w:br w:type="textWrapping"/>
            </w:r>
            <w:r>
              <w:rPr>
                <w:rFonts w:hint="eastAsia" w:ascii="宋体" w:hAnsi="宋体" w:cs="宋体"/>
                <w:color w:val="000000"/>
                <w:sz w:val="20"/>
              </w:rPr>
              <w:t>分辨率及帧率:主码流50Hz:25fps(2560×1440);60Hz:30fps(2560×1440);</w:t>
            </w:r>
            <w:r>
              <w:rPr>
                <w:rFonts w:hint="eastAsia" w:ascii="宋体" w:hAnsi="宋体" w:cs="宋体"/>
                <w:color w:val="000000"/>
                <w:sz w:val="20"/>
              </w:rPr>
              <w:br w:type="textWrapping"/>
            </w:r>
            <w:r>
              <w:rPr>
                <w:rFonts w:hint="eastAsia" w:ascii="宋体" w:hAnsi="宋体" w:cs="宋体"/>
                <w:color w:val="000000"/>
                <w:sz w:val="20"/>
              </w:rPr>
              <w:t>细节相机:</w:t>
            </w:r>
            <w:r>
              <w:rPr>
                <w:rFonts w:hint="eastAsia" w:ascii="宋体" w:hAnsi="宋体" w:cs="宋体"/>
                <w:color w:val="000000"/>
                <w:sz w:val="20"/>
              </w:rPr>
              <w:br w:type="textWrapping"/>
            </w:r>
            <w:r>
              <w:rPr>
                <w:rFonts w:hint="eastAsia" w:ascii="宋体" w:hAnsi="宋体" w:cs="宋体"/>
                <w:color w:val="000000"/>
                <w:sz w:val="20"/>
              </w:rPr>
              <w:t>图像传感器:1/1.8＂ Progressive Scan CMOS</w:t>
            </w:r>
            <w:r>
              <w:rPr>
                <w:rFonts w:hint="eastAsia" w:ascii="宋体" w:hAnsi="宋体" w:cs="宋体"/>
                <w:color w:val="000000"/>
                <w:sz w:val="20"/>
              </w:rPr>
              <w:br w:type="textWrapping"/>
            </w:r>
            <w:r>
              <w:rPr>
                <w:rFonts w:hint="eastAsia" w:ascii="宋体" w:hAnsi="宋体" w:cs="宋体"/>
                <w:color w:val="000000"/>
                <w:sz w:val="20"/>
              </w:rPr>
              <w:t>最低照度:彩色：0.001Lux @ (F1.6，AGC ON)；黑白:0.0005Lux @(F1.6,AGC ON)</w:t>
            </w:r>
            <w:r>
              <w:rPr>
                <w:rFonts w:hint="eastAsia" w:ascii="宋体" w:hAnsi="宋体" w:cs="宋体"/>
                <w:color w:val="000000"/>
                <w:sz w:val="20"/>
              </w:rPr>
              <w:br w:type="textWrapping"/>
            </w:r>
            <w:r>
              <w:rPr>
                <w:rFonts w:hint="eastAsia" w:ascii="宋体" w:hAnsi="宋体" w:cs="宋体"/>
                <w:color w:val="000000"/>
                <w:sz w:val="20"/>
              </w:rPr>
              <w:t>红外功能:红外照射距离30m；红外灯亮度、角度根据场景智能调整</w:t>
            </w:r>
            <w:r>
              <w:rPr>
                <w:rFonts w:hint="eastAsia" w:ascii="宋体" w:hAnsi="宋体" w:cs="宋体"/>
                <w:color w:val="000000"/>
                <w:sz w:val="20"/>
              </w:rPr>
              <w:br w:type="textWrapping"/>
            </w:r>
            <w:r>
              <w:rPr>
                <w:rFonts w:hint="eastAsia" w:ascii="宋体" w:hAnsi="宋体" w:cs="宋体"/>
                <w:color w:val="000000"/>
                <w:sz w:val="20"/>
              </w:rPr>
              <w:t>Smart图像增强:120dB宽动态、透雾、强光抑制、电子防抖、Smart IR、背光补偿</w:t>
            </w:r>
            <w:r>
              <w:rPr>
                <w:rFonts w:hint="eastAsia" w:ascii="宋体" w:hAnsi="宋体" w:cs="宋体"/>
                <w:color w:val="000000"/>
                <w:sz w:val="20"/>
              </w:rPr>
              <w:br w:type="textWrapping"/>
            </w:r>
            <w:r>
              <w:rPr>
                <w:rFonts w:hint="eastAsia" w:ascii="宋体" w:hAnsi="宋体" w:cs="宋体"/>
                <w:color w:val="000000"/>
                <w:sz w:val="20"/>
              </w:rPr>
              <w:t>焦距:13-52mm，4倍光学变倍</w:t>
            </w:r>
            <w:r>
              <w:rPr>
                <w:rFonts w:hint="eastAsia" w:ascii="宋体" w:hAnsi="宋体" w:cs="宋体"/>
                <w:color w:val="000000"/>
                <w:sz w:val="20"/>
              </w:rPr>
              <w:br w:type="textWrapping"/>
            </w:r>
            <w:r>
              <w:rPr>
                <w:rFonts w:hint="eastAsia" w:ascii="宋体" w:hAnsi="宋体" w:cs="宋体"/>
                <w:color w:val="000000"/>
                <w:sz w:val="20"/>
              </w:rPr>
              <w:t>近摄距:10-1500mm(广角-望远)</w:t>
            </w:r>
            <w:r>
              <w:rPr>
                <w:rFonts w:hint="eastAsia" w:ascii="宋体" w:hAnsi="宋体" w:cs="宋体"/>
                <w:color w:val="000000"/>
                <w:sz w:val="20"/>
              </w:rPr>
              <w:br w:type="textWrapping"/>
            </w:r>
            <w:r>
              <w:rPr>
                <w:rFonts w:hint="eastAsia" w:ascii="宋体" w:hAnsi="宋体" w:cs="宋体"/>
                <w:color w:val="000000"/>
                <w:sz w:val="20"/>
              </w:rPr>
              <w:t>光圈数:F1.6</w:t>
            </w:r>
            <w:r>
              <w:rPr>
                <w:rFonts w:hint="eastAsia" w:ascii="宋体" w:hAnsi="宋体" w:cs="宋体"/>
                <w:color w:val="000000"/>
                <w:sz w:val="20"/>
              </w:rPr>
              <w:br w:type="textWrapping"/>
            </w:r>
            <w:r>
              <w:rPr>
                <w:rFonts w:hint="eastAsia" w:ascii="宋体" w:hAnsi="宋体" w:cs="宋体"/>
                <w:color w:val="000000"/>
                <w:sz w:val="20"/>
              </w:rPr>
              <w:t>水平速度:水平键控速度：0.1°-200°/s,速度可设； 水平预置点速度：300°/s</w:t>
            </w:r>
            <w:r>
              <w:rPr>
                <w:rFonts w:hint="eastAsia" w:ascii="宋体" w:hAnsi="宋体" w:cs="宋体"/>
                <w:color w:val="000000"/>
                <w:sz w:val="20"/>
              </w:rPr>
              <w:br w:type="textWrapping"/>
            </w:r>
            <w:r>
              <w:rPr>
                <w:rFonts w:hint="eastAsia" w:ascii="宋体" w:hAnsi="宋体" w:cs="宋体"/>
                <w:color w:val="000000"/>
                <w:sz w:val="20"/>
              </w:rPr>
              <w:t>垂直速度:垂直键控速度：0.1°-120°/s,速度可设； 垂直预置点速度：120°/s</w:t>
            </w:r>
            <w:r>
              <w:rPr>
                <w:rFonts w:hint="eastAsia" w:ascii="宋体" w:hAnsi="宋体" w:cs="宋体"/>
                <w:color w:val="000000"/>
                <w:sz w:val="20"/>
              </w:rPr>
              <w:br w:type="textWrapping"/>
            </w:r>
            <w:r>
              <w:rPr>
                <w:rFonts w:hint="eastAsia" w:ascii="宋体" w:hAnsi="宋体" w:cs="宋体"/>
                <w:color w:val="000000"/>
                <w:sz w:val="20"/>
              </w:rPr>
              <w:t>视频压缩:H.265/H.264/MJPEG，H.264编码支持Baseline/Main/High Profile</w:t>
            </w:r>
            <w:r>
              <w:rPr>
                <w:rFonts w:hint="eastAsia" w:ascii="宋体" w:hAnsi="宋体" w:cs="宋体"/>
                <w:color w:val="000000"/>
                <w:sz w:val="20"/>
              </w:rPr>
              <w:br w:type="textWrapping"/>
            </w:r>
            <w:r>
              <w:rPr>
                <w:rFonts w:hint="eastAsia" w:ascii="宋体" w:hAnsi="宋体" w:cs="宋体"/>
                <w:color w:val="000000"/>
                <w:sz w:val="20"/>
              </w:rPr>
              <w:t>分辨率及帧率:主码流50Hz:25fps(2560×1440);60Hz:30fps(2560×1440)</w:t>
            </w:r>
            <w:r>
              <w:rPr>
                <w:rFonts w:hint="eastAsia" w:ascii="宋体" w:hAnsi="宋体" w:cs="宋体"/>
                <w:color w:val="000000"/>
                <w:sz w:val="20"/>
              </w:rPr>
              <w:br w:type="textWrapping"/>
            </w:r>
            <w:r>
              <w:rPr>
                <w:rFonts w:hint="eastAsia" w:ascii="宋体" w:hAnsi="宋体" w:cs="宋体"/>
                <w:color w:val="000000"/>
                <w:sz w:val="20"/>
              </w:rPr>
              <w:t>支持对镜头前盖玻璃加热，去除玻璃上的冰状和水状附着物；</w:t>
            </w:r>
            <w:r>
              <w:rPr>
                <w:rFonts w:hint="eastAsia" w:ascii="宋体" w:hAnsi="宋体" w:cs="宋体"/>
                <w:sz w:val="18"/>
                <w:szCs w:val="18"/>
              </w:rPr>
              <w:t>（公安部检测报告复印件证明并加盖原厂公章）</w:t>
            </w:r>
          </w:p>
          <w:p>
            <w:pPr>
              <w:textAlignment w:val="center"/>
              <w:rPr>
                <w:rFonts w:ascii="宋体" w:hAnsi="宋体" w:cs="宋体"/>
                <w:color w:val="000000"/>
                <w:sz w:val="20"/>
              </w:rPr>
            </w:pPr>
            <w:r>
              <w:rPr>
                <w:rFonts w:hint="eastAsia" w:ascii="宋体" w:hAnsi="宋体" w:cs="宋体"/>
                <w:color w:val="000000"/>
                <w:sz w:val="20"/>
              </w:rPr>
              <w:t>电源:DC36V±25%，摄像机出厂自带适配器（DC36V）</w:t>
            </w:r>
            <w:r>
              <w:rPr>
                <w:rFonts w:hint="eastAsia" w:ascii="宋体" w:hAnsi="宋体" w:cs="宋体"/>
                <w:color w:val="000000"/>
                <w:sz w:val="20"/>
              </w:rPr>
              <w:br w:type="textWrapping"/>
            </w:r>
            <w:r>
              <w:rPr>
                <w:rFonts w:hint="eastAsia" w:ascii="宋体" w:hAnsi="宋体" w:cs="宋体"/>
                <w:color w:val="000000"/>
                <w:sz w:val="20"/>
              </w:rPr>
              <w:t>以太网电口:RJ45网口，自适应10M/100M/1000M网络数据</w:t>
            </w:r>
            <w:r>
              <w:rPr>
                <w:rFonts w:hint="eastAsia" w:ascii="宋体" w:hAnsi="宋体" w:cs="宋体"/>
                <w:color w:val="000000"/>
                <w:sz w:val="20"/>
              </w:rPr>
              <w:br w:type="textWrapping"/>
            </w:r>
            <w:r>
              <w:rPr>
                <w:rFonts w:hint="eastAsia" w:ascii="宋体" w:hAnsi="宋体" w:cs="宋体"/>
                <w:color w:val="000000"/>
                <w:sz w:val="20"/>
              </w:rPr>
              <w:t>报警输入/输出:1路报警输入；1路报警输出；</w:t>
            </w:r>
            <w:r>
              <w:rPr>
                <w:rFonts w:hint="eastAsia" w:ascii="宋体" w:hAnsi="宋体" w:cs="宋体"/>
                <w:color w:val="000000"/>
                <w:sz w:val="20"/>
              </w:rPr>
              <w:br w:type="textWrapping"/>
            </w:r>
            <w:r>
              <w:rPr>
                <w:rFonts w:hint="eastAsia" w:ascii="宋体" w:hAnsi="宋体" w:cs="宋体"/>
                <w:color w:val="000000"/>
                <w:sz w:val="20"/>
              </w:rPr>
              <w:t>音频输入/输出:1路音频输入；1路音频输出</w:t>
            </w:r>
          </w:p>
        </w:tc>
      </w:tr>
      <w:tr>
        <w:tblPrEx>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人脸摄像机</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400万星光级1/1.8” CMOS AI抓拍筒型网络摄像机</w:t>
            </w:r>
            <w:r>
              <w:rPr>
                <w:rFonts w:hint="eastAsia" w:ascii="宋体" w:hAnsi="宋体" w:cs="宋体"/>
                <w:color w:val="000000"/>
                <w:sz w:val="20"/>
              </w:rPr>
              <w:br w:type="textWrapping"/>
            </w:r>
            <w:r>
              <w:rPr>
                <w:rFonts w:hint="eastAsia" w:ascii="宋体" w:hAnsi="宋体" w:cs="宋体"/>
                <w:color w:val="000000"/>
                <w:sz w:val="20"/>
              </w:rPr>
              <w:t>人脸抓拍:</w:t>
            </w:r>
            <w:r>
              <w:rPr>
                <w:rFonts w:hint="eastAsia" w:ascii="宋体" w:hAnsi="宋体" w:cs="宋体"/>
                <w:color w:val="000000"/>
                <w:sz w:val="20"/>
              </w:rPr>
              <w:br w:type="textWrapping"/>
            </w:r>
            <w:r>
              <w:rPr>
                <w:rFonts w:hint="eastAsia" w:ascii="宋体" w:hAnsi="宋体" w:cs="宋体"/>
                <w:color w:val="000000"/>
                <w:sz w:val="20"/>
              </w:rPr>
              <w:t>人脸检测性能：最多可以同时支持30个人脸，支持检测、跟踪、评分</w:t>
            </w:r>
            <w:r>
              <w:rPr>
                <w:rFonts w:hint="eastAsia" w:ascii="宋体" w:hAnsi="宋体" w:cs="宋体"/>
                <w:color w:val="000000"/>
                <w:sz w:val="20"/>
              </w:rPr>
              <w:br w:type="textWrapping"/>
            </w:r>
            <w:r>
              <w:rPr>
                <w:rFonts w:hint="eastAsia" w:ascii="宋体" w:hAnsi="宋体" w:cs="宋体"/>
                <w:color w:val="000000"/>
                <w:sz w:val="20"/>
              </w:rPr>
              <w:t>支持上传背景大图以及人脸小图</w:t>
            </w:r>
            <w:r>
              <w:rPr>
                <w:rFonts w:hint="eastAsia" w:ascii="宋体" w:hAnsi="宋体" w:cs="宋体"/>
                <w:color w:val="000000"/>
                <w:sz w:val="20"/>
              </w:rPr>
              <w:br w:type="textWrapping"/>
            </w:r>
            <w:r>
              <w:rPr>
                <w:rFonts w:hint="eastAsia" w:ascii="宋体" w:hAnsi="宋体" w:cs="宋体"/>
                <w:color w:val="000000"/>
                <w:sz w:val="20"/>
              </w:rPr>
              <w:t>▲支持MD5、SHA256加密算法（公安部检测报告复印件证明并加盖原厂公章）</w:t>
            </w:r>
            <w:r>
              <w:rPr>
                <w:rFonts w:hint="eastAsia" w:ascii="宋体" w:hAnsi="宋体" w:cs="宋体"/>
                <w:color w:val="000000"/>
                <w:sz w:val="20"/>
              </w:rPr>
              <w:br w:type="textWrapping"/>
            </w:r>
            <w:r>
              <w:rPr>
                <w:rFonts w:hint="eastAsia" w:ascii="宋体" w:hAnsi="宋体" w:cs="宋体"/>
                <w:color w:val="000000"/>
                <w:sz w:val="20"/>
              </w:rPr>
              <w:t>最低照度:彩色: 0.0005Lux @ (F1.2, AGC ON) 黑白: 0.0001 Lux @ (F1.2, AGC ON), 0 Lux with IR</w:t>
            </w:r>
            <w:r>
              <w:rPr>
                <w:rFonts w:hint="eastAsia" w:ascii="宋体" w:hAnsi="宋体" w:cs="宋体"/>
                <w:color w:val="000000"/>
                <w:sz w:val="20"/>
              </w:rPr>
              <w:br w:type="textWrapping"/>
            </w:r>
            <w:r>
              <w:rPr>
                <w:rFonts w:hint="eastAsia" w:ascii="宋体" w:hAnsi="宋体" w:cs="宋体"/>
                <w:color w:val="000000"/>
                <w:sz w:val="20"/>
              </w:rPr>
              <w:t>镜头:（变焦）2.8-12mm @ F1.2,水平视场角：100°~40°，垂直视场角：52°~22°，对角线视场角：120°~46°</w:t>
            </w:r>
            <w:r>
              <w:rPr>
                <w:rFonts w:hint="eastAsia" w:ascii="宋体" w:hAnsi="宋体" w:cs="宋体"/>
                <w:color w:val="000000"/>
                <w:sz w:val="20"/>
              </w:rPr>
              <w:br w:type="textWrapping"/>
            </w:r>
            <w:r>
              <w:rPr>
                <w:rFonts w:hint="eastAsia" w:ascii="宋体" w:hAnsi="宋体" w:cs="宋体"/>
                <w:color w:val="000000"/>
                <w:sz w:val="20"/>
              </w:rPr>
              <w:t>宽动态能力不小于120dB；</w:t>
            </w:r>
            <w:r>
              <w:rPr>
                <w:rFonts w:hint="eastAsia" w:ascii="宋体" w:hAnsi="宋体" w:cs="宋体"/>
                <w:sz w:val="18"/>
                <w:szCs w:val="18"/>
              </w:rPr>
              <w:t>（公安部检测报告复印件证明并加盖原厂公章）</w:t>
            </w:r>
            <w:r>
              <w:rPr>
                <w:rFonts w:hint="eastAsia" w:ascii="宋体" w:hAnsi="宋体" w:cs="宋体"/>
                <w:color w:val="000000"/>
                <w:sz w:val="20"/>
              </w:rPr>
              <w:br w:type="textWrapping"/>
            </w:r>
            <w:r>
              <w:rPr>
                <w:rFonts w:hint="eastAsia" w:ascii="宋体" w:hAnsi="宋体" w:cs="宋体"/>
                <w:color w:val="000000"/>
                <w:sz w:val="20"/>
              </w:rPr>
              <w:t>视频压缩标准:H.265/H.264 / MJPEG</w:t>
            </w:r>
            <w:r>
              <w:rPr>
                <w:rFonts w:hint="eastAsia" w:ascii="宋体" w:hAnsi="宋体" w:cs="宋体"/>
                <w:color w:val="000000"/>
                <w:sz w:val="20"/>
              </w:rPr>
              <w:br w:type="textWrapping"/>
            </w:r>
            <w:r>
              <w:rPr>
                <w:rFonts w:hint="eastAsia" w:ascii="宋体" w:hAnsi="宋体" w:cs="宋体"/>
                <w:color w:val="000000"/>
                <w:sz w:val="20"/>
              </w:rPr>
              <w:t>最大图像尺寸:2688×1520</w:t>
            </w:r>
            <w:r>
              <w:rPr>
                <w:rFonts w:hint="eastAsia" w:ascii="宋体" w:hAnsi="宋体" w:cs="宋体"/>
                <w:color w:val="000000"/>
                <w:sz w:val="20"/>
              </w:rPr>
              <w:br w:type="textWrapping"/>
            </w:r>
            <w:r>
              <w:rPr>
                <w:rFonts w:hint="eastAsia" w:ascii="宋体" w:hAnsi="宋体" w:cs="宋体"/>
                <w:color w:val="000000"/>
                <w:sz w:val="20"/>
              </w:rPr>
              <w:t>在分辨率1920x1080 @ 25fps，延时不大于70ms；</w:t>
            </w:r>
          </w:p>
          <w:p>
            <w:pPr>
              <w:textAlignment w:val="center"/>
              <w:rPr>
                <w:rFonts w:ascii="宋体" w:hAnsi="宋体" w:cs="宋体"/>
                <w:color w:val="000000"/>
                <w:sz w:val="20"/>
              </w:rPr>
            </w:pPr>
            <w:r>
              <w:rPr>
                <w:rFonts w:hint="eastAsia" w:ascii="宋体" w:hAnsi="宋体" w:cs="宋体"/>
                <w:color w:val="000000"/>
                <w:sz w:val="20"/>
              </w:rPr>
              <w:t>存储功能:支持Micro SD(即TF卡)/Micro SDHC /Micro SDXC卡(256GB)断网本地存储及断网续传,NAS(NFS,SMB/CIFS均支持),配合SD卡加密及SD状态检测功能</w:t>
            </w:r>
            <w:r>
              <w:rPr>
                <w:rFonts w:hint="eastAsia" w:ascii="宋体" w:hAnsi="宋体" w:cs="宋体"/>
                <w:color w:val="000000"/>
                <w:sz w:val="20"/>
              </w:rPr>
              <w:br w:type="textWrapping"/>
            </w:r>
            <w:r>
              <w:rPr>
                <w:rFonts w:hint="eastAsia" w:ascii="宋体" w:hAnsi="宋体" w:cs="宋体"/>
                <w:color w:val="000000"/>
                <w:sz w:val="20"/>
              </w:rPr>
              <w:t>接口类型:甩线</w:t>
            </w:r>
            <w:r>
              <w:rPr>
                <w:rFonts w:hint="eastAsia" w:ascii="宋体" w:hAnsi="宋体" w:cs="宋体"/>
                <w:color w:val="000000"/>
                <w:sz w:val="20"/>
              </w:rPr>
              <w:br w:type="textWrapping"/>
            </w:r>
            <w:r>
              <w:rPr>
                <w:rFonts w:hint="eastAsia" w:ascii="宋体" w:hAnsi="宋体" w:cs="宋体"/>
                <w:color w:val="000000"/>
                <w:sz w:val="20"/>
              </w:rPr>
              <w:t>通讯接口:1个RJ45 10M / 100M 自适应以太网口；RS-485;</w:t>
            </w:r>
            <w:r>
              <w:rPr>
                <w:rFonts w:hint="eastAsia" w:ascii="宋体" w:hAnsi="宋体" w:cs="宋体"/>
                <w:color w:val="000000"/>
                <w:sz w:val="20"/>
              </w:rPr>
              <w:br w:type="textWrapping"/>
            </w:r>
            <w:r>
              <w:rPr>
                <w:rFonts w:hint="eastAsia" w:ascii="宋体" w:hAnsi="宋体" w:cs="宋体"/>
                <w:color w:val="000000"/>
                <w:sz w:val="20"/>
              </w:rPr>
              <w:t>电源输出:DC12V 200mA</w:t>
            </w:r>
            <w:r>
              <w:rPr>
                <w:rFonts w:hint="eastAsia" w:ascii="宋体" w:hAnsi="宋体" w:cs="宋体"/>
                <w:color w:val="000000"/>
                <w:sz w:val="20"/>
              </w:rPr>
              <w:br w:type="textWrapping"/>
            </w:r>
            <w:r>
              <w:rPr>
                <w:rFonts w:hint="eastAsia" w:ascii="宋体" w:hAnsi="宋体" w:cs="宋体"/>
                <w:color w:val="000000"/>
                <w:sz w:val="20"/>
              </w:rPr>
              <w:t xml:space="preserve">音频接口:音频输入：支持1路3.5mm JACK LINE IN; 音频输出:支持1路3.5mm JACK LINE OUT </w:t>
            </w:r>
            <w:r>
              <w:rPr>
                <w:rFonts w:hint="eastAsia" w:ascii="宋体" w:hAnsi="宋体" w:cs="宋体"/>
                <w:color w:val="000000"/>
                <w:sz w:val="20"/>
              </w:rPr>
              <w:br w:type="textWrapping"/>
            </w:r>
            <w:r>
              <w:rPr>
                <w:rFonts w:hint="eastAsia" w:ascii="宋体" w:hAnsi="宋体" w:cs="宋体"/>
                <w:color w:val="000000"/>
                <w:sz w:val="20"/>
              </w:rPr>
              <w:t xml:space="preserve">报警接口:3 输入，2 输出(报警输出最大支持AC/DC24V 1A） </w:t>
            </w:r>
            <w:r>
              <w:rPr>
                <w:rFonts w:hint="eastAsia" w:ascii="宋体" w:hAnsi="宋体" w:cs="宋体"/>
                <w:color w:val="000000"/>
                <w:sz w:val="20"/>
              </w:rPr>
              <w:br w:type="textWrapping"/>
            </w:r>
            <w:r>
              <w:rPr>
                <w:rFonts w:hint="eastAsia" w:ascii="宋体" w:hAnsi="宋体" w:cs="宋体"/>
                <w:color w:val="000000"/>
                <w:sz w:val="20"/>
              </w:rPr>
              <w:t>Reset按键:支持</w:t>
            </w:r>
            <w:r>
              <w:rPr>
                <w:rFonts w:hint="eastAsia" w:ascii="宋体" w:hAnsi="宋体" w:cs="宋体"/>
                <w:color w:val="000000"/>
                <w:sz w:val="20"/>
              </w:rPr>
              <w:br w:type="textWrapping"/>
            </w:r>
            <w:r>
              <w:rPr>
                <w:rFonts w:hint="eastAsia" w:ascii="宋体" w:hAnsi="宋体" w:cs="宋体"/>
                <w:color w:val="000000"/>
                <w:sz w:val="20"/>
              </w:rPr>
              <w:t>具有低温低气压适应性，可在不低于-45℃和气压70kPa环境下正常工作；</w:t>
            </w:r>
          </w:p>
          <w:p>
            <w:pPr>
              <w:textAlignment w:val="center"/>
              <w:rPr>
                <w:rFonts w:ascii="宋体" w:hAnsi="宋体" w:cs="宋体"/>
                <w:color w:val="000000"/>
                <w:sz w:val="20"/>
              </w:rPr>
            </w:pPr>
            <w:r>
              <w:rPr>
                <w:rFonts w:hint="eastAsia" w:ascii="宋体" w:hAnsi="宋体" w:cs="宋体"/>
                <w:color w:val="000000"/>
                <w:sz w:val="20"/>
              </w:rPr>
              <w:t>电源供应:DC：12V±20% ，支持防反接保护；PoE：802.3at, class 4</w:t>
            </w:r>
            <w:r>
              <w:rPr>
                <w:rFonts w:hint="eastAsia" w:ascii="宋体" w:hAnsi="宋体" w:cs="宋体"/>
                <w:color w:val="000000"/>
                <w:sz w:val="20"/>
              </w:rPr>
              <w:br w:type="textWrapping"/>
            </w:r>
            <w:r>
              <w:rPr>
                <w:rFonts w:hint="eastAsia" w:ascii="宋体" w:hAnsi="宋体" w:cs="宋体"/>
                <w:color w:val="000000"/>
                <w:sz w:val="20"/>
              </w:rPr>
              <w:t>电源接口类型:三芯电源接口</w:t>
            </w:r>
            <w:r>
              <w:rPr>
                <w:rFonts w:hint="eastAsia" w:ascii="宋体" w:hAnsi="宋体" w:cs="宋体"/>
                <w:color w:val="000000"/>
                <w:sz w:val="20"/>
              </w:rPr>
              <w:br w:type="textWrapping"/>
            </w:r>
            <w:r>
              <w:rPr>
                <w:rFonts w:hint="eastAsia" w:ascii="宋体" w:hAnsi="宋体" w:cs="宋体"/>
                <w:color w:val="000000"/>
                <w:sz w:val="20"/>
              </w:rPr>
              <w:t>功耗:DC： 12 V, 1.29 A, Max： 15.5W; PoE： (802.3at, 42.5V-57V), 0.42 A to 0.30 A，Max：17.5W</w:t>
            </w:r>
            <w:r>
              <w:rPr>
                <w:rFonts w:hint="eastAsia" w:ascii="宋体" w:hAnsi="宋体" w:cs="宋体"/>
                <w:color w:val="000000"/>
                <w:sz w:val="20"/>
              </w:rPr>
              <w:br w:type="textWrapping"/>
            </w:r>
            <w:r>
              <w:rPr>
                <w:rFonts w:hint="eastAsia" w:ascii="宋体" w:hAnsi="宋体" w:cs="宋体"/>
                <w:color w:val="000000"/>
                <w:sz w:val="20"/>
              </w:rPr>
              <w:t>防护等级:IP66</w:t>
            </w:r>
          </w:p>
        </w:tc>
      </w:tr>
      <w:tr>
        <w:tblPrEx>
          <w:tblCellMar>
            <w:top w:w="0" w:type="dxa"/>
            <w:left w:w="108" w:type="dxa"/>
            <w:bottom w:w="0" w:type="dxa"/>
            <w:right w:w="108" w:type="dxa"/>
          </w:tblCellMar>
        </w:tblPrEx>
        <w:trPr>
          <w:trHeight w:val="132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步态摄像机</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1/1.8"SONY Exmor Progressive Scan CMOS Sensor,有效像素400万@2560*1440,长焦：8-32mm AF镜头，短焦：3.6-10mm 电动镜头,支持双路人脸人体抓拍算法+步态算法,支持协议：PROFILE S，GB/T28181，FTP/RTSP.UPNP等,支持三码流、手机监控、心跳机制，具3D降噪、去雾、数字宽动态、镜头校正、走廊监控等智能模式,标配接口：音频输入输出、报警输入/报警输出、SD卡槽、RJ45、DC 12V，POE供电</w:t>
            </w:r>
          </w:p>
        </w:tc>
      </w:tr>
      <w:tr>
        <w:tblPrEx>
          <w:tblCellMar>
            <w:top w:w="0" w:type="dxa"/>
            <w:left w:w="108" w:type="dxa"/>
            <w:bottom w:w="0" w:type="dxa"/>
            <w:right w:w="108" w:type="dxa"/>
          </w:tblCellMar>
        </w:tblPrEx>
        <w:trPr>
          <w:trHeight w:val="468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高空抛物网络摄像机</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800万1/1.8” CMOS AI轻智能抓拍筒型网络摄像机，支持POE供电。</w:t>
            </w:r>
            <w:r>
              <w:rPr>
                <w:rFonts w:hint="eastAsia" w:ascii="宋体" w:hAnsi="宋体" w:cs="宋体"/>
                <w:color w:val="000000"/>
                <w:sz w:val="20"/>
              </w:rPr>
              <w:br w:type="textWrapping"/>
            </w:r>
            <w:r>
              <w:rPr>
                <w:rFonts w:hint="eastAsia" w:ascii="宋体" w:hAnsi="宋体" w:cs="宋体"/>
                <w:color w:val="000000"/>
                <w:sz w:val="20"/>
              </w:rPr>
              <w:t>最小照度 0.01Lux @(F1.2,AGC ON) ,0 Lux with IR；</w:t>
            </w:r>
            <w:r>
              <w:rPr>
                <w:rFonts w:hint="eastAsia" w:ascii="宋体" w:hAnsi="宋体" w:cs="宋体"/>
                <w:color w:val="000000"/>
                <w:sz w:val="20"/>
              </w:rPr>
              <w:br w:type="textWrapping"/>
            </w:r>
            <w:r>
              <w:rPr>
                <w:rFonts w:hint="eastAsia" w:ascii="宋体" w:hAnsi="宋体" w:cs="宋体"/>
                <w:color w:val="000000"/>
                <w:sz w:val="20"/>
              </w:rPr>
              <w:t>智能补光:补光灯集成白光灯和红外灯，分为白光模式和混合模式，白光模式只开启白光灯，混合模式下是开启红外，另外用白光做补偿。</w:t>
            </w:r>
            <w:r>
              <w:rPr>
                <w:rFonts w:hint="eastAsia" w:ascii="宋体" w:hAnsi="宋体" w:cs="宋体"/>
                <w:color w:val="000000"/>
                <w:sz w:val="20"/>
              </w:rPr>
              <w:br w:type="textWrapping"/>
            </w:r>
            <w:r>
              <w:rPr>
                <w:rFonts w:hint="eastAsia" w:ascii="宋体" w:hAnsi="宋体" w:cs="宋体"/>
                <w:color w:val="000000"/>
                <w:sz w:val="20"/>
              </w:rPr>
              <w:t>最低照度:彩色:0.002 Lux @ (F1.2, AGC ON)   黑白:0.0002 Lux @ (F1.2, AGC ON), 0 Lux with IR</w:t>
            </w:r>
            <w:r>
              <w:rPr>
                <w:rFonts w:hint="eastAsia" w:ascii="宋体" w:hAnsi="宋体" w:cs="宋体"/>
                <w:color w:val="000000"/>
                <w:sz w:val="20"/>
              </w:rPr>
              <w:br w:type="textWrapping"/>
            </w:r>
            <w:r>
              <w:rPr>
                <w:rFonts w:hint="eastAsia" w:ascii="宋体" w:hAnsi="宋体" w:cs="宋体"/>
                <w:color w:val="000000"/>
                <w:sz w:val="20"/>
              </w:rPr>
              <w:t>镜头:（2.8-12mm）@F1.2，水平视场角：100.7°~39.2°</w:t>
            </w:r>
            <w:r>
              <w:rPr>
                <w:rFonts w:hint="eastAsia" w:ascii="宋体" w:hAnsi="宋体" w:cs="宋体"/>
                <w:color w:val="000000"/>
                <w:sz w:val="20"/>
              </w:rPr>
              <w:br w:type="textWrapping"/>
            </w:r>
            <w:r>
              <w:rPr>
                <w:rFonts w:hint="eastAsia" w:ascii="宋体" w:hAnsi="宋体" w:cs="宋体"/>
                <w:color w:val="000000"/>
                <w:sz w:val="20"/>
              </w:rPr>
              <w:t>宽动态:超宽动态范围达120dB，室内逆光环境下监控</w:t>
            </w:r>
            <w:r>
              <w:rPr>
                <w:rFonts w:hint="eastAsia" w:ascii="宋体" w:hAnsi="宋体" w:cs="宋体"/>
                <w:color w:val="000000"/>
                <w:sz w:val="20"/>
              </w:rPr>
              <w:br w:type="textWrapping"/>
            </w:r>
            <w:r>
              <w:rPr>
                <w:rFonts w:hint="eastAsia" w:ascii="宋体" w:hAnsi="宋体" w:cs="宋体"/>
                <w:color w:val="000000"/>
                <w:sz w:val="20"/>
              </w:rPr>
              <w:t>视频压缩标准:H.265/H.264 / MJPEG</w:t>
            </w:r>
            <w:r>
              <w:rPr>
                <w:rFonts w:hint="eastAsia" w:ascii="宋体" w:hAnsi="宋体" w:cs="宋体"/>
                <w:color w:val="000000"/>
                <w:sz w:val="20"/>
              </w:rPr>
              <w:br w:type="textWrapping"/>
            </w:r>
            <w:r>
              <w:rPr>
                <w:rFonts w:hint="eastAsia" w:ascii="宋体" w:hAnsi="宋体" w:cs="宋体"/>
                <w:color w:val="000000"/>
                <w:sz w:val="20"/>
              </w:rPr>
              <w:t>最大图像尺寸:4096 x 2160</w:t>
            </w:r>
            <w:r>
              <w:rPr>
                <w:rFonts w:hint="eastAsia" w:ascii="宋体" w:hAnsi="宋体" w:cs="宋体"/>
                <w:color w:val="000000"/>
                <w:sz w:val="20"/>
              </w:rPr>
              <w:br w:type="textWrapping"/>
            </w:r>
            <w:r>
              <w:rPr>
                <w:rFonts w:hint="eastAsia" w:ascii="宋体" w:hAnsi="宋体" w:cs="宋体"/>
                <w:color w:val="000000"/>
                <w:sz w:val="20"/>
              </w:rPr>
              <w:t xml:space="preserve">存储功能:支持Micro SD(即TF卡)/Micro SDHC /Micro SDXC卡(128G)断网本地存储，NAS(NFS、SMB/CIFS均支持) </w:t>
            </w:r>
            <w:r>
              <w:rPr>
                <w:rFonts w:hint="eastAsia" w:ascii="宋体" w:hAnsi="宋体" w:cs="宋体"/>
                <w:color w:val="000000"/>
                <w:sz w:val="20"/>
              </w:rPr>
              <w:br w:type="textWrapping"/>
            </w:r>
            <w:r>
              <w:rPr>
                <w:rFonts w:hint="eastAsia" w:ascii="宋体" w:hAnsi="宋体" w:cs="宋体"/>
                <w:color w:val="000000"/>
                <w:sz w:val="20"/>
              </w:rPr>
              <w:t>通讯接口:1 个RJ45 10M / 100M /1000M自适应以太网口 1个RS-485接口</w:t>
            </w:r>
            <w:r>
              <w:rPr>
                <w:rFonts w:hint="eastAsia" w:ascii="宋体" w:hAnsi="宋体" w:cs="宋体"/>
                <w:color w:val="000000"/>
                <w:sz w:val="20"/>
              </w:rPr>
              <w:br w:type="textWrapping"/>
            </w:r>
            <w:r>
              <w:rPr>
                <w:rFonts w:hint="eastAsia" w:ascii="宋体" w:hAnsi="宋体" w:cs="宋体"/>
                <w:color w:val="000000"/>
                <w:sz w:val="20"/>
              </w:rPr>
              <w:t>工作温度和湿度:-30℃~60℃,湿度小于95%(无凝结)</w:t>
            </w:r>
            <w:r>
              <w:rPr>
                <w:rFonts w:hint="eastAsia" w:ascii="宋体" w:hAnsi="宋体" w:cs="宋体"/>
                <w:color w:val="000000"/>
                <w:sz w:val="20"/>
              </w:rPr>
              <w:br w:type="textWrapping"/>
            </w:r>
            <w:r>
              <w:rPr>
                <w:rFonts w:hint="eastAsia" w:ascii="宋体" w:hAnsi="宋体" w:cs="宋体"/>
                <w:color w:val="000000"/>
                <w:sz w:val="20"/>
              </w:rPr>
              <w:t>电源供应:DC：12V；</w:t>
            </w:r>
            <w:r>
              <w:rPr>
                <w:rFonts w:hint="eastAsia" w:ascii="宋体" w:hAnsi="宋体" w:cs="宋体"/>
                <w:color w:val="000000"/>
                <w:sz w:val="20"/>
              </w:rPr>
              <w:br w:type="textWrapping"/>
            </w:r>
            <w:r>
              <w:rPr>
                <w:rFonts w:hint="eastAsia" w:ascii="宋体" w:hAnsi="宋体" w:cs="宋体"/>
                <w:color w:val="000000"/>
                <w:sz w:val="20"/>
              </w:rPr>
              <w:t>功耗:DC12VW</w:t>
            </w:r>
            <w:r>
              <w:rPr>
                <w:rFonts w:hint="eastAsia" w:ascii="宋体" w:hAnsi="宋体" w:cs="宋体"/>
                <w:color w:val="000000"/>
                <w:sz w:val="20"/>
              </w:rPr>
              <w:br w:type="textWrapping"/>
            </w:r>
            <w:r>
              <w:rPr>
                <w:rFonts w:hint="eastAsia" w:ascii="宋体" w:hAnsi="宋体" w:cs="宋体"/>
                <w:color w:val="000000"/>
                <w:sz w:val="20"/>
              </w:rPr>
              <w:t>防护等级:IP66</w:t>
            </w:r>
            <w:r>
              <w:rPr>
                <w:rFonts w:hint="eastAsia" w:ascii="宋体" w:hAnsi="宋体" w:cs="宋体"/>
                <w:color w:val="000000"/>
                <w:sz w:val="20"/>
              </w:rPr>
              <w:br w:type="textWrapping"/>
            </w:r>
            <w:r>
              <w:rPr>
                <w:rFonts w:hint="eastAsia" w:ascii="宋体" w:hAnsi="宋体" w:cs="宋体"/>
                <w:color w:val="000000"/>
                <w:sz w:val="20"/>
              </w:rPr>
              <w:t>补光距离:白光：30米（人脸5米）;混合：30米（人脸7米）</w:t>
            </w:r>
            <w:r>
              <w:rPr>
                <w:rFonts w:hint="eastAsia" w:ascii="宋体" w:hAnsi="宋体" w:cs="宋体"/>
                <w:color w:val="000000"/>
                <w:sz w:val="20"/>
              </w:rPr>
              <w:br w:type="textWrapping"/>
            </w:r>
            <w:r>
              <w:rPr>
                <w:rFonts w:hint="eastAsia" w:ascii="宋体" w:hAnsi="宋体" w:cs="宋体"/>
                <w:color w:val="000000"/>
                <w:sz w:val="20"/>
              </w:rPr>
              <w:t>红外波长:750nm</w:t>
            </w:r>
          </w:p>
        </w:tc>
      </w:tr>
      <w:tr>
        <w:tblPrEx>
          <w:tblCellMar>
            <w:top w:w="0" w:type="dxa"/>
            <w:left w:w="108" w:type="dxa"/>
            <w:bottom w:w="0" w:type="dxa"/>
            <w:right w:w="108" w:type="dxa"/>
          </w:tblCellMar>
        </w:tblPrEx>
        <w:trPr>
          <w:trHeight w:val="498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彩色高清摄像机</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200万1/2.7”CMOS ICR红外阵列筒型网络摄像机；支持POE供电。</w:t>
            </w:r>
            <w:r>
              <w:rPr>
                <w:rFonts w:hint="eastAsia" w:ascii="宋体" w:hAnsi="宋体" w:cs="宋体"/>
                <w:color w:val="000000"/>
                <w:sz w:val="20"/>
              </w:rPr>
              <w:br w:type="textWrapping"/>
            </w:r>
            <w:r>
              <w:rPr>
                <w:rFonts w:hint="eastAsia" w:ascii="宋体" w:hAnsi="宋体" w:cs="宋体"/>
                <w:color w:val="000000"/>
                <w:sz w:val="20"/>
              </w:rPr>
              <w:t>最小照度 0.01Lux @(F1.2,AGC ON) ,0 Lux with IR；</w:t>
            </w:r>
            <w:r>
              <w:rPr>
                <w:rFonts w:hint="eastAsia" w:ascii="宋体" w:hAnsi="宋体" w:cs="宋体"/>
                <w:color w:val="000000"/>
                <w:sz w:val="20"/>
              </w:rPr>
              <w:br w:type="textWrapping"/>
            </w:r>
            <w:r>
              <w:rPr>
                <w:rFonts w:hint="eastAsia" w:ascii="宋体" w:hAnsi="宋体" w:cs="宋体"/>
                <w:color w:val="000000"/>
                <w:sz w:val="20"/>
              </w:rPr>
              <w:t>快门 1/3秒至1/100,000秒；</w:t>
            </w:r>
            <w:r>
              <w:rPr>
                <w:rFonts w:hint="eastAsia" w:ascii="宋体" w:hAnsi="宋体" w:cs="宋体"/>
                <w:color w:val="000000"/>
                <w:sz w:val="20"/>
              </w:rPr>
              <w:br w:type="textWrapping"/>
            </w:r>
            <w:r>
              <w:rPr>
                <w:rFonts w:hint="eastAsia" w:ascii="宋体" w:hAnsi="宋体" w:cs="宋体"/>
                <w:color w:val="000000"/>
                <w:sz w:val="20"/>
              </w:rPr>
              <w:t>镜头 4mm, 水平视场角:90.3°(6mm,8mm,12mm可选)；</w:t>
            </w:r>
            <w:r>
              <w:rPr>
                <w:rFonts w:hint="eastAsia" w:ascii="宋体" w:hAnsi="宋体" w:cs="宋体"/>
                <w:color w:val="000000"/>
                <w:sz w:val="20"/>
              </w:rPr>
              <w:br w:type="textWrapping"/>
            </w:r>
            <w:r>
              <w:rPr>
                <w:rFonts w:hint="eastAsia" w:ascii="宋体" w:hAnsi="宋体" w:cs="宋体"/>
                <w:color w:val="000000"/>
                <w:sz w:val="20"/>
              </w:rPr>
              <w:t>数字降噪 3D数字降噪；</w:t>
            </w:r>
            <w:r>
              <w:rPr>
                <w:rFonts w:hint="eastAsia" w:ascii="宋体" w:hAnsi="宋体" w:cs="宋体"/>
                <w:color w:val="000000"/>
                <w:sz w:val="20"/>
              </w:rPr>
              <w:br w:type="textWrapping"/>
            </w:r>
            <w:r>
              <w:rPr>
                <w:rFonts w:hint="eastAsia" w:ascii="宋体" w:hAnsi="宋体" w:cs="宋体"/>
                <w:color w:val="000000"/>
                <w:sz w:val="20"/>
              </w:rPr>
              <w:t>信噪比不小于59dB；宽动态范围 120dB；</w:t>
            </w:r>
            <w:r>
              <w:rPr>
                <w:rFonts w:hint="eastAsia" w:ascii="宋体" w:hAnsi="宋体" w:cs="宋体"/>
                <w:color w:val="000000"/>
                <w:sz w:val="20"/>
              </w:rPr>
              <w:br w:type="textWrapping"/>
            </w:r>
            <w:r>
              <w:rPr>
                <w:rFonts w:hint="eastAsia" w:ascii="宋体" w:hAnsi="宋体" w:cs="宋体"/>
                <w:color w:val="000000"/>
                <w:sz w:val="20"/>
              </w:rPr>
              <w:t>视频压缩标准 H.265 / H.264 / MJPEG;H.265编码类型 Main Profile；</w:t>
            </w:r>
            <w:r>
              <w:rPr>
                <w:rFonts w:hint="eastAsia" w:ascii="宋体" w:hAnsi="宋体" w:cs="宋体"/>
                <w:color w:val="000000"/>
                <w:sz w:val="20"/>
              </w:rPr>
              <w:br w:type="textWrapping"/>
            </w:r>
            <w:r>
              <w:rPr>
                <w:rFonts w:hint="eastAsia" w:ascii="宋体" w:hAnsi="宋体" w:cs="宋体"/>
                <w:color w:val="000000"/>
                <w:sz w:val="20"/>
              </w:rPr>
              <w:t>支持区域遮盖功能，并能支持4块区域；</w:t>
            </w:r>
            <w:r>
              <w:rPr>
                <w:rFonts w:hint="eastAsia" w:ascii="宋体" w:hAnsi="宋体" w:cs="宋体"/>
                <w:color w:val="000000"/>
                <w:sz w:val="20"/>
              </w:rPr>
              <w:br w:type="textWrapping"/>
            </w:r>
            <w:r>
              <w:rPr>
                <w:rFonts w:hint="eastAsia" w:ascii="宋体" w:hAnsi="宋体" w:cs="宋体"/>
                <w:color w:val="000000"/>
                <w:sz w:val="20"/>
              </w:rPr>
              <w:t>帧率 50Hz: 25fps (1920 × 1080,1280 × 960,1280 × 720)；</w:t>
            </w:r>
            <w:r>
              <w:rPr>
                <w:rFonts w:hint="eastAsia" w:ascii="宋体" w:hAnsi="宋体" w:cs="宋体"/>
                <w:color w:val="000000"/>
                <w:sz w:val="20"/>
              </w:rPr>
              <w:br w:type="textWrapping"/>
            </w:r>
            <w:r>
              <w:rPr>
                <w:rFonts w:hint="eastAsia" w:ascii="宋体" w:hAnsi="宋体" w:cs="宋体"/>
                <w:color w:val="000000"/>
                <w:sz w:val="20"/>
              </w:rPr>
              <w:t>感兴趣区域 ROI支持三码流分别设置1个固定区域；</w:t>
            </w:r>
            <w:r>
              <w:rPr>
                <w:rFonts w:hint="eastAsia" w:ascii="宋体" w:hAnsi="宋体" w:cs="宋体"/>
                <w:color w:val="000000"/>
                <w:sz w:val="20"/>
              </w:rPr>
              <w:br w:type="textWrapping"/>
            </w:r>
            <w:r>
              <w:rPr>
                <w:rFonts w:hint="eastAsia" w:ascii="宋体" w:hAnsi="宋体" w:cs="宋体"/>
                <w:color w:val="000000"/>
                <w:sz w:val="20"/>
              </w:rPr>
              <w:t>存储功能 NAS(NFS,SMB/CIFS均支持) ；</w:t>
            </w:r>
            <w:r>
              <w:rPr>
                <w:rFonts w:hint="eastAsia" w:ascii="宋体" w:hAnsi="宋体" w:cs="宋体"/>
                <w:color w:val="000000"/>
                <w:sz w:val="20"/>
              </w:rPr>
              <w:br w:type="textWrapping"/>
            </w:r>
            <w:r>
              <w:rPr>
                <w:rFonts w:hint="eastAsia" w:ascii="宋体" w:hAnsi="宋体" w:cs="宋体"/>
                <w:color w:val="000000"/>
                <w:sz w:val="20"/>
              </w:rPr>
              <w:t>智能报警 越界侦测,区域入侵侦测,场景变更侦测,人脸侦测,虚焦侦测，物品遗留侦测,物品拾取侦测,非法停车侦测,人员聚集侦测,徘徊侦测,快速移动侦测,进入区域侦测,离开区域侦测；</w:t>
            </w:r>
            <w:r>
              <w:rPr>
                <w:rFonts w:hint="eastAsia" w:ascii="宋体" w:hAnsi="宋体" w:cs="宋体"/>
                <w:color w:val="000000"/>
                <w:sz w:val="20"/>
              </w:rPr>
              <w:br w:type="textWrapping"/>
            </w:r>
            <w:r>
              <w:rPr>
                <w:rFonts w:hint="eastAsia" w:ascii="宋体" w:hAnsi="宋体" w:cs="宋体"/>
                <w:color w:val="000000"/>
                <w:sz w:val="20"/>
              </w:rPr>
              <w:t>工作温度和湿度 -30℃~60℃,湿度小于95%(无凝结)</w:t>
            </w:r>
            <w:r>
              <w:rPr>
                <w:rFonts w:hint="eastAsia" w:ascii="宋体" w:hAnsi="宋体" w:cs="宋体"/>
                <w:color w:val="000000"/>
                <w:sz w:val="20"/>
              </w:rPr>
              <w:br w:type="textWrapping"/>
            </w:r>
            <w:r>
              <w:rPr>
                <w:rFonts w:hint="eastAsia" w:ascii="宋体" w:hAnsi="宋体" w:cs="宋体"/>
                <w:color w:val="000000"/>
                <w:sz w:val="20"/>
              </w:rPr>
              <w:t>电源供应 DC12V±25%；</w:t>
            </w:r>
            <w:r>
              <w:rPr>
                <w:rFonts w:hint="eastAsia" w:ascii="宋体" w:hAnsi="宋体" w:cs="宋体"/>
                <w:color w:val="000000"/>
                <w:sz w:val="20"/>
              </w:rPr>
              <w:br w:type="textWrapping"/>
            </w:r>
            <w:r>
              <w:rPr>
                <w:rFonts w:hint="eastAsia" w:ascii="宋体" w:hAnsi="宋体" w:cs="宋体"/>
                <w:color w:val="000000"/>
                <w:sz w:val="20"/>
              </w:rPr>
              <w:t>电源接口类型 圆头电源接口；</w:t>
            </w:r>
            <w:r>
              <w:rPr>
                <w:rFonts w:hint="eastAsia" w:ascii="宋体" w:hAnsi="宋体" w:cs="宋体"/>
                <w:color w:val="000000"/>
                <w:sz w:val="20"/>
              </w:rPr>
              <w:br w:type="textWrapping"/>
            </w:r>
            <w:r>
              <w:rPr>
                <w:rFonts w:hint="eastAsia" w:ascii="宋体" w:hAnsi="宋体" w:cs="宋体"/>
                <w:color w:val="000000"/>
                <w:sz w:val="20"/>
              </w:rPr>
              <w:t>功耗 5.5W MAX；</w:t>
            </w:r>
            <w:r>
              <w:rPr>
                <w:rFonts w:hint="eastAsia" w:ascii="宋体" w:hAnsi="宋体" w:cs="宋体"/>
                <w:color w:val="000000"/>
                <w:sz w:val="20"/>
              </w:rPr>
              <w:br w:type="textWrapping"/>
            </w:r>
            <w:r>
              <w:rPr>
                <w:rFonts w:hint="eastAsia" w:ascii="宋体" w:hAnsi="宋体" w:cs="宋体"/>
                <w:color w:val="000000"/>
                <w:sz w:val="20"/>
              </w:rPr>
              <w:t>红外照射距离最远可达 30米；</w:t>
            </w:r>
            <w:r>
              <w:rPr>
                <w:rFonts w:hint="eastAsia" w:ascii="宋体" w:hAnsi="宋体" w:cs="宋体"/>
                <w:color w:val="000000"/>
                <w:sz w:val="20"/>
              </w:rPr>
              <w:br w:type="textWrapping"/>
            </w:r>
            <w:r>
              <w:rPr>
                <w:rFonts w:hint="eastAsia" w:ascii="宋体" w:hAnsi="宋体" w:cs="宋体"/>
                <w:color w:val="000000"/>
                <w:sz w:val="20"/>
              </w:rPr>
              <w:t>防护等级 IP67</w:t>
            </w:r>
          </w:p>
        </w:tc>
      </w:tr>
      <w:tr>
        <w:tblPrEx>
          <w:tblCellMar>
            <w:top w:w="0" w:type="dxa"/>
            <w:left w:w="108" w:type="dxa"/>
            <w:bottom w:w="0" w:type="dxa"/>
            <w:right w:w="108" w:type="dxa"/>
          </w:tblCellMar>
        </w:tblPrEx>
        <w:trPr>
          <w:trHeight w:val="56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彩色高清半球摄像机</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200万星光级1/2.7”CMOS ICR日夜型半球型网络摄像机;支持POE供电。最小照度 0.002 Lux @(F1.2,AGC ON), 0 Lux with IR;快门 1/3秒至1/100,000秒;镜头 (4mm、6mm、8mm可选), 水平视场角: 113.5°;调整角度 水平:0°~360°;垂直:0°~ 75°;旋转:0°~360°;数字降噪 3D数字降噪;视频压缩标准 H.265 / H.264 / MJPEG;H.265编码类型 Main Profile;帧率 50Hz: 25fps (1920 × 1080,1280 × 960,1280 × 720);工作温度和湿度 -30℃~60℃,湿度小于95%(无凝结);电源供应 DC12V±25%/ PoE(802.3af);电源接口类型 圆头电源接口;功耗 5.5W MAX ;红外照射距离 20-30米</w:t>
            </w:r>
          </w:p>
        </w:tc>
      </w:tr>
      <w:tr>
        <w:tblPrEx>
          <w:tblCellMar>
            <w:top w:w="0" w:type="dxa"/>
            <w:left w:w="108" w:type="dxa"/>
            <w:bottom w:w="0" w:type="dxa"/>
            <w:right w:w="108" w:type="dxa"/>
          </w:tblCellMar>
        </w:tblPrEx>
        <w:trPr>
          <w:trHeight w:val="114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彩色高清电梯专用摄像机</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200万1/2.7”CMOS飞碟型网络摄像机；最小照度 0.01Lux @(F1.2,AGC ON) ；镜头2.8mm, 水平视场角:90°；调整角度 水平-15~15°,垂直0~90°,旋转-15~15°；视频压缩标准 H.265 / H.264；帧率 50Hz: 25fps (1920 × 1080,1280 × 960,1280 × 720)；DC12V±25% / PoE(802.3af)；功耗 5W MAX（ICR切换瞬间7W MAX）。另带DC12V电源。</w:t>
            </w:r>
          </w:p>
        </w:tc>
      </w:tr>
      <w:tr>
        <w:tblPrEx>
          <w:tblCellMar>
            <w:top w:w="0" w:type="dxa"/>
            <w:left w:w="108" w:type="dxa"/>
            <w:bottom w:w="0" w:type="dxa"/>
            <w:right w:w="108" w:type="dxa"/>
          </w:tblCellMar>
        </w:tblPrEx>
        <w:trPr>
          <w:trHeight w:val="68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9</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数字楼层显示器</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高灵敏度的光电（或磁卡）传感器，楼层、运行方向显示准确，无乱码，抗干扰能力强，安装简单，兼容多个品牌的摄像机。</w:t>
            </w:r>
          </w:p>
        </w:tc>
      </w:tr>
      <w:tr>
        <w:tblPrEx>
          <w:tblCellMar>
            <w:top w:w="0" w:type="dxa"/>
            <w:left w:w="108" w:type="dxa"/>
            <w:bottom w:w="0" w:type="dxa"/>
            <w:right w:w="108" w:type="dxa"/>
          </w:tblCellMar>
        </w:tblPrEx>
        <w:trPr>
          <w:trHeight w:val="60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网络传输器</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任意两芯线传输网络信号，最远距离1000米，百兆透明传输，最大物理带宽500M，可任意组网，支持一对多使用。</w:t>
            </w:r>
          </w:p>
        </w:tc>
      </w:tr>
      <w:tr>
        <w:tblPrEx>
          <w:tblCellMar>
            <w:top w:w="0" w:type="dxa"/>
            <w:left w:w="108" w:type="dxa"/>
            <w:bottom w:w="0" w:type="dxa"/>
            <w:right w:w="108" w:type="dxa"/>
          </w:tblCellMar>
        </w:tblPrEx>
        <w:trPr>
          <w:trHeight w:val="466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200万轻智能警戒摄像机</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200万星光级1/2.7"CMOS智能筒型网络摄像机，支持POE供电。</w:t>
            </w:r>
            <w:r>
              <w:rPr>
                <w:rFonts w:hint="eastAsia" w:ascii="宋体" w:hAnsi="宋体" w:cs="宋体"/>
                <w:color w:val="000000"/>
                <w:sz w:val="20"/>
              </w:rPr>
              <w:br w:type="textWrapping"/>
            </w:r>
            <w:r>
              <w:rPr>
                <w:rFonts w:hint="eastAsia" w:ascii="宋体" w:hAnsi="宋体" w:cs="宋体"/>
                <w:color w:val="000000"/>
                <w:sz w:val="20"/>
              </w:rPr>
              <w:t xml:space="preserve">智能侦测:采用深度学习硬件及算法,提供精准的人车分类侦测,支持越界侦测,区域入侵侦测,进入/离开区域侦测。 </w:t>
            </w:r>
            <w:r>
              <w:rPr>
                <w:rFonts w:hint="eastAsia" w:ascii="宋体" w:hAnsi="宋体" w:cs="宋体"/>
                <w:color w:val="000000"/>
                <w:sz w:val="20"/>
              </w:rPr>
              <w:br w:type="textWrapping"/>
            </w:r>
            <w:r>
              <w:rPr>
                <w:rFonts w:hint="eastAsia" w:ascii="宋体" w:hAnsi="宋体" w:cs="宋体"/>
                <w:color w:val="000000"/>
                <w:sz w:val="20"/>
              </w:rPr>
              <w:t>内置红外与白光补光灯；</w:t>
            </w:r>
            <w:r>
              <w:rPr>
                <w:rFonts w:hint="eastAsia" w:ascii="宋体" w:hAnsi="宋体" w:cs="宋体"/>
                <w:sz w:val="18"/>
                <w:szCs w:val="18"/>
              </w:rPr>
              <w:t>（公安部检测报告复印件证明并加盖原厂公章）</w:t>
            </w:r>
            <w:r>
              <w:rPr>
                <w:rFonts w:hint="eastAsia" w:ascii="宋体" w:hAnsi="宋体" w:cs="宋体"/>
                <w:color w:val="000000"/>
                <w:sz w:val="20"/>
              </w:rPr>
              <w:br w:type="textWrapping"/>
            </w:r>
            <w:r>
              <w:rPr>
                <w:rFonts w:hint="eastAsia" w:ascii="宋体" w:hAnsi="宋体" w:cs="宋体"/>
                <w:color w:val="000000"/>
                <w:sz w:val="20"/>
              </w:rPr>
              <w:t>内置麦克风和喇叭；</w:t>
            </w:r>
            <w:r>
              <w:rPr>
                <w:rFonts w:hint="eastAsia" w:ascii="宋体" w:hAnsi="宋体" w:cs="宋体"/>
                <w:color w:val="000000"/>
                <w:sz w:val="20"/>
              </w:rPr>
              <w:br w:type="textWrapping"/>
            </w:r>
            <w:r>
              <w:rPr>
                <w:rFonts w:hint="eastAsia" w:ascii="宋体" w:hAnsi="宋体" w:cs="宋体"/>
                <w:color w:val="000000"/>
                <w:sz w:val="20"/>
              </w:rPr>
              <w:t>最小照度:0.002Lux @(F1.2,AGC ON) ,0 Lux with IR</w:t>
            </w:r>
            <w:r>
              <w:rPr>
                <w:rFonts w:hint="eastAsia" w:ascii="宋体" w:hAnsi="宋体" w:cs="宋体"/>
                <w:color w:val="000000"/>
                <w:sz w:val="20"/>
              </w:rPr>
              <w:br w:type="textWrapping"/>
            </w:r>
            <w:r>
              <w:rPr>
                <w:rFonts w:hint="eastAsia" w:ascii="宋体" w:hAnsi="宋体" w:cs="宋体"/>
                <w:color w:val="000000"/>
                <w:sz w:val="20"/>
              </w:rPr>
              <w:t>镜头:4mm, 水平视场角81.9°[6mm(50.8°),8mm(38.7°),12mm(24.2°)可选]</w:t>
            </w:r>
            <w:r>
              <w:rPr>
                <w:rFonts w:hint="eastAsia" w:ascii="宋体" w:hAnsi="宋体" w:cs="宋体"/>
                <w:color w:val="000000"/>
                <w:sz w:val="20"/>
              </w:rPr>
              <w:br w:type="textWrapping"/>
            </w:r>
            <w:r>
              <w:rPr>
                <w:rFonts w:hint="eastAsia" w:ascii="宋体" w:hAnsi="宋体" w:cs="宋体"/>
                <w:color w:val="000000"/>
                <w:sz w:val="20"/>
              </w:rPr>
              <w:t>宽动态范围:120dB</w:t>
            </w:r>
            <w:r>
              <w:rPr>
                <w:rFonts w:hint="eastAsia" w:ascii="宋体" w:hAnsi="宋体" w:cs="宋体"/>
                <w:color w:val="000000"/>
                <w:sz w:val="20"/>
              </w:rPr>
              <w:br w:type="textWrapping"/>
            </w:r>
            <w:r>
              <w:rPr>
                <w:rFonts w:hint="eastAsia" w:ascii="宋体" w:hAnsi="宋体" w:cs="宋体"/>
                <w:color w:val="000000"/>
                <w:sz w:val="20"/>
              </w:rPr>
              <w:t>视频压缩标准:H.265/H.264/ MJPEG</w:t>
            </w:r>
            <w:r>
              <w:rPr>
                <w:rFonts w:hint="eastAsia" w:ascii="宋体" w:hAnsi="宋体" w:cs="宋体"/>
                <w:color w:val="000000"/>
                <w:sz w:val="20"/>
              </w:rPr>
              <w:br w:type="textWrapping"/>
            </w:r>
            <w:r>
              <w:rPr>
                <w:rFonts w:hint="eastAsia" w:ascii="宋体" w:hAnsi="宋体" w:cs="宋体"/>
                <w:color w:val="000000"/>
                <w:sz w:val="20"/>
              </w:rPr>
              <w:t>最大图像尺寸:1920 × 1080</w:t>
            </w:r>
            <w:r>
              <w:rPr>
                <w:rFonts w:hint="eastAsia" w:ascii="宋体" w:hAnsi="宋体" w:cs="宋体"/>
                <w:color w:val="000000"/>
                <w:sz w:val="20"/>
              </w:rPr>
              <w:br w:type="textWrapping"/>
            </w:r>
            <w:r>
              <w:rPr>
                <w:rFonts w:hint="eastAsia" w:ascii="宋体" w:hAnsi="宋体" w:cs="宋体"/>
                <w:color w:val="000000"/>
                <w:sz w:val="20"/>
              </w:rPr>
              <w:t>存储功能:支持Micro SD(即TF卡)/Micro SDHC/Micro SDXC卡((128GB或者256GB)断网本地存储及断网续传,NAS(NFS,SMB/CIFS均支持)</w:t>
            </w:r>
            <w:r>
              <w:rPr>
                <w:rFonts w:hint="eastAsia" w:ascii="宋体" w:hAnsi="宋体" w:cs="宋体"/>
                <w:color w:val="000000"/>
                <w:sz w:val="20"/>
              </w:rPr>
              <w:br w:type="textWrapping"/>
            </w:r>
            <w:r>
              <w:rPr>
                <w:rFonts w:hint="eastAsia" w:ascii="宋体" w:hAnsi="宋体" w:cs="宋体"/>
                <w:color w:val="000000"/>
                <w:sz w:val="20"/>
              </w:rPr>
              <w:t>支持白光报警功能，当报警产生时，可触发联动声音警报和白光闪烁；</w:t>
            </w:r>
            <w:r>
              <w:rPr>
                <w:rFonts w:hint="eastAsia" w:ascii="宋体" w:hAnsi="宋体" w:cs="宋体"/>
                <w:sz w:val="18"/>
                <w:szCs w:val="18"/>
              </w:rPr>
              <w:t>（公安部检测报告复印件证明并加盖原厂公章）</w:t>
            </w:r>
          </w:p>
          <w:p>
            <w:pPr>
              <w:textAlignment w:val="center"/>
              <w:rPr>
                <w:rFonts w:ascii="宋体" w:hAnsi="宋体" w:cs="宋体"/>
                <w:color w:val="000000"/>
                <w:sz w:val="20"/>
              </w:rPr>
            </w:pPr>
            <w:r>
              <w:rPr>
                <w:rFonts w:hint="eastAsia" w:ascii="宋体" w:hAnsi="宋体" w:cs="宋体"/>
                <w:color w:val="000000"/>
                <w:sz w:val="20"/>
              </w:rPr>
              <w:t>工作温度和湿度:-30℃~60℃,湿度小于95%(无凝结)</w:t>
            </w:r>
            <w:r>
              <w:rPr>
                <w:rFonts w:hint="eastAsia" w:ascii="宋体" w:hAnsi="宋体" w:cs="宋体"/>
                <w:color w:val="000000"/>
                <w:sz w:val="20"/>
              </w:rPr>
              <w:br w:type="textWrapping"/>
            </w:r>
            <w:r>
              <w:rPr>
                <w:rFonts w:hint="eastAsia" w:ascii="宋体" w:hAnsi="宋体" w:cs="宋体"/>
                <w:color w:val="000000"/>
                <w:sz w:val="20"/>
              </w:rPr>
              <w:t xml:space="preserve">电源供应:DC12V±25% </w:t>
            </w:r>
            <w:r>
              <w:rPr>
                <w:rFonts w:hint="eastAsia" w:ascii="宋体" w:hAnsi="宋体" w:cs="宋体"/>
                <w:color w:val="000000"/>
                <w:sz w:val="20"/>
              </w:rPr>
              <w:br w:type="textWrapping"/>
            </w:r>
            <w:r>
              <w:rPr>
                <w:rFonts w:hint="eastAsia" w:ascii="宋体" w:hAnsi="宋体" w:cs="宋体"/>
                <w:color w:val="000000"/>
                <w:sz w:val="20"/>
              </w:rPr>
              <w:t>功耗:DC12V:9W Max</w:t>
            </w:r>
            <w:r>
              <w:rPr>
                <w:rFonts w:hint="eastAsia" w:ascii="宋体" w:hAnsi="宋体" w:cs="宋体"/>
                <w:color w:val="000000"/>
                <w:sz w:val="20"/>
              </w:rPr>
              <w:br w:type="textWrapping"/>
            </w:r>
            <w:r>
              <w:rPr>
                <w:rFonts w:hint="eastAsia" w:ascii="宋体" w:hAnsi="宋体" w:cs="宋体"/>
                <w:color w:val="000000"/>
                <w:sz w:val="20"/>
              </w:rPr>
              <w:t>红外照射距离:最远可达50米</w:t>
            </w:r>
            <w:r>
              <w:rPr>
                <w:rFonts w:hint="eastAsia" w:ascii="宋体" w:hAnsi="宋体" w:cs="宋体"/>
                <w:color w:val="000000"/>
                <w:sz w:val="20"/>
              </w:rPr>
              <w:br w:type="textWrapping"/>
            </w:r>
            <w:r>
              <w:rPr>
                <w:rFonts w:hint="eastAsia" w:ascii="宋体" w:hAnsi="宋体" w:cs="宋体"/>
                <w:color w:val="000000"/>
                <w:sz w:val="20"/>
              </w:rPr>
              <w:t>防护等级:IP67</w:t>
            </w:r>
          </w:p>
        </w:tc>
      </w:tr>
      <w:tr>
        <w:tblPrEx>
          <w:tblCellMar>
            <w:top w:w="0" w:type="dxa"/>
            <w:left w:w="108" w:type="dxa"/>
            <w:bottom w:w="0" w:type="dxa"/>
            <w:right w:w="108" w:type="dxa"/>
          </w:tblCellMar>
        </w:tblPrEx>
        <w:trPr>
          <w:trHeight w:val="335"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12</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消防占道球机</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智能检测社区占道车辆，并支持报警图片上传NVR或中心管理系统</w:t>
            </w:r>
            <w:r>
              <w:rPr>
                <w:rFonts w:hint="eastAsia" w:ascii="宋体" w:hAnsi="宋体" w:cs="宋体"/>
                <w:color w:val="000000"/>
                <w:sz w:val="20"/>
              </w:rPr>
              <w:br w:type="textWrapping"/>
            </w:r>
            <w:r>
              <w:rPr>
                <w:rFonts w:hint="eastAsia" w:ascii="宋体" w:hAnsi="宋体" w:cs="宋体"/>
                <w:color w:val="000000"/>
                <w:sz w:val="20"/>
              </w:rPr>
              <w:t>支持最多8个场景的社区占道轮巡检测</w:t>
            </w:r>
            <w:r>
              <w:rPr>
                <w:rFonts w:hint="eastAsia" w:ascii="宋体" w:hAnsi="宋体" w:cs="宋体"/>
                <w:color w:val="000000"/>
                <w:sz w:val="20"/>
              </w:rPr>
              <w:br w:type="textWrapping"/>
            </w:r>
            <w:r>
              <w:rPr>
                <w:rFonts w:hint="eastAsia" w:ascii="宋体" w:hAnsi="宋体" w:cs="宋体"/>
                <w:color w:val="000000"/>
                <w:sz w:val="20"/>
              </w:rPr>
              <w:t>▲支持园区取证停车抓拍功能，白天捕获率不低于96%，晚上捕获率不低于92%（公安部检测报告复印件证明并加盖原厂公章）</w:t>
            </w:r>
            <w:r>
              <w:rPr>
                <w:rFonts w:hint="eastAsia" w:ascii="宋体" w:hAnsi="宋体" w:cs="宋体"/>
                <w:color w:val="000000"/>
                <w:sz w:val="20"/>
              </w:rPr>
              <w:br w:type="textWrapping"/>
            </w:r>
            <w:r>
              <w:rPr>
                <w:rFonts w:hint="eastAsia" w:ascii="宋体" w:hAnsi="宋体" w:cs="宋体"/>
                <w:color w:val="000000"/>
                <w:sz w:val="20"/>
              </w:rPr>
              <w:t>内嵌车辆特征识别算法，可智能排除自行车、电动车、人等干扰因素</w:t>
            </w:r>
            <w:r>
              <w:rPr>
                <w:rFonts w:hint="eastAsia" w:ascii="宋体" w:hAnsi="宋体" w:cs="宋体"/>
                <w:color w:val="000000"/>
                <w:sz w:val="20"/>
              </w:rPr>
              <w:br w:type="textWrapping"/>
            </w:r>
            <w:r>
              <w:rPr>
                <w:rFonts w:hint="eastAsia" w:ascii="宋体" w:hAnsi="宋体" w:cs="宋体"/>
                <w:color w:val="000000"/>
                <w:sz w:val="20"/>
              </w:rPr>
              <w:t>图像传感器:1/2.8＂ progressive scan CMOS</w:t>
            </w:r>
            <w:r>
              <w:rPr>
                <w:rFonts w:hint="eastAsia" w:ascii="宋体" w:hAnsi="宋体" w:cs="宋体"/>
                <w:color w:val="000000"/>
                <w:sz w:val="20"/>
              </w:rPr>
              <w:br w:type="textWrapping"/>
            </w:r>
            <w:r>
              <w:rPr>
                <w:rFonts w:hint="eastAsia" w:ascii="宋体" w:hAnsi="宋体" w:cs="宋体"/>
                <w:color w:val="000000"/>
                <w:sz w:val="20"/>
              </w:rPr>
              <w:t>最低照度:彩色：0.05Lux @ (F1.6，AGC ON)；黑白：0.01Lux @(F1.6，AGC ON) ；0 Lux with IR</w:t>
            </w:r>
            <w:r>
              <w:rPr>
                <w:rFonts w:hint="eastAsia" w:ascii="宋体" w:hAnsi="宋体" w:cs="宋体"/>
                <w:color w:val="000000"/>
                <w:sz w:val="20"/>
              </w:rPr>
              <w:br w:type="textWrapping"/>
            </w:r>
            <w:r>
              <w:rPr>
                <w:rFonts w:hint="eastAsia" w:ascii="宋体" w:hAnsi="宋体" w:cs="宋体"/>
                <w:color w:val="000000"/>
                <w:sz w:val="20"/>
              </w:rPr>
              <w:t>分辨率及帧率:主码流 50Hz:25fps (1920×1080);60Hz: 30fps(1920×1080)</w:t>
            </w:r>
            <w:r>
              <w:rPr>
                <w:rFonts w:hint="eastAsia" w:ascii="宋体" w:hAnsi="宋体" w:cs="宋体"/>
                <w:color w:val="000000"/>
                <w:sz w:val="20"/>
              </w:rPr>
              <w:br w:type="textWrapping"/>
            </w:r>
            <w:r>
              <w:rPr>
                <w:rFonts w:hint="eastAsia" w:ascii="宋体" w:hAnsi="宋体" w:cs="宋体"/>
                <w:color w:val="000000"/>
                <w:sz w:val="20"/>
              </w:rPr>
              <w:t>视频压缩:H.265/H.264/MJPEG</w:t>
            </w:r>
            <w:r>
              <w:rPr>
                <w:rFonts w:hint="eastAsia" w:ascii="宋体" w:hAnsi="宋体" w:cs="宋体"/>
                <w:color w:val="000000"/>
                <w:sz w:val="20"/>
              </w:rPr>
              <w:br w:type="textWrapping"/>
            </w:r>
            <w:r>
              <w:rPr>
                <w:rFonts w:hint="eastAsia" w:ascii="宋体" w:hAnsi="宋体" w:cs="宋体"/>
                <w:color w:val="000000"/>
                <w:sz w:val="20"/>
              </w:rPr>
              <w:t>红外照射距离:150米</w:t>
            </w:r>
            <w:r>
              <w:rPr>
                <w:rFonts w:hint="eastAsia" w:ascii="宋体" w:hAnsi="宋体" w:cs="宋体"/>
                <w:color w:val="000000"/>
                <w:sz w:val="20"/>
              </w:rPr>
              <w:br w:type="textWrapping"/>
            </w:r>
            <w:r>
              <w:rPr>
                <w:rFonts w:hint="eastAsia" w:ascii="宋体" w:hAnsi="宋体" w:cs="宋体"/>
                <w:color w:val="000000"/>
                <w:sz w:val="20"/>
              </w:rPr>
              <w:t>焦距:4.7-94mm，20倍光学</w:t>
            </w:r>
            <w:r>
              <w:rPr>
                <w:rFonts w:hint="eastAsia" w:ascii="宋体" w:hAnsi="宋体" w:cs="宋体"/>
                <w:color w:val="000000"/>
                <w:sz w:val="20"/>
              </w:rPr>
              <w:br w:type="textWrapping"/>
            </w:r>
            <w:r>
              <w:rPr>
                <w:rFonts w:hint="eastAsia" w:ascii="宋体" w:hAnsi="宋体" w:cs="宋体"/>
                <w:color w:val="000000"/>
                <w:sz w:val="20"/>
              </w:rPr>
              <w:t>水平视角:61.4-2.9度(广角-望远)</w:t>
            </w:r>
            <w:r>
              <w:rPr>
                <w:rFonts w:hint="eastAsia" w:ascii="宋体" w:hAnsi="宋体" w:cs="宋体"/>
                <w:color w:val="000000"/>
                <w:sz w:val="20"/>
              </w:rPr>
              <w:br w:type="textWrapping"/>
            </w:r>
            <w:r>
              <w:rPr>
                <w:rFonts w:hint="eastAsia" w:ascii="宋体" w:hAnsi="宋体" w:cs="宋体"/>
                <w:color w:val="000000"/>
                <w:sz w:val="20"/>
              </w:rPr>
              <w:t>信噪比≥57dB，网络延时不大于110ms；</w:t>
            </w:r>
            <w:r>
              <w:rPr>
                <w:rFonts w:hint="eastAsia" w:ascii="宋体" w:hAnsi="宋体" w:cs="宋体"/>
                <w:sz w:val="18"/>
                <w:szCs w:val="18"/>
              </w:rPr>
              <w:t>（公安部检测报告复印件证明并加盖原厂公章）</w:t>
            </w:r>
            <w:r>
              <w:rPr>
                <w:rFonts w:hint="eastAsia" w:ascii="宋体" w:hAnsi="宋体" w:cs="宋体"/>
                <w:color w:val="000000"/>
                <w:sz w:val="20"/>
              </w:rPr>
              <w:br w:type="textWrapping"/>
            </w:r>
            <w:r>
              <w:rPr>
                <w:rFonts w:hint="eastAsia" w:ascii="宋体" w:hAnsi="宋体" w:cs="宋体"/>
                <w:color w:val="000000"/>
                <w:sz w:val="20"/>
              </w:rPr>
              <w:t>Smart图像增强:数字宽动态、透雾、强光抑制、电子防抖、Smart IR</w:t>
            </w:r>
            <w:r>
              <w:rPr>
                <w:rFonts w:hint="eastAsia" w:ascii="宋体" w:hAnsi="宋体" w:cs="宋体"/>
                <w:color w:val="000000"/>
                <w:sz w:val="20"/>
              </w:rPr>
              <w:br w:type="textWrapping"/>
            </w:r>
            <w:r>
              <w:rPr>
                <w:rFonts w:hint="eastAsia" w:ascii="宋体" w:hAnsi="宋体" w:cs="宋体"/>
                <w:color w:val="000000"/>
                <w:sz w:val="20"/>
              </w:rPr>
              <w:t>水平及垂直范围:水平360°；垂直-15°-90°（自动翻转）</w:t>
            </w:r>
            <w:r>
              <w:rPr>
                <w:rFonts w:hint="eastAsia" w:ascii="宋体" w:hAnsi="宋体" w:cs="宋体"/>
                <w:color w:val="000000"/>
                <w:sz w:val="20"/>
              </w:rPr>
              <w:br w:type="textWrapping"/>
            </w:r>
            <w:r>
              <w:rPr>
                <w:rFonts w:hint="eastAsia" w:ascii="宋体" w:hAnsi="宋体" w:cs="宋体"/>
                <w:color w:val="000000"/>
                <w:sz w:val="20"/>
              </w:rPr>
              <w:t>水平速度:水平键控速度：0.1°-160°/s,速度可设;水平预置点速度：240°/s</w:t>
            </w:r>
            <w:r>
              <w:rPr>
                <w:rFonts w:hint="eastAsia" w:ascii="宋体" w:hAnsi="宋体" w:cs="宋体"/>
                <w:color w:val="000000"/>
                <w:sz w:val="20"/>
              </w:rPr>
              <w:br w:type="textWrapping"/>
            </w:r>
            <w:r>
              <w:rPr>
                <w:rFonts w:hint="eastAsia" w:ascii="宋体" w:hAnsi="宋体" w:cs="宋体"/>
                <w:color w:val="000000"/>
                <w:sz w:val="20"/>
              </w:rPr>
              <w:t>垂直速度:垂直键控速度：0.1°-120°/s,速度可设;垂直预置点速度：200°/s</w:t>
            </w:r>
            <w:r>
              <w:rPr>
                <w:rFonts w:hint="eastAsia" w:ascii="宋体" w:hAnsi="宋体" w:cs="宋体"/>
                <w:color w:val="000000"/>
                <w:sz w:val="20"/>
              </w:rPr>
              <w:br w:type="textWrapping"/>
            </w:r>
            <w:r>
              <w:rPr>
                <w:rFonts w:hint="eastAsia" w:ascii="宋体" w:hAnsi="宋体" w:cs="宋体"/>
                <w:color w:val="000000"/>
                <w:sz w:val="20"/>
              </w:rPr>
              <w:t>防护等级:IP66</w:t>
            </w:r>
          </w:p>
        </w:tc>
      </w:tr>
      <w:tr>
        <w:tblPrEx>
          <w:tblCellMar>
            <w:top w:w="0" w:type="dxa"/>
            <w:left w:w="108" w:type="dxa"/>
            <w:bottom w:w="0" w:type="dxa"/>
            <w:right w:w="108" w:type="dxa"/>
          </w:tblCellMar>
        </w:tblPrEx>
        <w:trPr>
          <w:trHeight w:val="58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13</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摄像机 立竿</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立杆需带600*600*600基础。采用优质不锈钢制成，壁厚2mm以上，焊接。底盘采用20mm钢板。3.5米、3米</w:t>
            </w:r>
          </w:p>
        </w:tc>
      </w:tr>
      <w:tr>
        <w:tblPrEx>
          <w:tblCellMar>
            <w:top w:w="0" w:type="dxa"/>
            <w:left w:w="108" w:type="dxa"/>
            <w:bottom w:w="0" w:type="dxa"/>
            <w:right w:w="108" w:type="dxa"/>
          </w:tblCellMar>
        </w:tblPrEx>
        <w:trPr>
          <w:trHeight w:val="156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14</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视频解码器</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2路DVI-I输入口，2路HDMI输入口，18路HDMI音视频输出口</w:t>
            </w:r>
            <w:r>
              <w:rPr>
                <w:rFonts w:hint="eastAsia" w:ascii="宋体" w:hAnsi="宋体" w:cs="宋体"/>
                <w:color w:val="000000"/>
                <w:sz w:val="20"/>
              </w:rPr>
              <w:br w:type="textWrapping"/>
            </w:r>
            <w:r>
              <w:rPr>
                <w:rFonts w:hint="eastAsia" w:ascii="宋体" w:hAnsi="宋体" w:cs="宋体"/>
                <w:color w:val="000000"/>
                <w:sz w:val="20"/>
              </w:rPr>
              <w:t>支持最大18个屏的任意拼接显示，每屏支持1/4/6/8/9/16/25/36固定分割支持M*N自定义分割，M*N&lt;=36</w:t>
            </w:r>
            <w:r>
              <w:rPr>
                <w:rFonts w:hint="eastAsia" w:ascii="宋体" w:hAnsi="宋体" w:cs="宋体"/>
                <w:color w:val="000000"/>
                <w:sz w:val="20"/>
              </w:rPr>
              <w:br w:type="textWrapping"/>
            </w:r>
            <w:r>
              <w:rPr>
                <w:rFonts w:hint="eastAsia" w:ascii="宋体" w:hAnsi="宋体" w:cs="宋体"/>
                <w:color w:val="000000"/>
                <w:sz w:val="20"/>
              </w:rPr>
              <w:t>视频标准MPEG2/MPEG4/H.264/H.265/SVAC/MJPEG；解码能力H.264和H.265解码能力相同。 最大解码支持：216路720P@30fps或96路1080P@30fps或72路300W@25fps或48路500W@30fps或24路800W@30fps或18路1200W@25fps图像解码；</w:t>
            </w:r>
          </w:p>
        </w:tc>
      </w:tr>
      <w:tr>
        <w:tblPrEx>
          <w:tblCellMar>
            <w:top w:w="0" w:type="dxa"/>
            <w:left w:w="108" w:type="dxa"/>
            <w:bottom w:w="0" w:type="dxa"/>
            <w:right w:w="108" w:type="dxa"/>
          </w:tblCellMar>
        </w:tblPrEx>
        <w:trPr>
          <w:trHeight w:val="256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32寸监视器</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32寸液晶监视器+底座</w:t>
            </w:r>
            <w:r>
              <w:rPr>
                <w:rFonts w:hint="eastAsia" w:ascii="宋体" w:hAnsi="宋体" w:cs="宋体"/>
                <w:color w:val="000000"/>
                <w:sz w:val="20"/>
              </w:rPr>
              <w:br w:type="textWrapping"/>
            </w:r>
            <w:r>
              <w:rPr>
                <w:rFonts w:hint="eastAsia" w:ascii="宋体" w:hAnsi="宋体" w:cs="宋体"/>
                <w:color w:val="000000"/>
                <w:sz w:val="20"/>
              </w:rPr>
              <w:t>显示：LED背光；分辨率1920*1080；</w:t>
            </w:r>
            <w:r>
              <w:rPr>
                <w:rFonts w:hint="eastAsia" w:ascii="宋体" w:hAnsi="宋体" w:cs="宋体"/>
                <w:color w:val="000000"/>
                <w:sz w:val="20"/>
              </w:rPr>
              <w:br w:type="textWrapping"/>
            </w:r>
            <w:r>
              <w:rPr>
                <w:rFonts w:hint="eastAsia" w:ascii="宋体" w:hAnsi="宋体" w:cs="宋体"/>
                <w:color w:val="000000"/>
                <w:sz w:val="20"/>
              </w:rPr>
              <w:t>可视角度：178°(H)/178°(V)</w:t>
            </w:r>
            <w:r>
              <w:rPr>
                <w:rFonts w:hint="eastAsia" w:ascii="宋体" w:hAnsi="宋体" w:cs="宋体"/>
                <w:color w:val="000000"/>
                <w:sz w:val="20"/>
              </w:rPr>
              <w:br w:type="textWrapping"/>
            </w:r>
            <w:r>
              <w:rPr>
                <w:rFonts w:hint="eastAsia" w:ascii="宋体" w:hAnsi="宋体" w:cs="宋体"/>
                <w:color w:val="000000"/>
                <w:sz w:val="20"/>
              </w:rPr>
              <w:t>亮度：240cd/m²（typ.）</w:t>
            </w:r>
            <w:r>
              <w:rPr>
                <w:rFonts w:hint="eastAsia" w:ascii="宋体" w:hAnsi="宋体" w:cs="宋体"/>
                <w:color w:val="000000"/>
                <w:sz w:val="20"/>
              </w:rPr>
              <w:br w:type="textWrapping"/>
            </w:r>
            <w:r>
              <w:rPr>
                <w:rFonts w:hint="eastAsia" w:ascii="宋体" w:hAnsi="宋体" w:cs="宋体"/>
                <w:color w:val="000000"/>
                <w:sz w:val="20"/>
              </w:rPr>
              <w:t>对比度：1400：1(typ.)</w:t>
            </w:r>
            <w:r>
              <w:rPr>
                <w:rFonts w:hint="eastAsia" w:ascii="宋体" w:hAnsi="宋体" w:cs="宋体"/>
                <w:color w:val="000000"/>
                <w:sz w:val="20"/>
              </w:rPr>
              <w:br w:type="textWrapping"/>
            </w:r>
            <w:r>
              <w:rPr>
                <w:rFonts w:hint="eastAsia" w:ascii="宋体" w:hAnsi="宋体" w:cs="宋体"/>
                <w:color w:val="000000"/>
                <w:sz w:val="20"/>
              </w:rPr>
              <w:t>裸机尺寸(W x H x D)：731.37*431.61*67.54mm</w:t>
            </w:r>
            <w:r>
              <w:rPr>
                <w:rFonts w:hint="eastAsia" w:ascii="宋体" w:hAnsi="宋体" w:cs="宋体"/>
                <w:color w:val="000000"/>
                <w:sz w:val="20"/>
              </w:rPr>
              <w:br w:type="textWrapping"/>
            </w:r>
            <w:r>
              <w:rPr>
                <w:rFonts w:hint="eastAsia" w:ascii="宋体" w:hAnsi="宋体" w:cs="宋体"/>
                <w:color w:val="000000"/>
                <w:sz w:val="20"/>
              </w:rPr>
              <w:t>HDMI*3</w:t>
            </w:r>
            <w:r>
              <w:rPr>
                <w:rFonts w:hint="eastAsia" w:ascii="宋体" w:hAnsi="宋体" w:cs="宋体"/>
                <w:color w:val="000000"/>
                <w:sz w:val="20"/>
              </w:rPr>
              <w:br w:type="textWrapping"/>
            </w:r>
            <w:r>
              <w:rPr>
                <w:rFonts w:hint="eastAsia" w:ascii="宋体" w:hAnsi="宋体" w:cs="宋体"/>
                <w:color w:val="000000"/>
                <w:sz w:val="20"/>
              </w:rPr>
              <w:t>VGA*1</w:t>
            </w:r>
            <w:r>
              <w:rPr>
                <w:rFonts w:hint="eastAsia" w:ascii="宋体" w:hAnsi="宋体" w:cs="宋体"/>
                <w:color w:val="000000"/>
                <w:sz w:val="20"/>
              </w:rPr>
              <w:br w:type="textWrapping"/>
            </w:r>
            <w:r>
              <w:rPr>
                <w:rFonts w:hint="eastAsia" w:ascii="宋体" w:hAnsi="宋体" w:cs="宋体"/>
                <w:color w:val="000000"/>
                <w:sz w:val="20"/>
              </w:rPr>
              <w:t>USB*1</w:t>
            </w:r>
            <w:r>
              <w:rPr>
                <w:rFonts w:hint="eastAsia" w:ascii="宋体" w:hAnsi="宋体" w:cs="宋体"/>
                <w:color w:val="000000"/>
                <w:sz w:val="20"/>
              </w:rPr>
              <w:br w:type="textWrapping"/>
            </w:r>
            <w:r>
              <w:rPr>
                <w:rFonts w:hint="eastAsia" w:ascii="宋体" w:hAnsi="宋体" w:cs="宋体"/>
                <w:color w:val="000000"/>
                <w:sz w:val="20"/>
              </w:rPr>
              <w:t>YPbPr</w:t>
            </w:r>
          </w:p>
        </w:tc>
      </w:tr>
      <w:tr>
        <w:tblPrEx>
          <w:tblCellMar>
            <w:top w:w="0" w:type="dxa"/>
            <w:left w:w="108" w:type="dxa"/>
            <w:bottom w:w="0" w:type="dxa"/>
            <w:right w:w="108" w:type="dxa"/>
          </w:tblCellMar>
        </w:tblPrEx>
        <w:trPr>
          <w:trHeight w:val="59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16</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24寸显示器</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24寸显示器+底座分辨率: 1920*1080（全高清）,屏幕比例: 16:9。</w:t>
            </w:r>
          </w:p>
        </w:tc>
      </w:tr>
      <w:tr>
        <w:tblPrEx>
          <w:tblCellMar>
            <w:top w:w="0" w:type="dxa"/>
            <w:left w:w="108" w:type="dxa"/>
            <w:bottom w:w="0" w:type="dxa"/>
            <w:right w:w="108" w:type="dxa"/>
          </w:tblCellMar>
        </w:tblPrEx>
        <w:trPr>
          <w:trHeight w:val="439"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17</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视频切换器</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 xml:space="preserve">二合一4K HDMI视频切换器 </w:t>
            </w:r>
          </w:p>
        </w:tc>
      </w:tr>
      <w:tr>
        <w:tblPrEx>
          <w:tblCellMar>
            <w:top w:w="0" w:type="dxa"/>
            <w:left w:w="108" w:type="dxa"/>
            <w:bottom w:w="0" w:type="dxa"/>
            <w:right w:w="108" w:type="dxa"/>
          </w:tblCellMar>
        </w:tblPrEx>
        <w:trPr>
          <w:trHeight w:val="439"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18</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电源</w:t>
            </w:r>
          </w:p>
        </w:tc>
        <w:tc>
          <w:tcPr>
            <w:tcW w:w="8093"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宋体" w:hAnsi="宋体" w:cs="宋体"/>
                <w:color w:val="000000"/>
                <w:sz w:val="20"/>
              </w:rPr>
            </w:pPr>
            <w:r>
              <w:rPr>
                <w:rFonts w:hint="eastAsia" w:ascii="宋体" w:hAnsi="宋体" w:cs="宋体"/>
                <w:color w:val="000000"/>
                <w:sz w:val="20"/>
              </w:rPr>
              <w:t>DC12V/5A</w:t>
            </w:r>
          </w:p>
        </w:tc>
      </w:tr>
      <w:tr>
        <w:tblPrEx>
          <w:tblCellMar>
            <w:top w:w="0" w:type="dxa"/>
            <w:left w:w="108" w:type="dxa"/>
            <w:bottom w:w="0" w:type="dxa"/>
            <w:right w:w="108" w:type="dxa"/>
          </w:tblCellMar>
        </w:tblPrEx>
        <w:trPr>
          <w:trHeight w:val="439"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19</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配套支架</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配套支架（包括除3.5米、3米立杆以外所有短杆）</w:t>
            </w:r>
          </w:p>
        </w:tc>
      </w:tr>
      <w:tr>
        <w:tblPrEx>
          <w:tblCellMar>
            <w:top w:w="0" w:type="dxa"/>
            <w:left w:w="108" w:type="dxa"/>
            <w:bottom w:w="0" w:type="dxa"/>
            <w:right w:w="108" w:type="dxa"/>
          </w:tblCellMar>
        </w:tblPrEx>
        <w:trPr>
          <w:trHeight w:val="439"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20</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管理电脑</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I5-9400CPU/8G内存/1T硬盘/无光驱/集成显卡 21.5寸显示器</w:t>
            </w:r>
          </w:p>
        </w:tc>
      </w:tr>
      <w:tr>
        <w:tblPrEx>
          <w:tblCellMar>
            <w:top w:w="0" w:type="dxa"/>
            <w:left w:w="108" w:type="dxa"/>
            <w:bottom w:w="0" w:type="dxa"/>
            <w:right w:w="108" w:type="dxa"/>
          </w:tblCellMar>
        </w:tblPrEx>
        <w:trPr>
          <w:trHeight w:val="439"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21</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操作台1</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定制。暂定900*2000。带储物功能。</w:t>
            </w:r>
          </w:p>
        </w:tc>
      </w:tr>
      <w:tr>
        <w:tblPrEx>
          <w:tblCellMar>
            <w:top w:w="0" w:type="dxa"/>
            <w:left w:w="108" w:type="dxa"/>
            <w:bottom w:w="0" w:type="dxa"/>
            <w:right w:w="108" w:type="dxa"/>
          </w:tblCellMar>
        </w:tblPrEx>
        <w:trPr>
          <w:trHeight w:val="439"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22</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操作台2</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定制。暂定900*3000。带储物功能。</w:t>
            </w:r>
          </w:p>
        </w:tc>
      </w:tr>
      <w:tr>
        <w:tblPrEx>
          <w:tblCellMar>
            <w:top w:w="0" w:type="dxa"/>
            <w:left w:w="108" w:type="dxa"/>
            <w:bottom w:w="0" w:type="dxa"/>
            <w:right w:w="108" w:type="dxa"/>
          </w:tblCellMar>
        </w:tblPrEx>
        <w:trPr>
          <w:trHeight w:val="439"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23</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操作台3</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定制。暂定900*4000。带储物功能。</w:t>
            </w:r>
          </w:p>
        </w:tc>
      </w:tr>
      <w:tr>
        <w:tblPrEx>
          <w:tblCellMar>
            <w:top w:w="0" w:type="dxa"/>
            <w:left w:w="108" w:type="dxa"/>
            <w:bottom w:w="0" w:type="dxa"/>
            <w:right w:w="108" w:type="dxa"/>
          </w:tblCellMar>
        </w:tblPrEx>
        <w:trPr>
          <w:trHeight w:val="439"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24</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操作台4</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定制。暂定900*5000。带储物功能。</w:t>
            </w:r>
          </w:p>
        </w:tc>
      </w:tr>
      <w:tr>
        <w:tblPrEx>
          <w:tblCellMar>
            <w:top w:w="0" w:type="dxa"/>
            <w:left w:w="108" w:type="dxa"/>
            <w:bottom w:w="0" w:type="dxa"/>
            <w:right w:w="108" w:type="dxa"/>
          </w:tblCellMar>
        </w:tblPrEx>
        <w:trPr>
          <w:trHeight w:val="439"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25</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操作台5</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定制。暂定900*3500。带储物功能。</w:t>
            </w:r>
          </w:p>
        </w:tc>
      </w:tr>
      <w:tr>
        <w:tblPrEx>
          <w:tblCellMar>
            <w:top w:w="0" w:type="dxa"/>
            <w:left w:w="108" w:type="dxa"/>
            <w:bottom w:w="0" w:type="dxa"/>
            <w:right w:w="108" w:type="dxa"/>
          </w:tblCellMar>
        </w:tblPrEx>
        <w:trPr>
          <w:trHeight w:val="439"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26</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操作台6</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定制。暂定900*3000，双层。带储物功能。</w:t>
            </w:r>
          </w:p>
        </w:tc>
      </w:tr>
      <w:tr>
        <w:tblPrEx>
          <w:tblCellMar>
            <w:top w:w="0" w:type="dxa"/>
            <w:left w:w="108" w:type="dxa"/>
            <w:bottom w:w="0" w:type="dxa"/>
            <w:right w:w="108" w:type="dxa"/>
          </w:tblCellMar>
        </w:tblPrEx>
        <w:trPr>
          <w:trHeight w:val="439"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27</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配套附件</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安装配套附件。</w:t>
            </w:r>
          </w:p>
        </w:tc>
      </w:tr>
      <w:tr>
        <w:tblPrEx>
          <w:tblCellMar>
            <w:top w:w="0" w:type="dxa"/>
            <w:left w:w="108" w:type="dxa"/>
            <w:bottom w:w="0" w:type="dxa"/>
            <w:right w:w="108" w:type="dxa"/>
          </w:tblCellMar>
        </w:tblPrEx>
        <w:trPr>
          <w:trHeight w:val="439" w:hRule="atLeast"/>
        </w:trPr>
        <w:tc>
          <w:tcPr>
            <w:tcW w:w="9870" w:type="dxa"/>
            <w:gridSpan w:val="3"/>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b/>
                <w:bCs/>
                <w:color w:val="000000"/>
                <w:sz w:val="20"/>
              </w:rPr>
              <w:t>四、可视对讲系统</w:t>
            </w:r>
          </w:p>
        </w:tc>
      </w:tr>
      <w:tr>
        <w:tblPrEx>
          <w:tblCellMar>
            <w:top w:w="0" w:type="dxa"/>
            <w:left w:w="108" w:type="dxa"/>
            <w:bottom w:w="0" w:type="dxa"/>
            <w:right w:w="108" w:type="dxa"/>
          </w:tblCellMar>
        </w:tblPrEx>
        <w:trPr>
          <w:trHeight w:val="439" w:hRule="atLeast"/>
        </w:trPr>
        <w:tc>
          <w:tcPr>
            <w:tcW w:w="9870" w:type="dxa"/>
            <w:gridSpan w:val="3"/>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b/>
                <w:bCs/>
                <w:color w:val="000000"/>
                <w:sz w:val="20"/>
              </w:rPr>
              <w:t>4.1、单元门门禁系统</w:t>
            </w:r>
          </w:p>
        </w:tc>
      </w:tr>
      <w:tr>
        <w:tblPrEx>
          <w:tblCellMar>
            <w:top w:w="0" w:type="dxa"/>
            <w:left w:w="108" w:type="dxa"/>
            <w:bottom w:w="0" w:type="dxa"/>
            <w:right w:w="108" w:type="dxa"/>
          </w:tblCellMar>
        </w:tblPrEx>
        <w:trPr>
          <w:trHeight w:val="439"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人脸识别可视对讲主机</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200万CMOS双目低照度摄像头，视频压缩标准：H.264；</w:t>
            </w:r>
            <w:r>
              <w:rPr>
                <w:rFonts w:hint="eastAsia" w:ascii="宋体" w:hAnsi="宋体" w:cs="宋体"/>
                <w:color w:val="000000"/>
                <w:sz w:val="20"/>
              </w:rPr>
              <w:br w:type="textWrapping"/>
            </w:r>
            <w:r>
              <w:rPr>
                <w:rFonts w:hint="eastAsia" w:ascii="宋体" w:hAnsi="宋体" w:cs="宋体"/>
                <w:color w:val="000000"/>
                <w:sz w:val="20"/>
              </w:rPr>
              <w:t>8寸IPS屏，800×1280，电容触摸屏操作简便；</w:t>
            </w:r>
            <w:r>
              <w:rPr>
                <w:rFonts w:hint="eastAsia" w:ascii="宋体" w:hAnsi="宋体" w:cs="宋体"/>
                <w:color w:val="000000"/>
                <w:sz w:val="20"/>
              </w:rPr>
              <w:br w:type="textWrapping"/>
            </w:r>
            <w:r>
              <w:rPr>
                <w:rFonts w:hint="eastAsia" w:ascii="宋体" w:hAnsi="宋体" w:cs="宋体"/>
                <w:color w:val="000000"/>
                <w:sz w:val="20"/>
              </w:rPr>
              <w:t>支持刷卡、远程、密码、二维码、人脸识别开门多种开门方式；</w:t>
            </w:r>
            <w:r>
              <w:rPr>
                <w:rFonts w:hint="eastAsia" w:ascii="宋体" w:hAnsi="宋体" w:cs="宋体"/>
                <w:color w:val="000000"/>
                <w:sz w:val="20"/>
              </w:rPr>
              <w:br w:type="textWrapping"/>
            </w:r>
            <w:r>
              <w:rPr>
                <w:rFonts w:hint="eastAsia" w:ascii="宋体" w:hAnsi="宋体" w:cs="宋体"/>
                <w:color w:val="000000"/>
                <w:sz w:val="20"/>
              </w:rPr>
              <w:t>深度人脸识别算法，支持活体检测，人脸验证准确率≥99%，1：N比对时间≤0.2S/人，20000张人脸库支持信息发布、本地发卡、人体接近感应、留影留言、自动抓拍、防拆报警等功能；</w:t>
            </w:r>
            <w:r>
              <w:rPr>
                <w:rFonts w:hint="eastAsia" w:ascii="宋体" w:hAnsi="宋体" w:cs="宋体"/>
                <w:color w:val="000000"/>
                <w:sz w:val="20"/>
              </w:rPr>
              <w:br w:type="textWrapping"/>
            </w:r>
            <w:r>
              <w:rPr>
                <w:rFonts w:hint="eastAsia" w:ascii="宋体" w:hAnsi="宋体" w:cs="宋体"/>
                <w:color w:val="000000"/>
                <w:sz w:val="20"/>
              </w:rPr>
              <w:t>网络接口：1路RJ45，10M/100M以太网口，支持 IPv4，FTP，DNS，RTSP，RTP，TCP，UDP，SIP等网络协议音频；输入和输出：内置全指向麦克风和喇叭，RS485：1个，韦根接口：1路输入输出可配；</w:t>
            </w:r>
            <w:r>
              <w:rPr>
                <w:rFonts w:hint="eastAsia" w:ascii="宋体" w:hAnsi="宋体" w:cs="宋体"/>
                <w:color w:val="000000"/>
                <w:sz w:val="20"/>
              </w:rPr>
              <w:br w:type="textWrapping"/>
            </w:r>
            <w:r>
              <w:rPr>
                <w:rFonts w:hint="eastAsia" w:ascii="宋体" w:hAnsi="宋体" w:cs="宋体"/>
                <w:color w:val="000000"/>
                <w:sz w:val="20"/>
              </w:rPr>
              <w:t>报警接口：2路输入和2路输出开门接扭：1路；门状态检测:1路；</w:t>
            </w:r>
            <w:r>
              <w:rPr>
                <w:rFonts w:hint="eastAsia" w:ascii="宋体" w:hAnsi="宋体" w:cs="宋体"/>
                <w:color w:val="000000"/>
                <w:sz w:val="20"/>
              </w:rPr>
              <w:br w:type="textWrapping"/>
            </w:r>
            <w:r>
              <w:rPr>
                <w:rFonts w:hint="eastAsia" w:ascii="宋体" w:hAnsi="宋体" w:cs="宋体"/>
                <w:color w:val="000000"/>
                <w:sz w:val="20"/>
              </w:rPr>
              <w:t>门锁控制：1路常开，1路常闭；防护等级：IP66 IK07；</w:t>
            </w:r>
            <w:r>
              <w:rPr>
                <w:rFonts w:hint="eastAsia" w:ascii="宋体" w:hAnsi="宋体" w:cs="宋体"/>
                <w:color w:val="000000"/>
                <w:sz w:val="20"/>
              </w:rPr>
              <w:br w:type="textWrapping"/>
            </w:r>
            <w:r>
              <w:rPr>
                <w:rFonts w:hint="eastAsia" w:ascii="宋体" w:hAnsi="宋体" w:cs="宋体"/>
                <w:color w:val="000000"/>
                <w:sz w:val="20"/>
              </w:rPr>
              <w:t>▲呼叫:访客呼叫机应能呼叫用户接收机。呼叫过程中,访客呼叫机应有听觉和/或视觉的提示:用户接收机收到呼叫信号后,应能发出听觉和/或视觉的提示。（提供公安部有效检测报告复印件加盖原厂公章）</w:t>
            </w:r>
            <w:r>
              <w:rPr>
                <w:rFonts w:hint="eastAsia" w:ascii="宋体" w:hAnsi="宋体" w:cs="宋体"/>
                <w:color w:val="000000"/>
                <w:sz w:val="20"/>
              </w:rPr>
              <w:br w:type="textWrapping"/>
            </w:r>
            <w:r>
              <w:rPr>
                <w:rFonts w:hint="eastAsia" w:ascii="宋体" w:hAnsi="宋体" w:cs="宋体"/>
                <w:color w:val="000000"/>
                <w:sz w:val="20"/>
              </w:rPr>
              <w:t>▲防拆:当访客呼叫机被人为移离安装表面时,应立即发出本地听觉告警提示。（提供公安部有效检测报告复印件加盖原厂公章）</w:t>
            </w:r>
          </w:p>
        </w:tc>
      </w:tr>
      <w:tr>
        <w:tblPrEx>
          <w:tblCellMar>
            <w:top w:w="0" w:type="dxa"/>
            <w:left w:w="108" w:type="dxa"/>
            <w:bottom w:w="0" w:type="dxa"/>
            <w:right w:w="108" w:type="dxa"/>
          </w:tblCellMar>
        </w:tblPrEx>
        <w:trPr>
          <w:trHeight w:val="134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灵性锁(双门或单门，根据实际情况确定数量。包含双门和单门）</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开门方式：内部旋钮无方向：无需辨别开门方向，左右内外开门。能通用多种开启方式：门禁或楼宇对讲信号、钥匙、机械旋钮等自动关门：开锁后如不开门，延时15秒后自动重新上锁耗电低：使用寿命可达35万次声音提示：开锁和关门时都会有声音提示安装方便：锁舌长度：大于等20mm。</w:t>
            </w:r>
          </w:p>
        </w:tc>
      </w:tr>
      <w:tr>
        <w:tblPrEx>
          <w:tblCellMar>
            <w:top w:w="0" w:type="dxa"/>
            <w:left w:w="108" w:type="dxa"/>
            <w:bottom w:w="0" w:type="dxa"/>
            <w:right w:w="108" w:type="dxa"/>
          </w:tblCellMar>
        </w:tblPrEx>
        <w:trPr>
          <w:trHeight w:val="439" w:hRule="atLeast"/>
        </w:trPr>
        <w:tc>
          <w:tcPr>
            <w:tcW w:w="9870" w:type="dxa"/>
            <w:gridSpan w:val="3"/>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b/>
                <w:bCs/>
                <w:color w:val="000000"/>
                <w:sz w:val="20"/>
              </w:rPr>
            </w:pPr>
            <w:r>
              <w:rPr>
                <w:rFonts w:hint="eastAsia" w:ascii="宋体" w:hAnsi="宋体" w:cs="宋体"/>
                <w:b/>
                <w:bCs/>
                <w:color w:val="000000"/>
                <w:sz w:val="20"/>
              </w:rPr>
              <w:t>4.2、管理中心部分（设备网1）</w:t>
            </w:r>
          </w:p>
        </w:tc>
      </w:tr>
      <w:tr>
        <w:tblPrEx>
          <w:tblCellMar>
            <w:top w:w="0" w:type="dxa"/>
            <w:left w:w="108" w:type="dxa"/>
            <w:bottom w:w="0" w:type="dxa"/>
            <w:right w:w="108" w:type="dxa"/>
          </w:tblCellMar>
        </w:tblPrEx>
        <w:trPr>
          <w:trHeight w:val="439"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主机电源12V/2A</w:t>
            </w:r>
          </w:p>
        </w:tc>
        <w:tc>
          <w:tcPr>
            <w:tcW w:w="8093"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宋体" w:hAnsi="宋体" w:cs="宋体"/>
                <w:color w:val="000000"/>
                <w:sz w:val="20"/>
              </w:rPr>
            </w:pPr>
            <w:r>
              <w:rPr>
                <w:rFonts w:hint="eastAsia" w:ascii="宋体" w:hAnsi="宋体" w:cs="宋体"/>
                <w:color w:val="000000"/>
                <w:sz w:val="20"/>
              </w:rPr>
              <w:t>12V2A</w:t>
            </w:r>
          </w:p>
        </w:tc>
      </w:tr>
      <w:tr>
        <w:tblPrEx>
          <w:tblCellMar>
            <w:top w:w="0" w:type="dxa"/>
            <w:left w:w="108" w:type="dxa"/>
            <w:bottom w:w="0" w:type="dxa"/>
            <w:right w:w="108" w:type="dxa"/>
          </w:tblCellMar>
        </w:tblPrEx>
        <w:trPr>
          <w:trHeight w:val="120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闭门器(双门或单门，根据实际情况确定数量。包含双门和单门）</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最大门重:80KG， 最大门宽:1100MM，关门力度:EN4，开门角度:180度， 定速功能:有， 定位功能:有，使用寿命:100万次， 适用范围:工作温度：-20℃-+55℃， 工作湿度：≤95%；</w:t>
            </w:r>
          </w:p>
        </w:tc>
      </w:tr>
      <w:tr>
        <w:tblPrEx>
          <w:tblCellMar>
            <w:top w:w="0" w:type="dxa"/>
            <w:left w:w="108" w:type="dxa"/>
            <w:bottom w:w="0" w:type="dxa"/>
            <w:right w:w="108" w:type="dxa"/>
          </w:tblCellMar>
        </w:tblPrEx>
        <w:trPr>
          <w:trHeight w:val="439"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专用锁电源</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配套灵芯锁电源</w:t>
            </w:r>
          </w:p>
        </w:tc>
      </w:tr>
      <w:tr>
        <w:tblPrEx>
          <w:tblCellMar>
            <w:top w:w="0" w:type="dxa"/>
            <w:left w:w="108" w:type="dxa"/>
            <w:bottom w:w="0" w:type="dxa"/>
            <w:right w:w="108" w:type="dxa"/>
          </w:tblCellMar>
        </w:tblPrEx>
        <w:trPr>
          <w:trHeight w:val="112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16口百兆接入交换机</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▲为保证整体系统稳定性，须与核心交换机保持同一品牌；以太网交换机主机,支持16个10/1000BASE-T电口,支持2个1000BASE-X SFP端口,支持AC。背板带宽 36Gbps 包转发率 26.8Mbps 。支持绿色节能要求，采用无风扇静音设计；要求产品厂商在宁波市设有备品备件库，提供官网信息说明并原厂盖章；▲生产厂商必须通过ISO14064温室气体核查，提供报告复印件并原厂盖章；</w:t>
            </w:r>
          </w:p>
        </w:tc>
      </w:tr>
      <w:tr>
        <w:tblPrEx>
          <w:tblCellMar>
            <w:top w:w="0" w:type="dxa"/>
            <w:left w:w="108" w:type="dxa"/>
            <w:bottom w:w="0" w:type="dxa"/>
            <w:right w:w="108" w:type="dxa"/>
          </w:tblCellMar>
        </w:tblPrEx>
        <w:trPr>
          <w:trHeight w:val="114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24口百兆接入交换机</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▲为保证整体系统稳定性，须与核心交换机保持同一品牌；以太网交换机主机,支持24个10/1000BASE-T电口，支持2个1000BASE-X SFP端口。背板带宽 52Gbps 包转发率 38.7Mbps 。支持绿色节能要求，采用无风扇静音设计；要求产品厂商在宁波市设有备品备件库，提供官网信息说明并原厂盖章；▲生产厂商必须通过ISO14064温室气体核查，提供报告复印件并原厂盖章；</w:t>
            </w:r>
          </w:p>
        </w:tc>
      </w:tr>
      <w:tr>
        <w:tblPrEx>
          <w:tblCellMar>
            <w:top w:w="0" w:type="dxa"/>
            <w:left w:w="108" w:type="dxa"/>
            <w:bottom w:w="0" w:type="dxa"/>
            <w:right w:w="108" w:type="dxa"/>
          </w:tblCellMar>
        </w:tblPrEx>
        <w:trPr>
          <w:trHeight w:val="204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8口千兆POE工业接入交换机</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▲为保证整体系统稳定性，须与核心交换机保持同一品牌；交换容量≥336Gbps，包转发率≥96Mpps，,官网双指标以小的为准; 千兆电口≥8，千兆光口≥4，要求提供官网截图证明并原厂盖章；千兆电口支持对外POE供电能力，支持灵活QINQ，提供官网截图证明；MAC≥8K，路由条目≥512，支持GVRP，支持OSPF/RIPv1/RIPv2；支持VRRP、BFD，要求提供官网截图证明并原厂盖章；支持私有RRPP环网保护协议，支持≤50ms收敛，支持Dying Gasp掉电告警，在设备完全掉电之后，可以发送报文发出告警；支持IP+MAC+PORT的多元组绑定，支持DHCP Server、DHCPSnooping；▲工作温度支持-40~70℃，支持官网截图并原厂盖章；支持EEE和端口节能；防护等级为IP41，安规支持CE、EN60950、UL508，安规支持CE、EN60950、UL508，EMC支持FCC、冲击支持IEC60068-2-27、跌落支持IEC60068-2-32、震动支持IEC60068-2-6、防火支持DIN5510；</w:t>
            </w:r>
          </w:p>
        </w:tc>
      </w:tr>
      <w:tr>
        <w:tblPrEx>
          <w:tblCellMar>
            <w:top w:w="0" w:type="dxa"/>
            <w:left w:w="108" w:type="dxa"/>
            <w:bottom w:w="0" w:type="dxa"/>
            <w:right w:w="108" w:type="dxa"/>
          </w:tblCellMar>
        </w:tblPrEx>
        <w:trPr>
          <w:trHeight w:val="325"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8口千兆POE接入交换机</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▲为保证系统兼容性，所投产品必须与核心交换机属于同一品牌；交换容量 ≥336Gbps，转发性能 ≥24Mpps，官网双指标的以最小的为准；固化Console管理端口≥1个，千兆电口≥8个，千兆光口≥2个；MAC地址数≥16K，提供官网截图和链接证明；支持横向虚拟化，可通过千兆光口及千兆电口进行虚拟化，最多9台设备虚成一台逻辑设备；支持纵向虚拟化技术；支持静态路由、RIP、OSPF；内置网络运维软件，无需配置额外软件，与上行设备互联实现统一界面管理、整网拓扑可视，提供官网截图说明并原厂盖章；支持10KV防雷，提供官网截图；投标产品制造厂商必需通过服务体系完善程度7星级（卓越）认证，提供证书复印件并原厂盖章；设备生产厂商须具备有害物质过程管理体系认证证书，提供QC080000有害物质过程管理体系认证证书复印件证明；▲产品厂商在宁波市设有备品备件库，提供官网信息说明并原厂盖章；</w:t>
            </w:r>
          </w:p>
        </w:tc>
      </w:tr>
      <w:tr>
        <w:tblPrEx>
          <w:tblCellMar>
            <w:top w:w="0" w:type="dxa"/>
            <w:left w:w="108" w:type="dxa"/>
            <w:bottom w:w="0" w:type="dxa"/>
            <w:right w:w="108" w:type="dxa"/>
          </w:tblCellMar>
        </w:tblPrEx>
        <w:trPr>
          <w:trHeight w:val="232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24口千兆接入层交换机</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▲为保证系统兼容性，所投产品必须与核心交换机属于同一品牌；交换容量 ≥336Gbps，转发性能 ≥50Mpps，官网双指标的以最小的为准；固化Console管理端口≥1个，千兆电口≥24个，千兆光口≥4个；MAC地址数≥16K，提供官网截图和链接证明；支持横向虚拟化，可通过千兆光口及千兆电口进行虚拟化，最多9台设备虚成一台逻辑设备；支持纵向虚拟化技术；支持静态路由、RIP、OSPF；内置网络运维软件，无需配置额外软件，与上行设备互联实现统一界面管理、整网拓扑可视，提供官网截图说明并原厂盖章；支持10KV防雷，提供官网截图；投标产品制造厂商必需通过服务体系完善程度7星级（卓越）认证，提供证书复印件并原厂盖章；设备生产厂商须具备有害物质过程管理体系认证证书，提供QC080000有害物质过程管理体系认证证书复印件证明；▲产品厂商在宁波市设有备品备件库，提供官网信息说明并原厂盖章；</w:t>
            </w:r>
          </w:p>
        </w:tc>
      </w:tr>
      <w:tr>
        <w:tblPrEx>
          <w:tblCellMar>
            <w:top w:w="0" w:type="dxa"/>
            <w:left w:w="108" w:type="dxa"/>
            <w:bottom w:w="0" w:type="dxa"/>
            <w:right w:w="108" w:type="dxa"/>
          </w:tblCellMar>
        </w:tblPrEx>
        <w:trPr>
          <w:trHeight w:val="188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9</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24口千兆POE接入层交换机</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▲为保证整体系统稳定性，须与核心交换机保持同一品牌；以太网交换机主机,支持24个10/1000BASE-T电口，支持4个1000BASE-X SFP端口；支持POE+供电，整机供电功率240W，单端口最大供电功率30W。交换容量 336Gbps 包转发率 132Mbps 。支持横向虚拟化，将多台设备虚拟成一台设备统一管理和使用，须提供官网截图证明；支持IPv4/v6静态路由；支持ARP入侵检测；支持DHCP Snooping；支持802.1X和MAC认证；支持端口限速以及流限速，支持支持SP、WRR、SP+WRR三种队列；支持绿色节能要求；以上技术均需提供官网截图或检测报告证明；要求产品厂商在宁波市设有备品备件库，提供官网信息说明并原厂盖章；▲生产厂商必须通过ISO14064温室气体核查，提供报告复印件并原厂盖章；</w:t>
            </w:r>
          </w:p>
        </w:tc>
      </w:tr>
      <w:tr>
        <w:tblPrEx>
          <w:tblCellMar>
            <w:top w:w="0" w:type="dxa"/>
            <w:left w:w="108" w:type="dxa"/>
            <w:bottom w:w="0" w:type="dxa"/>
            <w:right w:w="108" w:type="dxa"/>
          </w:tblCellMar>
        </w:tblPrEx>
        <w:trPr>
          <w:trHeight w:val="439"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千兆单模光模块</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光模块-SFP-GE-单模模块-(1310nm,10km,LC)</w:t>
            </w:r>
          </w:p>
        </w:tc>
      </w:tr>
      <w:tr>
        <w:tblPrEx>
          <w:tblCellMar>
            <w:top w:w="0" w:type="dxa"/>
            <w:left w:w="108" w:type="dxa"/>
            <w:bottom w:w="0" w:type="dxa"/>
            <w:right w:w="108" w:type="dxa"/>
          </w:tblCellMar>
        </w:tblPrEx>
        <w:trPr>
          <w:trHeight w:val="439"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单模光纤跳线</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单模双工跳线</w:t>
            </w:r>
          </w:p>
        </w:tc>
      </w:tr>
      <w:tr>
        <w:tblPrEx>
          <w:tblCellMar>
            <w:top w:w="0" w:type="dxa"/>
            <w:left w:w="108" w:type="dxa"/>
            <w:bottom w:w="0" w:type="dxa"/>
            <w:right w:w="108" w:type="dxa"/>
          </w:tblCellMar>
        </w:tblPrEx>
        <w:trPr>
          <w:trHeight w:val="60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12</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宋体" w:hAnsi="宋体" w:cs="宋体"/>
                <w:color w:val="000000"/>
                <w:sz w:val="20"/>
              </w:rPr>
            </w:pPr>
            <w:r>
              <w:rPr>
                <w:rFonts w:hint="eastAsia" w:ascii="宋体" w:hAnsi="宋体" w:cs="宋体"/>
                <w:color w:val="000000"/>
                <w:sz w:val="20"/>
              </w:rPr>
              <w:t>12口光纤配线架</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可连接12芯数以下光缆,内带理线盘,1.5以上优质冷扎板一次成型,可挂以墙上或直接放置在地面和各种机箱里面</w:t>
            </w:r>
          </w:p>
        </w:tc>
      </w:tr>
      <w:tr>
        <w:tblPrEx>
          <w:tblCellMar>
            <w:top w:w="0" w:type="dxa"/>
            <w:left w:w="108" w:type="dxa"/>
            <w:bottom w:w="0" w:type="dxa"/>
            <w:right w:w="108" w:type="dxa"/>
          </w:tblCellMar>
        </w:tblPrEx>
        <w:trPr>
          <w:trHeight w:val="439"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13</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宋体" w:hAnsi="宋体" w:cs="宋体"/>
                <w:color w:val="000000"/>
                <w:sz w:val="20"/>
              </w:rPr>
            </w:pPr>
            <w:r>
              <w:rPr>
                <w:rFonts w:hint="eastAsia" w:ascii="宋体" w:hAnsi="宋体" w:cs="宋体"/>
                <w:color w:val="000000"/>
                <w:sz w:val="20"/>
              </w:rPr>
              <w:t>双工耦合器</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双工LC耦合器,插入损耗小于0.2db。</w:t>
            </w:r>
          </w:p>
        </w:tc>
      </w:tr>
      <w:tr>
        <w:tblPrEx>
          <w:tblCellMar>
            <w:top w:w="0" w:type="dxa"/>
            <w:left w:w="108" w:type="dxa"/>
            <w:bottom w:w="0" w:type="dxa"/>
            <w:right w:w="108" w:type="dxa"/>
          </w:tblCellMar>
        </w:tblPrEx>
        <w:trPr>
          <w:trHeight w:val="439"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14</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宋体" w:hAnsi="宋体" w:cs="宋体"/>
                <w:color w:val="000000"/>
                <w:sz w:val="20"/>
              </w:rPr>
            </w:pPr>
            <w:r>
              <w:rPr>
                <w:rFonts w:hint="eastAsia" w:ascii="宋体" w:hAnsi="宋体" w:cs="宋体"/>
                <w:color w:val="000000"/>
                <w:sz w:val="20"/>
              </w:rPr>
              <w:t>尾纤LC, 单模, 0.9mm, 1米</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LC尾纤</w:t>
            </w:r>
          </w:p>
        </w:tc>
      </w:tr>
      <w:tr>
        <w:tblPrEx>
          <w:tblCellMar>
            <w:top w:w="0" w:type="dxa"/>
            <w:left w:w="108" w:type="dxa"/>
            <w:bottom w:w="0" w:type="dxa"/>
            <w:right w:w="108" w:type="dxa"/>
          </w:tblCellMar>
        </w:tblPrEx>
        <w:trPr>
          <w:trHeight w:val="68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安防设备箱1</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暂定尺寸：500*600*120，自带配套附件空气开关等。根据箱体内招标产品确定最后尺寸。</w:t>
            </w:r>
          </w:p>
        </w:tc>
      </w:tr>
      <w:tr>
        <w:tblPrEx>
          <w:tblCellMar>
            <w:top w:w="0" w:type="dxa"/>
            <w:left w:w="108" w:type="dxa"/>
            <w:bottom w:w="0" w:type="dxa"/>
            <w:right w:w="108" w:type="dxa"/>
          </w:tblCellMar>
        </w:tblPrEx>
        <w:trPr>
          <w:trHeight w:val="70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16</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安防设备箱2</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暂定尺寸：600*800*120 自带配套附件空气开关、防雷插座等。根据箱体内招标产品确定最后尺寸。</w:t>
            </w:r>
          </w:p>
        </w:tc>
      </w:tr>
      <w:tr>
        <w:tblPrEx>
          <w:tblCellMar>
            <w:top w:w="0" w:type="dxa"/>
            <w:left w:w="108" w:type="dxa"/>
            <w:bottom w:w="0" w:type="dxa"/>
            <w:right w:w="108" w:type="dxa"/>
          </w:tblCellMar>
        </w:tblPrEx>
        <w:trPr>
          <w:trHeight w:val="70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17</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安防设备箱3</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暂定尺寸：600*800*120 自带配套附件空气开关、防雷插座等。根据箱体内招标产品确定最后尺寸。</w:t>
            </w:r>
          </w:p>
        </w:tc>
      </w:tr>
      <w:tr>
        <w:tblPrEx>
          <w:tblCellMar>
            <w:top w:w="0" w:type="dxa"/>
            <w:left w:w="108" w:type="dxa"/>
            <w:bottom w:w="0" w:type="dxa"/>
            <w:right w:w="108" w:type="dxa"/>
          </w:tblCellMar>
        </w:tblPrEx>
        <w:trPr>
          <w:trHeight w:val="62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18</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室外安防设备箱</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暂定尺寸：500*600*350 自带配套附件空气开关、防雷插座等。弱电箱防护等级IP54,采用304不锈钢材质。</w:t>
            </w:r>
          </w:p>
        </w:tc>
      </w:tr>
      <w:tr>
        <w:tblPrEx>
          <w:tblCellMar>
            <w:top w:w="0" w:type="dxa"/>
            <w:left w:w="108" w:type="dxa"/>
            <w:bottom w:w="0" w:type="dxa"/>
            <w:right w:w="108" w:type="dxa"/>
          </w:tblCellMar>
        </w:tblPrEx>
        <w:trPr>
          <w:trHeight w:val="62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19</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室内分机</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显示屏：7寸全真彩TFT屏，屏幕分辨率：1024×600；</w:t>
            </w:r>
            <w:r>
              <w:rPr>
                <w:rFonts w:hint="eastAsia" w:ascii="宋体" w:hAnsi="宋体" w:cs="宋体"/>
                <w:color w:val="000000"/>
                <w:sz w:val="20"/>
              </w:rPr>
              <w:br w:type="textWrapping"/>
            </w:r>
            <w:r>
              <w:rPr>
                <w:rFonts w:hint="eastAsia" w:ascii="宋体" w:hAnsi="宋体" w:cs="宋体"/>
                <w:color w:val="000000"/>
                <w:sz w:val="20"/>
              </w:rPr>
              <w:t>操作方式：触摸按键；</w:t>
            </w:r>
            <w:r>
              <w:rPr>
                <w:rFonts w:hint="eastAsia" w:ascii="宋体" w:hAnsi="宋体" w:cs="宋体"/>
                <w:color w:val="000000"/>
                <w:sz w:val="20"/>
              </w:rPr>
              <w:br w:type="textWrapping"/>
            </w:r>
            <w:r>
              <w:rPr>
                <w:rFonts w:hint="eastAsia" w:ascii="宋体" w:hAnsi="宋体" w:cs="宋体"/>
                <w:color w:val="000000"/>
                <w:sz w:val="20"/>
              </w:rPr>
              <w:t>支持双向语音对讲，采用高性能的扬声器和麦克风，支持噪声抑制与回声消除技术，保证高质量的语音通话；</w:t>
            </w:r>
            <w:r>
              <w:rPr>
                <w:rFonts w:hint="eastAsia" w:ascii="宋体" w:hAnsi="宋体" w:cs="宋体"/>
                <w:color w:val="000000"/>
                <w:sz w:val="20"/>
              </w:rPr>
              <w:br w:type="textWrapping"/>
            </w:r>
            <w:r>
              <w:rPr>
                <w:rFonts w:hint="eastAsia" w:ascii="宋体" w:hAnsi="宋体" w:cs="宋体"/>
                <w:color w:val="000000"/>
                <w:sz w:val="20"/>
              </w:rPr>
              <w:t>接口：1路RJ45，10M/100M以太网口；</w:t>
            </w:r>
            <w:r>
              <w:rPr>
                <w:rFonts w:hint="eastAsia" w:ascii="宋体" w:hAnsi="宋体" w:cs="宋体"/>
                <w:color w:val="000000"/>
                <w:sz w:val="20"/>
              </w:rPr>
              <w:br w:type="textWrapping"/>
            </w:r>
            <w:r>
              <w:rPr>
                <w:rFonts w:hint="eastAsia" w:ascii="宋体" w:hAnsi="宋体" w:cs="宋体"/>
                <w:color w:val="000000"/>
                <w:sz w:val="20"/>
              </w:rPr>
              <w:t>支持SIP，IPv4，RTSP，RTP，TCP，UDP等网络协议；</w:t>
            </w:r>
            <w:r>
              <w:rPr>
                <w:rFonts w:hint="eastAsia" w:ascii="宋体" w:hAnsi="宋体" w:cs="宋体"/>
                <w:color w:val="000000"/>
                <w:sz w:val="20"/>
              </w:rPr>
              <w:br w:type="textWrapping"/>
            </w:r>
            <w:r>
              <w:rPr>
                <w:rFonts w:hint="eastAsia" w:ascii="宋体" w:hAnsi="宋体" w:cs="宋体"/>
                <w:color w:val="000000"/>
                <w:sz w:val="20"/>
              </w:rPr>
              <w:t>外尺尺寸：134.6mm×189.6mm×26.0mm；</w:t>
            </w:r>
            <w:r>
              <w:rPr>
                <w:rFonts w:hint="eastAsia" w:ascii="宋体" w:hAnsi="宋体" w:cs="宋体"/>
                <w:color w:val="000000"/>
                <w:sz w:val="20"/>
              </w:rPr>
              <w:br w:type="textWrapping"/>
            </w:r>
            <w:r>
              <w:rPr>
                <w:rFonts w:hint="eastAsia" w:ascii="宋体" w:hAnsi="宋体" w:cs="宋体"/>
                <w:color w:val="000000"/>
                <w:sz w:val="20"/>
              </w:rPr>
              <w:t>安装方式：明装材质：PC+ABS；</w:t>
            </w:r>
            <w:r>
              <w:rPr>
                <w:rFonts w:hint="eastAsia" w:ascii="宋体" w:hAnsi="宋体" w:cs="宋体"/>
                <w:color w:val="000000"/>
                <w:sz w:val="20"/>
              </w:rPr>
              <w:br w:type="textWrapping"/>
            </w:r>
            <w:r>
              <w:rPr>
                <w:rFonts w:hint="eastAsia" w:ascii="宋体" w:hAnsi="宋体" w:cs="宋体"/>
                <w:color w:val="000000"/>
                <w:sz w:val="20"/>
              </w:rPr>
              <w:t>工作温度和湿度：10~95%RH；</w:t>
            </w:r>
            <w:r>
              <w:rPr>
                <w:rFonts w:hint="eastAsia" w:ascii="宋体" w:hAnsi="宋体" w:cs="宋体"/>
                <w:color w:val="000000"/>
                <w:sz w:val="20"/>
              </w:rPr>
              <w:br w:type="textWrapping"/>
            </w:r>
            <w:r>
              <w:rPr>
                <w:rFonts w:hint="eastAsia" w:ascii="宋体" w:hAnsi="宋体" w:cs="宋体"/>
                <w:color w:val="000000"/>
                <w:sz w:val="20"/>
              </w:rPr>
              <w:t>功耗：待机≤4W，工作≤6W；</w:t>
            </w:r>
            <w:r>
              <w:rPr>
                <w:rFonts w:hint="eastAsia" w:ascii="宋体" w:hAnsi="宋体" w:cs="宋体"/>
                <w:color w:val="000000"/>
                <w:sz w:val="20"/>
              </w:rPr>
              <w:br w:type="textWrapping"/>
            </w:r>
            <w:r>
              <w:rPr>
                <w:rFonts w:hint="eastAsia" w:ascii="宋体" w:hAnsi="宋体" w:cs="宋体"/>
                <w:color w:val="000000"/>
                <w:sz w:val="20"/>
              </w:rPr>
              <w:t>▲求助功能：用户接收机应能发送求助信号到管理机。管理机应能提示相应的指示信号，记录求助时间和处理时间。（提供公安部有效检测报告复印件加盖原厂公章）；</w:t>
            </w:r>
            <w:r>
              <w:rPr>
                <w:rFonts w:hint="eastAsia" w:ascii="宋体" w:hAnsi="宋体" w:cs="宋体"/>
                <w:color w:val="000000"/>
                <w:sz w:val="20"/>
              </w:rPr>
              <w:br w:type="textWrapping"/>
            </w:r>
            <w:r>
              <w:rPr>
                <w:rFonts w:hint="eastAsia" w:ascii="宋体" w:hAnsi="宋体" w:cs="宋体"/>
                <w:color w:val="000000"/>
                <w:sz w:val="20"/>
              </w:rPr>
              <w:t>▲本地留影留言：系统中的用户接收机宜具有本地留影留言的功能。（提供公安部有效检测报告复印件加盖原厂公章）。</w:t>
            </w:r>
          </w:p>
        </w:tc>
      </w:tr>
      <w:tr>
        <w:tblPrEx>
          <w:tblCellMar>
            <w:top w:w="0" w:type="dxa"/>
            <w:left w:w="108" w:type="dxa"/>
            <w:bottom w:w="0" w:type="dxa"/>
            <w:right w:w="108" w:type="dxa"/>
          </w:tblCellMar>
        </w:tblPrEx>
        <w:trPr>
          <w:trHeight w:val="54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20</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分机电源</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输入电压：AC100V-120V/200V-240V输出电压：DC12V/12.5A材质：单相镀锌金属外壳</w:t>
            </w:r>
          </w:p>
        </w:tc>
      </w:tr>
      <w:tr>
        <w:tblPrEx>
          <w:tblCellMar>
            <w:top w:w="0" w:type="dxa"/>
            <w:left w:w="108" w:type="dxa"/>
            <w:bottom w:w="0" w:type="dxa"/>
            <w:right w:w="108" w:type="dxa"/>
          </w:tblCellMar>
        </w:tblPrEx>
        <w:trPr>
          <w:trHeight w:val="439" w:hRule="atLeast"/>
        </w:trPr>
        <w:tc>
          <w:tcPr>
            <w:tcW w:w="9870" w:type="dxa"/>
            <w:gridSpan w:val="3"/>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b/>
                <w:bCs/>
                <w:color w:val="000000"/>
                <w:sz w:val="20"/>
              </w:rPr>
            </w:pPr>
            <w:r>
              <w:rPr>
                <w:rFonts w:hint="eastAsia" w:ascii="宋体" w:hAnsi="宋体" w:cs="宋体"/>
                <w:b/>
                <w:bCs/>
                <w:color w:val="000000"/>
                <w:sz w:val="20"/>
              </w:rPr>
              <w:t>4.3、管理中心部分（设备网2）</w:t>
            </w:r>
          </w:p>
        </w:tc>
      </w:tr>
      <w:tr>
        <w:tblPrEx>
          <w:tblCellMar>
            <w:top w:w="0" w:type="dxa"/>
            <w:left w:w="108" w:type="dxa"/>
            <w:bottom w:w="0" w:type="dxa"/>
            <w:right w:w="108" w:type="dxa"/>
          </w:tblCellMar>
        </w:tblPrEx>
        <w:trPr>
          <w:trHeight w:val="320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核心交换机1</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▲交换容量≥35Tbps，包转发率≥7200Mpps，官网有两个指标的，以小的为准, 提供官网截图和链接；业务插槽数≥3个，单槽位支持100G接口≥4个，支持40G接口≥24个，支持万兆电口≥24个，提供官网选配信息截图；考虑未来安全扩展性，可配置下一代防火墙插卡，提供官网配置信息截图并原厂盖章；支持 40G跟 100G 端口切换，切换后流量正常转发，无丢包，提供工信部权威第三方测试报告；▲支持最多4台核心设备虚拟为一台，提供工信部权威第三方测试报告；支持Telemetry流量可视化功能，提供官网截图说明；MAC表≥1M，学习速率≥128K/S，IPv4 FIB表项≥3M，IPv6 FIB表项≥1M，提供工信部权威第三方测试报告证明；▲内置智能管理功能，支持通过图形化界面设备配置及命令一键下发和版本智能升级，提供工信部权威第三方测试报告；支持IEEE 802.1ae（Macsec）介质访问控制安全技术，提供官网截图说明；投标产品制造厂商必需通过服务体系完善程度7星级（卓越）认证，提供证书复印件并原厂盖章；设备生产厂商须具备有害物质过程管理体系认证证书，提供QC080000有害物质过程管理体系认证证书复印件证明；要求产品厂商在宁波市设有备品备件库，提供官网信息说明并原厂盖章；</w:t>
            </w:r>
            <w:r>
              <w:rPr>
                <w:rFonts w:hint="eastAsia" w:ascii="宋体" w:hAnsi="宋体" w:cs="宋体"/>
                <w:color w:val="000000"/>
                <w:sz w:val="20"/>
              </w:rPr>
              <w:br w:type="textWrapping"/>
            </w:r>
            <w:r>
              <w:rPr>
                <w:rFonts w:hint="eastAsia" w:ascii="宋体" w:hAnsi="宋体" w:cs="宋体"/>
                <w:color w:val="000000"/>
                <w:sz w:val="20"/>
              </w:rPr>
              <w:t>本次单台设备配置双引擎，双电源，千兆光口≥44个，万兆光口≥4个</w:t>
            </w:r>
          </w:p>
        </w:tc>
      </w:tr>
      <w:tr>
        <w:tblPrEx>
          <w:tblCellMar>
            <w:top w:w="0" w:type="dxa"/>
            <w:left w:w="108" w:type="dxa"/>
            <w:bottom w:w="0" w:type="dxa"/>
            <w:right w:w="108" w:type="dxa"/>
          </w:tblCellMar>
        </w:tblPrEx>
        <w:trPr>
          <w:trHeight w:val="302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核心交换机2</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为保证系统兼容性，与核心交换机同一品牌；主机固化千兆光口≥20个，千兆电口≥4个，光电复用端口≥10个，万兆SFP+光口≥4个，，业务接口扩展插槽≥1个，可扩展至少8端口万兆电板卡、2端口25GE板卡、下一代防火墙板卡，以上端口及选配信息提供官网截图说明；整机交换容量≥736Gbps、包转发≥220Mpps（官网有两个指标的，按小的指标为准）；集成无线控制器功能，交换平台实现有线无线一体化集成；▲考虑到园区链路的安全性，所投交换机需支持Macsec链路保护协议，保障园区业务的安全可靠，提供官网截图链接并原厂盖章；内置智能管理功能，支持通过图形化界面设备配置及运维管理，提供官网截图说明；支持10K防雷，提供官网截图说明；投标产品制造厂商必需通过服务体系完善程度7星级（卓越）认证，提供证书复印件；设备生产厂商须具备有害物质过程管理体系认证证书，提供QC080000有害物质过程管理体系认证证书复印件证明并原厂盖章；内置网络运维软件，与下行设备互联实现统一界面管理，提供官网截图说明；电源模块插槽≥2个，风扇模块插槽≥2个，本次配置可插拔双电源双风扇；本次除固化接口外至少配置4端口千兆电口+6端口千兆光口；▲要求产品厂商在宁波市设有备品备件库，提供官网信息说明并原厂盖章；</w:t>
            </w:r>
          </w:p>
        </w:tc>
      </w:tr>
      <w:tr>
        <w:tblPrEx>
          <w:tblCellMar>
            <w:top w:w="0" w:type="dxa"/>
            <w:left w:w="108" w:type="dxa"/>
            <w:bottom w:w="0" w:type="dxa"/>
            <w:right w:w="108" w:type="dxa"/>
          </w:tblCellMar>
        </w:tblPrEx>
        <w:trPr>
          <w:trHeight w:val="306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核心交换机3</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为保证系统兼容性，与核心交换机同一品牌；主机固化千兆电口≥16个、其中千兆复用口≥8个，万兆SFP+光口≥4个，业务接口扩展插槽≥1个，可扩展至少8端口万兆电板卡、2端口25GE板卡、下一代防火墙板卡，以上端口及选配信息提供官网截图说明；整机交换容量≥736Gbps、包转发≥220Mpps（官网有两个指标的，按小的指标为准）；集成无线控制器功能，交换平台实现有线无线一体化集成；考虑到园区链路的安全性，所投交换机需支持Macsec链路保护协议，保障园区业务的安全可靠，提供官网截图链接并原厂盖章；内置智能管理功能，支持通过图形化界面设备配置及运维管理，提供官网截图说明；支持10K防雷，提供官网截图说明；投标产品制造厂商必需通过服务体系完善程度7星级（卓越）认证，提供证书复印件；设备生产厂商须具备有害物质过程管理体系认证证书，提供QC080000有害物质过程管理体系认证证书复印件证明并原厂盖章；内置网络运维软件，与下行设备互联实现统一界面管理，提供官网截图说明；电源模块插槽≥2个，风扇模块插槽≥2个，本次配置可插拔双电源双风扇；本次除固化接口外至少配置4端口千兆电口+6端口千兆光口；▲要求产品厂商在宁波市设有备品备件库，提供官网信息说明并原厂盖章；</w:t>
            </w:r>
          </w:p>
        </w:tc>
      </w:tr>
      <w:tr>
        <w:tblPrEx>
          <w:tblCellMar>
            <w:top w:w="0" w:type="dxa"/>
            <w:left w:w="108" w:type="dxa"/>
            <w:bottom w:w="0" w:type="dxa"/>
            <w:right w:w="108" w:type="dxa"/>
          </w:tblCellMar>
        </w:tblPrEx>
        <w:trPr>
          <w:trHeight w:val="328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核心交换机4</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▲交换容量≥35Tbps，包转发率≥7200Mpps，官网有两个指标的，以小的为准, 提供官网截图和链接；业务插槽数≥3个，单槽位支持100G接口≥4个，支持40G接口≥24个，支持万兆电口≥24个，提供官网选配信息截图；▲考虑未来安全扩展性，可配置下一代防火墙插卡，提供官网配置信息截图并原厂盖章；支持 40G跟 100G 端口切换，切换后流量正常转发，无丢包，提供工信部权威第三方测试报告；支持最多4台核心设备虚拟为一台，提供工信部权威第三方测试报告；支持Telemetry流量可视化功能，提供官网截图说明；MAC表≥1M，学习速率≥128K/S，IPv4 FIB表项≥3M，IPv6 FIB表项≥1M，提供工信部权威第三方测试报告证明；▲内置智能管理功能，支持通过图形化界面设备配置及命令一键下发和版本智能升级，提供工信部权威第三方测试报告；支持IEEE 802.1ae（Macsec）介质访问控制安全技术，提供官网截图说明；投标产品制造厂商必需通过服务体系完善程度7星级（卓越）认证，提供证书复印件并原厂盖章；设备生产厂商须具备有害物质过程管理体系认证证书，提供QC080000有害物质过程管理体系认证证书复印件证明；要求产品厂商在宁波市设有备品备件库，提供官网信息说明并原厂盖章；</w:t>
            </w:r>
            <w:r>
              <w:rPr>
                <w:rFonts w:hint="eastAsia" w:ascii="宋体" w:hAnsi="宋体" w:cs="宋体"/>
                <w:color w:val="000000"/>
                <w:sz w:val="20"/>
              </w:rPr>
              <w:br w:type="textWrapping"/>
            </w:r>
            <w:r>
              <w:rPr>
                <w:rFonts w:hint="eastAsia" w:ascii="宋体" w:hAnsi="宋体" w:cs="宋体"/>
                <w:color w:val="000000"/>
                <w:sz w:val="20"/>
              </w:rPr>
              <w:t>本次单台设备配置双引擎，双电源，千兆电口≥24个，千兆光口≥64个，万兆光口≥8个</w:t>
            </w:r>
          </w:p>
        </w:tc>
      </w:tr>
      <w:tr>
        <w:tblPrEx>
          <w:tblCellMar>
            <w:top w:w="0" w:type="dxa"/>
            <w:left w:w="108" w:type="dxa"/>
            <w:bottom w:w="0" w:type="dxa"/>
            <w:right w:w="108" w:type="dxa"/>
          </w:tblCellMar>
        </w:tblPrEx>
        <w:trPr>
          <w:trHeight w:val="308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核心交换机5</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为保证系统兼容性，与核心交换机同一品牌；主机固化千兆光口≥48个，万兆SFP+光口≥4个，业务接口扩展插槽≥1个，可扩展至少8端口万兆电板卡、2端口25GE板卡、下一代防火墙板卡，以上端口及选配信息提供官网截图说明；整机交换容量≥736Gbps、包转发≥250Mpps（官网有两个指标的，按小的指标为准）；集成无线控制器功能，交换平台实现有线无线一体化集成；考虑到园区链路的安全性，所投交换机需支持Macsec链路保护协议，保障园区业务的安全可靠，提供官网截图链接；内置智能管理功能，支持通过图形化界面设备配置及运维管理，提供官网截图说明并原厂盖章；支持10K防雷，提供官网截图说明；投标产品制造厂商必需通过服务体系完善程度7星级（卓越）认证，提供证书复印件；设备生产厂商须具备有害物质过程管理体系认证证书，提供QC080000有害物质过程管理体系认证证书复印件证明；内置网络运维软件，与下行设备互联实现统一界面管理，提供官网截图说明并原厂盖章；电源模块插槽≥2个，风扇模块插槽≥2个，本次配置可插拔双电源双风扇，外加4端口千兆电口+6端口SFP（2*Combo）接口模块 ；▲要求产品厂商在宁波市设有备品备件库，提供官网信息说明并原厂盖章；</w:t>
            </w:r>
          </w:p>
        </w:tc>
      </w:tr>
      <w:tr>
        <w:tblPrEx>
          <w:tblCellMar>
            <w:top w:w="0" w:type="dxa"/>
            <w:left w:w="108" w:type="dxa"/>
            <w:bottom w:w="0" w:type="dxa"/>
            <w:right w:w="108" w:type="dxa"/>
          </w:tblCellMar>
        </w:tblPrEx>
        <w:trPr>
          <w:trHeight w:val="439"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堆叠电缆</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SFP堆叠电缆-（150cm，含堆叠模块）</w:t>
            </w:r>
          </w:p>
        </w:tc>
      </w:tr>
      <w:tr>
        <w:tblPrEx>
          <w:tblCellMar>
            <w:top w:w="0" w:type="dxa"/>
            <w:left w:w="108" w:type="dxa"/>
            <w:bottom w:w="0" w:type="dxa"/>
            <w:right w:w="108" w:type="dxa"/>
          </w:tblCellMar>
        </w:tblPrEx>
        <w:trPr>
          <w:trHeight w:val="439"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千兆单模光模块</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光模块-SFP-GE-单模模块-(1310nm,10km,LC)</w:t>
            </w:r>
          </w:p>
        </w:tc>
      </w:tr>
      <w:tr>
        <w:tblPrEx>
          <w:tblCellMar>
            <w:top w:w="0" w:type="dxa"/>
            <w:left w:w="108" w:type="dxa"/>
            <w:bottom w:w="0" w:type="dxa"/>
            <w:right w:w="108" w:type="dxa"/>
          </w:tblCellMar>
        </w:tblPrEx>
        <w:trPr>
          <w:trHeight w:val="439"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千兆单模光模块</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光模块-SFP-GE-单模模块-(1310nm,10km,LC)（小区到街道端光模块）</w:t>
            </w:r>
          </w:p>
        </w:tc>
      </w:tr>
      <w:tr>
        <w:tblPrEx>
          <w:tblCellMar>
            <w:top w:w="0" w:type="dxa"/>
            <w:left w:w="108" w:type="dxa"/>
            <w:bottom w:w="0" w:type="dxa"/>
            <w:right w:w="108" w:type="dxa"/>
          </w:tblCellMar>
        </w:tblPrEx>
        <w:trPr>
          <w:trHeight w:val="230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9</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8口千兆接入层交换机</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▲为保证系统兼容性，所投产品必须与核心交换机属于同一品牌；交换容量 ≥336Gbps，转发性能 ≥24Mpps，官网双指标的以最小的为准；固化Console管理端口≥1个，千兆电口≥8个，千兆光口≥2个；MAC地址数≥16K，提供官网截图和链接证明；支持横向虚拟化，可通过千兆光口及千兆电口进行虚拟化，最多9台设备虚成一台逻辑设备；支持纵向虚拟化技术；支持静态路由、RIP、OSPF；▲内置网络运维软件，无需配置额外软件，与上行设备互联实现统一界面管理、整网拓扑可视，提供官网截图说明并原厂盖章；支持10KV防雷，提供官网截图；投标产品制造厂商必需通过服务体系完善程度7星级（卓越）认证，提供证书复印件并原厂盖章；设备生产厂商须具备有害物质过程管理体系认证证书，提供QC080000有害物质过程管理体系认证证书复印件证明；▲产品厂商在宁波市设有备品备件库，提供官网信息说明并原厂盖章；</w:t>
            </w:r>
          </w:p>
        </w:tc>
      </w:tr>
      <w:tr>
        <w:tblPrEx>
          <w:tblCellMar>
            <w:top w:w="0" w:type="dxa"/>
            <w:left w:w="108" w:type="dxa"/>
            <w:bottom w:w="0" w:type="dxa"/>
            <w:right w:w="108" w:type="dxa"/>
          </w:tblCellMar>
        </w:tblPrEx>
        <w:trPr>
          <w:trHeight w:val="31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24口千兆接入层交换机</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▲为保证系统兼容性，所投产品必须与核心交换机属于同一品牌；交换容量 ≥336Gbps，转发性能 ≥50Mpps，官网双指标的以最小的为准；固化Console管理端口≥1个，千兆电口≥24个，千兆光口≥4个；MAC地址数≥16K，提供官网截图和链接证明；支持横向虚拟化，可通过千兆光口及千兆电口进行虚拟化，最多9台设备虚成一台逻辑设备；支持纵向虚拟化技术；支持静态路由、RIP、OSPF；▲内置网络运维软件，无需配置额外软件，与上行设备互联实现统一界面管理、整网拓扑可视，提供官网截图说明并原厂盖章；支持10KV防雷，提供官网截图；投标产品制造厂商必需通过服务体系完善程度7星级（卓越）认证，提供证书复印件并原厂盖章；设备生产厂商须具备有害物质过程管理体系认证证书，提供QC080000有害物质过程管理体系认证证书复印件证明；▲产品厂商在宁波市设有备品备件库，提供官网信息说明并原厂盖章；</w:t>
            </w:r>
          </w:p>
        </w:tc>
      </w:tr>
      <w:tr>
        <w:tblPrEx>
          <w:tblCellMar>
            <w:top w:w="0" w:type="dxa"/>
            <w:left w:w="108" w:type="dxa"/>
            <w:bottom w:w="0" w:type="dxa"/>
            <w:right w:w="108" w:type="dxa"/>
          </w:tblCellMar>
        </w:tblPrEx>
        <w:trPr>
          <w:trHeight w:val="248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管理中心对讲主机</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采用10寸全玻璃触摸显示屏，屏幕分辨率1024*600；</w:t>
            </w:r>
            <w:r>
              <w:rPr>
                <w:rFonts w:hint="eastAsia" w:ascii="宋体" w:hAnsi="宋体" w:cs="宋体"/>
                <w:color w:val="000000"/>
                <w:sz w:val="20"/>
              </w:rPr>
              <w:br w:type="textWrapping"/>
            </w:r>
            <w:r>
              <w:rPr>
                <w:rFonts w:hint="eastAsia" w:ascii="宋体" w:hAnsi="宋体" w:cs="宋体"/>
                <w:color w:val="000000"/>
                <w:sz w:val="20"/>
              </w:rPr>
              <w:t>支持远程打开单元门锁（支持监视开锁、对讲开锁）支持和门口机，室内机的双向实时对讲；</w:t>
            </w:r>
            <w:r>
              <w:rPr>
                <w:rFonts w:hint="eastAsia" w:ascii="宋体" w:hAnsi="宋体" w:cs="宋体"/>
                <w:color w:val="000000"/>
                <w:sz w:val="20"/>
              </w:rPr>
              <w:br w:type="textWrapping"/>
            </w:r>
            <w:r>
              <w:rPr>
                <w:rFonts w:hint="eastAsia" w:ascii="宋体" w:hAnsi="宋体" w:cs="宋体"/>
                <w:color w:val="000000"/>
                <w:sz w:val="20"/>
              </w:rPr>
              <w:t>支持同时监视4路门口机、IPC的画面支持SD卡扩展，在门口机对讲和监视时进行录像和抓拍图片支持免提和听筒自由切换；</w:t>
            </w:r>
            <w:r>
              <w:rPr>
                <w:rFonts w:hint="eastAsia" w:ascii="宋体" w:hAnsi="宋体" w:cs="宋体"/>
                <w:color w:val="000000"/>
                <w:sz w:val="20"/>
              </w:rPr>
              <w:br w:type="textWrapping"/>
            </w:r>
            <w:r>
              <w:rPr>
                <w:rFonts w:hint="eastAsia" w:ascii="宋体" w:hAnsi="宋体" w:cs="宋体"/>
                <w:color w:val="000000"/>
                <w:sz w:val="20"/>
              </w:rPr>
              <w:t>支持HDMI输出，最大分辨率1024*600；</w:t>
            </w:r>
            <w:r>
              <w:rPr>
                <w:rFonts w:hint="eastAsia" w:ascii="宋体" w:hAnsi="宋体" w:cs="宋体"/>
                <w:color w:val="000000"/>
                <w:sz w:val="20"/>
              </w:rPr>
              <w:br w:type="textWrapping"/>
            </w:r>
            <w:r>
              <w:rPr>
                <w:rFonts w:hint="eastAsia" w:ascii="宋体" w:hAnsi="宋体" w:cs="宋体"/>
                <w:color w:val="000000"/>
                <w:sz w:val="20"/>
              </w:rPr>
              <w:t>单台管理60台门口机；</w:t>
            </w:r>
            <w:r>
              <w:rPr>
                <w:rFonts w:hint="eastAsia" w:ascii="宋体" w:hAnsi="宋体" w:cs="宋体"/>
                <w:color w:val="000000"/>
                <w:sz w:val="20"/>
              </w:rPr>
              <w:br w:type="textWrapping"/>
            </w:r>
            <w:r>
              <w:rPr>
                <w:rFonts w:hint="eastAsia" w:ascii="宋体" w:hAnsi="宋体" w:cs="宋体"/>
                <w:color w:val="000000"/>
                <w:sz w:val="20"/>
              </w:rPr>
              <w:t>▲管理机应具备与访客呼叫机、用户接收机对讲功能，多台管理机之间应具有对讲功能。（提供公安部有效检测报告复印件加盖原厂公章）；</w:t>
            </w:r>
            <w:r>
              <w:rPr>
                <w:rFonts w:hint="eastAsia" w:ascii="宋体" w:hAnsi="宋体" w:cs="宋体"/>
                <w:color w:val="000000"/>
                <w:sz w:val="20"/>
              </w:rPr>
              <w:br w:type="textWrapping"/>
            </w:r>
            <w:r>
              <w:rPr>
                <w:rFonts w:hint="eastAsia" w:ascii="宋体" w:hAnsi="宋体" w:cs="宋体"/>
                <w:color w:val="000000"/>
                <w:sz w:val="20"/>
              </w:rPr>
              <w:t>▲具有可视功能的管理机应能显示访客呼叫机摄取的图像。（提供公安部有效检测报告复印件加盖原厂公章）</w:t>
            </w:r>
          </w:p>
        </w:tc>
      </w:tr>
      <w:tr>
        <w:tblPrEx>
          <w:tblCellMar>
            <w:top w:w="0" w:type="dxa"/>
            <w:left w:w="108" w:type="dxa"/>
            <w:bottom w:w="0" w:type="dxa"/>
            <w:right w:w="108" w:type="dxa"/>
          </w:tblCellMar>
        </w:tblPrEx>
        <w:trPr>
          <w:trHeight w:val="206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12</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存储设备1~64路NVR</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支持嵌入式Linux系统，工业级嵌入式微控制器</w:t>
            </w:r>
            <w:r>
              <w:rPr>
                <w:rFonts w:hint="eastAsia" w:ascii="宋体" w:hAnsi="宋体" w:cs="宋体"/>
                <w:color w:val="000000"/>
                <w:sz w:val="20"/>
              </w:rPr>
              <w:br w:type="textWrapping"/>
            </w:r>
            <w:r>
              <w:rPr>
                <w:rFonts w:hint="eastAsia" w:ascii="宋体" w:hAnsi="宋体" w:cs="宋体"/>
                <w:color w:val="000000"/>
                <w:sz w:val="20"/>
              </w:rPr>
              <w:t>支持WEB、本地GUI界面操作</w:t>
            </w:r>
            <w:r>
              <w:rPr>
                <w:rFonts w:hint="eastAsia" w:ascii="宋体" w:hAnsi="宋体" w:cs="宋体"/>
                <w:color w:val="000000"/>
                <w:sz w:val="20"/>
              </w:rPr>
              <w:br w:type="textWrapping"/>
            </w:r>
            <w:r>
              <w:rPr>
                <w:rFonts w:hint="eastAsia" w:ascii="宋体" w:hAnsi="宋体" w:cs="宋体"/>
                <w:color w:val="000000"/>
                <w:sz w:val="20"/>
              </w:rPr>
              <w:t>可接驳支持ONVIF、PSIA、RTSP协议的第三方摄像机和主流品牌摄像机</w:t>
            </w:r>
            <w:r>
              <w:rPr>
                <w:rFonts w:hint="eastAsia" w:ascii="宋体" w:hAnsi="宋体" w:cs="宋体"/>
                <w:color w:val="000000"/>
                <w:sz w:val="20"/>
              </w:rPr>
              <w:br w:type="textWrapping"/>
            </w:r>
            <w:r>
              <w:rPr>
                <w:rFonts w:hint="eastAsia" w:ascii="宋体" w:hAnsi="宋体" w:cs="宋体"/>
                <w:color w:val="000000"/>
                <w:sz w:val="20"/>
              </w:rPr>
              <w:t>支持IPv4、IPv6、HTTP、UPnP、NTP、SADP、SNMP、PPPoE、DNS、FTP、ONVIF（支持2.4版本）、PSIA网络协议</w:t>
            </w:r>
            <w:r>
              <w:rPr>
                <w:rFonts w:hint="eastAsia" w:ascii="宋体" w:hAnsi="宋体" w:cs="宋体"/>
                <w:color w:val="000000"/>
                <w:sz w:val="20"/>
              </w:rPr>
              <w:br w:type="textWrapping"/>
            </w:r>
            <w:r>
              <w:rPr>
                <w:rFonts w:hint="eastAsia" w:ascii="宋体" w:hAnsi="宋体" w:cs="宋体"/>
                <w:color w:val="000000"/>
                <w:sz w:val="20"/>
              </w:rPr>
              <w:t>▲支持单通道多画面预览功能，可通过客户端软件将多路视频图像拼接为1个画面并进行预览，可设置视频图像的帧率及码率。支持画面预览权限管理功能，用户只能对有权限的通道画面进行预览（提供公安部有效检测报告复印件加盖原厂公章）；</w:t>
            </w:r>
            <w:r>
              <w:rPr>
                <w:rFonts w:hint="eastAsia" w:ascii="宋体" w:hAnsi="宋体" w:cs="宋体"/>
                <w:color w:val="000000"/>
                <w:sz w:val="20"/>
              </w:rPr>
              <w:br w:type="textWrapping"/>
            </w:r>
            <w:r>
              <w:rPr>
                <w:rFonts w:hint="eastAsia" w:ascii="宋体" w:hAnsi="宋体" w:cs="宋体"/>
                <w:color w:val="000000"/>
                <w:sz w:val="20"/>
              </w:rPr>
              <w:t>支持最大64路网络视频接入，网络性能接入320Mbps，储存320Mbps，转发320Mbps</w:t>
            </w:r>
            <w:r>
              <w:rPr>
                <w:rFonts w:hint="eastAsia" w:ascii="宋体" w:hAnsi="宋体" w:cs="宋体"/>
                <w:color w:val="000000"/>
                <w:sz w:val="20"/>
              </w:rPr>
              <w:br w:type="textWrapping"/>
            </w:r>
            <w:r>
              <w:rPr>
                <w:rFonts w:hint="eastAsia" w:ascii="宋体" w:hAnsi="宋体" w:cs="宋体"/>
                <w:color w:val="000000"/>
                <w:sz w:val="20"/>
              </w:rPr>
              <w:t>支持12M/4K/6M/5M/4M/3M/1080P/1.3M/720PIPC分辨率接入</w:t>
            </w:r>
            <w:r>
              <w:rPr>
                <w:rFonts w:hint="eastAsia" w:ascii="宋体" w:hAnsi="宋体" w:cs="宋体"/>
                <w:color w:val="000000"/>
                <w:sz w:val="20"/>
              </w:rPr>
              <w:br w:type="textWrapping"/>
            </w:r>
            <w:r>
              <w:rPr>
                <w:rFonts w:hint="eastAsia" w:ascii="宋体" w:hAnsi="宋体" w:cs="宋体"/>
                <w:color w:val="000000"/>
                <w:sz w:val="20"/>
              </w:rPr>
              <w:t>支持2×12M/4×4K/6×5M/8×4M/11×3M/16×1080P/32×720P解码，最大支持16路视频回放；</w:t>
            </w:r>
            <w:r>
              <w:rPr>
                <w:rFonts w:hint="eastAsia" w:ascii="宋体" w:hAnsi="宋体" w:cs="宋体"/>
                <w:color w:val="000000"/>
                <w:sz w:val="20"/>
              </w:rPr>
              <w:br w:type="textWrapping"/>
            </w:r>
            <w:r>
              <w:rPr>
                <w:rFonts w:hint="eastAsia" w:ascii="宋体" w:hAnsi="宋体" w:cs="宋体"/>
                <w:color w:val="000000"/>
                <w:sz w:val="20"/>
              </w:rPr>
              <w:t>▲支持走廊模式，支持实时图像画面90°或270°旋转成9：16走廊模式（提供公安部有效检测报告复印件加盖原厂公章）；</w:t>
            </w:r>
            <w:r>
              <w:rPr>
                <w:rFonts w:hint="eastAsia" w:ascii="宋体" w:hAnsi="宋体" w:cs="宋体"/>
                <w:color w:val="000000"/>
                <w:sz w:val="20"/>
              </w:rPr>
              <w:br w:type="textWrapping"/>
            </w:r>
            <w:r>
              <w:rPr>
                <w:rFonts w:hint="eastAsia" w:ascii="宋体" w:hAnsi="宋体" w:cs="宋体"/>
                <w:color w:val="000000"/>
                <w:sz w:val="20"/>
              </w:rPr>
              <w:t>支持2路VGA输出，2路HDMI输出，支持VGA1和HDMI1同源输出，双HDMI4K分辨率异源输出</w:t>
            </w:r>
            <w:r>
              <w:rPr>
                <w:rFonts w:hint="eastAsia" w:ascii="宋体" w:hAnsi="宋体" w:cs="宋体"/>
                <w:color w:val="000000"/>
                <w:sz w:val="20"/>
              </w:rPr>
              <w:br w:type="textWrapping"/>
            </w:r>
            <w:r>
              <w:rPr>
                <w:rFonts w:hint="eastAsia" w:ascii="宋体" w:hAnsi="宋体" w:cs="宋体"/>
                <w:color w:val="000000"/>
                <w:sz w:val="20"/>
              </w:rPr>
              <w:t>支持16个内置SATA接口，单盘容量支持8T，可配置成单盘，支持Raid0、Raid1、Raid5、Raid6、Raid10、JBOD等各种数据保护模式</w:t>
            </w:r>
            <w:r>
              <w:rPr>
                <w:rFonts w:hint="eastAsia" w:ascii="宋体" w:hAnsi="宋体" w:cs="宋体"/>
                <w:color w:val="000000"/>
                <w:sz w:val="20"/>
              </w:rPr>
              <w:br w:type="textWrapping"/>
            </w:r>
            <w:r>
              <w:rPr>
                <w:rFonts w:hint="eastAsia" w:ascii="宋体" w:hAnsi="宋体" w:cs="宋体"/>
                <w:color w:val="000000"/>
                <w:sz w:val="20"/>
              </w:rPr>
              <w:t>▲支持画中画预览功能，可通过客户端软件在2路视频图像中分别叠加1路其他通道的视频图像并同时显示，可对画中画视频进行录像，并可在64画面预览模式下同时预览2路画中画视频（提供公安部有效检测报告复印件加盖原厂公章）；</w:t>
            </w:r>
            <w:r>
              <w:rPr>
                <w:rFonts w:hint="eastAsia" w:ascii="宋体" w:hAnsi="宋体" w:cs="宋体"/>
                <w:color w:val="000000"/>
                <w:sz w:val="20"/>
              </w:rPr>
              <w:br w:type="textWrapping"/>
            </w:r>
            <w:r>
              <w:rPr>
                <w:rFonts w:hint="eastAsia" w:ascii="宋体" w:hAnsi="宋体" w:cs="宋体"/>
                <w:color w:val="000000"/>
                <w:sz w:val="20"/>
              </w:rPr>
              <w:t>支持1个外置eSATA接口，用于录像和备份</w:t>
            </w:r>
            <w:r>
              <w:rPr>
                <w:rFonts w:hint="eastAsia" w:ascii="宋体" w:hAnsi="宋体" w:cs="宋体"/>
                <w:color w:val="000000"/>
                <w:sz w:val="20"/>
              </w:rPr>
              <w:br w:type="textWrapping"/>
            </w:r>
            <w:r>
              <w:rPr>
                <w:rFonts w:hint="eastAsia" w:ascii="宋体" w:hAnsi="宋体" w:cs="宋体"/>
                <w:color w:val="000000"/>
                <w:sz w:val="20"/>
              </w:rPr>
              <w:t>支持IPC复合音频1路输入，支持语音对讲2路输出，支持PC通过NVR与网络摄像机进行语音对讲</w:t>
            </w:r>
            <w:r>
              <w:rPr>
                <w:rFonts w:hint="eastAsia" w:ascii="宋体" w:hAnsi="宋体" w:cs="宋体"/>
                <w:color w:val="000000"/>
                <w:sz w:val="20"/>
              </w:rPr>
              <w:br w:type="textWrapping"/>
            </w:r>
            <w:r>
              <w:rPr>
                <w:rFonts w:hint="eastAsia" w:ascii="宋体" w:hAnsi="宋体" w:cs="宋体"/>
                <w:color w:val="000000"/>
                <w:sz w:val="20"/>
              </w:rPr>
              <w:t>支持16路报警输入、6路报警输出，支持开关量输入输出模式</w:t>
            </w:r>
            <w:r>
              <w:rPr>
                <w:rFonts w:hint="eastAsia" w:ascii="宋体" w:hAnsi="宋体" w:cs="宋体"/>
                <w:color w:val="000000"/>
                <w:sz w:val="20"/>
              </w:rPr>
              <w:br w:type="textWrapping"/>
            </w:r>
            <w:r>
              <w:rPr>
                <w:rFonts w:hint="eastAsia" w:ascii="宋体" w:hAnsi="宋体" w:cs="宋体"/>
                <w:color w:val="000000"/>
                <w:sz w:val="20"/>
              </w:rPr>
              <w:t>支持4个USB接口（2个前置USB2.0接口、2个后置USB3.0接口）</w:t>
            </w:r>
            <w:r>
              <w:rPr>
                <w:rFonts w:hint="eastAsia" w:ascii="宋体" w:hAnsi="宋体" w:cs="宋体"/>
                <w:color w:val="000000"/>
                <w:sz w:val="20"/>
              </w:rPr>
              <w:br w:type="textWrapping"/>
            </w:r>
            <w:r>
              <w:rPr>
                <w:rFonts w:hint="eastAsia" w:ascii="宋体" w:hAnsi="宋体" w:cs="宋体"/>
                <w:color w:val="000000"/>
                <w:sz w:val="20"/>
              </w:rPr>
              <w:t>支持2个千兆以太网口，支持2个不同段IP地址的IPC设备接入，支持将双网口设置同一个IP地址，实现数据链路冗余</w:t>
            </w:r>
            <w:r>
              <w:rPr>
                <w:rFonts w:hint="eastAsia" w:ascii="宋体" w:hAnsi="宋体" w:cs="宋体"/>
                <w:color w:val="000000"/>
                <w:sz w:val="20"/>
              </w:rPr>
              <w:br w:type="textWrapping"/>
            </w:r>
            <w:r>
              <w:rPr>
                <w:rFonts w:hint="eastAsia" w:ascii="宋体" w:hAnsi="宋体" w:cs="宋体"/>
                <w:color w:val="000000"/>
                <w:sz w:val="20"/>
              </w:rPr>
              <w:t>支持按时间、按事件等多种方式进行录像的检索、回放、备份，支持图片本地回放与查询；</w:t>
            </w:r>
            <w:r>
              <w:rPr>
                <w:rFonts w:hint="eastAsia" w:ascii="宋体" w:hAnsi="宋体" w:cs="宋体"/>
                <w:color w:val="000000"/>
                <w:sz w:val="20"/>
              </w:rPr>
              <w:br w:type="textWrapping"/>
            </w:r>
            <w:r>
              <w:rPr>
                <w:rFonts w:hint="eastAsia" w:ascii="宋体" w:hAnsi="宋体" w:cs="宋体"/>
                <w:color w:val="000000"/>
                <w:sz w:val="20"/>
              </w:rPr>
              <w:t>支持标签自定义功能，设备支持对指定时间的录像进行标签并归档，便于后续査看</w:t>
            </w:r>
            <w:r>
              <w:rPr>
                <w:rFonts w:hint="eastAsia" w:ascii="宋体" w:hAnsi="宋体" w:cs="宋体"/>
                <w:color w:val="000000"/>
                <w:sz w:val="20"/>
              </w:rPr>
              <w:br w:type="textWrapping"/>
            </w:r>
            <w:r>
              <w:rPr>
                <w:rFonts w:hint="eastAsia" w:ascii="宋体" w:hAnsi="宋体" w:cs="宋体"/>
                <w:color w:val="000000"/>
                <w:sz w:val="20"/>
              </w:rPr>
              <w:t>支持硬盘、外接USB存储设备、DVD刻录等存储方式，支持U盘，eSATA方式，DVD刻录备份方式</w:t>
            </w:r>
            <w:r>
              <w:rPr>
                <w:rFonts w:hint="eastAsia" w:ascii="宋体" w:hAnsi="宋体" w:cs="宋体"/>
                <w:color w:val="000000"/>
                <w:sz w:val="20"/>
              </w:rPr>
              <w:br w:type="textWrapping"/>
            </w:r>
            <w:r>
              <w:rPr>
                <w:rFonts w:hint="eastAsia" w:ascii="宋体" w:hAnsi="宋体" w:cs="宋体"/>
                <w:color w:val="000000"/>
                <w:sz w:val="20"/>
              </w:rPr>
              <w:t>支持设备操作日志、报警日志、系统日志的记录与查询功能</w:t>
            </w:r>
            <w:r>
              <w:rPr>
                <w:rFonts w:hint="eastAsia" w:ascii="宋体" w:hAnsi="宋体" w:cs="宋体"/>
                <w:color w:val="000000"/>
                <w:sz w:val="20"/>
              </w:rPr>
              <w:br w:type="textWrapping"/>
            </w:r>
            <w:r>
              <w:rPr>
                <w:rFonts w:hint="eastAsia" w:ascii="宋体" w:hAnsi="宋体" w:cs="宋体"/>
                <w:color w:val="000000"/>
                <w:sz w:val="20"/>
              </w:rPr>
              <w:t>支持断网续传功能，能对前端摄像机断网这段时间内SD卡中的录像回传到NVR</w:t>
            </w:r>
            <w:r>
              <w:rPr>
                <w:rFonts w:hint="eastAsia" w:ascii="宋体" w:hAnsi="宋体" w:cs="宋体"/>
                <w:color w:val="000000"/>
                <w:sz w:val="20"/>
              </w:rPr>
              <w:br w:type="textWrapping"/>
            </w:r>
            <w:r>
              <w:rPr>
                <w:rFonts w:hint="eastAsia" w:ascii="宋体" w:hAnsi="宋体" w:cs="宋体"/>
                <w:color w:val="000000"/>
                <w:sz w:val="20"/>
              </w:rPr>
              <w:t>支持即时回放功能，在预览画面下回放指定通道的录像</w:t>
            </w:r>
            <w:r>
              <w:rPr>
                <w:rFonts w:hint="eastAsia" w:ascii="宋体" w:hAnsi="宋体" w:cs="宋体"/>
                <w:color w:val="000000"/>
                <w:sz w:val="20"/>
              </w:rPr>
              <w:br w:type="textWrapping"/>
            </w:r>
            <w:r>
              <w:rPr>
                <w:rFonts w:hint="eastAsia" w:ascii="宋体" w:hAnsi="宋体" w:cs="宋体"/>
                <w:color w:val="000000"/>
                <w:sz w:val="20"/>
              </w:rPr>
              <w:t>支持预览图像与回放图像的电子放大</w:t>
            </w:r>
            <w:r>
              <w:rPr>
                <w:rFonts w:hint="eastAsia" w:ascii="宋体" w:hAnsi="宋体" w:cs="宋体"/>
                <w:color w:val="000000"/>
                <w:sz w:val="20"/>
              </w:rPr>
              <w:br w:type="textWrapping"/>
            </w:r>
            <w:r>
              <w:rPr>
                <w:rFonts w:hint="eastAsia" w:ascii="宋体" w:hAnsi="宋体" w:cs="宋体"/>
                <w:color w:val="000000"/>
                <w:sz w:val="20"/>
              </w:rPr>
              <w:t>支持远程管理IPC功能，支持对前端IPC远程升级，支持远程对IPC的编码配置修改等操作</w:t>
            </w:r>
            <w:r>
              <w:rPr>
                <w:rFonts w:hint="eastAsia" w:ascii="宋体" w:hAnsi="宋体" w:cs="宋体"/>
                <w:color w:val="000000"/>
                <w:sz w:val="20"/>
              </w:rPr>
              <w:br w:type="textWrapping"/>
            </w:r>
            <w:r>
              <w:rPr>
                <w:rFonts w:hint="eastAsia" w:ascii="宋体" w:hAnsi="宋体" w:cs="宋体"/>
                <w:color w:val="000000"/>
                <w:sz w:val="20"/>
              </w:rPr>
              <w:t>支持远程零通道预览功能，可将接入的多路视频图像多画面显示在一路视频图像上</w:t>
            </w:r>
            <w:r>
              <w:rPr>
                <w:rFonts w:hint="eastAsia" w:ascii="宋体" w:hAnsi="宋体" w:cs="宋体"/>
                <w:color w:val="000000"/>
                <w:sz w:val="20"/>
              </w:rPr>
              <w:br w:type="textWrapping"/>
            </w:r>
            <w:r>
              <w:rPr>
                <w:rFonts w:hint="eastAsia" w:ascii="宋体" w:hAnsi="宋体" w:cs="宋体"/>
                <w:color w:val="000000"/>
                <w:sz w:val="20"/>
              </w:rPr>
              <w:t>支持切片回放功能，将录像切片等分成若干段视频进行多路同时回放</w:t>
            </w:r>
            <w:r>
              <w:rPr>
                <w:rFonts w:hint="eastAsia" w:ascii="宋体" w:hAnsi="宋体" w:cs="宋体"/>
                <w:color w:val="000000"/>
                <w:sz w:val="20"/>
              </w:rPr>
              <w:br w:type="textWrapping"/>
            </w:r>
            <w:r>
              <w:rPr>
                <w:rFonts w:hint="eastAsia" w:ascii="宋体" w:hAnsi="宋体" w:cs="宋体"/>
                <w:color w:val="000000"/>
                <w:sz w:val="20"/>
              </w:rPr>
              <w:t>支持盘组管理功能，实现视频录像的定向存储</w:t>
            </w:r>
            <w:r>
              <w:rPr>
                <w:rFonts w:hint="eastAsia" w:ascii="宋体" w:hAnsi="宋体" w:cs="宋体"/>
                <w:color w:val="000000"/>
                <w:sz w:val="20"/>
              </w:rPr>
              <w:br w:type="textWrapping"/>
            </w:r>
            <w:r>
              <w:rPr>
                <w:rFonts w:hint="eastAsia" w:ascii="宋体" w:hAnsi="宋体" w:cs="宋体"/>
                <w:color w:val="000000"/>
                <w:sz w:val="20"/>
              </w:rPr>
              <w:t>支持鱼眼矫正功能，本地和web端在预览和回放模式下，支持对接入鱼眼视频以拼接的方式进行矫正功能</w:t>
            </w:r>
            <w:r>
              <w:rPr>
                <w:rFonts w:hint="eastAsia" w:ascii="宋体" w:hAnsi="宋体" w:cs="宋体"/>
                <w:color w:val="000000"/>
                <w:sz w:val="20"/>
              </w:rPr>
              <w:br w:type="textWrapping"/>
            </w:r>
            <w:r>
              <w:rPr>
                <w:rFonts w:hint="eastAsia" w:ascii="宋体" w:hAnsi="宋体" w:cs="宋体"/>
                <w:color w:val="000000"/>
                <w:sz w:val="20"/>
              </w:rPr>
              <w:t>支持走廊模式功能，支持IPC画面旋转90°或270°，成9:16走廊模式</w:t>
            </w:r>
            <w:r>
              <w:rPr>
                <w:rFonts w:hint="eastAsia" w:ascii="宋体" w:hAnsi="宋体" w:cs="宋体"/>
                <w:color w:val="000000"/>
                <w:sz w:val="20"/>
              </w:rPr>
              <w:br w:type="textWrapping"/>
            </w:r>
            <w:r>
              <w:rPr>
                <w:rFonts w:hint="eastAsia" w:ascii="宋体" w:hAnsi="宋体" w:cs="宋体"/>
                <w:color w:val="000000"/>
                <w:sz w:val="20"/>
              </w:rPr>
              <w:t>支持客户端、WEB支持客户端和IPC对讲，语音透传</w:t>
            </w:r>
            <w:r>
              <w:rPr>
                <w:rFonts w:hint="eastAsia" w:ascii="宋体" w:hAnsi="宋体" w:cs="宋体"/>
                <w:color w:val="000000"/>
                <w:sz w:val="20"/>
              </w:rPr>
              <w:br w:type="textWrapping"/>
            </w:r>
            <w:r>
              <w:rPr>
                <w:rFonts w:hint="eastAsia" w:ascii="宋体" w:hAnsi="宋体" w:cs="宋体"/>
                <w:color w:val="000000"/>
                <w:sz w:val="20"/>
              </w:rPr>
              <w:t>支持网络安全基线，在线网络云升级前端IPC/NVR</w:t>
            </w:r>
            <w:r>
              <w:rPr>
                <w:rFonts w:hint="eastAsia" w:ascii="宋体" w:hAnsi="宋体" w:cs="宋体"/>
                <w:color w:val="000000"/>
                <w:sz w:val="20"/>
              </w:rPr>
              <w:br w:type="textWrapping"/>
            </w:r>
            <w:r>
              <w:rPr>
                <w:rFonts w:hint="eastAsia" w:ascii="宋体" w:hAnsi="宋体" w:cs="宋体"/>
                <w:color w:val="000000"/>
                <w:sz w:val="20"/>
              </w:rPr>
              <w:t>支持预览通道拖动保存、自定义布局（双目、三目、四目枪机接入）</w:t>
            </w:r>
            <w:r>
              <w:rPr>
                <w:rFonts w:hint="eastAsia" w:ascii="宋体" w:hAnsi="宋体" w:cs="宋体"/>
                <w:color w:val="000000"/>
                <w:sz w:val="20"/>
              </w:rPr>
              <w:br w:type="textWrapping"/>
            </w:r>
            <w:r>
              <w:rPr>
                <w:rFonts w:hint="eastAsia" w:ascii="宋体" w:hAnsi="宋体" w:cs="宋体"/>
                <w:color w:val="000000"/>
                <w:sz w:val="20"/>
              </w:rPr>
              <w:t>支持SmartIPC接入、绊线入侵、区域入侵、场景变化、移动侦测、人脸检测、物品遗留和物品搬移时，可给出报警/联动/上传，同时支持热度图，人数统计，车牌检测（支持卡口ITC、球机）、智能跟踪球。</w:t>
            </w:r>
          </w:p>
        </w:tc>
      </w:tr>
      <w:tr>
        <w:tblPrEx>
          <w:tblCellMar>
            <w:top w:w="0" w:type="dxa"/>
            <w:left w:w="108" w:type="dxa"/>
            <w:bottom w:w="0" w:type="dxa"/>
            <w:right w:w="108" w:type="dxa"/>
          </w:tblCellMar>
        </w:tblPrEx>
        <w:trPr>
          <w:trHeight w:val="574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13</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存储设备2~32路NVR</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支持嵌入式Linux系统，工业级嵌入式微控制器支持WEB、本地GUI界面操作可接驳支持ONVIF、PSIA、RTSP协议的第三方摄像机和主流品牌摄像机支持IPv4、IPv6、HTTP、NTP、DNS、ONVIF网络协议支持最大32路网络视频接入，网络性能接入200Mbps,储存128Mbps,转发128Mbps；</w:t>
            </w:r>
            <w:r>
              <w:rPr>
                <w:rFonts w:hint="eastAsia" w:ascii="宋体" w:hAnsi="宋体" w:cs="宋体"/>
                <w:color w:val="000000"/>
                <w:sz w:val="20"/>
              </w:rPr>
              <w:br w:type="textWrapping"/>
            </w:r>
            <w:r>
              <w:rPr>
                <w:rFonts w:hint="eastAsia" w:ascii="宋体" w:hAnsi="宋体" w:cs="宋体"/>
                <w:color w:val="000000"/>
                <w:sz w:val="20"/>
              </w:rPr>
              <w:t>▲当设备收到报警联动触发信号时，应能启动设备相应的通道进行联动记录。设备应能预录报警触发前最大600s的视（音）频。（提供公安部有效检测报告复印件加盖原厂公章）；</w:t>
            </w:r>
            <w:r>
              <w:rPr>
                <w:rFonts w:hint="eastAsia" w:ascii="宋体" w:hAnsi="宋体" w:cs="宋体"/>
                <w:color w:val="000000"/>
                <w:sz w:val="20"/>
              </w:rPr>
              <w:br w:type="textWrapping"/>
            </w:r>
            <w:r>
              <w:rPr>
                <w:rFonts w:hint="eastAsia" w:ascii="宋体" w:hAnsi="宋体" w:cs="宋体"/>
                <w:color w:val="000000"/>
                <w:sz w:val="20"/>
              </w:rPr>
              <w:t>支持8M/6M/5M/4M/3M/1080P/1.3M/720PIPC分辨率接入支持2×4K/4×4M/8×1080P/16×720P解码，最大支持16路视频回放支持1路VGA，1路HDMI，支持VGA/HDMI视频同源输出；</w:t>
            </w:r>
            <w:r>
              <w:rPr>
                <w:rFonts w:hint="eastAsia" w:ascii="宋体" w:hAnsi="宋体" w:cs="宋体"/>
                <w:color w:val="000000"/>
                <w:sz w:val="20"/>
              </w:rPr>
              <w:br w:type="textWrapping"/>
            </w:r>
            <w:r>
              <w:rPr>
                <w:rFonts w:hint="eastAsia" w:ascii="宋体" w:hAnsi="宋体" w:cs="宋体"/>
                <w:color w:val="000000"/>
                <w:sz w:val="20"/>
              </w:rPr>
              <w:t>▲支持P2P服务器功能，可通过P2P服务器远程进行图像实时预览及录像回放。（提供公安部有效检测报告复印件加盖原厂公章）；</w:t>
            </w:r>
            <w:r>
              <w:rPr>
                <w:rFonts w:hint="eastAsia" w:ascii="宋体" w:hAnsi="宋体" w:cs="宋体"/>
                <w:color w:val="000000"/>
                <w:sz w:val="20"/>
              </w:rPr>
              <w:br w:type="textWrapping"/>
            </w:r>
            <w:r>
              <w:rPr>
                <w:rFonts w:hint="eastAsia" w:ascii="宋体" w:hAnsi="宋体" w:cs="宋体"/>
                <w:color w:val="000000"/>
                <w:sz w:val="20"/>
              </w:rPr>
              <w:t>支持8个内置SATA接口，单盘容量支持10T，可配置成单盘，支持SSD支持IPC音频1路输入，支持语音对讲1路输出，支持PC通过NVR与网络摄像机进行语音对讲支持16路报警输入、4路报警输出，其中1路继电器输出，1路12V1Actrl输出，支持开关量输入输出模式支持3个USB接口（2个前置USB2.0接口、1个后置USB3.0接口）支持2个千兆以太网口，支持2个不同段IP地址的IPC设备接入，</w:t>
            </w:r>
            <w:r>
              <w:rPr>
                <w:rFonts w:hint="eastAsia" w:ascii="宋体" w:hAnsi="宋体" w:cs="宋体"/>
                <w:color w:val="000000"/>
                <w:sz w:val="20"/>
              </w:rPr>
              <w:br w:type="textWrapping"/>
            </w:r>
            <w:r>
              <w:rPr>
                <w:rFonts w:hint="eastAsia" w:ascii="宋体" w:hAnsi="宋体" w:cs="宋体"/>
                <w:color w:val="000000"/>
                <w:sz w:val="20"/>
              </w:rPr>
              <w:t>支持将双网口设置同一个IP地址，实现数据链路冗余支持按时间、按事件等多种方式进行录像的检索、回放、备份；</w:t>
            </w:r>
            <w:r>
              <w:rPr>
                <w:rFonts w:hint="eastAsia" w:ascii="宋体" w:hAnsi="宋体" w:cs="宋体"/>
                <w:color w:val="000000"/>
                <w:sz w:val="20"/>
              </w:rPr>
              <w:br w:type="textWrapping"/>
            </w:r>
            <w:r>
              <w:rPr>
                <w:rFonts w:hint="eastAsia" w:ascii="宋体" w:hAnsi="宋体" w:cs="宋体"/>
                <w:color w:val="000000"/>
                <w:sz w:val="20"/>
              </w:rPr>
              <w:t>▲日志记录增加冲突的MAC地址及登录错误的IP地址和账号信息，支持程序异常或设备死机时收集设备信息。（提供公安部有效检测报告复印件加盖原厂公章）；</w:t>
            </w:r>
            <w:r>
              <w:rPr>
                <w:rFonts w:hint="eastAsia" w:ascii="宋体" w:hAnsi="宋体" w:cs="宋体"/>
                <w:color w:val="000000"/>
                <w:sz w:val="20"/>
              </w:rPr>
              <w:br w:type="textWrapping"/>
            </w:r>
            <w:r>
              <w:rPr>
                <w:rFonts w:hint="eastAsia" w:ascii="宋体" w:hAnsi="宋体" w:cs="宋体"/>
                <w:color w:val="000000"/>
                <w:sz w:val="20"/>
              </w:rPr>
              <w:t>支持图片本地回放与查询支持标签自定义功能，设备支持对指定时间的录像进行标签并归档，便于后续査看支持本机硬盘、网络等存储方式，支持硬盘、外接USB存储设备备份方式支持设备操作日志、报警日志、系统日志的记录与查询功能支持断网续传功能，能对前端摄像机断网这段时间内SD卡中的录像回传到NVR支持即时回放功能，在预览画面下回放指定通道的录像支持预览图像与回放图像的电子放大采用大华协议，可以通过鼠标控制云台转动、放大、定位等操作支持一键添加摄像机显示监控画面支持远程管理IPC功能，支持对前端IPC远程升级，支持远程对IPC的编码配置修改等操作支持远程零通道预览功能，可将接入的多路视频图像多画面显示在一路视频图像上支持盘组管理功能，实现视频录像的定向存储支持走廊模式功能，支持IPC画面旋转90°或270°，成9:16走廊模式；</w:t>
            </w:r>
          </w:p>
        </w:tc>
      </w:tr>
      <w:tr>
        <w:tblPrEx>
          <w:tblCellMar>
            <w:top w:w="0" w:type="dxa"/>
            <w:left w:w="108" w:type="dxa"/>
            <w:bottom w:w="0" w:type="dxa"/>
            <w:right w:w="108" w:type="dxa"/>
          </w:tblCellMar>
        </w:tblPrEx>
        <w:trPr>
          <w:trHeight w:val="439"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14</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硬盘</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6000G；5400RPM；256M；SATA</w:t>
            </w:r>
          </w:p>
        </w:tc>
      </w:tr>
      <w:tr>
        <w:tblPrEx>
          <w:tblCellMar>
            <w:top w:w="0" w:type="dxa"/>
            <w:left w:w="108" w:type="dxa"/>
            <w:bottom w:w="0" w:type="dxa"/>
            <w:right w:w="108" w:type="dxa"/>
          </w:tblCellMar>
        </w:tblPrEx>
        <w:trPr>
          <w:trHeight w:val="54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IC卡发行器</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IC卡(Mifare卡)发卡 USB供电和通讯，工作电流&lt;150mA 免驱动安装，即插即用</w:t>
            </w:r>
          </w:p>
        </w:tc>
      </w:tr>
      <w:tr>
        <w:tblPrEx>
          <w:tblCellMar>
            <w:top w:w="0" w:type="dxa"/>
            <w:left w:w="108" w:type="dxa"/>
            <w:bottom w:w="0" w:type="dxa"/>
            <w:right w:w="108" w:type="dxa"/>
          </w:tblCellMar>
        </w:tblPrEx>
        <w:trPr>
          <w:trHeight w:val="439"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16</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IC钥匙扣卡</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IC卡；（每户3张）</w:t>
            </w:r>
          </w:p>
        </w:tc>
      </w:tr>
      <w:tr>
        <w:tblPrEx>
          <w:tblCellMar>
            <w:top w:w="0" w:type="dxa"/>
            <w:left w:w="108" w:type="dxa"/>
            <w:bottom w:w="0" w:type="dxa"/>
            <w:right w:w="108" w:type="dxa"/>
          </w:tblCellMar>
        </w:tblPrEx>
        <w:trPr>
          <w:trHeight w:val="439"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17</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钥匙</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配套要求（每户3把）</w:t>
            </w:r>
          </w:p>
        </w:tc>
      </w:tr>
      <w:tr>
        <w:tblPrEx>
          <w:tblCellMar>
            <w:top w:w="0" w:type="dxa"/>
            <w:left w:w="108" w:type="dxa"/>
            <w:bottom w:w="0" w:type="dxa"/>
            <w:right w:w="108" w:type="dxa"/>
          </w:tblCellMar>
        </w:tblPrEx>
        <w:trPr>
          <w:trHeight w:val="439"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18</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管理电脑</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I5-9400CPU/8G内存/1T硬盘/无光驱/集成显卡 21.5寸显示器</w:t>
            </w:r>
          </w:p>
        </w:tc>
      </w:tr>
      <w:tr>
        <w:tblPrEx>
          <w:tblCellMar>
            <w:top w:w="0" w:type="dxa"/>
            <w:left w:w="108" w:type="dxa"/>
            <w:bottom w:w="0" w:type="dxa"/>
            <w:right w:w="108" w:type="dxa"/>
          </w:tblCellMar>
        </w:tblPrEx>
        <w:trPr>
          <w:trHeight w:val="439"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19</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小区侧智慧安防管控软件</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与一期同一品牌。集成小区人行出入口的人脸识别通道管控系统、车行出入口的车辆管理系统、小区周界入侵报警系统，单元门的对讲访客管理和门禁系统，小区重要的场所的视频监控系统等。从而采集小区的人、车、房的静态数据以及人员和车辆的实时的进出数据。多个小区的数据统一汇聚到智安小区物业服务管理平台，实现物业管理的移动化、云端化，提高物业的服务水平和效率，同时居民享受智慧社区生活。最后将这些大数据进行AI应用，全面提升社区综合治理水平</w:t>
            </w:r>
          </w:p>
        </w:tc>
      </w:tr>
      <w:tr>
        <w:tblPrEx>
          <w:tblCellMar>
            <w:top w:w="0" w:type="dxa"/>
            <w:left w:w="108" w:type="dxa"/>
            <w:bottom w:w="0" w:type="dxa"/>
            <w:right w:w="108" w:type="dxa"/>
          </w:tblCellMar>
        </w:tblPrEx>
        <w:trPr>
          <w:trHeight w:val="439"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20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宋体" w:hAnsi="宋体" w:cs="宋体"/>
                <w:color w:val="000000"/>
                <w:sz w:val="20"/>
              </w:rPr>
            </w:pPr>
            <w:r>
              <w:rPr>
                <w:rFonts w:hint="eastAsia" w:ascii="宋体" w:hAnsi="宋体" w:cs="宋体"/>
                <w:color w:val="000000"/>
                <w:sz w:val="20"/>
              </w:rPr>
              <w:t>光纤链路费</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小区到街道光纤链路，</w:t>
            </w:r>
            <w:r>
              <w:rPr>
                <w:rStyle w:val="21"/>
              </w:rPr>
              <w:t>5</w:t>
            </w:r>
            <w:r>
              <w:rPr>
                <w:rFonts w:hint="eastAsia" w:ascii="宋体" w:hAnsi="宋体" w:cs="宋体"/>
                <w:color w:val="000000"/>
                <w:sz w:val="20"/>
              </w:rPr>
              <w:t>年</w:t>
            </w:r>
          </w:p>
        </w:tc>
      </w:tr>
      <w:tr>
        <w:tblPrEx>
          <w:tblCellMar>
            <w:top w:w="0" w:type="dxa"/>
            <w:left w:w="108" w:type="dxa"/>
            <w:bottom w:w="0" w:type="dxa"/>
            <w:right w:w="108" w:type="dxa"/>
          </w:tblCellMar>
        </w:tblPrEx>
        <w:trPr>
          <w:trHeight w:val="84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21</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网络机柜1~42U</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1.选用冷扎钢板，表面喷涂塑粉，防锈美观；2.600*600*2000，钢化玻璃前门,冷扎板后门,快开式侧板,预留对地安装孔和接地柱,可拆装,载重800KG,厚度角规2.0,框架1.2,其他1.0,带1个8位PDU插座,三块托板,2个风扇。</w:t>
            </w:r>
          </w:p>
        </w:tc>
      </w:tr>
      <w:tr>
        <w:tblPrEx>
          <w:tblCellMar>
            <w:top w:w="0" w:type="dxa"/>
            <w:left w:w="108" w:type="dxa"/>
            <w:bottom w:w="0" w:type="dxa"/>
            <w:right w:w="108" w:type="dxa"/>
          </w:tblCellMar>
        </w:tblPrEx>
        <w:trPr>
          <w:trHeight w:val="86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22</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网络机柜2~24U</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1.选用冷扎钢板，表面喷涂塑粉，防锈美观；2.600*600*1200，前门采用全钢化5mm厚钢化玻璃,冷扎板后门,快开式侧板,预留对地安装孔和接地柱,可拆装,两侧带走线槽，厚度角规2.0,框架1.2,其他1.0,带1个5位10A PDU插座,一块托板,2个风扇</w:t>
            </w:r>
          </w:p>
        </w:tc>
      </w:tr>
      <w:tr>
        <w:tblPrEx>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23</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网络机柜3~6U</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6U 立梁1.2mm 框架0.6mm 壁挂式机柜</w:t>
            </w:r>
          </w:p>
        </w:tc>
      </w:tr>
      <w:tr>
        <w:tblPrEx>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24</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网络机柜4~12U</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12U 立梁1.2mm 框架0.6mm 壁挂式机柜</w:t>
            </w:r>
          </w:p>
        </w:tc>
      </w:tr>
      <w:tr>
        <w:tblPrEx>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25</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附材</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光纤跳线，光纤配线架，光纤熔接、电源插座、胶带、空气开关、导轨等附件</w:t>
            </w:r>
          </w:p>
        </w:tc>
      </w:tr>
      <w:tr>
        <w:tblPrEx>
          <w:tblCellMar>
            <w:top w:w="0" w:type="dxa"/>
            <w:left w:w="108" w:type="dxa"/>
            <w:bottom w:w="0" w:type="dxa"/>
            <w:right w:w="108" w:type="dxa"/>
          </w:tblCellMar>
        </w:tblPrEx>
        <w:trPr>
          <w:trHeight w:val="439" w:hRule="atLeast"/>
        </w:trPr>
        <w:tc>
          <w:tcPr>
            <w:tcW w:w="9870" w:type="dxa"/>
            <w:gridSpan w:val="3"/>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b/>
                <w:bCs/>
                <w:color w:val="000000"/>
                <w:sz w:val="20"/>
              </w:rPr>
            </w:pPr>
            <w:r>
              <w:rPr>
                <w:rFonts w:hint="eastAsia" w:ascii="宋体" w:hAnsi="宋体" w:cs="宋体"/>
                <w:b/>
                <w:bCs/>
                <w:color w:val="000000"/>
                <w:sz w:val="20"/>
              </w:rPr>
              <w:t>五、智能感知系统</w:t>
            </w:r>
          </w:p>
        </w:tc>
      </w:tr>
      <w:tr>
        <w:tblPrEx>
          <w:tblCellMar>
            <w:top w:w="0" w:type="dxa"/>
            <w:left w:w="108" w:type="dxa"/>
            <w:bottom w:w="0" w:type="dxa"/>
            <w:right w:w="108" w:type="dxa"/>
          </w:tblCellMar>
        </w:tblPrEx>
        <w:trPr>
          <w:trHeight w:val="710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人脸摄像机带定向智能感知设备</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400万星光级1/1.8” CMOS AI抓拍筒型网络摄像机</w:t>
            </w:r>
            <w:r>
              <w:rPr>
                <w:rFonts w:hint="eastAsia" w:ascii="宋体" w:hAnsi="宋体" w:cs="宋体"/>
                <w:color w:val="000000"/>
                <w:sz w:val="20"/>
              </w:rPr>
              <w:br w:type="textWrapping"/>
            </w:r>
            <w:r>
              <w:rPr>
                <w:rFonts w:hint="eastAsia" w:ascii="宋体" w:hAnsi="宋体" w:cs="宋体"/>
                <w:color w:val="000000"/>
                <w:sz w:val="20"/>
              </w:rPr>
              <w:t>支持同时检测并且抓拍30张人脸，支持对运动人脸进行检测、跟踪、抓拍、评分、筛选输出最优的人脸抓图，支持最佳抓拍，快速抓拍</w:t>
            </w:r>
            <w:r>
              <w:rPr>
                <w:rFonts w:hint="eastAsia" w:ascii="宋体" w:hAnsi="宋体" w:cs="宋体"/>
                <w:color w:val="000000"/>
                <w:sz w:val="20"/>
              </w:rPr>
              <w:br w:type="textWrapping"/>
            </w:r>
            <w:r>
              <w:rPr>
                <w:rFonts w:hint="eastAsia" w:ascii="宋体" w:hAnsi="宋体" w:cs="宋体"/>
                <w:color w:val="000000"/>
                <w:sz w:val="20"/>
              </w:rPr>
              <w:t>支持前端人脸比对，支持最多3个人脸库的管理，支持最多9万张人脸的导入</w:t>
            </w:r>
            <w:r>
              <w:rPr>
                <w:rFonts w:hint="eastAsia" w:ascii="宋体" w:hAnsi="宋体" w:cs="宋体"/>
                <w:color w:val="000000"/>
                <w:sz w:val="20"/>
              </w:rPr>
              <w:br w:type="textWrapping"/>
            </w:r>
            <w:r>
              <w:rPr>
                <w:rFonts w:hint="eastAsia" w:ascii="宋体" w:hAnsi="宋体" w:cs="宋体"/>
                <w:color w:val="000000"/>
                <w:sz w:val="20"/>
              </w:rPr>
              <w:t>支持人脸，人体属性上报</w:t>
            </w:r>
            <w:r>
              <w:rPr>
                <w:rFonts w:hint="eastAsia" w:ascii="宋体" w:hAnsi="宋体" w:cs="宋体"/>
                <w:color w:val="000000"/>
                <w:sz w:val="20"/>
              </w:rPr>
              <w:br w:type="textWrapping"/>
            </w:r>
            <w:r>
              <w:rPr>
                <w:rFonts w:hint="eastAsia" w:ascii="宋体" w:hAnsi="宋体" w:cs="宋体"/>
                <w:color w:val="000000"/>
                <w:sz w:val="20"/>
              </w:rPr>
              <w:t>支持上传背景大图以及人脸小图</w:t>
            </w:r>
            <w:r>
              <w:rPr>
                <w:rFonts w:hint="eastAsia" w:ascii="宋体" w:hAnsi="宋体" w:cs="宋体"/>
                <w:color w:val="000000"/>
                <w:sz w:val="20"/>
              </w:rPr>
              <w:br w:type="textWrapping"/>
            </w:r>
            <w:r>
              <w:rPr>
                <w:rFonts w:hint="eastAsia" w:ascii="宋体" w:hAnsi="宋体" w:cs="宋体"/>
                <w:color w:val="000000"/>
                <w:sz w:val="20"/>
              </w:rPr>
              <w:t>支持人脸库个数：3个</w:t>
            </w:r>
            <w:r>
              <w:rPr>
                <w:rFonts w:hint="eastAsia" w:ascii="宋体" w:hAnsi="宋体" w:cs="宋体"/>
                <w:color w:val="000000"/>
                <w:sz w:val="20"/>
              </w:rPr>
              <w:br w:type="textWrapping"/>
            </w:r>
            <w:r>
              <w:rPr>
                <w:rFonts w:hint="eastAsia" w:ascii="宋体" w:hAnsi="宋体" w:cs="宋体"/>
                <w:color w:val="000000"/>
                <w:sz w:val="20"/>
              </w:rPr>
              <w:t>每个人脸库支持的人脸数量：30000个，单张人脸不超过300KB</w:t>
            </w:r>
            <w:r>
              <w:rPr>
                <w:rFonts w:hint="eastAsia" w:ascii="宋体" w:hAnsi="宋体" w:cs="宋体"/>
                <w:color w:val="000000"/>
                <w:sz w:val="20"/>
              </w:rPr>
              <w:br w:type="textWrapping"/>
            </w:r>
            <w:r>
              <w:rPr>
                <w:rFonts w:hint="eastAsia" w:ascii="宋体" w:hAnsi="宋体" w:cs="宋体"/>
                <w:color w:val="000000"/>
                <w:sz w:val="20"/>
              </w:rPr>
              <w:t>智慧城管：支持1-24小时检测周期，支持非法摆摊事件检测</w:t>
            </w:r>
            <w:r>
              <w:rPr>
                <w:rFonts w:hint="eastAsia" w:ascii="宋体" w:hAnsi="宋体" w:cs="宋体"/>
                <w:color w:val="000000"/>
                <w:sz w:val="20"/>
              </w:rPr>
              <w:br w:type="textWrapping"/>
            </w:r>
            <w:r>
              <w:rPr>
                <w:rFonts w:hint="eastAsia" w:ascii="宋体" w:hAnsi="宋体" w:cs="宋体"/>
                <w:color w:val="000000"/>
                <w:sz w:val="20"/>
              </w:rPr>
              <w:t>道路监控：支持背向行驶车辆抓拍，支持车牌、子品牌、车身颜色、车辆类型。支持行人、非机动车、机动车的混行检测</w:t>
            </w:r>
            <w:r>
              <w:rPr>
                <w:rFonts w:hint="eastAsia" w:ascii="宋体" w:hAnsi="宋体" w:cs="宋体"/>
                <w:color w:val="000000"/>
                <w:sz w:val="20"/>
              </w:rPr>
              <w:br w:type="textWrapping"/>
            </w:r>
            <w:r>
              <w:rPr>
                <w:rFonts w:hint="eastAsia" w:ascii="宋体" w:hAnsi="宋体" w:cs="宋体"/>
                <w:color w:val="000000"/>
                <w:sz w:val="20"/>
              </w:rPr>
              <w:t>设备内置高效专利温和补光灯，告别光污染，保证夜间正常进行人脸抓拍</w:t>
            </w:r>
            <w:r>
              <w:rPr>
                <w:rFonts w:hint="eastAsia" w:ascii="宋体" w:hAnsi="宋体" w:cs="宋体"/>
                <w:color w:val="000000"/>
                <w:sz w:val="20"/>
              </w:rPr>
              <w:br w:type="textWrapping"/>
            </w:r>
            <w:r>
              <w:rPr>
                <w:rFonts w:hint="eastAsia" w:ascii="宋体" w:hAnsi="宋体" w:cs="宋体"/>
                <w:color w:val="000000"/>
                <w:sz w:val="20"/>
              </w:rPr>
              <w:t>设备内置电动变焦镜头，操作便易，变焦过程平稳</w:t>
            </w:r>
            <w:r>
              <w:rPr>
                <w:rFonts w:hint="eastAsia" w:ascii="宋体" w:hAnsi="宋体" w:cs="宋体"/>
                <w:color w:val="000000"/>
                <w:sz w:val="20"/>
              </w:rPr>
              <w:br w:type="textWrapping"/>
            </w:r>
            <w:r>
              <w:rPr>
                <w:rFonts w:hint="eastAsia" w:ascii="宋体" w:hAnsi="宋体" w:cs="宋体"/>
                <w:color w:val="000000"/>
                <w:sz w:val="20"/>
              </w:rPr>
              <w:t>支持AP无线采集</w:t>
            </w:r>
            <w:r>
              <w:rPr>
                <w:rFonts w:hint="eastAsia" w:ascii="宋体" w:hAnsi="宋体" w:cs="宋体"/>
                <w:color w:val="000000"/>
                <w:sz w:val="20"/>
              </w:rPr>
              <w:br w:type="textWrapping"/>
            </w:r>
            <w:r>
              <w:rPr>
                <w:rFonts w:hint="eastAsia" w:ascii="宋体" w:hAnsi="宋体" w:cs="宋体"/>
                <w:color w:val="000000"/>
                <w:sz w:val="20"/>
              </w:rPr>
              <w:t>GPS信息侦测:支持设备所在位置的经纬度查询，支持GPS/北斗校时</w:t>
            </w:r>
            <w:r>
              <w:rPr>
                <w:rFonts w:hint="eastAsia" w:ascii="宋体" w:hAnsi="宋体" w:cs="宋体"/>
                <w:color w:val="000000"/>
                <w:sz w:val="20"/>
              </w:rPr>
              <w:br w:type="textWrapping"/>
            </w:r>
            <w:r>
              <w:rPr>
                <w:rFonts w:hint="eastAsia" w:ascii="宋体" w:hAnsi="宋体" w:cs="宋体"/>
                <w:color w:val="000000"/>
                <w:sz w:val="20"/>
              </w:rPr>
              <w:t>最低照度:彩色: 0.0005Lux @ (F1.2, AGC ON) 黑白: 0.0001 Lux @ (F1.2, AGC ON), 0 Lux with IR</w:t>
            </w:r>
            <w:r>
              <w:rPr>
                <w:rFonts w:hint="eastAsia" w:ascii="宋体" w:hAnsi="宋体" w:cs="宋体"/>
                <w:color w:val="000000"/>
                <w:sz w:val="20"/>
              </w:rPr>
              <w:br w:type="textWrapping"/>
            </w:r>
            <w:r>
              <w:rPr>
                <w:rFonts w:hint="eastAsia" w:ascii="宋体" w:hAnsi="宋体" w:cs="宋体"/>
                <w:color w:val="000000"/>
                <w:sz w:val="20"/>
              </w:rPr>
              <w:t>镜头:（变焦）8-32mm @ F1.8,水平视场角：37.7°~15.1°，垂直视场角：21.0°~8.7°，对角线视场角：43.4°~17.3°</w:t>
            </w:r>
            <w:r>
              <w:rPr>
                <w:rFonts w:hint="eastAsia" w:ascii="宋体" w:hAnsi="宋体" w:cs="宋体"/>
                <w:color w:val="000000"/>
                <w:sz w:val="20"/>
              </w:rPr>
              <w:br w:type="textWrapping"/>
            </w:r>
            <w:r>
              <w:rPr>
                <w:rFonts w:hint="eastAsia" w:ascii="宋体" w:hAnsi="宋体" w:cs="宋体"/>
                <w:color w:val="000000"/>
                <w:sz w:val="20"/>
              </w:rPr>
              <w:t>宽动态:超宽动态范围达120dB，室内逆光环境下监控</w:t>
            </w:r>
            <w:r>
              <w:rPr>
                <w:rFonts w:hint="eastAsia" w:ascii="宋体" w:hAnsi="宋体" w:cs="宋体"/>
                <w:color w:val="000000"/>
                <w:sz w:val="20"/>
              </w:rPr>
              <w:br w:type="textWrapping"/>
            </w:r>
            <w:r>
              <w:rPr>
                <w:rFonts w:hint="eastAsia" w:ascii="宋体" w:hAnsi="宋体" w:cs="宋体"/>
                <w:color w:val="000000"/>
                <w:sz w:val="20"/>
              </w:rPr>
              <w:t>视频压缩标准:H.265/H.264 / MJPEG</w:t>
            </w:r>
            <w:r>
              <w:rPr>
                <w:rFonts w:hint="eastAsia" w:ascii="宋体" w:hAnsi="宋体" w:cs="宋体"/>
                <w:color w:val="000000"/>
                <w:sz w:val="20"/>
              </w:rPr>
              <w:br w:type="textWrapping"/>
            </w:r>
            <w:r>
              <w:rPr>
                <w:rFonts w:hint="eastAsia" w:ascii="宋体" w:hAnsi="宋体" w:cs="宋体"/>
                <w:color w:val="000000"/>
                <w:sz w:val="20"/>
              </w:rPr>
              <w:t>最大图像尺寸:2688×1520</w:t>
            </w:r>
            <w:r>
              <w:rPr>
                <w:rFonts w:hint="eastAsia" w:ascii="宋体" w:hAnsi="宋体" w:cs="宋体"/>
                <w:color w:val="000000"/>
                <w:sz w:val="20"/>
              </w:rPr>
              <w:br w:type="textWrapping"/>
            </w:r>
            <w:r>
              <w:rPr>
                <w:rFonts w:hint="eastAsia" w:ascii="宋体" w:hAnsi="宋体" w:cs="宋体"/>
                <w:color w:val="000000"/>
                <w:sz w:val="20"/>
              </w:rPr>
              <w:t>存储功能:支持Micro SD(即TF卡)/Micro SDHC /Micro SDXC卡(128GB或者256GB)断网本地存储及断网续传,NAS(NFS,SMB/CIFS均支持),配合海康黑卡支持SD卡加密及SD状态检测功能</w:t>
            </w:r>
            <w:r>
              <w:rPr>
                <w:rFonts w:hint="eastAsia" w:ascii="宋体" w:hAnsi="宋体" w:cs="宋体"/>
                <w:color w:val="000000"/>
                <w:sz w:val="20"/>
              </w:rPr>
              <w:br w:type="textWrapping"/>
            </w:r>
            <w:r>
              <w:rPr>
                <w:rFonts w:hint="eastAsia" w:ascii="宋体" w:hAnsi="宋体" w:cs="宋体"/>
                <w:color w:val="000000"/>
                <w:sz w:val="20"/>
              </w:rPr>
              <w:t>接口类型:甩线</w:t>
            </w:r>
            <w:r>
              <w:rPr>
                <w:rFonts w:hint="eastAsia" w:ascii="宋体" w:hAnsi="宋体" w:cs="宋体"/>
                <w:color w:val="000000"/>
                <w:sz w:val="20"/>
              </w:rPr>
              <w:br w:type="textWrapping"/>
            </w:r>
            <w:r>
              <w:rPr>
                <w:rFonts w:hint="eastAsia" w:ascii="宋体" w:hAnsi="宋体" w:cs="宋体"/>
                <w:color w:val="000000"/>
                <w:sz w:val="20"/>
              </w:rPr>
              <w:t>通讯接口:1个RJ45 10M / 100M /1000M自适应以太网口；RS-485;</w:t>
            </w:r>
            <w:r>
              <w:rPr>
                <w:rFonts w:hint="eastAsia" w:ascii="宋体" w:hAnsi="宋体" w:cs="宋体"/>
                <w:color w:val="000000"/>
                <w:sz w:val="20"/>
              </w:rPr>
              <w:br w:type="textWrapping"/>
            </w:r>
            <w:r>
              <w:rPr>
                <w:rFonts w:hint="eastAsia" w:ascii="宋体" w:hAnsi="宋体" w:cs="宋体"/>
                <w:color w:val="000000"/>
                <w:sz w:val="20"/>
              </w:rPr>
              <w:t>工作温度和湿度:-30℃~60℃,湿度小于95%(无凝结)</w:t>
            </w:r>
            <w:r>
              <w:rPr>
                <w:rFonts w:hint="eastAsia" w:ascii="宋体" w:hAnsi="宋体" w:cs="宋体"/>
                <w:color w:val="000000"/>
                <w:sz w:val="20"/>
              </w:rPr>
              <w:br w:type="textWrapping"/>
            </w:r>
            <w:r>
              <w:rPr>
                <w:rFonts w:hint="eastAsia" w:ascii="宋体" w:hAnsi="宋体" w:cs="宋体"/>
                <w:color w:val="000000"/>
                <w:sz w:val="20"/>
              </w:rPr>
              <w:t>电源供应:AC24V：24V±20%</w:t>
            </w:r>
            <w:r>
              <w:rPr>
                <w:rFonts w:hint="eastAsia" w:ascii="宋体" w:hAnsi="宋体" w:cs="宋体"/>
                <w:color w:val="000000"/>
                <w:sz w:val="20"/>
              </w:rPr>
              <w:br w:type="textWrapping"/>
            </w:r>
            <w:r>
              <w:rPr>
                <w:rFonts w:hint="eastAsia" w:ascii="宋体" w:hAnsi="宋体" w:cs="宋体"/>
                <w:color w:val="000000"/>
                <w:sz w:val="20"/>
              </w:rPr>
              <w:t>防护等级IP67</w:t>
            </w:r>
          </w:p>
        </w:tc>
      </w:tr>
      <w:tr>
        <w:tblPrEx>
          <w:tblCellMar>
            <w:top w:w="0" w:type="dxa"/>
            <w:left w:w="108" w:type="dxa"/>
            <w:bottom w:w="0" w:type="dxa"/>
            <w:right w:w="108" w:type="dxa"/>
          </w:tblCellMar>
        </w:tblPrEx>
        <w:trPr>
          <w:trHeight w:val="439" w:hRule="atLeast"/>
        </w:trPr>
        <w:tc>
          <w:tcPr>
            <w:tcW w:w="9870" w:type="dxa"/>
            <w:gridSpan w:val="3"/>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b/>
                <w:bCs/>
                <w:color w:val="000000"/>
                <w:sz w:val="20"/>
              </w:rPr>
            </w:pPr>
            <w:r>
              <w:rPr>
                <w:rFonts w:hint="eastAsia" w:ascii="宋体" w:hAnsi="宋体" w:cs="宋体"/>
                <w:b/>
                <w:bCs/>
                <w:color w:val="000000"/>
                <w:sz w:val="20"/>
              </w:rPr>
              <w:t>六、入侵报警系统</w:t>
            </w:r>
          </w:p>
        </w:tc>
      </w:tr>
      <w:tr>
        <w:tblPrEx>
          <w:tblCellMar>
            <w:top w:w="0" w:type="dxa"/>
            <w:left w:w="108" w:type="dxa"/>
            <w:bottom w:w="0" w:type="dxa"/>
            <w:right w:w="108" w:type="dxa"/>
          </w:tblCellMar>
        </w:tblPrEx>
        <w:trPr>
          <w:trHeight w:val="366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中央控制器</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通过外扩RS485扩展板或IP扩展模块，最多可以支持1024个扩展防区；可外接最多128个防区或扩展模块或主机，同时具备RS485、网络IP总线通信；可最多接入8个键盘，独立操作，LCD显示键盘分别对自己的所管辖的所有防区独立同时进行布防、撤防等操作；做到真正布撤防，撤防后前端控制杆主机应待机状态，不能撤防后前端围栏还能出现各种报警情况； 主机自带最多支持4个有线防区；可外扩IP模块、GPRS模块，通过RS232或IP实现与中心软件计算机连接； 外扩电话模块支持3组中心电话号码报警、8组用户号码报警、1组布防号码上报、1组撤防号码上报； 防区名称汉字任意更改； 在RS485扩展通讯总线上的设备都可以带有1-32个输出，其防区扩展模块最多带有1个输出，联动输出设备最多可带32个输出；每个防区可联动最多8个输出，联动包括：防区报警联动、防区布撤防联动、防区异常联动，可以达到电子地图、DVR报警输入、就地报警等功能； 通过键盘密码、遥控器、中心软件对前端设备进行布撤防；分别可以存储1000条的报警纪录；掉电记忆保存；可通过密码恢复出厂设置；主机有防拆功能，总线通信防剪功能；定时自动布防、撤防操作，方便用户白天、夜晚工作切换；具有2路RS-485总线通信接口和2路网络IP接口；支持自动搜索防区、自动识别重码防区功能； 通过电脑进行编程和配置；可远程配置好，文件发送，就地写入主机，让编程和服务更为简单、有效；输入电源：12-220V；主机板静态耗电：300mA；报警状态：850mA报警输出口DC12V/1A：外观尺寸：240 x 230 x 70mm；通讯总线长度不得大于2400m。</w:t>
            </w:r>
          </w:p>
        </w:tc>
      </w:tr>
      <w:tr>
        <w:tblPrEx>
          <w:tblCellMar>
            <w:top w:w="0" w:type="dxa"/>
            <w:left w:w="108" w:type="dxa"/>
            <w:bottom w:w="0" w:type="dxa"/>
            <w:right w:w="108" w:type="dxa"/>
          </w:tblCellMar>
        </w:tblPrEx>
        <w:trPr>
          <w:trHeight w:val="132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主机键盘</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与报警主机配套使用；3.5吋LCD液晶屏显示，可控制每台主机参数操作，可查询报警信息；信号双向传输，可以通过RS-485总线远程操作防区布防与撤防；一路虚拟电子地图联动进行实时监控；具有报警数据保存查询功能（查询方式：防区查询，报警记录查询）可查看报警类型与报警时间； 可以对系统时钟设置、及开机密码设置；可查看防区状态，通讯状态与主机状态查看；自带一路报警输出外扩开关量，可与其他安防设备进行联动并集中管理可对报警设备。</w:t>
            </w:r>
          </w:p>
        </w:tc>
      </w:tr>
      <w:tr>
        <w:tblPrEx>
          <w:tblCellMar>
            <w:top w:w="0" w:type="dxa"/>
            <w:left w:w="108" w:type="dxa"/>
            <w:bottom w:w="0" w:type="dxa"/>
            <w:right w:w="108" w:type="dxa"/>
          </w:tblCellMar>
        </w:tblPrEx>
        <w:trPr>
          <w:trHeight w:val="204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监控软件</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管理平台软件是一款集大型接警、控制等多种功能的综合软件平台，用于配合大型接警机或通讯主机进行资料管理和报警处理；用户界面友好，采用多媒体显示，使用方便，自动化功能强，操作简单；可同时管理512台中央控制器主机；周界具有电子地图导入功能，直接绘制电子地图周界防区分布图；可同时连接、设置每个防区的电压、布防、撤防、工作状态等操作；报警信息存储、浏览、查询、导出、打印等功能；显示前端设备连接状态，可添加或删除设备、盖章日志及操作日志；对多个子系统防区进行编组与集控群体操作，实现中格报警系统的大融合；支持用户管理权限；▲提供软件著作权登记证书，必须能与一期大华智能物联综合管理平台对接；系统运行环境：windows XP/windows 7/windows 10；最佳运行分辨率：1024x768。</w:t>
            </w:r>
          </w:p>
        </w:tc>
      </w:tr>
      <w:tr>
        <w:tblPrEx>
          <w:tblCellMar>
            <w:top w:w="0" w:type="dxa"/>
            <w:left w:w="108" w:type="dxa"/>
            <w:bottom w:w="0" w:type="dxa"/>
            <w:right w:w="108" w:type="dxa"/>
          </w:tblCellMar>
        </w:tblPrEx>
        <w:trPr>
          <w:trHeight w:val="439"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网络IP模块</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IP模块最多可以连接中心（电脑管理软件），10/100M网络接口</w:t>
            </w:r>
          </w:p>
        </w:tc>
      </w:tr>
      <w:tr>
        <w:tblPrEx>
          <w:tblCellMar>
            <w:top w:w="0" w:type="dxa"/>
            <w:left w:w="108" w:type="dxa"/>
            <w:bottom w:w="0" w:type="dxa"/>
            <w:right w:w="108" w:type="dxa"/>
          </w:tblCellMar>
        </w:tblPrEx>
        <w:trPr>
          <w:trHeight w:val="439"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D1类高能量SPD</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 xml:space="preserve"> 10KA、12 V  RS485,RS232,current loop、2线保护</w:t>
            </w:r>
          </w:p>
        </w:tc>
      </w:tr>
      <w:tr>
        <w:tblPrEx>
          <w:tblCellMar>
            <w:top w:w="0" w:type="dxa"/>
            <w:left w:w="108" w:type="dxa"/>
            <w:bottom w:w="0" w:type="dxa"/>
            <w:right w:w="108" w:type="dxa"/>
          </w:tblCellMar>
        </w:tblPrEx>
        <w:trPr>
          <w:trHeight w:val="84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四路网络模块</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ascii="宋体" w:hAnsi="宋体" w:cs="宋体"/>
                <w:color w:val="000000"/>
                <w:sz w:val="20"/>
              </w:rPr>
              <w:t>模块自带4个防区。模块自带2路继电器无源输出。模块通过网络接口可以实现上报2个中心，其中只有中心1支持上报云服务器。通过监控中心控制本设备的布撤防或者继电器输出。可掉电记录设备信息，支持网络在线读取。</w:t>
            </w:r>
          </w:p>
        </w:tc>
      </w:tr>
      <w:tr>
        <w:tblPrEx>
          <w:tblCellMar>
            <w:top w:w="0" w:type="dxa"/>
            <w:left w:w="108" w:type="dxa"/>
            <w:bottom w:w="0" w:type="dxa"/>
            <w:right w:w="108" w:type="dxa"/>
          </w:tblCellMar>
        </w:tblPrEx>
        <w:trPr>
          <w:trHeight w:val="88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二路网络模块</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模块自带2个防区；模块通过网络接口可以实现上报中心，其中只有中心1支持上报云服务器；通过监控中心控制本设备的布撤防或者继电器输出；可掉电记录设备信息，支持网络在线读取，外观尺寸：90x20x20mm，电压：DC 12V-24V， 报警输出口：DC12V/1</w:t>
            </w:r>
          </w:p>
        </w:tc>
      </w:tr>
      <w:tr>
        <w:tblPrEx>
          <w:tblCellMar>
            <w:top w:w="0" w:type="dxa"/>
            <w:left w:w="108" w:type="dxa"/>
            <w:bottom w:w="0" w:type="dxa"/>
            <w:right w:w="108" w:type="dxa"/>
          </w:tblCellMar>
        </w:tblPrEx>
        <w:trPr>
          <w:trHeight w:val="70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16路继电器</w:t>
            </w:r>
            <w:r>
              <w:rPr>
                <w:rFonts w:hint="eastAsia" w:ascii="宋体" w:hAnsi="宋体" w:cs="宋体"/>
                <w:color w:val="000000"/>
                <w:sz w:val="18"/>
                <w:szCs w:val="18"/>
              </w:rPr>
              <w:t>输出控制器</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16路关量输出模块；带有一路RS485总线通讯接口连接中央控制器主机使用；通过主机编程实现一对一、多对一、一对多联动输出；适用于报警联动视频弹出、制作电子地图等。</w:t>
            </w:r>
          </w:p>
        </w:tc>
      </w:tr>
      <w:tr>
        <w:tblPrEx>
          <w:tblCellMar>
            <w:top w:w="0" w:type="dxa"/>
            <w:left w:w="108" w:type="dxa"/>
            <w:bottom w:w="0" w:type="dxa"/>
            <w:right w:w="108" w:type="dxa"/>
          </w:tblCellMar>
        </w:tblPrEx>
        <w:trPr>
          <w:trHeight w:val="62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9</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32路继电器输出控制器</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32路关量输出模块；带有一路RS485总线通讯接口连接中央控制器主机使用；通过主机编程实现一对一、多对一、一对多联动输出；适用于报警联动视频弹出</w:t>
            </w:r>
          </w:p>
        </w:tc>
      </w:tr>
      <w:tr>
        <w:tblPrEx>
          <w:tblCellMar>
            <w:top w:w="0" w:type="dxa"/>
            <w:left w:w="108" w:type="dxa"/>
            <w:bottom w:w="0" w:type="dxa"/>
            <w:right w:w="108" w:type="dxa"/>
          </w:tblCellMar>
        </w:tblPrEx>
        <w:trPr>
          <w:trHeight w:val="110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烟感探测器</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传感器：光学腔迷宫，工作电压：9VDC\24VDC，抗干扰：10MHz-1GHz 20V/m工作电流：静态电流小于10ua报警电流10~30ma，报警浓度：0.65~15.5%FT，烟雾灵敏度：符合UL217号标准，测试值每英寸3.2%微弱灰烟探测器有反应,工作环境：-10℃~50℃ ，LED指示报警，报警输出：12V，有线联网继电器信号输出；产品尺寸:直径100mm x厚度55mm</w:t>
            </w:r>
          </w:p>
        </w:tc>
      </w:tr>
      <w:tr>
        <w:tblPrEx>
          <w:tblCellMar>
            <w:top w:w="0" w:type="dxa"/>
            <w:left w:w="108" w:type="dxa"/>
            <w:bottom w:w="0" w:type="dxa"/>
            <w:right w:w="108" w:type="dxa"/>
          </w:tblCellMar>
        </w:tblPrEx>
        <w:trPr>
          <w:trHeight w:val="40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电源</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DC12/3A电源适配器，220V输入，12V输出。</w:t>
            </w:r>
          </w:p>
        </w:tc>
      </w:tr>
      <w:tr>
        <w:tblPrEx>
          <w:tblCellMar>
            <w:top w:w="0" w:type="dxa"/>
            <w:left w:w="108" w:type="dxa"/>
            <w:bottom w:w="0" w:type="dxa"/>
            <w:right w:w="108" w:type="dxa"/>
          </w:tblCellMar>
        </w:tblPrEx>
        <w:trPr>
          <w:trHeight w:val="58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12</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声光警号</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额定电压：12V ；额定电流:300mA ；工作电压范围:：6-15V，声响强度：90-100dB，双闪灯光</w:t>
            </w:r>
          </w:p>
        </w:tc>
      </w:tr>
      <w:tr>
        <w:tblPrEx>
          <w:tblCellMar>
            <w:top w:w="0" w:type="dxa"/>
            <w:left w:w="108" w:type="dxa"/>
            <w:bottom w:w="0" w:type="dxa"/>
            <w:right w:w="108" w:type="dxa"/>
          </w:tblCellMar>
        </w:tblPrEx>
        <w:trPr>
          <w:trHeight w:val="214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13</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四道单防区控制杆（含底座）</w:t>
            </w:r>
          </w:p>
        </w:tc>
        <w:tc>
          <w:tcPr>
            <w:tcW w:w="8093" w:type="dxa"/>
            <w:vMerge w:val="restar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ascii="宋体" w:hAnsi="宋体" w:cs="宋体"/>
                <w:color w:val="000000"/>
                <w:sz w:val="20"/>
              </w:rPr>
              <w:t>内含张力式主机+探测模块+张力控制杆+底座；工作电源：AC220V、DC24V、DC12V多种工作电源可选择，适用于不同的工作环境；围栏有入侵、防拆、拉紧、断线、松弛、攀爬等报警功能；报警触发响应时间：1.8s；张力电子围栏产生报警后5s内恢复到警戒状态；张力电子围栏产生报警时报警状态持续时间为5s；泄露电流是0.06mA；张力索与张力探测模块在正常条件下，AC电源引入端与外壳裸露金属部件绝缘电阻常温为：500mΩ、湿热为：97mΩ；支持掉电记忆，上电自动复位；可直接在主机上任意设置防区地址和报警灵敏度；张力主机有开关量输出端口，无须外接继电器模块，更好的与声光报警灯和终端主机或其他安防设备联动；主机内置防雷装置，有效防区雷击。可连接控制管理软件，软件能进行布撤防、留存及打印报警信息、复位等功能；张力主机同时是具备RS485信号、开关量信号、光纤等多种传输方式，能与第三方报警主机连接，并能与交换机联动；多级联网：可通过RS-485和TCP/IP（需另配）通讯技术，与豪用研发的中央控制器主机和智能终端主机组成集中远程控制网络，并可连接报警主机或键盘的上位机软件，实现二级组网，组成庞大的报警网络。张力主机可以自动根据天气情况，适当自动调节报警阀值，让系统更加稳定，可靠；工作温度 -40℃～+85℃,；直接外露的部件外壳不低于IP65等级；</w:t>
            </w:r>
            <w:r>
              <w:rPr>
                <w:rFonts w:hint="eastAsia" w:ascii="宋体" w:hAnsi="宋体" w:cs="宋体"/>
                <w:color w:val="000000"/>
                <w:sz w:val="20"/>
              </w:rPr>
              <w:t>▲</w:t>
            </w:r>
            <w:r>
              <w:rPr>
                <w:rFonts w:ascii="宋体" w:hAnsi="宋体" w:cs="宋体"/>
                <w:color w:val="000000"/>
                <w:sz w:val="20"/>
              </w:rPr>
              <w:t>张力主机有明显的品牌LOGO标识，以防假冒产品，并提供商标注册证；提供产品厂商授权书原件、质保书原件；为保障产品的质量功能和后续产品服务，提供企业信用等级应不低于AAA级；产品应提供有效期内的公安部安全防范报警系统产品质量监督检验测试中心的型式检测报告，检测类别：一定是型式试验，不是委托检测；提供产品管理体系认证证书（满足GB/TI9001-2016/ISO9001:2015质量管理体系要求；提供不低于599万的产品责任险；提供中国节能环保产品证书。</w:t>
            </w:r>
          </w:p>
        </w:tc>
      </w:tr>
      <w:tr>
        <w:tblPrEx>
          <w:tblCellMar>
            <w:top w:w="0" w:type="dxa"/>
            <w:left w:w="108" w:type="dxa"/>
            <w:bottom w:w="0" w:type="dxa"/>
            <w:right w:w="108" w:type="dxa"/>
          </w:tblCellMar>
        </w:tblPrEx>
        <w:trPr>
          <w:trHeight w:val="214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14</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四道双防区控制杆（含底座）</w:t>
            </w:r>
          </w:p>
        </w:tc>
        <w:tc>
          <w:tcPr>
            <w:tcW w:w="80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Adobe 黑体 Std R" w:hAnsi="Adobe 黑体 Std R" w:eastAsia="Adobe 黑体 Std R" w:cs="Adobe 黑体 Std R"/>
                <w:color w:val="000000"/>
                <w:sz w:val="20"/>
              </w:rPr>
            </w:pPr>
          </w:p>
        </w:tc>
      </w:tr>
      <w:tr>
        <w:tblPrEx>
          <w:tblCellMar>
            <w:top w:w="0" w:type="dxa"/>
            <w:left w:w="108" w:type="dxa"/>
            <w:bottom w:w="0" w:type="dxa"/>
            <w:right w:w="108" w:type="dxa"/>
          </w:tblCellMar>
        </w:tblPrEx>
        <w:trPr>
          <w:trHeight w:val="439"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交流电源24V</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张力控制器电源，DC18V/3A，180-220V输入，18V输出。</w:t>
            </w:r>
          </w:p>
        </w:tc>
      </w:tr>
      <w:tr>
        <w:tblPrEx>
          <w:tblCellMar>
            <w:top w:w="0" w:type="dxa"/>
            <w:left w:w="108" w:type="dxa"/>
            <w:bottom w:w="0" w:type="dxa"/>
            <w:right w:w="108" w:type="dxa"/>
          </w:tblCellMar>
        </w:tblPrEx>
        <w:trPr>
          <w:trHeight w:val="439"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16</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避雷器</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ascii="宋体" w:hAnsi="宋体" w:cs="宋体"/>
                <w:color w:val="000000"/>
                <w:sz w:val="20"/>
              </w:rPr>
              <w:t>氧化锌避雷器含支架，前端避雷使用</w:t>
            </w:r>
          </w:p>
        </w:tc>
      </w:tr>
      <w:tr>
        <w:tblPrEx>
          <w:tblCellMar>
            <w:top w:w="0" w:type="dxa"/>
            <w:left w:w="108" w:type="dxa"/>
            <w:bottom w:w="0" w:type="dxa"/>
            <w:right w:w="108" w:type="dxa"/>
          </w:tblCellMar>
        </w:tblPrEx>
        <w:trPr>
          <w:trHeight w:val="66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17</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中间支撑杆（含底座）</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含（1个铝合金底座和2套固定螺栓）铝合金材质，表面阳极处理，双重防护，高度800×长度20×宽度10×厚度3mm，有防锈和耐腐蚀措施,坚固、美观</w:t>
            </w:r>
          </w:p>
        </w:tc>
      </w:tr>
      <w:tr>
        <w:tblPrEx>
          <w:tblCellMar>
            <w:top w:w="0" w:type="dxa"/>
            <w:left w:w="108" w:type="dxa"/>
            <w:bottom w:w="0" w:type="dxa"/>
            <w:right w:w="108" w:type="dxa"/>
          </w:tblCellMar>
        </w:tblPrEx>
        <w:trPr>
          <w:trHeight w:val="60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18</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终端受力杆（含底座）</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含（2个铝合金底座和2套固定螺栓）铝合金材质，表面阳极处理，双重防护，高度800×长度43×宽度25×厚度4.5mm，有防锈和耐腐蚀措施,坚固、美观</w:t>
            </w:r>
          </w:p>
        </w:tc>
      </w:tr>
      <w:tr>
        <w:tblPrEx>
          <w:tblCellMar>
            <w:top w:w="0" w:type="dxa"/>
            <w:left w:w="108" w:type="dxa"/>
            <w:bottom w:w="0" w:type="dxa"/>
            <w:right w:w="108" w:type="dxa"/>
          </w:tblCellMar>
        </w:tblPrEx>
        <w:trPr>
          <w:trHeight w:val="56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19</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束线器</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ascii="宋体" w:hAnsi="宋体" w:cs="宋体"/>
                <w:color w:val="000000"/>
                <w:sz w:val="20"/>
              </w:rPr>
              <w:t>铝合金材质，防锈，固定张力线使用</w:t>
            </w:r>
          </w:p>
        </w:tc>
      </w:tr>
      <w:tr>
        <w:tblPrEx>
          <w:tblCellMar>
            <w:top w:w="0" w:type="dxa"/>
            <w:left w:w="108" w:type="dxa"/>
            <w:bottom w:w="0" w:type="dxa"/>
            <w:right w:w="108" w:type="dxa"/>
          </w:tblCellMar>
        </w:tblPrEx>
        <w:trPr>
          <w:trHeight w:val="56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20</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转向滑轮</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ascii="宋体" w:hAnsi="宋体" w:cs="宋体"/>
                <w:color w:val="000000"/>
                <w:sz w:val="20"/>
              </w:rPr>
              <w:t>铝合金材质，有防锈和耐腐蚀措施,坚固、美观，安装角度可调，含固定件及底座</w:t>
            </w:r>
          </w:p>
        </w:tc>
      </w:tr>
      <w:tr>
        <w:tblPrEx>
          <w:tblCellMar>
            <w:top w:w="0" w:type="dxa"/>
            <w:left w:w="108" w:type="dxa"/>
            <w:bottom w:w="0" w:type="dxa"/>
            <w:right w:w="108" w:type="dxa"/>
          </w:tblCellMar>
        </w:tblPrEx>
        <w:trPr>
          <w:trHeight w:val="56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21</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张力收紧器</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ascii="宋体" w:hAnsi="宋体" w:cs="宋体"/>
                <w:color w:val="000000"/>
                <w:sz w:val="20"/>
              </w:rPr>
              <w:t>铝合金+精密单向组件，精密紧线，无极变速，解决紧线器倒转</w:t>
            </w:r>
          </w:p>
        </w:tc>
      </w:tr>
      <w:tr>
        <w:tblPrEx>
          <w:tblCellMar>
            <w:top w:w="0" w:type="dxa"/>
            <w:left w:w="108" w:type="dxa"/>
            <w:bottom w:w="0" w:type="dxa"/>
            <w:right w:w="108" w:type="dxa"/>
          </w:tblCellMar>
        </w:tblPrEx>
        <w:trPr>
          <w:trHeight w:val="56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22</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张力弹簧</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ascii="宋体" w:hAnsi="宋体" w:cs="宋体"/>
                <w:color w:val="000000"/>
                <w:sz w:val="20"/>
              </w:rPr>
              <w:t>优质不锈钢SUS304材质，有防锈和耐腐蚀措施</w:t>
            </w:r>
          </w:p>
        </w:tc>
      </w:tr>
      <w:tr>
        <w:tblPrEx>
          <w:tblCellMar>
            <w:top w:w="0" w:type="dxa"/>
            <w:left w:w="108" w:type="dxa"/>
            <w:bottom w:w="0" w:type="dxa"/>
            <w:right w:w="108" w:type="dxa"/>
          </w:tblCellMar>
        </w:tblPrEx>
        <w:trPr>
          <w:trHeight w:val="56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23</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多股张力线</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ascii="宋体" w:hAnsi="宋体" w:cs="宋体"/>
                <w:color w:val="000000"/>
                <w:sz w:val="20"/>
              </w:rPr>
              <w:t>优质不锈钢SUS304材质，有防锈和耐腐蚀措施，高于标准，Φ1.2mm　500米/卷（符合国标）</w:t>
            </w:r>
          </w:p>
        </w:tc>
      </w:tr>
      <w:tr>
        <w:tblPrEx>
          <w:tblCellMar>
            <w:top w:w="0" w:type="dxa"/>
            <w:left w:w="108" w:type="dxa"/>
            <w:bottom w:w="0" w:type="dxa"/>
            <w:right w:w="108" w:type="dxa"/>
          </w:tblCellMar>
        </w:tblPrEx>
        <w:trPr>
          <w:trHeight w:val="56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24</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警示牌</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PVC板材，长200*宽100*厚2.5mm，标准警示用色</w:t>
            </w:r>
          </w:p>
        </w:tc>
      </w:tr>
      <w:tr>
        <w:tblPrEx>
          <w:tblCellMar>
            <w:top w:w="0" w:type="dxa"/>
            <w:left w:w="108" w:type="dxa"/>
            <w:bottom w:w="0" w:type="dxa"/>
            <w:right w:w="108" w:type="dxa"/>
          </w:tblCellMar>
        </w:tblPrEx>
        <w:trPr>
          <w:trHeight w:val="56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25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宋体" w:hAnsi="宋体" w:cs="宋体"/>
                <w:color w:val="000000"/>
                <w:sz w:val="20"/>
              </w:rPr>
            </w:pPr>
            <w:r>
              <w:rPr>
                <w:rFonts w:hint="eastAsia" w:ascii="宋体" w:hAnsi="宋体" w:cs="宋体"/>
                <w:color w:val="000000"/>
                <w:sz w:val="20"/>
              </w:rPr>
              <w:t>接地桩（含接地线）</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含5米6平方接地线镀锌角铁，50×50×3×700mm</w:t>
            </w:r>
          </w:p>
        </w:tc>
      </w:tr>
      <w:tr>
        <w:tblPrEx>
          <w:tblCellMar>
            <w:top w:w="0" w:type="dxa"/>
            <w:left w:w="108" w:type="dxa"/>
            <w:bottom w:w="0" w:type="dxa"/>
            <w:right w:w="108" w:type="dxa"/>
          </w:tblCellMar>
        </w:tblPrEx>
        <w:trPr>
          <w:trHeight w:val="56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26</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宋体" w:hAnsi="宋体" w:cs="宋体"/>
                <w:color w:val="000000"/>
                <w:sz w:val="20"/>
              </w:rPr>
            </w:pPr>
            <w:r>
              <w:rPr>
                <w:rFonts w:hint="eastAsia" w:ascii="宋体" w:hAnsi="宋体" w:cs="宋体"/>
                <w:color w:val="000000"/>
                <w:sz w:val="20"/>
              </w:rPr>
              <w:t>304不锈钢防水箱</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标准不锈钢350×250×170mm*0.8mm，有绝缘挂壁背板</w:t>
            </w:r>
          </w:p>
        </w:tc>
      </w:tr>
      <w:tr>
        <w:tblPrEx>
          <w:tblCellMar>
            <w:top w:w="0" w:type="dxa"/>
            <w:left w:w="108" w:type="dxa"/>
            <w:bottom w:w="0" w:type="dxa"/>
            <w:right w:w="108" w:type="dxa"/>
          </w:tblCellMar>
        </w:tblPrEx>
        <w:trPr>
          <w:trHeight w:val="56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27</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宋体" w:hAnsi="宋体" w:cs="宋体"/>
                <w:color w:val="000000"/>
                <w:sz w:val="20"/>
              </w:rPr>
            </w:pPr>
            <w:r>
              <w:rPr>
                <w:rFonts w:hint="eastAsia" w:ascii="宋体" w:hAnsi="宋体" w:cs="宋体"/>
                <w:color w:val="000000"/>
                <w:sz w:val="20"/>
              </w:rPr>
              <w:t>单防区模块</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可接入1个RS485信通防区，带有地址编码设置开关，采用总线RS485通讯方式</w:t>
            </w:r>
          </w:p>
        </w:tc>
      </w:tr>
      <w:tr>
        <w:tblPrEx>
          <w:tblCellMar>
            <w:top w:w="0" w:type="dxa"/>
            <w:left w:w="108" w:type="dxa"/>
            <w:bottom w:w="0" w:type="dxa"/>
            <w:right w:w="108" w:type="dxa"/>
          </w:tblCellMar>
        </w:tblPrEx>
        <w:trPr>
          <w:trHeight w:val="56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28</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宋体" w:hAnsi="宋体" w:cs="宋体"/>
                <w:color w:val="000000"/>
                <w:sz w:val="20"/>
              </w:rPr>
            </w:pPr>
            <w:r>
              <w:rPr>
                <w:rFonts w:hint="eastAsia" w:ascii="宋体" w:hAnsi="宋体" w:cs="宋体"/>
                <w:color w:val="000000"/>
                <w:sz w:val="20"/>
              </w:rPr>
              <w:t>报警联动灯</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含支架，声音和灯光双重报警，额定电压：12V ；额定电流:300mA ；工作电压范围:：6-15V，声响强度：90-100dB。</w:t>
            </w:r>
          </w:p>
        </w:tc>
      </w:tr>
      <w:tr>
        <w:tblPrEx>
          <w:tblCellMar>
            <w:top w:w="0" w:type="dxa"/>
            <w:left w:w="108" w:type="dxa"/>
            <w:bottom w:w="0" w:type="dxa"/>
            <w:right w:w="108" w:type="dxa"/>
          </w:tblCellMar>
        </w:tblPrEx>
        <w:trPr>
          <w:trHeight w:val="56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29</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宋体" w:hAnsi="宋体" w:cs="宋体"/>
                <w:color w:val="000000"/>
                <w:sz w:val="20"/>
              </w:rPr>
            </w:pPr>
            <w:r>
              <w:rPr>
                <w:rFonts w:hint="eastAsia" w:ascii="宋体" w:hAnsi="宋体" w:cs="宋体"/>
                <w:color w:val="000000"/>
                <w:sz w:val="20"/>
              </w:rPr>
              <w:t>原报警系统对接</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原报警系统接入新建平台对接费</w:t>
            </w:r>
          </w:p>
        </w:tc>
      </w:tr>
      <w:tr>
        <w:tblPrEx>
          <w:tblCellMar>
            <w:top w:w="0" w:type="dxa"/>
            <w:left w:w="108" w:type="dxa"/>
            <w:bottom w:w="0" w:type="dxa"/>
            <w:right w:w="108" w:type="dxa"/>
          </w:tblCellMar>
        </w:tblPrEx>
        <w:trPr>
          <w:trHeight w:val="439" w:hRule="atLeast"/>
        </w:trPr>
        <w:tc>
          <w:tcPr>
            <w:tcW w:w="9870" w:type="dxa"/>
            <w:gridSpan w:val="3"/>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b/>
                <w:bCs/>
                <w:color w:val="000000"/>
                <w:sz w:val="20"/>
              </w:rPr>
            </w:pPr>
            <w:r>
              <w:rPr>
                <w:rFonts w:hint="eastAsia" w:ascii="宋体" w:hAnsi="宋体" w:cs="宋体"/>
                <w:b/>
                <w:bCs/>
                <w:color w:val="000000"/>
                <w:sz w:val="20"/>
              </w:rPr>
              <w:t>七、街道平台侧扩容</w:t>
            </w:r>
          </w:p>
        </w:tc>
      </w:tr>
      <w:tr>
        <w:tblPrEx>
          <w:tblCellMar>
            <w:top w:w="0" w:type="dxa"/>
            <w:left w:w="108" w:type="dxa"/>
            <w:bottom w:w="0" w:type="dxa"/>
            <w:right w:w="108" w:type="dxa"/>
          </w:tblCellMar>
        </w:tblPrEx>
        <w:trPr>
          <w:trHeight w:val="300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街道数据汇聚（标准平台）</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与一期同一品牌，放在街道侧。支持用户自定义配置业务数据展现，展示用户认为最重要的数据；</w:t>
            </w:r>
            <w:r>
              <w:rPr>
                <w:rFonts w:hint="eastAsia" w:ascii="宋体" w:hAnsi="宋体" w:cs="宋体"/>
                <w:color w:val="000000"/>
                <w:sz w:val="20"/>
              </w:rPr>
              <w:br w:type="textWrapping"/>
            </w:r>
            <w:r>
              <w:rPr>
                <w:rFonts w:hint="eastAsia" w:ascii="宋体" w:hAnsi="宋体" w:cs="宋体"/>
                <w:color w:val="000000"/>
                <w:sz w:val="20"/>
              </w:rPr>
              <w:t>完整的一卡通业务： 一卡通集成停车场，门禁，考勤，消费，访客，梯控，巡更 真正实现一次发卡，各个系统都能使用；</w:t>
            </w:r>
            <w:r>
              <w:rPr>
                <w:rFonts w:hint="eastAsia" w:ascii="宋体" w:hAnsi="宋体" w:cs="宋体"/>
                <w:color w:val="000000"/>
                <w:sz w:val="20"/>
              </w:rPr>
              <w:br w:type="textWrapping"/>
            </w:r>
            <w:r>
              <w:rPr>
                <w:rFonts w:hint="eastAsia" w:ascii="宋体" w:hAnsi="宋体" w:cs="宋体"/>
                <w:color w:val="000000"/>
                <w:sz w:val="20"/>
              </w:rPr>
              <w:t>智能化停车场： 实现不停车出入，停车预约，停车诱导，等功能；</w:t>
            </w:r>
            <w:r>
              <w:rPr>
                <w:rFonts w:hint="eastAsia" w:ascii="宋体" w:hAnsi="宋体" w:cs="宋体"/>
                <w:color w:val="000000"/>
                <w:sz w:val="20"/>
              </w:rPr>
              <w:br w:type="textWrapping"/>
            </w:r>
            <w:r>
              <w:rPr>
                <w:rFonts w:hint="eastAsia" w:ascii="宋体" w:hAnsi="宋体" w:cs="宋体"/>
                <w:color w:val="000000"/>
                <w:sz w:val="20"/>
              </w:rPr>
              <w:t>丰富的智能化功能：支持智能设备接入，实现全景拼接，人脸识别，人数统计；</w:t>
            </w:r>
            <w:r>
              <w:rPr>
                <w:rFonts w:hint="eastAsia" w:ascii="宋体" w:hAnsi="宋体" w:cs="宋体"/>
                <w:color w:val="000000"/>
                <w:sz w:val="20"/>
              </w:rPr>
              <w:br w:type="textWrapping"/>
            </w:r>
            <w:r>
              <w:rPr>
                <w:rFonts w:hint="eastAsia" w:ascii="宋体" w:hAnsi="宋体" w:cs="宋体"/>
                <w:color w:val="000000"/>
                <w:sz w:val="20"/>
              </w:rPr>
              <w:t>丰富的地图应用：支持矢量，光栅，在线/离线GIS、3维地图等多种地图应用；</w:t>
            </w:r>
            <w:r>
              <w:rPr>
                <w:rFonts w:hint="eastAsia" w:ascii="宋体" w:hAnsi="宋体" w:cs="宋体"/>
                <w:color w:val="000000"/>
                <w:sz w:val="20"/>
              </w:rPr>
              <w:br w:type="textWrapping"/>
            </w:r>
            <w:r>
              <w:rPr>
                <w:rFonts w:hint="eastAsia" w:ascii="宋体" w:hAnsi="宋体" w:cs="宋体"/>
                <w:color w:val="000000"/>
                <w:sz w:val="20"/>
              </w:rPr>
              <w:t>支持接入管理多个社区和小区，支持小区基础信息录入及查询，包括小区基础信息、所属***、物业单位、业委会等内容，小区地址按行政区域统一编码选择及后缀地址自定义；</w:t>
            </w:r>
            <w:r>
              <w:rPr>
                <w:rFonts w:hint="eastAsia" w:ascii="宋体" w:hAnsi="宋体" w:cs="宋体"/>
                <w:color w:val="000000"/>
                <w:sz w:val="20"/>
              </w:rPr>
              <w:br w:type="textWrapping"/>
            </w:r>
            <w:r>
              <w:rPr>
                <w:rFonts w:hint="eastAsia" w:ascii="宋体" w:hAnsi="宋体" w:cs="宋体"/>
                <w:color w:val="000000"/>
                <w:sz w:val="20"/>
              </w:rPr>
              <w:t>楼栋添加支持录入楼栋名称、地址、建筑面积、楼栋照片等基础信息，根据楼层户数和单元数自动生成对应的单元楼栋房屋及建筑结构图展示；</w:t>
            </w:r>
            <w:r>
              <w:rPr>
                <w:rFonts w:hint="eastAsia" w:ascii="宋体" w:hAnsi="宋体" w:cs="宋体"/>
                <w:color w:val="000000"/>
                <w:sz w:val="20"/>
              </w:rPr>
              <w:br w:type="textWrapping"/>
            </w:r>
            <w:r>
              <w:rPr>
                <w:rFonts w:hint="eastAsia" w:ascii="宋体" w:hAnsi="宋体" w:cs="宋体"/>
                <w:color w:val="000000"/>
                <w:sz w:val="20"/>
              </w:rPr>
              <w:t>支持对同一楼栋不同单元房屋房屋用途和房间数进行分别定义；</w:t>
            </w:r>
            <w:r>
              <w:rPr>
                <w:rFonts w:hint="eastAsia" w:ascii="宋体" w:hAnsi="宋体" w:cs="宋体"/>
                <w:color w:val="000000"/>
                <w:sz w:val="20"/>
              </w:rPr>
              <w:br w:type="textWrapping"/>
            </w:r>
            <w:r>
              <w:rPr>
                <w:rFonts w:hint="eastAsia" w:ascii="宋体" w:hAnsi="宋体" w:cs="宋体"/>
                <w:color w:val="000000"/>
                <w:sz w:val="20"/>
              </w:rPr>
              <w:t>可以接入市场主流报警主机 获取报警主机状态及报警消息上报 远程控制报警主机 可以接入市场主流门禁设备 获取门禁状态及报警消息上报 远程控制门禁设备开门</w:t>
            </w:r>
            <w:r>
              <w:rPr>
                <w:rFonts w:hint="eastAsia" w:ascii="宋体" w:hAnsi="宋体" w:cs="宋体"/>
                <w:color w:val="000000"/>
                <w:sz w:val="20"/>
              </w:rPr>
              <w:br w:type="textWrapping"/>
            </w:r>
            <w:r>
              <w:rPr>
                <w:rFonts w:hint="eastAsia" w:ascii="宋体" w:hAnsi="宋体" w:cs="宋体"/>
                <w:color w:val="000000"/>
                <w:sz w:val="20"/>
              </w:rPr>
              <w:t>▲支持人员绑定多个部门，并可设置主部门。（提供公安部有效检测报告复印件加盖原厂公章）</w:t>
            </w:r>
            <w:r>
              <w:rPr>
                <w:rFonts w:hint="eastAsia" w:ascii="宋体" w:hAnsi="宋体" w:cs="宋体"/>
                <w:color w:val="000000"/>
                <w:sz w:val="20"/>
              </w:rPr>
              <w:br w:type="textWrapping"/>
            </w:r>
            <w:r>
              <w:rPr>
                <w:rFonts w:hint="eastAsia" w:ascii="宋体" w:hAnsi="宋体" w:cs="宋体"/>
                <w:color w:val="000000"/>
                <w:sz w:val="20"/>
              </w:rPr>
              <w:t>▲支持配置陌生人报警、白名单报警、黑名单报警、内部员工报警、访客报警、人脸检测、人体识别等报警联动动作，包括视频弹窗、报警输出、录像、上墙、邮件、短信、抓图、开门。（提供公安部有效检测报告复印件加盖原厂公章）处理器 Intel Xeon E3</w:t>
            </w:r>
            <w:r>
              <w:rPr>
                <w:rFonts w:hint="eastAsia" w:ascii="宋体" w:hAnsi="宋体" w:cs="宋体"/>
                <w:color w:val="000000"/>
                <w:sz w:val="20"/>
              </w:rPr>
              <w:br w:type="textWrapping"/>
            </w:r>
            <w:r>
              <w:rPr>
                <w:rFonts w:hint="eastAsia" w:ascii="宋体" w:hAnsi="宋体" w:cs="宋体"/>
                <w:color w:val="000000"/>
                <w:sz w:val="20"/>
              </w:rPr>
              <w:t>内存 DDR4内存条-8GB-VLP-ECC-UDIMM*2</w:t>
            </w:r>
            <w:r>
              <w:rPr>
                <w:rFonts w:hint="eastAsia" w:ascii="宋体" w:hAnsi="宋体" w:cs="宋体"/>
                <w:color w:val="000000"/>
                <w:sz w:val="20"/>
              </w:rPr>
              <w:br w:type="textWrapping"/>
            </w:r>
            <w:r>
              <w:rPr>
                <w:rFonts w:hint="eastAsia" w:ascii="宋体" w:hAnsi="宋体" w:cs="宋体"/>
                <w:color w:val="000000"/>
                <w:sz w:val="20"/>
              </w:rPr>
              <w:t>配置DDR4/带ECC UDIMM 速率2400MHZ</w:t>
            </w:r>
            <w:r>
              <w:rPr>
                <w:rFonts w:hint="eastAsia" w:ascii="宋体" w:hAnsi="宋体" w:cs="宋体"/>
                <w:color w:val="000000"/>
                <w:sz w:val="20"/>
              </w:rPr>
              <w:br w:type="textWrapping"/>
            </w:r>
            <w:r>
              <w:rPr>
                <w:rFonts w:hint="eastAsia" w:ascii="宋体" w:hAnsi="宋体" w:cs="宋体"/>
                <w:color w:val="000000"/>
                <w:sz w:val="20"/>
              </w:rPr>
              <w:t>整机最大可以支持64GB</w:t>
            </w:r>
            <w:r>
              <w:rPr>
                <w:rFonts w:hint="eastAsia" w:ascii="宋体" w:hAnsi="宋体" w:cs="宋体"/>
                <w:color w:val="000000"/>
                <w:sz w:val="20"/>
              </w:rPr>
              <w:br w:type="textWrapping"/>
            </w:r>
            <w:r>
              <w:rPr>
                <w:rFonts w:hint="eastAsia" w:ascii="宋体" w:hAnsi="宋体" w:cs="宋体"/>
                <w:color w:val="000000"/>
                <w:sz w:val="20"/>
              </w:rPr>
              <w:t>IO接口 1个DB-15 VGA接口</w:t>
            </w:r>
            <w:r>
              <w:rPr>
                <w:rFonts w:hint="eastAsia" w:ascii="宋体" w:hAnsi="宋体" w:cs="宋体"/>
                <w:color w:val="000000"/>
                <w:sz w:val="20"/>
              </w:rPr>
              <w:br w:type="textWrapping"/>
            </w:r>
            <w:r>
              <w:rPr>
                <w:rFonts w:hint="eastAsia" w:ascii="宋体" w:hAnsi="宋体" w:cs="宋体"/>
                <w:color w:val="000000"/>
                <w:sz w:val="20"/>
              </w:rPr>
              <w:t>4个 千兆网口</w:t>
            </w:r>
            <w:r>
              <w:rPr>
                <w:rFonts w:hint="eastAsia" w:ascii="宋体" w:hAnsi="宋体" w:cs="宋体"/>
                <w:color w:val="000000"/>
                <w:sz w:val="20"/>
              </w:rPr>
              <w:br w:type="textWrapping"/>
            </w:r>
            <w:r>
              <w:rPr>
                <w:rFonts w:hint="eastAsia" w:ascii="宋体" w:hAnsi="宋体" w:cs="宋体"/>
                <w:color w:val="000000"/>
                <w:sz w:val="20"/>
              </w:rPr>
              <w:t>支持后置2个USB3.0接口和前置2个USB3.0接口</w:t>
            </w:r>
            <w:r>
              <w:rPr>
                <w:rFonts w:hint="eastAsia" w:ascii="宋体" w:hAnsi="宋体" w:cs="宋体"/>
                <w:color w:val="000000"/>
                <w:sz w:val="20"/>
              </w:rPr>
              <w:br w:type="textWrapping"/>
            </w:r>
            <w:r>
              <w:rPr>
                <w:rFonts w:hint="eastAsia" w:ascii="宋体" w:hAnsi="宋体" w:cs="宋体"/>
                <w:color w:val="000000"/>
                <w:sz w:val="20"/>
              </w:rPr>
              <w:t>前置4盘位, 可支持4个3.5英寸SATA硬盘，配置LSI RAID/HBA卡后，可支持硬盘热插拔、支持Raid 0/1/10，</w:t>
            </w:r>
          </w:p>
        </w:tc>
      </w:tr>
      <w:tr>
        <w:tblPrEx>
          <w:tblCellMar>
            <w:top w:w="0" w:type="dxa"/>
            <w:left w:w="108" w:type="dxa"/>
            <w:bottom w:w="0" w:type="dxa"/>
            <w:right w:w="108" w:type="dxa"/>
          </w:tblCellMar>
        </w:tblPrEx>
        <w:trPr>
          <w:trHeight w:val="995"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街道数据汇聚（数据扩容）</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与一期同一品牌，放在街道侧。支持用户自定义配置业务数据展现，展示用户认为最重要的数据；</w:t>
            </w:r>
            <w:r>
              <w:rPr>
                <w:rFonts w:hint="eastAsia" w:ascii="宋体" w:hAnsi="宋体" w:cs="宋体"/>
                <w:color w:val="000000"/>
                <w:sz w:val="20"/>
              </w:rPr>
              <w:br w:type="textWrapping"/>
            </w:r>
            <w:r>
              <w:rPr>
                <w:rFonts w:hint="eastAsia" w:ascii="宋体" w:hAnsi="宋体" w:cs="宋体"/>
                <w:color w:val="000000"/>
                <w:sz w:val="20"/>
              </w:rPr>
              <w:t>完整的一卡通业务： 一卡通集成停车场，门禁，考勤，消费，访客，梯控，巡更 真正实现一次发卡，各个系统都能使用；</w:t>
            </w:r>
            <w:r>
              <w:rPr>
                <w:rFonts w:hint="eastAsia" w:ascii="宋体" w:hAnsi="宋体" w:cs="宋体"/>
                <w:color w:val="000000"/>
                <w:sz w:val="20"/>
              </w:rPr>
              <w:br w:type="textWrapping"/>
            </w:r>
            <w:r>
              <w:rPr>
                <w:rFonts w:hint="eastAsia" w:ascii="宋体" w:hAnsi="宋体" w:cs="宋体"/>
                <w:color w:val="000000"/>
                <w:sz w:val="20"/>
              </w:rPr>
              <w:t>智能化停车场： 实现不停车出入，停车预约，停车诱导，等功能；</w:t>
            </w:r>
            <w:r>
              <w:rPr>
                <w:rFonts w:hint="eastAsia" w:ascii="宋体" w:hAnsi="宋体" w:cs="宋体"/>
                <w:color w:val="000000"/>
                <w:sz w:val="20"/>
              </w:rPr>
              <w:br w:type="textWrapping"/>
            </w:r>
            <w:r>
              <w:rPr>
                <w:rFonts w:hint="eastAsia" w:ascii="宋体" w:hAnsi="宋体" w:cs="宋体"/>
                <w:color w:val="000000"/>
                <w:sz w:val="20"/>
              </w:rPr>
              <w:t>丰富的智能化功能：支持智能设备接入，实现全景拼接，人脸识别，人数统计；</w:t>
            </w:r>
            <w:r>
              <w:rPr>
                <w:rFonts w:hint="eastAsia" w:ascii="宋体" w:hAnsi="宋体" w:cs="宋体"/>
                <w:color w:val="000000"/>
                <w:sz w:val="20"/>
              </w:rPr>
              <w:br w:type="textWrapping"/>
            </w:r>
            <w:r>
              <w:rPr>
                <w:rFonts w:hint="eastAsia" w:ascii="宋体" w:hAnsi="宋体" w:cs="宋体"/>
                <w:color w:val="000000"/>
                <w:sz w:val="20"/>
              </w:rPr>
              <w:t>丰富的地图应用：支持矢量，光栅，在线/离线GIS、3维地图等多种地图应用；</w:t>
            </w:r>
            <w:r>
              <w:rPr>
                <w:rFonts w:hint="eastAsia" w:ascii="宋体" w:hAnsi="宋体" w:cs="宋体"/>
                <w:color w:val="000000"/>
                <w:sz w:val="20"/>
              </w:rPr>
              <w:br w:type="textWrapping"/>
            </w:r>
            <w:r>
              <w:rPr>
                <w:rFonts w:hint="eastAsia" w:ascii="宋体" w:hAnsi="宋体" w:cs="宋体"/>
                <w:color w:val="000000"/>
                <w:sz w:val="20"/>
              </w:rPr>
              <w:t>支持接入管理多个社区和小区，支持小区基础信息录入及查询，包括小区基础信息、所属***、物业单位、业委会等内容，小区地址按行政区域统一编码选择及后缀地址自定义；</w:t>
            </w:r>
            <w:r>
              <w:rPr>
                <w:rFonts w:hint="eastAsia" w:ascii="宋体" w:hAnsi="宋体" w:cs="宋体"/>
                <w:color w:val="000000"/>
                <w:sz w:val="20"/>
              </w:rPr>
              <w:br w:type="textWrapping"/>
            </w:r>
            <w:r>
              <w:rPr>
                <w:rFonts w:hint="eastAsia" w:ascii="宋体" w:hAnsi="宋体" w:cs="宋体"/>
                <w:color w:val="000000"/>
                <w:sz w:val="20"/>
              </w:rPr>
              <w:t>楼栋添加支持录入楼栋名称、地址、建筑面积、楼栋照片等基础信息，根据楼层户数和单元数自动生成对应的单元楼栋房屋及建筑结构图展示；</w:t>
            </w:r>
            <w:r>
              <w:rPr>
                <w:rFonts w:hint="eastAsia" w:ascii="宋体" w:hAnsi="宋体" w:cs="宋体"/>
                <w:color w:val="000000"/>
                <w:sz w:val="20"/>
              </w:rPr>
              <w:br w:type="textWrapping"/>
            </w:r>
            <w:r>
              <w:rPr>
                <w:rFonts w:hint="eastAsia" w:ascii="宋体" w:hAnsi="宋体" w:cs="宋体"/>
                <w:color w:val="000000"/>
                <w:sz w:val="20"/>
              </w:rPr>
              <w:t>支持对同一楼栋不同单元房屋房屋用途和房间数进行分别定义；</w:t>
            </w:r>
            <w:r>
              <w:rPr>
                <w:rFonts w:hint="eastAsia" w:ascii="宋体" w:hAnsi="宋体" w:cs="宋体"/>
                <w:color w:val="000000"/>
                <w:sz w:val="20"/>
              </w:rPr>
              <w:br w:type="textWrapping"/>
            </w:r>
            <w:r>
              <w:rPr>
                <w:rFonts w:hint="eastAsia" w:ascii="宋体" w:hAnsi="宋体" w:cs="宋体"/>
                <w:color w:val="000000"/>
                <w:sz w:val="20"/>
              </w:rPr>
              <w:t>可以接入市场主流报警主机 获取报警主机状态及报警消息上报 远程控制报警主机 可以接入市场主流门禁设备 获取门禁状态及报警消息上报 远程控制门禁设备开门</w:t>
            </w:r>
            <w:r>
              <w:rPr>
                <w:rFonts w:hint="eastAsia" w:ascii="宋体" w:hAnsi="宋体" w:cs="宋体"/>
                <w:color w:val="000000"/>
                <w:sz w:val="20"/>
              </w:rPr>
              <w:br w:type="textWrapping"/>
            </w:r>
            <w:r>
              <w:rPr>
                <w:rFonts w:hint="eastAsia" w:ascii="宋体" w:hAnsi="宋体" w:cs="宋体"/>
                <w:color w:val="000000"/>
                <w:sz w:val="20"/>
              </w:rPr>
              <w:t>▲支持人员绑定多个部门，并可设置主部门。（提供公安部有效检测报告复印件加盖原厂公章）</w:t>
            </w:r>
            <w:r>
              <w:rPr>
                <w:rFonts w:hint="eastAsia" w:ascii="宋体" w:hAnsi="宋体" w:cs="宋体"/>
                <w:color w:val="000000"/>
                <w:sz w:val="20"/>
              </w:rPr>
              <w:br w:type="textWrapping"/>
            </w:r>
            <w:r>
              <w:rPr>
                <w:rFonts w:hint="eastAsia" w:ascii="宋体" w:hAnsi="宋体" w:cs="宋体"/>
                <w:color w:val="000000"/>
                <w:sz w:val="20"/>
              </w:rPr>
              <w:t>▲支持配置陌生人报警、白名单报警、黑名单报警、内部员工报警、访客报警、人脸检测、人体识别等报警联动动作，包括视频弹窗、报警输出、录像、上墙、邮件、短信、抓图、开门。（提供公安部有效检测报告复印件加盖原厂公章）</w:t>
            </w:r>
            <w:r>
              <w:rPr>
                <w:rFonts w:hint="eastAsia" w:ascii="宋体" w:hAnsi="宋体" w:cs="宋体"/>
                <w:color w:val="000000"/>
                <w:sz w:val="20"/>
              </w:rPr>
              <w:br w:type="textWrapping"/>
            </w:r>
            <w:r>
              <w:rPr>
                <w:rFonts w:hint="eastAsia" w:ascii="宋体" w:hAnsi="宋体" w:cs="宋体"/>
                <w:color w:val="000000"/>
                <w:sz w:val="20"/>
              </w:rPr>
              <w:t>处理器：1*Intel Xeon 3106 1.7G 8C，内存：16GB 2666*2 最多支持24根DDR4内存条，硬盘：2*2TB 3.5寸硬盘 8LFF 硬盘机型：最多支持前部8LFF 硬盘，网卡：板载1个1Gb/s HDM专用网络接口 1个mLOM网卡插槽，1个热插拔电源模块，支持选配1+1冗余，规格如下： 550W 白金电源模块 ，满配7个冗余风扇，功耗：210W，工作环境温度：5～45°C，工作环境湿度：8%～90%（无冷凝），整机尺寸：42.9mm x 434.6mm x 780mm</w:t>
            </w:r>
          </w:p>
        </w:tc>
      </w:tr>
      <w:tr>
        <w:tblPrEx>
          <w:tblCellMar>
            <w:top w:w="0" w:type="dxa"/>
            <w:left w:w="108" w:type="dxa"/>
            <w:bottom w:w="0" w:type="dxa"/>
            <w:right w:w="108" w:type="dxa"/>
          </w:tblCellMar>
        </w:tblPrEx>
        <w:trPr>
          <w:trHeight w:val="995"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汇聚交换机</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为保证系统兼容性，与核心交换机同一品牌；主机固化千兆光口≥16个，光电复用端口≥8个，万兆SFP+光口≥4个，，业务接口扩展插槽≥1个，可扩展至少8端口万兆电板卡、2端口25GE板卡、下一代防火墙板卡，以上端口及选配信息提供官网截图说明；整机交换容量≥736Gbps、包转发≥220Mpps（官网有两个指标的，按小的指标为准）；集成无线控制器功能，交换平台实现有线无线一体化集成；考虑到园区链路的安全性，所投交换机需支持Macsec链路保护协议，保障园区业务的安全可靠，提供官网截图链接并原厂盖章；▲内置智能管理功能，支持通过图形化界面设备配置及运维管理，提供官网截图说明；支持10K防雷，提供官网截图说明；投标产品制造厂商必需通过服务体系完善程度7星级（卓越）认证，提供证书复印件；设备生产厂商须具备有害物质过程管理体系认证证书，提供QC080000有害物质过程管理体系认证证书复印件证明并原厂盖章；内置网络运维软件，与下行设备互联实现统一界面管理，提供官网截图说明；电源模块插槽≥2个，风扇模块插槽≥2个，本次配置可插拔双电源双风扇；本次除固化接口外至少配置4端口千兆电口+6端口千兆光口；▲要求产品厂商在宁波市设有备品备件库，提供官网信息说明并原厂盖章；</w:t>
            </w:r>
          </w:p>
        </w:tc>
      </w:tr>
      <w:tr>
        <w:tblPrEx>
          <w:tblCellMar>
            <w:top w:w="0" w:type="dxa"/>
            <w:left w:w="108" w:type="dxa"/>
            <w:bottom w:w="0" w:type="dxa"/>
            <w:right w:w="108" w:type="dxa"/>
          </w:tblCellMar>
        </w:tblPrEx>
        <w:trPr>
          <w:trHeight w:val="44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堆叠电缆</w:t>
            </w:r>
          </w:p>
        </w:tc>
        <w:tc>
          <w:tcPr>
            <w:tcW w:w="8093"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宋体" w:hAnsi="宋体" w:cs="宋体"/>
                <w:color w:val="000000"/>
                <w:sz w:val="22"/>
                <w:szCs w:val="22"/>
              </w:rPr>
            </w:pPr>
            <w:r>
              <w:rPr>
                <w:rFonts w:hint="eastAsia" w:ascii="宋体" w:hAnsi="宋体" w:cs="宋体"/>
                <w:color w:val="000000"/>
                <w:sz w:val="22"/>
                <w:szCs w:val="22"/>
              </w:rPr>
              <w:t>SFP+电缆3m</w:t>
            </w:r>
          </w:p>
        </w:tc>
      </w:tr>
      <w:tr>
        <w:tblPrEx>
          <w:tblCellMar>
            <w:top w:w="0" w:type="dxa"/>
            <w:left w:w="108" w:type="dxa"/>
            <w:bottom w:w="0" w:type="dxa"/>
            <w:right w:w="108" w:type="dxa"/>
          </w:tblCellMar>
        </w:tblPrEx>
        <w:trPr>
          <w:trHeight w:val="58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服务器</w:t>
            </w:r>
          </w:p>
        </w:tc>
        <w:tc>
          <w:tcPr>
            <w:tcW w:w="809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color w:val="000000"/>
                <w:sz w:val="20"/>
              </w:rPr>
              <w:t>INTEL XEON 4214R(2.4G 12核 )CPU*2  32G  ECC  DDR4 2933内存*6  8TB  7.2K SATA 企业级硬盘*6</w:t>
            </w:r>
          </w:p>
        </w:tc>
      </w:tr>
      <w:tr>
        <w:tblPrEx>
          <w:tblCellMar>
            <w:top w:w="0" w:type="dxa"/>
            <w:left w:w="108" w:type="dxa"/>
            <w:bottom w:w="0" w:type="dxa"/>
            <w:right w:w="108" w:type="dxa"/>
          </w:tblCellMar>
        </w:tblPrEx>
        <w:trPr>
          <w:trHeight w:val="439" w:hRule="atLeast"/>
        </w:trPr>
        <w:tc>
          <w:tcPr>
            <w:tcW w:w="9870" w:type="dxa"/>
            <w:gridSpan w:val="3"/>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b/>
                <w:bCs/>
                <w:color w:val="000000"/>
                <w:sz w:val="20"/>
              </w:rPr>
            </w:pPr>
            <w:r>
              <w:rPr>
                <w:rFonts w:hint="eastAsia" w:ascii="宋体" w:hAnsi="宋体" w:cs="宋体"/>
                <w:b/>
                <w:bCs/>
                <w:color w:val="000000"/>
                <w:sz w:val="20"/>
              </w:rPr>
              <w:t>八、管线等</w:t>
            </w:r>
          </w:p>
        </w:tc>
      </w:tr>
      <w:tr>
        <w:tblPrEx>
          <w:tblCellMar>
            <w:top w:w="0" w:type="dxa"/>
            <w:left w:w="108" w:type="dxa"/>
            <w:bottom w:w="0" w:type="dxa"/>
            <w:right w:w="108" w:type="dxa"/>
          </w:tblCellMar>
        </w:tblPrEx>
        <w:trPr>
          <w:trHeight w:val="440"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0"/>
              </w:rPr>
            </w:pPr>
            <w:r>
              <w:rPr>
                <w:rFonts w:hint="eastAsia"/>
                <w:sz w:val="18"/>
                <w:szCs w:val="18"/>
              </w:rPr>
              <w:t>1</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宋体" w:hAnsi="宋体" w:cs="宋体"/>
                <w:color w:val="000000"/>
                <w:sz w:val="20"/>
              </w:rPr>
            </w:pPr>
            <w:r>
              <w:rPr>
                <w:rFonts w:hint="eastAsia" w:ascii="宋体" w:hAnsi="宋体" w:cs="宋体"/>
                <w:sz w:val="18"/>
                <w:szCs w:val="18"/>
              </w:rPr>
              <w:t>管线及安装调试等</w:t>
            </w:r>
          </w:p>
        </w:tc>
        <w:tc>
          <w:tcPr>
            <w:tcW w:w="8093"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宋体" w:hAnsi="宋体" w:cs="宋体"/>
                <w:color w:val="000000"/>
                <w:sz w:val="22"/>
                <w:szCs w:val="22"/>
              </w:rPr>
            </w:pPr>
            <w:r>
              <w:rPr>
                <w:rFonts w:hint="eastAsia" w:ascii="宋体" w:hAnsi="宋体" w:cs="宋体"/>
                <w:sz w:val="18"/>
                <w:szCs w:val="18"/>
              </w:rPr>
              <w:t>智安小区管线及安装、调试、维护等</w:t>
            </w:r>
          </w:p>
        </w:tc>
      </w:tr>
    </w:tbl>
    <w:p>
      <w:pPr>
        <w:rPr>
          <w:rFonts w:ascii="宋体" w:hAnsi="宋体"/>
          <w:sz w:val="32"/>
        </w:rPr>
      </w:pPr>
    </w:p>
    <w:p>
      <w:pPr>
        <w:spacing w:line="360" w:lineRule="auto"/>
        <w:rPr>
          <w:rFonts w:ascii="宋体" w:hAnsi="宋体"/>
          <w:sz w:val="32"/>
        </w:rPr>
      </w:pPr>
      <w:r>
        <w:rPr>
          <w:rFonts w:hint="eastAsia" w:ascii="宋体" w:hAnsi="宋体"/>
          <w:sz w:val="32"/>
        </w:rPr>
        <w:t>备注：</w:t>
      </w:r>
    </w:p>
    <w:p>
      <w:pPr>
        <w:widowControl w:val="0"/>
        <w:tabs>
          <w:tab w:val="left" w:pos="720"/>
        </w:tabs>
        <w:spacing w:line="360" w:lineRule="auto"/>
        <w:ind w:firstLine="632" w:firstLineChars="300"/>
        <w:jc w:val="both"/>
        <w:rPr>
          <w:b/>
          <w:szCs w:val="21"/>
        </w:rPr>
      </w:pPr>
      <w:r>
        <w:rPr>
          <w:rFonts w:hint="eastAsia"/>
          <w:b/>
          <w:szCs w:val="21"/>
        </w:rPr>
        <w:t>1、投标人根据项目情况，于采购文件规定的时间进行现场勘查，若投标人中标后产生的现场施工或安装差异，后果由中标人自负。</w:t>
      </w:r>
    </w:p>
    <w:p>
      <w:pPr>
        <w:widowControl w:val="0"/>
        <w:tabs>
          <w:tab w:val="left" w:pos="720"/>
        </w:tabs>
        <w:spacing w:line="360" w:lineRule="auto"/>
        <w:ind w:firstLine="632" w:firstLineChars="300"/>
        <w:jc w:val="both"/>
        <w:rPr>
          <w:b/>
          <w:szCs w:val="21"/>
        </w:rPr>
      </w:pPr>
      <w:r>
        <w:rPr>
          <w:rFonts w:hint="eastAsia"/>
          <w:b/>
          <w:szCs w:val="21"/>
        </w:rPr>
        <w:t>2、针对以上各标项参考采购内容和参考要求，鼓励参数偏好，鼓励更优的投标方案，各项偏离情况包括未偏离情况均在技术商务偏离情况表（可自制）说明，并与评分表内容共同作为打分依据。</w:t>
      </w:r>
    </w:p>
    <w:p>
      <w:pPr>
        <w:widowControl w:val="0"/>
        <w:tabs>
          <w:tab w:val="left" w:pos="720"/>
        </w:tabs>
        <w:spacing w:line="360" w:lineRule="auto"/>
        <w:ind w:firstLine="632" w:firstLineChars="300"/>
        <w:jc w:val="both"/>
        <w:rPr>
          <w:b/>
          <w:szCs w:val="21"/>
        </w:rPr>
      </w:pPr>
      <w:r>
        <w:rPr>
          <w:rFonts w:hint="eastAsia"/>
          <w:b/>
          <w:szCs w:val="21"/>
        </w:rPr>
        <w:t>3、本设备配置参考表中的品牌型号（若有）仅起参考作用，报价人可选用其他品牌型号替代，但这些替代的品牌型号要实质上相当于或优于参考品牌型号要求。</w:t>
      </w:r>
    </w:p>
    <w:p>
      <w:pPr>
        <w:widowControl w:val="0"/>
        <w:tabs>
          <w:tab w:val="left" w:pos="720"/>
        </w:tabs>
        <w:spacing w:line="360" w:lineRule="auto"/>
        <w:ind w:firstLine="632" w:firstLineChars="300"/>
        <w:jc w:val="both"/>
        <w:rPr>
          <w:b/>
          <w:szCs w:val="21"/>
        </w:rPr>
      </w:pPr>
      <w:r>
        <w:rPr>
          <w:rFonts w:hint="eastAsia"/>
          <w:b/>
          <w:szCs w:val="21"/>
        </w:rPr>
        <w:t>4、提供评分表及采购需求中需要投标人携带或备查的证明材料及相关原件。</w:t>
      </w:r>
    </w:p>
    <w:p>
      <w:pPr>
        <w:widowControl w:val="0"/>
        <w:tabs>
          <w:tab w:val="left" w:pos="720"/>
        </w:tabs>
        <w:spacing w:line="360" w:lineRule="auto"/>
        <w:ind w:firstLine="632" w:firstLineChars="300"/>
        <w:jc w:val="both"/>
        <w:rPr>
          <w:b/>
          <w:szCs w:val="21"/>
        </w:rPr>
      </w:pPr>
      <w:r>
        <w:rPr>
          <w:rFonts w:hint="eastAsia"/>
          <w:b/>
          <w:szCs w:val="21"/>
        </w:rPr>
        <w:t>5、投标报价：投标人投标产品应按本招标文件要求一次性报价。报价应包含人工、材料、运输、包装、装卸、施工、安装、调试、验收、税费、质保期内的保修费等所有相关费用。</w:t>
      </w:r>
    </w:p>
    <w:p>
      <w:pPr>
        <w:widowControl w:val="0"/>
        <w:tabs>
          <w:tab w:val="left" w:pos="720"/>
        </w:tabs>
        <w:spacing w:line="360" w:lineRule="auto"/>
        <w:ind w:firstLine="632" w:firstLineChars="300"/>
        <w:jc w:val="both"/>
        <w:rPr>
          <w:b/>
          <w:szCs w:val="21"/>
        </w:rPr>
      </w:pPr>
      <w:r>
        <w:rPr>
          <w:rFonts w:hint="eastAsia"/>
          <w:b/>
          <w:szCs w:val="21"/>
        </w:rPr>
        <w:t>6、供方应确保产品质量，并且符合合同规定的质量、规格和性能的要求，并保证产品是全新的，未使用过的，供方应保证全部设备经正确安装调试且达到验收标准。</w:t>
      </w:r>
    </w:p>
    <w:p>
      <w:pPr>
        <w:pStyle w:val="41"/>
        <w:spacing w:line="360" w:lineRule="auto"/>
        <w:rPr>
          <w:lang w:eastAsia="zh-CN"/>
        </w:rPr>
      </w:pPr>
      <w:r>
        <w:rPr>
          <w:rFonts w:hint="eastAsia"/>
          <w:lang w:eastAsia="zh-CN"/>
        </w:rPr>
        <w:t>采购内容</w:t>
      </w:r>
    </w:p>
    <w:tbl>
      <w:tblPr>
        <w:tblStyle w:val="14"/>
        <w:tblW w:w="0" w:type="auto"/>
        <w:jc w:val="center"/>
        <w:tblLayout w:type="fixed"/>
        <w:tblCellMar>
          <w:top w:w="0" w:type="dxa"/>
          <w:left w:w="108" w:type="dxa"/>
          <w:bottom w:w="0" w:type="dxa"/>
          <w:right w:w="108" w:type="dxa"/>
        </w:tblCellMar>
      </w:tblPr>
      <w:tblGrid>
        <w:gridCol w:w="855"/>
        <w:gridCol w:w="3090"/>
        <w:gridCol w:w="1830"/>
        <w:gridCol w:w="3388"/>
      </w:tblGrid>
      <w:tr>
        <w:tblPrEx>
          <w:tblCellMar>
            <w:top w:w="0" w:type="dxa"/>
            <w:left w:w="108" w:type="dxa"/>
            <w:bottom w:w="0" w:type="dxa"/>
            <w:right w:w="108" w:type="dxa"/>
          </w:tblCellMar>
        </w:tblPrEx>
        <w:trPr>
          <w:trHeight w:val="594"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宋体" w:hAnsi="宋体" w:cs="宋体"/>
                <w:color w:val="000000"/>
                <w:szCs w:val="21"/>
              </w:rPr>
            </w:pPr>
            <w:r>
              <w:rPr>
                <w:rFonts w:hint="eastAsia" w:ascii="宋体" w:hAnsi="宋体" w:cs="宋体"/>
                <w:color w:val="000000"/>
                <w:szCs w:val="21"/>
              </w:rPr>
              <w:t>标项</w:t>
            </w:r>
          </w:p>
        </w:tc>
        <w:tc>
          <w:tcPr>
            <w:tcW w:w="3090" w:type="dxa"/>
            <w:tcBorders>
              <w:top w:val="single" w:color="000000" w:sz="4" w:space="0"/>
              <w:left w:val="nil"/>
              <w:bottom w:val="single" w:color="000000" w:sz="4" w:space="0"/>
              <w:right w:val="single" w:color="000000" w:sz="4" w:space="0"/>
            </w:tcBorders>
            <w:noWrap/>
            <w:vAlign w:val="center"/>
          </w:tcPr>
          <w:p>
            <w:pPr>
              <w:spacing w:line="400" w:lineRule="exact"/>
              <w:jc w:val="center"/>
              <w:rPr>
                <w:rFonts w:ascii="宋体" w:hAnsi="宋体" w:cs="宋体"/>
                <w:color w:val="000000"/>
                <w:szCs w:val="21"/>
              </w:rPr>
            </w:pPr>
            <w:r>
              <w:rPr>
                <w:rFonts w:hint="eastAsia" w:ascii="宋体" w:hAnsi="宋体" w:cs="宋体"/>
                <w:color w:val="000000"/>
                <w:szCs w:val="21"/>
              </w:rPr>
              <w:t>采购内容</w:t>
            </w:r>
          </w:p>
        </w:tc>
        <w:tc>
          <w:tcPr>
            <w:tcW w:w="1830" w:type="dxa"/>
            <w:tcBorders>
              <w:top w:val="single" w:color="000000" w:sz="4" w:space="0"/>
              <w:left w:val="nil"/>
              <w:bottom w:val="single" w:color="000000" w:sz="4" w:space="0"/>
              <w:right w:val="single" w:color="000000" w:sz="4" w:space="0"/>
            </w:tcBorders>
            <w:noWrap/>
            <w:vAlign w:val="center"/>
          </w:tcPr>
          <w:p>
            <w:pPr>
              <w:spacing w:line="400" w:lineRule="exact"/>
              <w:jc w:val="center"/>
              <w:rPr>
                <w:rFonts w:ascii="宋体" w:hAnsi="宋体" w:cs="宋体"/>
                <w:color w:val="000000"/>
                <w:szCs w:val="21"/>
              </w:rPr>
            </w:pPr>
            <w:r>
              <w:rPr>
                <w:rFonts w:hint="eastAsia" w:ascii="宋体" w:hAnsi="宋体" w:cs="宋体"/>
                <w:color w:val="000000"/>
                <w:szCs w:val="21"/>
              </w:rPr>
              <w:t>数量</w:t>
            </w:r>
          </w:p>
        </w:tc>
        <w:tc>
          <w:tcPr>
            <w:tcW w:w="3388" w:type="dxa"/>
            <w:tcBorders>
              <w:top w:val="single" w:color="000000" w:sz="4" w:space="0"/>
              <w:left w:val="nil"/>
              <w:bottom w:val="single" w:color="auto" w:sz="4" w:space="0"/>
              <w:right w:val="single" w:color="000000" w:sz="4" w:space="0"/>
            </w:tcBorders>
            <w:noWrap/>
            <w:vAlign w:val="center"/>
          </w:tcPr>
          <w:p>
            <w:pPr>
              <w:spacing w:line="400" w:lineRule="exact"/>
              <w:jc w:val="center"/>
              <w:rPr>
                <w:rFonts w:ascii="宋体" w:hAnsi="宋体" w:cs="宋体"/>
                <w:color w:val="000000"/>
                <w:szCs w:val="21"/>
              </w:rPr>
            </w:pPr>
            <w:r>
              <w:rPr>
                <w:rFonts w:hint="eastAsia" w:ascii="宋体" w:hAnsi="宋体" w:cs="宋体"/>
                <w:color w:val="000000"/>
                <w:szCs w:val="21"/>
              </w:rPr>
              <w:t>采购单位</w:t>
            </w:r>
          </w:p>
        </w:tc>
      </w:tr>
      <w:tr>
        <w:tblPrEx>
          <w:tblCellMar>
            <w:top w:w="0" w:type="dxa"/>
            <w:left w:w="108" w:type="dxa"/>
            <w:bottom w:w="0" w:type="dxa"/>
            <w:right w:w="108" w:type="dxa"/>
          </w:tblCellMar>
        </w:tblPrEx>
        <w:trPr>
          <w:trHeight w:val="567" w:hRule="atLeast"/>
          <w:jc w:val="center"/>
        </w:trPr>
        <w:tc>
          <w:tcPr>
            <w:tcW w:w="855" w:type="dxa"/>
            <w:tcBorders>
              <w:top w:val="single" w:color="auto" w:sz="4" w:space="0"/>
              <w:left w:val="single" w:color="000000" w:sz="4" w:space="0"/>
              <w:right w:val="single" w:color="000000" w:sz="4" w:space="0"/>
            </w:tcBorders>
            <w:noWrap/>
            <w:vAlign w:val="center"/>
          </w:tcPr>
          <w:p>
            <w:pPr>
              <w:spacing w:line="400" w:lineRule="exact"/>
              <w:jc w:val="center"/>
              <w:rPr>
                <w:rFonts w:ascii="宋体" w:hAnsi="宋体" w:cs="宋体"/>
                <w:lang w:val="zh-CN"/>
              </w:rPr>
            </w:pPr>
            <w:r>
              <w:rPr>
                <w:rFonts w:hint="eastAsia" w:ascii="宋体" w:hAnsi="宋体" w:cs="Arial"/>
                <w:bCs/>
                <w:color w:val="000000"/>
                <w:szCs w:val="21"/>
              </w:rPr>
              <w:t>一</w:t>
            </w:r>
          </w:p>
        </w:tc>
        <w:tc>
          <w:tcPr>
            <w:tcW w:w="3090" w:type="dxa"/>
            <w:tcBorders>
              <w:top w:val="single" w:color="000000" w:sz="4" w:space="0"/>
              <w:left w:val="nil"/>
              <w:right w:val="single" w:color="000000" w:sz="4" w:space="0"/>
            </w:tcBorders>
            <w:noWrap/>
            <w:vAlign w:val="center"/>
          </w:tcPr>
          <w:p>
            <w:pPr>
              <w:spacing w:line="400" w:lineRule="exact"/>
              <w:jc w:val="center"/>
              <w:rPr>
                <w:rFonts w:ascii="宋体" w:hAnsi="宋体" w:cs="宋体"/>
                <w:lang w:val="zh-CN"/>
              </w:rPr>
            </w:pPr>
            <w:r>
              <w:rPr>
                <w:rFonts w:hint="eastAsia" w:ascii="宋体" w:hAnsi="宋体"/>
                <w:szCs w:val="21"/>
              </w:rPr>
              <w:t>海曙区鼓楼和西门街道共20个老旧小区改造智安系统前端硬件布件项目</w:t>
            </w:r>
          </w:p>
        </w:tc>
        <w:tc>
          <w:tcPr>
            <w:tcW w:w="1830" w:type="dxa"/>
            <w:tcBorders>
              <w:top w:val="single" w:color="000000" w:sz="4" w:space="0"/>
              <w:left w:val="nil"/>
              <w:right w:val="single" w:color="000000" w:sz="4" w:space="0"/>
            </w:tcBorders>
            <w:noWrap/>
            <w:vAlign w:val="center"/>
          </w:tcPr>
          <w:p>
            <w:pPr>
              <w:spacing w:line="400" w:lineRule="exact"/>
              <w:jc w:val="center"/>
              <w:rPr>
                <w:rFonts w:ascii="宋体" w:hAnsi="宋体" w:cs="Arial"/>
                <w:bCs/>
                <w:color w:val="000000"/>
                <w:szCs w:val="21"/>
              </w:rPr>
            </w:pPr>
            <w:r>
              <w:rPr>
                <w:rFonts w:hint="eastAsia" w:ascii="宋体" w:hAnsi="宋体" w:cs="宋体"/>
              </w:rPr>
              <w:t>1批</w:t>
            </w:r>
          </w:p>
        </w:tc>
        <w:tc>
          <w:tcPr>
            <w:tcW w:w="3388" w:type="dxa"/>
            <w:tcBorders>
              <w:left w:val="nil"/>
              <w:bottom w:val="single" w:color="auto" w:sz="4" w:space="0"/>
              <w:right w:val="single" w:color="000000" w:sz="4" w:space="0"/>
            </w:tcBorders>
            <w:noWrap/>
            <w:vAlign w:val="center"/>
          </w:tcPr>
          <w:p>
            <w:pPr>
              <w:spacing w:line="400" w:lineRule="exact"/>
              <w:jc w:val="center"/>
              <w:rPr>
                <w:rFonts w:ascii="宋体" w:hAnsi="宋体" w:cs="宋体"/>
                <w:lang w:val="zh-CN"/>
              </w:rPr>
            </w:pPr>
            <w:r>
              <w:rPr>
                <w:rFonts w:hint="eastAsia" w:ascii="宋体" w:hAnsi="宋体" w:cs="宋体"/>
                <w:lang w:val="zh-CN"/>
              </w:rPr>
              <w:t>宁波市公安局海曙分局</w:t>
            </w:r>
          </w:p>
        </w:tc>
      </w:tr>
      <w:tr>
        <w:tblPrEx>
          <w:tblCellMar>
            <w:top w:w="0" w:type="dxa"/>
            <w:left w:w="108" w:type="dxa"/>
            <w:bottom w:w="0" w:type="dxa"/>
            <w:right w:w="108" w:type="dxa"/>
          </w:tblCellMar>
        </w:tblPrEx>
        <w:trPr>
          <w:trHeight w:val="567" w:hRule="atLeast"/>
          <w:jc w:val="center"/>
        </w:trPr>
        <w:tc>
          <w:tcPr>
            <w:tcW w:w="855" w:type="dxa"/>
            <w:tcBorders>
              <w:top w:val="single" w:color="auto" w:sz="4" w:space="0"/>
              <w:left w:val="single" w:color="000000" w:sz="4" w:space="0"/>
              <w:right w:val="single" w:color="000000" w:sz="4" w:space="0"/>
            </w:tcBorders>
            <w:noWrap/>
            <w:vAlign w:val="center"/>
          </w:tcPr>
          <w:p>
            <w:pPr>
              <w:spacing w:line="400" w:lineRule="exact"/>
              <w:jc w:val="center"/>
              <w:rPr>
                <w:rFonts w:ascii="宋体" w:hAnsi="宋体" w:cs="Arial"/>
                <w:bCs/>
                <w:color w:val="000000"/>
                <w:szCs w:val="21"/>
              </w:rPr>
            </w:pPr>
            <w:r>
              <w:rPr>
                <w:rFonts w:hint="eastAsia" w:ascii="宋体" w:hAnsi="宋体" w:cs="Arial"/>
                <w:bCs/>
                <w:color w:val="000000"/>
                <w:szCs w:val="21"/>
              </w:rPr>
              <w:t>二</w:t>
            </w:r>
          </w:p>
        </w:tc>
        <w:tc>
          <w:tcPr>
            <w:tcW w:w="3090" w:type="dxa"/>
            <w:tcBorders>
              <w:top w:val="single" w:color="000000" w:sz="4" w:space="0"/>
              <w:left w:val="nil"/>
              <w:right w:val="single" w:color="000000" w:sz="4" w:space="0"/>
            </w:tcBorders>
            <w:noWrap/>
            <w:vAlign w:val="center"/>
          </w:tcPr>
          <w:p>
            <w:pPr>
              <w:spacing w:line="400" w:lineRule="exact"/>
              <w:jc w:val="center"/>
              <w:rPr>
                <w:rFonts w:ascii="宋体" w:hAnsi="宋体"/>
                <w:szCs w:val="21"/>
              </w:rPr>
            </w:pPr>
            <w:r>
              <w:rPr>
                <w:rFonts w:hint="eastAsia" w:ascii="宋体" w:hAnsi="宋体"/>
                <w:szCs w:val="21"/>
              </w:rPr>
              <w:t>海曙区段塘和白云街道共12个老旧小区改造智安系统前端硬件布件项目</w:t>
            </w:r>
          </w:p>
        </w:tc>
        <w:tc>
          <w:tcPr>
            <w:tcW w:w="1830" w:type="dxa"/>
            <w:tcBorders>
              <w:top w:val="single" w:color="000000" w:sz="4" w:space="0"/>
              <w:left w:val="nil"/>
              <w:right w:val="single" w:color="000000" w:sz="4" w:space="0"/>
            </w:tcBorders>
            <w:noWrap/>
            <w:vAlign w:val="center"/>
          </w:tcPr>
          <w:p>
            <w:pPr>
              <w:spacing w:line="400" w:lineRule="exact"/>
              <w:jc w:val="center"/>
              <w:rPr>
                <w:rFonts w:ascii="宋体" w:hAnsi="宋体" w:cs="宋体"/>
              </w:rPr>
            </w:pPr>
            <w:r>
              <w:rPr>
                <w:rFonts w:hint="eastAsia" w:ascii="宋体" w:hAnsi="宋体" w:cs="宋体"/>
              </w:rPr>
              <w:t>1批</w:t>
            </w:r>
          </w:p>
        </w:tc>
        <w:tc>
          <w:tcPr>
            <w:tcW w:w="3388" w:type="dxa"/>
            <w:tcBorders>
              <w:left w:val="nil"/>
              <w:bottom w:val="single" w:color="auto" w:sz="4" w:space="0"/>
              <w:right w:val="single" w:color="000000" w:sz="4" w:space="0"/>
            </w:tcBorders>
            <w:noWrap/>
            <w:vAlign w:val="center"/>
          </w:tcPr>
          <w:p>
            <w:pPr>
              <w:spacing w:line="400" w:lineRule="exact"/>
              <w:jc w:val="center"/>
              <w:rPr>
                <w:rFonts w:ascii="宋体" w:hAnsi="宋体" w:cs="宋体"/>
                <w:lang w:val="zh-CN"/>
              </w:rPr>
            </w:pPr>
            <w:r>
              <w:rPr>
                <w:rFonts w:hint="eastAsia" w:ascii="宋体" w:hAnsi="宋体" w:cs="宋体"/>
                <w:lang w:val="zh-CN"/>
              </w:rPr>
              <w:t>宁波市公安局海曙分局</w:t>
            </w:r>
          </w:p>
        </w:tc>
      </w:tr>
      <w:tr>
        <w:tblPrEx>
          <w:tblCellMar>
            <w:top w:w="0" w:type="dxa"/>
            <w:left w:w="108" w:type="dxa"/>
            <w:bottom w:w="0" w:type="dxa"/>
            <w:right w:w="108" w:type="dxa"/>
          </w:tblCellMar>
        </w:tblPrEx>
        <w:trPr>
          <w:trHeight w:val="567" w:hRule="atLeast"/>
          <w:jc w:val="center"/>
        </w:trPr>
        <w:tc>
          <w:tcPr>
            <w:tcW w:w="855" w:type="dxa"/>
            <w:tcBorders>
              <w:top w:val="single" w:color="auto" w:sz="4" w:space="0"/>
              <w:left w:val="single" w:color="000000" w:sz="4" w:space="0"/>
              <w:right w:val="single" w:color="000000" w:sz="4" w:space="0"/>
            </w:tcBorders>
            <w:noWrap/>
            <w:vAlign w:val="center"/>
          </w:tcPr>
          <w:p>
            <w:pPr>
              <w:spacing w:line="400" w:lineRule="exact"/>
              <w:jc w:val="center"/>
              <w:rPr>
                <w:rFonts w:ascii="宋体" w:hAnsi="宋体" w:cs="Arial"/>
                <w:bCs/>
                <w:color w:val="000000"/>
                <w:szCs w:val="21"/>
              </w:rPr>
            </w:pPr>
            <w:r>
              <w:rPr>
                <w:rFonts w:hint="eastAsia" w:ascii="宋体" w:hAnsi="宋体" w:cs="Arial"/>
                <w:bCs/>
                <w:color w:val="000000"/>
                <w:szCs w:val="21"/>
              </w:rPr>
              <w:t>三</w:t>
            </w:r>
          </w:p>
        </w:tc>
        <w:tc>
          <w:tcPr>
            <w:tcW w:w="3090" w:type="dxa"/>
            <w:tcBorders>
              <w:top w:val="single" w:color="000000" w:sz="4" w:space="0"/>
              <w:left w:val="nil"/>
              <w:right w:val="single" w:color="000000" w:sz="4" w:space="0"/>
            </w:tcBorders>
            <w:noWrap/>
            <w:vAlign w:val="center"/>
          </w:tcPr>
          <w:p>
            <w:pPr>
              <w:spacing w:line="400" w:lineRule="exact"/>
              <w:jc w:val="center"/>
              <w:rPr>
                <w:rFonts w:ascii="宋体" w:hAnsi="宋体"/>
                <w:szCs w:val="21"/>
              </w:rPr>
            </w:pPr>
            <w:r>
              <w:rPr>
                <w:rFonts w:hint="eastAsia" w:ascii="宋体" w:hAnsi="宋体"/>
                <w:szCs w:val="21"/>
              </w:rPr>
              <w:t>海曙区望春街道6个老旧小区改造智安系统前端硬件布件项目</w:t>
            </w:r>
          </w:p>
        </w:tc>
        <w:tc>
          <w:tcPr>
            <w:tcW w:w="1830" w:type="dxa"/>
            <w:tcBorders>
              <w:top w:val="single" w:color="000000" w:sz="4" w:space="0"/>
              <w:left w:val="nil"/>
              <w:right w:val="single" w:color="000000" w:sz="4" w:space="0"/>
            </w:tcBorders>
            <w:noWrap/>
            <w:vAlign w:val="center"/>
          </w:tcPr>
          <w:p>
            <w:pPr>
              <w:spacing w:line="400" w:lineRule="exact"/>
              <w:jc w:val="center"/>
              <w:rPr>
                <w:rFonts w:ascii="宋体" w:hAnsi="宋体" w:cs="宋体"/>
              </w:rPr>
            </w:pPr>
            <w:r>
              <w:rPr>
                <w:rFonts w:hint="eastAsia" w:ascii="宋体" w:hAnsi="宋体" w:cs="宋体"/>
              </w:rPr>
              <w:t>1批</w:t>
            </w:r>
          </w:p>
        </w:tc>
        <w:tc>
          <w:tcPr>
            <w:tcW w:w="3388" w:type="dxa"/>
            <w:tcBorders>
              <w:left w:val="nil"/>
              <w:bottom w:val="single" w:color="auto" w:sz="4" w:space="0"/>
              <w:right w:val="single" w:color="000000" w:sz="4" w:space="0"/>
            </w:tcBorders>
            <w:noWrap/>
            <w:vAlign w:val="center"/>
          </w:tcPr>
          <w:p>
            <w:pPr>
              <w:spacing w:line="400" w:lineRule="exact"/>
              <w:jc w:val="center"/>
              <w:rPr>
                <w:rFonts w:ascii="宋体" w:hAnsi="宋体" w:cs="宋体"/>
                <w:lang w:val="zh-CN"/>
              </w:rPr>
            </w:pPr>
            <w:r>
              <w:rPr>
                <w:rFonts w:hint="eastAsia" w:ascii="宋体" w:hAnsi="宋体" w:cs="宋体"/>
                <w:lang w:val="zh-CN"/>
              </w:rPr>
              <w:t>宁波市公安局海曙分局</w:t>
            </w:r>
          </w:p>
        </w:tc>
      </w:tr>
      <w:tr>
        <w:tblPrEx>
          <w:tblCellMar>
            <w:top w:w="0" w:type="dxa"/>
            <w:left w:w="108" w:type="dxa"/>
            <w:bottom w:w="0" w:type="dxa"/>
            <w:right w:w="108" w:type="dxa"/>
          </w:tblCellMar>
        </w:tblPrEx>
        <w:trPr>
          <w:trHeight w:val="567" w:hRule="atLeast"/>
          <w:jc w:val="center"/>
        </w:trPr>
        <w:tc>
          <w:tcPr>
            <w:tcW w:w="855" w:type="dxa"/>
            <w:tcBorders>
              <w:top w:val="single" w:color="auto" w:sz="4" w:space="0"/>
              <w:left w:val="single" w:color="000000" w:sz="4" w:space="0"/>
              <w:right w:val="single" w:color="000000" w:sz="4" w:space="0"/>
            </w:tcBorders>
            <w:noWrap/>
            <w:vAlign w:val="center"/>
          </w:tcPr>
          <w:p>
            <w:pPr>
              <w:spacing w:line="400" w:lineRule="exact"/>
              <w:jc w:val="center"/>
              <w:rPr>
                <w:rFonts w:ascii="宋体" w:hAnsi="宋体" w:cs="Arial"/>
                <w:bCs/>
                <w:color w:val="000000"/>
                <w:szCs w:val="21"/>
              </w:rPr>
            </w:pPr>
            <w:r>
              <w:rPr>
                <w:rFonts w:hint="eastAsia" w:ascii="宋体" w:hAnsi="宋体" w:cs="Arial"/>
                <w:bCs/>
                <w:color w:val="000000"/>
                <w:szCs w:val="21"/>
              </w:rPr>
              <w:t>四</w:t>
            </w:r>
          </w:p>
        </w:tc>
        <w:tc>
          <w:tcPr>
            <w:tcW w:w="3090" w:type="dxa"/>
            <w:tcBorders>
              <w:top w:val="single" w:color="000000" w:sz="4" w:space="0"/>
              <w:left w:val="nil"/>
              <w:right w:val="single" w:color="000000" w:sz="4" w:space="0"/>
            </w:tcBorders>
            <w:noWrap/>
            <w:vAlign w:val="center"/>
          </w:tcPr>
          <w:p>
            <w:pPr>
              <w:spacing w:line="400" w:lineRule="exact"/>
              <w:jc w:val="center"/>
              <w:rPr>
                <w:rFonts w:ascii="宋体" w:hAnsi="宋体"/>
                <w:szCs w:val="21"/>
              </w:rPr>
            </w:pPr>
            <w:r>
              <w:rPr>
                <w:rFonts w:hint="eastAsia" w:ascii="宋体" w:hAnsi="宋体"/>
                <w:szCs w:val="21"/>
              </w:rPr>
              <w:t>海曙区南门和石碶街道及鄞江镇共20个老旧小区改造智安系统前端硬件布件项目</w:t>
            </w:r>
          </w:p>
        </w:tc>
        <w:tc>
          <w:tcPr>
            <w:tcW w:w="1830" w:type="dxa"/>
            <w:tcBorders>
              <w:top w:val="single" w:color="000000" w:sz="4" w:space="0"/>
              <w:left w:val="nil"/>
              <w:right w:val="single" w:color="000000" w:sz="4" w:space="0"/>
            </w:tcBorders>
            <w:noWrap/>
            <w:vAlign w:val="center"/>
          </w:tcPr>
          <w:p>
            <w:pPr>
              <w:spacing w:line="400" w:lineRule="exact"/>
              <w:jc w:val="center"/>
              <w:rPr>
                <w:rFonts w:ascii="宋体" w:hAnsi="宋体" w:cs="宋体"/>
              </w:rPr>
            </w:pPr>
            <w:r>
              <w:rPr>
                <w:rFonts w:hint="eastAsia" w:ascii="宋体" w:hAnsi="宋体" w:cs="宋体"/>
              </w:rPr>
              <w:t>1批</w:t>
            </w:r>
          </w:p>
        </w:tc>
        <w:tc>
          <w:tcPr>
            <w:tcW w:w="3388" w:type="dxa"/>
            <w:tcBorders>
              <w:left w:val="nil"/>
              <w:bottom w:val="single" w:color="auto" w:sz="4" w:space="0"/>
              <w:right w:val="single" w:color="000000" w:sz="4" w:space="0"/>
            </w:tcBorders>
            <w:noWrap/>
            <w:vAlign w:val="center"/>
          </w:tcPr>
          <w:p>
            <w:pPr>
              <w:spacing w:line="400" w:lineRule="exact"/>
              <w:jc w:val="center"/>
              <w:rPr>
                <w:rFonts w:ascii="宋体" w:hAnsi="宋体" w:cs="宋体"/>
                <w:lang w:val="zh-CN"/>
              </w:rPr>
            </w:pPr>
            <w:r>
              <w:rPr>
                <w:rFonts w:hint="eastAsia" w:ascii="宋体" w:hAnsi="宋体" w:cs="宋体"/>
                <w:lang w:val="zh-CN"/>
              </w:rPr>
              <w:t>宁波市公安局海曙分局</w:t>
            </w:r>
          </w:p>
        </w:tc>
      </w:tr>
      <w:tr>
        <w:tblPrEx>
          <w:tblCellMar>
            <w:top w:w="0" w:type="dxa"/>
            <w:left w:w="108" w:type="dxa"/>
            <w:bottom w:w="0" w:type="dxa"/>
            <w:right w:w="108" w:type="dxa"/>
          </w:tblCellMar>
        </w:tblPrEx>
        <w:trPr>
          <w:trHeight w:val="567" w:hRule="atLeast"/>
          <w:jc w:val="center"/>
        </w:trPr>
        <w:tc>
          <w:tcPr>
            <w:tcW w:w="855" w:type="dxa"/>
            <w:tcBorders>
              <w:top w:val="single" w:color="auto" w:sz="4" w:space="0"/>
              <w:left w:val="single" w:color="000000" w:sz="4" w:space="0"/>
              <w:right w:val="single" w:color="000000" w:sz="4" w:space="0"/>
            </w:tcBorders>
            <w:noWrap/>
            <w:vAlign w:val="center"/>
          </w:tcPr>
          <w:p>
            <w:pPr>
              <w:spacing w:line="400" w:lineRule="exact"/>
              <w:jc w:val="center"/>
              <w:rPr>
                <w:rFonts w:ascii="宋体" w:hAnsi="宋体" w:cs="Arial"/>
                <w:bCs/>
                <w:color w:val="000000"/>
                <w:szCs w:val="21"/>
              </w:rPr>
            </w:pPr>
            <w:r>
              <w:rPr>
                <w:rFonts w:hint="eastAsia" w:ascii="宋体" w:hAnsi="宋体" w:cs="Arial"/>
                <w:bCs/>
                <w:color w:val="000000"/>
                <w:szCs w:val="21"/>
              </w:rPr>
              <w:t>五</w:t>
            </w:r>
          </w:p>
        </w:tc>
        <w:tc>
          <w:tcPr>
            <w:tcW w:w="3090" w:type="dxa"/>
            <w:tcBorders>
              <w:top w:val="single" w:color="000000" w:sz="4" w:space="0"/>
              <w:left w:val="nil"/>
              <w:right w:val="single" w:color="000000" w:sz="4" w:space="0"/>
            </w:tcBorders>
            <w:noWrap/>
            <w:vAlign w:val="center"/>
          </w:tcPr>
          <w:p>
            <w:pPr>
              <w:spacing w:line="400" w:lineRule="exact"/>
              <w:jc w:val="center"/>
              <w:rPr>
                <w:rFonts w:ascii="宋体" w:hAnsi="宋体"/>
                <w:szCs w:val="21"/>
              </w:rPr>
            </w:pPr>
            <w:r>
              <w:rPr>
                <w:rFonts w:hint="eastAsia" w:ascii="宋体" w:hAnsi="宋体"/>
                <w:szCs w:val="21"/>
              </w:rPr>
              <w:t>海曙区江厦和月湖街道共17个老旧小区改造智安系统前端硬件布件项目</w:t>
            </w:r>
          </w:p>
        </w:tc>
        <w:tc>
          <w:tcPr>
            <w:tcW w:w="1830" w:type="dxa"/>
            <w:tcBorders>
              <w:top w:val="single" w:color="000000" w:sz="4" w:space="0"/>
              <w:left w:val="nil"/>
              <w:right w:val="single" w:color="000000" w:sz="4" w:space="0"/>
            </w:tcBorders>
            <w:noWrap/>
            <w:vAlign w:val="center"/>
          </w:tcPr>
          <w:p>
            <w:pPr>
              <w:spacing w:line="400" w:lineRule="exact"/>
              <w:jc w:val="center"/>
              <w:rPr>
                <w:rFonts w:ascii="宋体" w:hAnsi="宋体" w:cs="宋体"/>
              </w:rPr>
            </w:pPr>
            <w:r>
              <w:rPr>
                <w:rFonts w:hint="eastAsia" w:ascii="宋体" w:hAnsi="宋体" w:cs="宋体"/>
              </w:rPr>
              <w:t>1批</w:t>
            </w:r>
          </w:p>
        </w:tc>
        <w:tc>
          <w:tcPr>
            <w:tcW w:w="3388" w:type="dxa"/>
            <w:tcBorders>
              <w:left w:val="nil"/>
              <w:bottom w:val="single" w:color="auto" w:sz="4" w:space="0"/>
              <w:right w:val="single" w:color="000000" w:sz="4" w:space="0"/>
            </w:tcBorders>
            <w:noWrap/>
            <w:vAlign w:val="center"/>
          </w:tcPr>
          <w:p>
            <w:pPr>
              <w:spacing w:line="400" w:lineRule="exact"/>
              <w:jc w:val="center"/>
              <w:rPr>
                <w:rFonts w:ascii="宋体" w:hAnsi="宋体" w:cs="宋体"/>
                <w:lang w:val="zh-CN"/>
              </w:rPr>
            </w:pPr>
            <w:r>
              <w:rPr>
                <w:rFonts w:hint="eastAsia" w:ascii="宋体" w:hAnsi="宋体" w:cs="宋体"/>
                <w:lang w:val="zh-CN"/>
              </w:rPr>
              <w:t>宁波市公安局海曙分局</w:t>
            </w:r>
          </w:p>
        </w:tc>
      </w:tr>
      <w:tr>
        <w:tblPrEx>
          <w:tblCellMar>
            <w:top w:w="0" w:type="dxa"/>
            <w:left w:w="108" w:type="dxa"/>
            <w:bottom w:w="0" w:type="dxa"/>
            <w:right w:w="108" w:type="dxa"/>
          </w:tblCellMar>
        </w:tblPrEx>
        <w:trPr>
          <w:trHeight w:val="351" w:hRule="atLeast"/>
          <w:jc w:val="center"/>
        </w:trPr>
        <w:tc>
          <w:tcPr>
            <w:tcW w:w="9163" w:type="dxa"/>
            <w:gridSpan w:val="4"/>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宋体" w:hAnsi="宋体" w:cs="Arial"/>
                <w:bCs/>
                <w:color w:val="000000"/>
                <w:szCs w:val="21"/>
              </w:rPr>
            </w:pPr>
            <w:r>
              <w:rPr>
                <w:rFonts w:hint="eastAsia" w:ascii="宋体" w:hAnsi="宋体" w:cs="Arial"/>
                <w:b/>
                <w:color w:val="000000"/>
                <w:szCs w:val="21"/>
              </w:rPr>
              <w:t>说明：具体清单见下表。</w:t>
            </w:r>
          </w:p>
        </w:tc>
      </w:tr>
    </w:tbl>
    <w:p>
      <w:pPr>
        <w:pStyle w:val="43"/>
        <w:spacing w:line="360" w:lineRule="auto"/>
        <w:ind w:firstLine="0" w:firstLineChars="0"/>
        <w:rPr>
          <w:rFonts w:ascii="宋体" w:hAnsi="宋体"/>
          <w:b/>
          <w:bCs/>
          <w:color w:val="000000"/>
          <w:szCs w:val="21"/>
        </w:rPr>
      </w:pPr>
    </w:p>
    <w:p>
      <w:pPr>
        <w:pStyle w:val="43"/>
        <w:spacing w:line="360" w:lineRule="auto"/>
        <w:ind w:firstLine="0" w:firstLineChars="0"/>
        <w:rPr>
          <w:rFonts w:ascii="宋体" w:hAnsi="宋体"/>
          <w:b/>
          <w:bCs/>
          <w:color w:val="000000"/>
          <w:sz w:val="32"/>
          <w:szCs w:val="32"/>
        </w:rPr>
      </w:pPr>
      <w:r>
        <w:rPr>
          <w:rFonts w:hint="eastAsia" w:ascii="宋体" w:hAnsi="宋体"/>
          <w:b/>
          <w:bCs/>
          <w:color w:val="000000"/>
          <w:sz w:val="32"/>
          <w:szCs w:val="32"/>
        </w:rPr>
        <w:t>标项一：</w:t>
      </w:r>
    </w:p>
    <w:p>
      <w:pPr>
        <w:spacing w:line="360" w:lineRule="auto"/>
        <w:rPr>
          <w:rFonts w:eastAsia="宋体"/>
          <w:b/>
          <w:bCs/>
        </w:rPr>
      </w:pPr>
      <w:r>
        <w:rPr>
          <w:rFonts w:hint="eastAsia"/>
          <w:b/>
          <w:bCs/>
        </w:rPr>
        <w:t>鼓楼街道各小区设备配置清单</w:t>
      </w:r>
    </w:p>
    <w:tbl>
      <w:tblPr>
        <w:tblStyle w:val="14"/>
        <w:tblW w:w="9225" w:type="dxa"/>
        <w:tblInd w:w="0" w:type="dxa"/>
        <w:tblLayout w:type="autofit"/>
        <w:tblCellMar>
          <w:top w:w="0" w:type="dxa"/>
          <w:left w:w="0" w:type="dxa"/>
          <w:bottom w:w="0" w:type="dxa"/>
          <w:right w:w="0" w:type="dxa"/>
        </w:tblCellMar>
      </w:tblPr>
      <w:tblGrid>
        <w:gridCol w:w="4"/>
        <w:gridCol w:w="649"/>
        <w:gridCol w:w="63"/>
        <w:gridCol w:w="2583"/>
        <w:gridCol w:w="267"/>
        <w:gridCol w:w="930"/>
        <w:gridCol w:w="930"/>
        <w:gridCol w:w="930"/>
        <w:gridCol w:w="687"/>
        <w:gridCol w:w="243"/>
        <w:gridCol w:w="571"/>
        <w:gridCol w:w="359"/>
        <w:gridCol w:w="1009"/>
      </w:tblGrid>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textAlignment w:val="center"/>
              <w:rPr>
                <w:rFonts w:ascii="宋体" w:hAnsi="宋体" w:cs="宋体"/>
                <w:color w:val="000000"/>
                <w:sz w:val="20"/>
              </w:rPr>
            </w:pPr>
            <w:r>
              <w:rPr>
                <w:rFonts w:hint="eastAsia" w:ascii="宋体" w:hAnsi="宋体" w:cs="宋体"/>
                <w:color w:val="000000"/>
                <w:sz w:val="20"/>
              </w:rPr>
              <w:t>序号</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textAlignment w:val="center"/>
              <w:rPr>
                <w:rFonts w:ascii="宋体" w:hAnsi="宋体" w:cs="宋体"/>
                <w:color w:val="000000"/>
                <w:sz w:val="20"/>
              </w:rPr>
            </w:pPr>
            <w:r>
              <w:rPr>
                <w:rFonts w:hint="eastAsia" w:ascii="宋体" w:hAnsi="宋体" w:cs="宋体"/>
                <w:color w:val="000000"/>
                <w:sz w:val="20"/>
              </w:rPr>
              <w:t>设备名称</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textAlignment w:val="center"/>
              <w:rPr>
                <w:rFonts w:ascii="宋体" w:hAnsi="宋体" w:cs="宋体"/>
                <w:color w:val="000000"/>
                <w:sz w:val="22"/>
                <w:szCs w:val="22"/>
              </w:rPr>
            </w:pPr>
            <w:r>
              <w:rPr>
                <w:rFonts w:hint="eastAsia" w:ascii="宋体" w:hAnsi="宋体" w:cs="宋体"/>
                <w:color w:val="000000"/>
                <w:sz w:val="22"/>
                <w:szCs w:val="22"/>
              </w:rPr>
              <w:t>西河小区</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textAlignment w:val="center"/>
              <w:rPr>
                <w:rFonts w:ascii="宋体" w:hAnsi="宋体" w:cs="宋体"/>
                <w:color w:val="000000"/>
                <w:sz w:val="22"/>
                <w:szCs w:val="22"/>
              </w:rPr>
            </w:pPr>
            <w:r>
              <w:rPr>
                <w:rFonts w:hint="eastAsia" w:ascii="宋体" w:hAnsi="宋体" w:cs="宋体"/>
                <w:color w:val="000000"/>
                <w:sz w:val="22"/>
                <w:szCs w:val="22"/>
              </w:rPr>
              <w:t>孝闻白衣</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textAlignment w:val="center"/>
              <w:rPr>
                <w:rFonts w:ascii="宋体" w:hAnsi="宋体" w:cs="宋体"/>
                <w:color w:val="000000"/>
                <w:sz w:val="22"/>
                <w:szCs w:val="22"/>
              </w:rPr>
            </w:pPr>
            <w:r>
              <w:rPr>
                <w:rFonts w:hint="eastAsia" w:ascii="宋体" w:hAnsi="宋体" w:cs="宋体"/>
                <w:color w:val="000000"/>
                <w:sz w:val="22"/>
                <w:szCs w:val="22"/>
              </w:rPr>
              <w:t>文昌花园</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textAlignment w:val="center"/>
              <w:rPr>
                <w:rFonts w:ascii="宋体" w:hAnsi="宋体" w:cs="宋体"/>
                <w:color w:val="000000"/>
                <w:sz w:val="22"/>
                <w:szCs w:val="22"/>
              </w:rPr>
            </w:pPr>
            <w:r>
              <w:rPr>
                <w:rFonts w:hint="eastAsia" w:ascii="宋体" w:hAnsi="宋体" w:cs="宋体"/>
                <w:color w:val="000000"/>
                <w:sz w:val="22"/>
                <w:szCs w:val="22"/>
              </w:rPr>
              <w:t>孝闻花园</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textAlignment w:val="center"/>
              <w:rPr>
                <w:rFonts w:ascii="宋体" w:hAnsi="宋体" w:cs="宋体"/>
                <w:color w:val="000000"/>
                <w:sz w:val="22"/>
                <w:szCs w:val="22"/>
              </w:rPr>
            </w:pPr>
            <w:r>
              <w:rPr>
                <w:rFonts w:hint="eastAsia" w:ascii="宋体" w:hAnsi="宋体" w:cs="宋体"/>
                <w:color w:val="000000"/>
                <w:sz w:val="22"/>
                <w:szCs w:val="22"/>
              </w:rPr>
              <w:t>零星住宅</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textAlignment w:val="center"/>
              <w:rPr>
                <w:rFonts w:ascii="宋体" w:hAnsi="宋体" w:cs="宋体"/>
                <w:color w:val="000000"/>
                <w:sz w:val="20"/>
              </w:rPr>
            </w:pPr>
            <w:r>
              <w:rPr>
                <w:rFonts w:hint="eastAsia" w:ascii="宋体" w:hAnsi="宋体" w:cs="宋体"/>
                <w:color w:val="000000"/>
                <w:sz w:val="20"/>
              </w:rPr>
              <w:t>数量</w:t>
            </w:r>
          </w:p>
        </w:tc>
      </w:tr>
      <w:tr>
        <w:tblPrEx>
          <w:tblCellMar>
            <w:top w:w="0" w:type="dxa"/>
            <w:left w:w="0" w:type="dxa"/>
            <w:bottom w:w="0" w:type="dxa"/>
            <w:right w:w="0" w:type="dxa"/>
          </w:tblCellMar>
        </w:tblPrEx>
        <w:trPr>
          <w:gridBefore w:val="1"/>
          <w:wBefore w:w="4" w:type="dxa"/>
          <w:trHeight w:val="460" w:hRule="atLeast"/>
        </w:trPr>
        <w:tc>
          <w:tcPr>
            <w:tcW w:w="9221"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1、出入口控制系统1（人行出入口）</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智慧门</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双目人脸识别可视对讲围墙机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主机电源12V/2A</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磁力锁</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专用锁电源</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闭门器</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防水出门按钮及支架</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人证合一 一体机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USB人像采集</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基础（智慧门、围墙机支架、出门按钮支架）</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r>
      <w:tr>
        <w:tblPrEx>
          <w:tblCellMar>
            <w:top w:w="0" w:type="dxa"/>
            <w:left w:w="0" w:type="dxa"/>
            <w:bottom w:w="0" w:type="dxa"/>
            <w:right w:w="0" w:type="dxa"/>
          </w:tblCellMar>
        </w:tblPrEx>
        <w:trPr>
          <w:gridBefore w:val="1"/>
          <w:wBefore w:w="4" w:type="dxa"/>
          <w:trHeight w:val="460" w:hRule="atLeast"/>
        </w:trPr>
        <w:tc>
          <w:tcPr>
            <w:tcW w:w="9221"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2、出入口控制系统2（停车系统设备）</w:t>
            </w:r>
          </w:p>
        </w:tc>
      </w:tr>
      <w:tr>
        <w:tblPrEx>
          <w:tblCellMar>
            <w:top w:w="0" w:type="dxa"/>
            <w:left w:w="0" w:type="dxa"/>
            <w:bottom w:w="0" w:type="dxa"/>
            <w:right w:w="0" w:type="dxa"/>
          </w:tblCellMar>
        </w:tblPrEx>
        <w:trPr>
          <w:gridBefore w:val="1"/>
          <w:wBefore w:w="4" w:type="dxa"/>
          <w:trHeight w:val="460" w:hRule="atLeast"/>
        </w:trPr>
        <w:tc>
          <w:tcPr>
            <w:tcW w:w="9221"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主要出入口单进单出</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出口杆式抓拍一体机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道闸</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防砸雷达</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14</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入口杆式抓拍一体机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道闸</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16</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防砸雷达</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17</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逻辑雷达</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18</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触发雷达</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sz w:val="20"/>
              </w:rPr>
            </w:pPr>
            <w:r>
              <w:rPr>
                <w:rFonts w:hint="eastAsia" w:ascii="宋体" w:hAnsi="宋体" w:cs="宋体"/>
                <w:sz w:val="20"/>
              </w:rPr>
              <w:t>19</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sz w:val="20"/>
              </w:rPr>
            </w:pPr>
            <w:r>
              <w:rPr>
                <w:rFonts w:hint="eastAsia" w:ascii="宋体" w:hAnsi="宋体" w:cs="宋体"/>
                <w:sz w:val="20"/>
              </w:rPr>
              <w:t>8口百兆接入交换机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sz w:val="20"/>
              </w:rPr>
            </w:pPr>
            <w:r>
              <w:rPr>
                <w:rFonts w:hint="eastAsia" w:ascii="宋体" w:hAnsi="宋体" w:cs="宋体"/>
                <w:sz w:val="20"/>
              </w:rPr>
              <w:t xml:space="preserve">1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sz w:val="20"/>
              </w:rPr>
            </w:pPr>
            <w:r>
              <w:rPr>
                <w:rFonts w:hint="eastAsia" w:ascii="宋体" w:hAnsi="宋体" w:cs="宋体"/>
                <w:sz w:val="20"/>
              </w:rPr>
              <w:t xml:space="preserve">0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sz w:val="20"/>
              </w:rPr>
            </w:pPr>
            <w:r>
              <w:rPr>
                <w:rFonts w:hint="eastAsia" w:ascii="宋体" w:hAnsi="宋体" w:cs="宋体"/>
                <w:sz w:val="20"/>
              </w:rPr>
              <w:t xml:space="preserve">2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sz w:val="20"/>
              </w:rPr>
            </w:pPr>
            <w:r>
              <w:rPr>
                <w:rFonts w:hint="eastAsia" w:ascii="宋体" w:hAnsi="宋体" w:cs="宋体"/>
                <w:sz w:val="20"/>
              </w:rPr>
              <w:t xml:space="preserve">0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sz w:val="20"/>
              </w:rPr>
            </w:pPr>
            <w:r>
              <w:rPr>
                <w:rFonts w:hint="eastAsia" w:ascii="宋体" w:hAnsi="宋体" w:cs="宋体"/>
                <w:sz w:val="20"/>
              </w:rPr>
              <w:t xml:space="preserve">2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sz w:val="20"/>
              </w:rPr>
            </w:pPr>
            <w:r>
              <w:rPr>
                <w:rFonts w:hint="eastAsia" w:ascii="宋体" w:hAnsi="宋体" w:cs="宋体"/>
                <w:sz w:val="20"/>
              </w:rPr>
              <w:t>5</w:t>
            </w:r>
          </w:p>
        </w:tc>
      </w:tr>
      <w:tr>
        <w:tblPrEx>
          <w:tblCellMar>
            <w:top w:w="0" w:type="dxa"/>
            <w:left w:w="0" w:type="dxa"/>
            <w:bottom w:w="0" w:type="dxa"/>
            <w:right w:w="0" w:type="dxa"/>
          </w:tblCellMar>
        </w:tblPrEx>
        <w:trPr>
          <w:gridBefore w:val="1"/>
          <w:wBefore w:w="4" w:type="dxa"/>
          <w:trHeight w:val="460" w:hRule="atLeast"/>
        </w:trPr>
        <w:tc>
          <w:tcPr>
            <w:tcW w:w="9221"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管理设备</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20</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收费电脑</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21</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车辆收费软件</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22</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附件</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23</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光纤收发器</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24</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8口千兆接入层交换机</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25</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24口千兆接入层交换机</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26</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调试对接费用</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r>
              <w:rPr>
                <w:rFonts w:hint="eastAsia" w:ascii="宋体" w:hAnsi="宋体" w:cs="宋体"/>
                <w:color w:val="000000"/>
                <w:sz w:val="20"/>
              </w:rPr>
              <w:t>1</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r>
              <w:rPr>
                <w:rFonts w:hint="eastAsia" w:ascii="宋体" w:hAnsi="宋体" w:cs="宋体"/>
                <w:color w:val="000000"/>
                <w:sz w:val="20"/>
              </w:rPr>
              <w:t>0</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27</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基础（道闸设备机箱等基础）</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r>
      <w:tr>
        <w:tblPrEx>
          <w:tblCellMar>
            <w:top w:w="0" w:type="dxa"/>
            <w:left w:w="0" w:type="dxa"/>
            <w:bottom w:w="0" w:type="dxa"/>
            <w:right w:w="0" w:type="dxa"/>
          </w:tblCellMar>
        </w:tblPrEx>
        <w:trPr>
          <w:gridBefore w:val="1"/>
          <w:wBefore w:w="4" w:type="dxa"/>
          <w:trHeight w:val="460" w:hRule="atLeast"/>
        </w:trPr>
        <w:tc>
          <w:tcPr>
            <w:tcW w:w="9221"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3、视频监控系统</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28</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微卡摄像机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29</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全局人脸摄像机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30</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人脸摄像机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31</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步态摄像机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32</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高空抛物网络摄像机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33</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彩色高清摄像机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72</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52</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34</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30</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200</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34</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彩色高清半球摄像机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35</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彩色高清电梯专用摄像机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36</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数字楼层显示器</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37</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网络传输器</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38</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200万轻智能警戒摄像机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61</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39</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消防占道球机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40</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摄像机 立竿</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22</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41</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视频解码器</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42</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32寸监视器</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43</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视频切换器</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44</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电源</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46</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45</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配套支架</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46</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管理电脑</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47</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操作台1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48</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配套附件</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r>
      <w:tr>
        <w:tblPrEx>
          <w:tblCellMar>
            <w:top w:w="0" w:type="dxa"/>
            <w:left w:w="0" w:type="dxa"/>
            <w:bottom w:w="0" w:type="dxa"/>
            <w:right w:w="0" w:type="dxa"/>
          </w:tblCellMar>
        </w:tblPrEx>
        <w:trPr>
          <w:gridBefore w:val="1"/>
          <w:wBefore w:w="4" w:type="dxa"/>
          <w:trHeight w:val="460" w:hRule="atLeast"/>
        </w:trPr>
        <w:tc>
          <w:tcPr>
            <w:tcW w:w="9221"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4、可视对讲系统</w:t>
            </w:r>
          </w:p>
        </w:tc>
      </w:tr>
      <w:tr>
        <w:tblPrEx>
          <w:tblCellMar>
            <w:top w:w="0" w:type="dxa"/>
            <w:left w:w="0" w:type="dxa"/>
            <w:bottom w:w="0" w:type="dxa"/>
            <w:right w:w="0" w:type="dxa"/>
          </w:tblCellMar>
        </w:tblPrEx>
        <w:trPr>
          <w:gridBefore w:val="1"/>
          <w:wBefore w:w="4" w:type="dxa"/>
          <w:trHeight w:val="460" w:hRule="atLeast"/>
        </w:trPr>
        <w:tc>
          <w:tcPr>
            <w:tcW w:w="9221"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4.1、住宅部分</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49</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人脸识别可视对讲主机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33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66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30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20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19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168</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50</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灵性锁(双门或单门，根据实际情况确定数量。包含双门和单门）</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33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66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30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20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19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168</w:t>
            </w:r>
          </w:p>
        </w:tc>
      </w:tr>
      <w:tr>
        <w:tblPrEx>
          <w:tblCellMar>
            <w:top w:w="0" w:type="dxa"/>
            <w:left w:w="0" w:type="dxa"/>
            <w:bottom w:w="0" w:type="dxa"/>
            <w:right w:w="0" w:type="dxa"/>
          </w:tblCellMar>
        </w:tblPrEx>
        <w:trPr>
          <w:gridBefore w:val="1"/>
          <w:wBefore w:w="4" w:type="dxa"/>
          <w:trHeight w:val="460" w:hRule="atLeast"/>
        </w:trPr>
        <w:tc>
          <w:tcPr>
            <w:tcW w:w="9221"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textAlignment w:val="center"/>
              <w:rPr>
                <w:rFonts w:ascii="宋体" w:hAnsi="宋体" w:cs="宋体"/>
                <w:color w:val="000000"/>
                <w:sz w:val="20"/>
              </w:rPr>
            </w:pPr>
            <w:r>
              <w:rPr>
                <w:rFonts w:hint="eastAsia" w:ascii="宋体" w:hAnsi="宋体" w:cs="宋体"/>
                <w:b/>
                <w:color w:val="000000"/>
                <w:sz w:val="20"/>
              </w:rPr>
              <w:t>4.2、住宅部分（设备网）</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51</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主机电源12V/2A</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33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66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30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20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19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168</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52</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闭门器(双门或单门，根据实际情况确定数量。包含双门和单门））</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33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66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30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20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19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168</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53</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专用锁电源</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33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66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30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20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19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168</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54</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16口百兆接入交换机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11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32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19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13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17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92</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55</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24口百兆接入交换机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16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25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44</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56</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8口千兆POE工业接入交换机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57</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8口千兆POE接入交换机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4" w:type="dxa"/>
          <w:trHeight w:val="40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58</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24口千兆接入层交换机</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w:t>
            </w:r>
          </w:p>
        </w:tc>
      </w:tr>
      <w:tr>
        <w:tblPrEx>
          <w:tblCellMar>
            <w:top w:w="0" w:type="dxa"/>
            <w:left w:w="0" w:type="dxa"/>
            <w:bottom w:w="0" w:type="dxa"/>
            <w:right w:w="0" w:type="dxa"/>
          </w:tblCellMar>
        </w:tblPrEx>
        <w:trPr>
          <w:gridBefore w:val="1"/>
          <w:wBefore w:w="4" w:type="dxa"/>
          <w:trHeight w:val="40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59</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24口千兆POE接入层交换机</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20</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51</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60</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千兆单模光模块</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20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11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58</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61</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单模光纤跳线</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20</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58</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62</w:t>
            </w:r>
          </w:p>
        </w:tc>
        <w:tc>
          <w:tcPr>
            <w:tcW w:w="28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12口光纤配线架</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20</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57</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63</w:t>
            </w:r>
          </w:p>
        </w:tc>
        <w:tc>
          <w:tcPr>
            <w:tcW w:w="28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双工耦合器</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20</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40</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22</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24</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116</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64</w:t>
            </w:r>
          </w:p>
        </w:tc>
        <w:tc>
          <w:tcPr>
            <w:tcW w:w="28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尾纤LC, 单模, 0.9mm, 1米</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80</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160</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88</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96</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40</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464</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65</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安防设备箱1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23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46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20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13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13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115</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66</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安防设备箱2</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20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11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53</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67</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室外安防设备箱</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68</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室内分机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403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972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267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199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329</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2170</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69</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分机电源</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89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185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64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45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70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453</w:t>
            </w:r>
          </w:p>
        </w:tc>
      </w:tr>
      <w:tr>
        <w:tblPrEx>
          <w:tblCellMar>
            <w:top w:w="0" w:type="dxa"/>
            <w:left w:w="0" w:type="dxa"/>
            <w:bottom w:w="0" w:type="dxa"/>
            <w:right w:w="0" w:type="dxa"/>
          </w:tblCellMar>
        </w:tblPrEx>
        <w:trPr>
          <w:gridBefore w:val="1"/>
          <w:wBefore w:w="4" w:type="dxa"/>
          <w:trHeight w:val="460" w:hRule="atLeast"/>
        </w:trPr>
        <w:tc>
          <w:tcPr>
            <w:tcW w:w="9221"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4.3、管理中心部分（设备网）</w:t>
            </w:r>
          </w:p>
        </w:tc>
      </w:tr>
      <w:tr>
        <w:tblPrEx>
          <w:tblCellMar>
            <w:top w:w="0" w:type="dxa"/>
            <w:left w:w="0" w:type="dxa"/>
            <w:bottom w:w="0" w:type="dxa"/>
            <w:right w:w="0" w:type="dxa"/>
          </w:tblCellMar>
        </w:tblPrEx>
        <w:trPr>
          <w:gridBefore w:val="1"/>
          <w:wBefore w:w="4" w:type="dxa"/>
          <w:trHeight w:val="465"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70</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4" w:type="dxa"/>
          <w:trHeight w:val="465"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71</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4" w:type="dxa"/>
          <w:trHeight w:val="53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72</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核心交换机3</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r>
      <w:tr>
        <w:tblPrEx>
          <w:tblCellMar>
            <w:top w:w="0" w:type="dxa"/>
            <w:left w:w="0" w:type="dxa"/>
            <w:bottom w:w="0" w:type="dxa"/>
            <w:right w:w="0" w:type="dxa"/>
          </w:tblCellMar>
        </w:tblPrEx>
        <w:trPr>
          <w:gridBefore w:val="1"/>
          <w:wBefore w:w="4" w:type="dxa"/>
          <w:trHeight w:val="53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73</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核心交换机4</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4" w:type="dxa"/>
          <w:trHeight w:val="52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74</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核心交换机5</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75</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堆叠电缆</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76</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千兆单模光模块</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20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11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58</w:t>
            </w:r>
          </w:p>
        </w:tc>
      </w:tr>
      <w:tr>
        <w:tblPrEx>
          <w:tblCellMar>
            <w:top w:w="0" w:type="dxa"/>
            <w:left w:w="0" w:type="dxa"/>
            <w:bottom w:w="0" w:type="dxa"/>
            <w:right w:w="0" w:type="dxa"/>
          </w:tblCellMar>
        </w:tblPrEx>
        <w:trPr>
          <w:gridBefore w:val="1"/>
          <w:wBefore w:w="4" w:type="dxa"/>
          <w:trHeight w:val="54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77</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千兆单模光模块</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78</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8口千兆接入层交换机</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4" w:type="dxa"/>
          <w:trHeight w:val="455"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79</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24口千兆接入层交换机</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80</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管理中心对讲主机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81</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存储设备1~64路NVR</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82</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存储设备2~32路NVR</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83</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硬盘2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17</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17</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24</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81</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84</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IC卡发行器</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85</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IC钥匙扣卡</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1209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2916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801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597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987</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6510</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86</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钥匙</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1209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2916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801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597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987</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6510</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87</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管理电脑</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88</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街道数据汇聚</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4" w:type="dxa"/>
          <w:trHeight w:val="465"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89</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汇聚交换机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90</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服务器</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91</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小区侧智慧安防管控软件</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92</w:t>
            </w:r>
          </w:p>
        </w:tc>
        <w:tc>
          <w:tcPr>
            <w:tcW w:w="28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光纤链路费</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93</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网络机柜1~42U</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94</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网络机柜2~24U</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95</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网络机柜3~6U</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96</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附材</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r>
      <w:tr>
        <w:tblPrEx>
          <w:tblCellMar>
            <w:top w:w="0" w:type="dxa"/>
            <w:left w:w="0" w:type="dxa"/>
            <w:bottom w:w="0" w:type="dxa"/>
            <w:right w:w="0" w:type="dxa"/>
          </w:tblCellMar>
        </w:tblPrEx>
        <w:trPr>
          <w:gridBefore w:val="1"/>
          <w:wBefore w:w="4" w:type="dxa"/>
          <w:trHeight w:val="460" w:hRule="atLeast"/>
        </w:trPr>
        <w:tc>
          <w:tcPr>
            <w:tcW w:w="9221"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5、智能感知系统</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97</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人脸摄像机带定向智能感知设备</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r>
      <w:tr>
        <w:tblPrEx>
          <w:tblCellMar>
            <w:top w:w="0" w:type="dxa"/>
            <w:left w:w="0" w:type="dxa"/>
            <w:bottom w:w="0" w:type="dxa"/>
            <w:right w:w="0" w:type="dxa"/>
          </w:tblCellMar>
        </w:tblPrEx>
        <w:trPr>
          <w:gridBefore w:val="1"/>
          <w:wBefore w:w="4" w:type="dxa"/>
          <w:trHeight w:val="460" w:hRule="atLeast"/>
        </w:trPr>
        <w:tc>
          <w:tcPr>
            <w:tcW w:w="9221"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6、入侵报警系统</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98</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中央控制器</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99</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主机键盘</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100</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监控软件</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101</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网络IP模块</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102</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D1类高能量SPD</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103</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四路网络模块</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104</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二路网络模块</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23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58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24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17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122</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105</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16路继电器</w:t>
            </w:r>
            <w:r>
              <w:rPr>
                <w:rStyle w:val="28"/>
                <w:rFonts w:hint="default"/>
                <w:sz w:val="24"/>
                <w:szCs w:val="24"/>
              </w:rPr>
              <w:t>输出控制器</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106</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32路继电器输出控制器</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107</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烟感探测器</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46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104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29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34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213</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108</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电源</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23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58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24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17 </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122</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109</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声光警号</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23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58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24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17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122</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110</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四道单防区控制杆（含底座）</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111</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四道双防区控制杆（含底座）</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26</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112</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交流电源24V</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31</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113</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避雷器</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15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57</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114</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中间支撑杆（含底座）</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65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83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90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55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95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388</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115</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终端受力杆（含底座）</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14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30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35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20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30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129</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116</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束线器</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144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192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192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144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240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912</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117</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转向滑轮</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20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64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64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16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176</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118</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张力收紧器</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36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48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48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36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60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228</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119</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张力弹簧</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36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48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48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36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60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228</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120</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多股张力线</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1300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1400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1600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900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1600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6800</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121</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警示牌</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26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35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38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14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40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153</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122</w:t>
            </w:r>
          </w:p>
        </w:tc>
        <w:tc>
          <w:tcPr>
            <w:tcW w:w="28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接地桩（含接地线）</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31</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123</w:t>
            </w:r>
          </w:p>
        </w:tc>
        <w:tc>
          <w:tcPr>
            <w:tcW w:w="28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304不锈钢防水箱</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31</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124</w:t>
            </w:r>
          </w:p>
        </w:tc>
        <w:tc>
          <w:tcPr>
            <w:tcW w:w="28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单防区模块</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57</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125</w:t>
            </w:r>
          </w:p>
        </w:tc>
        <w:tc>
          <w:tcPr>
            <w:tcW w:w="28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报警联动灯</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31</w:t>
            </w:r>
          </w:p>
        </w:tc>
      </w:tr>
      <w:tr>
        <w:tblPrEx>
          <w:tblCellMar>
            <w:top w:w="0" w:type="dxa"/>
            <w:left w:w="0" w:type="dxa"/>
            <w:bottom w:w="0" w:type="dxa"/>
            <w:right w:w="0" w:type="dxa"/>
          </w:tblCellMar>
        </w:tblPrEx>
        <w:trPr>
          <w:gridBefore w:val="1"/>
          <w:wBefore w:w="4" w:type="dxa"/>
          <w:trHeight w:val="460" w:hRule="atLeast"/>
        </w:trPr>
        <w:tc>
          <w:tcPr>
            <w:tcW w:w="9221"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7、街道平天侧扩容</w:t>
            </w:r>
          </w:p>
        </w:tc>
      </w:tr>
      <w:tr>
        <w:tblPrEx>
          <w:tblCellMar>
            <w:top w:w="0" w:type="dxa"/>
            <w:left w:w="0" w:type="dxa"/>
            <w:bottom w:w="0" w:type="dxa"/>
            <w:right w:w="0" w:type="dxa"/>
          </w:tblCellMar>
        </w:tblPrEx>
        <w:trPr>
          <w:gridBefore w:val="1"/>
          <w:wBefore w:w="4" w:type="dxa"/>
          <w:trHeight w:val="460" w:hRule="atLeast"/>
        </w:trPr>
        <w:tc>
          <w:tcPr>
            <w:tcW w:w="7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126</w:t>
            </w:r>
          </w:p>
        </w:tc>
        <w:tc>
          <w:tcPr>
            <w:tcW w:w="28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kern w:val="2"/>
                <w:sz w:val="20"/>
              </w:rPr>
            </w:pPr>
            <w:r>
              <w:rPr>
                <w:rFonts w:hint="eastAsia" w:ascii="宋体" w:hAnsi="宋体" w:cs="宋体"/>
                <w:color w:val="000000"/>
                <w:sz w:val="20"/>
              </w:rPr>
              <w:t>街道数据汇聚（标准平台）</w:t>
            </w:r>
          </w:p>
        </w:tc>
        <w:tc>
          <w:tcPr>
            <w:tcW w:w="5659"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4" w:type="dxa"/>
          <w:trHeight w:val="460" w:hRule="atLeast"/>
        </w:trPr>
        <w:tc>
          <w:tcPr>
            <w:tcW w:w="9221"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8、管线、安装、调试</w:t>
            </w:r>
          </w:p>
        </w:tc>
      </w:tr>
      <w:tr>
        <w:tblPrEx>
          <w:tblCellMar>
            <w:top w:w="0" w:type="dxa"/>
            <w:left w:w="108" w:type="dxa"/>
            <w:bottom w:w="0" w:type="dxa"/>
            <w:right w:w="108" w:type="dxa"/>
          </w:tblCellMar>
        </w:tblPrEx>
        <w:trPr>
          <w:wAfter w:w="0" w:type="auto"/>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序号</w:t>
            </w:r>
          </w:p>
        </w:tc>
        <w:tc>
          <w:tcPr>
            <w:tcW w:w="26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采购内容</w:t>
            </w:r>
          </w:p>
        </w:tc>
        <w:tc>
          <w:tcPr>
            <w:tcW w:w="3744"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规格要求</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单位</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数量</w:t>
            </w:r>
          </w:p>
        </w:tc>
      </w:tr>
      <w:tr>
        <w:tblPrEx>
          <w:tblCellMar>
            <w:top w:w="0" w:type="dxa"/>
            <w:left w:w="108" w:type="dxa"/>
            <w:bottom w:w="0" w:type="dxa"/>
            <w:right w:w="108" w:type="dxa"/>
          </w:tblCellMar>
        </w:tblPrEx>
        <w:trPr>
          <w:wAfter w:w="0" w:type="auto"/>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1</w:t>
            </w:r>
          </w:p>
        </w:tc>
        <w:tc>
          <w:tcPr>
            <w:tcW w:w="26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电缆保护管</w:t>
            </w:r>
          </w:p>
        </w:tc>
        <w:tc>
          <w:tcPr>
            <w:tcW w:w="3744"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镀锌钢管埋地敷设SC25</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m</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86.53</w:t>
            </w:r>
          </w:p>
        </w:tc>
      </w:tr>
      <w:tr>
        <w:tblPrEx>
          <w:tblCellMar>
            <w:top w:w="0" w:type="dxa"/>
            <w:left w:w="108" w:type="dxa"/>
            <w:bottom w:w="0" w:type="dxa"/>
            <w:right w:w="108" w:type="dxa"/>
          </w:tblCellMar>
        </w:tblPrEx>
        <w:trPr>
          <w:wAfter w:w="0" w:type="auto"/>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2</w:t>
            </w:r>
          </w:p>
        </w:tc>
        <w:tc>
          <w:tcPr>
            <w:tcW w:w="26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电缆保护管</w:t>
            </w:r>
          </w:p>
        </w:tc>
        <w:tc>
          <w:tcPr>
            <w:tcW w:w="3744"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镀锌钢管埋地敷设SC32</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m</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4.54</w:t>
            </w:r>
          </w:p>
        </w:tc>
      </w:tr>
      <w:tr>
        <w:tblPrEx>
          <w:tblCellMar>
            <w:top w:w="0" w:type="dxa"/>
            <w:left w:w="108" w:type="dxa"/>
            <w:bottom w:w="0" w:type="dxa"/>
            <w:right w:w="108" w:type="dxa"/>
          </w:tblCellMar>
        </w:tblPrEx>
        <w:trPr>
          <w:wAfter w:w="0" w:type="auto"/>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3</w:t>
            </w:r>
          </w:p>
        </w:tc>
        <w:tc>
          <w:tcPr>
            <w:tcW w:w="26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电缆保护管</w:t>
            </w:r>
          </w:p>
        </w:tc>
        <w:tc>
          <w:tcPr>
            <w:tcW w:w="3744"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镀锌钢管埋地敷设SC50</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m</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23.87</w:t>
            </w:r>
          </w:p>
        </w:tc>
      </w:tr>
      <w:tr>
        <w:tblPrEx>
          <w:tblCellMar>
            <w:top w:w="0" w:type="dxa"/>
            <w:left w:w="108" w:type="dxa"/>
            <w:bottom w:w="0" w:type="dxa"/>
            <w:right w:w="108" w:type="dxa"/>
          </w:tblCellMar>
        </w:tblPrEx>
        <w:trPr>
          <w:wAfter w:w="0" w:type="auto"/>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4</w:t>
            </w:r>
          </w:p>
        </w:tc>
        <w:tc>
          <w:tcPr>
            <w:tcW w:w="26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电缆保护管</w:t>
            </w:r>
          </w:p>
        </w:tc>
        <w:tc>
          <w:tcPr>
            <w:tcW w:w="3744"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镀锌钢管埋地敷设SC100</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m</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1.11</w:t>
            </w:r>
          </w:p>
        </w:tc>
      </w:tr>
      <w:tr>
        <w:tblPrEx>
          <w:tblCellMar>
            <w:top w:w="0" w:type="dxa"/>
            <w:left w:w="108" w:type="dxa"/>
            <w:bottom w:w="0" w:type="dxa"/>
            <w:right w:w="108" w:type="dxa"/>
          </w:tblCellMar>
        </w:tblPrEx>
        <w:trPr>
          <w:wAfter w:w="0" w:type="auto"/>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5</w:t>
            </w:r>
          </w:p>
        </w:tc>
        <w:tc>
          <w:tcPr>
            <w:tcW w:w="26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配管</w:t>
            </w:r>
          </w:p>
        </w:tc>
        <w:tc>
          <w:tcPr>
            <w:tcW w:w="3744"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砖、混凝土结构明配JDG管 JDG20</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m</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97.02</w:t>
            </w:r>
          </w:p>
        </w:tc>
      </w:tr>
      <w:tr>
        <w:tblPrEx>
          <w:tblCellMar>
            <w:top w:w="0" w:type="dxa"/>
            <w:left w:w="108" w:type="dxa"/>
            <w:bottom w:w="0" w:type="dxa"/>
            <w:right w:w="108" w:type="dxa"/>
          </w:tblCellMar>
        </w:tblPrEx>
        <w:trPr>
          <w:wAfter w:w="0" w:type="auto"/>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6</w:t>
            </w:r>
          </w:p>
        </w:tc>
        <w:tc>
          <w:tcPr>
            <w:tcW w:w="26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配管</w:t>
            </w:r>
          </w:p>
        </w:tc>
        <w:tc>
          <w:tcPr>
            <w:tcW w:w="3744"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砖、混凝土结构明配JDG管 JDG32</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m</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766.46</w:t>
            </w:r>
          </w:p>
        </w:tc>
      </w:tr>
      <w:tr>
        <w:tblPrEx>
          <w:tblCellMar>
            <w:top w:w="0" w:type="dxa"/>
            <w:left w:w="108" w:type="dxa"/>
            <w:bottom w:w="0" w:type="dxa"/>
            <w:right w:w="108" w:type="dxa"/>
          </w:tblCellMar>
        </w:tblPrEx>
        <w:trPr>
          <w:wAfter w:w="0" w:type="auto"/>
          <w:trHeight w:val="57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7</w:t>
            </w:r>
          </w:p>
        </w:tc>
        <w:tc>
          <w:tcPr>
            <w:tcW w:w="26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配管</w:t>
            </w:r>
          </w:p>
        </w:tc>
        <w:tc>
          <w:tcPr>
            <w:tcW w:w="3744"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砖、混凝土结构明配刚性阻燃管 PVC25</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m</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6698.79</w:t>
            </w:r>
          </w:p>
        </w:tc>
      </w:tr>
      <w:tr>
        <w:tblPrEx>
          <w:tblCellMar>
            <w:top w:w="0" w:type="dxa"/>
            <w:left w:w="108" w:type="dxa"/>
            <w:bottom w:w="0" w:type="dxa"/>
            <w:right w:w="108" w:type="dxa"/>
          </w:tblCellMar>
        </w:tblPrEx>
        <w:trPr>
          <w:wAfter w:w="0" w:type="auto"/>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8</w:t>
            </w:r>
          </w:p>
        </w:tc>
        <w:tc>
          <w:tcPr>
            <w:tcW w:w="26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配管</w:t>
            </w:r>
          </w:p>
        </w:tc>
        <w:tc>
          <w:tcPr>
            <w:tcW w:w="3744"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埋地敷设半硬质塑料管 PE20</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m</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29.11</w:t>
            </w:r>
          </w:p>
        </w:tc>
      </w:tr>
      <w:tr>
        <w:tblPrEx>
          <w:tblCellMar>
            <w:top w:w="0" w:type="dxa"/>
            <w:left w:w="108" w:type="dxa"/>
            <w:bottom w:w="0" w:type="dxa"/>
            <w:right w:w="108" w:type="dxa"/>
          </w:tblCellMar>
        </w:tblPrEx>
        <w:trPr>
          <w:wAfter w:w="0" w:type="auto"/>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9</w:t>
            </w:r>
          </w:p>
        </w:tc>
        <w:tc>
          <w:tcPr>
            <w:tcW w:w="26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配管</w:t>
            </w:r>
          </w:p>
        </w:tc>
        <w:tc>
          <w:tcPr>
            <w:tcW w:w="3744"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埋地敷设半硬质塑料管 PE25</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m</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76.67</w:t>
            </w:r>
          </w:p>
        </w:tc>
      </w:tr>
      <w:tr>
        <w:tblPrEx>
          <w:tblCellMar>
            <w:top w:w="0" w:type="dxa"/>
            <w:left w:w="108" w:type="dxa"/>
            <w:bottom w:w="0" w:type="dxa"/>
            <w:right w:w="108" w:type="dxa"/>
          </w:tblCellMar>
        </w:tblPrEx>
        <w:trPr>
          <w:wAfter w:w="0" w:type="auto"/>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10</w:t>
            </w:r>
          </w:p>
        </w:tc>
        <w:tc>
          <w:tcPr>
            <w:tcW w:w="26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配管</w:t>
            </w:r>
          </w:p>
        </w:tc>
        <w:tc>
          <w:tcPr>
            <w:tcW w:w="3744"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埋地敷设半硬质塑料管 PE32</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m</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138.43</w:t>
            </w:r>
          </w:p>
        </w:tc>
      </w:tr>
      <w:tr>
        <w:tblPrEx>
          <w:tblCellMar>
            <w:top w:w="0" w:type="dxa"/>
            <w:left w:w="108" w:type="dxa"/>
            <w:bottom w:w="0" w:type="dxa"/>
            <w:right w:w="108" w:type="dxa"/>
          </w:tblCellMar>
        </w:tblPrEx>
        <w:trPr>
          <w:wAfter w:w="0" w:type="auto"/>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11</w:t>
            </w:r>
          </w:p>
        </w:tc>
        <w:tc>
          <w:tcPr>
            <w:tcW w:w="26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配管</w:t>
            </w:r>
          </w:p>
        </w:tc>
        <w:tc>
          <w:tcPr>
            <w:tcW w:w="3744"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埋地敷设半硬质塑料管 PE50</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m</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115.26</w:t>
            </w:r>
          </w:p>
        </w:tc>
      </w:tr>
      <w:tr>
        <w:tblPrEx>
          <w:tblCellMar>
            <w:top w:w="0" w:type="dxa"/>
            <w:left w:w="108" w:type="dxa"/>
            <w:bottom w:w="0" w:type="dxa"/>
            <w:right w:w="108" w:type="dxa"/>
          </w:tblCellMar>
        </w:tblPrEx>
        <w:trPr>
          <w:wAfter w:w="0" w:type="auto"/>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12</w:t>
            </w:r>
          </w:p>
        </w:tc>
        <w:tc>
          <w:tcPr>
            <w:tcW w:w="26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配管</w:t>
            </w:r>
          </w:p>
        </w:tc>
        <w:tc>
          <w:tcPr>
            <w:tcW w:w="3744"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埋地敷设半硬质塑料管 PE100</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m</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92.56</w:t>
            </w:r>
          </w:p>
        </w:tc>
      </w:tr>
      <w:tr>
        <w:tblPrEx>
          <w:tblCellMar>
            <w:top w:w="0" w:type="dxa"/>
            <w:left w:w="108" w:type="dxa"/>
            <w:bottom w:w="0" w:type="dxa"/>
            <w:right w:w="108" w:type="dxa"/>
          </w:tblCellMar>
        </w:tblPrEx>
        <w:trPr>
          <w:wAfter w:w="0" w:type="auto"/>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13</w:t>
            </w:r>
          </w:p>
        </w:tc>
        <w:tc>
          <w:tcPr>
            <w:tcW w:w="26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双绞线缆</w:t>
            </w:r>
          </w:p>
        </w:tc>
        <w:tc>
          <w:tcPr>
            <w:tcW w:w="3744"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双绞线缆 管内穿放CAT6(室外型)</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m</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3853.63</w:t>
            </w:r>
          </w:p>
        </w:tc>
      </w:tr>
      <w:tr>
        <w:tblPrEx>
          <w:tblCellMar>
            <w:top w:w="0" w:type="dxa"/>
            <w:left w:w="108" w:type="dxa"/>
            <w:bottom w:w="0" w:type="dxa"/>
            <w:right w:w="108" w:type="dxa"/>
          </w:tblCellMar>
        </w:tblPrEx>
        <w:trPr>
          <w:wAfter w:w="0" w:type="auto"/>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14</w:t>
            </w:r>
          </w:p>
        </w:tc>
        <w:tc>
          <w:tcPr>
            <w:tcW w:w="26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双绞线缆</w:t>
            </w:r>
          </w:p>
        </w:tc>
        <w:tc>
          <w:tcPr>
            <w:tcW w:w="3744"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双绞线缆 管内穿放CAT6</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m</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1484.41</w:t>
            </w:r>
          </w:p>
        </w:tc>
      </w:tr>
      <w:tr>
        <w:tblPrEx>
          <w:tblCellMar>
            <w:top w:w="0" w:type="dxa"/>
            <w:left w:w="108" w:type="dxa"/>
            <w:bottom w:w="0" w:type="dxa"/>
            <w:right w:w="108" w:type="dxa"/>
          </w:tblCellMar>
        </w:tblPrEx>
        <w:trPr>
          <w:wAfter w:w="0" w:type="auto"/>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15</w:t>
            </w:r>
          </w:p>
        </w:tc>
        <w:tc>
          <w:tcPr>
            <w:tcW w:w="26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双绞线缆</w:t>
            </w:r>
          </w:p>
        </w:tc>
        <w:tc>
          <w:tcPr>
            <w:tcW w:w="3744"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双绞线缆 管内穿放CAT5E</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m</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22566.85</w:t>
            </w:r>
          </w:p>
        </w:tc>
      </w:tr>
      <w:tr>
        <w:tblPrEx>
          <w:tblCellMar>
            <w:top w:w="0" w:type="dxa"/>
            <w:left w:w="108" w:type="dxa"/>
            <w:bottom w:w="0" w:type="dxa"/>
            <w:right w:w="108" w:type="dxa"/>
          </w:tblCellMar>
        </w:tblPrEx>
        <w:trPr>
          <w:wAfter w:w="0" w:type="auto"/>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16</w:t>
            </w:r>
          </w:p>
        </w:tc>
        <w:tc>
          <w:tcPr>
            <w:tcW w:w="26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控制电缆</w:t>
            </w:r>
          </w:p>
        </w:tc>
        <w:tc>
          <w:tcPr>
            <w:tcW w:w="3744"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控制电缆敷设 KVVR2*1.5</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m</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1015.02</w:t>
            </w:r>
          </w:p>
        </w:tc>
      </w:tr>
      <w:tr>
        <w:tblPrEx>
          <w:tblCellMar>
            <w:top w:w="0" w:type="dxa"/>
            <w:left w:w="108" w:type="dxa"/>
            <w:bottom w:w="0" w:type="dxa"/>
            <w:right w:w="108" w:type="dxa"/>
          </w:tblCellMar>
        </w:tblPrEx>
        <w:trPr>
          <w:wAfter w:w="0" w:type="auto"/>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17</w:t>
            </w:r>
          </w:p>
        </w:tc>
        <w:tc>
          <w:tcPr>
            <w:tcW w:w="26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控制电缆</w:t>
            </w:r>
          </w:p>
        </w:tc>
        <w:tc>
          <w:tcPr>
            <w:tcW w:w="3744"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控制电缆敷设 KVVR2*1.0</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m</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246.82</w:t>
            </w:r>
          </w:p>
        </w:tc>
      </w:tr>
      <w:tr>
        <w:tblPrEx>
          <w:tblCellMar>
            <w:top w:w="0" w:type="dxa"/>
            <w:left w:w="108" w:type="dxa"/>
            <w:bottom w:w="0" w:type="dxa"/>
            <w:right w:w="108" w:type="dxa"/>
          </w:tblCellMar>
        </w:tblPrEx>
        <w:trPr>
          <w:wAfter w:w="0" w:type="auto"/>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18</w:t>
            </w:r>
          </w:p>
        </w:tc>
        <w:tc>
          <w:tcPr>
            <w:tcW w:w="26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配线</w:t>
            </w:r>
          </w:p>
        </w:tc>
        <w:tc>
          <w:tcPr>
            <w:tcW w:w="3744"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四芯单芯导线 RVV4*1.0</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m</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1009.01</w:t>
            </w:r>
          </w:p>
        </w:tc>
      </w:tr>
      <w:tr>
        <w:tblPrEx>
          <w:tblCellMar>
            <w:top w:w="0" w:type="dxa"/>
            <w:left w:w="108" w:type="dxa"/>
            <w:bottom w:w="0" w:type="dxa"/>
            <w:right w:w="108" w:type="dxa"/>
          </w:tblCellMar>
        </w:tblPrEx>
        <w:trPr>
          <w:wAfter w:w="0" w:type="auto"/>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19</w:t>
            </w:r>
          </w:p>
        </w:tc>
        <w:tc>
          <w:tcPr>
            <w:tcW w:w="26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配线</w:t>
            </w:r>
          </w:p>
        </w:tc>
        <w:tc>
          <w:tcPr>
            <w:tcW w:w="3744"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二芯单芯导线 RVV2*1.0</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m</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21654.86</w:t>
            </w:r>
          </w:p>
        </w:tc>
      </w:tr>
      <w:tr>
        <w:tblPrEx>
          <w:tblCellMar>
            <w:top w:w="0" w:type="dxa"/>
            <w:left w:w="108" w:type="dxa"/>
            <w:bottom w:w="0" w:type="dxa"/>
            <w:right w:w="108" w:type="dxa"/>
          </w:tblCellMar>
        </w:tblPrEx>
        <w:trPr>
          <w:wAfter w:w="0" w:type="auto"/>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20</w:t>
            </w:r>
          </w:p>
        </w:tc>
        <w:tc>
          <w:tcPr>
            <w:tcW w:w="26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光缆</w:t>
            </w:r>
          </w:p>
        </w:tc>
        <w:tc>
          <w:tcPr>
            <w:tcW w:w="3744"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室外四芯单模光纤安装</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m</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3560.83</w:t>
            </w:r>
          </w:p>
        </w:tc>
      </w:tr>
      <w:tr>
        <w:tblPrEx>
          <w:tblCellMar>
            <w:top w:w="0" w:type="dxa"/>
            <w:left w:w="108" w:type="dxa"/>
            <w:bottom w:w="0" w:type="dxa"/>
            <w:right w:w="108" w:type="dxa"/>
          </w:tblCellMar>
        </w:tblPrEx>
        <w:trPr>
          <w:wAfter w:w="0" w:type="auto"/>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21</w:t>
            </w:r>
          </w:p>
        </w:tc>
        <w:tc>
          <w:tcPr>
            <w:tcW w:w="26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电力电缆</w:t>
            </w:r>
          </w:p>
        </w:tc>
        <w:tc>
          <w:tcPr>
            <w:tcW w:w="3744"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铜芯电力电缆敷设 YJV-3*2.5</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m</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569.12</w:t>
            </w:r>
          </w:p>
        </w:tc>
      </w:tr>
      <w:tr>
        <w:tblPrEx>
          <w:tblCellMar>
            <w:top w:w="0" w:type="dxa"/>
            <w:left w:w="108" w:type="dxa"/>
            <w:bottom w:w="0" w:type="dxa"/>
            <w:right w:w="108" w:type="dxa"/>
          </w:tblCellMar>
        </w:tblPrEx>
        <w:trPr>
          <w:wAfter w:w="0" w:type="auto"/>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22</w:t>
            </w:r>
          </w:p>
        </w:tc>
        <w:tc>
          <w:tcPr>
            <w:tcW w:w="26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打洞（孔）</w:t>
            </w:r>
          </w:p>
        </w:tc>
        <w:tc>
          <w:tcPr>
            <w:tcW w:w="3744"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墙面入户管打孔</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个</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2170</w:t>
            </w:r>
          </w:p>
        </w:tc>
      </w:tr>
      <w:tr>
        <w:tblPrEx>
          <w:tblCellMar>
            <w:top w:w="0" w:type="dxa"/>
            <w:left w:w="108" w:type="dxa"/>
            <w:bottom w:w="0" w:type="dxa"/>
            <w:right w:w="108" w:type="dxa"/>
          </w:tblCellMar>
        </w:tblPrEx>
        <w:trPr>
          <w:wAfter w:w="0" w:type="auto"/>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23</w:t>
            </w:r>
          </w:p>
        </w:tc>
        <w:tc>
          <w:tcPr>
            <w:tcW w:w="26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电力电缆</w:t>
            </w:r>
          </w:p>
        </w:tc>
        <w:tc>
          <w:tcPr>
            <w:tcW w:w="3744"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铜芯电力电缆敷设 YJV-3*4</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m</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185.11</w:t>
            </w:r>
          </w:p>
        </w:tc>
      </w:tr>
      <w:tr>
        <w:tblPrEx>
          <w:tblCellMar>
            <w:top w:w="0" w:type="dxa"/>
            <w:left w:w="108" w:type="dxa"/>
            <w:bottom w:w="0" w:type="dxa"/>
            <w:right w:w="108" w:type="dxa"/>
          </w:tblCellMar>
        </w:tblPrEx>
        <w:trPr>
          <w:wAfter w:w="0" w:type="auto"/>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24</w:t>
            </w:r>
          </w:p>
        </w:tc>
        <w:tc>
          <w:tcPr>
            <w:tcW w:w="26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手孔井</w:t>
            </w:r>
          </w:p>
        </w:tc>
        <w:tc>
          <w:tcPr>
            <w:tcW w:w="3744"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弱电手孔井 600*600*700</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个</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25</w:t>
            </w:r>
          </w:p>
        </w:tc>
      </w:tr>
      <w:tr>
        <w:tblPrEx>
          <w:tblCellMar>
            <w:top w:w="0" w:type="dxa"/>
            <w:left w:w="108" w:type="dxa"/>
            <w:bottom w:w="0" w:type="dxa"/>
            <w:right w:w="108" w:type="dxa"/>
          </w:tblCellMar>
        </w:tblPrEx>
        <w:trPr>
          <w:wAfter w:w="0" w:type="auto"/>
          <w:trHeight w:val="57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25</w:t>
            </w:r>
          </w:p>
        </w:tc>
        <w:tc>
          <w:tcPr>
            <w:tcW w:w="26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挖沟槽土方</w:t>
            </w:r>
          </w:p>
        </w:tc>
        <w:tc>
          <w:tcPr>
            <w:tcW w:w="3744"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绿化下素土开挖：人机配合挖沟槽土方不装车，土方类别综合考虑</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m3</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55.32</w:t>
            </w:r>
          </w:p>
        </w:tc>
      </w:tr>
      <w:tr>
        <w:tblPrEx>
          <w:tblCellMar>
            <w:top w:w="0" w:type="dxa"/>
            <w:left w:w="108" w:type="dxa"/>
            <w:bottom w:w="0" w:type="dxa"/>
            <w:right w:w="108" w:type="dxa"/>
          </w:tblCellMar>
        </w:tblPrEx>
        <w:trPr>
          <w:wAfter w:w="0" w:type="auto"/>
          <w:trHeight w:val="57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26</w:t>
            </w:r>
          </w:p>
        </w:tc>
        <w:tc>
          <w:tcPr>
            <w:tcW w:w="26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挖沟槽土方</w:t>
            </w:r>
          </w:p>
        </w:tc>
        <w:tc>
          <w:tcPr>
            <w:tcW w:w="3744"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道路结构下开挖塘渣：人机配合挖沟槽四类土不装车</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m3</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6.15</w:t>
            </w:r>
          </w:p>
        </w:tc>
      </w:tr>
      <w:tr>
        <w:tblPrEx>
          <w:tblCellMar>
            <w:top w:w="0" w:type="dxa"/>
            <w:left w:w="108" w:type="dxa"/>
            <w:bottom w:w="0" w:type="dxa"/>
            <w:right w:w="108" w:type="dxa"/>
          </w:tblCellMar>
        </w:tblPrEx>
        <w:trPr>
          <w:wAfter w:w="0" w:type="auto"/>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27</w:t>
            </w:r>
          </w:p>
        </w:tc>
        <w:tc>
          <w:tcPr>
            <w:tcW w:w="26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拆除路面</w:t>
            </w:r>
          </w:p>
        </w:tc>
        <w:tc>
          <w:tcPr>
            <w:tcW w:w="3744"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混凝土路面开挖及修复</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m2</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27.94</w:t>
            </w:r>
          </w:p>
        </w:tc>
      </w:tr>
      <w:tr>
        <w:tblPrEx>
          <w:tblCellMar>
            <w:top w:w="0" w:type="dxa"/>
            <w:left w:w="108" w:type="dxa"/>
            <w:bottom w:w="0" w:type="dxa"/>
            <w:right w:w="108" w:type="dxa"/>
          </w:tblCellMar>
        </w:tblPrEx>
        <w:trPr>
          <w:wAfter w:w="0" w:type="auto"/>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28</w:t>
            </w:r>
          </w:p>
        </w:tc>
        <w:tc>
          <w:tcPr>
            <w:tcW w:w="26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回填方</w:t>
            </w:r>
          </w:p>
        </w:tc>
        <w:tc>
          <w:tcPr>
            <w:tcW w:w="3744"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沟槽原土回填</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m3</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36.32</w:t>
            </w:r>
          </w:p>
        </w:tc>
      </w:tr>
      <w:tr>
        <w:tblPrEx>
          <w:tblCellMar>
            <w:top w:w="0" w:type="dxa"/>
            <w:left w:w="108" w:type="dxa"/>
            <w:bottom w:w="0" w:type="dxa"/>
            <w:right w:w="108" w:type="dxa"/>
          </w:tblCellMar>
        </w:tblPrEx>
        <w:trPr>
          <w:wAfter w:w="0" w:type="auto"/>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29</w:t>
            </w:r>
          </w:p>
        </w:tc>
        <w:tc>
          <w:tcPr>
            <w:tcW w:w="26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回填方</w:t>
            </w:r>
          </w:p>
        </w:tc>
        <w:tc>
          <w:tcPr>
            <w:tcW w:w="3744"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沟槽机制砂回填</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m3</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10.06</w:t>
            </w:r>
          </w:p>
        </w:tc>
      </w:tr>
      <w:tr>
        <w:tblPrEx>
          <w:tblCellMar>
            <w:top w:w="0" w:type="dxa"/>
            <w:left w:w="108" w:type="dxa"/>
            <w:bottom w:w="0" w:type="dxa"/>
            <w:right w:w="108" w:type="dxa"/>
          </w:tblCellMar>
        </w:tblPrEx>
        <w:trPr>
          <w:wAfter w:w="0" w:type="auto"/>
          <w:trHeight w:val="450" w:hRule="atLeast"/>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30</w:t>
            </w:r>
          </w:p>
        </w:tc>
        <w:tc>
          <w:tcPr>
            <w:tcW w:w="26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回填方</w:t>
            </w:r>
          </w:p>
        </w:tc>
        <w:tc>
          <w:tcPr>
            <w:tcW w:w="3744"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渠（管）道垫层 机制砂</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m3</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0"/>
              </w:rPr>
            </w:pPr>
            <w:r>
              <w:rPr>
                <w:rFonts w:hint="eastAsia" w:ascii="宋体" w:hAnsi="宋体" w:cs="宋体"/>
                <w:color w:val="000000"/>
                <w:sz w:val="20"/>
              </w:rPr>
              <w:t>20.12</w:t>
            </w:r>
          </w:p>
        </w:tc>
      </w:tr>
    </w:tbl>
    <w:p>
      <w:pPr>
        <w:spacing w:line="360" w:lineRule="auto"/>
        <w:rPr>
          <w:rFonts w:hint="eastAsia"/>
          <w:b/>
          <w:bCs/>
        </w:rPr>
        <w:sectPr>
          <w:footerReference r:id="rId8" w:type="default"/>
          <w:pgSz w:w="11907" w:h="16840"/>
          <w:pgMar w:top="1418" w:right="1077" w:bottom="1418" w:left="1106" w:header="720" w:footer="720" w:gutter="0"/>
          <w:pgBorders>
            <w:top w:val="none" w:sz="0" w:space="0"/>
            <w:left w:val="none" w:sz="0" w:space="0"/>
            <w:bottom w:val="none" w:sz="0" w:space="0"/>
            <w:right w:val="none" w:sz="0" w:space="0"/>
          </w:pgBorders>
          <w:pgNumType w:start="1"/>
          <w:cols w:space="720" w:num="1"/>
          <w:docGrid w:type="lines" w:linePitch="286" w:charSpace="0"/>
        </w:sectPr>
      </w:pPr>
    </w:p>
    <w:p>
      <w:pPr>
        <w:spacing w:line="360" w:lineRule="auto"/>
        <w:rPr>
          <w:rFonts w:hint="eastAsia"/>
          <w:b/>
          <w:bCs/>
        </w:rPr>
      </w:pPr>
    </w:p>
    <w:p>
      <w:pPr>
        <w:spacing w:line="360" w:lineRule="auto"/>
        <w:rPr>
          <w:rFonts w:eastAsia="宋体"/>
          <w:b/>
          <w:bCs/>
        </w:rPr>
      </w:pPr>
      <w:r>
        <w:rPr>
          <w:rFonts w:hint="eastAsia"/>
          <w:b/>
          <w:bCs/>
        </w:rPr>
        <w:t>西门街道各街道设备配置清单</w:t>
      </w:r>
    </w:p>
    <w:tbl>
      <w:tblPr>
        <w:tblStyle w:val="14"/>
        <w:tblW w:w="13516" w:type="dxa"/>
        <w:tblInd w:w="0" w:type="dxa"/>
        <w:tblLayout w:type="fixed"/>
        <w:tblCellMar>
          <w:top w:w="0" w:type="dxa"/>
          <w:left w:w="0" w:type="dxa"/>
          <w:bottom w:w="0" w:type="dxa"/>
          <w:right w:w="0" w:type="dxa"/>
        </w:tblCellMar>
      </w:tblPr>
      <w:tblGrid>
        <w:gridCol w:w="6"/>
        <w:gridCol w:w="376"/>
        <w:gridCol w:w="220"/>
        <w:gridCol w:w="1741"/>
        <w:gridCol w:w="445"/>
        <w:gridCol w:w="239"/>
        <w:gridCol w:w="565"/>
        <w:gridCol w:w="506"/>
        <w:gridCol w:w="684"/>
        <w:gridCol w:w="684"/>
        <w:gridCol w:w="535"/>
        <w:gridCol w:w="669"/>
        <w:gridCol w:w="699"/>
        <w:gridCol w:w="723"/>
        <w:gridCol w:w="1056"/>
        <w:gridCol w:w="610"/>
        <w:gridCol w:w="586"/>
        <w:gridCol w:w="425"/>
        <w:gridCol w:w="229"/>
        <w:gridCol w:w="670"/>
        <w:gridCol w:w="470"/>
        <w:gridCol w:w="229"/>
        <w:gridCol w:w="1006"/>
        <w:gridCol w:w="143"/>
      </w:tblGrid>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textAlignment w:val="center"/>
              <w:rPr>
                <w:rFonts w:ascii="宋体" w:hAnsi="宋体" w:cs="宋体"/>
                <w:color w:val="000000"/>
                <w:sz w:val="16"/>
                <w:szCs w:val="16"/>
              </w:rPr>
            </w:pPr>
            <w:r>
              <w:rPr>
                <w:rFonts w:hint="eastAsia" w:ascii="宋体" w:hAnsi="宋体" w:cs="宋体"/>
                <w:color w:val="000000"/>
                <w:sz w:val="16"/>
                <w:szCs w:val="16"/>
              </w:rPr>
              <w:t>序号</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textAlignment w:val="center"/>
              <w:rPr>
                <w:rFonts w:ascii="宋体" w:hAnsi="宋体" w:cs="宋体"/>
                <w:color w:val="000000"/>
                <w:sz w:val="20"/>
              </w:rPr>
            </w:pPr>
            <w:r>
              <w:rPr>
                <w:rFonts w:hint="eastAsia" w:ascii="宋体" w:hAnsi="宋体" w:cs="宋体"/>
                <w:color w:val="000000"/>
                <w:sz w:val="20"/>
              </w:rPr>
              <w:t>设备名称</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textAlignment w:val="center"/>
              <w:rPr>
                <w:rFonts w:ascii="宋体" w:hAnsi="宋体" w:cs="宋体"/>
                <w:color w:val="000000"/>
                <w:sz w:val="16"/>
                <w:szCs w:val="16"/>
              </w:rPr>
            </w:pPr>
            <w:r>
              <w:rPr>
                <w:rFonts w:hint="eastAsia" w:ascii="宋体" w:hAnsi="宋体" w:cs="宋体"/>
                <w:color w:val="000000"/>
                <w:sz w:val="16"/>
                <w:szCs w:val="16"/>
              </w:rPr>
              <w:t>东方花园</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textAlignment w:val="center"/>
              <w:rPr>
                <w:rFonts w:ascii="宋体" w:hAnsi="宋体" w:cs="宋体"/>
                <w:color w:val="000000"/>
                <w:sz w:val="16"/>
                <w:szCs w:val="16"/>
              </w:rPr>
            </w:pPr>
            <w:r>
              <w:rPr>
                <w:rFonts w:hint="eastAsia" w:ascii="宋体" w:hAnsi="宋体" w:cs="宋体"/>
                <w:color w:val="000000"/>
                <w:sz w:val="16"/>
                <w:szCs w:val="16"/>
              </w:rPr>
              <w:t>白鹭园小区</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textAlignment w:val="center"/>
              <w:rPr>
                <w:rFonts w:ascii="宋体" w:hAnsi="宋体" w:cs="宋体"/>
                <w:color w:val="000000"/>
                <w:sz w:val="16"/>
                <w:szCs w:val="16"/>
              </w:rPr>
            </w:pPr>
            <w:r>
              <w:rPr>
                <w:rFonts w:hint="eastAsia" w:ascii="宋体" w:hAnsi="宋体" w:cs="宋体"/>
                <w:color w:val="000000"/>
                <w:sz w:val="16"/>
                <w:szCs w:val="16"/>
              </w:rPr>
              <w:t>高塘怡景苑</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textAlignment w:val="center"/>
              <w:rPr>
                <w:rFonts w:ascii="宋体" w:hAnsi="宋体" w:cs="宋体"/>
                <w:color w:val="000000"/>
                <w:sz w:val="16"/>
                <w:szCs w:val="16"/>
              </w:rPr>
            </w:pPr>
            <w:r>
              <w:rPr>
                <w:rFonts w:hint="eastAsia" w:ascii="宋体" w:hAnsi="宋体" w:cs="宋体"/>
                <w:color w:val="000000"/>
                <w:sz w:val="16"/>
                <w:szCs w:val="16"/>
              </w:rPr>
              <w:t>高塘人家</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textAlignment w:val="center"/>
              <w:rPr>
                <w:rFonts w:ascii="宋体" w:hAnsi="宋体" w:cs="宋体"/>
                <w:color w:val="000000"/>
                <w:sz w:val="16"/>
                <w:szCs w:val="16"/>
              </w:rPr>
            </w:pPr>
            <w:r>
              <w:rPr>
                <w:rFonts w:hint="eastAsia" w:ascii="宋体" w:hAnsi="宋体" w:cs="宋体"/>
                <w:color w:val="000000"/>
                <w:sz w:val="16"/>
                <w:szCs w:val="16"/>
              </w:rPr>
              <w:t>望京人文</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textAlignment w:val="center"/>
              <w:rPr>
                <w:rFonts w:ascii="宋体" w:hAnsi="宋体" w:cs="宋体"/>
                <w:color w:val="000000"/>
                <w:sz w:val="16"/>
                <w:szCs w:val="16"/>
              </w:rPr>
            </w:pPr>
            <w:r>
              <w:rPr>
                <w:rFonts w:hint="eastAsia" w:ascii="宋体" w:hAnsi="宋体" w:cs="宋体"/>
                <w:color w:val="000000"/>
                <w:sz w:val="16"/>
                <w:szCs w:val="16"/>
              </w:rPr>
              <w:t>新高路47弄</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textAlignment w:val="center"/>
              <w:rPr>
                <w:rFonts w:ascii="宋体" w:hAnsi="宋体" w:cs="宋体"/>
                <w:color w:val="000000"/>
                <w:sz w:val="16"/>
                <w:szCs w:val="16"/>
              </w:rPr>
            </w:pPr>
            <w:r>
              <w:rPr>
                <w:rFonts w:hint="eastAsia" w:ascii="宋体" w:hAnsi="宋体" w:cs="宋体"/>
                <w:color w:val="000000"/>
                <w:sz w:val="16"/>
                <w:szCs w:val="16"/>
              </w:rPr>
              <w:t>人丰小区</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textAlignment w:val="center"/>
              <w:rPr>
                <w:rFonts w:ascii="宋体" w:hAnsi="宋体" w:cs="宋体"/>
                <w:color w:val="000000"/>
                <w:sz w:val="16"/>
                <w:szCs w:val="16"/>
              </w:rPr>
            </w:pPr>
            <w:r>
              <w:rPr>
                <w:rFonts w:hint="eastAsia" w:ascii="宋体" w:hAnsi="宋体" w:cs="宋体"/>
                <w:color w:val="000000"/>
                <w:sz w:val="16"/>
                <w:szCs w:val="16"/>
              </w:rPr>
              <w:t>高塘公寓</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textAlignment w:val="center"/>
              <w:rPr>
                <w:rFonts w:ascii="宋体" w:hAnsi="宋体" w:cs="宋体"/>
                <w:color w:val="000000"/>
                <w:sz w:val="16"/>
                <w:szCs w:val="16"/>
              </w:rPr>
            </w:pPr>
            <w:r>
              <w:rPr>
                <w:rFonts w:hint="eastAsia" w:ascii="宋体" w:hAnsi="宋体" w:cs="宋体"/>
                <w:color w:val="000000"/>
                <w:sz w:val="16"/>
                <w:szCs w:val="16"/>
              </w:rPr>
              <w:t>汪弄</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textAlignment w:val="center"/>
              <w:rPr>
                <w:rFonts w:ascii="宋体" w:hAnsi="宋体" w:cs="宋体"/>
                <w:color w:val="000000"/>
                <w:sz w:val="16"/>
                <w:szCs w:val="16"/>
              </w:rPr>
            </w:pPr>
            <w:r>
              <w:rPr>
                <w:rFonts w:hint="eastAsia" w:ascii="宋体" w:hAnsi="宋体" w:cs="宋体"/>
                <w:color w:val="000000"/>
                <w:sz w:val="16"/>
                <w:szCs w:val="16"/>
              </w:rPr>
              <w:t>龙成翠柏花园(西湾路69弄)</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textAlignment w:val="center"/>
              <w:rPr>
                <w:rFonts w:ascii="宋体" w:hAnsi="宋体" w:cs="宋体"/>
                <w:color w:val="000000"/>
                <w:sz w:val="16"/>
                <w:szCs w:val="16"/>
              </w:rPr>
            </w:pPr>
            <w:r>
              <w:rPr>
                <w:rFonts w:hint="eastAsia" w:ascii="宋体" w:hAnsi="宋体" w:cs="宋体"/>
                <w:color w:val="000000"/>
                <w:sz w:val="16"/>
                <w:szCs w:val="16"/>
              </w:rPr>
              <w:t>西河花园</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textAlignment w:val="center"/>
              <w:rPr>
                <w:rFonts w:ascii="宋体" w:hAnsi="宋体" w:cs="宋体"/>
                <w:color w:val="000000"/>
                <w:sz w:val="16"/>
                <w:szCs w:val="16"/>
              </w:rPr>
            </w:pPr>
            <w:r>
              <w:rPr>
                <w:rFonts w:hint="eastAsia" w:ascii="宋体" w:hAnsi="宋体" w:cs="宋体"/>
                <w:color w:val="000000"/>
                <w:sz w:val="16"/>
                <w:szCs w:val="16"/>
              </w:rPr>
              <w:t>西湾小区</w:t>
            </w: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textAlignment w:val="center"/>
              <w:rPr>
                <w:rFonts w:ascii="宋体" w:hAnsi="宋体" w:cs="宋体"/>
                <w:color w:val="000000"/>
                <w:sz w:val="16"/>
                <w:szCs w:val="16"/>
              </w:rPr>
            </w:pPr>
            <w:r>
              <w:rPr>
                <w:rFonts w:hint="eastAsia" w:ascii="宋体" w:hAnsi="宋体" w:cs="宋体"/>
                <w:color w:val="000000"/>
                <w:sz w:val="16"/>
                <w:szCs w:val="16"/>
              </w:rPr>
              <w:t>新芝（非物业）</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textAlignment w:val="center"/>
              <w:rPr>
                <w:rFonts w:ascii="宋体" w:hAnsi="宋体" w:cs="宋体"/>
                <w:color w:val="000000"/>
                <w:sz w:val="16"/>
                <w:szCs w:val="16"/>
              </w:rPr>
            </w:pPr>
            <w:r>
              <w:rPr>
                <w:rFonts w:hint="eastAsia" w:ascii="宋体" w:hAnsi="宋体" w:cs="宋体"/>
                <w:color w:val="000000"/>
                <w:sz w:val="16"/>
                <w:szCs w:val="16"/>
              </w:rPr>
              <w:t>胜丰小区</w:t>
            </w: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textAlignment w:val="center"/>
              <w:rPr>
                <w:rFonts w:ascii="宋体" w:hAnsi="宋体" w:cs="宋体"/>
                <w:color w:val="000000"/>
                <w:sz w:val="16"/>
                <w:szCs w:val="16"/>
              </w:rPr>
            </w:pPr>
            <w:r>
              <w:rPr>
                <w:rFonts w:hint="eastAsia" w:ascii="宋体" w:hAnsi="宋体" w:cs="宋体"/>
                <w:color w:val="000000"/>
                <w:sz w:val="16"/>
                <w:szCs w:val="16"/>
              </w:rPr>
              <w:t>中山雅园</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textAlignment w:val="center"/>
              <w:rPr>
                <w:rFonts w:ascii="宋体" w:hAnsi="宋体" w:cs="宋体"/>
                <w:color w:val="000000"/>
                <w:sz w:val="20"/>
              </w:rPr>
            </w:pPr>
            <w:r>
              <w:rPr>
                <w:rFonts w:hint="eastAsia" w:ascii="宋体" w:hAnsi="宋体" w:cs="宋体"/>
                <w:color w:val="000000"/>
                <w:sz w:val="20"/>
              </w:rPr>
              <w:t>数量</w:t>
            </w:r>
          </w:p>
        </w:tc>
      </w:tr>
      <w:tr>
        <w:tblPrEx>
          <w:tblCellMar>
            <w:top w:w="0" w:type="dxa"/>
            <w:left w:w="0" w:type="dxa"/>
            <w:bottom w:w="0" w:type="dxa"/>
            <w:right w:w="0" w:type="dxa"/>
          </w:tblCellMar>
        </w:tblPrEx>
        <w:trPr>
          <w:gridBefore w:val="1"/>
          <w:wBefore w:w="6" w:type="dxa"/>
          <w:trHeight w:val="460" w:hRule="atLeast"/>
        </w:trPr>
        <w:tc>
          <w:tcPr>
            <w:tcW w:w="13516" w:type="dxa"/>
            <w:gridSpan w:val="2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1、出入口控制系统1（人行出入口）</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智慧门</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5</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4</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21</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双目人脸识别可视对讲围墙机</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14</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9</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46</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主机电源12V/2A</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14 </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 </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9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 </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 </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43</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4</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磁力锁</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8</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4</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16</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5</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专用锁电源</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8 </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0 </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16</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6</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闭门器</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8</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4</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16</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7</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防水出门按钮及支架</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14</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9</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45</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8</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人证合一 一体机</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9</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USB人像采集</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基础（智慧门、围墙机支架、出门按钮支架）</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5</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4</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21</w:t>
            </w:r>
          </w:p>
        </w:tc>
      </w:tr>
      <w:tr>
        <w:tblPrEx>
          <w:tblCellMar>
            <w:top w:w="0" w:type="dxa"/>
            <w:left w:w="0" w:type="dxa"/>
            <w:bottom w:w="0" w:type="dxa"/>
            <w:right w:w="0" w:type="dxa"/>
          </w:tblCellMar>
        </w:tblPrEx>
        <w:trPr>
          <w:gridBefore w:val="1"/>
          <w:wBefore w:w="6" w:type="dxa"/>
          <w:trHeight w:val="460" w:hRule="atLeast"/>
        </w:trPr>
        <w:tc>
          <w:tcPr>
            <w:tcW w:w="13516" w:type="dxa"/>
            <w:gridSpan w:val="2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2、出入口控制系统2（停车系统设备）</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b/>
                <w:color w:val="000000"/>
                <w:sz w:val="20"/>
              </w:rPr>
            </w:pPr>
            <w:r>
              <w:rPr>
                <w:rFonts w:hint="eastAsia" w:ascii="宋体" w:hAnsi="宋体" w:cs="宋体"/>
                <w:b/>
                <w:color w:val="000000"/>
                <w:sz w:val="20"/>
              </w:rPr>
              <w:t>主要出入口单进单出</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11</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出口杆式抓拍一体机</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5</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20</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12</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道闸</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5</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20</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13</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防砸雷达</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5</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19</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14</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入口杆式抓拍一体机</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5</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19</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15</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道闸</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16</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防砸雷达</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17</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逻辑雷达</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4</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6</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4</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40</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18</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触发雷达</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4</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6</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4</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40</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19</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8口百兆接入交换机</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6" w:type="dxa"/>
          <w:trHeight w:val="460" w:hRule="atLeast"/>
        </w:trPr>
        <w:tc>
          <w:tcPr>
            <w:tcW w:w="13516" w:type="dxa"/>
            <w:gridSpan w:val="2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管理设备</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20</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收费电脑</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21</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车辆收费软件</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22</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附件</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23</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光纤收发器</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4</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24</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8</w:t>
            </w:r>
            <w:r>
              <w:rPr>
                <w:rStyle w:val="20"/>
                <w:rFonts w:hint="default"/>
              </w:rPr>
              <w:t>口千兆接入层交换机</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25</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24</w:t>
            </w:r>
            <w:r>
              <w:rPr>
                <w:rStyle w:val="20"/>
                <w:rFonts w:hint="default"/>
              </w:rPr>
              <w:t>口千兆接入层交换机</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26</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调试对接费用</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1</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1</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kern w:val="2"/>
                <w:sz w:val="16"/>
                <w:szCs w:val="16"/>
              </w:rPr>
              <w:t>27</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基础（道闸设备机箱等基础）</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4</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5</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5</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29</w:t>
            </w:r>
          </w:p>
        </w:tc>
      </w:tr>
      <w:tr>
        <w:tblPrEx>
          <w:tblCellMar>
            <w:top w:w="0" w:type="dxa"/>
            <w:left w:w="0" w:type="dxa"/>
            <w:bottom w:w="0" w:type="dxa"/>
            <w:right w:w="0" w:type="dxa"/>
          </w:tblCellMar>
        </w:tblPrEx>
        <w:trPr>
          <w:gridBefore w:val="1"/>
          <w:wBefore w:w="6" w:type="dxa"/>
          <w:trHeight w:val="460" w:hRule="atLeast"/>
        </w:trPr>
        <w:tc>
          <w:tcPr>
            <w:tcW w:w="13516" w:type="dxa"/>
            <w:gridSpan w:val="2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3、视频监控系统</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28</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微卡摄像机</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4</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29</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全局人脸摄像机</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4</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30</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人脸摄像机</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6</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25</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31</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步态摄像机</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32</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高空抛物网络摄像机</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33</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彩色高清摄像机</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20</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27</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12</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25</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14</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41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23</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341</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12</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23</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45</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89</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99</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22</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803</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34</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彩色高清半球摄像机</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35</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彩色高清电梯专用摄像机</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4</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36</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数字楼层显示器</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4</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37</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网络传输器</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4</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8</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38</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200万轻智能警戒摄像机</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8</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6</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5</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6</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8</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50</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6</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23</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14</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42</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38</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6</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235</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39</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消防占道球机</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40</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摄像机 立竿</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8</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4</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4</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9</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7</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59</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11</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12</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25</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32</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189</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41</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视频解码器</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42</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32寸监视器</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5</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28</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43</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视频切换器</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4</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44</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电源</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4</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5</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4</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6</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30</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6</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22</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5</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4</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101</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45</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配套支架</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textAlignment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46</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管理电脑</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47</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操作台1</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48</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操作台2</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49</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操作台3</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50</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操作台4</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51</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配套附件</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r>
      <w:tr>
        <w:tblPrEx>
          <w:tblCellMar>
            <w:top w:w="0" w:type="dxa"/>
            <w:left w:w="0" w:type="dxa"/>
            <w:bottom w:w="0" w:type="dxa"/>
            <w:right w:w="0" w:type="dxa"/>
          </w:tblCellMar>
        </w:tblPrEx>
        <w:trPr>
          <w:gridBefore w:val="1"/>
          <w:wBefore w:w="6" w:type="dxa"/>
          <w:trHeight w:val="460" w:hRule="atLeast"/>
        </w:trPr>
        <w:tc>
          <w:tcPr>
            <w:tcW w:w="13516" w:type="dxa"/>
            <w:gridSpan w:val="2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4、可视对讲系统</w:t>
            </w:r>
          </w:p>
        </w:tc>
      </w:tr>
      <w:tr>
        <w:tblPrEx>
          <w:tblCellMar>
            <w:top w:w="0" w:type="dxa"/>
            <w:left w:w="0" w:type="dxa"/>
            <w:bottom w:w="0" w:type="dxa"/>
            <w:right w:w="0" w:type="dxa"/>
          </w:tblCellMar>
        </w:tblPrEx>
        <w:trPr>
          <w:gridBefore w:val="1"/>
          <w:wBefore w:w="6" w:type="dxa"/>
          <w:trHeight w:val="460" w:hRule="atLeast"/>
        </w:trPr>
        <w:tc>
          <w:tcPr>
            <w:tcW w:w="13516" w:type="dxa"/>
            <w:gridSpan w:val="2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4.1、住宅部分</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52</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人脸识别可视对讲主机</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11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12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29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7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19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40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7 </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351 </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15 </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28 </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43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108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107 </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29 </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812</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53</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灵性锁(双门或单门，根据实际情况确定数量。包含双门和单门）</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11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12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29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7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19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40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7 </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351 </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15 </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28 </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43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108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107 </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29 </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812</w:t>
            </w:r>
          </w:p>
        </w:tc>
      </w:tr>
      <w:tr>
        <w:tblPrEx>
          <w:tblCellMar>
            <w:top w:w="0" w:type="dxa"/>
            <w:left w:w="0" w:type="dxa"/>
            <w:bottom w:w="0" w:type="dxa"/>
            <w:right w:w="0" w:type="dxa"/>
          </w:tblCellMar>
        </w:tblPrEx>
        <w:trPr>
          <w:gridBefore w:val="1"/>
          <w:wBefore w:w="6" w:type="dxa"/>
          <w:trHeight w:val="460" w:hRule="atLeast"/>
        </w:trPr>
        <w:tc>
          <w:tcPr>
            <w:tcW w:w="13516" w:type="dxa"/>
            <w:gridSpan w:val="2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4.2、住宅部分（设备网）</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54</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主机电源12V/2A</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11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12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29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7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19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40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7 </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351 </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15 </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28 </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43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108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107 </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29 </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812</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55</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闭门器(双门或单门，根据实际情况确定数量。包含双门和单门））</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11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12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29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7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19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40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7 </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351 </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15 </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28 </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43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108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107 </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29 </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812</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56</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专用锁电源</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11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12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29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7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19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40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7 </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351 </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15 </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28 </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43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108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107 </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29 </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812</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57</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16口百兆接入交换机</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19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13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29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 </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200 </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8 </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23 </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25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50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37 </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11 </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434</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58</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24口百兆接入交换机</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5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7 </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50 </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5 </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12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21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50 </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7 </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159</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59</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8口千兆POE工业接入交换机</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60</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8口千兆POE接入交换机</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 </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6" w:type="dxa"/>
          <w:trHeight w:val="40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61</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24</w:t>
            </w:r>
            <w:r>
              <w:rPr>
                <w:rStyle w:val="20"/>
                <w:rFonts w:hint="default"/>
              </w:rPr>
              <w:t>口千兆接入层交换机</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28</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14</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65</w:t>
            </w:r>
          </w:p>
        </w:tc>
      </w:tr>
      <w:tr>
        <w:tblPrEx>
          <w:tblCellMar>
            <w:top w:w="0" w:type="dxa"/>
            <w:left w:w="0" w:type="dxa"/>
            <w:bottom w:w="0" w:type="dxa"/>
            <w:right w:w="0" w:type="dxa"/>
          </w:tblCellMar>
        </w:tblPrEx>
        <w:trPr>
          <w:gridBefore w:val="1"/>
          <w:wBefore w:w="6" w:type="dxa"/>
          <w:trHeight w:val="40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62</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24</w:t>
            </w:r>
            <w:r>
              <w:rPr>
                <w:rStyle w:val="20"/>
                <w:rFonts w:hint="default"/>
              </w:rPr>
              <w:t>口千兆</w:t>
            </w:r>
            <w:r>
              <w:rPr>
                <w:rStyle w:val="29"/>
                <w:rFonts w:hint="default"/>
              </w:rPr>
              <w:t>POE</w:t>
            </w:r>
            <w:r>
              <w:rPr>
                <w:rStyle w:val="20"/>
                <w:rFonts w:hint="default"/>
              </w:rPr>
              <w:t>接入层交换机</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4</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6</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11</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4</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91</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6</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13</w:t>
            </w: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29</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38</w:t>
            </w: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237</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63</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千兆单模光模块</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5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10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7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13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5 </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121 </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 </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7 </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14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43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39 </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15 </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293</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64</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单模光纤跳线</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4</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7</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5</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121</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4</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7</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14</w:t>
            </w: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43</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39</w:t>
            </w: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15</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293</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65</w:t>
            </w:r>
          </w:p>
        </w:tc>
        <w:tc>
          <w:tcPr>
            <w:tcW w:w="197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12口光纤配线架</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4</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7</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5</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121</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4</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7</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14</w:t>
            </w: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43</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39</w:t>
            </w: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15</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293</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66</w:t>
            </w:r>
          </w:p>
        </w:tc>
        <w:tc>
          <w:tcPr>
            <w:tcW w:w="197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双工耦合器</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8</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20</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6</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14</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6</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26</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242</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8</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14</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28</w:t>
            </w: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86</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78</w:t>
            </w: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30</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586</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67</w:t>
            </w:r>
          </w:p>
        </w:tc>
        <w:tc>
          <w:tcPr>
            <w:tcW w:w="197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尾纤LC, 单模, 0.9mm, 1米</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40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32</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80</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24</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28</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24</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104</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40</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968</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32</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56</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112</w:t>
            </w: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344</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312</w:t>
            </w: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120</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2316</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68</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安防设备箱1</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8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19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13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27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8 </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235 </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11 </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21 </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30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65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69 </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12 </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532</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69</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安防设备箱2</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5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10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7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13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 </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119 </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 </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7 </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13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43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39 </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18 </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291</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70</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室外安防设备箱</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 </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71</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室内分机</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132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156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302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60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212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483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176 </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4702 </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190 </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288 </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608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1351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1410 </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396</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10526</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kern w:val="2"/>
                <w:sz w:val="16"/>
                <w:szCs w:val="16"/>
              </w:rPr>
              <w:t>72</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分机电源</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22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32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58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14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38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12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81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31 </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950 </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30 </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56 </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98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216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324 </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62 </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2024</w:t>
            </w:r>
          </w:p>
        </w:tc>
      </w:tr>
      <w:tr>
        <w:tblPrEx>
          <w:tblCellMar>
            <w:top w:w="0" w:type="dxa"/>
            <w:left w:w="0" w:type="dxa"/>
            <w:bottom w:w="0" w:type="dxa"/>
            <w:right w:w="0" w:type="dxa"/>
          </w:tblCellMar>
        </w:tblPrEx>
        <w:trPr>
          <w:gridBefore w:val="1"/>
          <w:wBefore w:w="6" w:type="dxa"/>
          <w:trHeight w:val="460" w:hRule="atLeast"/>
        </w:trPr>
        <w:tc>
          <w:tcPr>
            <w:tcW w:w="13516" w:type="dxa"/>
            <w:gridSpan w:val="2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4.2、管理中心部分（设备网）</w:t>
            </w:r>
          </w:p>
        </w:tc>
      </w:tr>
      <w:tr>
        <w:tblPrEx>
          <w:tblCellMar>
            <w:top w:w="0" w:type="dxa"/>
            <w:left w:w="0" w:type="dxa"/>
            <w:bottom w:w="0" w:type="dxa"/>
            <w:right w:w="0" w:type="dxa"/>
          </w:tblCellMar>
        </w:tblPrEx>
        <w:trPr>
          <w:gridBefore w:val="1"/>
          <w:wBefore w:w="6" w:type="dxa"/>
          <w:trHeight w:val="40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73</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核心交换机1</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6" w:type="dxa"/>
          <w:trHeight w:val="42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74</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核心交换机2</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r>
      <w:tr>
        <w:tblPrEx>
          <w:tblCellMar>
            <w:top w:w="0" w:type="dxa"/>
            <w:left w:w="0" w:type="dxa"/>
            <w:bottom w:w="0" w:type="dxa"/>
            <w:right w:w="0" w:type="dxa"/>
          </w:tblCellMar>
        </w:tblPrEx>
        <w:trPr>
          <w:gridBefore w:val="1"/>
          <w:wBefore w:w="6" w:type="dxa"/>
          <w:trHeight w:val="425"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75</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核心交换机3</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w:t>
            </w:r>
          </w:p>
        </w:tc>
      </w:tr>
      <w:tr>
        <w:tblPrEx>
          <w:tblCellMar>
            <w:top w:w="0" w:type="dxa"/>
            <w:left w:w="0" w:type="dxa"/>
            <w:bottom w:w="0" w:type="dxa"/>
            <w:right w:w="0" w:type="dxa"/>
          </w:tblCellMar>
        </w:tblPrEx>
        <w:trPr>
          <w:gridBefore w:val="1"/>
          <w:wBefore w:w="6" w:type="dxa"/>
          <w:trHeight w:val="415"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76</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核心交换机4</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444"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77</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核心交换机5</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78</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堆叠电缆</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79</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千兆单模光模块</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5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10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10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7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13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5 </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121 </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 </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7 </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14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43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39 </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15 </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300</w:t>
            </w:r>
          </w:p>
        </w:tc>
      </w:tr>
      <w:tr>
        <w:tblPrEx>
          <w:tblCellMar>
            <w:top w:w="0" w:type="dxa"/>
            <w:left w:w="0" w:type="dxa"/>
            <w:bottom w:w="0" w:type="dxa"/>
            <w:right w:w="0" w:type="dxa"/>
          </w:tblCellMar>
        </w:tblPrEx>
        <w:trPr>
          <w:gridBefore w:val="1"/>
          <w:wBefore w:w="6" w:type="dxa"/>
          <w:trHeight w:val="7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80</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千兆单模光模块</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30</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81</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8</w:t>
            </w:r>
            <w:r>
              <w:rPr>
                <w:rStyle w:val="20"/>
                <w:rFonts w:hint="default"/>
              </w:rPr>
              <w:t>口千兆接入层交换机</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r>
      <w:tr>
        <w:tblPrEx>
          <w:tblCellMar>
            <w:top w:w="0" w:type="dxa"/>
            <w:left w:w="0" w:type="dxa"/>
            <w:bottom w:w="0" w:type="dxa"/>
            <w:right w:w="0" w:type="dxa"/>
          </w:tblCellMar>
        </w:tblPrEx>
        <w:trPr>
          <w:gridBefore w:val="1"/>
          <w:wBefore w:w="6" w:type="dxa"/>
          <w:trHeight w:val="495"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82</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24</w:t>
            </w:r>
            <w:r>
              <w:rPr>
                <w:rStyle w:val="20"/>
                <w:rFonts w:hint="default"/>
              </w:rPr>
              <w:t>口千兆接入层交换机</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0</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83</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管理中心对讲主机</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5</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22</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84</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存储设备1~64路NVR</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8</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18</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85</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存储设备2~32路NVR</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86</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硬盘2</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6</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11</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6</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12</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6</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11</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94</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6</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11</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17</w:t>
            </w: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27</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33</w:t>
            </w: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12</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275</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87</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IC卡发行器</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88</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IC钥匙扣卡</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20"/>
              </w:rPr>
              <w:t xml:space="preserve">396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20"/>
              </w:rPr>
              <w:t xml:space="preserve">468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20"/>
              </w:rPr>
              <w:t xml:space="preserve">906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20"/>
              </w:rPr>
              <w:t xml:space="preserve">180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20"/>
              </w:rPr>
              <w:t xml:space="preserve">636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20"/>
              </w:rPr>
              <w:t xml:space="preserve">180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20"/>
              </w:rPr>
              <w:t xml:space="preserve">1449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20"/>
              </w:rPr>
              <w:t xml:space="preserve">528 </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20"/>
              </w:rPr>
              <w:t xml:space="preserve">14106 </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20"/>
              </w:rPr>
              <w:t xml:space="preserve">570 </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20"/>
              </w:rPr>
              <w:t xml:space="preserve">864 </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20"/>
              </w:rPr>
              <w:t xml:space="preserve">1824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20"/>
              </w:rPr>
              <w:t xml:space="preserve">4053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4230 </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1188</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31578</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89</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钥匙</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20"/>
              </w:rPr>
              <w:t xml:space="preserve">396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20"/>
              </w:rPr>
              <w:t xml:space="preserve">468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20"/>
              </w:rPr>
              <w:t xml:space="preserve">906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20"/>
              </w:rPr>
              <w:t xml:space="preserve">180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20"/>
              </w:rPr>
              <w:t xml:space="preserve">636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20"/>
              </w:rPr>
              <w:t xml:space="preserve">180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20"/>
              </w:rPr>
              <w:t xml:space="preserve">1449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20"/>
              </w:rPr>
              <w:t xml:space="preserve">528 </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20"/>
              </w:rPr>
              <w:t xml:space="preserve">14106 </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20"/>
              </w:rPr>
              <w:t xml:space="preserve">570 </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20"/>
              </w:rPr>
              <w:t xml:space="preserve">864 </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20"/>
              </w:rPr>
              <w:t xml:space="preserve">1824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20"/>
              </w:rPr>
              <w:t xml:space="preserve">4053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4230 </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1188</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31578</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90</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管理电脑</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91</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街道数据汇聚</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43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92</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汇聚交换机</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93</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服务器</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94</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小区侧智慧安防管控软件</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95</w:t>
            </w:r>
          </w:p>
        </w:tc>
        <w:tc>
          <w:tcPr>
            <w:tcW w:w="197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光纤链路费</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96</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网络机柜1~42U</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 </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97</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网络机柜2~24U</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98</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网络机柜3~6U</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kern w:val="2"/>
                <w:sz w:val="16"/>
                <w:szCs w:val="16"/>
              </w:rPr>
              <w:t>99</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附材</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r>
      <w:tr>
        <w:tblPrEx>
          <w:tblCellMar>
            <w:top w:w="0" w:type="dxa"/>
            <w:left w:w="0" w:type="dxa"/>
            <w:bottom w:w="0" w:type="dxa"/>
            <w:right w:w="0" w:type="dxa"/>
          </w:tblCellMar>
        </w:tblPrEx>
        <w:trPr>
          <w:gridBefore w:val="1"/>
          <w:wBefore w:w="6" w:type="dxa"/>
          <w:trHeight w:val="460" w:hRule="atLeast"/>
        </w:trPr>
        <w:tc>
          <w:tcPr>
            <w:tcW w:w="13516" w:type="dxa"/>
            <w:gridSpan w:val="2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5、智能感知系统</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100</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人脸摄像机带定向智能感知设备</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4</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21</w:t>
            </w:r>
          </w:p>
        </w:tc>
      </w:tr>
      <w:tr>
        <w:tblPrEx>
          <w:tblCellMar>
            <w:top w:w="0" w:type="dxa"/>
            <w:left w:w="0" w:type="dxa"/>
            <w:bottom w:w="0" w:type="dxa"/>
            <w:right w:w="0" w:type="dxa"/>
          </w:tblCellMar>
        </w:tblPrEx>
        <w:trPr>
          <w:gridBefore w:val="1"/>
          <w:wBefore w:w="6" w:type="dxa"/>
          <w:trHeight w:val="460" w:hRule="atLeast"/>
        </w:trPr>
        <w:tc>
          <w:tcPr>
            <w:tcW w:w="13516" w:type="dxa"/>
            <w:gridSpan w:val="2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6、入侵报警系统</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101</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中央控制器</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102</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主机键盘</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103</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监控软件</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104</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网络IP模块</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105</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D1类高能量SPD</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 </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 </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 </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 </w:t>
            </w: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 </w:t>
            </w: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35</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106</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四路网络模块</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107</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二路网络模块</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11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18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16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37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5 </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77 </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7 </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20 </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34 </w:t>
            </w: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107 </w:t>
            </w: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28 </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376</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108</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16路继电器输出控制器</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14</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109</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32路继电器输出控制器</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110</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烟感探测器</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22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12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36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8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30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12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41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10 </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69 </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14 </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40 </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68 </w:t>
            </w: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214 </w:t>
            </w: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56 </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632</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111</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电源</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11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18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16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37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5 </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77 </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107 </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28 </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318</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112</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声光警号</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11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18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16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37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5 </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77 </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0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19 </w:t>
            </w: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 </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205</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113</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四道单防区控制杆（含底座）</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 </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15 </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 </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5 </w:t>
            </w: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10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 </w:t>
            </w: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46</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114</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四道双防区控制杆（含底座）</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 </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18 </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 </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5 </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 </w:t>
            </w: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16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15 </w:t>
            </w: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 </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89</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115</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交流电源24V</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5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 </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33 </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 </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8 </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11 </w:t>
            </w: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26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19 </w:t>
            </w: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 </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136</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116</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避雷器</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10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7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9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9 </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51 </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 </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13 </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17 </w:t>
            </w: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42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29 </w:t>
            </w: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 </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220</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117</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中间支撑杆（含底座）</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62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15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50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35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35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43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75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55 </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300 </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40 </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75 </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112 </w:t>
            </w: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300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255 </w:t>
            </w: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38 </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1490</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118</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终端受力杆（含底座）</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17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17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9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10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8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23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18 </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70 </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 </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30 </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22 </w:t>
            </w: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90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39 </w:t>
            </w: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11 </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376</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119</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束线器</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160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48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112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96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96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96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144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144 </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816 </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96 </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1800 </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272 </w:t>
            </w: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672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464 </w:t>
            </w: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96 </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5112</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120</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转向滑轮</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32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12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44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12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16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8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56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36 </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150 </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20 </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30 </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40 </w:t>
            </w: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150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40 </w:t>
            </w: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20 </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666</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121</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张力收紧器</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40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12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28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24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24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24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36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36 </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204 </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24 </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52 </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68 </w:t>
            </w: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168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116 </w:t>
            </w: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24 </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880</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122</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张力弹簧</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40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12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28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24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24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24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36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36 </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204 </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24 </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52 </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68 </w:t>
            </w: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168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116 </w:t>
            </w: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24 </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880</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123</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多股张力线</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1000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250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850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600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600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700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1400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900 </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5000 </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720 </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1200 </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1800 </w:t>
            </w: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5000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4080 </w:t>
            </w: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600 </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24700</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124</w:t>
            </w:r>
          </w:p>
        </w:tc>
        <w:tc>
          <w:tcPr>
            <w:tcW w:w="1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警示牌</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25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20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14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14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17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30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25 </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120 </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10 </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30 </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35 </w:t>
            </w: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120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102 </w:t>
            </w: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15 </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583</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125</w:t>
            </w:r>
          </w:p>
        </w:tc>
        <w:tc>
          <w:tcPr>
            <w:tcW w:w="197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接地桩（含接地线）</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5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 </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33 </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 </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8 </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11 </w:t>
            </w: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26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19 </w:t>
            </w: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 </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136</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126</w:t>
            </w:r>
          </w:p>
        </w:tc>
        <w:tc>
          <w:tcPr>
            <w:tcW w:w="197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304不锈钢防水箱</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4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5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6 </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33 </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 </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8 </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11 </w:t>
            </w: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26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19 </w:t>
            </w: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 xml:space="preserve">3 </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136</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kern w:val="2"/>
                <w:sz w:val="16"/>
                <w:szCs w:val="16"/>
              </w:rPr>
              <w:t>127</w:t>
            </w:r>
          </w:p>
        </w:tc>
        <w:tc>
          <w:tcPr>
            <w:tcW w:w="197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单防区模块</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7</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6</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6</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6</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9</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9</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51</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6</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13</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17</w:t>
            </w: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42</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29</w:t>
            </w: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6</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220</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16"/>
                <w:szCs w:val="16"/>
              </w:rPr>
            </w:pPr>
            <w:r>
              <w:rPr>
                <w:rFonts w:hint="eastAsia" w:ascii="宋体" w:hAnsi="宋体" w:cs="宋体"/>
                <w:color w:val="000000"/>
                <w:sz w:val="16"/>
                <w:szCs w:val="16"/>
              </w:rPr>
              <w:t>128</w:t>
            </w:r>
          </w:p>
        </w:tc>
        <w:tc>
          <w:tcPr>
            <w:tcW w:w="197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报警联动灯</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4</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5</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6</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33</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8</w:t>
            </w:r>
          </w:p>
        </w:tc>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11</w:t>
            </w: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26</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19</w:t>
            </w: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3</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136</w:t>
            </w:r>
          </w:p>
        </w:tc>
      </w:tr>
      <w:tr>
        <w:tblPrEx>
          <w:tblCellMar>
            <w:top w:w="0" w:type="dxa"/>
            <w:left w:w="0" w:type="dxa"/>
            <w:bottom w:w="0" w:type="dxa"/>
            <w:right w:w="0" w:type="dxa"/>
          </w:tblCellMar>
        </w:tblPrEx>
        <w:trPr>
          <w:gridBefore w:val="1"/>
          <w:wBefore w:w="6" w:type="dxa"/>
          <w:trHeight w:val="460" w:hRule="atLeast"/>
        </w:trPr>
        <w:tc>
          <w:tcPr>
            <w:tcW w:w="13516" w:type="dxa"/>
            <w:gridSpan w:val="2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7、街道平台侧扩容</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129</w:t>
            </w:r>
          </w:p>
        </w:tc>
        <w:tc>
          <w:tcPr>
            <w:tcW w:w="197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街道数据汇聚（标准平台）</w:t>
            </w:r>
          </w:p>
        </w:tc>
        <w:tc>
          <w:tcPr>
            <w:tcW w:w="11160" w:type="dxa"/>
            <w:gridSpan w:val="2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130</w:t>
            </w:r>
          </w:p>
        </w:tc>
        <w:tc>
          <w:tcPr>
            <w:tcW w:w="197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街道数据汇聚（数据扩容）</w:t>
            </w:r>
          </w:p>
        </w:tc>
        <w:tc>
          <w:tcPr>
            <w:tcW w:w="11160" w:type="dxa"/>
            <w:gridSpan w:val="2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131</w:t>
            </w:r>
          </w:p>
        </w:tc>
        <w:tc>
          <w:tcPr>
            <w:tcW w:w="197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汇聚交换机</w:t>
            </w:r>
          </w:p>
        </w:tc>
        <w:tc>
          <w:tcPr>
            <w:tcW w:w="11160" w:type="dxa"/>
            <w:gridSpan w:val="2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6" w:type="dxa"/>
          <w:trHeight w:val="460" w:hRule="atLeast"/>
        </w:trPr>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132</w:t>
            </w:r>
          </w:p>
        </w:tc>
        <w:tc>
          <w:tcPr>
            <w:tcW w:w="197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堆叠电缆</w:t>
            </w:r>
          </w:p>
        </w:tc>
        <w:tc>
          <w:tcPr>
            <w:tcW w:w="11160" w:type="dxa"/>
            <w:gridSpan w:val="2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6" w:type="dxa"/>
          <w:trHeight w:val="460" w:hRule="atLeast"/>
        </w:trPr>
        <w:tc>
          <w:tcPr>
            <w:tcW w:w="13516" w:type="dxa"/>
            <w:gridSpan w:val="2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8、管线、安装、调试</w:t>
            </w:r>
          </w:p>
        </w:tc>
      </w:tr>
      <w:tr>
        <w:tblPrEx>
          <w:tblCellMar>
            <w:top w:w="0" w:type="dxa"/>
            <w:left w:w="108" w:type="dxa"/>
            <w:bottom w:w="0" w:type="dxa"/>
            <w:right w:w="108" w:type="dxa"/>
          </w:tblCellMar>
        </w:tblPrEx>
        <w:trPr>
          <w:gridAfter w:val="1"/>
          <w:wAfter w:w="144"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序号</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采购内容</w:t>
            </w:r>
          </w:p>
        </w:tc>
        <w:tc>
          <w:tcPr>
            <w:tcW w:w="8050"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规格要求</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单位</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数量</w:t>
            </w:r>
          </w:p>
        </w:tc>
      </w:tr>
      <w:tr>
        <w:tblPrEx>
          <w:tblCellMar>
            <w:top w:w="0" w:type="dxa"/>
            <w:left w:w="108" w:type="dxa"/>
            <w:bottom w:w="0" w:type="dxa"/>
            <w:right w:w="108" w:type="dxa"/>
          </w:tblCellMar>
        </w:tblPrEx>
        <w:trPr>
          <w:gridAfter w:val="1"/>
          <w:wAfter w:w="144"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电缆保护管</w:t>
            </w:r>
          </w:p>
        </w:tc>
        <w:tc>
          <w:tcPr>
            <w:tcW w:w="8050"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镀锌钢管埋地敷设SC25</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334.33</w:t>
            </w:r>
          </w:p>
        </w:tc>
      </w:tr>
      <w:tr>
        <w:tblPrEx>
          <w:tblCellMar>
            <w:top w:w="0" w:type="dxa"/>
            <w:left w:w="108" w:type="dxa"/>
            <w:bottom w:w="0" w:type="dxa"/>
            <w:right w:w="108" w:type="dxa"/>
          </w:tblCellMar>
        </w:tblPrEx>
        <w:trPr>
          <w:gridAfter w:val="1"/>
          <w:wAfter w:w="144"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电缆保护管</w:t>
            </w:r>
          </w:p>
        </w:tc>
        <w:tc>
          <w:tcPr>
            <w:tcW w:w="8050"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镀锌钢管埋地敷设SC32</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17.54</w:t>
            </w:r>
          </w:p>
        </w:tc>
      </w:tr>
      <w:tr>
        <w:tblPrEx>
          <w:tblCellMar>
            <w:top w:w="0" w:type="dxa"/>
            <w:left w:w="108" w:type="dxa"/>
            <w:bottom w:w="0" w:type="dxa"/>
            <w:right w:w="108" w:type="dxa"/>
          </w:tblCellMar>
        </w:tblPrEx>
        <w:trPr>
          <w:gridAfter w:val="1"/>
          <w:wAfter w:w="144"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电缆保护管</w:t>
            </w:r>
          </w:p>
        </w:tc>
        <w:tc>
          <w:tcPr>
            <w:tcW w:w="8050"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镀锌钢管埋地敷设SC50</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92.21</w:t>
            </w:r>
          </w:p>
        </w:tc>
      </w:tr>
      <w:tr>
        <w:tblPrEx>
          <w:tblCellMar>
            <w:top w:w="0" w:type="dxa"/>
            <w:left w:w="108" w:type="dxa"/>
            <w:bottom w:w="0" w:type="dxa"/>
            <w:right w:w="108" w:type="dxa"/>
          </w:tblCellMar>
        </w:tblPrEx>
        <w:trPr>
          <w:gridAfter w:val="1"/>
          <w:wAfter w:w="144"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电缆保护管</w:t>
            </w:r>
          </w:p>
        </w:tc>
        <w:tc>
          <w:tcPr>
            <w:tcW w:w="8050"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镀锌钢管埋地敷设SC100</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4.27</w:t>
            </w:r>
          </w:p>
        </w:tc>
      </w:tr>
      <w:tr>
        <w:tblPrEx>
          <w:tblCellMar>
            <w:top w:w="0" w:type="dxa"/>
            <w:left w:w="108" w:type="dxa"/>
            <w:bottom w:w="0" w:type="dxa"/>
            <w:right w:w="108" w:type="dxa"/>
          </w:tblCellMar>
        </w:tblPrEx>
        <w:trPr>
          <w:gridAfter w:val="1"/>
          <w:wAfter w:w="144"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8050"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砖、混凝土结构明配JDG管 JDG20</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374.85</w:t>
            </w:r>
          </w:p>
        </w:tc>
      </w:tr>
      <w:tr>
        <w:tblPrEx>
          <w:tblCellMar>
            <w:top w:w="0" w:type="dxa"/>
            <w:left w:w="108" w:type="dxa"/>
            <w:bottom w:w="0" w:type="dxa"/>
            <w:right w:w="108" w:type="dxa"/>
          </w:tblCellMar>
        </w:tblPrEx>
        <w:trPr>
          <w:gridAfter w:val="1"/>
          <w:wAfter w:w="144"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6</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8050"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砖、混凝土结构明配JDG管 JDG32</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2961.32</w:t>
            </w:r>
          </w:p>
        </w:tc>
      </w:tr>
      <w:tr>
        <w:tblPrEx>
          <w:tblCellMar>
            <w:top w:w="0" w:type="dxa"/>
            <w:left w:w="108" w:type="dxa"/>
            <w:bottom w:w="0" w:type="dxa"/>
            <w:right w:w="108" w:type="dxa"/>
          </w:tblCellMar>
        </w:tblPrEx>
        <w:trPr>
          <w:gridAfter w:val="1"/>
          <w:wAfter w:w="144" w:type="dxa"/>
          <w:trHeight w:val="57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7</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8050"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砖、混凝土结构明配刚性阻燃管 PVC25</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37135.73</w:t>
            </w:r>
          </w:p>
        </w:tc>
      </w:tr>
      <w:tr>
        <w:tblPrEx>
          <w:tblCellMar>
            <w:top w:w="0" w:type="dxa"/>
            <w:left w:w="108" w:type="dxa"/>
            <w:bottom w:w="0" w:type="dxa"/>
            <w:right w:w="108" w:type="dxa"/>
          </w:tblCellMar>
        </w:tblPrEx>
        <w:trPr>
          <w:gridAfter w:val="1"/>
          <w:wAfter w:w="144"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8</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8050"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PE20</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50.86</w:t>
            </w:r>
          </w:p>
        </w:tc>
      </w:tr>
      <w:tr>
        <w:tblPrEx>
          <w:tblCellMar>
            <w:top w:w="0" w:type="dxa"/>
            <w:left w:w="108" w:type="dxa"/>
            <w:bottom w:w="0" w:type="dxa"/>
            <w:right w:w="108" w:type="dxa"/>
          </w:tblCellMar>
        </w:tblPrEx>
        <w:trPr>
          <w:gridAfter w:val="1"/>
          <w:wAfter w:w="144"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9</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8050"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PE25</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296.21</w:t>
            </w:r>
          </w:p>
        </w:tc>
      </w:tr>
      <w:tr>
        <w:tblPrEx>
          <w:tblCellMar>
            <w:top w:w="0" w:type="dxa"/>
            <w:left w:w="108" w:type="dxa"/>
            <w:bottom w:w="0" w:type="dxa"/>
            <w:right w:w="108" w:type="dxa"/>
          </w:tblCellMar>
        </w:tblPrEx>
        <w:trPr>
          <w:gridAfter w:val="1"/>
          <w:wAfter w:w="144"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8050"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PE32</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534.84</w:t>
            </w:r>
          </w:p>
        </w:tc>
      </w:tr>
      <w:tr>
        <w:tblPrEx>
          <w:tblCellMar>
            <w:top w:w="0" w:type="dxa"/>
            <w:left w:w="108" w:type="dxa"/>
            <w:bottom w:w="0" w:type="dxa"/>
            <w:right w:w="108" w:type="dxa"/>
          </w:tblCellMar>
        </w:tblPrEx>
        <w:trPr>
          <w:gridAfter w:val="1"/>
          <w:wAfter w:w="144"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11</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8050"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PE50</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445.32</w:t>
            </w:r>
          </w:p>
        </w:tc>
      </w:tr>
      <w:tr>
        <w:tblPrEx>
          <w:tblCellMar>
            <w:top w:w="0" w:type="dxa"/>
            <w:left w:w="108" w:type="dxa"/>
            <w:bottom w:w="0" w:type="dxa"/>
            <w:right w:w="108" w:type="dxa"/>
          </w:tblCellMar>
        </w:tblPrEx>
        <w:trPr>
          <w:gridAfter w:val="1"/>
          <w:wAfter w:w="144"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12</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8050"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PE100</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357.61</w:t>
            </w:r>
          </w:p>
        </w:tc>
      </w:tr>
      <w:tr>
        <w:tblPrEx>
          <w:tblCellMar>
            <w:top w:w="0" w:type="dxa"/>
            <w:left w:w="108" w:type="dxa"/>
            <w:bottom w:w="0" w:type="dxa"/>
            <w:right w:w="108" w:type="dxa"/>
          </w:tblCellMar>
        </w:tblPrEx>
        <w:trPr>
          <w:gridAfter w:val="1"/>
          <w:wAfter w:w="144"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13</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w:t>
            </w:r>
          </w:p>
        </w:tc>
        <w:tc>
          <w:tcPr>
            <w:tcW w:w="8050"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 管内穿放CAT6(室外型)</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14889.04</w:t>
            </w:r>
          </w:p>
        </w:tc>
      </w:tr>
      <w:tr>
        <w:tblPrEx>
          <w:tblCellMar>
            <w:top w:w="0" w:type="dxa"/>
            <w:left w:w="108" w:type="dxa"/>
            <w:bottom w:w="0" w:type="dxa"/>
            <w:right w:w="108" w:type="dxa"/>
          </w:tblCellMar>
        </w:tblPrEx>
        <w:trPr>
          <w:gridAfter w:val="1"/>
          <w:wAfter w:w="144"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14</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w:t>
            </w:r>
          </w:p>
        </w:tc>
        <w:tc>
          <w:tcPr>
            <w:tcW w:w="8050"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 管内穿放CAT6</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5735.21</w:t>
            </w:r>
          </w:p>
        </w:tc>
      </w:tr>
      <w:tr>
        <w:tblPrEx>
          <w:tblCellMar>
            <w:top w:w="0" w:type="dxa"/>
            <w:left w:w="108" w:type="dxa"/>
            <w:bottom w:w="0" w:type="dxa"/>
            <w:right w:w="108" w:type="dxa"/>
          </w:tblCellMar>
        </w:tblPrEx>
        <w:trPr>
          <w:gridAfter w:val="1"/>
          <w:wAfter w:w="144"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15</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w:t>
            </w:r>
          </w:p>
        </w:tc>
        <w:tc>
          <w:tcPr>
            <w:tcW w:w="8050"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 管内穿放CAT5E</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99645.84</w:t>
            </w:r>
          </w:p>
        </w:tc>
      </w:tr>
      <w:tr>
        <w:tblPrEx>
          <w:tblCellMar>
            <w:top w:w="0" w:type="dxa"/>
            <w:left w:w="108" w:type="dxa"/>
            <w:bottom w:w="0" w:type="dxa"/>
            <w:right w:w="108" w:type="dxa"/>
          </w:tblCellMar>
        </w:tblPrEx>
        <w:trPr>
          <w:gridAfter w:val="1"/>
          <w:wAfter w:w="144"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16</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控制电缆</w:t>
            </w:r>
          </w:p>
        </w:tc>
        <w:tc>
          <w:tcPr>
            <w:tcW w:w="8050"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控制电缆敷设 KVVR2*1.5</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3921.68</w:t>
            </w:r>
          </w:p>
        </w:tc>
      </w:tr>
      <w:tr>
        <w:tblPrEx>
          <w:tblCellMar>
            <w:top w:w="0" w:type="dxa"/>
            <w:left w:w="108" w:type="dxa"/>
            <w:bottom w:w="0" w:type="dxa"/>
            <w:right w:w="108" w:type="dxa"/>
          </w:tblCellMar>
        </w:tblPrEx>
        <w:trPr>
          <w:gridAfter w:val="1"/>
          <w:wAfter w:w="144"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17</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控制电缆</w:t>
            </w:r>
          </w:p>
        </w:tc>
        <w:tc>
          <w:tcPr>
            <w:tcW w:w="8050"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控制电缆敷设 KVVR2*1.0</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953.62</w:t>
            </w:r>
          </w:p>
        </w:tc>
      </w:tr>
      <w:tr>
        <w:tblPrEx>
          <w:tblCellMar>
            <w:top w:w="0" w:type="dxa"/>
            <w:left w:w="108" w:type="dxa"/>
            <w:bottom w:w="0" w:type="dxa"/>
            <w:right w:w="108" w:type="dxa"/>
          </w:tblCellMar>
        </w:tblPrEx>
        <w:trPr>
          <w:gridAfter w:val="1"/>
          <w:wAfter w:w="144"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18</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配线</w:t>
            </w:r>
          </w:p>
        </w:tc>
        <w:tc>
          <w:tcPr>
            <w:tcW w:w="8050"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四芯单芯导线 RVV4*1.0</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3898.44</w:t>
            </w:r>
          </w:p>
        </w:tc>
      </w:tr>
      <w:tr>
        <w:tblPrEx>
          <w:tblCellMar>
            <w:top w:w="0" w:type="dxa"/>
            <w:left w:w="108" w:type="dxa"/>
            <w:bottom w:w="0" w:type="dxa"/>
            <w:right w:w="108" w:type="dxa"/>
          </w:tblCellMar>
        </w:tblPrEx>
        <w:trPr>
          <w:gridAfter w:val="1"/>
          <w:wAfter w:w="144"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19</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配线</w:t>
            </w:r>
          </w:p>
        </w:tc>
        <w:tc>
          <w:tcPr>
            <w:tcW w:w="8050"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二芯单芯导线 RVV2*1.0</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95618.88</w:t>
            </w:r>
          </w:p>
        </w:tc>
      </w:tr>
      <w:tr>
        <w:tblPrEx>
          <w:tblCellMar>
            <w:top w:w="0" w:type="dxa"/>
            <w:left w:w="108" w:type="dxa"/>
            <w:bottom w:w="0" w:type="dxa"/>
            <w:right w:w="108" w:type="dxa"/>
          </w:tblCellMar>
        </w:tblPrEx>
        <w:trPr>
          <w:gridAfter w:val="1"/>
          <w:wAfter w:w="144"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20</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光缆</w:t>
            </w:r>
          </w:p>
        </w:tc>
        <w:tc>
          <w:tcPr>
            <w:tcW w:w="8050"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室外四芯单模光纤安装</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13757.74</w:t>
            </w:r>
          </w:p>
        </w:tc>
      </w:tr>
      <w:tr>
        <w:tblPrEx>
          <w:tblCellMar>
            <w:top w:w="0" w:type="dxa"/>
            <w:left w:w="108" w:type="dxa"/>
            <w:bottom w:w="0" w:type="dxa"/>
            <w:right w:w="108" w:type="dxa"/>
          </w:tblCellMar>
        </w:tblPrEx>
        <w:trPr>
          <w:gridAfter w:val="1"/>
          <w:wAfter w:w="144"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21</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电力电缆</w:t>
            </w:r>
          </w:p>
        </w:tc>
        <w:tc>
          <w:tcPr>
            <w:tcW w:w="8050"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铜芯电力电缆敷设 YJV-3*2.5</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2198.87</w:t>
            </w:r>
          </w:p>
        </w:tc>
      </w:tr>
      <w:tr>
        <w:tblPrEx>
          <w:tblCellMar>
            <w:top w:w="0" w:type="dxa"/>
            <w:left w:w="108" w:type="dxa"/>
            <w:bottom w:w="0" w:type="dxa"/>
            <w:right w:w="108" w:type="dxa"/>
          </w:tblCellMar>
        </w:tblPrEx>
        <w:trPr>
          <w:gridAfter w:val="1"/>
          <w:wAfter w:w="144"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22</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打洞（孔）</w:t>
            </w:r>
          </w:p>
        </w:tc>
        <w:tc>
          <w:tcPr>
            <w:tcW w:w="8050"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墙面入户管打孔</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10526</w:t>
            </w:r>
          </w:p>
        </w:tc>
      </w:tr>
      <w:tr>
        <w:tblPrEx>
          <w:tblCellMar>
            <w:top w:w="0" w:type="dxa"/>
            <w:left w:w="108" w:type="dxa"/>
            <w:bottom w:w="0" w:type="dxa"/>
            <w:right w:w="108" w:type="dxa"/>
          </w:tblCellMar>
        </w:tblPrEx>
        <w:trPr>
          <w:gridAfter w:val="1"/>
          <w:wAfter w:w="144"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23</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电力电缆</w:t>
            </w:r>
          </w:p>
        </w:tc>
        <w:tc>
          <w:tcPr>
            <w:tcW w:w="8050"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铜芯电力电缆敷设 YJV-3*4</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1021.73</w:t>
            </w:r>
          </w:p>
        </w:tc>
      </w:tr>
      <w:tr>
        <w:tblPrEx>
          <w:tblCellMar>
            <w:top w:w="0" w:type="dxa"/>
            <w:left w:w="108" w:type="dxa"/>
            <w:bottom w:w="0" w:type="dxa"/>
            <w:right w:w="108" w:type="dxa"/>
          </w:tblCellMar>
        </w:tblPrEx>
        <w:trPr>
          <w:gridAfter w:val="1"/>
          <w:wAfter w:w="144"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24</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手孔井</w:t>
            </w:r>
          </w:p>
        </w:tc>
        <w:tc>
          <w:tcPr>
            <w:tcW w:w="8050"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弱电手孔井 600*600*700</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73</w:t>
            </w:r>
          </w:p>
        </w:tc>
      </w:tr>
      <w:tr>
        <w:tblPrEx>
          <w:tblCellMar>
            <w:top w:w="0" w:type="dxa"/>
            <w:left w:w="108" w:type="dxa"/>
            <w:bottom w:w="0" w:type="dxa"/>
            <w:right w:w="108" w:type="dxa"/>
          </w:tblCellMar>
        </w:tblPrEx>
        <w:trPr>
          <w:gridAfter w:val="1"/>
          <w:wAfter w:w="144" w:type="dxa"/>
          <w:trHeight w:val="57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25</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挖沟槽土方</w:t>
            </w:r>
          </w:p>
        </w:tc>
        <w:tc>
          <w:tcPr>
            <w:tcW w:w="8050"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绿化下素土开挖：人机配合挖沟槽土方不装车，土方类别综合考虑</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213.75</w:t>
            </w:r>
          </w:p>
        </w:tc>
      </w:tr>
      <w:tr>
        <w:tblPrEx>
          <w:tblCellMar>
            <w:top w:w="0" w:type="dxa"/>
            <w:left w:w="108" w:type="dxa"/>
            <w:bottom w:w="0" w:type="dxa"/>
            <w:right w:w="108" w:type="dxa"/>
          </w:tblCellMar>
        </w:tblPrEx>
        <w:trPr>
          <w:gridAfter w:val="1"/>
          <w:wAfter w:w="144" w:type="dxa"/>
          <w:trHeight w:val="57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26</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挖沟槽土方</w:t>
            </w:r>
          </w:p>
        </w:tc>
        <w:tc>
          <w:tcPr>
            <w:tcW w:w="8050"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道路结构下开挖塘渣：人机配合挖沟槽四类土不装车</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23.75</w:t>
            </w:r>
          </w:p>
        </w:tc>
      </w:tr>
      <w:tr>
        <w:tblPrEx>
          <w:tblCellMar>
            <w:top w:w="0" w:type="dxa"/>
            <w:left w:w="108" w:type="dxa"/>
            <w:bottom w:w="0" w:type="dxa"/>
            <w:right w:w="108" w:type="dxa"/>
          </w:tblCellMar>
        </w:tblPrEx>
        <w:trPr>
          <w:gridAfter w:val="1"/>
          <w:wAfter w:w="144"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27</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拆除路面</w:t>
            </w:r>
          </w:p>
        </w:tc>
        <w:tc>
          <w:tcPr>
            <w:tcW w:w="8050"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混凝土路面开挖及修复</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m2</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107.96</w:t>
            </w:r>
          </w:p>
        </w:tc>
      </w:tr>
      <w:tr>
        <w:tblPrEx>
          <w:tblCellMar>
            <w:top w:w="0" w:type="dxa"/>
            <w:left w:w="108" w:type="dxa"/>
            <w:bottom w:w="0" w:type="dxa"/>
            <w:right w:w="108" w:type="dxa"/>
          </w:tblCellMar>
        </w:tblPrEx>
        <w:trPr>
          <w:gridAfter w:val="1"/>
          <w:wAfter w:w="144"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28</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回填方</w:t>
            </w:r>
          </w:p>
        </w:tc>
        <w:tc>
          <w:tcPr>
            <w:tcW w:w="8050"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沟槽原土回填</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140.34</w:t>
            </w:r>
          </w:p>
        </w:tc>
      </w:tr>
      <w:tr>
        <w:tblPrEx>
          <w:tblCellMar>
            <w:top w:w="0" w:type="dxa"/>
            <w:left w:w="108" w:type="dxa"/>
            <w:bottom w:w="0" w:type="dxa"/>
            <w:right w:w="108" w:type="dxa"/>
          </w:tblCellMar>
        </w:tblPrEx>
        <w:trPr>
          <w:gridAfter w:val="1"/>
          <w:wAfter w:w="144"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29</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回填方</w:t>
            </w:r>
          </w:p>
        </w:tc>
        <w:tc>
          <w:tcPr>
            <w:tcW w:w="8050"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沟槽机制砂回填</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38.86</w:t>
            </w:r>
          </w:p>
        </w:tc>
      </w:tr>
      <w:tr>
        <w:tblPrEx>
          <w:tblCellMar>
            <w:top w:w="0" w:type="dxa"/>
            <w:left w:w="108" w:type="dxa"/>
            <w:bottom w:w="0" w:type="dxa"/>
            <w:right w:w="108" w:type="dxa"/>
          </w:tblCellMar>
        </w:tblPrEx>
        <w:trPr>
          <w:gridAfter w:val="1"/>
          <w:wAfter w:w="144"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30</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回填方</w:t>
            </w:r>
          </w:p>
        </w:tc>
        <w:tc>
          <w:tcPr>
            <w:tcW w:w="8050"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渠（管）道垫层 机制砂</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77.73</w:t>
            </w:r>
          </w:p>
        </w:tc>
      </w:tr>
    </w:tbl>
    <w:p>
      <w:pPr>
        <w:keepNext w:val="0"/>
        <w:keepLines w:val="0"/>
        <w:pageBreakBefore w:val="0"/>
        <w:widowControl w:val="0"/>
        <w:tabs>
          <w:tab w:val="left" w:pos="720"/>
        </w:tabs>
        <w:kinsoku/>
        <w:wordWrap/>
        <w:overflowPunct/>
        <w:topLinePunct w:val="0"/>
        <w:autoSpaceDE/>
        <w:autoSpaceDN/>
        <w:bidi w:val="0"/>
        <w:adjustRightInd/>
        <w:snapToGrid/>
        <w:spacing w:line="420" w:lineRule="exact"/>
        <w:jc w:val="both"/>
        <w:textAlignment w:val="auto"/>
        <w:rPr>
          <w:rFonts w:hint="eastAsia" w:ascii="宋体" w:hAnsi="宋体" w:cs="宋体"/>
          <w:szCs w:val="21"/>
        </w:rPr>
      </w:pPr>
    </w:p>
    <w:p>
      <w:pPr>
        <w:rPr>
          <w:rFonts w:hint="eastAsia" w:ascii="宋体" w:hAnsi="宋体" w:cs="宋体"/>
          <w:szCs w:val="21"/>
        </w:rPr>
      </w:pPr>
    </w:p>
    <w:p>
      <w:pPr>
        <w:pStyle w:val="43"/>
        <w:spacing w:line="360" w:lineRule="auto"/>
        <w:ind w:firstLine="0" w:firstLineChars="0"/>
        <w:rPr>
          <w:rFonts w:hint="eastAsia" w:ascii="宋体" w:hAnsi="宋体" w:eastAsia="宋体"/>
          <w:b/>
          <w:bCs/>
          <w:color w:val="000000"/>
          <w:sz w:val="32"/>
          <w:szCs w:val="32"/>
          <w:lang w:eastAsia="zh-CN"/>
        </w:rPr>
      </w:pPr>
      <w:r>
        <w:rPr>
          <w:rFonts w:hint="eastAsia" w:ascii="宋体" w:hAnsi="宋体"/>
          <w:b/>
          <w:bCs/>
          <w:color w:val="000000"/>
          <w:sz w:val="32"/>
          <w:szCs w:val="32"/>
        </w:rPr>
        <w:t>标项二</w:t>
      </w:r>
      <w:r>
        <w:rPr>
          <w:rFonts w:hint="eastAsia" w:ascii="宋体" w:hAnsi="宋体"/>
          <w:b/>
          <w:bCs/>
          <w:color w:val="000000"/>
          <w:sz w:val="32"/>
          <w:szCs w:val="32"/>
          <w:lang w:eastAsia="zh-CN"/>
        </w:rPr>
        <w:t>：</w:t>
      </w:r>
    </w:p>
    <w:p>
      <w:pPr>
        <w:spacing w:line="360" w:lineRule="auto"/>
        <w:rPr>
          <w:rFonts w:eastAsia="宋体"/>
          <w:b/>
          <w:bCs/>
        </w:rPr>
      </w:pPr>
      <w:r>
        <w:rPr>
          <w:rFonts w:hint="eastAsia"/>
          <w:b/>
          <w:bCs/>
        </w:rPr>
        <w:t>白云街道各小区设备配置清单</w:t>
      </w:r>
    </w:p>
    <w:tbl>
      <w:tblPr>
        <w:tblStyle w:val="14"/>
        <w:tblW w:w="13498" w:type="dxa"/>
        <w:tblInd w:w="0" w:type="dxa"/>
        <w:tblLayout w:type="fixed"/>
        <w:tblCellMar>
          <w:top w:w="0" w:type="dxa"/>
          <w:left w:w="0" w:type="dxa"/>
          <w:bottom w:w="0" w:type="dxa"/>
          <w:right w:w="0" w:type="dxa"/>
        </w:tblCellMar>
      </w:tblPr>
      <w:tblGrid>
        <w:gridCol w:w="5"/>
        <w:gridCol w:w="597"/>
        <w:gridCol w:w="194"/>
        <w:gridCol w:w="1993"/>
        <w:gridCol w:w="832"/>
        <w:gridCol w:w="922"/>
        <w:gridCol w:w="1351"/>
        <w:gridCol w:w="1710"/>
        <w:gridCol w:w="1680"/>
        <w:gridCol w:w="981"/>
        <w:gridCol w:w="350"/>
        <w:gridCol w:w="632"/>
        <w:gridCol w:w="931"/>
        <w:gridCol w:w="245"/>
        <w:gridCol w:w="976"/>
        <w:gridCol w:w="99"/>
      </w:tblGrid>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序号</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设备名称</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2"/>
                <w:szCs w:val="22"/>
              </w:rPr>
            </w:pPr>
            <w:r>
              <w:rPr>
                <w:rFonts w:hint="eastAsia" w:ascii="宋体" w:hAnsi="宋体" w:cs="宋体"/>
                <w:color w:val="000000"/>
                <w:sz w:val="22"/>
                <w:szCs w:val="22"/>
              </w:rPr>
              <w:t>欢乐家园</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2"/>
                <w:szCs w:val="22"/>
              </w:rPr>
            </w:pPr>
            <w:r>
              <w:rPr>
                <w:rFonts w:hint="eastAsia" w:ascii="宋体" w:hAnsi="宋体" w:cs="宋体"/>
                <w:color w:val="000000"/>
                <w:sz w:val="22"/>
                <w:szCs w:val="22"/>
              </w:rPr>
              <w:t>柳馨花园及宝善路90号</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2"/>
                <w:szCs w:val="22"/>
              </w:rPr>
            </w:pPr>
            <w:r>
              <w:rPr>
                <w:rFonts w:hint="eastAsia" w:ascii="宋体" w:hAnsi="宋体" w:cs="宋体"/>
                <w:color w:val="000000"/>
                <w:sz w:val="22"/>
                <w:szCs w:val="22"/>
              </w:rPr>
              <w:t>南雅社区(南雅南光+海怡花园+南雅小区)</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2"/>
                <w:szCs w:val="22"/>
              </w:rPr>
            </w:pPr>
            <w:r>
              <w:rPr>
                <w:rFonts w:hint="eastAsia" w:ascii="宋体" w:hAnsi="宋体" w:cs="宋体"/>
                <w:color w:val="000000"/>
                <w:sz w:val="22"/>
                <w:szCs w:val="22"/>
              </w:rPr>
              <w:t>宝善零星(宝善小区+柳汀街617弄等零星住宅)</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2"/>
                <w:szCs w:val="22"/>
              </w:rPr>
            </w:pPr>
            <w:r>
              <w:rPr>
                <w:rFonts w:hint="eastAsia" w:ascii="宋体" w:hAnsi="宋体" w:cs="宋体"/>
                <w:color w:val="000000"/>
                <w:sz w:val="22"/>
                <w:szCs w:val="22"/>
              </w:rPr>
              <w:t>白云一村</w:t>
            </w: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2"/>
                <w:szCs w:val="22"/>
              </w:rPr>
            </w:pPr>
            <w:r>
              <w:rPr>
                <w:rFonts w:hint="eastAsia" w:ascii="宋体" w:hAnsi="宋体" w:cs="宋体"/>
                <w:color w:val="000000"/>
                <w:sz w:val="22"/>
                <w:szCs w:val="22"/>
              </w:rPr>
              <w:t>文苑风荷</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2"/>
                <w:szCs w:val="22"/>
              </w:rPr>
            </w:pPr>
            <w:r>
              <w:rPr>
                <w:rFonts w:hint="eastAsia" w:ascii="宋体" w:hAnsi="宋体" w:cs="宋体"/>
                <w:color w:val="000000"/>
                <w:sz w:val="22"/>
                <w:szCs w:val="22"/>
              </w:rPr>
              <w:t>欢乐精品园</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数量</w:t>
            </w:r>
          </w:p>
        </w:tc>
      </w:tr>
      <w:tr>
        <w:tblPrEx>
          <w:tblCellMar>
            <w:top w:w="0" w:type="dxa"/>
            <w:left w:w="0" w:type="dxa"/>
            <w:bottom w:w="0" w:type="dxa"/>
            <w:right w:w="0" w:type="dxa"/>
          </w:tblCellMar>
        </w:tblPrEx>
        <w:trPr>
          <w:gridBefore w:val="1"/>
          <w:wBefore w:w="5" w:type="dxa"/>
          <w:trHeight w:val="462" w:hRule="atLeast"/>
        </w:trPr>
        <w:tc>
          <w:tcPr>
            <w:tcW w:w="13498" w:type="dxa"/>
            <w:gridSpan w:val="1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1、出入口控制系统1（人行出入口）</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智慧门</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双目人脸识别可视对讲围墙机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19</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主机电源12V/2A</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19</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磁力锁</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专用锁电源</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闭门器</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防水出门按钮及支架</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19</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人证合一 一体机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USB人像采集</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基础（智慧门、围墙机支架、出门按钮支架）</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r>
      <w:tr>
        <w:tblPrEx>
          <w:tblCellMar>
            <w:top w:w="0" w:type="dxa"/>
            <w:left w:w="0" w:type="dxa"/>
            <w:bottom w:w="0" w:type="dxa"/>
            <w:right w:w="0" w:type="dxa"/>
          </w:tblCellMar>
        </w:tblPrEx>
        <w:trPr>
          <w:gridBefore w:val="1"/>
          <w:wBefore w:w="5" w:type="dxa"/>
          <w:trHeight w:val="462" w:hRule="atLeast"/>
        </w:trPr>
        <w:tc>
          <w:tcPr>
            <w:tcW w:w="13498" w:type="dxa"/>
            <w:gridSpan w:val="1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2、出入口控制系统2（停车系统设备）</w:t>
            </w:r>
          </w:p>
        </w:tc>
      </w:tr>
      <w:tr>
        <w:tblPrEx>
          <w:tblCellMar>
            <w:top w:w="0" w:type="dxa"/>
            <w:left w:w="0" w:type="dxa"/>
            <w:bottom w:w="0" w:type="dxa"/>
            <w:right w:w="0" w:type="dxa"/>
          </w:tblCellMar>
        </w:tblPrEx>
        <w:trPr>
          <w:gridBefore w:val="1"/>
          <w:wBefore w:w="5" w:type="dxa"/>
          <w:trHeight w:val="462" w:hRule="atLeast"/>
        </w:trPr>
        <w:tc>
          <w:tcPr>
            <w:tcW w:w="13498" w:type="dxa"/>
            <w:gridSpan w:val="1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主要出入口单进单出</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出口杆式抓拍一体机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道闸</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防砸雷达</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14</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入口杆式抓拍一体机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道闸</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16</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防砸雷达</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17</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逻辑雷达</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18</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触发雷达</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19</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8口百兆接入交换机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r>
      <w:tr>
        <w:tblPrEx>
          <w:tblCellMar>
            <w:top w:w="0" w:type="dxa"/>
            <w:left w:w="0" w:type="dxa"/>
            <w:bottom w:w="0" w:type="dxa"/>
            <w:right w:w="0" w:type="dxa"/>
          </w:tblCellMar>
        </w:tblPrEx>
        <w:trPr>
          <w:gridBefore w:val="1"/>
          <w:wBefore w:w="5" w:type="dxa"/>
          <w:trHeight w:val="462" w:hRule="atLeast"/>
        </w:trPr>
        <w:tc>
          <w:tcPr>
            <w:tcW w:w="13498" w:type="dxa"/>
            <w:gridSpan w:val="1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管理设备</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20</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收费电脑</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21</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车辆收费软件</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22</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附件</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23</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光纤收发器</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24</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8</w:t>
            </w:r>
            <w:r>
              <w:rPr>
                <w:rStyle w:val="25"/>
              </w:rPr>
              <w:t>口千兆接入层交换机</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25</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24</w:t>
            </w:r>
            <w:r>
              <w:rPr>
                <w:rStyle w:val="25"/>
              </w:rPr>
              <w:t>口千兆接入层交换机</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26</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调试对接费用</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27</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基础（道闸设备机箱等基础）</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r>
      <w:tr>
        <w:tblPrEx>
          <w:tblCellMar>
            <w:top w:w="0" w:type="dxa"/>
            <w:left w:w="0" w:type="dxa"/>
            <w:bottom w:w="0" w:type="dxa"/>
            <w:right w:w="0" w:type="dxa"/>
          </w:tblCellMar>
        </w:tblPrEx>
        <w:trPr>
          <w:gridBefore w:val="1"/>
          <w:wBefore w:w="5" w:type="dxa"/>
          <w:trHeight w:val="462" w:hRule="atLeast"/>
        </w:trPr>
        <w:tc>
          <w:tcPr>
            <w:tcW w:w="13498" w:type="dxa"/>
            <w:gridSpan w:val="1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3、视频监控系统</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28</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微卡摄像机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29</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全局人脸摄像机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30</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人脸摄像机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31</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步态摄像机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32</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高空抛物网络摄像机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33</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彩色高清摄像机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50</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87</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182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65</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136</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69</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27</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616</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34</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彩色高清半球摄像机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35</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彩色高清电梯专用摄像机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36</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数字楼层显示器</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37</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网络传输器</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38</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200万轻智能警戒摄像机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23</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88</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39</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消防占道球机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40</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摄像机 立竿</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24</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48</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64</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52</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29</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233</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41</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视频解码器</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42</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32寸监视器</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21</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43</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视频切换器</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44</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电源</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27</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45</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配套支架</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46</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管理电脑</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47</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操作台2</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48</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操作台5</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49</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配套附件</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r>
      <w:tr>
        <w:tblPrEx>
          <w:tblCellMar>
            <w:top w:w="0" w:type="dxa"/>
            <w:left w:w="0" w:type="dxa"/>
            <w:bottom w:w="0" w:type="dxa"/>
            <w:right w:w="0" w:type="dxa"/>
          </w:tblCellMar>
        </w:tblPrEx>
        <w:trPr>
          <w:gridBefore w:val="1"/>
          <w:wBefore w:w="5" w:type="dxa"/>
          <w:trHeight w:val="462" w:hRule="atLeast"/>
        </w:trPr>
        <w:tc>
          <w:tcPr>
            <w:tcW w:w="13498" w:type="dxa"/>
            <w:gridSpan w:val="1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4、可视对讲系统</w:t>
            </w:r>
          </w:p>
        </w:tc>
      </w:tr>
      <w:tr>
        <w:tblPrEx>
          <w:tblCellMar>
            <w:top w:w="0" w:type="dxa"/>
            <w:left w:w="0" w:type="dxa"/>
            <w:bottom w:w="0" w:type="dxa"/>
            <w:right w:w="0" w:type="dxa"/>
          </w:tblCellMar>
        </w:tblPrEx>
        <w:trPr>
          <w:gridBefore w:val="1"/>
          <w:wBefore w:w="5" w:type="dxa"/>
          <w:trHeight w:val="462" w:hRule="atLeast"/>
        </w:trPr>
        <w:tc>
          <w:tcPr>
            <w:tcW w:w="13498" w:type="dxa"/>
            <w:gridSpan w:val="1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4.1、住宅部分</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50</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人脸识别可视对讲主机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48 </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70 </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111 </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44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128 </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58 </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32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491</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51</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灵性锁(双门或单门，根据实际情况确定数量。包含双门和单门）</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48 </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70 </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111 </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44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128 </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58 </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32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491</w:t>
            </w:r>
          </w:p>
        </w:tc>
      </w:tr>
      <w:tr>
        <w:tblPrEx>
          <w:tblCellMar>
            <w:top w:w="0" w:type="dxa"/>
            <w:left w:w="0" w:type="dxa"/>
            <w:bottom w:w="0" w:type="dxa"/>
            <w:right w:w="0" w:type="dxa"/>
          </w:tblCellMar>
        </w:tblPrEx>
        <w:trPr>
          <w:gridBefore w:val="1"/>
          <w:wBefore w:w="5" w:type="dxa"/>
          <w:trHeight w:val="462" w:hRule="atLeast"/>
        </w:trPr>
        <w:tc>
          <w:tcPr>
            <w:tcW w:w="13498" w:type="dxa"/>
            <w:gridSpan w:val="1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b/>
                <w:bCs/>
                <w:color w:val="000000"/>
                <w:sz w:val="20"/>
              </w:rPr>
            </w:pPr>
            <w:r>
              <w:rPr>
                <w:rFonts w:hint="eastAsia" w:ascii="宋体" w:hAnsi="宋体" w:cs="宋体"/>
                <w:b/>
                <w:bCs/>
                <w:color w:val="000000"/>
                <w:sz w:val="20"/>
              </w:rPr>
              <w:t>4.2、管理中心部分（设备网1）</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52</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主机电源12V/2A</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48 </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70 </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111 </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44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128 </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58 </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32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491</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53</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闭门器(双门或单门，根据实际情况确定数量。包含双门和单门））</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48 </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70 </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111 </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44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128 </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58 </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32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491</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54</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专用锁电源</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48 </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70 </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111 </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44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128 </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58 </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32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491</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55</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16口百兆接入交换机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36 </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42 </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77 </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34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80 </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43 </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19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331</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56</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24口百兆接入交换机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14</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57</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8口千兆POE工业接入交换机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58</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8口千兆POE接入交换机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5" w:type="dxa"/>
          <w:trHeight w:val="40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59</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24</w:t>
            </w:r>
            <w:r>
              <w:rPr>
                <w:rStyle w:val="25"/>
              </w:rPr>
              <w:t>口千兆接入层交换机</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22</w:t>
            </w:r>
          </w:p>
        </w:tc>
      </w:tr>
      <w:tr>
        <w:tblPrEx>
          <w:tblCellMar>
            <w:top w:w="0" w:type="dxa"/>
            <w:left w:w="0" w:type="dxa"/>
            <w:bottom w:w="0" w:type="dxa"/>
            <w:right w:w="0" w:type="dxa"/>
          </w:tblCellMar>
        </w:tblPrEx>
        <w:trPr>
          <w:gridBefore w:val="1"/>
          <w:wBefore w:w="5" w:type="dxa"/>
          <w:trHeight w:val="40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60</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24</w:t>
            </w:r>
            <w:r>
              <w:rPr>
                <w:rStyle w:val="25"/>
              </w:rPr>
              <w:t>口千兆POE接入层交换机</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14</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19</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46</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17</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38</w:t>
            </w: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16</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161</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61</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千兆单模光模块</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15 </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22 </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47 </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17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48 </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15 </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15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179</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62</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单模光纤跳线</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22</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47</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17</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48</w:t>
            </w: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179</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63</w:t>
            </w:r>
          </w:p>
        </w:tc>
        <w:tc>
          <w:tcPr>
            <w:tcW w:w="28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12口光纤配线架</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21</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112</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17</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48</w:t>
            </w: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243</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64</w:t>
            </w:r>
          </w:p>
        </w:tc>
        <w:tc>
          <w:tcPr>
            <w:tcW w:w="28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双工耦合器</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30</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44</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94</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34</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96</w:t>
            </w: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30</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30</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358</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65</w:t>
            </w:r>
          </w:p>
        </w:tc>
        <w:tc>
          <w:tcPr>
            <w:tcW w:w="28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尾纤LC, 单模, 0.9mm, 1米</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120</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176</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376</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136</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384</w:t>
            </w: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120</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120</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1432</w:t>
            </w:r>
          </w:p>
        </w:tc>
      </w:tr>
      <w:tr>
        <w:tblPrEx>
          <w:tblCellMar>
            <w:top w:w="0" w:type="dxa"/>
            <w:left w:w="0" w:type="dxa"/>
            <w:bottom w:w="0" w:type="dxa"/>
            <w:right w:w="0" w:type="dxa"/>
          </w:tblCellMar>
        </w:tblPrEx>
        <w:trPr>
          <w:gridBefore w:val="1"/>
          <w:wBefore w:w="5" w:type="dxa"/>
          <w:trHeight w:val="480"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66</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安防设备箱1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33 </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44 </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65 </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27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80 </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43 </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21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313</w:t>
            </w:r>
          </w:p>
        </w:tc>
      </w:tr>
      <w:tr>
        <w:tblPrEx>
          <w:tblCellMar>
            <w:top w:w="0" w:type="dxa"/>
            <w:left w:w="0" w:type="dxa"/>
            <w:bottom w:w="0" w:type="dxa"/>
            <w:right w:w="0" w:type="dxa"/>
          </w:tblCellMar>
        </w:tblPrEx>
        <w:trPr>
          <w:gridBefore w:val="1"/>
          <w:wBefore w:w="5" w:type="dxa"/>
          <w:trHeight w:val="480"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67</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安防设备箱2</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15 </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19 </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47 </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17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48 </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15 </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11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172</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68</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室外安防设备箱</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69</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室内分机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535 </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644</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1403 </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1334</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1204 </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502 </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535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6157</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70</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分机电源</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144 </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153 </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300 </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154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256 </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120 </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90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1217</w:t>
            </w:r>
          </w:p>
        </w:tc>
      </w:tr>
      <w:tr>
        <w:tblPrEx>
          <w:tblCellMar>
            <w:top w:w="0" w:type="dxa"/>
            <w:left w:w="0" w:type="dxa"/>
            <w:bottom w:w="0" w:type="dxa"/>
            <w:right w:w="0" w:type="dxa"/>
          </w:tblCellMar>
        </w:tblPrEx>
        <w:trPr>
          <w:gridBefore w:val="1"/>
          <w:wBefore w:w="5" w:type="dxa"/>
          <w:trHeight w:val="462" w:hRule="atLeast"/>
        </w:trPr>
        <w:tc>
          <w:tcPr>
            <w:tcW w:w="13498" w:type="dxa"/>
            <w:gridSpan w:val="1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4.2、管理中心部分（设备网）</w:t>
            </w:r>
          </w:p>
        </w:tc>
      </w:tr>
      <w:tr>
        <w:tblPrEx>
          <w:tblCellMar>
            <w:top w:w="0" w:type="dxa"/>
            <w:left w:w="0" w:type="dxa"/>
            <w:bottom w:w="0" w:type="dxa"/>
            <w:right w:w="0" w:type="dxa"/>
          </w:tblCellMar>
        </w:tblPrEx>
        <w:trPr>
          <w:gridBefore w:val="1"/>
          <w:wBefore w:w="5" w:type="dxa"/>
          <w:trHeight w:val="54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71</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5" w:type="dxa"/>
          <w:trHeight w:val="510"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72</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r>
      <w:tr>
        <w:tblPrEx>
          <w:tblCellMar>
            <w:top w:w="0" w:type="dxa"/>
            <w:left w:w="0" w:type="dxa"/>
            <w:bottom w:w="0" w:type="dxa"/>
            <w:right w:w="0" w:type="dxa"/>
          </w:tblCellMar>
        </w:tblPrEx>
        <w:trPr>
          <w:gridBefore w:val="1"/>
          <w:wBefore w:w="5" w:type="dxa"/>
          <w:trHeight w:val="540"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73</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核心交换机3</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5" w:type="dxa"/>
          <w:trHeight w:val="520"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74</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核心交换机4</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5" w:type="dxa"/>
          <w:trHeight w:val="560"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75</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核心交换机5</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76</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堆叠电缆</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77</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千兆单模光模块</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15 </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21 </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47 </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17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48 </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15 </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15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178</w:t>
            </w:r>
          </w:p>
        </w:tc>
      </w:tr>
      <w:tr>
        <w:tblPrEx>
          <w:tblCellMar>
            <w:top w:w="0" w:type="dxa"/>
            <w:left w:w="0" w:type="dxa"/>
            <w:bottom w:w="0" w:type="dxa"/>
            <w:right w:w="0" w:type="dxa"/>
          </w:tblCellMar>
        </w:tblPrEx>
        <w:trPr>
          <w:gridBefore w:val="1"/>
          <w:wBefore w:w="5" w:type="dxa"/>
          <w:trHeight w:val="54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78</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千兆单模光模块</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16</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79</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8</w:t>
            </w:r>
            <w:r>
              <w:rPr>
                <w:rStyle w:val="25"/>
              </w:rPr>
              <w:t>口千兆接入层交换机</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r>
      <w:tr>
        <w:tblPrEx>
          <w:tblCellMar>
            <w:top w:w="0" w:type="dxa"/>
            <w:left w:w="0" w:type="dxa"/>
            <w:bottom w:w="0" w:type="dxa"/>
            <w:right w:w="0" w:type="dxa"/>
          </w:tblCellMar>
        </w:tblPrEx>
        <w:trPr>
          <w:gridBefore w:val="1"/>
          <w:wBefore w:w="5" w:type="dxa"/>
          <w:trHeight w:val="527"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80</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24</w:t>
            </w:r>
            <w:r>
              <w:rPr>
                <w:rStyle w:val="25"/>
              </w:rPr>
              <w:t>口千兆接入层交换机</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81</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管理中心对讲主机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82</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存储设备1~64路NVR</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83</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存储设备2~32路NVR</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84</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硬盘2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17</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23</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39</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35</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28</w:t>
            </w: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18</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18</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178</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85</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IC卡发行器</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86</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IC钥匙扣卡</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1605 </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1932 </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4209 </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4002</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3612 </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1506</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1605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18471</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87</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钥匙</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1605 </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1932 </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4209 </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4002</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3612 </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1506</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1605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18471</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88</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管理电脑</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89</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街道数据汇聚</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5" w:type="dxa"/>
          <w:trHeight w:val="450"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90</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汇聚交换机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5" w:type="dxa"/>
          <w:trHeight w:val="377"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91</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服务器</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92</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小区侧智慧安防管控软件</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93</w:t>
            </w:r>
          </w:p>
        </w:tc>
        <w:tc>
          <w:tcPr>
            <w:tcW w:w="28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光纤链路费</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94</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网络机柜1~42U</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95</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网络机柜2~24U</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96</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网络机柜3~6U</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97</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附材</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r>
      <w:tr>
        <w:tblPrEx>
          <w:tblCellMar>
            <w:top w:w="0" w:type="dxa"/>
            <w:left w:w="0" w:type="dxa"/>
            <w:bottom w:w="0" w:type="dxa"/>
            <w:right w:w="0" w:type="dxa"/>
          </w:tblCellMar>
        </w:tblPrEx>
        <w:trPr>
          <w:gridBefore w:val="1"/>
          <w:wBefore w:w="5" w:type="dxa"/>
          <w:trHeight w:val="462" w:hRule="atLeast"/>
        </w:trPr>
        <w:tc>
          <w:tcPr>
            <w:tcW w:w="13498" w:type="dxa"/>
            <w:gridSpan w:val="1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5、智能感知系统</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98</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人脸摄像机带定向智能感知设备</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r>
      <w:tr>
        <w:tblPrEx>
          <w:tblCellMar>
            <w:top w:w="0" w:type="dxa"/>
            <w:left w:w="0" w:type="dxa"/>
            <w:bottom w:w="0" w:type="dxa"/>
            <w:right w:w="0" w:type="dxa"/>
          </w:tblCellMar>
        </w:tblPrEx>
        <w:trPr>
          <w:gridBefore w:val="1"/>
          <w:wBefore w:w="5" w:type="dxa"/>
          <w:trHeight w:val="462" w:hRule="atLeast"/>
        </w:trPr>
        <w:tc>
          <w:tcPr>
            <w:tcW w:w="13498" w:type="dxa"/>
            <w:gridSpan w:val="1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6、入侵报警系统</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99</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中央控制器</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100</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主机键盘</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101</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监控软件</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102</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网络IP模块</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103</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D1类高能量SPD</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 </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27</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104</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四路网络模块</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105</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二路网络模块</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48 </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54 </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85 </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36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72 </w:t>
            </w: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30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325</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106</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16路继电器</w:t>
            </w:r>
            <w:r>
              <w:rPr>
                <w:rFonts w:hint="eastAsia" w:ascii="宋体" w:hAnsi="宋体" w:cs="宋体"/>
                <w:color w:val="000000"/>
                <w:sz w:val="18"/>
                <w:szCs w:val="18"/>
              </w:rPr>
              <w:t>输出控制器</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107</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32路继电器输出控制器</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108</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烟感探测器</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96 </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108 </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170 </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144 </w:t>
            </w: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60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648</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109</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电源</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54 </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85 </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30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186</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110</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声光警号</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14 </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 </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47</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111</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四道单防区控制杆（含底座）</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 </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18</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112</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四道双防区控制杆（含底座）</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35</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113</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交流电源24V</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14 </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 </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 </w:t>
            </w: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53</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114</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避雷器</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 </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18 </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14 </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22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 </w:t>
            </w: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 </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83</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115</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中间支撑杆（含底座）</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70 </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147 </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100 </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186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62 </w:t>
            </w: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57 </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55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677</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116</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终端受力杆（含底座）</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 </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30 </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26 </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31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15 </w:t>
            </w: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11 </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134</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117</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束线器</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112 </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288 </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224 </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352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176 </w:t>
            </w: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128 </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112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1392</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118</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转向滑轮</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40 </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48 </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48 </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36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30 </w:t>
            </w: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 </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16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230</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119</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张力收紧器</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28 </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72 </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56 </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88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44 </w:t>
            </w: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32 </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28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348</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120</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张力弹簧</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28 </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72 </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56 </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88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44 </w:t>
            </w: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32 </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28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348</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121</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多股张力线</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1100 </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2340 </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1600 </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3000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1500 </w:t>
            </w: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1000 </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880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11420</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122</w:t>
            </w:r>
          </w:p>
        </w:tc>
        <w:tc>
          <w:tcPr>
            <w:tcW w:w="2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警示牌</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26 </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60 </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40 </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11 </w:t>
            </w: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30 </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22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489</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123</w:t>
            </w:r>
          </w:p>
        </w:tc>
        <w:tc>
          <w:tcPr>
            <w:tcW w:w="28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接地桩（含接地线）</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14 </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 </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 </w:t>
            </w: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53</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124</w:t>
            </w:r>
          </w:p>
        </w:tc>
        <w:tc>
          <w:tcPr>
            <w:tcW w:w="28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304不锈钢防水箱</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14 </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 </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 </w:t>
            </w: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53</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125</w:t>
            </w:r>
          </w:p>
        </w:tc>
        <w:tc>
          <w:tcPr>
            <w:tcW w:w="28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单防区模块</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20</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42</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108</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126</w:t>
            </w:r>
          </w:p>
        </w:tc>
        <w:tc>
          <w:tcPr>
            <w:tcW w:w="28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报警联动灯</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14</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c>
          <w:tcPr>
            <w:tcW w:w="1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c>
          <w:tcPr>
            <w:tcW w:w="9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57</w:t>
            </w:r>
          </w:p>
        </w:tc>
      </w:tr>
      <w:tr>
        <w:tblPrEx>
          <w:tblCellMar>
            <w:top w:w="0" w:type="dxa"/>
            <w:left w:w="0" w:type="dxa"/>
            <w:bottom w:w="0" w:type="dxa"/>
            <w:right w:w="0" w:type="dxa"/>
          </w:tblCellMar>
        </w:tblPrEx>
        <w:trPr>
          <w:gridBefore w:val="1"/>
          <w:wBefore w:w="5" w:type="dxa"/>
          <w:trHeight w:val="462" w:hRule="atLeast"/>
        </w:trPr>
        <w:tc>
          <w:tcPr>
            <w:tcW w:w="13498" w:type="dxa"/>
            <w:gridSpan w:val="1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7、街道平台侧扩容</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127</w:t>
            </w:r>
          </w:p>
        </w:tc>
        <w:tc>
          <w:tcPr>
            <w:tcW w:w="28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街道数据汇聚（标准平台）</w:t>
            </w:r>
          </w:p>
        </w:tc>
        <w:tc>
          <w:tcPr>
            <w:tcW w:w="9853" w:type="dxa"/>
            <w:gridSpan w:val="11"/>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128</w:t>
            </w:r>
          </w:p>
        </w:tc>
        <w:tc>
          <w:tcPr>
            <w:tcW w:w="28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街道数据汇聚（数据扩容）</w:t>
            </w:r>
          </w:p>
        </w:tc>
        <w:tc>
          <w:tcPr>
            <w:tcW w:w="9853" w:type="dxa"/>
            <w:gridSpan w:val="11"/>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129</w:t>
            </w:r>
          </w:p>
        </w:tc>
        <w:tc>
          <w:tcPr>
            <w:tcW w:w="28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汇聚交换机</w:t>
            </w:r>
          </w:p>
        </w:tc>
        <w:tc>
          <w:tcPr>
            <w:tcW w:w="9853" w:type="dxa"/>
            <w:gridSpan w:val="11"/>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130</w:t>
            </w:r>
          </w:p>
        </w:tc>
        <w:tc>
          <w:tcPr>
            <w:tcW w:w="28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堆叠电缆</w:t>
            </w:r>
          </w:p>
        </w:tc>
        <w:tc>
          <w:tcPr>
            <w:tcW w:w="9853" w:type="dxa"/>
            <w:gridSpan w:val="11"/>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5" w:type="dxa"/>
          <w:trHeight w:val="462" w:hRule="atLeast"/>
        </w:trPr>
        <w:tc>
          <w:tcPr>
            <w:tcW w:w="13498" w:type="dxa"/>
            <w:gridSpan w:val="1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8、管线、安装、调试</w:t>
            </w:r>
          </w:p>
        </w:tc>
      </w:tr>
      <w:tr>
        <w:tblPrEx>
          <w:tblCellMar>
            <w:top w:w="0" w:type="dxa"/>
            <w:left w:w="108" w:type="dxa"/>
            <w:bottom w:w="0" w:type="dxa"/>
            <w:right w:w="108" w:type="dxa"/>
          </w:tblCellMar>
        </w:tblPrEx>
        <w:trPr>
          <w:gridAfter w:val="1"/>
          <w:wAfter w:w="100" w:type="dxa"/>
          <w:trHeight w:val="450"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序号</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采购内容</w:t>
            </w:r>
          </w:p>
        </w:tc>
        <w:tc>
          <w:tcPr>
            <w:tcW w:w="789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规格要求</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单位</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数量</w:t>
            </w:r>
          </w:p>
        </w:tc>
      </w:tr>
      <w:tr>
        <w:tblPrEx>
          <w:tblCellMar>
            <w:top w:w="0" w:type="dxa"/>
            <w:left w:w="108" w:type="dxa"/>
            <w:bottom w:w="0" w:type="dxa"/>
            <w:right w:w="108" w:type="dxa"/>
          </w:tblCellMar>
        </w:tblPrEx>
        <w:trPr>
          <w:gridAfter w:val="1"/>
          <w:wAfter w:w="100" w:type="dxa"/>
          <w:trHeight w:val="450"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电缆保护管</w:t>
            </w:r>
          </w:p>
        </w:tc>
        <w:tc>
          <w:tcPr>
            <w:tcW w:w="789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镀锌钢管埋地敷设SC25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153.30</w:t>
            </w:r>
          </w:p>
        </w:tc>
      </w:tr>
      <w:tr>
        <w:tblPrEx>
          <w:tblCellMar>
            <w:top w:w="0" w:type="dxa"/>
            <w:left w:w="108" w:type="dxa"/>
            <w:bottom w:w="0" w:type="dxa"/>
            <w:right w:w="108" w:type="dxa"/>
          </w:tblCellMar>
        </w:tblPrEx>
        <w:trPr>
          <w:gridAfter w:val="1"/>
          <w:wAfter w:w="100" w:type="dxa"/>
          <w:trHeight w:val="450"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电缆保护管</w:t>
            </w:r>
          </w:p>
        </w:tc>
        <w:tc>
          <w:tcPr>
            <w:tcW w:w="789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镀锌钢管埋地敷设SC32</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8.11</w:t>
            </w:r>
          </w:p>
        </w:tc>
      </w:tr>
      <w:tr>
        <w:tblPrEx>
          <w:tblCellMar>
            <w:top w:w="0" w:type="dxa"/>
            <w:left w:w="108" w:type="dxa"/>
            <w:bottom w:w="0" w:type="dxa"/>
            <w:right w:w="108" w:type="dxa"/>
          </w:tblCellMar>
        </w:tblPrEx>
        <w:trPr>
          <w:gridAfter w:val="1"/>
          <w:wAfter w:w="100" w:type="dxa"/>
          <w:trHeight w:val="450"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电缆保护管</w:t>
            </w:r>
          </w:p>
        </w:tc>
        <w:tc>
          <w:tcPr>
            <w:tcW w:w="789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镀锌钢管埋地敷设SC50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42.61</w:t>
            </w:r>
          </w:p>
        </w:tc>
      </w:tr>
      <w:tr>
        <w:tblPrEx>
          <w:tblCellMar>
            <w:top w:w="0" w:type="dxa"/>
            <w:left w:w="108" w:type="dxa"/>
            <w:bottom w:w="0" w:type="dxa"/>
            <w:right w:w="108" w:type="dxa"/>
          </w:tblCellMar>
        </w:tblPrEx>
        <w:trPr>
          <w:gridAfter w:val="1"/>
          <w:wAfter w:w="100" w:type="dxa"/>
          <w:trHeight w:val="450"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电缆保护管</w:t>
            </w:r>
          </w:p>
        </w:tc>
        <w:tc>
          <w:tcPr>
            <w:tcW w:w="789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镀锌钢管埋地敷设SC100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2.60</w:t>
            </w:r>
          </w:p>
        </w:tc>
      </w:tr>
      <w:tr>
        <w:tblPrEx>
          <w:tblCellMar>
            <w:top w:w="0" w:type="dxa"/>
            <w:left w:w="108" w:type="dxa"/>
            <w:bottom w:w="0" w:type="dxa"/>
            <w:right w:w="108" w:type="dxa"/>
          </w:tblCellMar>
        </w:tblPrEx>
        <w:trPr>
          <w:gridAfter w:val="1"/>
          <w:wAfter w:w="100" w:type="dxa"/>
          <w:trHeight w:val="450"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789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砖、混凝土结构明配JDG管 JDG20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173.22</w:t>
            </w:r>
          </w:p>
        </w:tc>
      </w:tr>
      <w:tr>
        <w:tblPrEx>
          <w:tblCellMar>
            <w:top w:w="0" w:type="dxa"/>
            <w:left w:w="108" w:type="dxa"/>
            <w:bottom w:w="0" w:type="dxa"/>
            <w:right w:w="108" w:type="dxa"/>
          </w:tblCellMar>
        </w:tblPrEx>
        <w:trPr>
          <w:gridAfter w:val="1"/>
          <w:wAfter w:w="100" w:type="dxa"/>
          <w:trHeight w:val="450"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6</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789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砖、混凝土结构明配JDG管 JDG32</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1368.48</w:t>
            </w:r>
          </w:p>
        </w:tc>
      </w:tr>
      <w:tr>
        <w:tblPrEx>
          <w:tblCellMar>
            <w:top w:w="0" w:type="dxa"/>
            <w:left w:w="108" w:type="dxa"/>
            <w:bottom w:w="0" w:type="dxa"/>
            <w:right w:w="108" w:type="dxa"/>
          </w:tblCellMar>
        </w:tblPrEx>
        <w:trPr>
          <w:gridAfter w:val="1"/>
          <w:wAfter w:w="100" w:type="dxa"/>
          <w:trHeight w:val="570"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7</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789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砖、混凝土结构明配刚性阻燃管 PVC20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1410.88</w:t>
            </w:r>
          </w:p>
        </w:tc>
      </w:tr>
      <w:tr>
        <w:tblPrEx>
          <w:tblCellMar>
            <w:top w:w="0" w:type="dxa"/>
            <w:left w:w="108" w:type="dxa"/>
            <w:bottom w:w="0" w:type="dxa"/>
            <w:right w:w="108" w:type="dxa"/>
          </w:tblCellMar>
        </w:tblPrEx>
        <w:trPr>
          <w:gridAfter w:val="1"/>
          <w:wAfter w:w="100" w:type="dxa"/>
          <w:trHeight w:val="570"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8</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789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砖、混凝土结构明配刚性阻燃管 PVC25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21721.90</w:t>
            </w:r>
          </w:p>
        </w:tc>
      </w:tr>
      <w:tr>
        <w:tblPrEx>
          <w:tblCellMar>
            <w:top w:w="0" w:type="dxa"/>
            <w:left w:w="108" w:type="dxa"/>
            <w:bottom w:w="0" w:type="dxa"/>
            <w:right w:w="108" w:type="dxa"/>
          </w:tblCellMar>
        </w:tblPrEx>
        <w:trPr>
          <w:gridAfter w:val="1"/>
          <w:wAfter w:w="100" w:type="dxa"/>
          <w:trHeight w:val="450"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9</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789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PE20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51.97</w:t>
            </w:r>
          </w:p>
        </w:tc>
      </w:tr>
      <w:tr>
        <w:tblPrEx>
          <w:tblCellMar>
            <w:top w:w="0" w:type="dxa"/>
            <w:left w:w="108" w:type="dxa"/>
            <w:bottom w:w="0" w:type="dxa"/>
            <w:right w:w="108" w:type="dxa"/>
          </w:tblCellMar>
        </w:tblPrEx>
        <w:trPr>
          <w:gridAfter w:val="1"/>
          <w:wAfter w:w="100" w:type="dxa"/>
          <w:trHeight w:val="450"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789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PE25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136.88</w:t>
            </w:r>
          </w:p>
        </w:tc>
      </w:tr>
      <w:tr>
        <w:tblPrEx>
          <w:tblCellMar>
            <w:top w:w="0" w:type="dxa"/>
            <w:left w:w="108" w:type="dxa"/>
            <w:bottom w:w="0" w:type="dxa"/>
            <w:right w:w="108" w:type="dxa"/>
          </w:tblCellMar>
        </w:tblPrEx>
        <w:trPr>
          <w:gridAfter w:val="1"/>
          <w:wAfter w:w="100" w:type="dxa"/>
          <w:trHeight w:val="450"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11</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789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PE32</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247.16</w:t>
            </w:r>
          </w:p>
        </w:tc>
      </w:tr>
      <w:tr>
        <w:tblPrEx>
          <w:tblCellMar>
            <w:top w:w="0" w:type="dxa"/>
            <w:left w:w="108" w:type="dxa"/>
            <w:bottom w:w="0" w:type="dxa"/>
            <w:right w:w="108" w:type="dxa"/>
          </w:tblCellMar>
        </w:tblPrEx>
        <w:trPr>
          <w:gridAfter w:val="1"/>
          <w:wAfter w:w="100" w:type="dxa"/>
          <w:trHeight w:val="450"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12</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789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PE50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205.95</w:t>
            </w:r>
          </w:p>
        </w:tc>
      </w:tr>
      <w:tr>
        <w:tblPrEx>
          <w:tblCellMar>
            <w:top w:w="0" w:type="dxa"/>
            <w:left w:w="108" w:type="dxa"/>
            <w:bottom w:w="0" w:type="dxa"/>
            <w:right w:w="108" w:type="dxa"/>
          </w:tblCellMar>
        </w:tblPrEx>
        <w:trPr>
          <w:gridAfter w:val="1"/>
          <w:wAfter w:w="100" w:type="dxa"/>
          <w:trHeight w:val="450"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13</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789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PE100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110.43</w:t>
            </w:r>
          </w:p>
        </w:tc>
      </w:tr>
      <w:tr>
        <w:tblPrEx>
          <w:tblCellMar>
            <w:top w:w="0" w:type="dxa"/>
            <w:left w:w="108" w:type="dxa"/>
            <w:bottom w:w="0" w:type="dxa"/>
            <w:right w:w="108" w:type="dxa"/>
          </w:tblCellMar>
        </w:tblPrEx>
        <w:trPr>
          <w:gridAfter w:val="1"/>
          <w:wAfter w:w="100" w:type="dxa"/>
          <w:trHeight w:val="450"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14</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桥架</w:t>
            </w:r>
          </w:p>
        </w:tc>
        <w:tc>
          <w:tcPr>
            <w:tcW w:w="789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热镀锌桥架 CT-50*50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84.67</w:t>
            </w:r>
          </w:p>
        </w:tc>
      </w:tr>
      <w:tr>
        <w:tblPrEx>
          <w:tblCellMar>
            <w:top w:w="0" w:type="dxa"/>
            <w:left w:w="108" w:type="dxa"/>
            <w:bottom w:w="0" w:type="dxa"/>
            <w:right w:w="108" w:type="dxa"/>
          </w:tblCellMar>
        </w:tblPrEx>
        <w:trPr>
          <w:gridAfter w:val="1"/>
          <w:wAfter w:w="100" w:type="dxa"/>
          <w:trHeight w:val="450"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15</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桥架</w:t>
            </w:r>
          </w:p>
        </w:tc>
        <w:tc>
          <w:tcPr>
            <w:tcW w:w="789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热镀锌桥架 CT-100*50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88.20</w:t>
            </w:r>
          </w:p>
        </w:tc>
      </w:tr>
      <w:tr>
        <w:tblPrEx>
          <w:tblCellMar>
            <w:top w:w="0" w:type="dxa"/>
            <w:left w:w="108" w:type="dxa"/>
            <w:bottom w:w="0" w:type="dxa"/>
            <w:right w:w="108" w:type="dxa"/>
          </w:tblCellMar>
        </w:tblPrEx>
        <w:trPr>
          <w:gridAfter w:val="1"/>
          <w:wAfter w:w="100" w:type="dxa"/>
          <w:trHeight w:val="450"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16</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桥架</w:t>
            </w:r>
          </w:p>
        </w:tc>
        <w:tc>
          <w:tcPr>
            <w:tcW w:w="789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热镀锌桥架 CT-100*100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1209.37</w:t>
            </w:r>
          </w:p>
        </w:tc>
      </w:tr>
      <w:tr>
        <w:tblPrEx>
          <w:tblCellMar>
            <w:top w:w="0" w:type="dxa"/>
            <w:left w:w="108" w:type="dxa"/>
            <w:bottom w:w="0" w:type="dxa"/>
            <w:right w:w="108" w:type="dxa"/>
          </w:tblCellMar>
        </w:tblPrEx>
        <w:trPr>
          <w:gridAfter w:val="1"/>
          <w:wAfter w:w="100" w:type="dxa"/>
          <w:trHeight w:val="450"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17</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铁构件</w:t>
            </w:r>
          </w:p>
        </w:tc>
        <w:tc>
          <w:tcPr>
            <w:tcW w:w="789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一般铁构件制作安装</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kg</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1085.57</w:t>
            </w:r>
          </w:p>
        </w:tc>
      </w:tr>
      <w:tr>
        <w:tblPrEx>
          <w:tblCellMar>
            <w:top w:w="0" w:type="dxa"/>
            <w:left w:w="108" w:type="dxa"/>
            <w:bottom w:w="0" w:type="dxa"/>
            <w:right w:w="108" w:type="dxa"/>
          </w:tblCellMar>
        </w:tblPrEx>
        <w:trPr>
          <w:gridAfter w:val="1"/>
          <w:wAfter w:w="100" w:type="dxa"/>
          <w:trHeight w:val="450"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18</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w:t>
            </w:r>
          </w:p>
        </w:tc>
        <w:tc>
          <w:tcPr>
            <w:tcW w:w="789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 管内穿放CAT6(室外型)</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10888.42</w:t>
            </w:r>
          </w:p>
        </w:tc>
      </w:tr>
      <w:tr>
        <w:tblPrEx>
          <w:tblCellMar>
            <w:top w:w="0" w:type="dxa"/>
            <w:left w:w="108" w:type="dxa"/>
            <w:bottom w:w="0" w:type="dxa"/>
            <w:right w:w="108" w:type="dxa"/>
          </w:tblCellMar>
        </w:tblPrEx>
        <w:trPr>
          <w:gridAfter w:val="1"/>
          <w:wAfter w:w="100" w:type="dxa"/>
          <w:trHeight w:val="450"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19</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w:t>
            </w:r>
          </w:p>
        </w:tc>
        <w:tc>
          <w:tcPr>
            <w:tcW w:w="789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 管内穿放CAT5E</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46048.10</w:t>
            </w:r>
          </w:p>
        </w:tc>
      </w:tr>
      <w:tr>
        <w:tblPrEx>
          <w:tblCellMar>
            <w:top w:w="0" w:type="dxa"/>
            <w:left w:w="108" w:type="dxa"/>
            <w:bottom w:w="0" w:type="dxa"/>
            <w:right w:w="108" w:type="dxa"/>
          </w:tblCellMar>
        </w:tblPrEx>
        <w:trPr>
          <w:gridAfter w:val="1"/>
          <w:wAfter w:w="100" w:type="dxa"/>
          <w:trHeight w:val="450"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20</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控制电缆</w:t>
            </w:r>
          </w:p>
        </w:tc>
        <w:tc>
          <w:tcPr>
            <w:tcW w:w="789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控制电缆敷设 KVVR2*1.5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1812.28</w:t>
            </w:r>
          </w:p>
        </w:tc>
      </w:tr>
      <w:tr>
        <w:tblPrEx>
          <w:tblCellMar>
            <w:top w:w="0" w:type="dxa"/>
            <w:left w:w="108" w:type="dxa"/>
            <w:bottom w:w="0" w:type="dxa"/>
            <w:right w:w="108" w:type="dxa"/>
          </w:tblCellMar>
        </w:tblPrEx>
        <w:trPr>
          <w:gridAfter w:val="1"/>
          <w:wAfter w:w="100" w:type="dxa"/>
          <w:trHeight w:val="450"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21</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控制电缆</w:t>
            </w:r>
          </w:p>
        </w:tc>
        <w:tc>
          <w:tcPr>
            <w:tcW w:w="789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控制电缆敷设 KVVR2*1.0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105851.81</w:t>
            </w:r>
          </w:p>
        </w:tc>
      </w:tr>
      <w:tr>
        <w:tblPrEx>
          <w:tblCellMar>
            <w:top w:w="0" w:type="dxa"/>
            <w:left w:w="108" w:type="dxa"/>
            <w:bottom w:w="0" w:type="dxa"/>
            <w:right w:w="108" w:type="dxa"/>
          </w:tblCellMar>
        </w:tblPrEx>
        <w:trPr>
          <w:gridAfter w:val="1"/>
          <w:wAfter w:w="100" w:type="dxa"/>
          <w:trHeight w:val="450"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22</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配线</w:t>
            </w:r>
          </w:p>
        </w:tc>
        <w:tc>
          <w:tcPr>
            <w:tcW w:w="789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四芯单芯导线 RVV4*1.0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4704.58</w:t>
            </w:r>
          </w:p>
        </w:tc>
      </w:tr>
      <w:tr>
        <w:tblPrEx>
          <w:tblCellMar>
            <w:top w:w="0" w:type="dxa"/>
            <w:left w:w="108" w:type="dxa"/>
            <w:bottom w:w="0" w:type="dxa"/>
            <w:right w:w="108" w:type="dxa"/>
          </w:tblCellMar>
        </w:tblPrEx>
        <w:trPr>
          <w:gridAfter w:val="1"/>
          <w:wAfter w:w="100" w:type="dxa"/>
          <w:trHeight w:val="450"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23</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配线</w:t>
            </w:r>
          </w:p>
        </w:tc>
        <w:tc>
          <w:tcPr>
            <w:tcW w:w="789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二芯单芯导线 RVV2*1.0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44187.17</w:t>
            </w:r>
          </w:p>
        </w:tc>
      </w:tr>
      <w:tr>
        <w:tblPrEx>
          <w:tblCellMar>
            <w:top w:w="0" w:type="dxa"/>
            <w:left w:w="108" w:type="dxa"/>
            <w:bottom w:w="0" w:type="dxa"/>
            <w:right w:w="108" w:type="dxa"/>
          </w:tblCellMar>
        </w:tblPrEx>
        <w:trPr>
          <w:gridAfter w:val="1"/>
          <w:wAfter w:w="100" w:type="dxa"/>
          <w:trHeight w:val="450"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24</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光缆</w:t>
            </w:r>
          </w:p>
        </w:tc>
        <w:tc>
          <w:tcPr>
            <w:tcW w:w="789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室外四芯单模光纤安装</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6357.70</w:t>
            </w:r>
          </w:p>
        </w:tc>
      </w:tr>
      <w:tr>
        <w:tblPrEx>
          <w:tblCellMar>
            <w:top w:w="0" w:type="dxa"/>
            <w:left w:w="108" w:type="dxa"/>
            <w:bottom w:w="0" w:type="dxa"/>
            <w:right w:w="108" w:type="dxa"/>
          </w:tblCellMar>
        </w:tblPrEx>
        <w:trPr>
          <w:gridAfter w:val="1"/>
          <w:wAfter w:w="100" w:type="dxa"/>
          <w:trHeight w:val="450"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25</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电力电缆</w:t>
            </w:r>
          </w:p>
        </w:tc>
        <w:tc>
          <w:tcPr>
            <w:tcW w:w="789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铜芯电力电缆敷设 YJV-3*2.5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330.51</w:t>
            </w:r>
          </w:p>
        </w:tc>
      </w:tr>
      <w:tr>
        <w:tblPrEx>
          <w:tblCellMar>
            <w:top w:w="0" w:type="dxa"/>
            <w:left w:w="108" w:type="dxa"/>
            <w:bottom w:w="0" w:type="dxa"/>
            <w:right w:w="108" w:type="dxa"/>
          </w:tblCellMar>
        </w:tblPrEx>
        <w:trPr>
          <w:gridAfter w:val="1"/>
          <w:wAfter w:w="100" w:type="dxa"/>
          <w:trHeight w:val="450"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26</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电力电缆</w:t>
            </w:r>
          </w:p>
        </w:tc>
        <w:tc>
          <w:tcPr>
            <w:tcW w:w="789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铜芯电力电缆敷设 YJV-3*4</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1016.14</w:t>
            </w:r>
          </w:p>
        </w:tc>
      </w:tr>
      <w:tr>
        <w:tblPrEx>
          <w:tblCellMar>
            <w:top w:w="0" w:type="dxa"/>
            <w:left w:w="108" w:type="dxa"/>
            <w:bottom w:w="0" w:type="dxa"/>
            <w:right w:w="108" w:type="dxa"/>
          </w:tblCellMar>
        </w:tblPrEx>
        <w:trPr>
          <w:gridAfter w:val="1"/>
          <w:wAfter w:w="100" w:type="dxa"/>
          <w:trHeight w:val="450"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27</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打孔</w:t>
            </w:r>
          </w:p>
        </w:tc>
        <w:tc>
          <w:tcPr>
            <w:tcW w:w="789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桥架穿楼板打孔</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1299</w:t>
            </w:r>
          </w:p>
        </w:tc>
      </w:tr>
      <w:tr>
        <w:tblPrEx>
          <w:tblCellMar>
            <w:top w:w="0" w:type="dxa"/>
            <w:left w:w="108" w:type="dxa"/>
            <w:bottom w:w="0" w:type="dxa"/>
            <w:right w:w="108" w:type="dxa"/>
          </w:tblCellMar>
        </w:tblPrEx>
        <w:trPr>
          <w:gridAfter w:val="1"/>
          <w:wAfter w:w="100" w:type="dxa"/>
          <w:trHeight w:val="450"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28</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打孔</w:t>
            </w:r>
          </w:p>
        </w:tc>
        <w:tc>
          <w:tcPr>
            <w:tcW w:w="789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墙面入户管打孔</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6157</w:t>
            </w:r>
          </w:p>
        </w:tc>
      </w:tr>
      <w:tr>
        <w:tblPrEx>
          <w:tblCellMar>
            <w:top w:w="0" w:type="dxa"/>
            <w:left w:w="108" w:type="dxa"/>
            <w:bottom w:w="0" w:type="dxa"/>
            <w:right w:w="108" w:type="dxa"/>
          </w:tblCellMar>
        </w:tblPrEx>
        <w:trPr>
          <w:gridAfter w:val="1"/>
          <w:wAfter w:w="100" w:type="dxa"/>
          <w:trHeight w:val="450"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29</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手孔井</w:t>
            </w:r>
          </w:p>
        </w:tc>
        <w:tc>
          <w:tcPr>
            <w:tcW w:w="789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弱电手孔井 600*600*700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21</w:t>
            </w:r>
          </w:p>
        </w:tc>
      </w:tr>
      <w:tr>
        <w:tblPrEx>
          <w:tblCellMar>
            <w:top w:w="0" w:type="dxa"/>
            <w:left w:w="108" w:type="dxa"/>
            <w:bottom w:w="0" w:type="dxa"/>
            <w:right w:w="108" w:type="dxa"/>
          </w:tblCellMar>
        </w:tblPrEx>
        <w:trPr>
          <w:gridAfter w:val="1"/>
          <w:wAfter w:w="100" w:type="dxa"/>
          <w:trHeight w:val="570"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30</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挖沟槽土方</w:t>
            </w:r>
          </w:p>
        </w:tc>
        <w:tc>
          <w:tcPr>
            <w:tcW w:w="789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绿化下素土开挖：人机配合挖沟槽土方不装车，土方类别综合考虑</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59.54</w:t>
            </w:r>
          </w:p>
        </w:tc>
      </w:tr>
      <w:tr>
        <w:tblPrEx>
          <w:tblCellMar>
            <w:top w:w="0" w:type="dxa"/>
            <w:left w:w="108" w:type="dxa"/>
            <w:bottom w:w="0" w:type="dxa"/>
            <w:right w:w="108" w:type="dxa"/>
          </w:tblCellMar>
        </w:tblPrEx>
        <w:trPr>
          <w:gridAfter w:val="1"/>
          <w:wAfter w:w="100" w:type="dxa"/>
          <w:trHeight w:val="570"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31</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挖沟槽土方</w:t>
            </w:r>
          </w:p>
        </w:tc>
        <w:tc>
          <w:tcPr>
            <w:tcW w:w="789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道路结构下开挖塘渣：人机配合挖沟槽四类土不装车</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10.78</w:t>
            </w:r>
          </w:p>
        </w:tc>
      </w:tr>
      <w:tr>
        <w:tblPrEx>
          <w:tblCellMar>
            <w:top w:w="0" w:type="dxa"/>
            <w:left w:w="108" w:type="dxa"/>
            <w:bottom w:w="0" w:type="dxa"/>
            <w:right w:w="108" w:type="dxa"/>
          </w:tblCellMar>
        </w:tblPrEx>
        <w:trPr>
          <w:gridAfter w:val="1"/>
          <w:wAfter w:w="100" w:type="dxa"/>
          <w:trHeight w:val="450"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32</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拆除路面</w:t>
            </w:r>
          </w:p>
        </w:tc>
        <w:tc>
          <w:tcPr>
            <w:tcW w:w="789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混凝土路面开挖及修复</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m2</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20.22</w:t>
            </w:r>
          </w:p>
        </w:tc>
      </w:tr>
      <w:tr>
        <w:tblPrEx>
          <w:tblCellMar>
            <w:top w:w="0" w:type="dxa"/>
            <w:left w:w="108" w:type="dxa"/>
            <w:bottom w:w="0" w:type="dxa"/>
            <w:right w:w="108" w:type="dxa"/>
          </w:tblCellMar>
        </w:tblPrEx>
        <w:trPr>
          <w:gridAfter w:val="1"/>
          <w:wAfter w:w="100" w:type="dxa"/>
          <w:trHeight w:val="450"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33</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回填方</w:t>
            </w:r>
          </w:p>
        </w:tc>
        <w:tc>
          <w:tcPr>
            <w:tcW w:w="789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沟槽原土回填</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36.51</w:t>
            </w:r>
          </w:p>
        </w:tc>
      </w:tr>
      <w:tr>
        <w:tblPrEx>
          <w:tblCellMar>
            <w:top w:w="0" w:type="dxa"/>
            <w:left w:w="108" w:type="dxa"/>
            <w:bottom w:w="0" w:type="dxa"/>
            <w:right w:w="108" w:type="dxa"/>
          </w:tblCellMar>
        </w:tblPrEx>
        <w:trPr>
          <w:gridAfter w:val="1"/>
          <w:wAfter w:w="100" w:type="dxa"/>
          <w:trHeight w:val="450"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34</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回填方</w:t>
            </w:r>
          </w:p>
        </w:tc>
        <w:tc>
          <w:tcPr>
            <w:tcW w:w="789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沟槽机制砂回填</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10.05</w:t>
            </w:r>
          </w:p>
        </w:tc>
      </w:tr>
      <w:tr>
        <w:tblPrEx>
          <w:tblCellMar>
            <w:top w:w="0" w:type="dxa"/>
            <w:left w:w="108" w:type="dxa"/>
            <w:bottom w:w="0" w:type="dxa"/>
            <w:right w:w="108" w:type="dxa"/>
          </w:tblCellMar>
        </w:tblPrEx>
        <w:trPr>
          <w:gridAfter w:val="1"/>
          <w:wAfter w:w="100" w:type="dxa"/>
          <w:trHeight w:val="450"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35</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回填方</w:t>
            </w:r>
          </w:p>
        </w:tc>
        <w:tc>
          <w:tcPr>
            <w:tcW w:w="789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渠（管）道垫层 机制砂</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9.79</w:t>
            </w:r>
          </w:p>
        </w:tc>
      </w:tr>
    </w:tbl>
    <w:p>
      <w:pPr>
        <w:pStyle w:val="2"/>
        <w:rPr>
          <w:rFonts w:hint="eastAsia" w:ascii="宋体" w:hAnsi="宋体" w:cs="宋体"/>
          <w:szCs w:val="21"/>
        </w:rPr>
      </w:pPr>
    </w:p>
    <w:p>
      <w:pPr>
        <w:rPr>
          <w:rFonts w:hint="eastAsia" w:ascii="宋体" w:hAnsi="宋体" w:cs="宋体"/>
          <w:szCs w:val="21"/>
        </w:rPr>
      </w:pPr>
    </w:p>
    <w:p>
      <w:pPr>
        <w:pStyle w:val="2"/>
        <w:rPr>
          <w:rFonts w:hint="eastAsia" w:ascii="宋体" w:hAnsi="宋体" w:cs="宋体"/>
          <w:szCs w:val="21"/>
        </w:rPr>
      </w:pPr>
    </w:p>
    <w:p>
      <w:pPr>
        <w:rPr>
          <w:rFonts w:hint="eastAsia" w:ascii="宋体" w:hAnsi="宋体" w:cs="宋体"/>
          <w:szCs w:val="21"/>
        </w:rPr>
      </w:pPr>
    </w:p>
    <w:p>
      <w:pPr>
        <w:pStyle w:val="2"/>
        <w:rPr>
          <w:rFonts w:hint="eastAsia" w:ascii="宋体" w:hAnsi="宋体" w:cs="宋体"/>
          <w:szCs w:val="21"/>
        </w:rPr>
      </w:pPr>
    </w:p>
    <w:p>
      <w:pPr>
        <w:rPr>
          <w:rFonts w:hint="eastAsia" w:ascii="宋体" w:hAnsi="宋体" w:cs="宋体"/>
          <w:szCs w:val="21"/>
        </w:rPr>
      </w:pPr>
    </w:p>
    <w:p>
      <w:pPr>
        <w:pStyle w:val="2"/>
        <w:rPr>
          <w:rFonts w:hint="eastAsia"/>
        </w:rPr>
      </w:pPr>
    </w:p>
    <w:p>
      <w:pPr>
        <w:keepNext w:val="0"/>
        <w:keepLines w:val="0"/>
        <w:pageBreakBefore w:val="0"/>
        <w:widowControl w:val="0"/>
        <w:tabs>
          <w:tab w:val="left" w:pos="720"/>
        </w:tabs>
        <w:kinsoku/>
        <w:wordWrap/>
        <w:overflowPunct/>
        <w:topLinePunct w:val="0"/>
        <w:autoSpaceDE/>
        <w:autoSpaceDN/>
        <w:bidi w:val="0"/>
        <w:adjustRightInd/>
        <w:snapToGrid/>
        <w:spacing w:line="420" w:lineRule="exact"/>
        <w:jc w:val="both"/>
        <w:textAlignment w:val="auto"/>
        <w:rPr>
          <w:rFonts w:hint="eastAsia" w:ascii="宋体" w:hAnsi="宋体" w:cs="宋体"/>
          <w:szCs w:val="21"/>
        </w:rPr>
      </w:pPr>
    </w:p>
    <w:p>
      <w:pPr>
        <w:rPr>
          <w:rFonts w:hint="default" w:eastAsia="宋体"/>
          <w:lang w:val="en-US" w:eastAsia="zh-CN"/>
        </w:rPr>
      </w:pPr>
    </w:p>
    <w:p>
      <w:pPr>
        <w:pStyle w:val="2"/>
        <w:rPr>
          <w:rFonts w:hint="default" w:eastAsia="宋体"/>
          <w:lang w:val="en-US" w:eastAsia="zh-CN"/>
        </w:rPr>
      </w:pPr>
    </w:p>
    <w:p>
      <w:pPr>
        <w:rPr>
          <w:rFonts w:hint="default" w:eastAsia="宋体"/>
          <w:lang w:val="en-US" w:eastAsia="zh-CN"/>
        </w:rPr>
      </w:pPr>
    </w:p>
    <w:p>
      <w:pPr>
        <w:pStyle w:val="2"/>
        <w:rPr>
          <w:rFonts w:hint="default" w:eastAsia="宋体"/>
          <w:lang w:val="en-US" w:eastAsia="zh-CN"/>
        </w:rPr>
      </w:pPr>
    </w:p>
    <w:p>
      <w:pPr>
        <w:rPr>
          <w:rFonts w:hint="default"/>
          <w:lang w:val="en-US" w:eastAsia="zh-CN"/>
        </w:rPr>
      </w:pPr>
    </w:p>
    <w:p>
      <w:pPr>
        <w:pStyle w:val="2"/>
        <w:rPr>
          <w:rFonts w:hint="default"/>
          <w:lang w:val="en-US" w:eastAsia="zh-CN"/>
        </w:rPr>
        <w:sectPr>
          <w:footerReference r:id="rId9" w:type="default"/>
          <w:pgSz w:w="16840" w:h="11907" w:orient="landscape"/>
          <w:pgMar w:top="1106" w:right="1418" w:bottom="1077" w:left="1418" w:header="720" w:footer="720" w:gutter="0"/>
          <w:pgBorders>
            <w:top w:val="none" w:sz="0" w:space="0"/>
            <w:left w:val="none" w:sz="0" w:space="0"/>
            <w:bottom w:val="none" w:sz="0" w:space="0"/>
            <w:right w:val="none" w:sz="0" w:space="0"/>
          </w:pgBorders>
          <w:pgNumType w:fmt="decimal"/>
          <w:cols w:space="720" w:num="1"/>
          <w:docGrid w:type="lines" w:linePitch="286" w:charSpace="0"/>
        </w:sectPr>
      </w:pPr>
    </w:p>
    <w:p>
      <w:pPr>
        <w:rPr>
          <w:rFonts w:eastAsia="宋体"/>
          <w:b/>
          <w:bCs/>
        </w:rPr>
      </w:pPr>
      <w:bookmarkStart w:id="137" w:name="_Toc498091105"/>
      <w:bookmarkStart w:id="138" w:name="_Toc20161"/>
      <w:bookmarkStart w:id="139" w:name="_Toc6125"/>
      <w:r>
        <w:rPr>
          <w:rFonts w:hint="eastAsia"/>
          <w:b/>
          <w:bCs/>
        </w:rPr>
        <w:t>段塘街道各小区设备配置清单</w:t>
      </w:r>
    </w:p>
    <w:tbl>
      <w:tblPr>
        <w:tblStyle w:val="14"/>
        <w:tblW w:w="9562" w:type="dxa"/>
        <w:tblInd w:w="0" w:type="dxa"/>
        <w:tblLayout w:type="fixed"/>
        <w:tblCellMar>
          <w:top w:w="0" w:type="dxa"/>
          <w:left w:w="0" w:type="dxa"/>
          <w:bottom w:w="0" w:type="dxa"/>
          <w:right w:w="0" w:type="dxa"/>
        </w:tblCellMar>
      </w:tblPr>
      <w:tblGrid>
        <w:gridCol w:w="6"/>
        <w:gridCol w:w="794"/>
        <w:gridCol w:w="1979"/>
        <w:gridCol w:w="621"/>
        <w:gridCol w:w="978"/>
        <w:gridCol w:w="1007"/>
        <w:gridCol w:w="978"/>
        <w:gridCol w:w="556"/>
        <w:gridCol w:w="823"/>
        <w:gridCol w:w="394"/>
        <w:gridCol w:w="615"/>
        <w:gridCol w:w="690"/>
        <w:gridCol w:w="121"/>
      </w:tblGrid>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序号</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设备名称</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启文花园</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南苑南区</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花苑新村</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南苑街148弄</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牡丹新村</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数量</w:t>
            </w:r>
          </w:p>
        </w:tc>
      </w:tr>
      <w:tr>
        <w:tblPrEx>
          <w:tblCellMar>
            <w:top w:w="0" w:type="dxa"/>
            <w:left w:w="0" w:type="dxa"/>
            <w:bottom w:w="0" w:type="dxa"/>
            <w:right w:w="0" w:type="dxa"/>
          </w:tblCellMar>
        </w:tblPrEx>
        <w:trPr>
          <w:gridBefore w:val="1"/>
          <w:wBefore w:w="6" w:type="dxa"/>
          <w:trHeight w:val="462" w:hRule="atLeast"/>
        </w:trPr>
        <w:tc>
          <w:tcPr>
            <w:tcW w:w="9562"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1、出入口控制系统1（人行出入口）</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智慧门</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双目人脸识别可视对讲围墙机</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主机电源12V/2A</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磁力锁</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专用锁电源</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闭门器</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防水出门按钮及支架</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人证合一 一体机</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USB人像采集</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基础（智慧门、围墙机支架、出门按钮支架）</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6" w:type="dxa"/>
          <w:trHeight w:val="462" w:hRule="atLeast"/>
        </w:trPr>
        <w:tc>
          <w:tcPr>
            <w:tcW w:w="9562"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2、出入口控制系统2（停车系统设备）</w:t>
            </w:r>
          </w:p>
        </w:tc>
      </w:tr>
      <w:tr>
        <w:tblPrEx>
          <w:tblCellMar>
            <w:top w:w="0" w:type="dxa"/>
            <w:left w:w="0" w:type="dxa"/>
            <w:bottom w:w="0" w:type="dxa"/>
            <w:right w:w="0" w:type="dxa"/>
          </w:tblCellMar>
        </w:tblPrEx>
        <w:trPr>
          <w:gridBefore w:val="1"/>
          <w:wBefore w:w="6" w:type="dxa"/>
          <w:trHeight w:val="462" w:hRule="atLeast"/>
        </w:trPr>
        <w:tc>
          <w:tcPr>
            <w:tcW w:w="9562"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主要出入口单进单出</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出口杆式抓拍一体机</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道闸</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防砸雷达</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14</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入口杆式抓拍一体机</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道闸</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16</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防砸雷达</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17</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逻辑雷达</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415"/>
                <w:tab w:val="center" w:pos="540"/>
              </w:tabs>
              <w:textAlignment w:val="center"/>
              <w:rPr>
                <w:rFonts w:ascii="宋体" w:hAnsi="宋体" w:cs="宋体"/>
                <w:color w:val="000000"/>
                <w:sz w:val="20"/>
              </w:rPr>
            </w:pPr>
            <w:r>
              <w:rPr>
                <w:rFonts w:hint="eastAsia" w:ascii="宋体" w:hAnsi="宋体" w:cs="宋体"/>
                <w:color w:val="000000"/>
                <w:sz w:val="20"/>
              </w:rPr>
              <w:tab/>
            </w:r>
            <w:r>
              <w:rPr>
                <w:rFonts w:hint="eastAsia" w:ascii="宋体" w:hAnsi="宋体" w:cs="宋体"/>
                <w:color w:val="000000"/>
                <w:sz w:val="20"/>
              </w:rPr>
              <w:t>3</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18</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触发雷达</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19</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8口百兆接入交换机</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6" w:type="dxa"/>
          <w:trHeight w:val="462" w:hRule="atLeast"/>
        </w:trPr>
        <w:tc>
          <w:tcPr>
            <w:tcW w:w="9562"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管理设备</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20</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收费电脑</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21</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车辆收费软件</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22</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附件</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23</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光纤收发器</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24</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8口千兆接入层交换机</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25</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24口千兆接入层交换机</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26</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调试对接费用</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27</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基础（道闸设备机箱等基础）</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r>
      <w:tr>
        <w:tblPrEx>
          <w:tblCellMar>
            <w:top w:w="0" w:type="dxa"/>
            <w:left w:w="0" w:type="dxa"/>
            <w:bottom w:w="0" w:type="dxa"/>
            <w:right w:w="0" w:type="dxa"/>
          </w:tblCellMar>
        </w:tblPrEx>
        <w:trPr>
          <w:gridBefore w:val="1"/>
          <w:wBefore w:w="6" w:type="dxa"/>
          <w:trHeight w:val="462" w:hRule="atLeast"/>
        </w:trPr>
        <w:tc>
          <w:tcPr>
            <w:tcW w:w="9562"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3、视频监控系统</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28</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微卡摄像机</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29</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全局人脸摄像机</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30</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人脸摄像机</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14</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31</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步态摄像机</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32</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高空抛物网络摄像机</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33</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彩色高清摄像机</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101</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144</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30</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29</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44</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348</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34</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彩色高清半球摄像机</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35</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彩色高清电梯专用摄像机</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36</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数字楼层显示器</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37</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网络传输器</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38</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200万轻智能警戒摄像机</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23</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22</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75</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39</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消防占道球机</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40</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摄像机 立竿</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32</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47</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19</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17</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17</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132</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41</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视频解码器</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42</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32寸监视器</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43</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视频切换器</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44</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电源</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18</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45</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配套支架</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46</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管理电脑</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47</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操作台2</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48</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配套附件</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6" w:type="dxa"/>
          <w:trHeight w:val="462" w:hRule="atLeast"/>
        </w:trPr>
        <w:tc>
          <w:tcPr>
            <w:tcW w:w="9562"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4、可视对讲系统</w:t>
            </w:r>
          </w:p>
        </w:tc>
      </w:tr>
      <w:tr>
        <w:tblPrEx>
          <w:tblCellMar>
            <w:top w:w="0" w:type="dxa"/>
            <w:left w:w="0" w:type="dxa"/>
            <w:bottom w:w="0" w:type="dxa"/>
            <w:right w:w="0" w:type="dxa"/>
          </w:tblCellMar>
        </w:tblPrEx>
        <w:trPr>
          <w:gridBefore w:val="1"/>
          <w:wBefore w:w="6" w:type="dxa"/>
          <w:trHeight w:val="462" w:hRule="atLeast"/>
        </w:trPr>
        <w:tc>
          <w:tcPr>
            <w:tcW w:w="9562"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4.1、住宅部分</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49</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人脸识别可视对讲主机</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103 </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200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49 </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36 </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39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427</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50</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灵性锁(双门或单门，根据实际情况确定数量。包含双门和单门）</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103 </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200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49 </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36 </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39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427</w:t>
            </w:r>
          </w:p>
        </w:tc>
      </w:tr>
      <w:tr>
        <w:tblPrEx>
          <w:tblCellMar>
            <w:top w:w="0" w:type="dxa"/>
            <w:left w:w="0" w:type="dxa"/>
            <w:bottom w:w="0" w:type="dxa"/>
            <w:right w:w="0" w:type="dxa"/>
          </w:tblCellMar>
        </w:tblPrEx>
        <w:trPr>
          <w:gridBefore w:val="1"/>
          <w:wBefore w:w="6" w:type="dxa"/>
          <w:trHeight w:val="462" w:hRule="atLeast"/>
        </w:trPr>
        <w:tc>
          <w:tcPr>
            <w:tcW w:w="9562"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b/>
                <w:bCs/>
                <w:color w:val="000000"/>
                <w:sz w:val="20"/>
              </w:rPr>
            </w:pPr>
            <w:r>
              <w:rPr>
                <w:rFonts w:hint="eastAsia" w:ascii="宋体" w:hAnsi="宋体" w:cs="宋体"/>
                <w:b/>
                <w:bCs/>
                <w:color w:val="000000"/>
                <w:sz w:val="20"/>
              </w:rPr>
              <w:t>4.2、管理中心部分（设备网1）</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51</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主机电源12V/2A</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103 </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200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49 </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36 </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39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427</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52</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闭门器(双门或单门，根据实际情况确定数量。包含双门和单门））</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53</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专用锁电源</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103 </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200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49 </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36 </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39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427</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54</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16口百兆接入交换机</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64 </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139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37 </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26 </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24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290</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55</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24口百兆接入交换机</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56</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8口千兆POE工业接入交换机</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57</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8口千兆POE接入交换机</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58</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24口千兆接入层交换机</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w:t>
            </w:r>
          </w:p>
        </w:tc>
      </w:tr>
      <w:tr>
        <w:tblPrEx>
          <w:tblCellMar>
            <w:top w:w="0" w:type="dxa"/>
            <w:left w:w="0" w:type="dxa"/>
            <w:bottom w:w="0" w:type="dxa"/>
            <w:right w:w="0" w:type="dxa"/>
          </w:tblCellMar>
        </w:tblPrEx>
        <w:trPr>
          <w:gridBefore w:val="1"/>
          <w:wBefore w:w="6"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59</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24口千兆</w:t>
            </w:r>
            <w:r>
              <w:rPr>
                <w:rStyle w:val="34"/>
                <w:rFonts w:hint="default"/>
              </w:rPr>
              <w:t>POE</w:t>
            </w:r>
            <w:r>
              <w:rPr>
                <w:rFonts w:hint="eastAsia" w:ascii="宋体" w:hAnsi="宋体" w:cs="宋体"/>
                <w:color w:val="000000"/>
                <w:sz w:val="20"/>
              </w:rPr>
              <w:t>接入层交换机</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37</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57</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130</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60</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千兆单模光模块</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40 </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61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 </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11 </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15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139</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61</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单模光纤跳线</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40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61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 </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11 </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15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139</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62</w:t>
            </w:r>
          </w:p>
        </w:tc>
        <w:tc>
          <w:tcPr>
            <w:tcW w:w="26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12口光纤配线架</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40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61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 </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11 </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15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139</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63</w:t>
            </w:r>
          </w:p>
        </w:tc>
        <w:tc>
          <w:tcPr>
            <w:tcW w:w="26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双工耦合器</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80</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122</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24</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22</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30</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278</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64</w:t>
            </w:r>
          </w:p>
        </w:tc>
        <w:tc>
          <w:tcPr>
            <w:tcW w:w="26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尾纤LC, 单模, 0.9mm, 1米</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320</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488</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96</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88</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120</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1112</w:t>
            </w:r>
          </w:p>
        </w:tc>
      </w:tr>
      <w:tr>
        <w:tblPrEx>
          <w:tblCellMar>
            <w:top w:w="0" w:type="dxa"/>
            <w:left w:w="0" w:type="dxa"/>
            <w:bottom w:w="0" w:type="dxa"/>
            <w:right w:w="0" w:type="dxa"/>
          </w:tblCellMar>
        </w:tblPrEx>
        <w:trPr>
          <w:gridBefore w:val="1"/>
          <w:wBefore w:w="6" w:type="dxa"/>
          <w:trHeight w:val="480"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65</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安防设备箱1</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75 </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139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37 </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26 </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24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301</w:t>
            </w:r>
          </w:p>
        </w:tc>
      </w:tr>
      <w:tr>
        <w:tblPrEx>
          <w:tblCellMar>
            <w:top w:w="0" w:type="dxa"/>
            <w:left w:w="0" w:type="dxa"/>
            <w:bottom w:w="0" w:type="dxa"/>
            <w:right w:w="0" w:type="dxa"/>
          </w:tblCellMar>
        </w:tblPrEx>
        <w:trPr>
          <w:gridBefore w:val="1"/>
          <w:wBefore w:w="6" w:type="dxa"/>
          <w:trHeight w:val="480"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66</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安防设备箱2</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40 </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62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13 </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 </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16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143</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67</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室外安防设备箱</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68</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室内分机</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1219 </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2588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538 </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418 </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630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5393</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69</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分机电源</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242 </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520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110 </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85 </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126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1083</w:t>
            </w:r>
          </w:p>
        </w:tc>
      </w:tr>
      <w:tr>
        <w:tblPrEx>
          <w:tblCellMar>
            <w:top w:w="0" w:type="dxa"/>
            <w:left w:w="0" w:type="dxa"/>
            <w:bottom w:w="0" w:type="dxa"/>
            <w:right w:w="0" w:type="dxa"/>
          </w:tblCellMar>
        </w:tblPrEx>
        <w:trPr>
          <w:gridBefore w:val="1"/>
          <w:wBefore w:w="6" w:type="dxa"/>
          <w:trHeight w:val="462" w:hRule="atLeast"/>
        </w:trPr>
        <w:tc>
          <w:tcPr>
            <w:tcW w:w="9562"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4.2、管理中心部分（设备网）</w:t>
            </w:r>
          </w:p>
        </w:tc>
      </w:tr>
      <w:tr>
        <w:tblPrEx>
          <w:tblCellMar>
            <w:top w:w="0" w:type="dxa"/>
            <w:left w:w="0" w:type="dxa"/>
            <w:bottom w:w="0" w:type="dxa"/>
            <w:right w:w="0" w:type="dxa"/>
          </w:tblCellMar>
        </w:tblPrEx>
        <w:trPr>
          <w:gridBefore w:val="1"/>
          <w:wBefore w:w="6" w:type="dxa"/>
          <w:trHeight w:val="497"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70</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核心交换机1</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594"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71</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核心交换机2</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6" w:type="dxa"/>
          <w:trHeight w:val="560"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72</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核心交换机3</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r>
      <w:tr>
        <w:tblPrEx>
          <w:tblCellMar>
            <w:top w:w="0" w:type="dxa"/>
            <w:left w:w="0" w:type="dxa"/>
            <w:bottom w:w="0" w:type="dxa"/>
            <w:right w:w="0" w:type="dxa"/>
          </w:tblCellMar>
        </w:tblPrEx>
        <w:trPr>
          <w:gridBefore w:val="1"/>
          <w:wBefore w:w="6" w:type="dxa"/>
          <w:trHeight w:val="515"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73</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核心交换机4</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534"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74</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核心交换机5</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75</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堆叠电缆</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76</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千兆单模光模块</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40 </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61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 </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11 </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15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139</w:t>
            </w:r>
          </w:p>
        </w:tc>
      </w:tr>
      <w:tr>
        <w:tblPrEx>
          <w:tblCellMar>
            <w:top w:w="0" w:type="dxa"/>
            <w:left w:w="0" w:type="dxa"/>
            <w:bottom w:w="0" w:type="dxa"/>
            <w:right w:w="0" w:type="dxa"/>
          </w:tblCellMar>
        </w:tblPrEx>
        <w:trPr>
          <w:gridBefore w:val="1"/>
          <w:wBefore w:w="6" w:type="dxa"/>
          <w:trHeight w:val="527"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77</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千兆单模光模块</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78</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8口千兆接入层交换机</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6" w:type="dxa"/>
          <w:trHeight w:val="527"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79</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24口千兆接入层交换机</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80</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管理中心对讲主机</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81</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存储设备1~64路NVR</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82</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存储设备2~32路NVR</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83</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硬盘2</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34</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33</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103</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84</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IC卡发行器</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85</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IC钥匙扣卡</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3657 </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7764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1614 </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1254 </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1890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16179</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86</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钥匙</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3657 </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7764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1614 </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1254 </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1890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16179</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87</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管理电脑</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88</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街道数据汇聚</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545"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89</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汇聚交换机</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90</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服务器</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91</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小区侧智慧安防管控软件</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92</w:t>
            </w:r>
          </w:p>
        </w:tc>
        <w:tc>
          <w:tcPr>
            <w:tcW w:w="26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光纤链路费</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93</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网络机柜1~42U</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94</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网络机柜2~24U</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95</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网络机柜3~6U</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96</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附材</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6" w:type="dxa"/>
          <w:trHeight w:val="462" w:hRule="atLeast"/>
        </w:trPr>
        <w:tc>
          <w:tcPr>
            <w:tcW w:w="9562"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5、智能感知系统</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97</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人脸摄像机带定向智能感知设备</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6" w:type="dxa"/>
          <w:trHeight w:val="462" w:hRule="atLeast"/>
        </w:trPr>
        <w:tc>
          <w:tcPr>
            <w:tcW w:w="9562"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6、入侵报警系统</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98</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中央控制器</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99</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主机键盘</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100</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监控软件</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101</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网络IP模块</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102</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D1类高能量SPD</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103</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四路网络模块</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104</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二路网络模块</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70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172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25 </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26 </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293</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105</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16路继电器</w:t>
            </w:r>
            <w:r>
              <w:rPr>
                <w:rStyle w:val="27"/>
                <w:rFonts w:hint="default"/>
                <w:sz w:val="24"/>
                <w:szCs w:val="24"/>
              </w:rPr>
              <w:t>输出控制器</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106</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32路继电器输出控制器</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107</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烟感探测器</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139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344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50 </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52 </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585</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108</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电源</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109</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声光警号</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110</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四道单防区控制杆（含底座）</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16</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111</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四道双防区控制杆（含底座）</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11 </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36</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112</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交流电源24V</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13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17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11 </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52</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113</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避雷器</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23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26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22 </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11 </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88</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114</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中间支撑杆（含底座）</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165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198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115 </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40 </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55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573</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115</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终端受力杆（含底座）</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15 </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15 </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77</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116</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束线器</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368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416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352 </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176 </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96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1408</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117</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转向滑轮</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32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56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36 </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32 </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20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176</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118</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张力收紧器</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92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104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88 </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44 </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24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352</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119</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张力弹簧</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92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104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88 </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44 </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24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352</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120</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多股张力线</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2700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3300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1800 </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600 </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860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9260</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121</w:t>
            </w:r>
          </w:p>
        </w:tc>
        <w:tc>
          <w:tcPr>
            <w:tcW w:w="2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警示牌</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60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78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45 </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16 </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22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221</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122</w:t>
            </w:r>
          </w:p>
        </w:tc>
        <w:tc>
          <w:tcPr>
            <w:tcW w:w="26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接地桩（含接地线）</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13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17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11 </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52</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123</w:t>
            </w:r>
          </w:p>
        </w:tc>
        <w:tc>
          <w:tcPr>
            <w:tcW w:w="26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304不锈钢防水箱</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13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17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11 </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52</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124</w:t>
            </w:r>
          </w:p>
        </w:tc>
        <w:tc>
          <w:tcPr>
            <w:tcW w:w="26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单防区模块</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23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26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22 </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11 </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88</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125</w:t>
            </w:r>
          </w:p>
        </w:tc>
        <w:tc>
          <w:tcPr>
            <w:tcW w:w="26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报警联动灯</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13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17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11 </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52</w:t>
            </w:r>
          </w:p>
        </w:tc>
      </w:tr>
      <w:tr>
        <w:tblPrEx>
          <w:tblCellMar>
            <w:top w:w="0" w:type="dxa"/>
            <w:left w:w="0" w:type="dxa"/>
            <w:bottom w:w="0" w:type="dxa"/>
            <w:right w:w="0" w:type="dxa"/>
          </w:tblCellMar>
        </w:tblPrEx>
        <w:trPr>
          <w:gridBefore w:val="1"/>
          <w:wBefore w:w="6" w:type="dxa"/>
          <w:trHeight w:val="462" w:hRule="atLeast"/>
        </w:trPr>
        <w:tc>
          <w:tcPr>
            <w:tcW w:w="9562"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7、街道平台侧扩容</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126</w:t>
            </w:r>
          </w:p>
        </w:tc>
        <w:tc>
          <w:tcPr>
            <w:tcW w:w="26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街道数据汇聚（标准平台）</w:t>
            </w:r>
          </w:p>
        </w:tc>
        <w:tc>
          <w:tcPr>
            <w:tcW w:w="6135"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6" w:type="dxa"/>
          <w:trHeight w:val="46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127</w:t>
            </w:r>
          </w:p>
        </w:tc>
        <w:tc>
          <w:tcPr>
            <w:tcW w:w="26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街道数据汇聚（数据扩容）</w:t>
            </w:r>
          </w:p>
        </w:tc>
        <w:tc>
          <w:tcPr>
            <w:tcW w:w="6135"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r>
      <w:tr>
        <w:tblPrEx>
          <w:tblCellMar>
            <w:top w:w="0" w:type="dxa"/>
            <w:left w:w="0" w:type="dxa"/>
            <w:bottom w:w="0" w:type="dxa"/>
            <w:right w:w="0" w:type="dxa"/>
          </w:tblCellMar>
        </w:tblPrEx>
        <w:trPr>
          <w:gridBefore w:val="1"/>
          <w:wBefore w:w="6" w:type="dxa"/>
          <w:trHeight w:val="462" w:hRule="atLeast"/>
        </w:trPr>
        <w:tc>
          <w:tcPr>
            <w:tcW w:w="9562"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8、管线、安装、调试</w:t>
            </w:r>
          </w:p>
        </w:tc>
      </w:tr>
      <w:tr>
        <w:tblPrEx>
          <w:tblCellMar>
            <w:top w:w="0" w:type="dxa"/>
            <w:left w:w="108" w:type="dxa"/>
            <w:bottom w:w="0" w:type="dxa"/>
            <w:right w:w="108" w:type="dxa"/>
          </w:tblCellMar>
        </w:tblPrEx>
        <w:trPr>
          <w:gridAfter w:val="1"/>
          <w:wAfter w:w="123" w:type="dxa"/>
          <w:trHeight w:val="450" w:hRule="atLeast"/>
        </w:trPr>
        <w:tc>
          <w:tcPr>
            <w:tcW w:w="80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序号</w:t>
            </w:r>
          </w:p>
        </w:tc>
        <w:tc>
          <w:tcPr>
            <w:tcW w:w="20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采购内容</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规格要求</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单位</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数量</w:t>
            </w:r>
          </w:p>
        </w:tc>
      </w:tr>
      <w:tr>
        <w:tblPrEx>
          <w:tblCellMar>
            <w:top w:w="0" w:type="dxa"/>
            <w:left w:w="108" w:type="dxa"/>
            <w:bottom w:w="0" w:type="dxa"/>
            <w:right w:w="108" w:type="dxa"/>
          </w:tblCellMar>
        </w:tblPrEx>
        <w:trPr>
          <w:gridAfter w:val="1"/>
          <w:wAfter w:w="123" w:type="dxa"/>
          <w:trHeight w:val="450" w:hRule="atLeast"/>
        </w:trPr>
        <w:tc>
          <w:tcPr>
            <w:tcW w:w="80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20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电缆保护管</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镀锌钢管埋地敷设SC25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139.57</w:t>
            </w:r>
          </w:p>
        </w:tc>
      </w:tr>
      <w:tr>
        <w:tblPrEx>
          <w:tblCellMar>
            <w:top w:w="0" w:type="dxa"/>
            <w:left w:w="108" w:type="dxa"/>
            <w:bottom w:w="0" w:type="dxa"/>
            <w:right w:w="108" w:type="dxa"/>
          </w:tblCellMar>
        </w:tblPrEx>
        <w:trPr>
          <w:gridAfter w:val="1"/>
          <w:wAfter w:w="123" w:type="dxa"/>
          <w:trHeight w:val="450" w:hRule="atLeast"/>
        </w:trPr>
        <w:tc>
          <w:tcPr>
            <w:tcW w:w="80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20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电缆保护管</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镀锌钢管埋地敷设SC32</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7.33</w:t>
            </w:r>
          </w:p>
        </w:tc>
      </w:tr>
      <w:tr>
        <w:tblPrEx>
          <w:tblCellMar>
            <w:top w:w="0" w:type="dxa"/>
            <w:left w:w="108" w:type="dxa"/>
            <w:bottom w:w="0" w:type="dxa"/>
            <w:right w:w="108" w:type="dxa"/>
          </w:tblCellMar>
        </w:tblPrEx>
        <w:trPr>
          <w:gridAfter w:val="1"/>
          <w:wAfter w:w="123" w:type="dxa"/>
          <w:trHeight w:val="450" w:hRule="atLeast"/>
        </w:trPr>
        <w:tc>
          <w:tcPr>
            <w:tcW w:w="80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20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电缆保护管</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镀锌钢管埋地敷设SC50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38.53</w:t>
            </w:r>
          </w:p>
        </w:tc>
      </w:tr>
      <w:tr>
        <w:tblPrEx>
          <w:tblCellMar>
            <w:top w:w="0" w:type="dxa"/>
            <w:left w:w="108" w:type="dxa"/>
            <w:bottom w:w="0" w:type="dxa"/>
            <w:right w:w="108" w:type="dxa"/>
          </w:tblCellMar>
        </w:tblPrEx>
        <w:trPr>
          <w:gridAfter w:val="1"/>
          <w:wAfter w:w="123" w:type="dxa"/>
          <w:trHeight w:val="450" w:hRule="atLeast"/>
        </w:trPr>
        <w:tc>
          <w:tcPr>
            <w:tcW w:w="80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20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电缆保护管</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镀锌钢管埋地敷设SC100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1.79</w:t>
            </w:r>
          </w:p>
        </w:tc>
      </w:tr>
      <w:tr>
        <w:tblPrEx>
          <w:tblCellMar>
            <w:top w:w="0" w:type="dxa"/>
            <w:left w:w="108" w:type="dxa"/>
            <w:bottom w:w="0" w:type="dxa"/>
            <w:right w:w="108" w:type="dxa"/>
          </w:tblCellMar>
        </w:tblPrEx>
        <w:trPr>
          <w:gridAfter w:val="1"/>
          <w:wAfter w:w="123" w:type="dxa"/>
          <w:trHeight w:val="450" w:hRule="atLeast"/>
        </w:trPr>
        <w:tc>
          <w:tcPr>
            <w:tcW w:w="80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20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砖、混凝土结构明配JDG管 JDG20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156.64</w:t>
            </w:r>
          </w:p>
        </w:tc>
      </w:tr>
      <w:tr>
        <w:tblPrEx>
          <w:tblCellMar>
            <w:top w:w="0" w:type="dxa"/>
            <w:left w:w="108" w:type="dxa"/>
            <w:bottom w:w="0" w:type="dxa"/>
            <w:right w:w="108" w:type="dxa"/>
          </w:tblCellMar>
        </w:tblPrEx>
        <w:trPr>
          <w:gridAfter w:val="1"/>
          <w:wAfter w:w="123" w:type="dxa"/>
          <w:trHeight w:val="450" w:hRule="atLeast"/>
        </w:trPr>
        <w:tc>
          <w:tcPr>
            <w:tcW w:w="80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6</w:t>
            </w:r>
          </w:p>
        </w:tc>
        <w:tc>
          <w:tcPr>
            <w:tcW w:w="20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砖、混凝土结构明配JDG管 JDG32</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1414.26</w:t>
            </w:r>
          </w:p>
        </w:tc>
      </w:tr>
      <w:tr>
        <w:tblPrEx>
          <w:tblCellMar>
            <w:top w:w="0" w:type="dxa"/>
            <w:left w:w="108" w:type="dxa"/>
            <w:bottom w:w="0" w:type="dxa"/>
            <w:right w:w="108" w:type="dxa"/>
          </w:tblCellMar>
        </w:tblPrEx>
        <w:trPr>
          <w:gridAfter w:val="1"/>
          <w:wAfter w:w="123" w:type="dxa"/>
          <w:trHeight w:val="570" w:hRule="atLeast"/>
        </w:trPr>
        <w:tc>
          <w:tcPr>
            <w:tcW w:w="80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7</w:t>
            </w:r>
          </w:p>
        </w:tc>
        <w:tc>
          <w:tcPr>
            <w:tcW w:w="20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砖、混凝土结构明配刚性阻燃管 PVC20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1114.50</w:t>
            </w:r>
          </w:p>
        </w:tc>
      </w:tr>
      <w:tr>
        <w:tblPrEx>
          <w:tblCellMar>
            <w:top w:w="0" w:type="dxa"/>
            <w:left w:w="108" w:type="dxa"/>
            <w:bottom w:w="0" w:type="dxa"/>
            <w:right w:w="108" w:type="dxa"/>
          </w:tblCellMar>
        </w:tblPrEx>
        <w:trPr>
          <w:gridAfter w:val="1"/>
          <w:wAfter w:w="123" w:type="dxa"/>
          <w:trHeight w:val="570" w:hRule="atLeast"/>
        </w:trPr>
        <w:tc>
          <w:tcPr>
            <w:tcW w:w="80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8</w:t>
            </w:r>
          </w:p>
        </w:tc>
        <w:tc>
          <w:tcPr>
            <w:tcW w:w="20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砖、混凝土结构明配刚性阻燃管 PVC25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19026.50</w:t>
            </w:r>
          </w:p>
        </w:tc>
      </w:tr>
      <w:tr>
        <w:tblPrEx>
          <w:tblCellMar>
            <w:top w:w="0" w:type="dxa"/>
            <w:left w:w="108" w:type="dxa"/>
            <w:bottom w:w="0" w:type="dxa"/>
            <w:right w:w="108" w:type="dxa"/>
          </w:tblCellMar>
        </w:tblPrEx>
        <w:trPr>
          <w:gridAfter w:val="1"/>
          <w:wAfter w:w="123" w:type="dxa"/>
          <w:trHeight w:val="450" w:hRule="atLeast"/>
        </w:trPr>
        <w:tc>
          <w:tcPr>
            <w:tcW w:w="80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9</w:t>
            </w:r>
          </w:p>
        </w:tc>
        <w:tc>
          <w:tcPr>
            <w:tcW w:w="20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PE20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46.99</w:t>
            </w:r>
          </w:p>
        </w:tc>
      </w:tr>
      <w:tr>
        <w:tblPrEx>
          <w:tblCellMar>
            <w:top w:w="0" w:type="dxa"/>
            <w:left w:w="108" w:type="dxa"/>
            <w:bottom w:w="0" w:type="dxa"/>
            <w:right w:w="108" w:type="dxa"/>
          </w:tblCellMar>
        </w:tblPrEx>
        <w:trPr>
          <w:gridAfter w:val="1"/>
          <w:wAfter w:w="123" w:type="dxa"/>
          <w:trHeight w:val="450" w:hRule="atLeast"/>
        </w:trPr>
        <w:tc>
          <w:tcPr>
            <w:tcW w:w="80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20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PE25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123.78</w:t>
            </w:r>
          </w:p>
        </w:tc>
      </w:tr>
      <w:tr>
        <w:tblPrEx>
          <w:tblCellMar>
            <w:top w:w="0" w:type="dxa"/>
            <w:left w:w="108" w:type="dxa"/>
            <w:bottom w:w="0" w:type="dxa"/>
            <w:right w:w="108" w:type="dxa"/>
          </w:tblCellMar>
        </w:tblPrEx>
        <w:trPr>
          <w:gridAfter w:val="1"/>
          <w:wAfter w:w="123" w:type="dxa"/>
          <w:trHeight w:val="450" w:hRule="atLeast"/>
        </w:trPr>
        <w:tc>
          <w:tcPr>
            <w:tcW w:w="80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11</w:t>
            </w:r>
          </w:p>
        </w:tc>
        <w:tc>
          <w:tcPr>
            <w:tcW w:w="20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PE32</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223.50</w:t>
            </w:r>
          </w:p>
        </w:tc>
      </w:tr>
      <w:tr>
        <w:tblPrEx>
          <w:tblCellMar>
            <w:top w:w="0" w:type="dxa"/>
            <w:left w:w="108" w:type="dxa"/>
            <w:bottom w:w="0" w:type="dxa"/>
            <w:right w:w="108" w:type="dxa"/>
          </w:tblCellMar>
        </w:tblPrEx>
        <w:trPr>
          <w:gridAfter w:val="1"/>
          <w:wAfter w:w="123" w:type="dxa"/>
          <w:trHeight w:val="450" w:hRule="atLeast"/>
        </w:trPr>
        <w:tc>
          <w:tcPr>
            <w:tcW w:w="80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12</w:t>
            </w:r>
          </w:p>
        </w:tc>
        <w:tc>
          <w:tcPr>
            <w:tcW w:w="20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PE50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186.23</w:t>
            </w:r>
          </w:p>
        </w:tc>
      </w:tr>
      <w:tr>
        <w:tblPrEx>
          <w:tblCellMar>
            <w:top w:w="0" w:type="dxa"/>
            <w:left w:w="108" w:type="dxa"/>
            <w:bottom w:w="0" w:type="dxa"/>
            <w:right w:w="108" w:type="dxa"/>
          </w:tblCellMar>
        </w:tblPrEx>
        <w:trPr>
          <w:gridAfter w:val="1"/>
          <w:wAfter w:w="123" w:type="dxa"/>
          <w:trHeight w:val="450" w:hRule="atLeast"/>
        </w:trPr>
        <w:tc>
          <w:tcPr>
            <w:tcW w:w="80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13</w:t>
            </w:r>
          </w:p>
        </w:tc>
        <w:tc>
          <w:tcPr>
            <w:tcW w:w="20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PE100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80.36</w:t>
            </w:r>
          </w:p>
        </w:tc>
      </w:tr>
      <w:tr>
        <w:tblPrEx>
          <w:tblCellMar>
            <w:top w:w="0" w:type="dxa"/>
            <w:left w:w="108" w:type="dxa"/>
            <w:bottom w:w="0" w:type="dxa"/>
            <w:right w:w="108" w:type="dxa"/>
          </w:tblCellMar>
        </w:tblPrEx>
        <w:trPr>
          <w:gridAfter w:val="1"/>
          <w:wAfter w:w="123" w:type="dxa"/>
          <w:trHeight w:val="450" w:hRule="atLeast"/>
        </w:trPr>
        <w:tc>
          <w:tcPr>
            <w:tcW w:w="80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14</w:t>
            </w:r>
          </w:p>
        </w:tc>
        <w:tc>
          <w:tcPr>
            <w:tcW w:w="20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 管内穿放CAT6(室外型)</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8615.38</w:t>
            </w:r>
          </w:p>
        </w:tc>
      </w:tr>
      <w:tr>
        <w:tblPrEx>
          <w:tblCellMar>
            <w:top w:w="0" w:type="dxa"/>
            <w:left w:w="108" w:type="dxa"/>
            <w:bottom w:w="0" w:type="dxa"/>
            <w:right w:w="108" w:type="dxa"/>
          </w:tblCellMar>
        </w:tblPrEx>
        <w:trPr>
          <w:gridAfter w:val="1"/>
          <w:wAfter w:w="123" w:type="dxa"/>
          <w:trHeight w:val="450" w:hRule="atLeast"/>
        </w:trPr>
        <w:tc>
          <w:tcPr>
            <w:tcW w:w="80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15</w:t>
            </w:r>
          </w:p>
        </w:tc>
        <w:tc>
          <w:tcPr>
            <w:tcW w:w="20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 管内穿放CAT5E</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36435.21</w:t>
            </w:r>
          </w:p>
        </w:tc>
      </w:tr>
      <w:tr>
        <w:tblPrEx>
          <w:tblCellMar>
            <w:top w:w="0" w:type="dxa"/>
            <w:left w:w="108" w:type="dxa"/>
            <w:bottom w:w="0" w:type="dxa"/>
            <w:right w:w="108" w:type="dxa"/>
          </w:tblCellMar>
        </w:tblPrEx>
        <w:trPr>
          <w:gridAfter w:val="1"/>
          <w:wAfter w:w="123" w:type="dxa"/>
          <w:trHeight w:val="450" w:hRule="atLeast"/>
        </w:trPr>
        <w:tc>
          <w:tcPr>
            <w:tcW w:w="80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16</w:t>
            </w:r>
          </w:p>
        </w:tc>
        <w:tc>
          <w:tcPr>
            <w:tcW w:w="20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控制电缆</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控制电缆敷设 KVVR2*1.5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1638.80</w:t>
            </w:r>
          </w:p>
        </w:tc>
      </w:tr>
      <w:tr>
        <w:tblPrEx>
          <w:tblCellMar>
            <w:top w:w="0" w:type="dxa"/>
            <w:left w:w="108" w:type="dxa"/>
            <w:bottom w:w="0" w:type="dxa"/>
            <w:right w:w="108" w:type="dxa"/>
          </w:tblCellMar>
        </w:tblPrEx>
        <w:trPr>
          <w:gridAfter w:val="1"/>
          <w:wAfter w:w="123" w:type="dxa"/>
          <w:trHeight w:val="450" w:hRule="atLeast"/>
        </w:trPr>
        <w:tc>
          <w:tcPr>
            <w:tcW w:w="80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17</w:t>
            </w:r>
          </w:p>
        </w:tc>
        <w:tc>
          <w:tcPr>
            <w:tcW w:w="20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控制电缆</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控制电缆敷设 KVVR2*1.0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42011.71</w:t>
            </w:r>
          </w:p>
        </w:tc>
      </w:tr>
      <w:tr>
        <w:tblPrEx>
          <w:tblCellMar>
            <w:top w:w="0" w:type="dxa"/>
            <w:left w:w="108" w:type="dxa"/>
            <w:bottom w:w="0" w:type="dxa"/>
            <w:right w:w="108" w:type="dxa"/>
          </w:tblCellMar>
        </w:tblPrEx>
        <w:trPr>
          <w:gridAfter w:val="1"/>
          <w:wAfter w:w="123" w:type="dxa"/>
          <w:trHeight w:val="450" w:hRule="atLeast"/>
        </w:trPr>
        <w:tc>
          <w:tcPr>
            <w:tcW w:w="80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18</w:t>
            </w:r>
          </w:p>
        </w:tc>
        <w:tc>
          <w:tcPr>
            <w:tcW w:w="20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配线</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四芯单芯导线 RVV4*1.0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4553.20</w:t>
            </w:r>
          </w:p>
        </w:tc>
      </w:tr>
      <w:tr>
        <w:tblPrEx>
          <w:tblCellMar>
            <w:top w:w="0" w:type="dxa"/>
            <w:left w:w="108" w:type="dxa"/>
            <w:bottom w:w="0" w:type="dxa"/>
            <w:right w:w="108" w:type="dxa"/>
          </w:tblCellMar>
        </w:tblPrEx>
        <w:trPr>
          <w:gridAfter w:val="1"/>
          <w:wAfter w:w="123" w:type="dxa"/>
          <w:trHeight w:val="450" w:hRule="atLeast"/>
        </w:trPr>
        <w:tc>
          <w:tcPr>
            <w:tcW w:w="80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19</w:t>
            </w:r>
          </w:p>
        </w:tc>
        <w:tc>
          <w:tcPr>
            <w:tcW w:w="20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配线</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二芯单芯导线 RVV2*1.0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30592.42</w:t>
            </w:r>
          </w:p>
        </w:tc>
      </w:tr>
      <w:tr>
        <w:tblPrEx>
          <w:tblCellMar>
            <w:top w:w="0" w:type="dxa"/>
            <w:left w:w="108" w:type="dxa"/>
            <w:bottom w:w="0" w:type="dxa"/>
            <w:right w:w="108" w:type="dxa"/>
          </w:tblCellMar>
        </w:tblPrEx>
        <w:trPr>
          <w:gridAfter w:val="1"/>
          <w:wAfter w:w="123" w:type="dxa"/>
          <w:trHeight w:val="450" w:hRule="atLeast"/>
        </w:trPr>
        <w:tc>
          <w:tcPr>
            <w:tcW w:w="80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20</w:t>
            </w:r>
          </w:p>
        </w:tc>
        <w:tc>
          <w:tcPr>
            <w:tcW w:w="20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光缆</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室外四芯单模光纤安装</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5748.81</w:t>
            </w:r>
          </w:p>
        </w:tc>
      </w:tr>
      <w:tr>
        <w:tblPrEx>
          <w:tblCellMar>
            <w:top w:w="0" w:type="dxa"/>
            <w:left w:w="108" w:type="dxa"/>
            <w:bottom w:w="0" w:type="dxa"/>
            <w:right w:w="108" w:type="dxa"/>
          </w:tblCellMar>
        </w:tblPrEx>
        <w:trPr>
          <w:gridAfter w:val="1"/>
          <w:wAfter w:w="123" w:type="dxa"/>
          <w:trHeight w:val="450" w:hRule="atLeast"/>
        </w:trPr>
        <w:tc>
          <w:tcPr>
            <w:tcW w:w="80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21</w:t>
            </w:r>
          </w:p>
        </w:tc>
        <w:tc>
          <w:tcPr>
            <w:tcW w:w="20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电力电缆</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铜芯电力电缆敷设 YJV-3*2.5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426.96</w:t>
            </w:r>
          </w:p>
        </w:tc>
      </w:tr>
      <w:tr>
        <w:tblPrEx>
          <w:tblCellMar>
            <w:top w:w="0" w:type="dxa"/>
            <w:left w:w="108" w:type="dxa"/>
            <w:bottom w:w="0" w:type="dxa"/>
            <w:right w:w="108" w:type="dxa"/>
          </w:tblCellMar>
        </w:tblPrEx>
        <w:trPr>
          <w:gridAfter w:val="1"/>
          <w:wAfter w:w="123" w:type="dxa"/>
          <w:trHeight w:val="450" w:hRule="atLeast"/>
        </w:trPr>
        <w:tc>
          <w:tcPr>
            <w:tcW w:w="80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22</w:t>
            </w:r>
          </w:p>
        </w:tc>
        <w:tc>
          <w:tcPr>
            <w:tcW w:w="20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电力电缆</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铜芯电力电缆敷设 YJV-3*4</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1297.90</w:t>
            </w:r>
          </w:p>
        </w:tc>
      </w:tr>
      <w:tr>
        <w:tblPrEx>
          <w:tblCellMar>
            <w:top w:w="0" w:type="dxa"/>
            <w:left w:w="108" w:type="dxa"/>
            <w:bottom w:w="0" w:type="dxa"/>
            <w:right w:w="108" w:type="dxa"/>
          </w:tblCellMar>
        </w:tblPrEx>
        <w:trPr>
          <w:gridAfter w:val="1"/>
          <w:wAfter w:w="123" w:type="dxa"/>
          <w:trHeight w:val="450" w:hRule="atLeast"/>
        </w:trPr>
        <w:tc>
          <w:tcPr>
            <w:tcW w:w="80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23</w:t>
            </w:r>
          </w:p>
        </w:tc>
        <w:tc>
          <w:tcPr>
            <w:tcW w:w="20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打孔</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墙面入户管打孔</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5393</w:t>
            </w:r>
          </w:p>
        </w:tc>
      </w:tr>
      <w:tr>
        <w:tblPrEx>
          <w:tblCellMar>
            <w:top w:w="0" w:type="dxa"/>
            <w:left w:w="108" w:type="dxa"/>
            <w:bottom w:w="0" w:type="dxa"/>
            <w:right w:w="108" w:type="dxa"/>
          </w:tblCellMar>
        </w:tblPrEx>
        <w:trPr>
          <w:gridAfter w:val="1"/>
          <w:wAfter w:w="123" w:type="dxa"/>
          <w:trHeight w:val="450" w:hRule="atLeast"/>
        </w:trPr>
        <w:tc>
          <w:tcPr>
            <w:tcW w:w="80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24</w:t>
            </w:r>
          </w:p>
        </w:tc>
        <w:tc>
          <w:tcPr>
            <w:tcW w:w="20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手孔井</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弱电手孔井 600*600*700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8</w:t>
            </w:r>
          </w:p>
        </w:tc>
      </w:tr>
      <w:tr>
        <w:tblPrEx>
          <w:tblCellMar>
            <w:top w:w="0" w:type="dxa"/>
            <w:left w:w="108" w:type="dxa"/>
            <w:bottom w:w="0" w:type="dxa"/>
            <w:right w:w="108" w:type="dxa"/>
          </w:tblCellMar>
        </w:tblPrEx>
        <w:trPr>
          <w:gridAfter w:val="1"/>
          <w:wAfter w:w="123" w:type="dxa"/>
          <w:trHeight w:val="570" w:hRule="atLeast"/>
        </w:trPr>
        <w:tc>
          <w:tcPr>
            <w:tcW w:w="80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25</w:t>
            </w:r>
          </w:p>
        </w:tc>
        <w:tc>
          <w:tcPr>
            <w:tcW w:w="20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挖沟槽土方</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绿化下素土开挖：人机配合挖沟槽土方不装车，土方类别综合考虑</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65.67</w:t>
            </w:r>
          </w:p>
        </w:tc>
      </w:tr>
      <w:tr>
        <w:tblPrEx>
          <w:tblCellMar>
            <w:top w:w="0" w:type="dxa"/>
            <w:left w:w="108" w:type="dxa"/>
            <w:bottom w:w="0" w:type="dxa"/>
            <w:right w:w="108" w:type="dxa"/>
          </w:tblCellMar>
        </w:tblPrEx>
        <w:trPr>
          <w:gridAfter w:val="1"/>
          <w:wAfter w:w="123" w:type="dxa"/>
          <w:trHeight w:val="570" w:hRule="atLeast"/>
        </w:trPr>
        <w:tc>
          <w:tcPr>
            <w:tcW w:w="80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26</w:t>
            </w:r>
          </w:p>
        </w:tc>
        <w:tc>
          <w:tcPr>
            <w:tcW w:w="20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挖沟槽土方</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道路结构下开挖塘渣：人机配合挖沟槽四类土不装车</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6.72</w:t>
            </w:r>
          </w:p>
        </w:tc>
      </w:tr>
      <w:tr>
        <w:tblPrEx>
          <w:tblCellMar>
            <w:top w:w="0" w:type="dxa"/>
            <w:left w:w="108" w:type="dxa"/>
            <w:bottom w:w="0" w:type="dxa"/>
            <w:right w:w="108" w:type="dxa"/>
          </w:tblCellMar>
        </w:tblPrEx>
        <w:trPr>
          <w:gridAfter w:val="1"/>
          <w:wAfter w:w="123" w:type="dxa"/>
          <w:trHeight w:val="450" w:hRule="atLeast"/>
        </w:trPr>
        <w:tc>
          <w:tcPr>
            <w:tcW w:w="80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27</w:t>
            </w:r>
          </w:p>
        </w:tc>
        <w:tc>
          <w:tcPr>
            <w:tcW w:w="20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拆除路面</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混凝土路面开挖及修复</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m2</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19.79</w:t>
            </w:r>
          </w:p>
        </w:tc>
      </w:tr>
      <w:tr>
        <w:tblPrEx>
          <w:tblCellMar>
            <w:top w:w="0" w:type="dxa"/>
            <w:left w:w="108" w:type="dxa"/>
            <w:bottom w:w="0" w:type="dxa"/>
            <w:right w:w="108" w:type="dxa"/>
          </w:tblCellMar>
        </w:tblPrEx>
        <w:trPr>
          <w:gridAfter w:val="1"/>
          <w:wAfter w:w="123" w:type="dxa"/>
          <w:trHeight w:val="450" w:hRule="atLeast"/>
        </w:trPr>
        <w:tc>
          <w:tcPr>
            <w:tcW w:w="80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28</w:t>
            </w:r>
          </w:p>
        </w:tc>
        <w:tc>
          <w:tcPr>
            <w:tcW w:w="20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回填方</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沟槽原土回填</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30.38</w:t>
            </w:r>
          </w:p>
        </w:tc>
      </w:tr>
      <w:tr>
        <w:tblPrEx>
          <w:tblCellMar>
            <w:top w:w="0" w:type="dxa"/>
            <w:left w:w="108" w:type="dxa"/>
            <w:bottom w:w="0" w:type="dxa"/>
            <w:right w:w="108" w:type="dxa"/>
          </w:tblCellMar>
        </w:tblPrEx>
        <w:trPr>
          <w:gridAfter w:val="1"/>
          <w:wAfter w:w="123" w:type="dxa"/>
          <w:trHeight w:val="450" w:hRule="atLeast"/>
        </w:trPr>
        <w:tc>
          <w:tcPr>
            <w:tcW w:w="80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29</w:t>
            </w:r>
          </w:p>
        </w:tc>
        <w:tc>
          <w:tcPr>
            <w:tcW w:w="20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回填方</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沟槽机制砂回填</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8.57</w:t>
            </w:r>
          </w:p>
        </w:tc>
      </w:tr>
      <w:tr>
        <w:tblPrEx>
          <w:tblCellMar>
            <w:top w:w="0" w:type="dxa"/>
            <w:left w:w="108" w:type="dxa"/>
            <w:bottom w:w="0" w:type="dxa"/>
            <w:right w:w="108" w:type="dxa"/>
          </w:tblCellMar>
        </w:tblPrEx>
        <w:trPr>
          <w:gridAfter w:val="1"/>
          <w:wAfter w:w="123" w:type="dxa"/>
          <w:trHeight w:val="450" w:hRule="atLeast"/>
        </w:trPr>
        <w:tc>
          <w:tcPr>
            <w:tcW w:w="80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30</w:t>
            </w:r>
          </w:p>
        </w:tc>
        <w:tc>
          <w:tcPr>
            <w:tcW w:w="20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回填方</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渠（管）道垫层 机制砂</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7.51</w:t>
            </w:r>
          </w:p>
        </w:tc>
      </w:tr>
    </w:tbl>
    <w:p>
      <w:pPr>
        <w:pStyle w:val="3"/>
        <w:tabs>
          <w:tab w:val="center" w:pos="4819"/>
        </w:tabs>
        <w:spacing w:before="200" w:after="200" w:line="360" w:lineRule="auto"/>
        <w:jc w:val="center"/>
        <w:rPr>
          <w:rFonts w:hint="eastAsia" w:ascii="宋体" w:hAnsi="宋体"/>
          <w:sz w:val="32"/>
        </w:rPr>
      </w:pPr>
    </w:p>
    <w:p>
      <w:pPr>
        <w:pStyle w:val="43"/>
        <w:spacing w:line="360" w:lineRule="auto"/>
        <w:ind w:firstLine="0" w:firstLineChars="0"/>
        <w:rPr>
          <w:rFonts w:ascii="宋体" w:hAnsi="宋体"/>
          <w:b/>
          <w:bCs/>
          <w:color w:val="000000"/>
          <w:sz w:val="32"/>
          <w:szCs w:val="32"/>
        </w:rPr>
      </w:pPr>
      <w:r>
        <w:rPr>
          <w:rFonts w:hint="eastAsia" w:ascii="宋体" w:hAnsi="宋体"/>
          <w:b/>
          <w:bCs/>
          <w:color w:val="000000"/>
          <w:sz w:val="32"/>
          <w:szCs w:val="32"/>
        </w:rPr>
        <w:t>标项三：</w:t>
      </w:r>
    </w:p>
    <w:p>
      <w:pPr>
        <w:spacing w:line="360" w:lineRule="auto"/>
        <w:rPr>
          <w:rFonts w:eastAsia="宋体"/>
          <w:b/>
          <w:bCs/>
        </w:rPr>
      </w:pPr>
      <w:r>
        <w:rPr>
          <w:rFonts w:hint="eastAsia"/>
          <w:b/>
          <w:bCs/>
        </w:rPr>
        <w:t>望春街道各小区设备配置清单</w:t>
      </w:r>
    </w:p>
    <w:tbl>
      <w:tblPr>
        <w:tblStyle w:val="14"/>
        <w:tblW w:w="9872" w:type="dxa"/>
        <w:tblInd w:w="0" w:type="dxa"/>
        <w:tblLayout w:type="fixed"/>
        <w:tblCellMar>
          <w:top w:w="0" w:type="dxa"/>
          <w:left w:w="0" w:type="dxa"/>
          <w:bottom w:w="0" w:type="dxa"/>
          <w:right w:w="0" w:type="dxa"/>
        </w:tblCellMar>
      </w:tblPr>
      <w:tblGrid>
        <w:gridCol w:w="5"/>
        <w:gridCol w:w="773"/>
        <w:gridCol w:w="15"/>
        <w:gridCol w:w="2653"/>
        <w:gridCol w:w="889"/>
        <w:gridCol w:w="919"/>
        <w:gridCol w:w="859"/>
        <w:gridCol w:w="830"/>
        <w:gridCol w:w="415"/>
        <w:gridCol w:w="446"/>
        <w:gridCol w:w="534"/>
        <w:gridCol w:w="609"/>
        <w:gridCol w:w="816"/>
        <w:gridCol w:w="109"/>
      </w:tblGrid>
      <w:tr>
        <w:tblPrEx>
          <w:tblCellMar>
            <w:top w:w="0" w:type="dxa"/>
            <w:left w:w="0" w:type="dxa"/>
            <w:bottom w:w="0" w:type="dxa"/>
            <w:right w:w="0" w:type="dxa"/>
          </w:tblCellMar>
        </w:tblPrEx>
        <w:trPr>
          <w:gridBefore w:val="1"/>
          <w:wBefore w:w="5" w:type="dxa"/>
          <w:trHeight w:val="480"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序号</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设备名称</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永和居易</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清林闲庭</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天一家园</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六和嘉园</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胜丰佳苑</w:t>
            </w: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广安里一期二期+景泰里</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数量</w:t>
            </w:r>
          </w:p>
        </w:tc>
      </w:tr>
      <w:tr>
        <w:tblPrEx>
          <w:tblCellMar>
            <w:top w:w="0" w:type="dxa"/>
            <w:left w:w="0" w:type="dxa"/>
            <w:bottom w:w="0" w:type="dxa"/>
            <w:right w:w="0" w:type="dxa"/>
          </w:tblCellMar>
        </w:tblPrEx>
        <w:trPr>
          <w:gridBefore w:val="1"/>
          <w:wBefore w:w="5" w:type="dxa"/>
          <w:trHeight w:val="439" w:hRule="atLeast"/>
        </w:trPr>
        <w:tc>
          <w:tcPr>
            <w:tcW w:w="9872"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1、出入口控制系统1（人行出入口）</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智慧门</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20</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双目人脸识别可视对讲围墙机</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19</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主机电源12V/2A</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19</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磁力锁</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专用锁电源</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闭门器</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防水出门按钮及支架</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人证合一 一体机</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USB人像采集</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基础（智慧门、围墙机支架、出门按钮支架）</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20</w:t>
            </w:r>
          </w:p>
        </w:tc>
      </w:tr>
      <w:tr>
        <w:tblPrEx>
          <w:tblCellMar>
            <w:top w:w="0" w:type="dxa"/>
            <w:left w:w="0" w:type="dxa"/>
            <w:bottom w:w="0" w:type="dxa"/>
            <w:right w:w="0" w:type="dxa"/>
          </w:tblCellMar>
        </w:tblPrEx>
        <w:trPr>
          <w:gridBefore w:val="1"/>
          <w:wBefore w:w="5" w:type="dxa"/>
          <w:trHeight w:val="439" w:hRule="atLeast"/>
        </w:trPr>
        <w:tc>
          <w:tcPr>
            <w:tcW w:w="9872"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2、出入口控制系统2（停车系统设备）</w:t>
            </w:r>
          </w:p>
        </w:tc>
      </w:tr>
      <w:tr>
        <w:tblPrEx>
          <w:tblCellMar>
            <w:top w:w="0" w:type="dxa"/>
            <w:left w:w="0" w:type="dxa"/>
            <w:bottom w:w="0" w:type="dxa"/>
            <w:right w:w="0" w:type="dxa"/>
          </w:tblCellMar>
        </w:tblPrEx>
        <w:trPr>
          <w:gridBefore w:val="1"/>
          <w:wBefore w:w="5" w:type="dxa"/>
          <w:trHeight w:val="439" w:hRule="atLeast"/>
        </w:trPr>
        <w:tc>
          <w:tcPr>
            <w:tcW w:w="9872"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主要出入口单进单出</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出口杆式抓拍一体机</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31</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12</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道闸</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31</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13</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防砸雷达</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31</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14</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入口杆式抓拍一体机</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30</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15</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道闸</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31</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16</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防砸雷达</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29</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17</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逻辑雷达</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22</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20</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62</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18</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触发雷达</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22</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20</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62</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19</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8口百兆接入交换机</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11 </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 </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31</w:t>
            </w:r>
          </w:p>
        </w:tc>
      </w:tr>
      <w:tr>
        <w:tblPrEx>
          <w:tblCellMar>
            <w:top w:w="0" w:type="dxa"/>
            <w:left w:w="0" w:type="dxa"/>
            <w:bottom w:w="0" w:type="dxa"/>
            <w:right w:w="0" w:type="dxa"/>
          </w:tblCellMar>
        </w:tblPrEx>
        <w:trPr>
          <w:gridBefore w:val="1"/>
          <w:wBefore w:w="5" w:type="dxa"/>
          <w:trHeight w:val="439" w:hRule="atLeast"/>
        </w:trPr>
        <w:tc>
          <w:tcPr>
            <w:tcW w:w="9872"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管理设备</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20</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收费电脑</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21</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车辆收费软件</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22</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车辆管理服务器</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23</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附件</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24</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光纤收发器</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24</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25</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8</w:t>
            </w:r>
            <w:r>
              <w:rPr>
                <w:rStyle w:val="36"/>
                <w:rFonts w:hint="default"/>
              </w:rPr>
              <w:t>口千兆接入层交换机</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26</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24</w:t>
            </w:r>
            <w:r>
              <w:rPr>
                <w:rStyle w:val="36"/>
                <w:rFonts w:hint="default"/>
              </w:rPr>
              <w:t>口千兆接入层交换机</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kern w:val="2"/>
                <w:sz w:val="20"/>
              </w:rPr>
              <w:t>27</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调试对接费用</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kern w:val="2"/>
                <w:sz w:val="20"/>
              </w:rPr>
              <w:t>28</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基础（道闸设备机箱等基础）</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31</w:t>
            </w:r>
          </w:p>
        </w:tc>
      </w:tr>
      <w:tr>
        <w:tblPrEx>
          <w:tblCellMar>
            <w:top w:w="0" w:type="dxa"/>
            <w:left w:w="0" w:type="dxa"/>
            <w:bottom w:w="0" w:type="dxa"/>
            <w:right w:w="0" w:type="dxa"/>
          </w:tblCellMar>
        </w:tblPrEx>
        <w:trPr>
          <w:gridBefore w:val="1"/>
          <w:wBefore w:w="5" w:type="dxa"/>
          <w:trHeight w:val="439" w:hRule="atLeast"/>
        </w:trPr>
        <w:tc>
          <w:tcPr>
            <w:tcW w:w="9872"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b/>
                <w:color w:val="000000"/>
                <w:sz w:val="20"/>
              </w:rPr>
              <w:t>3、视频监控系统</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29</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微卡摄像机</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14</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30</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全局人脸摄像机</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31</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人脸摄像机</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32</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步态摄像机</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33</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高空抛物网络摄像机</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14</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34</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彩色高清摄像机</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154</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318</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328</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22</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53</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40</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915</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35</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彩色高清半球摄像机</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98</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21</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153</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36</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彩色高清电梯专用摄像机</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60</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21</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14</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108</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37</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数字楼层显示器</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60</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16</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14</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103</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38</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网络传输器</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120</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26</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32</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28</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206</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39</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200万轻智能警戒摄像机</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32</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54</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29</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18</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145</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40</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消防占道球机</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41</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摄像机 立竿</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144</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95</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22</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329</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42</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视频解码器</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43</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32寸监视器</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28</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44</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24寸显示器</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rPr>
            </w:pP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rPr>
            </w:pP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19</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45</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视频切换器</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46</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电源</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23</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47</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配套支架</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206</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243</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243</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29</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122</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65</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908</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48</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管理电脑</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kern w:val="2"/>
                <w:sz w:val="20"/>
              </w:rPr>
              <w:t>49</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操作台6（双层）</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kern w:val="2"/>
                <w:sz w:val="20"/>
              </w:rPr>
              <w:t>50</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配套附件</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r>
      <w:tr>
        <w:tblPrEx>
          <w:tblCellMar>
            <w:top w:w="0" w:type="dxa"/>
            <w:left w:w="0" w:type="dxa"/>
            <w:bottom w:w="0" w:type="dxa"/>
            <w:right w:w="0" w:type="dxa"/>
          </w:tblCellMar>
        </w:tblPrEx>
        <w:trPr>
          <w:gridBefore w:val="1"/>
          <w:wBefore w:w="5" w:type="dxa"/>
          <w:trHeight w:val="439" w:hRule="atLeast"/>
        </w:trPr>
        <w:tc>
          <w:tcPr>
            <w:tcW w:w="9872"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b/>
                <w:color w:val="000000"/>
                <w:sz w:val="20"/>
              </w:rPr>
              <w:t>4、可视对讲系统</w:t>
            </w:r>
          </w:p>
        </w:tc>
      </w:tr>
      <w:tr>
        <w:tblPrEx>
          <w:tblCellMar>
            <w:top w:w="0" w:type="dxa"/>
            <w:left w:w="0" w:type="dxa"/>
            <w:bottom w:w="0" w:type="dxa"/>
            <w:right w:w="0" w:type="dxa"/>
          </w:tblCellMar>
        </w:tblPrEx>
        <w:trPr>
          <w:gridBefore w:val="1"/>
          <w:wBefore w:w="5" w:type="dxa"/>
          <w:trHeight w:val="439" w:hRule="atLeast"/>
        </w:trPr>
        <w:tc>
          <w:tcPr>
            <w:tcW w:w="9872"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b/>
                <w:color w:val="000000"/>
                <w:sz w:val="20"/>
              </w:rPr>
              <w:t>4.1、住宅部分</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51</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人脸识别可视对讲主机</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228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205 </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186 </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22 </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44 </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65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750</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52</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灵性锁(双门或单门，根据实际情况确定数量。包含双门和单门）</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228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205 </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186 </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22 </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44 </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65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750</w:t>
            </w:r>
          </w:p>
        </w:tc>
      </w:tr>
      <w:tr>
        <w:tblPrEx>
          <w:tblCellMar>
            <w:top w:w="0" w:type="dxa"/>
            <w:left w:w="0" w:type="dxa"/>
            <w:bottom w:w="0" w:type="dxa"/>
            <w:right w:w="0" w:type="dxa"/>
          </w:tblCellMar>
        </w:tblPrEx>
        <w:trPr>
          <w:gridBefore w:val="1"/>
          <w:wBefore w:w="5" w:type="dxa"/>
          <w:trHeight w:val="439" w:hRule="atLeast"/>
        </w:trPr>
        <w:tc>
          <w:tcPr>
            <w:tcW w:w="9872"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b/>
                <w:bCs/>
                <w:color w:val="000000"/>
                <w:sz w:val="20"/>
              </w:rPr>
            </w:pPr>
            <w:r>
              <w:rPr>
                <w:rFonts w:hint="eastAsia" w:ascii="宋体" w:hAnsi="宋体" w:cs="宋体"/>
                <w:b/>
                <w:bCs/>
                <w:color w:val="000000"/>
                <w:sz w:val="20"/>
              </w:rPr>
              <w:t>4.2、管理中心部分（设备网1）</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53</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主机电源12V/2A</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228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205 </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186 </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22 </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44 </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65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750</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54</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闭门器(双门或单门，根据实际情况确定数量。包含双门和单门））</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228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205 </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186 </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22 </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44 </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65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750</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55</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专用锁电源</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228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205 </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186 </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22 </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44 </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65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750</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56</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16口百兆接入交换机</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17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138 </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133 </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15 </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35 </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45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383</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57</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24口百兆接入交换机</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66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17 </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 </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96</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58</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8口千兆POE工业接入交换机</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11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 </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20</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59</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8口千兆POE接入交换机</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 </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60</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24</w:t>
            </w:r>
            <w:r>
              <w:rPr>
                <w:rStyle w:val="36"/>
                <w:rFonts w:hint="default"/>
              </w:rPr>
              <w:t>口千兆接入层交换机</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61</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24</w:t>
            </w:r>
            <w:r>
              <w:rPr>
                <w:rStyle w:val="36"/>
                <w:rFonts w:hint="default"/>
              </w:rPr>
              <w:t>口千兆POE接入层交换机</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72</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17</w:t>
            </w: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21</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215</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62</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千兆单模光模块</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45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77 </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83 </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 </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21 </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21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254</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63</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单模光纤跳线</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45</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77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83 </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 </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21 </w:t>
            </w: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21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254</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64</w:t>
            </w:r>
          </w:p>
        </w:tc>
        <w:tc>
          <w:tcPr>
            <w:tcW w:w="26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12口光纤配线架</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45</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77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83 </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21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230</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65</w:t>
            </w:r>
          </w:p>
        </w:tc>
        <w:tc>
          <w:tcPr>
            <w:tcW w:w="26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双工耦合器</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90</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162</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14</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42</w:t>
            </w: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42</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504</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66</w:t>
            </w:r>
          </w:p>
        </w:tc>
        <w:tc>
          <w:tcPr>
            <w:tcW w:w="26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尾纤LC, 单模, 0.9mm, 1米</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360</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616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684</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24</w:t>
            </w: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168</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1860</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67</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安防设备箱1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64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141 </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137 </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 </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28 </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44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421</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68</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安防设备箱2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28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74 </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79 </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15 </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21 </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22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239</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69</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室外安防设备箱</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 </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 </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31</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70</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室内分机</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1429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2529 </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2220 </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260 </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608 </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752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7798</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71</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分机电源</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268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412 </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439 </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44 </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88 </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130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1381</w:t>
            </w:r>
          </w:p>
        </w:tc>
      </w:tr>
      <w:tr>
        <w:tblPrEx>
          <w:tblCellMar>
            <w:top w:w="0" w:type="dxa"/>
            <w:left w:w="0" w:type="dxa"/>
            <w:bottom w:w="0" w:type="dxa"/>
            <w:right w:w="0" w:type="dxa"/>
          </w:tblCellMar>
        </w:tblPrEx>
        <w:trPr>
          <w:gridBefore w:val="1"/>
          <w:wBefore w:w="5" w:type="dxa"/>
          <w:trHeight w:val="439" w:hRule="atLeast"/>
        </w:trPr>
        <w:tc>
          <w:tcPr>
            <w:tcW w:w="9872"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b/>
                <w:color w:val="000000"/>
                <w:sz w:val="20"/>
              </w:rPr>
              <w:t>2、管理中心部分（设备网）</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72</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5" w:type="dxa"/>
          <w:trHeight w:val="470"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73</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核心交换机2</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74</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核心交换机3</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75</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核心交换机4</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76</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核心交换机5</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77</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堆叠电缆</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78</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千兆单模光模块</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43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78 </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83 </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 </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24 </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22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257</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79</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千兆单模光模块</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14</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80</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8</w:t>
            </w:r>
            <w:r>
              <w:rPr>
                <w:rStyle w:val="36"/>
                <w:rFonts w:hint="default"/>
              </w:rPr>
              <w:t>口千兆接入层交换机</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81</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24</w:t>
            </w:r>
            <w:r>
              <w:rPr>
                <w:rStyle w:val="36"/>
                <w:rFonts w:hint="default"/>
              </w:rPr>
              <w:t>口千兆接入层交换机</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82</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管理中心对讲主机</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14</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83</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存储设备1~64路NVR</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22</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84</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存储设备2~32路NVR</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85</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硬盘2</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77</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14</w:t>
            </w: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18</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264</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86</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IC卡发行器</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87</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IC钥匙扣卡</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4287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7587 </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6660</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780 </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1824 </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2256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23394</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88</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钥匙</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4287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7587 </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6660</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780 </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1824 </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2256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23394</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89</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管理电脑</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90</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街道数据汇聚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91</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汇聚交换机</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92</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服务器</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93</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小区侧智慧安防管控软件</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94</w:t>
            </w:r>
          </w:p>
        </w:tc>
        <w:tc>
          <w:tcPr>
            <w:tcW w:w="26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光纤链路费</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95</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网络机柜1~42U</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96</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网络机柜2~24U</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kern w:val="2"/>
                <w:sz w:val="20"/>
              </w:rPr>
              <w:t>97</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网络机柜3~6U</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kern w:val="2"/>
                <w:sz w:val="20"/>
              </w:rPr>
              <w:t>98</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附材</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r>
      <w:tr>
        <w:tblPrEx>
          <w:tblCellMar>
            <w:top w:w="0" w:type="dxa"/>
            <w:left w:w="0" w:type="dxa"/>
            <w:bottom w:w="0" w:type="dxa"/>
            <w:right w:w="0" w:type="dxa"/>
          </w:tblCellMar>
        </w:tblPrEx>
        <w:trPr>
          <w:gridBefore w:val="1"/>
          <w:wBefore w:w="5" w:type="dxa"/>
          <w:trHeight w:val="439" w:hRule="atLeast"/>
        </w:trPr>
        <w:tc>
          <w:tcPr>
            <w:tcW w:w="9872"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b/>
                <w:color w:val="000000"/>
                <w:sz w:val="20"/>
              </w:rPr>
              <w:t>5、智能感知系统</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99</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人脸摄像机带定向智能感知设备</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w:t>
            </w:r>
          </w:p>
        </w:tc>
      </w:tr>
      <w:tr>
        <w:tblPrEx>
          <w:tblCellMar>
            <w:top w:w="0" w:type="dxa"/>
            <w:left w:w="0" w:type="dxa"/>
            <w:bottom w:w="0" w:type="dxa"/>
            <w:right w:w="0" w:type="dxa"/>
          </w:tblCellMar>
        </w:tblPrEx>
        <w:trPr>
          <w:gridBefore w:val="1"/>
          <w:wBefore w:w="5" w:type="dxa"/>
          <w:trHeight w:val="439" w:hRule="atLeast"/>
        </w:trPr>
        <w:tc>
          <w:tcPr>
            <w:tcW w:w="9872"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b/>
                <w:color w:val="000000"/>
                <w:sz w:val="20"/>
              </w:rPr>
              <w:t>6、入侵报警系统</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100</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中央控制器</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101</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主机键盘</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102</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监控软件</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103</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网络IP模块</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104</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D1类高能量SPD</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14</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105</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四路网络模块</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106</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二路网络模块</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196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53 </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22 </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44 </w:t>
            </w: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44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359</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107</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16路继电器</w:t>
            </w:r>
            <w:r>
              <w:rPr>
                <w:rFonts w:hint="eastAsia" w:ascii="宋体" w:hAnsi="宋体" w:cs="宋体"/>
                <w:color w:val="000000"/>
                <w:sz w:val="18"/>
                <w:szCs w:val="18"/>
              </w:rPr>
              <w:t>输出控制器</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108</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32路继电器输出控制器</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109</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烟感探测器</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383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143 </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44 </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88 </w:t>
            </w: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68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726</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110</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电源</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196 </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22 </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44 </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44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306</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111</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声光警号</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112</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四道单防区控制杆（含底座）</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13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20</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113</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四道双防区控制杆（含底座）</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23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34</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114</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交流电源24V</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28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19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54</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115</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避雷器</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52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19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79</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116</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中间支撑杆（含底座）</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442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 </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64 </w:t>
            </w: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103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616</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117</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终端受力杆（含底座）</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54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18 </w:t>
            </w: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24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101</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118</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束线器</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832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48 </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80 </w:t>
            </w: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400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1360</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119</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转向滑轮</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48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 </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22 </w:t>
            </w: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28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106</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120</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张力收紧器</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208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 </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20 </w:t>
            </w: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100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340</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121</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张力弹簧</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208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 </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20 </w:t>
            </w: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100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340</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122</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多股张力线</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7700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90 </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968 </w:t>
            </w: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1700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10458</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123</w:t>
            </w:r>
          </w:p>
        </w:tc>
        <w:tc>
          <w:tcPr>
            <w:tcW w:w="2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警示牌</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177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24 </w:t>
            </w: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44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248</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124</w:t>
            </w:r>
          </w:p>
        </w:tc>
        <w:tc>
          <w:tcPr>
            <w:tcW w:w="26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接地桩（含接地线）</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28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19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54</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125</w:t>
            </w:r>
          </w:p>
        </w:tc>
        <w:tc>
          <w:tcPr>
            <w:tcW w:w="26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304不锈钢防水箱</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28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19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54</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126</w:t>
            </w:r>
          </w:p>
        </w:tc>
        <w:tc>
          <w:tcPr>
            <w:tcW w:w="26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单防区模块</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w:t>
            </w: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25</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89</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kern w:val="2"/>
                <w:sz w:val="20"/>
              </w:rPr>
              <w:t>127</w:t>
            </w:r>
          </w:p>
        </w:tc>
        <w:tc>
          <w:tcPr>
            <w:tcW w:w="26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报警联动灯</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48</w:t>
            </w:r>
          </w:p>
        </w:tc>
      </w:tr>
      <w:tr>
        <w:tblPrEx>
          <w:tblCellMar>
            <w:top w:w="0" w:type="dxa"/>
            <w:left w:w="0" w:type="dxa"/>
            <w:bottom w:w="0" w:type="dxa"/>
            <w:right w:w="0" w:type="dxa"/>
          </w:tblCellMar>
        </w:tblPrEx>
        <w:trPr>
          <w:gridBefore w:val="1"/>
          <w:wBefore w:w="5" w:type="dxa"/>
          <w:trHeight w:val="462"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kern w:val="2"/>
                <w:sz w:val="20"/>
              </w:rPr>
              <w:t>128</w:t>
            </w:r>
          </w:p>
        </w:tc>
        <w:tc>
          <w:tcPr>
            <w:tcW w:w="26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对接费用</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1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5" w:type="dxa"/>
          <w:trHeight w:val="439" w:hRule="atLeast"/>
        </w:trPr>
        <w:tc>
          <w:tcPr>
            <w:tcW w:w="9872"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7、街道平台侧扩容</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129</w:t>
            </w:r>
          </w:p>
        </w:tc>
        <w:tc>
          <w:tcPr>
            <w:tcW w:w="26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街道数据汇聚（标准平台）</w:t>
            </w:r>
          </w:p>
        </w:tc>
        <w:tc>
          <w:tcPr>
            <w:tcW w:w="6405"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5" w:type="dxa"/>
          <w:trHeight w:val="439" w:hRule="atLeast"/>
        </w:trPr>
        <w:tc>
          <w:tcPr>
            <w:tcW w:w="7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130</w:t>
            </w:r>
          </w:p>
        </w:tc>
        <w:tc>
          <w:tcPr>
            <w:tcW w:w="26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街道数据汇聚（数据扩容）</w:t>
            </w:r>
          </w:p>
        </w:tc>
        <w:tc>
          <w:tcPr>
            <w:tcW w:w="6405"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5" w:type="dxa"/>
          <w:trHeight w:val="439" w:hRule="atLeast"/>
        </w:trPr>
        <w:tc>
          <w:tcPr>
            <w:tcW w:w="9872"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8、管线、安装、调试</w:t>
            </w:r>
          </w:p>
        </w:tc>
      </w:tr>
      <w:tr>
        <w:tblPrEx>
          <w:tblCellMar>
            <w:top w:w="0" w:type="dxa"/>
            <w:left w:w="108" w:type="dxa"/>
            <w:bottom w:w="0" w:type="dxa"/>
            <w:right w:w="108" w:type="dxa"/>
          </w:tblCellMar>
        </w:tblPrEx>
        <w:trPr>
          <w:gridAfter w:val="1"/>
          <w:wAfter w:w="110" w:type="dxa"/>
          <w:trHeight w:val="45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序号</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采购内容</w:t>
            </w:r>
          </w:p>
        </w:tc>
        <w:tc>
          <w:tcPr>
            <w:tcW w:w="396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宋体" w:hAnsi="宋体" w:cs="宋体"/>
                <w:color w:val="000000"/>
                <w:sz w:val="18"/>
                <w:szCs w:val="18"/>
              </w:rPr>
            </w:pPr>
            <w:r>
              <w:rPr>
                <w:rFonts w:hint="eastAsia" w:ascii="宋体" w:hAnsi="宋体" w:cs="宋体"/>
                <w:color w:val="000000"/>
                <w:sz w:val="18"/>
                <w:szCs w:val="18"/>
              </w:rPr>
              <w:t>规格要求</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单位</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数量</w:t>
            </w:r>
          </w:p>
        </w:tc>
      </w:tr>
      <w:tr>
        <w:tblPrEx>
          <w:tblCellMar>
            <w:top w:w="0" w:type="dxa"/>
            <w:left w:w="108" w:type="dxa"/>
            <w:bottom w:w="0" w:type="dxa"/>
            <w:right w:w="108" w:type="dxa"/>
          </w:tblCellMar>
        </w:tblPrEx>
        <w:trPr>
          <w:gridAfter w:val="1"/>
          <w:wAfter w:w="110" w:type="dxa"/>
          <w:trHeight w:val="45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电缆保护管</w:t>
            </w:r>
          </w:p>
        </w:tc>
        <w:tc>
          <w:tcPr>
            <w:tcW w:w="396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镀锌钢管埋地敷设SC25</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535.14</w:t>
            </w:r>
          </w:p>
        </w:tc>
      </w:tr>
      <w:tr>
        <w:tblPrEx>
          <w:tblCellMar>
            <w:top w:w="0" w:type="dxa"/>
            <w:left w:w="108" w:type="dxa"/>
            <w:bottom w:w="0" w:type="dxa"/>
            <w:right w:w="108" w:type="dxa"/>
          </w:tblCellMar>
        </w:tblPrEx>
        <w:trPr>
          <w:gridAfter w:val="1"/>
          <w:wAfter w:w="110" w:type="dxa"/>
          <w:trHeight w:val="45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电缆保护管</w:t>
            </w:r>
          </w:p>
        </w:tc>
        <w:tc>
          <w:tcPr>
            <w:tcW w:w="396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镀锌钢管埋地敷设SC32</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28.08</w:t>
            </w:r>
          </w:p>
        </w:tc>
      </w:tr>
      <w:tr>
        <w:tblPrEx>
          <w:tblCellMar>
            <w:top w:w="0" w:type="dxa"/>
            <w:left w:w="108" w:type="dxa"/>
            <w:bottom w:w="0" w:type="dxa"/>
            <w:right w:w="108" w:type="dxa"/>
          </w:tblCellMar>
        </w:tblPrEx>
        <w:trPr>
          <w:gridAfter w:val="1"/>
          <w:wAfter w:w="110" w:type="dxa"/>
          <w:trHeight w:val="45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电缆保护管</w:t>
            </w:r>
          </w:p>
        </w:tc>
        <w:tc>
          <w:tcPr>
            <w:tcW w:w="396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镀锌钢管埋地敷设SC50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147.60</w:t>
            </w:r>
          </w:p>
        </w:tc>
      </w:tr>
      <w:tr>
        <w:tblPrEx>
          <w:tblCellMar>
            <w:top w:w="0" w:type="dxa"/>
            <w:left w:w="108" w:type="dxa"/>
            <w:bottom w:w="0" w:type="dxa"/>
            <w:right w:w="108" w:type="dxa"/>
          </w:tblCellMar>
        </w:tblPrEx>
        <w:trPr>
          <w:gridAfter w:val="1"/>
          <w:wAfter w:w="110" w:type="dxa"/>
          <w:trHeight w:val="45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电缆保护管</w:t>
            </w:r>
          </w:p>
        </w:tc>
        <w:tc>
          <w:tcPr>
            <w:tcW w:w="396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镀锌钢管埋地敷设SC100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6.84</w:t>
            </w:r>
          </w:p>
        </w:tc>
      </w:tr>
      <w:tr>
        <w:tblPrEx>
          <w:tblCellMar>
            <w:top w:w="0" w:type="dxa"/>
            <w:left w:w="108" w:type="dxa"/>
            <w:bottom w:w="0" w:type="dxa"/>
            <w:right w:w="108" w:type="dxa"/>
          </w:tblCellMar>
        </w:tblPrEx>
        <w:trPr>
          <w:gridAfter w:val="1"/>
          <w:wAfter w:w="110" w:type="dxa"/>
          <w:trHeight w:val="45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396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砖、混凝土结构明配JDG管 JDG20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600.00</w:t>
            </w:r>
          </w:p>
        </w:tc>
      </w:tr>
      <w:tr>
        <w:tblPrEx>
          <w:tblCellMar>
            <w:top w:w="0" w:type="dxa"/>
            <w:left w:w="108" w:type="dxa"/>
            <w:bottom w:w="0" w:type="dxa"/>
            <w:right w:w="108" w:type="dxa"/>
          </w:tblCellMar>
        </w:tblPrEx>
        <w:trPr>
          <w:gridAfter w:val="1"/>
          <w:wAfter w:w="110" w:type="dxa"/>
          <w:trHeight w:val="45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6</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396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砖、混凝土结构明配JDG管 JDG32</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5340.00</w:t>
            </w:r>
          </w:p>
        </w:tc>
      </w:tr>
      <w:tr>
        <w:tblPrEx>
          <w:tblCellMar>
            <w:top w:w="0" w:type="dxa"/>
            <w:left w:w="108" w:type="dxa"/>
            <w:bottom w:w="0" w:type="dxa"/>
            <w:right w:w="108" w:type="dxa"/>
          </w:tblCellMar>
        </w:tblPrEx>
        <w:trPr>
          <w:gridAfter w:val="1"/>
          <w:wAfter w:w="110" w:type="dxa"/>
          <w:trHeight w:val="57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7</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396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砖、混凝土结构明配刚性阻燃管 PVC25</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58485.00</w:t>
            </w:r>
          </w:p>
        </w:tc>
      </w:tr>
      <w:tr>
        <w:tblPrEx>
          <w:tblCellMar>
            <w:top w:w="0" w:type="dxa"/>
            <w:left w:w="108" w:type="dxa"/>
            <w:bottom w:w="0" w:type="dxa"/>
            <w:right w:w="108" w:type="dxa"/>
          </w:tblCellMar>
        </w:tblPrEx>
        <w:trPr>
          <w:gridAfter w:val="1"/>
          <w:wAfter w:w="110" w:type="dxa"/>
          <w:trHeight w:val="45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8</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396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PE20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179.46</w:t>
            </w:r>
          </w:p>
        </w:tc>
      </w:tr>
      <w:tr>
        <w:tblPrEx>
          <w:tblCellMar>
            <w:top w:w="0" w:type="dxa"/>
            <w:left w:w="108" w:type="dxa"/>
            <w:bottom w:w="0" w:type="dxa"/>
            <w:right w:w="108" w:type="dxa"/>
          </w:tblCellMar>
        </w:tblPrEx>
        <w:trPr>
          <w:gridAfter w:val="1"/>
          <w:wAfter w:w="110" w:type="dxa"/>
          <w:trHeight w:val="45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9</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396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PE25</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474.12</w:t>
            </w:r>
          </w:p>
        </w:tc>
      </w:tr>
      <w:tr>
        <w:tblPrEx>
          <w:tblCellMar>
            <w:top w:w="0" w:type="dxa"/>
            <w:left w:w="108" w:type="dxa"/>
            <w:bottom w:w="0" w:type="dxa"/>
            <w:right w:w="108" w:type="dxa"/>
          </w:tblCellMar>
        </w:tblPrEx>
        <w:trPr>
          <w:gridAfter w:val="1"/>
          <w:wAfter w:w="110" w:type="dxa"/>
          <w:trHeight w:val="45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396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PE32</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856.08</w:t>
            </w:r>
          </w:p>
        </w:tc>
      </w:tr>
      <w:tr>
        <w:tblPrEx>
          <w:tblCellMar>
            <w:top w:w="0" w:type="dxa"/>
            <w:left w:w="108" w:type="dxa"/>
            <w:bottom w:w="0" w:type="dxa"/>
            <w:right w:w="108" w:type="dxa"/>
          </w:tblCellMar>
        </w:tblPrEx>
        <w:trPr>
          <w:gridAfter w:val="1"/>
          <w:wAfter w:w="110" w:type="dxa"/>
          <w:trHeight w:val="45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11</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396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PE50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712.80</w:t>
            </w:r>
          </w:p>
        </w:tc>
      </w:tr>
      <w:tr>
        <w:tblPrEx>
          <w:tblCellMar>
            <w:top w:w="0" w:type="dxa"/>
            <w:left w:w="108" w:type="dxa"/>
            <w:bottom w:w="0" w:type="dxa"/>
            <w:right w:w="108" w:type="dxa"/>
          </w:tblCellMar>
        </w:tblPrEx>
        <w:trPr>
          <w:gridAfter w:val="1"/>
          <w:wAfter w:w="110" w:type="dxa"/>
          <w:trHeight w:val="45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12</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396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PE100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572.40</w:t>
            </w:r>
          </w:p>
        </w:tc>
      </w:tr>
      <w:tr>
        <w:tblPrEx>
          <w:tblCellMar>
            <w:top w:w="0" w:type="dxa"/>
            <w:left w:w="108" w:type="dxa"/>
            <w:bottom w:w="0" w:type="dxa"/>
            <w:right w:w="108" w:type="dxa"/>
          </w:tblCellMar>
        </w:tblPrEx>
        <w:trPr>
          <w:gridAfter w:val="1"/>
          <w:wAfter w:w="110" w:type="dxa"/>
          <w:trHeight w:val="45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13</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桥架</w:t>
            </w:r>
          </w:p>
        </w:tc>
        <w:tc>
          <w:tcPr>
            <w:tcW w:w="396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热镀锌桥架 CT-50*50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1956.00</w:t>
            </w:r>
          </w:p>
        </w:tc>
      </w:tr>
      <w:tr>
        <w:tblPrEx>
          <w:tblCellMar>
            <w:top w:w="0" w:type="dxa"/>
            <w:left w:w="108" w:type="dxa"/>
            <w:bottom w:w="0" w:type="dxa"/>
            <w:right w:w="108" w:type="dxa"/>
          </w:tblCellMar>
        </w:tblPrEx>
        <w:trPr>
          <w:gridAfter w:val="1"/>
          <w:wAfter w:w="110" w:type="dxa"/>
          <w:trHeight w:val="45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14</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桥架</w:t>
            </w:r>
          </w:p>
        </w:tc>
        <w:tc>
          <w:tcPr>
            <w:tcW w:w="396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热镀锌桥架 CT-100*50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3195.00</w:t>
            </w:r>
          </w:p>
        </w:tc>
      </w:tr>
      <w:tr>
        <w:tblPrEx>
          <w:tblCellMar>
            <w:top w:w="0" w:type="dxa"/>
            <w:left w:w="108" w:type="dxa"/>
            <w:bottom w:w="0" w:type="dxa"/>
            <w:right w:w="108" w:type="dxa"/>
          </w:tblCellMar>
        </w:tblPrEx>
        <w:trPr>
          <w:gridAfter w:val="1"/>
          <w:wAfter w:w="110" w:type="dxa"/>
          <w:trHeight w:val="45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15</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桥架</w:t>
            </w:r>
          </w:p>
        </w:tc>
        <w:tc>
          <w:tcPr>
            <w:tcW w:w="396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热镀锌桥架 CT-100*100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1885.00</w:t>
            </w:r>
          </w:p>
        </w:tc>
      </w:tr>
      <w:tr>
        <w:tblPrEx>
          <w:tblCellMar>
            <w:top w:w="0" w:type="dxa"/>
            <w:left w:w="108" w:type="dxa"/>
            <w:bottom w:w="0" w:type="dxa"/>
            <w:right w:w="108" w:type="dxa"/>
          </w:tblCellMar>
        </w:tblPrEx>
        <w:trPr>
          <w:gridAfter w:val="1"/>
          <w:wAfter w:w="110" w:type="dxa"/>
          <w:trHeight w:val="45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16</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铁构件</w:t>
            </w:r>
          </w:p>
        </w:tc>
        <w:tc>
          <w:tcPr>
            <w:tcW w:w="396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一般铁构件制作安装</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kg</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5712.00</w:t>
            </w:r>
          </w:p>
        </w:tc>
      </w:tr>
      <w:tr>
        <w:tblPrEx>
          <w:tblCellMar>
            <w:top w:w="0" w:type="dxa"/>
            <w:left w:w="108" w:type="dxa"/>
            <w:bottom w:w="0" w:type="dxa"/>
            <w:right w:w="108" w:type="dxa"/>
          </w:tblCellMar>
        </w:tblPrEx>
        <w:trPr>
          <w:gridAfter w:val="1"/>
          <w:wAfter w:w="110" w:type="dxa"/>
          <w:trHeight w:val="45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17</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w:t>
            </w:r>
          </w:p>
        </w:tc>
        <w:tc>
          <w:tcPr>
            <w:tcW w:w="396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 管内穿放CAT6(室外型)</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25800.00</w:t>
            </w:r>
          </w:p>
        </w:tc>
      </w:tr>
      <w:tr>
        <w:tblPrEx>
          <w:tblCellMar>
            <w:top w:w="0" w:type="dxa"/>
            <w:left w:w="108" w:type="dxa"/>
            <w:bottom w:w="0" w:type="dxa"/>
            <w:right w:w="108" w:type="dxa"/>
          </w:tblCellMar>
        </w:tblPrEx>
        <w:trPr>
          <w:gridAfter w:val="1"/>
          <w:wAfter w:w="110" w:type="dxa"/>
          <w:trHeight w:val="45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18</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w:t>
            </w:r>
          </w:p>
        </w:tc>
        <w:tc>
          <w:tcPr>
            <w:tcW w:w="396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 管内穿放CAT6</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8940.00</w:t>
            </w:r>
          </w:p>
        </w:tc>
      </w:tr>
      <w:tr>
        <w:tblPrEx>
          <w:tblCellMar>
            <w:top w:w="0" w:type="dxa"/>
            <w:left w:w="108" w:type="dxa"/>
            <w:bottom w:w="0" w:type="dxa"/>
            <w:right w:w="108" w:type="dxa"/>
          </w:tblCellMar>
        </w:tblPrEx>
        <w:trPr>
          <w:gridAfter w:val="1"/>
          <w:wAfter w:w="110" w:type="dxa"/>
          <w:trHeight w:val="45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19</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w:t>
            </w:r>
          </w:p>
        </w:tc>
        <w:tc>
          <w:tcPr>
            <w:tcW w:w="396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 线槽（桥架）内布放CAT5E</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153120.00</w:t>
            </w:r>
          </w:p>
        </w:tc>
      </w:tr>
      <w:tr>
        <w:tblPrEx>
          <w:tblCellMar>
            <w:top w:w="0" w:type="dxa"/>
            <w:left w:w="108" w:type="dxa"/>
            <w:bottom w:w="0" w:type="dxa"/>
            <w:right w:w="108" w:type="dxa"/>
          </w:tblCellMar>
        </w:tblPrEx>
        <w:trPr>
          <w:gridAfter w:val="1"/>
          <w:wAfter w:w="110" w:type="dxa"/>
          <w:trHeight w:val="45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20</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控制电缆</w:t>
            </w:r>
          </w:p>
        </w:tc>
        <w:tc>
          <w:tcPr>
            <w:tcW w:w="396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控制电缆敷设 KVVR2*1.5</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6277.20</w:t>
            </w:r>
          </w:p>
        </w:tc>
      </w:tr>
      <w:tr>
        <w:tblPrEx>
          <w:tblCellMar>
            <w:top w:w="0" w:type="dxa"/>
            <w:left w:w="108" w:type="dxa"/>
            <w:bottom w:w="0" w:type="dxa"/>
            <w:right w:w="108" w:type="dxa"/>
          </w:tblCellMar>
        </w:tblPrEx>
        <w:trPr>
          <w:gridAfter w:val="1"/>
          <w:wAfter w:w="110" w:type="dxa"/>
          <w:trHeight w:val="45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21</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控制电缆</w:t>
            </w:r>
          </w:p>
        </w:tc>
        <w:tc>
          <w:tcPr>
            <w:tcW w:w="396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控制电缆敷设 KVVR2*1.0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1800.00</w:t>
            </w:r>
          </w:p>
        </w:tc>
      </w:tr>
      <w:tr>
        <w:tblPrEx>
          <w:tblCellMar>
            <w:top w:w="0" w:type="dxa"/>
            <w:left w:w="108" w:type="dxa"/>
            <w:bottom w:w="0" w:type="dxa"/>
            <w:right w:w="108" w:type="dxa"/>
          </w:tblCellMar>
        </w:tblPrEx>
        <w:trPr>
          <w:gridAfter w:val="1"/>
          <w:wAfter w:w="110" w:type="dxa"/>
          <w:trHeight w:val="45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22</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配线</w:t>
            </w:r>
          </w:p>
        </w:tc>
        <w:tc>
          <w:tcPr>
            <w:tcW w:w="396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四芯单芯导线 RVV4*1.0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7200.00</w:t>
            </w:r>
          </w:p>
        </w:tc>
      </w:tr>
      <w:tr>
        <w:tblPrEx>
          <w:tblCellMar>
            <w:top w:w="0" w:type="dxa"/>
            <w:left w:w="108" w:type="dxa"/>
            <w:bottom w:w="0" w:type="dxa"/>
            <w:right w:w="108" w:type="dxa"/>
          </w:tblCellMar>
        </w:tblPrEx>
        <w:trPr>
          <w:gridAfter w:val="1"/>
          <w:wAfter w:w="110" w:type="dxa"/>
          <w:trHeight w:val="45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23</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配线</w:t>
            </w:r>
          </w:p>
        </w:tc>
        <w:tc>
          <w:tcPr>
            <w:tcW w:w="396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二芯单芯导线 RVV2*1.0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133800.00</w:t>
            </w:r>
          </w:p>
        </w:tc>
      </w:tr>
      <w:tr>
        <w:tblPrEx>
          <w:tblCellMar>
            <w:top w:w="0" w:type="dxa"/>
            <w:left w:w="108" w:type="dxa"/>
            <w:bottom w:w="0" w:type="dxa"/>
            <w:right w:w="108" w:type="dxa"/>
          </w:tblCellMar>
        </w:tblPrEx>
        <w:trPr>
          <w:gridAfter w:val="1"/>
          <w:wAfter w:w="110" w:type="dxa"/>
          <w:trHeight w:val="45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24</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光缆</w:t>
            </w:r>
          </w:p>
        </w:tc>
        <w:tc>
          <w:tcPr>
            <w:tcW w:w="396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室外四芯单模光纤安装</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22021.20</w:t>
            </w:r>
          </w:p>
        </w:tc>
      </w:tr>
      <w:tr>
        <w:tblPrEx>
          <w:tblCellMar>
            <w:top w:w="0" w:type="dxa"/>
            <w:left w:w="108" w:type="dxa"/>
            <w:bottom w:w="0" w:type="dxa"/>
            <w:right w:w="108" w:type="dxa"/>
          </w:tblCellMar>
        </w:tblPrEx>
        <w:trPr>
          <w:gridAfter w:val="1"/>
          <w:wAfter w:w="110" w:type="dxa"/>
          <w:trHeight w:val="45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25</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电力电缆</w:t>
            </w:r>
          </w:p>
        </w:tc>
        <w:tc>
          <w:tcPr>
            <w:tcW w:w="396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铜芯电力电缆敷设 YJV-3*2.5</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3519.60</w:t>
            </w:r>
          </w:p>
        </w:tc>
      </w:tr>
      <w:tr>
        <w:tblPrEx>
          <w:tblCellMar>
            <w:top w:w="0" w:type="dxa"/>
            <w:left w:w="108" w:type="dxa"/>
            <w:bottom w:w="0" w:type="dxa"/>
            <w:right w:w="108" w:type="dxa"/>
          </w:tblCellMar>
        </w:tblPrEx>
        <w:trPr>
          <w:gridAfter w:val="1"/>
          <w:wAfter w:w="110" w:type="dxa"/>
          <w:trHeight w:val="45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26</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打洞（孔）</w:t>
            </w:r>
          </w:p>
        </w:tc>
        <w:tc>
          <w:tcPr>
            <w:tcW w:w="396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桥架穿楼板打孔</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2600</w:t>
            </w:r>
          </w:p>
        </w:tc>
      </w:tr>
      <w:tr>
        <w:tblPrEx>
          <w:tblCellMar>
            <w:top w:w="0" w:type="dxa"/>
            <w:left w:w="108" w:type="dxa"/>
            <w:bottom w:w="0" w:type="dxa"/>
            <w:right w:w="108" w:type="dxa"/>
          </w:tblCellMar>
        </w:tblPrEx>
        <w:trPr>
          <w:gridAfter w:val="1"/>
          <w:wAfter w:w="110" w:type="dxa"/>
          <w:trHeight w:val="45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27</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打洞（孔）</w:t>
            </w:r>
          </w:p>
        </w:tc>
        <w:tc>
          <w:tcPr>
            <w:tcW w:w="396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墙面入户管打孔</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7798</w:t>
            </w:r>
          </w:p>
        </w:tc>
      </w:tr>
      <w:tr>
        <w:tblPrEx>
          <w:tblCellMar>
            <w:top w:w="0" w:type="dxa"/>
            <w:left w:w="108" w:type="dxa"/>
            <w:bottom w:w="0" w:type="dxa"/>
            <w:right w:w="108" w:type="dxa"/>
          </w:tblCellMar>
        </w:tblPrEx>
        <w:trPr>
          <w:gridAfter w:val="1"/>
          <w:wAfter w:w="110" w:type="dxa"/>
          <w:trHeight w:val="45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28</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电力电缆</w:t>
            </w:r>
          </w:p>
        </w:tc>
        <w:tc>
          <w:tcPr>
            <w:tcW w:w="396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铜芯电力电缆敷设 YJV-3*4</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1144.80</w:t>
            </w:r>
          </w:p>
        </w:tc>
      </w:tr>
      <w:tr>
        <w:tblPrEx>
          <w:tblCellMar>
            <w:top w:w="0" w:type="dxa"/>
            <w:left w:w="108" w:type="dxa"/>
            <w:bottom w:w="0" w:type="dxa"/>
            <w:right w:w="108" w:type="dxa"/>
          </w:tblCellMar>
        </w:tblPrEx>
        <w:trPr>
          <w:gridAfter w:val="1"/>
          <w:wAfter w:w="110" w:type="dxa"/>
          <w:trHeight w:val="45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29</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手孔井</w:t>
            </w:r>
          </w:p>
        </w:tc>
        <w:tc>
          <w:tcPr>
            <w:tcW w:w="396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弱电手孔井 600*600*700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122</w:t>
            </w:r>
          </w:p>
        </w:tc>
      </w:tr>
      <w:tr>
        <w:tblPrEx>
          <w:tblCellMar>
            <w:top w:w="0" w:type="dxa"/>
            <w:left w:w="108" w:type="dxa"/>
            <w:bottom w:w="0" w:type="dxa"/>
            <w:right w:w="108" w:type="dxa"/>
          </w:tblCellMar>
        </w:tblPrEx>
        <w:trPr>
          <w:gridAfter w:val="1"/>
          <w:wAfter w:w="110" w:type="dxa"/>
          <w:trHeight w:val="57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30</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挖沟槽土方</w:t>
            </w:r>
          </w:p>
        </w:tc>
        <w:tc>
          <w:tcPr>
            <w:tcW w:w="396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绿化下素土开挖：人机配合挖沟槽土方不装车，土方类别综合考虑</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342.14</w:t>
            </w:r>
          </w:p>
        </w:tc>
      </w:tr>
      <w:tr>
        <w:tblPrEx>
          <w:tblCellMar>
            <w:top w:w="0" w:type="dxa"/>
            <w:left w:w="108" w:type="dxa"/>
            <w:bottom w:w="0" w:type="dxa"/>
            <w:right w:w="108" w:type="dxa"/>
          </w:tblCellMar>
        </w:tblPrEx>
        <w:trPr>
          <w:gridAfter w:val="1"/>
          <w:wAfter w:w="110" w:type="dxa"/>
          <w:trHeight w:val="57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31</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挖沟槽土方</w:t>
            </w:r>
          </w:p>
        </w:tc>
        <w:tc>
          <w:tcPr>
            <w:tcW w:w="396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道路结构下开挖塘渣：人机配合挖沟槽四类土不装车</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38.02</w:t>
            </w:r>
          </w:p>
        </w:tc>
      </w:tr>
      <w:tr>
        <w:tblPrEx>
          <w:tblCellMar>
            <w:top w:w="0" w:type="dxa"/>
            <w:left w:w="108" w:type="dxa"/>
            <w:bottom w:w="0" w:type="dxa"/>
            <w:right w:w="108" w:type="dxa"/>
          </w:tblCellMar>
        </w:tblPrEx>
        <w:trPr>
          <w:gridAfter w:val="1"/>
          <w:wAfter w:w="110" w:type="dxa"/>
          <w:trHeight w:val="45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32</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拆除路面</w:t>
            </w:r>
          </w:p>
        </w:tc>
        <w:tc>
          <w:tcPr>
            <w:tcW w:w="396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混凝土路面开挖及修复</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m2</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172.80</w:t>
            </w:r>
          </w:p>
        </w:tc>
      </w:tr>
      <w:tr>
        <w:tblPrEx>
          <w:tblCellMar>
            <w:top w:w="0" w:type="dxa"/>
            <w:left w:w="108" w:type="dxa"/>
            <w:bottom w:w="0" w:type="dxa"/>
            <w:right w:w="108" w:type="dxa"/>
          </w:tblCellMar>
        </w:tblPrEx>
        <w:trPr>
          <w:gridAfter w:val="1"/>
          <w:wAfter w:w="110" w:type="dxa"/>
          <w:trHeight w:val="45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33</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回填方</w:t>
            </w:r>
          </w:p>
        </w:tc>
        <w:tc>
          <w:tcPr>
            <w:tcW w:w="396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沟槽原土回填</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192.33</w:t>
            </w:r>
          </w:p>
        </w:tc>
      </w:tr>
      <w:tr>
        <w:tblPrEx>
          <w:tblCellMar>
            <w:top w:w="0" w:type="dxa"/>
            <w:left w:w="108" w:type="dxa"/>
            <w:bottom w:w="0" w:type="dxa"/>
            <w:right w:w="108" w:type="dxa"/>
          </w:tblCellMar>
        </w:tblPrEx>
        <w:trPr>
          <w:gridAfter w:val="1"/>
          <w:wAfter w:w="110" w:type="dxa"/>
          <w:trHeight w:val="45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34</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回填方</w:t>
            </w:r>
          </w:p>
        </w:tc>
        <w:tc>
          <w:tcPr>
            <w:tcW w:w="396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沟槽机制砂回填</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62.21</w:t>
            </w:r>
          </w:p>
        </w:tc>
      </w:tr>
      <w:tr>
        <w:tblPrEx>
          <w:tblCellMar>
            <w:top w:w="0" w:type="dxa"/>
            <w:left w:w="108" w:type="dxa"/>
            <w:bottom w:w="0" w:type="dxa"/>
            <w:right w:w="108" w:type="dxa"/>
          </w:tblCellMar>
        </w:tblPrEx>
        <w:trPr>
          <w:gridAfter w:val="1"/>
          <w:wAfter w:w="110" w:type="dxa"/>
          <w:trHeight w:val="45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35</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回填方</w:t>
            </w:r>
          </w:p>
        </w:tc>
        <w:tc>
          <w:tcPr>
            <w:tcW w:w="396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渠（管）道垫层 机制砂</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124.42</w:t>
            </w:r>
          </w:p>
        </w:tc>
      </w:tr>
    </w:tbl>
    <w:p>
      <w:pPr>
        <w:rPr>
          <w:rFonts w:hint="eastAsia"/>
        </w:rPr>
      </w:pPr>
    </w:p>
    <w:p>
      <w:pPr>
        <w:pStyle w:val="2"/>
        <w:rPr>
          <w:rFonts w:hint="eastAsia"/>
        </w:rPr>
      </w:pPr>
    </w:p>
    <w:p>
      <w:pPr>
        <w:rPr>
          <w:rFonts w:hint="eastAsia"/>
        </w:rPr>
      </w:pPr>
    </w:p>
    <w:p>
      <w:pPr>
        <w:pStyle w:val="43"/>
        <w:ind w:firstLine="0" w:firstLineChars="0"/>
        <w:rPr>
          <w:rFonts w:hint="eastAsia" w:ascii="宋体" w:hAnsi="宋体" w:eastAsia="宋体"/>
          <w:b/>
          <w:bCs/>
          <w:color w:val="000000"/>
          <w:sz w:val="32"/>
          <w:szCs w:val="32"/>
          <w:lang w:eastAsia="zh-CN"/>
        </w:rPr>
      </w:pPr>
      <w:r>
        <w:rPr>
          <w:rFonts w:hint="eastAsia" w:ascii="宋体" w:hAnsi="宋体"/>
          <w:b/>
          <w:bCs/>
          <w:color w:val="000000"/>
          <w:sz w:val="32"/>
          <w:szCs w:val="32"/>
        </w:rPr>
        <w:t>标项四</w:t>
      </w:r>
      <w:r>
        <w:rPr>
          <w:rFonts w:hint="eastAsia" w:ascii="宋体" w:hAnsi="宋体"/>
          <w:b/>
          <w:bCs/>
          <w:color w:val="000000"/>
          <w:sz w:val="32"/>
          <w:szCs w:val="32"/>
          <w:lang w:eastAsia="zh-CN"/>
        </w:rPr>
        <w:t>：</w:t>
      </w:r>
    </w:p>
    <w:p>
      <w:pPr>
        <w:rPr>
          <w:rFonts w:eastAsia="宋体"/>
          <w:b/>
          <w:bCs/>
        </w:rPr>
      </w:pPr>
      <w:r>
        <w:rPr>
          <w:rFonts w:hint="eastAsia"/>
          <w:b/>
          <w:bCs/>
        </w:rPr>
        <w:t>石碶街道各小区设备配置清单</w:t>
      </w:r>
    </w:p>
    <w:tbl>
      <w:tblPr>
        <w:tblStyle w:val="14"/>
        <w:tblW w:w="4998" w:type="pct"/>
        <w:tblInd w:w="0" w:type="dxa"/>
        <w:tblLayout w:type="autofit"/>
        <w:tblCellMar>
          <w:top w:w="0" w:type="dxa"/>
          <w:left w:w="0" w:type="dxa"/>
          <w:bottom w:w="0" w:type="dxa"/>
          <w:right w:w="0" w:type="dxa"/>
        </w:tblCellMar>
      </w:tblPr>
      <w:tblGrid>
        <w:gridCol w:w="4"/>
        <w:gridCol w:w="979"/>
        <w:gridCol w:w="2321"/>
        <w:gridCol w:w="1030"/>
        <w:gridCol w:w="1092"/>
        <w:gridCol w:w="1529"/>
        <w:gridCol w:w="322"/>
        <w:gridCol w:w="782"/>
        <w:gridCol w:w="384"/>
        <w:gridCol w:w="1188"/>
        <w:gridCol w:w="119"/>
      </w:tblGrid>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序号</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设备名称</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2"/>
                <w:szCs w:val="22"/>
              </w:rPr>
            </w:pPr>
            <w:r>
              <w:rPr>
                <w:rFonts w:hint="eastAsia" w:ascii="宋体" w:hAnsi="宋体" w:cs="宋体"/>
                <w:color w:val="000000"/>
                <w:sz w:val="22"/>
                <w:szCs w:val="22"/>
              </w:rPr>
              <w:t>汽运小区</w:t>
            </w: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2"/>
                <w:szCs w:val="22"/>
              </w:rPr>
            </w:pPr>
            <w:r>
              <w:rPr>
                <w:rFonts w:hint="eastAsia" w:ascii="宋体" w:hAnsi="宋体" w:cs="宋体"/>
                <w:color w:val="000000"/>
                <w:sz w:val="22"/>
                <w:szCs w:val="22"/>
              </w:rPr>
              <w:t>写字楼小区</w:t>
            </w: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2"/>
                <w:szCs w:val="22"/>
              </w:rPr>
            </w:pPr>
            <w:r>
              <w:rPr>
                <w:rFonts w:hint="eastAsia" w:ascii="宋体" w:hAnsi="宋体" w:cs="宋体"/>
                <w:color w:val="000000"/>
                <w:sz w:val="22"/>
                <w:szCs w:val="22"/>
              </w:rPr>
              <w:t>广场墙门</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数量</w:t>
            </w:r>
          </w:p>
        </w:tc>
      </w:tr>
      <w:tr>
        <w:tblPrEx>
          <w:tblCellMar>
            <w:top w:w="0" w:type="dxa"/>
            <w:left w:w="0" w:type="dxa"/>
            <w:bottom w:w="0" w:type="dxa"/>
            <w:right w:w="0" w:type="dxa"/>
          </w:tblCellMar>
        </w:tblPrEx>
        <w:trPr>
          <w:gridBefore w:val="1"/>
          <w:wBefore w:w="2" w:type="pct"/>
          <w:trHeight w:val="500" w:hRule="atLeast"/>
        </w:trPr>
        <w:tc>
          <w:tcPr>
            <w:tcW w:w="4997" w:type="pct"/>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Arial" w:hAnsi="Arial" w:cs="Arial"/>
                <w:color w:val="000000"/>
                <w:sz w:val="20"/>
              </w:rPr>
            </w:pPr>
            <w:r>
              <w:rPr>
                <w:rFonts w:ascii="Arial" w:hAnsi="Arial" w:cs="Arial"/>
                <w:b/>
                <w:color w:val="000000"/>
                <w:sz w:val="20"/>
              </w:rPr>
              <w:t>1</w:t>
            </w:r>
            <w:r>
              <w:rPr>
                <w:rFonts w:hint="eastAsia" w:ascii="宋体" w:hAnsi="宋体" w:cs="宋体"/>
                <w:b/>
                <w:color w:val="000000"/>
                <w:sz w:val="20"/>
              </w:rPr>
              <w:t>、出入口控制系统</w:t>
            </w:r>
            <w:r>
              <w:rPr>
                <w:rStyle w:val="31"/>
              </w:rPr>
              <w:t>1</w:t>
            </w:r>
            <w:r>
              <w:rPr>
                <w:rFonts w:hint="eastAsia" w:ascii="宋体" w:hAnsi="宋体" w:cs="宋体"/>
                <w:b/>
                <w:color w:val="000000"/>
                <w:sz w:val="20"/>
              </w:rPr>
              <w:t>（人行出入口）</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智慧门</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双目人脸识别可视对讲围墙机</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主机电源</w:t>
            </w:r>
            <w:r>
              <w:rPr>
                <w:rFonts w:ascii="Arial" w:hAnsi="Arial" w:cs="Arial"/>
                <w:color w:val="000000"/>
                <w:sz w:val="20"/>
              </w:rPr>
              <w:t>12V/2A</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磁力锁</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专用锁电源</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闭门器</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7</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防水出门按钮及支架</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8</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人证合一一体机</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9</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USB</w:t>
            </w:r>
            <w:r>
              <w:rPr>
                <w:rFonts w:hint="eastAsia" w:ascii="宋体" w:hAnsi="宋体" w:cs="宋体"/>
                <w:color w:val="000000"/>
                <w:sz w:val="20"/>
              </w:rPr>
              <w:t>人像采集</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10</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基础（智慧门、围墙机支架、出门按钮支架）</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p>
        </w:tc>
      </w:tr>
      <w:tr>
        <w:tblPrEx>
          <w:tblCellMar>
            <w:top w:w="0" w:type="dxa"/>
            <w:left w:w="0" w:type="dxa"/>
            <w:bottom w:w="0" w:type="dxa"/>
            <w:right w:w="0" w:type="dxa"/>
          </w:tblCellMar>
        </w:tblPrEx>
        <w:trPr>
          <w:gridBefore w:val="1"/>
          <w:wBefore w:w="2" w:type="pct"/>
          <w:trHeight w:val="500" w:hRule="atLeast"/>
        </w:trPr>
        <w:tc>
          <w:tcPr>
            <w:tcW w:w="4997" w:type="pct"/>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b/>
                <w:color w:val="000000"/>
                <w:sz w:val="20"/>
              </w:rPr>
              <w:t>2</w:t>
            </w:r>
            <w:r>
              <w:rPr>
                <w:rFonts w:hint="eastAsia" w:ascii="宋体" w:hAnsi="宋体" w:cs="宋体"/>
                <w:b/>
                <w:color w:val="000000"/>
                <w:sz w:val="20"/>
              </w:rPr>
              <w:t>、出入口控制系统</w:t>
            </w:r>
            <w:r>
              <w:rPr>
                <w:rStyle w:val="31"/>
              </w:rPr>
              <w:t>2</w:t>
            </w:r>
            <w:r>
              <w:rPr>
                <w:rFonts w:hint="eastAsia" w:ascii="宋体" w:hAnsi="宋体" w:cs="宋体"/>
                <w:b/>
                <w:color w:val="000000"/>
                <w:sz w:val="20"/>
              </w:rPr>
              <w:t>（停车系统设备）</w:t>
            </w:r>
          </w:p>
        </w:tc>
      </w:tr>
      <w:tr>
        <w:tblPrEx>
          <w:tblCellMar>
            <w:top w:w="0" w:type="dxa"/>
            <w:left w:w="0" w:type="dxa"/>
            <w:bottom w:w="0" w:type="dxa"/>
            <w:right w:w="0" w:type="dxa"/>
          </w:tblCellMar>
        </w:tblPrEx>
        <w:trPr>
          <w:gridBefore w:val="1"/>
          <w:wBefore w:w="2" w:type="pct"/>
          <w:trHeight w:val="500" w:hRule="atLeast"/>
        </w:trPr>
        <w:tc>
          <w:tcPr>
            <w:tcW w:w="4997" w:type="pct"/>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hint="eastAsia" w:ascii="宋体" w:hAnsi="宋体" w:cs="宋体"/>
                <w:b/>
                <w:color w:val="000000"/>
                <w:sz w:val="20"/>
              </w:rPr>
              <w:t>主要出入口单进单出</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11</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出口杆式抓拍一体机</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12</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道闸</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13</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防砸雷达</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14</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入口杆式抓拍一体机</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15</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道闸</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16</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防砸雷达</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17</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逻辑雷达</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8</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18</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触发雷达</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8</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19</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8口百兆接入交换机</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3</w:t>
            </w:r>
          </w:p>
        </w:tc>
      </w:tr>
      <w:tr>
        <w:tblPrEx>
          <w:tblCellMar>
            <w:top w:w="0" w:type="dxa"/>
            <w:left w:w="0" w:type="dxa"/>
            <w:bottom w:w="0" w:type="dxa"/>
            <w:right w:w="0" w:type="dxa"/>
          </w:tblCellMar>
        </w:tblPrEx>
        <w:trPr>
          <w:gridBefore w:val="1"/>
          <w:wBefore w:w="2" w:type="pct"/>
          <w:trHeight w:val="500" w:hRule="atLeast"/>
        </w:trPr>
        <w:tc>
          <w:tcPr>
            <w:tcW w:w="4997" w:type="pct"/>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hint="eastAsia" w:ascii="宋体" w:hAnsi="宋体" w:cs="宋体"/>
                <w:b/>
                <w:color w:val="000000"/>
                <w:sz w:val="20"/>
              </w:rPr>
              <w:t>管理设备</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20</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收费电脑</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21</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车辆收费软件</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22</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附件</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23</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光纤收发器</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24</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8</w:t>
            </w:r>
            <w:r>
              <w:rPr>
                <w:rFonts w:hint="eastAsia" w:ascii="宋体" w:hAnsi="宋体" w:cs="宋体"/>
                <w:color w:val="000000"/>
                <w:sz w:val="20"/>
              </w:rPr>
              <w:t>口千兆接入层交换机</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4</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25</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24</w:t>
            </w:r>
            <w:r>
              <w:rPr>
                <w:rFonts w:hint="eastAsia" w:ascii="宋体" w:hAnsi="宋体" w:cs="宋体"/>
                <w:color w:val="000000"/>
                <w:sz w:val="20"/>
              </w:rPr>
              <w:t>口千兆接入层交换机</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26</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调试对接费用</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hint="eastAsia" w:ascii="Arial" w:hAnsi="Arial" w:cs="Arial"/>
                <w:color w:val="000000"/>
                <w:kern w:val="2"/>
                <w:sz w:val="20"/>
              </w:rPr>
              <w:t>27</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基础（道闸设备机箱等基础）</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p>
        </w:tc>
      </w:tr>
      <w:tr>
        <w:tblPrEx>
          <w:tblCellMar>
            <w:top w:w="0" w:type="dxa"/>
            <w:left w:w="0" w:type="dxa"/>
            <w:bottom w:w="0" w:type="dxa"/>
            <w:right w:w="0" w:type="dxa"/>
          </w:tblCellMar>
        </w:tblPrEx>
        <w:trPr>
          <w:gridBefore w:val="1"/>
          <w:wBefore w:w="2" w:type="pct"/>
          <w:trHeight w:val="500" w:hRule="atLeast"/>
        </w:trPr>
        <w:tc>
          <w:tcPr>
            <w:tcW w:w="4997" w:type="pct"/>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b/>
                <w:color w:val="000000"/>
                <w:sz w:val="20"/>
              </w:rPr>
              <w:t>3</w:t>
            </w:r>
            <w:r>
              <w:rPr>
                <w:rFonts w:hint="eastAsia" w:ascii="宋体" w:hAnsi="宋体" w:cs="宋体"/>
                <w:b/>
                <w:color w:val="000000"/>
                <w:sz w:val="20"/>
              </w:rPr>
              <w:t>、视频监控系统</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28</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微卡摄像机</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29</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全局人脸摄像机</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30</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人脸摄像机</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31</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步态摄像机</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32</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高空抛物网络摄像机</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33</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彩色高清摄像机</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25</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17</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45</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34</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彩色高清半球摄像机</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35</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彩色高清电梯专用摄像机</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36</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数字楼层显示器</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37</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网络传输器</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38</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200</w:t>
            </w:r>
            <w:r>
              <w:rPr>
                <w:rFonts w:hint="eastAsia" w:ascii="宋体" w:hAnsi="宋体" w:cs="宋体"/>
                <w:color w:val="000000"/>
                <w:sz w:val="20"/>
              </w:rPr>
              <w:t>万轻智能警戒摄像机</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9</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39</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消防占道球机</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40</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摄像机立竿</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11</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41</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视频解码器</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42</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32</w:t>
            </w:r>
            <w:r>
              <w:rPr>
                <w:rFonts w:hint="eastAsia" w:ascii="宋体" w:hAnsi="宋体" w:cs="宋体"/>
                <w:color w:val="000000"/>
                <w:sz w:val="20"/>
              </w:rPr>
              <w:t>寸监视器</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43</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视频切换器</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44</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电源</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45</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配套支架</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46</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管理电脑</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47</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操作台</w:t>
            </w:r>
            <w:r>
              <w:rPr>
                <w:rFonts w:ascii="Arial" w:hAnsi="Arial" w:cs="Arial"/>
                <w:color w:val="000000"/>
                <w:sz w:val="20"/>
              </w:rPr>
              <w:t>1</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48</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操作台</w:t>
            </w:r>
            <w:r>
              <w:rPr>
                <w:rFonts w:ascii="Arial" w:hAnsi="Arial" w:cs="Arial"/>
                <w:color w:val="000000"/>
                <w:sz w:val="20"/>
              </w:rPr>
              <w:t>2</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hint="eastAsia" w:ascii="Arial" w:hAnsi="Arial" w:cs="Arial"/>
                <w:color w:val="000000"/>
                <w:kern w:val="2"/>
                <w:sz w:val="20"/>
              </w:rPr>
              <w:t>49</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配套附件</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r>
      <w:tr>
        <w:tblPrEx>
          <w:tblCellMar>
            <w:top w:w="0" w:type="dxa"/>
            <w:left w:w="0" w:type="dxa"/>
            <w:bottom w:w="0" w:type="dxa"/>
            <w:right w:w="0" w:type="dxa"/>
          </w:tblCellMar>
        </w:tblPrEx>
        <w:trPr>
          <w:gridBefore w:val="1"/>
          <w:wBefore w:w="2" w:type="pct"/>
          <w:trHeight w:val="500" w:hRule="atLeast"/>
        </w:trPr>
        <w:tc>
          <w:tcPr>
            <w:tcW w:w="4997" w:type="pct"/>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b/>
                <w:color w:val="000000"/>
                <w:sz w:val="20"/>
              </w:rPr>
              <w:t>4</w:t>
            </w:r>
            <w:r>
              <w:rPr>
                <w:rFonts w:hint="eastAsia" w:ascii="宋体" w:hAnsi="宋体" w:cs="宋体"/>
                <w:b/>
                <w:color w:val="000000"/>
                <w:sz w:val="20"/>
              </w:rPr>
              <w:t>、可视对讲系统</w:t>
            </w:r>
          </w:p>
        </w:tc>
      </w:tr>
      <w:tr>
        <w:tblPrEx>
          <w:tblCellMar>
            <w:top w:w="0" w:type="dxa"/>
            <w:left w:w="0" w:type="dxa"/>
            <w:bottom w:w="0" w:type="dxa"/>
            <w:right w:w="0" w:type="dxa"/>
          </w:tblCellMar>
        </w:tblPrEx>
        <w:trPr>
          <w:gridBefore w:val="1"/>
          <w:wBefore w:w="2" w:type="pct"/>
          <w:trHeight w:val="500" w:hRule="atLeast"/>
        </w:trPr>
        <w:tc>
          <w:tcPr>
            <w:tcW w:w="4997" w:type="pct"/>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hint="eastAsia" w:ascii="Arial" w:hAnsi="Arial" w:cs="Arial"/>
                <w:b/>
                <w:color w:val="000000"/>
                <w:sz w:val="20"/>
              </w:rPr>
              <w:t>4.</w:t>
            </w:r>
            <w:r>
              <w:rPr>
                <w:rFonts w:ascii="Arial" w:hAnsi="Arial" w:cs="Arial"/>
                <w:b/>
                <w:color w:val="000000"/>
                <w:sz w:val="20"/>
              </w:rPr>
              <w:t>1</w:t>
            </w:r>
            <w:r>
              <w:rPr>
                <w:rFonts w:hint="eastAsia" w:ascii="宋体" w:hAnsi="宋体" w:cs="宋体"/>
                <w:b/>
                <w:color w:val="000000"/>
                <w:sz w:val="20"/>
              </w:rPr>
              <w:t>、住宅部分</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50</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人脸识别可视对讲主机</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15 </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 </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29</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5</w:t>
            </w:r>
            <w:r>
              <w:rPr>
                <w:rFonts w:hint="eastAsia" w:ascii="Arial" w:hAnsi="Arial" w:cs="Arial"/>
                <w:color w:val="000000"/>
                <w:sz w:val="20"/>
              </w:rPr>
              <w:t>1</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灵性锁</w:t>
            </w:r>
            <w:r>
              <w:rPr>
                <w:rFonts w:ascii="Arial" w:hAnsi="Arial" w:cs="Arial"/>
                <w:color w:val="000000"/>
                <w:sz w:val="20"/>
              </w:rPr>
              <w:t>(</w:t>
            </w:r>
            <w:r>
              <w:rPr>
                <w:rFonts w:hint="eastAsia" w:ascii="宋体" w:hAnsi="宋体" w:cs="宋体"/>
                <w:color w:val="000000"/>
                <w:sz w:val="20"/>
              </w:rPr>
              <w:t>双门或单门，根据实际情况确定数量。包含双门和单门）</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15 </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 </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29</w:t>
            </w:r>
          </w:p>
        </w:tc>
      </w:tr>
      <w:tr>
        <w:tblPrEx>
          <w:tblCellMar>
            <w:top w:w="0" w:type="dxa"/>
            <w:left w:w="0" w:type="dxa"/>
            <w:bottom w:w="0" w:type="dxa"/>
            <w:right w:w="0" w:type="dxa"/>
          </w:tblCellMar>
        </w:tblPrEx>
        <w:trPr>
          <w:gridBefore w:val="1"/>
          <w:wBefore w:w="2" w:type="pct"/>
          <w:trHeight w:val="500" w:hRule="atLeast"/>
        </w:trPr>
        <w:tc>
          <w:tcPr>
            <w:tcW w:w="4997" w:type="pct"/>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b/>
                <w:bCs/>
                <w:color w:val="000000"/>
                <w:sz w:val="20"/>
              </w:rPr>
            </w:pPr>
            <w:r>
              <w:rPr>
                <w:rFonts w:hint="eastAsia" w:ascii="宋体" w:hAnsi="宋体" w:cs="宋体"/>
                <w:b/>
                <w:bCs/>
                <w:color w:val="000000"/>
                <w:sz w:val="20"/>
              </w:rPr>
              <w:t>4.2、管理中心部分（设备网1）</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52</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主机电源</w:t>
            </w:r>
            <w:r>
              <w:rPr>
                <w:rFonts w:ascii="Arial" w:hAnsi="Arial" w:cs="Arial"/>
                <w:color w:val="000000"/>
                <w:sz w:val="20"/>
              </w:rPr>
              <w:t>12V/2A</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15 </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 </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29</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53</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闭门器</w:t>
            </w:r>
            <w:r>
              <w:rPr>
                <w:rFonts w:ascii="Arial" w:hAnsi="Arial" w:cs="Arial"/>
                <w:color w:val="000000"/>
                <w:sz w:val="20"/>
              </w:rPr>
              <w:t>(</w:t>
            </w:r>
            <w:r>
              <w:rPr>
                <w:rFonts w:hint="eastAsia" w:ascii="宋体" w:hAnsi="宋体" w:cs="宋体"/>
                <w:color w:val="000000"/>
                <w:sz w:val="20"/>
              </w:rPr>
              <w:t>双门或单门，根据实际情况确定数量。包含双门和单门））</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15 </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 </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29</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54</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专用锁电源</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15 </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 </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29</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55</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16</w:t>
            </w:r>
            <w:r>
              <w:rPr>
                <w:rFonts w:hint="eastAsia" w:ascii="宋体" w:hAnsi="宋体" w:cs="宋体"/>
                <w:color w:val="000000"/>
                <w:sz w:val="20"/>
              </w:rPr>
              <w:t>口百兆接入交换机</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11 </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21</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56</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24</w:t>
            </w:r>
            <w:r>
              <w:rPr>
                <w:rFonts w:hint="eastAsia" w:ascii="宋体" w:hAnsi="宋体" w:cs="宋体"/>
                <w:color w:val="000000"/>
                <w:sz w:val="20"/>
              </w:rPr>
              <w:t>口百兆接入交换机</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57</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8</w:t>
            </w:r>
            <w:r>
              <w:rPr>
                <w:rFonts w:hint="eastAsia" w:ascii="宋体" w:hAnsi="宋体" w:cs="宋体"/>
                <w:color w:val="000000"/>
                <w:sz w:val="20"/>
              </w:rPr>
              <w:t>口千兆</w:t>
            </w:r>
            <w:r>
              <w:rPr>
                <w:rFonts w:ascii="Arial" w:hAnsi="Arial" w:cs="Arial"/>
                <w:color w:val="000000"/>
                <w:sz w:val="20"/>
              </w:rPr>
              <w:t>POE</w:t>
            </w:r>
            <w:r>
              <w:rPr>
                <w:rFonts w:hint="eastAsia" w:ascii="宋体" w:hAnsi="宋体" w:cs="宋体"/>
                <w:color w:val="000000"/>
                <w:sz w:val="20"/>
              </w:rPr>
              <w:t>工业接入交换机</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58</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8</w:t>
            </w:r>
            <w:r>
              <w:rPr>
                <w:rFonts w:hint="eastAsia" w:ascii="宋体" w:hAnsi="宋体" w:cs="宋体"/>
                <w:color w:val="000000"/>
                <w:sz w:val="20"/>
              </w:rPr>
              <w:t>口千兆</w:t>
            </w:r>
            <w:r>
              <w:rPr>
                <w:rFonts w:ascii="Arial" w:hAnsi="Arial" w:cs="Arial"/>
                <w:color w:val="000000"/>
                <w:sz w:val="20"/>
              </w:rPr>
              <w:t>POE</w:t>
            </w:r>
            <w:r>
              <w:rPr>
                <w:rFonts w:hint="eastAsia" w:ascii="宋体" w:hAnsi="宋体" w:cs="宋体"/>
                <w:color w:val="000000"/>
                <w:sz w:val="20"/>
              </w:rPr>
              <w:t>接入交换机</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59</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24</w:t>
            </w:r>
            <w:r>
              <w:rPr>
                <w:rFonts w:hint="eastAsia" w:ascii="宋体" w:hAnsi="宋体" w:cs="宋体"/>
                <w:color w:val="000000"/>
                <w:sz w:val="20"/>
              </w:rPr>
              <w:t>口千兆接入层交换机</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60</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24</w:t>
            </w:r>
            <w:r>
              <w:rPr>
                <w:rFonts w:hint="eastAsia" w:ascii="宋体" w:hAnsi="宋体" w:cs="宋体"/>
                <w:color w:val="000000"/>
                <w:sz w:val="20"/>
              </w:rPr>
              <w:t>口千兆</w:t>
            </w:r>
            <w:r>
              <w:rPr>
                <w:rFonts w:ascii="Arial" w:hAnsi="Arial" w:cs="Arial"/>
                <w:color w:val="000000"/>
                <w:sz w:val="20"/>
              </w:rPr>
              <w:t>POE</w:t>
            </w:r>
            <w:r>
              <w:rPr>
                <w:rFonts w:hint="eastAsia" w:ascii="宋体" w:hAnsi="宋体" w:cs="宋体"/>
                <w:color w:val="000000"/>
                <w:sz w:val="20"/>
              </w:rPr>
              <w:t>接入层交换机</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7</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61</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千兆单模光模块</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62</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单模光纤跳线</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63</w:t>
            </w:r>
          </w:p>
        </w:tc>
        <w:tc>
          <w:tcPr>
            <w:tcW w:w="171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12</w:t>
            </w:r>
            <w:r>
              <w:rPr>
                <w:rFonts w:hint="eastAsia" w:ascii="宋体" w:hAnsi="宋体" w:cs="宋体"/>
                <w:color w:val="000000"/>
                <w:sz w:val="20"/>
              </w:rPr>
              <w:t>口光纤配线架</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64</w:t>
            </w:r>
          </w:p>
        </w:tc>
        <w:tc>
          <w:tcPr>
            <w:tcW w:w="171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双工耦合器</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w:t>
            </w: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65</w:t>
            </w:r>
          </w:p>
        </w:tc>
        <w:tc>
          <w:tcPr>
            <w:tcW w:w="171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尾纤</w:t>
            </w:r>
            <w:r>
              <w:rPr>
                <w:rFonts w:ascii="Arial" w:hAnsi="Arial" w:cs="Arial"/>
                <w:color w:val="000000"/>
                <w:sz w:val="20"/>
              </w:rPr>
              <w:t xml:space="preserve">LC, </w:t>
            </w:r>
            <w:r>
              <w:rPr>
                <w:rFonts w:hint="eastAsia" w:ascii="宋体" w:hAnsi="宋体" w:cs="宋体"/>
                <w:color w:val="000000"/>
                <w:sz w:val="20"/>
              </w:rPr>
              <w:t>单模</w:t>
            </w:r>
            <w:r>
              <w:rPr>
                <w:rFonts w:ascii="Arial" w:hAnsi="Arial" w:cs="Arial"/>
                <w:color w:val="000000"/>
                <w:sz w:val="20"/>
              </w:rPr>
              <w:t>, 0.9mm, 1</w:t>
            </w:r>
            <w:r>
              <w:rPr>
                <w:rFonts w:hint="eastAsia" w:ascii="宋体" w:hAnsi="宋体" w:cs="宋体"/>
                <w:color w:val="000000"/>
                <w:sz w:val="20"/>
              </w:rPr>
              <w:t>米</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48</w:t>
            </w: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32</w:t>
            </w: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80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66</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安防设备箱</w:t>
            </w:r>
            <w:r>
              <w:rPr>
                <w:rFonts w:ascii="Arial" w:hAnsi="Arial" w:cs="Arial"/>
                <w:color w:val="000000"/>
                <w:sz w:val="20"/>
              </w:rPr>
              <w:t>1</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 </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67</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安防设备箱</w:t>
            </w:r>
            <w:r>
              <w:rPr>
                <w:rFonts w:ascii="Arial" w:hAnsi="Arial" w:cs="Arial"/>
                <w:color w:val="000000"/>
                <w:sz w:val="20"/>
              </w:rPr>
              <w:t>2</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68</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室外安防设备箱</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69</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室内分机</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180 </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90 </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48 </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318</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hint="eastAsia" w:ascii="Arial" w:hAnsi="Arial" w:cs="Arial"/>
                <w:color w:val="000000"/>
                <w:kern w:val="2"/>
                <w:sz w:val="20"/>
              </w:rPr>
              <w:t>70</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分机电源</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32 </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17 </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 </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59</w:t>
            </w:r>
          </w:p>
        </w:tc>
      </w:tr>
      <w:tr>
        <w:tblPrEx>
          <w:tblCellMar>
            <w:top w:w="0" w:type="dxa"/>
            <w:left w:w="0" w:type="dxa"/>
            <w:bottom w:w="0" w:type="dxa"/>
            <w:right w:w="0" w:type="dxa"/>
          </w:tblCellMar>
        </w:tblPrEx>
        <w:trPr>
          <w:gridBefore w:val="1"/>
          <w:wBefore w:w="2" w:type="pct"/>
          <w:trHeight w:val="500" w:hRule="atLeast"/>
        </w:trPr>
        <w:tc>
          <w:tcPr>
            <w:tcW w:w="4997" w:type="pct"/>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hint="eastAsia" w:ascii="Arial" w:hAnsi="Arial" w:cs="Arial"/>
                <w:b/>
                <w:color w:val="000000"/>
                <w:sz w:val="20"/>
              </w:rPr>
              <w:t>4.</w:t>
            </w:r>
            <w:r>
              <w:rPr>
                <w:rFonts w:ascii="Arial" w:hAnsi="Arial" w:cs="Arial"/>
                <w:b/>
                <w:color w:val="000000"/>
                <w:sz w:val="20"/>
              </w:rPr>
              <w:t>2</w:t>
            </w:r>
            <w:r>
              <w:rPr>
                <w:rFonts w:hint="eastAsia" w:ascii="宋体" w:hAnsi="宋体" w:cs="宋体"/>
                <w:b/>
                <w:color w:val="000000"/>
                <w:sz w:val="20"/>
              </w:rPr>
              <w:t>、管理中心部分（设备网）</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71</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w:t>
            </w:r>
            <w:r>
              <w:rPr>
                <w:rFonts w:ascii="Arial" w:hAnsi="Arial" w:cs="Arial"/>
                <w:color w:val="000000"/>
                <w:sz w:val="20"/>
              </w:rPr>
              <w:t>1</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72</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w:t>
            </w:r>
            <w:r>
              <w:rPr>
                <w:rFonts w:ascii="Arial" w:hAnsi="Arial" w:cs="Arial"/>
                <w:color w:val="000000"/>
                <w:sz w:val="20"/>
              </w:rPr>
              <w:t>2</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73</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w:t>
            </w:r>
            <w:r>
              <w:rPr>
                <w:rFonts w:ascii="Arial" w:hAnsi="Arial" w:cs="Arial"/>
                <w:color w:val="000000"/>
                <w:sz w:val="20"/>
              </w:rPr>
              <w:t>3</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74</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w:t>
            </w:r>
            <w:r>
              <w:rPr>
                <w:rFonts w:ascii="Arial" w:hAnsi="Arial" w:cs="Arial"/>
                <w:color w:val="000000"/>
                <w:sz w:val="20"/>
              </w:rPr>
              <w:t>4</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75</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w:t>
            </w:r>
            <w:r>
              <w:rPr>
                <w:rFonts w:ascii="Arial" w:hAnsi="Arial" w:cs="Arial"/>
                <w:color w:val="000000"/>
                <w:sz w:val="20"/>
              </w:rPr>
              <w:t>5</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76</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堆叠电缆</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77</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千兆单模光模块</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78</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千兆单模光模块</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79</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8</w:t>
            </w:r>
            <w:r>
              <w:rPr>
                <w:rFonts w:hint="eastAsia" w:ascii="宋体" w:hAnsi="宋体" w:cs="宋体"/>
                <w:color w:val="000000"/>
                <w:sz w:val="20"/>
              </w:rPr>
              <w:t>口千兆接入层交换机</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80</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24</w:t>
            </w:r>
            <w:r>
              <w:rPr>
                <w:rFonts w:hint="eastAsia" w:ascii="宋体" w:hAnsi="宋体" w:cs="宋体"/>
                <w:color w:val="000000"/>
                <w:sz w:val="20"/>
              </w:rPr>
              <w:t>口千兆接入层交换机</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81</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管理中心对讲主机</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82</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存储设备</w:t>
            </w:r>
            <w:r>
              <w:rPr>
                <w:rFonts w:ascii="Arial" w:hAnsi="Arial" w:cs="Arial"/>
                <w:color w:val="000000"/>
                <w:sz w:val="20"/>
              </w:rPr>
              <w:t>1~64</w:t>
            </w:r>
            <w:r>
              <w:rPr>
                <w:rFonts w:hint="eastAsia" w:ascii="宋体" w:hAnsi="宋体" w:cs="宋体"/>
                <w:color w:val="000000"/>
                <w:sz w:val="20"/>
              </w:rPr>
              <w:t>路</w:t>
            </w:r>
            <w:r>
              <w:rPr>
                <w:rFonts w:ascii="Arial" w:hAnsi="Arial" w:cs="Arial"/>
                <w:color w:val="000000"/>
                <w:sz w:val="20"/>
              </w:rPr>
              <w:t>NVR</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83</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存储设备</w:t>
            </w:r>
            <w:r>
              <w:rPr>
                <w:rFonts w:ascii="Arial" w:hAnsi="Arial" w:cs="Arial"/>
                <w:color w:val="000000"/>
                <w:sz w:val="20"/>
              </w:rPr>
              <w:t>2~32</w:t>
            </w:r>
            <w:r>
              <w:rPr>
                <w:rFonts w:hint="eastAsia" w:ascii="宋体" w:hAnsi="宋体" w:cs="宋体"/>
                <w:color w:val="000000"/>
                <w:sz w:val="20"/>
              </w:rPr>
              <w:t>路</w:t>
            </w:r>
            <w:r>
              <w:rPr>
                <w:rFonts w:ascii="Arial" w:hAnsi="Arial" w:cs="Arial"/>
                <w:color w:val="000000"/>
                <w:sz w:val="20"/>
              </w:rPr>
              <w:t>NVR</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84</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硬盘</w:t>
            </w:r>
            <w:r>
              <w:rPr>
                <w:rFonts w:ascii="Arial" w:hAnsi="Arial" w:cs="Arial"/>
                <w:color w:val="000000"/>
                <w:sz w:val="20"/>
              </w:rPr>
              <w:t>2</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w:t>
            </w: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24</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85</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IC</w:t>
            </w:r>
            <w:r>
              <w:rPr>
                <w:rFonts w:hint="eastAsia" w:ascii="宋体" w:hAnsi="宋体" w:cs="宋体"/>
                <w:color w:val="000000"/>
                <w:sz w:val="20"/>
              </w:rPr>
              <w:t>卡发行器</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86</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IC</w:t>
            </w:r>
            <w:r>
              <w:rPr>
                <w:rFonts w:hint="eastAsia" w:ascii="宋体" w:hAnsi="宋体" w:cs="宋体"/>
                <w:color w:val="000000"/>
                <w:sz w:val="20"/>
              </w:rPr>
              <w:t>钥匙扣卡</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540 </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270 </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144 </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954</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87</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钥匙</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540 </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270 </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144 </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954</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88</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管理电脑</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89</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街道数据汇聚</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90</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汇聚交换机</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91</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服务器</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92</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小区侧智慧安防管控软件</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93</w:t>
            </w:r>
          </w:p>
        </w:tc>
        <w:tc>
          <w:tcPr>
            <w:tcW w:w="171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光纤链路费</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94</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网络机柜</w:t>
            </w:r>
            <w:r>
              <w:rPr>
                <w:rFonts w:ascii="Arial" w:hAnsi="Arial" w:cs="Arial"/>
                <w:color w:val="000000"/>
                <w:sz w:val="20"/>
              </w:rPr>
              <w:t>1~42U</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95</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网络机柜</w:t>
            </w:r>
            <w:r>
              <w:rPr>
                <w:rFonts w:ascii="Arial" w:hAnsi="Arial" w:cs="Arial"/>
                <w:color w:val="000000"/>
                <w:sz w:val="20"/>
              </w:rPr>
              <w:t>2~24U</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96</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网络机柜</w:t>
            </w:r>
            <w:r>
              <w:rPr>
                <w:rFonts w:ascii="Arial" w:hAnsi="Arial" w:cs="Arial"/>
                <w:color w:val="000000"/>
                <w:sz w:val="20"/>
              </w:rPr>
              <w:t>3~6U</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hint="eastAsia" w:ascii="Arial" w:hAnsi="Arial" w:cs="Arial"/>
                <w:color w:val="000000"/>
                <w:kern w:val="2"/>
                <w:sz w:val="20"/>
              </w:rPr>
              <w:t>97</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附材</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r>
      <w:tr>
        <w:tblPrEx>
          <w:tblCellMar>
            <w:top w:w="0" w:type="dxa"/>
            <w:left w:w="0" w:type="dxa"/>
            <w:bottom w:w="0" w:type="dxa"/>
            <w:right w:w="0" w:type="dxa"/>
          </w:tblCellMar>
        </w:tblPrEx>
        <w:trPr>
          <w:gridBefore w:val="1"/>
          <w:wBefore w:w="2" w:type="pct"/>
          <w:trHeight w:val="500" w:hRule="atLeast"/>
        </w:trPr>
        <w:tc>
          <w:tcPr>
            <w:tcW w:w="4997" w:type="pct"/>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b/>
                <w:color w:val="000000"/>
                <w:sz w:val="20"/>
              </w:rPr>
              <w:t>5</w:t>
            </w:r>
            <w:r>
              <w:rPr>
                <w:rFonts w:hint="eastAsia" w:ascii="宋体" w:hAnsi="宋体" w:cs="宋体"/>
                <w:b/>
                <w:color w:val="000000"/>
                <w:sz w:val="20"/>
              </w:rPr>
              <w:t>、智能感知系统</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9</w:t>
            </w:r>
            <w:r>
              <w:rPr>
                <w:rFonts w:hint="eastAsia" w:ascii="Arial" w:hAnsi="Arial" w:cs="Arial"/>
                <w:color w:val="000000"/>
                <w:sz w:val="20"/>
              </w:rPr>
              <w:t>8</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人脸摄像机带定向智能感知设备</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p>
        </w:tc>
      </w:tr>
      <w:tr>
        <w:tblPrEx>
          <w:tblCellMar>
            <w:top w:w="0" w:type="dxa"/>
            <w:left w:w="0" w:type="dxa"/>
            <w:bottom w:w="0" w:type="dxa"/>
            <w:right w:w="0" w:type="dxa"/>
          </w:tblCellMar>
        </w:tblPrEx>
        <w:trPr>
          <w:gridBefore w:val="1"/>
          <w:wBefore w:w="2" w:type="pct"/>
          <w:trHeight w:val="500" w:hRule="atLeast"/>
        </w:trPr>
        <w:tc>
          <w:tcPr>
            <w:tcW w:w="4997" w:type="pct"/>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b/>
                <w:color w:val="000000"/>
                <w:sz w:val="20"/>
              </w:rPr>
              <w:t>6</w:t>
            </w:r>
            <w:r>
              <w:rPr>
                <w:rFonts w:hint="eastAsia" w:ascii="宋体" w:hAnsi="宋体" w:cs="宋体"/>
                <w:b/>
                <w:color w:val="000000"/>
                <w:sz w:val="20"/>
              </w:rPr>
              <w:t>、入侵报警系统</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99</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中央控制器</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100</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主机键盘</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101</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监控软件</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102</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w:t>
            </w:r>
            <w:r>
              <w:rPr>
                <w:rFonts w:ascii="Arial" w:hAnsi="Arial" w:cs="Arial"/>
                <w:color w:val="000000"/>
                <w:sz w:val="20"/>
              </w:rPr>
              <w:t>IP</w:t>
            </w:r>
            <w:r>
              <w:rPr>
                <w:rFonts w:hint="eastAsia" w:ascii="宋体" w:hAnsi="宋体" w:cs="宋体"/>
                <w:color w:val="000000"/>
                <w:sz w:val="20"/>
              </w:rPr>
              <w:t>模块</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103</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D1</w:t>
            </w:r>
            <w:r>
              <w:rPr>
                <w:rFonts w:hint="eastAsia" w:ascii="宋体" w:hAnsi="宋体" w:cs="宋体"/>
                <w:color w:val="000000"/>
                <w:sz w:val="20"/>
              </w:rPr>
              <w:t>类高能量</w:t>
            </w:r>
            <w:r>
              <w:rPr>
                <w:rFonts w:ascii="Arial" w:hAnsi="Arial" w:cs="Arial"/>
                <w:color w:val="000000"/>
                <w:sz w:val="20"/>
              </w:rPr>
              <w:t>SPD</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104</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四路网络模块</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105</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二路网络模块</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15 </w:t>
            </w: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17</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106</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16</w:t>
            </w:r>
            <w:r>
              <w:rPr>
                <w:rFonts w:hint="eastAsia" w:ascii="宋体" w:hAnsi="宋体" w:cs="宋体"/>
                <w:color w:val="000000"/>
                <w:sz w:val="20"/>
              </w:rPr>
              <w:t>路继电器</w:t>
            </w:r>
            <w:r>
              <w:rPr>
                <w:rFonts w:hint="eastAsia" w:ascii="宋体" w:hAnsi="宋体" w:cs="宋体"/>
                <w:color w:val="000000"/>
                <w:sz w:val="18"/>
                <w:szCs w:val="18"/>
              </w:rPr>
              <w:t>输出控制器</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107</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32</w:t>
            </w:r>
            <w:r>
              <w:rPr>
                <w:rFonts w:hint="eastAsia" w:ascii="宋体" w:hAnsi="宋体" w:cs="宋体"/>
                <w:color w:val="000000"/>
                <w:sz w:val="20"/>
              </w:rPr>
              <w:t>路继电器输出控制器</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108</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烟感探测器</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21 </w:t>
            </w: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25</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109</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电源</w:t>
            </w:r>
          </w:p>
        </w:tc>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15 </w:t>
            </w:r>
          </w:p>
        </w:tc>
        <w:tc>
          <w:tcPr>
            <w:tcW w:w="94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59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17</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110</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声光警号</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15 </w:t>
            </w: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17</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111</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四道单防区控制杆（含底座）</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112</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四道双防区控制杆（含底座）</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113</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交流电源</w:t>
            </w:r>
            <w:r>
              <w:rPr>
                <w:rFonts w:ascii="Arial" w:hAnsi="Arial" w:cs="Arial"/>
                <w:color w:val="000000"/>
                <w:sz w:val="20"/>
              </w:rPr>
              <w:t>24V</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114</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避雷器</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9</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115</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中间支撑杆（含底座）</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30 </w:t>
            </w: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25 </w:t>
            </w: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55</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116</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终端受力杆（含底座）</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 </w:t>
            </w: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 </w:t>
            </w: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16</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117</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束线器</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64 </w:t>
            </w: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80 </w:t>
            </w: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144</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118</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转向滑轮</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20 </w:t>
            </w: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64 </w:t>
            </w: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84</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119</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张力收紧器</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16 </w:t>
            </w: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20 </w:t>
            </w: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36</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120</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张力弹簧</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16 </w:t>
            </w: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20 </w:t>
            </w: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36</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121</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多股张力线</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450 </w:t>
            </w: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450 </w:t>
            </w: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900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122</w:t>
            </w:r>
          </w:p>
        </w:tc>
        <w:tc>
          <w:tcPr>
            <w:tcW w:w="17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警示牌</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13 </w:t>
            </w: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13 </w:t>
            </w: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26</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123</w:t>
            </w:r>
          </w:p>
        </w:tc>
        <w:tc>
          <w:tcPr>
            <w:tcW w:w="171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接地桩（含接地线）</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124</w:t>
            </w:r>
          </w:p>
        </w:tc>
        <w:tc>
          <w:tcPr>
            <w:tcW w:w="171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304</w:t>
            </w:r>
            <w:r>
              <w:rPr>
                <w:rFonts w:hint="eastAsia" w:ascii="宋体" w:hAnsi="宋体" w:cs="宋体"/>
                <w:color w:val="000000"/>
                <w:sz w:val="20"/>
              </w:rPr>
              <w:t>不锈钢防水箱</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125</w:t>
            </w:r>
          </w:p>
        </w:tc>
        <w:tc>
          <w:tcPr>
            <w:tcW w:w="171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单防区模块</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9</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hint="eastAsia" w:ascii="Arial" w:hAnsi="Arial" w:cs="Arial"/>
                <w:color w:val="000000"/>
                <w:kern w:val="2"/>
                <w:sz w:val="20"/>
              </w:rPr>
              <w:t>126</w:t>
            </w:r>
          </w:p>
        </w:tc>
        <w:tc>
          <w:tcPr>
            <w:tcW w:w="171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报警联动灯</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9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5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w:t>
            </w:r>
          </w:p>
        </w:tc>
      </w:tr>
      <w:tr>
        <w:tblPrEx>
          <w:tblCellMar>
            <w:top w:w="0" w:type="dxa"/>
            <w:left w:w="0" w:type="dxa"/>
            <w:bottom w:w="0" w:type="dxa"/>
            <w:right w:w="0" w:type="dxa"/>
          </w:tblCellMar>
        </w:tblPrEx>
        <w:trPr>
          <w:gridBefore w:val="1"/>
          <w:wBefore w:w="2" w:type="pct"/>
          <w:trHeight w:val="500" w:hRule="atLeast"/>
        </w:trPr>
        <w:tc>
          <w:tcPr>
            <w:tcW w:w="4997" w:type="pct"/>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hint="eastAsia" w:ascii="Arial" w:hAnsi="Arial" w:cs="Arial"/>
                <w:color w:val="000000"/>
                <w:sz w:val="20"/>
              </w:rPr>
              <w:t>7、街道平台侧扩容</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127</w:t>
            </w:r>
          </w:p>
        </w:tc>
        <w:tc>
          <w:tcPr>
            <w:tcW w:w="171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街道数据汇聚（标准平台）</w:t>
            </w:r>
          </w:p>
        </w:tc>
        <w:tc>
          <w:tcPr>
            <w:tcW w:w="2776" w:type="pct"/>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128</w:t>
            </w:r>
          </w:p>
        </w:tc>
        <w:tc>
          <w:tcPr>
            <w:tcW w:w="171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街道数据汇聚（数据扩容）</w:t>
            </w:r>
          </w:p>
        </w:tc>
        <w:tc>
          <w:tcPr>
            <w:tcW w:w="2776" w:type="pct"/>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129</w:t>
            </w:r>
          </w:p>
        </w:tc>
        <w:tc>
          <w:tcPr>
            <w:tcW w:w="171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汇聚交换机</w:t>
            </w:r>
          </w:p>
        </w:tc>
        <w:tc>
          <w:tcPr>
            <w:tcW w:w="2776" w:type="pct"/>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130</w:t>
            </w:r>
          </w:p>
        </w:tc>
        <w:tc>
          <w:tcPr>
            <w:tcW w:w="171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堆叠电缆</w:t>
            </w:r>
          </w:p>
        </w:tc>
        <w:tc>
          <w:tcPr>
            <w:tcW w:w="2776" w:type="pct"/>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2" w:type="pct"/>
          <w:trHeight w:val="500" w:hRule="atLeast"/>
        </w:trPr>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131</w:t>
            </w:r>
          </w:p>
        </w:tc>
        <w:tc>
          <w:tcPr>
            <w:tcW w:w="171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服务器</w:t>
            </w:r>
          </w:p>
        </w:tc>
        <w:tc>
          <w:tcPr>
            <w:tcW w:w="2776" w:type="pct"/>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2" w:type="pct"/>
          <w:trHeight w:val="500" w:hRule="atLeast"/>
        </w:trPr>
        <w:tc>
          <w:tcPr>
            <w:tcW w:w="4997" w:type="pct"/>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hint="eastAsia" w:ascii="Arial" w:hAnsi="Arial" w:cs="Arial"/>
                <w:color w:val="000000"/>
                <w:sz w:val="20"/>
              </w:rPr>
              <w:t>8、管线、安装、调试</w:t>
            </w:r>
          </w:p>
        </w:tc>
      </w:tr>
      <w:tr>
        <w:tblPrEx>
          <w:tblCellMar>
            <w:top w:w="0" w:type="dxa"/>
            <w:left w:w="108" w:type="dxa"/>
            <w:bottom w:w="0" w:type="dxa"/>
            <w:right w:w="108" w:type="dxa"/>
          </w:tblCellMar>
        </w:tblPrEx>
        <w:trPr>
          <w:gridAfter w:val="1"/>
          <w:wAfter w:w="60" w:type="pct"/>
          <w:trHeight w:val="450" w:hRule="atLeast"/>
        </w:trPr>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序号</w:t>
            </w:r>
          </w:p>
        </w:tc>
        <w:tc>
          <w:tcPr>
            <w:tcW w:w="11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采购内容</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规格要求</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单位</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数量</w:t>
            </w:r>
          </w:p>
        </w:tc>
      </w:tr>
      <w:tr>
        <w:tblPrEx>
          <w:tblCellMar>
            <w:top w:w="0" w:type="dxa"/>
            <w:left w:w="108" w:type="dxa"/>
            <w:bottom w:w="0" w:type="dxa"/>
            <w:right w:w="108" w:type="dxa"/>
          </w:tblCellMar>
        </w:tblPrEx>
        <w:trPr>
          <w:gridAfter w:val="1"/>
          <w:wAfter w:w="60" w:type="pct"/>
          <w:trHeight w:val="450" w:hRule="atLeast"/>
        </w:trPr>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11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电缆保护管</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镀锌钢管埋地敷设SC25</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29.50</w:t>
            </w:r>
          </w:p>
        </w:tc>
      </w:tr>
      <w:tr>
        <w:tblPrEx>
          <w:tblCellMar>
            <w:top w:w="0" w:type="dxa"/>
            <w:left w:w="108" w:type="dxa"/>
            <w:bottom w:w="0" w:type="dxa"/>
            <w:right w:w="108" w:type="dxa"/>
          </w:tblCellMar>
        </w:tblPrEx>
        <w:trPr>
          <w:gridAfter w:val="1"/>
          <w:wAfter w:w="60" w:type="pct"/>
          <w:trHeight w:val="450" w:hRule="atLeast"/>
        </w:trPr>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11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电缆保护管</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镀锌钢管埋地敷设SC32</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1.55</w:t>
            </w:r>
          </w:p>
        </w:tc>
      </w:tr>
      <w:tr>
        <w:tblPrEx>
          <w:tblCellMar>
            <w:top w:w="0" w:type="dxa"/>
            <w:left w:w="108" w:type="dxa"/>
            <w:bottom w:w="0" w:type="dxa"/>
            <w:right w:w="108" w:type="dxa"/>
          </w:tblCellMar>
        </w:tblPrEx>
        <w:trPr>
          <w:gridAfter w:val="1"/>
          <w:wAfter w:w="60" w:type="pct"/>
          <w:trHeight w:val="450" w:hRule="atLeast"/>
        </w:trPr>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11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电缆保护管</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镀锌钢管埋地敷设SC50</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8.14</w:t>
            </w:r>
          </w:p>
        </w:tc>
      </w:tr>
      <w:tr>
        <w:tblPrEx>
          <w:tblCellMar>
            <w:top w:w="0" w:type="dxa"/>
            <w:left w:w="108" w:type="dxa"/>
            <w:bottom w:w="0" w:type="dxa"/>
            <w:right w:w="108" w:type="dxa"/>
          </w:tblCellMar>
        </w:tblPrEx>
        <w:trPr>
          <w:gridAfter w:val="1"/>
          <w:wAfter w:w="60" w:type="pct"/>
          <w:trHeight w:val="450" w:hRule="atLeast"/>
        </w:trPr>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11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电缆保护管</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镀锌钢管埋地敷设SC100</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0.38</w:t>
            </w:r>
          </w:p>
        </w:tc>
      </w:tr>
      <w:tr>
        <w:tblPrEx>
          <w:tblCellMar>
            <w:top w:w="0" w:type="dxa"/>
            <w:left w:w="108" w:type="dxa"/>
            <w:bottom w:w="0" w:type="dxa"/>
            <w:right w:w="108" w:type="dxa"/>
          </w:tblCellMar>
        </w:tblPrEx>
        <w:trPr>
          <w:gridAfter w:val="1"/>
          <w:wAfter w:w="60" w:type="pct"/>
          <w:trHeight w:val="450" w:hRule="atLeast"/>
        </w:trPr>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11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砖、混凝土结构明配JDG管 JDG20</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33.08</w:t>
            </w:r>
          </w:p>
        </w:tc>
      </w:tr>
      <w:tr>
        <w:tblPrEx>
          <w:tblCellMar>
            <w:top w:w="0" w:type="dxa"/>
            <w:left w:w="108" w:type="dxa"/>
            <w:bottom w:w="0" w:type="dxa"/>
            <w:right w:w="108" w:type="dxa"/>
          </w:tblCellMar>
        </w:tblPrEx>
        <w:trPr>
          <w:gridAfter w:val="1"/>
          <w:wAfter w:w="60" w:type="pct"/>
          <w:trHeight w:val="450" w:hRule="atLeast"/>
        </w:trPr>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6</w:t>
            </w:r>
          </w:p>
        </w:tc>
        <w:tc>
          <w:tcPr>
            <w:tcW w:w="11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砖、混凝土结构明配JDG管 JDG32</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261.29</w:t>
            </w:r>
          </w:p>
        </w:tc>
      </w:tr>
      <w:tr>
        <w:tblPrEx>
          <w:tblCellMar>
            <w:top w:w="0" w:type="dxa"/>
            <w:left w:w="108" w:type="dxa"/>
            <w:bottom w:w="0" w:type="dxa"/>
            <w:right w:w="108" w:type="dxa"/>
          </w:tblCellMar>
        </w:tblPrEx>
        <w:trPr>
          <w:gridAfter w:val="1"/>
          <w:wAfter w:w="60" w:type="pct"/>
          <w:trHeight w:val="570" w:hRule="atLeast"/>
        </w:trPr>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7</w:t>
            </w:r>
          </w:p>
        </w:tc>
        <w:tc>
          <w:tcPr>
            <w:tcW w:w="11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砖、混凝土结构明配刚性阻燃管 PVC25</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981.67</w:t>
            </w:r>
          </w:p>
        </w:tc>
      </w:tr>
      <w:tr>
        <w:tblPrEx>
          <w:tblCellMar>
            <w:top w:w="0" w:type="dxa"/>
            <w:left w:w="108" w:type="dxa"/>
            <w:bottom w:w="0" w:type="dxa"/>
            <w:right w:w="108" w:type="dxa"/>
          </w:tblCellMar>
        </w:tblPrEx>
        <w:trPr>
          <w:gridAfter w:val="1"/>
          <w:wAfter w:w="60" w:type="pct"/>
          <w:trHeight w:val="450" w:hRule="atLeast"/>
        </w:trPr>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8</w:t>
            </w:r>
          </w:p>
        </w:tc>
        <w:tc>
          <w:tcPr>
            <w:tcW w:w="11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PE20</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9.92</w:t>
            </w:r>
          </w:p>
        </w:tc>
      </w:tr>
      <w:tr>
        <w:tblPrEx>
          <w:tblCellMar>
            <w:top w:w="0" w:type="dxa"/>
            <w:left w:w="108" w:type="dxa"/>
            <w:bottom w:w="0" w:type="dxa"/>
            <w:right w:w="108" w:type="dxa"/>
          </w:tblCellMar>
        </w:tblPrEx>
        <w:trPr>
          <w:gridAfter w:val="1"/>
          <w:wAfter w:w="60" w:type="pct"/>
          <w:trHeight w:val="450" w:hRule="atLeast"/>
        </w:trPr>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9</w:t>
            </w:r>
          </w:p>
        </w:tc>
        <w:tc>
          <w:tcPr>
            <w:tcW w:w="11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PE25</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26.14</w:t>
            </w:r>
          </w:p>
        </w:tc>
      </w:tr>
      <w:tr>
        <w:tblPrEx>
          <w:tblCellMar>
            <w:top w:w="0" w:type="dxa"/>
            <w:left w:w="108" w:type="dxa"/>
            <w:bottom w:w="0" w:type="dxa"/>
            <w:right w:w="108" w:type="dxa"/>
          </w:tblCellMar>
        </w:tblPrEx>
        <w:trPr>
          <w:gridAfter w:val="1"/>
          <w:wAfter w:w="60" w:type="pct"/>
          <w:trHeight w:val="450" w:hRule="atLeast"/>
        </w:trPr>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11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PE32</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47.19</w:t>
            </w:r>
          </w:p>
        </w:tc>
      </w:tr>
      <w:tr>
        <w:tblPrEx>
          <w:tblCellMar>
            <w:top w:w="0" w:type="dxa"/>
            <w:left w:w="108" w:type="dxa"/>
            <w:bottom w:w="0" w:type="dxa"/>
            <w:right w:w="108" w:type="dxa"/>
          </w:tblCellMar>
        </w:tblPrEx>
        <w:trPr>
          <w:gridAfter w:val="1"/>
          <w:wAfter w:w="60" w:type="pct"/>
          <w:trHeight w:val="450" w:hRule="atLeast"/>
        </w:trPr>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11</w:t>
            </w:r>
          </w:p>
        </w:tc>
        <w:tc>
          <w:tcPr>
            <w:tcW w:w="11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PE50</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39.29</w:t>
            </w:r>
          </w:p>
        </w:tc>
      </w:tr>
      <w:tr>
        <w:tblPrEx>
          <w:tblCellMar>
            <w:top w:w="0" w:type="dxa"/>
            <w:left w:w="108" w:type="dxa"/>
            <w:bottom w:w="0" w:type="dxa"/>
            <w:right w:w="108" w:type="dxa"/>
          </w:tblCellMar>
        </w:tblPrEx>
        <w:trPr>
          <w:gridAfter w:val="1"/>
          <w:wAfter w:w="60" w:type="pct"/>
          <w:trHeight w:val="450" w:hRule="atLeast"/>
        </w:trPr>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12</w:t>
            </w:r>
          </w:p>
        </w:tc>
        <w:tc>
          <w:tcPr>
            <w:tcW w:w="11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PE100</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31.55</w:t>
            </w:r>
          </w:p>
        </w:tc>
      </w:tr>
      <w:tr>
        <w:tblPrEx>
          <w:tblCellMar>
            <w:top w:w="0" w:type="dxa"/>
            <w:left w:w="108" w:type="dxa"/>
            <w:bottom w:w="0" w:type="dxa"/>
            <w:right w:w="108" w:type="dxa"/>
          </w:tblCellMar>
        </w:tblPrEx>
        <w:trPr>
          <w:gridAfter w:val="1"/>
          <w:wAfter w:w="60" w:type="pct"/>
          <w:trHeight w:val="450" w:hRule="atLeast"/>
        </w:trPr>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13</w:t>
            </w:r>
          </w:p>
        </w:tc>
        <w:tc>
          <w:tcPr>
            <w:tcW w:w="11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 管内穿放CAT6(室外型)</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1313.74</w:t>
            </w:r>
          </w:p>
        </w:tc>
      </w:tr>
      <w:tr>
        <w:tblPrEx>
          <w:tblCellMar>
            <w:top w:w="0" w:type="dxa"/>
            <w:left w:w="108" w:type="dxa"/>
            <w:bottom w:w="0" w:type="dxa"/>
            <w:right w:w="108" w:type="dxa"/>
          </w:tblCellMar>
        </w:tblPrEx>
        <w:trPr>
          <w:gridAfter w:val="1"/>
          <w:wAfter w:w="60" w:type="pct"/>
          <w:trHeight w:val="450" w:hRule="atLeast"/>
        </w:trPr>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14</w:t>
            </w:r>
          </w:p>
        </w:tc>
        <w:tc>
          <w:tcPr>
            <w:tcW w:w="11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 管内穿放CAT6</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506.05</w:t>
            </w:r>
          </w:p>
        </w:tc>
      </w:tr>
      <w:tr>
        <w:tblPrEx>
          <w:tblCellMar>
            <w:top w:w="0" w:type="dxa"/>
            <w:left w:w="108" w:type="dxa"/>
            <w:bottom w:w="0" w:type="dxa"/>
            <w:right w:w="108" w:type="dxa"/>
          </w:tblCellMar>
        </w:tblPrEx>
        <w:trPr>
          <w:gridAfter w:val="1"/>
          <w:wAfter w:w="60" w:type="pct"/>
          <w:trHeight w:val="450" w:hRule="atLeast"/>
        </w:trPr>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15</w:t>
            </w:r>
          </w:p>
        </w:tc>
        <w:tc>
          <w:tcPr>
            <w:tcW w:w="11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 管内穿放CAT5E</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7693.25</w:t>
            </w:r>
          </w:p>
        </w:tc>
      </w:tr>
      <w:tr>
        <w:tblPrEx>
          <w:tblCellMar>
            <w:top w:w="0" w:type="dxa"/>
            <w:left w:w="108" w:type="dxa"/>
            <w:bottom w:w="0" w:type="dxa"/>
            <w:right w:w="108" w:type="dxa"/>
          </w:tblCellMar>
        </w:tblPrEx>
        <w:trPr>
          <w:gridAfter w:val="1"/>
          <w:wAfter w:w="60" w:type="pct"/>
          <w:trHeight w:val="450" w:hRule="atLeast"/>
        </w:trPr>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16</w:t>
            </w:r>
          </w:p>
        </w:tc>
        <w:tc>
          <w:tcPr>
            <w:tcW w:w="11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控制电缆</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控制电缆敷设 KVVR2*1.5</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346.03</w:t>
            </w:r>
          </w:p>
        </w:tc>
      </w:tr>
      <w:tr>
        <w:tblPrEx>
          <w:tblCellMar>
            <w:top w:w="0" w:type="dxa"/>
            <w:left w:w="108" w:type="dxa"/>
            <w:bottom w:w="0" w:type="dxa"/>
            <w:right w:w="108" w:type="dxa"/>
          </w:tblCellMar>
        </w:tblPrEx>
        <w:trPr>
          <w:gridAfter w:val="1"/>
          <w:wAfter w:w="60" w:type="pct"/>
          <w:trHeight w:val="450" w:hRule="atLeast"/>
        </w:trPr>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17</w:t>
            </w:r>
          </w:p>
        </w:tc>
        <w:tc>
          <w:tcPr>
            <w:tcW w:w="11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控制电缆</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控制电缆敷设 KVVR2*1.0</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84.14</w:t>
            </w:r>
          </w:p>
        </w:tc>
      </w:tr>
      <w:tr>
        <w:tblPrEx>
          <w:tblCellMar>
            <w:top w:w="0" w:type="dxa"/>
            <w:left w:w="108" w:type="dxa"/>
            <w:bottom w:w="0" w:type="dxa"/>
            <w:right w:w="108" w:type="dxa"/>
          </w:tblCellMar>
        </w:tblPrEx>
        <w:trPr>
          <w:gridAfter w:val="1"/>
          <w:wAfter w:w="60" w:type="pct"/>
          <w:trHeight w:val="450" w:hRule="atLeast"/>
        </w:trPr>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18</w:t>
            </w:r>
          </w:p>
        </w:tc>
        <w:tc>
          <w:tcPr>
            <w:tcW w:w="11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配线</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四芯单芯导线 RVV4*1.0</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343.98</w:t>
            </w:r>
          </w:p>
        </w:tc>
      </w:tr>
      <w:tr>
        <w:tblPrEx>
          <w:tblCellMar>
            <w:top w:w="0" w:type="dxa"/>
            <w:left w:w="108" w:type="dxa"/>
            <w:bottom w:w="0" w:type="dxa"/>
            <w:right w:w="108" w:type="dxa"/>
          </w:tblCellMar>
        </w:tblPrEx>
        <w:trPr>
          <w:gridAfter w:val="1"/>
          <w:wAfter w:w="60" w:type="pct"/>
          <w:trHeight w:val="450" w:hRule="atLeast"/>
        </w:trPr>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19</w:t>
            </w:r>
          </w:p>
        </w:tc>
        <w:tc>
          <w:tcPr>
            <w:tcW w:w="11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配线</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二芯单芯导线 RVV2*1.0</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7382.34</w:t>
            </w:r>
          </w:p>
        </w:tc>
      </w:tr>
      <w:tr>
        <w:tblPrEx>
          <w:tblCellMar>
            <w:top w:w="0" w:type="dxa"/>
            <w:left w:w="108" w:type="dxa"/>
            <w:bottom w:w="0" w:type="dxa"/>
            <w:right w:w="108" w:type="dxa"/>
          </w:tblCellMar>
        </w:tblPrEx>
        <w:trPr>
          <w:gridAfter w:val="1"/>
          <w:wAfter w:w="60" w:type="pct"/>
          <w:trHeight w:val="450" w:hRule="atLeast"/>
        </w:trPr>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20</w:t>
            </w:r>
          </w:p>
        </w:tc>
        <w:tc>
          <w:tcPr>
            <w:tcW w:w="11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光缆</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室外四芯单模光纤安装</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1213.92</w:t>
            </w:r>
          </w:p>
        </w:tc>
      </w:tr>
      <w:tr>
        <w:tblPrEx>
          <w:tblCellMar>
            <w:top w:w="0" w:type="dxa"/>
            <w:left w:w="108" w:type="dxa"/>
            <w:bottom w:w="0" w:type="dxa"/>
            <w:right w:w="108" w:type="dxa"/>
          </w:tblCellMar>
        </w:tblPrEx>
        <w:trPr>
          <w:gridAfter w:val="1"/>
          <w:wAfter w:w="60" w:type="pct"/>
          <w:trHeight w:val="450" w:hRule="atLeast"/>
        </w:trPr>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21</w:t>
            </w:r>
          </w:p>
        </w:tc>
        <w:tc>
          <w:tcPr>
            <w:tcW w:w="11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电力电缆</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铜芯电力电缆敷设 YJV-3*2.5</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194.02</w:t>
            </w:r>
          </w:p>
        </w:tc>
      </w:tr>
      <w:tr>
        <w:tblPrEx>
          <w:tblCellMar>
            <w:top w:w="0" w:type="dxa"/>
            <w:left w:w="108" w:type="dxa"/>
            <w:bottom w:w="0" w:type="dxa"/>
            <w:right w:w="108" w:type="dxa"/>
          </w:tblCellMar>
        </w:tblPrEx>
        <w:trPr>
          <w:gridAfter w:val="1"/>
          <w:wAfter w:w="60" w:type="pct"/>
          <w:trHeight w:val="450" w:hRule="atLeast"/>
        </w:trPr>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22</w:t>
            </w:r>
          </w:p>
        </w:tc>
        <w:tc>
          <w:tcPr>
            <w:tcW w:w="11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打洞（孔）</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墙面入户管打孔</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318</w:t>
            </w:r>
          </w:p>
        </w:tc>
      </w:tr>
      <w:tr>
        <w:tblPrEx>
          <w:tblCellMar>
            <w:top w:w="0" w:type="dxa"/>
            <w:left w:w="108" w:type="dxa"/>
            <w:bottom w:w="0" w:type="dxa"/>
            <w:right w:w="108" w:type="dxa"/>
          </w:tblCellMar>
        </w:tblPrEx>
        <w:trPr>
          <w:gridAfter w:val="1"/>
          <w:wAfter w:w="60" w:type="pct"/>
          <w:trHeight w:val="450" w:hRule="atLeast"/>
        </w:trPr>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23</w:t>
            </w:r>
          </w:p>
        </w:tc>
        <w:tc>
          <w:tcPr>
            <w:tcW w:w="11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电力电缆</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铜芯电力电缆敷设 YJV-3*4</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63.11</w:t>
            </w:r>
          </w:p>
        </w:tc>
      </w:tr>
      <w:tr>
        <w:tblPrEx>
          <w:tblCellMar>
            <w:top w:w="0" w:type="dxa"/>
            <w:left w:w="108" w:type="dxa"/>
            <w:bottom w:w="0" w:type="dxa"/>
            <w:right w:w="108" w:type="dxa"/>
          </w:tblCellMar>
        </w:tblPrEx>
        <w:trPr>
          <w:gridAfter w:val="1"/>
          <w:wAfter w:w="60" w:type="pct"/>
          <w:trHeight w:val="450" w:hRule="atLeast"/>
        </w:trPr>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24</w:t>
            </w:r>
          </w:p>
        </w:tc>
        <w:tc>
          <w:tcPr>
            <w:tcW w:w="11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手孔井</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弱电手孔井 600*600*700</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6</w:t>
            </w:r>
          </w:p>
        </w:tc>
      </w:tr>
      <w:tr>
        <w:tblPrEx>
          <w:tblCellMar>
            <w:top w:w="0" w:type="dxa"/>
            <w:left w:w="108" w:type="dxa"/>
            <w:bottom w:w="0" w:type="dxa"/>
            <w:right w:w="108" w:type="dxa"/>
          </w:tblCellMar>
        </w:tblPrEx>
        <w:trPr>
          <w:gridAfter w:val="1"/>
          <w:wAfter w:w="60" w:type="pct"/>
          <w:trHeight w:val="570" w:hRule="atLeast"/>
        </w:trPr>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25</w:t>
            </w:r>
          </w:p>
        </w:tc>
        <w:tc>
          <w:tcPr>
            <w:tcW w:w="11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挖沟槽土方</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绿化下素土开挖：人机配合挖沟槽土方不装车，土方类别综合考虑</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18.86</w:t>
            </w:r>
          </w:p>
        </w:tc>
      </w:tr>
      <w:tr>
        <w:tblPrEx>
          <w:tblCellMar>
            <w:top w:w="0" w:type="dxa"/>
            <w:left w:w="108" w:type="dxa"/>
            <w:bottom w:w="0" w:type="dxa"/>
            <w:right w:w="108" w:type="dxa"/>
          </w:tblCellMar>
        </w:tblPrEx>
        <w:trPr>
          <w:gridAfter w:val="1"/>
          <w:wAfter w:w="60" w:type="pct"/>
          <w:trHeight w:val="570" w:hRule="atLeast"/>
        </w:trPr>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26</w:t>
            </w:r>
          </w:p>
        </w:tc>
        <w:tc>
          <w:tcPr>
            <w:tcW w:w="11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挖沟槽土方</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道路结构下开挖塘渣：人机配合挖沟槽四类土不装车</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2.10</w:t>
            </w:r>
          </w:p>
        </w:tc>
      </w:tr>
      <w:tr>
        <w:tblPrEx>
          <w:tblCellMar>
            <w:top w:w="0" w:type="dxa"/>
            <w:left w:w="108" w:type="dxa"/>
            <w:bottom w:w="0" w:type="dxa"/>
            <w:right w:w="108" w:type="dxa"/>
          </w:tblCellMar>
        </w:tblPrEx>
        <w:trPr>
          <w:gridAfter w:val="1"/>
          <w:wAfter w:w="60" w:type="pct"/>
          <w:trHeight w:val="450" w:hRule="atLeast"/>
        </w:trPr>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27</w:t>
            </w:r>
          </w:p>
        </w:tc>
        <w:tc>
          <w:tcPr>
            <w:tcW w:w="11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拆除路面</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混凝土路面开挖及修复</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m2</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9.53</w:t>
            </w:r>
          </w:p>
        </w:tc>
      </w:tr>
      <w:tr>
        <w:tblPrEx>
          <w:tblCellMar>
            <w:top w:w="0" w:type="dxa"/>
            <w:left w:w="108" w:type="dxa"/>
            <w:bottom w:w="0" w:type="dxa"/>
            <w:right w:w="108" w:type="dxa"/>
          </w:tblCellMar>
        </w:tblPrEx>
        <w:trPr>
          <w:gridAfter w:val="1"/>
          <w:wAfter w:w="60" w:type="pct"/>
          <w:trHeight w:val="450" w:hRule="atLeast"/>
        </w:trPr>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28</w:t>
            </w:r>
          </w:p>
        </w:tc>
        <w:tc>
          <w:tcPr>
            <w:tcW w:w="11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回填方</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沟槽原土回填</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12.38</w:t>
            </w:r>
          </w:p>
        </w:tc>
      </w:tr>
      <w:tr>
        <w:tblPrEx>
          <w:tblCellMar>
            <w:top w:w="0" w:type="dxa"/>
            <w:left w:w="108" w:type="dxa"/>
            <w:bottom w:w="0" w:type="dxa"/>
            <w:right w:w="108" w:type="dxa"/>
          </w:tblCellMar>
        </w:tblPrEx>
        <w:trPr>
          <w:gridAfter w:val="1"/>
          <w:wAfter w:w="60" w:type="pct"/>
          <w:trHeight w:val="450" w:hRule="atLeast"/>
        </w:trPr>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29</w:t>
            </w:r>
          </w:p>
        </w:tc>
        <w:tc>
          <w:tcPr>
            <w:tcW w:w="11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回填方</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沟槽机制砂回填</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3.43</w:t>
            </w:r>
          </w:p>
        </w:tc>
      </w:tr>
      <w:tr>
        <w:tblPrEx>
          <w:tblCellMar>
            <w:top w:w="0" w:type="dxa"/>
            <w:left w:w="108" w:type="dxa"/>
            <w:bottom w:w="0" w:type="dxa"/>
            <w:right w:w="108" w:type="dxa"/>
          </w:tblCellMar>
        </w:tblPrEx>
        <w:trPr>
          <w:gridAfter w:val="1"/>
          <w:wAfter w:w="60" w:type="pct"/>
          <w:trHeight w:val="450" w:hRule="atLeast"/>
        </w:trPr>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30</w:t>
            </w:r>
          </w:p>
        </w:tc>
        <w:tc>
          <w:tcPr>
            <w:tcW w:w="11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回填方</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渠（管）道垫层 机制砂</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6.86</w:t>
            </w:r>
          </w:p>
        </w:tc>
      </w:tr>
    </w:tbl>
    <w:p>
      <w:pPr>
        <w:pStyle w:val="2"/>
      </w:pPr>
    </w:p>
    <w:p/>
    <w:p>
      <w:pPr>
        <w:rPr>
          <w:b/>
          <w:bCs/>
        </w:rPr>
      </w:pPr>
      <w:r>
        <w:rPr>
          <w:rFonts w:hint="eastAsia"/>
          <w:b/>
          <w:bCs/>
        </w:rPr>
        <w:t>鄞江官池小区设备配置清单</w:t>
      </w:r>
    </w:p>
    <w:p/>
    <w:tbl>
      <w:tblPr>
        <w:tblStyle w:val="14"/>
        <w:tblW w:w="4998" w:type="pct"/>
        <w:tblInd w:w="0" w:type="dxa"/>
        <w:tblLayout w:type="autofit"/>
        <w:tblCellMar>
          <w:top w:w="0" w:type="dxa"/>
          <w:left w:w="0" w:type="dxa"/>
          <w:bottom w:w="0" w:type="dxa"/>
          <w:right w:w="0" w:type="dxa"/>
        </w:tblCellMar>
      </w:tblPr>
      <w:tblGrid>
        <w:gridCol w:w="6"/>
        <w:gridCol w:w="1525"/>
        <w:gridCol w:w="45"/>
        <w:gridCol w:w="1872"/>
        <w:gridCol w:w="3957"/>
        <w:gridCol w:w="246"/>
        <w:gridCol w:w="605"/>
        <w:gridCol w:w="1356"/>
        <w:gridCol w:w="138"/>
      </w:tblGrid>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序号</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设备名称</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2"/>
                <w:szCs w:val="22"/>
              </w:rPr>
            </w:pPr>
            <w:r>
              <w:rPr>
                <w:rFonts w:hint="eastAsia" w:ascii="宋体" w:hAnsi="宋体" w:cs="宋体"/>
                <w:color w:val="000000"/>
                <w:sz w:val="22"/>
                <w:szCs w:val="22"/>
              </w:rPr>
              <w:t>数量</w:t>
            </w:r>
          </w:p>
        </w:tc>
      </w:tr>
      <w:tr>
        <w:tblPrEx>
          <w:tblCellMar>
            <w:top w:w="0" w:type="dxa"/>
            <w:left w:w="0" w:type="dxa"/>
            <w:bottom w:w="0" w:type="dxa"/>
            <w:right w:w="0" w:type="dxa"/>
          </w:tblCellMar>
        </w:tblPrEx>
        <w:trPr>
          <w:gridBefore w:val="1"/>
          <w:wBefore w:w="3" w:type="pct"/>
          <w:trHeight w:val="500" w:hRule="atLeast"/>
        </w:trPr>
        <w:tc>
          <w:tcPr>
            <w:tcW w:w="4996" w:type="pct"/>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Arial" w:hAnsi="Arial" w:cs="Arial"/>
                <w:color w:val="000000"/>
                <w:sz w:val="20"/>
              </w:rPr>
            </w:pPr>
            <w:r>
              <w:rPr>
                <w:rFonts w:ascii="Arial" w:hAnsi="Arial" w:cs="Arial"/>
                <w:b/>
                <w:color w:val="000000"/>
                <w:sz w:val="20"/>
              </w:rPr>
              <w:t>1</w:t>
            </w:r>
            <w:r>
              <w:rPr>
                <w:rStyle w:val="21"/>
              </w:rPr>
              <w:t>、出入口控制系统</w:t>
            </w:r>
            <w:r>
              <w:rPr>
                <w:rFonts w:ascii="宋体" w:hAnsi="宋体" w:cs="宋体"/>
                <w:b/>
                <w:color w:val="000000"/>
                <w:sz w:val="24"/>
                <w:szCs w:val="24"/>
              </w:rPr>
              <w:t>1</w:t>
            </w:r>
            <w:r>
              <w:rPr>
                <w:rStyle w:val="21"/>
              </w:rPr>
              <w:t>（人行出入口）</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智慧门</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双目人脸识别可视对讲围墙机</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主机电源</w:t>
            </w:r>
            <w:r>
              <w:rPr>
                <w:rFonts w:ascii="Arial" w:hAnsi="Arial" w:cs="Arial"/>
                <w:color w:val="000000"/>
                <w:sz w:val="20"/>
              </w:rPr>
              <w:t>12V/2A</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磁力锁</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专用锁电源</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闭门器</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7</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防水出门按钮及支架</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8</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人证合一一体机</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9</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USB</w:t>
            </w:r>
            <w:r>
              <w:rPr>
                <w:rFonts w:hint="eastAsia" w:ascii="宋体" w:hAnsi="宋体" w:cs="宋体"/>
                <w:color w:val="000000"/>
                <w:sz w:val="20"/>
              </w:rPr>
              <w:t>人像采集</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10</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基础（智慧门、围墙机支架、出门按钮支架）</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3" w:type="pct"/>
          <w:trHeight w:val="500" w:hRule="atLeast"/>
        </w:trPr>
        <w:tc>
          <w:tcPr>
            <w:tcW w:w="4996" w:type="pct"/>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ascii="Arial" w:hAnsi="Arial" w:cs="Arial"/>
                <w:b/>
                <w:color w:val="000000"/>
                <w:sz w:val="20"/>
              </w:rPr>
              <w:t>2</w:t>
            </w:r>
            <w:r>
              <w:rPr>
                <w:rStyle w:val="21"/>
              </w:rPr>
              <w:t>、出入口控制系统</w:t>
            </w:r>
            <w:r>
              <w:rPr>
                <w:rFonts w:ascii="宋体" w:hAnsi="宋体" w:cs="宋体"/>
                <w:b/>
                <w:color w:val="000000"/>
                <w:sz w:val="24"/>
                <w:szCs w:val="24"/>
              </w:rPr>
              <w:t>2</w:t>
            </w:r>
            <w:r>
              <w:rPr>
                <w:rStyle w:val="21"/>
              </w:rPr>
              <w:t>（停车系统设备）</w:t>
            </w:r>
          </w:p>
        </w:tc>
      </w:tr>
      <w:tr>
        <w:tblPrEx>
          <w:tblCellMar>
            <w:top w:w="0" w:type="dxa"/>
            <w:left w:w="0" w:type="dxa"/>
            <w:bottom w:w="0" w:type="dxa"/>
            <w:right w:w="0" w:type="dxa"/>
          </w:tblCellMar>
        </w:tblPrEx>
        <w:trPr>
          <w:gridBefore w:val="1"/>
          <w:wBefore w:w="3" w:type="pct"/>
          <w:trHeight w:val="500" w:hRule="atLeast"/>
        </w:trPr>
        <w:tc>
          <w:tcPr>
            <w:tcW w:w="4996" w:type="pct"/>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主要出入口单进单出</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11</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出口杆式抓拍一体机</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12</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道闸</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13</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防砸雷达</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14</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入口杆式抓拍一体机</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15</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道闸</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16</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防砸雷达</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17</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逻辑雷达</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18</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触发雷达</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19</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8口百兆接入交换机</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b/>
                <w:bCs/>
                <w:color w:val="000000"/>
                <w:sz w:val="20"/>
              </w:rPr>
              <w:t xml:space="preserve">2 </w:t>
            </w:r>
          </w:p>
        </w:tc>
      </w:tr>
      <w:tr>
        <w:tblPrEx>
          <w:tblCellMar>
            <w:top w:w="0" w:type="dxa"/>
            <w:left w:w="0" w:type="dxa"/>
            <w:bottom w:w="0" w:type="dxa"/>
            <w:right w:w="0" w:type="dxa"/>
          </w:tblCellMar>
        </w:tblPrEx>
        <w:trPr>
          <w:gridBefore w:val="1"/>
          <w:wBefore w:w="3" w:type="pct"/>
          <w:trHeight w:val="500" w:hRule="atLeast"/>
        </w:trPr>
        <w:tc>
          <w:tcPr>
            <w:tcW w:w="4996" w:type="pct"/>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管理设备</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20</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收费电脑</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21</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车辆收费软件</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22</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附件</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23</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光纤收发器</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24</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8</w:t>
            </w:r>
            <w:r>
              <w:rPr>
                <w:rFonts w:hint="eastAsia" w:ascii="宋体" w:hAnsi="宋体" w:cs="宋体"/>
                <w:color w:val="000000"/>
                <w:sz w:val="20"/>
              </w:rPr>
              <w:t>口千兆接入层交换机</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25</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24</w:t>
            </w:r>
            <w:r>
              <w:rPr>
                <w:rFonts w:hint="eastAsia" w:ascii="宋体" w:hAnsi="宋体" w:cs="宋体"/>
                <w:color w:val="000000"/>
                <w:sz w:val="20"/>
              </w:rPr>
              <w:t>口千兆接入层交换机</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26</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调试对接费用</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27</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基础（道闸设备机箱等基础）</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3" w:type="pct"/>
          <w:trHeight w:val="500" w:hRule="atLeast"/>
        </w:trPr>
        <w:tc>
          <w:tcPr>
            <w:tcW w:w="4996" w:type="pct"/>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b/>
                <w:color w:val="000000"/>
                <w:sz w:val="20"/>
              </w:rPr>
            </w:pPr>
            <w:r>
              <w:rPr>
                <w:rFonts w:ascii="Arial" w:hAnsi="Arial" w:cs="Arial"/>
                <w:b/>
                <w:color w:val="000000"/>
                <w:sz w:val="20"/>
              </w:rPr>
              <w:t>3</w:t>
            </w:r>
            <w:r>
              <w:rPr>
                <w:rStyle w:val="21"/>
                <w:b/>
              </w:rPr>
              <w:t>、视频监控系统</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28</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微卡摄像机</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29</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全局人脸摄像机</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30</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人脸摄像机</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31</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步态摄像机</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32</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高空抛物网络摄像机</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33</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彩色高清摄像机</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39</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34</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彩色高清半球摄像机</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35</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彩色高清电梯专用摄像机</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36</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数字楼层显示器</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37</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网络传输器</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38</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200</w:t>
            </w:r>
            <w:r>
              <w:rPr>
                <w:rFonts w:hint="eastAsia" w:ascii="宋体" w:hAnsi="宋体" w:cs="宋体"/>
                <w:color w:val="000000"/>
                <w:sz w:val="20"/>
              </w:rPr>
              <w:t>万轻智能警戒摄像机</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39</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消防占道球机</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40</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摄像机立竿</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41</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视频解码器</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42</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32</w:t>
            </w:r>
            <w:r>
              <w:rPr>
                <w:rFonts w:hint="eastAsia" w:ascii="宋体" w:hAnsi="宋体" w:cs="宋体"/>
                <w:color w:val="000000"/>
                <w:sz w:val="20"/>
              </w:rPr>
              <w:t>寸监视器</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43</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视频切换器</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44</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电源</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45</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配套支架</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54</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46</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管理电脑</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47</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操作台</w:t>
            </w:r>
            <w:r>
              <w:rPr>
                <w:rFonts w:ascii="Arial" w:hAnsi="Arial" w:cs="Arial"/>
                <w:color w:val="000000"/>
                <w:sz w:val="20"/>
              </w:rPr>
              <w:t>1</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48</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配套附件</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3" w:type="pct"/>
          <w:trHeight w:val="500" w:hRule="atLeast"/>
        </w:trPr>
        <w:tc>
          <w:tcPr>
            <w:tcW w:w="4996" w:type="pct"/>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b/>
                <w:color w:val="000000"/>
                <w:sz w:val="20"/>
              </w:rPr>
            </w:pPr>
            <w:r>
              <w:rPr>
                <w:rFonts w:ascii="Arial" w:hAnsi="Arial" w:cs="Arial"/>
                <w:b/>
                <w:color w:val="000000"/>
                <w:sz w:val="20"/>
              </w:rPr>
              <w:t>4</w:t>
            </w:r>
            <w:r>
              <w:rPr>
                <w:rStyle w:val="21"/>
                <w:b/>
              </w:rPr>
              <w:t>、可视对讲系统</w:t>
            </w:r>
          </w:p>
        </w:tc>
      </w:tr>
      <w:tr>
        <w:tblPrEx>
          <w:tblCellMar>
            <w:top w:w="0" w:type="dxa"/>
            <w:left w:w="0" w:type="dxa"/>
            <w:bottom w:w="0" w:type="dxa"/>
            <w:right w:w="0" w:type="dxa"/>
          </w:tblCellMar>
        </w:tblPrEx>
        <w:trPr>
          <w:gridBefore w:val="1"/>
          <w:wBefore w:w="3" w:type="pct"/>
          <w:trHeight w:val="500" w:hRule="atLeast"/>
        </w:trPr>
        <w:tc>
          <w:tcPr>
            <w:tcW w:w="4996" w:type="pct"/>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b/>
                <w:color w:val="000000"/>
                <w:sz w:val="20"/>
              </w:rPr>
            </w:pPr>
            <w:r>
              <w:rPr>
                <w:rFonts w:hint="eastAsia" w:ascii="Arial" w:hAnsi="Arial" w:cs="Arial"/>
                <w:b/>
                <w:color w:val="000000"/>
                <w:sz w:val="20"/>
              </w:rPr>
              <w:t>4.</w:t>
            </w:r>
            <w:r>
              <w:rPr>
                <w:rFonts w:ascii="Arial" w:hAnsi="Arial" w:cs="Arial"/>
                <w:b/>
                <w:color w:val="000000"/>
                <w:sz w:val="20"/>
              </w:rPr>
              <w:t>1</w:t>
            </w:r>
            <w:r>
              <w:rPr>
                <w:rStyle w:val="21"/>
                <w:b/>
              </w:rPr>
              <w:t>、住宅部分</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r>
              <w:rPr>
                <w:rFonts w:hint="eastAsia" w:ascii="Arial" w:hAnsi="Arial" w:cs="Arial"/>
                <w:color w:val="000000"/>
                <w:sz w:val="20"/>
              </w:rPr>
              <w:t>9</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人脸识别可视对讲主机</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39 </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50</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灵性锁</w:t>
            </w:r>
            <w:r>
              <w:rPr>
                <w:rFonts w:ascii="Arial" w:hAnsi="Arial" w:cs="Arial"/>
                <w:color w:val="000000"/>
                <w:sz w:val="20"/>
              </w:rPr>
              <w:t>(</w:t>
            </w:r>
            <w:r>
              <w:rPr>
                <w:rFonts w:hint="eastAsia" w:ascii="宋体" w:hAnsi="宋体" w:cs="宋体"/>
                <w:color w:val="000000"/>
                <w:sz w:val="20"/>
              </w:rPr>
              <w:t>双门或单门，根据实际情况确定数量。包含双门和单门）</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39 </w:t>
            </w:r>
          </w:p>
        </w:tc>
      </w:tr>
      <w:tr>
        <w:tblPrEx>
          <w:tblCellMar>
            <w:top w:w="0" w:type="dxa"/>
            <w:left w:w="0" w:type="dxa"/>
            <w:bottom w:w="0" w:type="dxa"/>
            <w:right w:w="0" w:type="dxa"/>
          </w:tblCellMar>
        </w:tblPrEx>
        <w:trPr>
          <w:gridBefore w:val="1"/>
          <w:wBefore w:w="3" w:type="pct"/>
          <w:trHeight w:val="500" w:hRule="atLeast"/>
        </w:trPr>
        <w:tc>
          <w:tcPr>
            <w:tcW w:w="4996" w:type="pct"/>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b/>
                <w:bCs/>
                <w:color w:val="000000"/>
                <w:sz w:val="20"/>
              </w:rPr>
            </w:pPr>
            <w:r>
              <w:rPr>
                <w:rFonts w:hint="eastAsia" w:ascii="宋体" w:hAnsi="宋体" w:cs="宋体"/>
                <w:b/>
                <w:bCs/>
                <w:color w:val="000000"/>
                <w:sz w:val="20"/>
              </w:rPr>
              <w:t>4.2、管理中心部分（设备网1）</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51</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主机电源</w:t>
            </w:r>
            <w:r>
              <w:rPr>
                <w:rFonts w:ascii="Arial" w:hAnsi="Arial" w:cs="Arial"/>
                <w:color w:val="000000"/>
                <w:sz w:val="20"/>
              </w:rPr>
              <w:t>12V/2A</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39 </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52</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闭门器</w:t>
            </w:r>
            <w:r>
              <w:rPr>
                <w:rFonts w:ascii="Arial" w:hAnsi="Arial" w:cs="Arial"/>
                <w:color w:val="000000"/>
                <w:sz w:val="20"/>
              </w:rPr>
              <w:t>(</w:t>
            </w:r>
            <w:r>
              <w:rPr>
                <w:rFonts w:hint="eastAsia" w:ascii="宋体" w:hAnsi="宋体" w:cs="宋体"/>
                <w:color w:val="000000"/>
                <w:sz w:val="20"/>
              </w:rPr>
              <w:t>双门或单门，根据实际情况确定数量。包含双门和单门））</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39 </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53</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专用锁电源</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39 </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54</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16</w:t>
            </w:r>
            <w:r>
              <w:rPr>
                <w:rFonts w:hint="eastAsia" w:ascii="宋体" w:hAnsi="宋体" w:cs="宋体"/>
                <w:color w:val="000000"/>
                <w:sz w:val="20"/>
              </w:rPr>
              <w:t>口百兆接入交换机</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27 </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55</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24</w:t>
            </w:r>
            <w:r>
              <w:rPr>
                <w:rFonts w:hint="eastAsia" w:ascii="宋体" w:hAnsi="宋体" w:cs="宋体"/>
                <w:color w:val="000000"/>
                <w:sz w:val="20"/>
              </w:rPr>
              <w:t>口百兆接入交换机</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56</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8</w:t>
            </w:r>
            <w:r>
              <w:rPr>
                <w:rFonts w:hint="eastAsia" w:ascii="宋体" w:hAnsi="宋体" w:cs="宋体"/>
                <w:color w:val="000000"/>
                <w:sz w:val="20"/>
              </w:rPr>
              <w:t>口千兆</w:t>
            </w:r>
            <w:r>
              <w:rPr>
                <w:rFonts w:ascii="Arial" w:hAnsi="Arial" w:cs="Arial"/>
                <w:color w:val="000000"/>
                <w:sz w:val="20"/>
              </w:rPr>
              <w:t>POE</w:t>
            </w:r>
            <w:r>
              <w:rPr>
                <w:rFonts w:hint="eastAsia" w:ascii="宋体" w:hAnsi="宋体" w:cs="宋体"/>
                <w:color w:val="000000"/>
                <w:sz w:val="20"/>
              </w:rPr>
              <w:t>工业接入交换机</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Arial" w:hAnsi="Arial" w:cs="Arial"/>
                <w:color w:val="000000"/>
                <w:sz w:val="20"/>
              </w:rPr>
            </w:pP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57</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8</w:t>
            </w:r>
            <w:r>
              <w:rPr>
                <w:rFonts w:hint="eastAsia" w:ascii="宋体" w:hAnsi="宋体" w:cs="宋体"/>
                <w:color w:val="000000"/>
                <w:sz w:val="20"/>
              </w:rPr>
              <w:t>口千兆</w:t>
            </w:r>
            <w:r>
              <w:rPr>
                <w:rFonts w:ascii="Arial" w:hAnsi="Arial" w:cs="Arial"/>
                <w:color w:val="000000"/>
                <w:sz w:val="20"/>
              </w:rPr>
              <w:t>POE</w:t>
            </w:r>
            <w:r>
              <w:rPr>
                <w:rFonts w:hint="eastAsia" w:ascii="宋体" w:hAnsi="宋体" w:cs="宋体"/>
                <w:color w:val="000000"/>
                <w:sz w:val="20"/>
              </w:rPr>
              <w:t>接入交换机</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58</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24</w:t>
            </w:r>
            <w:r>
              <w:rPr>
                <w:rFonts w:hint="eastAsia" w:ascii="宋体" w:hAnsi="宋体" w:cs="宋体"/>
                <w:color w:val="000000"/>
                <w:sz w:val="20"/>
              </w:rPr>
              <w:t>口千兆接入层交换机</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59</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24</w:t>
            </w:r>
            <w:r>
              <w:rPr>
                <w:rFonts w:hint="eastAsia" w:ascii="宋体" w:hAnsi="宋体" w:cs="宋体"/>
                <w:color w:val="000000"/>
                <w:sz w:val="20"/>
              </w:rPr>
              <w:t>口千兆</w:t>
            </w:r>
            <w:r>
              <w:rPr>
                <w:rFonts w:ascii="Arial" w:hAnsi="Arial" w:cs="Arial"/>
                <w:color w:val="000000"/>
                <w:sz w:val="20"/>
              </w:rPr>
              <w:t>POE</w:t>
            </w:r>
            <w:r>
              <w:rPr>
                <w:rFonts w:hint="eastAsia" w:ascii="宋体" w:hAnsi="宋体" w:cs="宋体"/>
                <w:color w:val="000000"/>
                <w:sz w:val="20"/>
              </w:rPr>
              <w:t>接入层交换机</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60</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千兆单模光模块</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13 </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61</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单模光纤跳线</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14</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62</w:t>
            </w:r>
          </w:p>
        </w:tc>
        <w:tc>
          <w:tcPr>
            <w:tcW w:w="311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12</w:t>
            </w:r>
            <w:r>
              <w:rPr>
                <w:rFonts w:hint="eastAsia" w:ascii="宋体" w:hAnsi="宋体" w:cs="宋体"/>
                <w:color w:val="000000"/>
                <w:sz w:val="20"/>
              </w:rPr>
              <w:t>口光纤配线架</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63</w:t>
            </w:r>
          </w:p>
        </w:tc>
        <w:tc>
          <w:tcPr>
            <w:tcW w:w="311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双工耦合器</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26</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64</w:t>
            </w:r>
          </w:p>
        </w:tc>
        <w:tc>
          <w:tcPr>
            <w:tcW w:w="311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尾纤</w:t>
            </w:r>
            <w:r>
              <w:rPr>
                <w:rFonts w:ascii="Arial" w:hAnsi="Arial" w:cs="Arial"/>
                <w:color w:val="000000"/>
                <w:sz w:val="20"/>
              </w:rPr>
              <w:t xml:space="preserve">LC, </w:t>
            </w:r>
            <w:r>
              <w:rPr>
                <w:rFonts w:hint="eastAsia" w:ascii="宋体" w:hAnsi="宋体" w:cs="宋体"/>
                <w:color w:val="000000"/>
                <w:sz w:val="20"/>
              </w:rPr>
              <w:t>单模</w:t>
            </w:r>
            <w:r>
              <w:rPr>
                <w:rFonts w:ascii="Arial" w:hAnsi="Arial" w:cs="Arial"/>
                <w:color w:val="000000"/>
                <w:sz w:val="20"/>
              </w:rPr>
              <w:t>, 0.9mm, 1</w:t>
            </w:r>
            <w:r>
              <w:rPr>
                <w:rFonts w:hint="eastAsia" w:ascii="宋体" w:hAnsi="宋体" w:cs="宋体"/>
                <w:color w:val="000000"/>
                <w:sz w:val="20"/>
              </w:rPr>
              <w:t>米</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208</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65</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安防设备箱</w:t>
            </w:r>
            <w:r>
              <w:rPr>
                <w:rFonts w:ascii="Arial" w:hAnsi="Arial" w:cs="Arial"/>
                <w:color w:val="000000"/>
                <w:sz w:val="20"/>
              </w:rPr>
              <w:t>1</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27 </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66</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安防设备箱</w:t>
            </w:r>
            <w:r>
              <w:rPr>
                <w:rFonts w:ascii="Arial" w:hAnsi="Arial" w:cs="Arial"/>
                <w:color w:val="000000"/>
                <w:sz w:val="20"/>
              </w:rPr>
              <w:t>2</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13 </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67</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室外安防设备箱</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Arial" w:hAnsi="Arial" w:cs="Arial"/>
                <w:color w:val="000000"/>
                <w:sz w:val="20"/>
              </w:rPr>
            </w:pP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68</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室内分机</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335 </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69</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分机电源</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77 </w:t>
            </w:r>
          </w:p>
        </w:tc>
      </w:tr>
      <w:tr>
        <w:tblPrEx>
          <w:tblCellMar>
            <w:top w:w="0" w:type="dxa"/>
            <w:left w:w="0" w:type="dxa"/>
            <w:bottom w:w="0" w:type="dxa"/>
            <w:right w:w="0" w:type="dxa"/>
          </w:tblCellMar>
        </w:tblPrEx>
        <w:trPr>
          <w:gridBefore w:val="1"/>
          <w:wBefore w:w="3" w:type="pct"/>
          <w:trHeight w:val="500" w:hRule="atLeast"/>
        </w:trPr>
        <w:tc>
          <w:tcPr>
            <w:tcW w:w="4996" w:type="pct"/>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Arial" w:hAnsi="Arial" w:cs="Arial"/>
                <w:b/>
                <w:color w:val="000000"/>
                <w:sz w:val="20"/>
              </w:rPr>
              <w:t>4.</w:t>
            </w:r>
            <w:r>
              <w:rPr>
                <w:rFonts w:ascii="Arial" w:hAnsi="Arial" w:cs="Arial"/>
                <w:b/>
                <w:color w:val="000000"/>
                <w:sz w:val="20"/>
              </w:rPr>
              <w:t>2</w:t>
            </w:r>
            <w:r>
              <w:rPr>
                <w:rStyle w:val="21"/>
              </w:rPr>
              <w:t>、管理中心部分（设备网）</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70</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w:t>
            </w:r>
            <w:r>
              <w:rPr>
                <w:rFonts w:ascii="Arial" w:hAnsi="Arial" w:cs="Arial"/>
                <w:color w:val="000000"/>
                <w:sz w:val="20"/>
              </w:rPr>
              <w:t>1</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71</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w:t>
            </w:r>
            <w:r>
              <w:rPr>
                <w:rFonts w:ascii="Arial" w:hAnsi="Arial" w:cs="Arial"/>
                <w:color w:val="000000"/>
                <w:sz w:val="20"/>
              </w:rPr>
              <w:t>2</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72</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w:t>
            </w:r>
            <w:r>
              <w:rPr>
                <w:rFonts w:ascii="Arial" w:hAnsi="Arial" w:cs="Arial"/>
                <w:color w:val="000000"/>
                <w:sz w:val="20"/>
              </w:rPr>
              <w:t>3</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73</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w:t>
            </w:r>
            <w:r>
              <w:rPr>
                <w:rFonts w:ascii="Arial" w:hAnsi="Arial" w:cs="Arial"/>
                <w:color w:val="000000"/>
                <w:sz w:val="20"/>
              </w:rPr>
              <w:t>4</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74</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w:t>
            </w:r>
            <w:r>
              <w:rPr>
                <w:rFonts w:ascii="Arial" w:hAnsi="Arial" w:cs="Arial"/>
                <w:color w:val="000000"/>
                <w:sz w:val="20"/>
              </w:rPr>
              <w:t>5</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75</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堆叠电缆</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76</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千兆单模光模块</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13 </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77</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千兆单模光模块</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78</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8</w:t>
            </w:r>
            <w:r>
              <w:rPr>
                <w:rFonts w:hint="eastAsia" w:ascii="宋体" w:hAnsi="宋体" w:cs="宋体"/>
                <w:color w:val="000000"/>
                <w:sz w:val="20"/>
              </w:rPr>
              <w:t>口千兆接入层交换机</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79</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24</w:t>
            </w:r>
            <w:r>
              <w:rPr>
                <w:rFonts w:hint="eastAsia" w:ascii="宋体" w:hAnsi="宋体" w:cs="宋体"/>
                <w:color w:val="000000"/>
                <w:sz w:val="20"/>
              </w:rPr>
              <w:t>口千兆接入层交换机</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80</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管理中心对讲主机</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81</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存储设备</w:t>
            </w:r>
            <w:r>
              <w:rPr>
                <w:rFonts w:ascii="Arial" w:hAnsi="Arial" w:cs="Arial"/>
                <w:color w:val="000000"/>
                <w:sz w:val="20"/>
              </w:rPr>
              <w:t>1~64</w:t>
            </w:r>
            <w:r>
              <w:rPr>
                <w:rFonts w:hint="eastAsia" w:ascii="宋体" w:hAnsi="宋体" w:cs="宋体"/>
                <w:color w:val="000000"/>
                <w:sz w:val="20"/>
              </w:rPr>
              <w:t>路</w:t>
            </w:r>
            <w:r>
              <w:rPr>
                <w:rFonts w:ascii="Arial" w:hAnsi="Arial" w:cs="Arial"/>
                <w:color w:val="000000"/>
                <w:sz w:val="20"/>
              </w:rPr>
              <w:t>NVR</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82</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存储设备</w:t>
            </w:r>
            <w:r>
              <w:rPr>
                <w:rFonts w:ascii="Arial" w:hAnsi="Arial" w:cs="Arial"/>
                <w:color w:val="000000"/>
                <w:sz w:val="20"/>
              </w:rPr>
              <w:t>2~32</w:t>
            </w:r>
            <w:r>
              <w:rPr>
                <w:rFonts w:hint="eastAsia" w:ascii="宋体" w:hAnsi="宋体" w:cs="宋体"/>
                <w:color w:val="000000"/>
                <w:sz w:val="20"/>
              </w:rPr>
              <w:t>路</w:t>
            </w:r>
            <w:r>
              <w:rPr>
                <w:rFonts w:ascii="Arial" w:hAnsi="Arial" w:cs="Arial"/>
                <w:color w:val="000000"/>
                <w:sz w:val="20"/>
              </w:rPr>
              <w:t>NVR</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83</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硬盘</w:t>
            </w:r>
            <w:r>
              <w:rPr>
                <w:rFonts w:ascii="Arial" w:hAnsi="Arial" w:cs="Arial"/>
                <w:color w:val="000000"/>
                <w:sz w:val="20"/>
              </w:rPr>
              <w:t>2</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84</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IC</w:t>
            </w:r>
            <w:r>
              <w:rPr>
                <w:rFonts w:hint="eastAsia" w:ascii="宋体" w:hAnsi="宋体" w:cs="宋体"/>
                <w:color w:val="000000"/>
                <w:sz w:val="20"/>
              </w:rPr>
              <w:t>卡发行器</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85</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IC</w:t>
            </w:r>
            <w:r>
              <w:rPr>
                <w:rFonts w:hint="eastAsia" w:ascii="宋体" w:hAnsi="宋体" w:cs="宋体"/>
                <w:color w:val="000000"/>
                <w:sz w:val="20"/>
              </w:rPr>
              <w:t>钥匙扣卡</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1005 </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86</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钥匙</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1005 </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87</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管理电脑</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88</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街道数据汇聚</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89</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汇聚交换机</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90</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服务器</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91</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小区侧智慧安防管控软件</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92</w:t>
            </w:r>
          </w:p>
        </w:tc>
        <w:tc>
          <w:tcPr>
            <w:tcW w:w="311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光纤链路费</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93</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网络机柜</w:t>
            </w:r>
            <w:r>
              <w:rPr>
                <w:rFonts w:ascii="Arial" w:hAnsi="Arial" w:cs="Arial"/>
                <w:color w:val="000000"/>
                <w:sz w:val="20"/>
              </w:rPr>
              <w:t>1~42U</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94</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网络机柜</w:t>
            </w:r>
            <w:r>
              <w:rPr>
                <w:rFonts w:ascii="Arial" w:hAnsi="Arial" w:cs="Arial"/>
                <w:color w:val="000000"/>
                <w:sz w:val="20"/>
              </w:rPr>
              <w:t>2~24U</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95</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网络机柜</w:t>
            </w:r>
            <w:r>
              <w:rPr>
                <w:rFonts w:ascii="Arial" w:hAnsi="Arial" w:cs="Arial"/>
                <w:color w:val="000000"/>
                <w:sz w:val="20"/>
              </w:rPr>
              <w:t>3~6U</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96</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附材</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r>
      <w:tr>
        <w:tblPrEx>
          <w:tblCellMar>
            <w:top w:w="0" w:type="dxa"/>
            <w:left w:w="0" w:type="dxa"/>
            <w:bottom w:w="0" w:type="dxa"/>
            <w:right w:w="0" w:type="dxa"/>
          </w:tblCellMar>
        </w:tblPrEx>
        <w:trPr>
          <w:gridBefore w:val="1"/>
          <w:wBefore w:w="3" w:type="pct"/>
          <w:trHeight w:val="500" w:hRule="atLeast"/>
        </w:trPr>
        <w:tc>
          <w:tcPr>
            <w:tcW w:w="4996" w:type="pct"/>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ascii="宋体" w:hAnsi="宋体" w:cs="宋体"/>
                <w:b/>
                <w:color w:val="000000"/>
                <w:sz w:val="20"/>
              </w:rPr>
            </w:pPr>
            <w:r>
              <w:rPr>
                <w:rFonts w:ascii="Arial" w:hAnsi="Arial" w:cs="Arial"/>
                <w:b/>
                <w:color w:val="000000"/>
                <w:sz w:val="20"/>
              </w:rPr>
              <w:t>5</w:t>
            </w:r>
            <w:r>
              <w:rPr>
                <w:rStyle w:val="21"/>
                <w:b/>
              </w:rPr>
              <w:t>、智能感知系统</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9</w:t>
            </w:r>
            <w:r>
              <w:rPr>
                <w:rFonts w:hint="eastAsia" w:ascii="Arial" w:hAnsi="Arial" w:cs="Arial"/>
                <w:color w:val="000000"/>
                <w:sz w:val="20"/>
              </w:rPr>
              <w:t>7</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人脸摄像机带定向智能感知设备</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3" w:type="pct"/>
          <w:trHeight w:val="500" w:hRule="atLeast"/>
        </w:trPr>
        <w:tc>
          <w:tcPr>
            <w:tcW w:w="4996" w:type="pct"/>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b/>
                <w:bCs/>
                <w:color w:val="000000"/>
                <w:sz w:val="20"/>
              </w:rPr>
            </w:pPr>
            <w:r>
              <w:rPr>
                <w:rFonts w:ascii="Arial" w:hAnsi="Arial" w:cs="Arial"/>
                <w:b/>
                <w:bCs/>
                <w:color w:val="000000"/>
                <w:sz w:val="20"/>
              </w:rPr>
              <w:t>6</w:t>
            </w:r>
            <w:r>
              <w:rPr>
                <w:rStyle w:val="21"/>
                <w:b/>
                <w:bCs/>
              </w:rPr>
              <w:t>、入侵报警系统</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98</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中央控制器</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99</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主机键盘</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100</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监控软件</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101</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w:t>
            </w:r>
            <w:r>
              <w:rPr>
                <w:rFonts w:ascii="Arial" w:hAnsi="Arial" w:cs="Arial"/>
                <w:color w:val="000000"/>
                <w:sz w:val="20"/>
              </w:rPr>
              <w:t>IP</w:t>
            </w:r>
            <w:r>
              <w:rPr>
                <w:rFonts w:hint="eastAsia" w:ascii="宋体" w:hAnsi="宋体" w:cs="宋体"/>
                <w:color w:val="000000"/>
                <w:sz w:val="20"/>
              </w:rPr>
              <w:t>模块</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102</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D1</w:t>
            </w:r>
            <w:r>
              <w:rPr>
                <w:rFonts w:hint="eastAsia" w:ascii="宋体" w:hAnsi="宋体" w:cs="宋体"/>
                <w:color w:val="000000"/>
                <w:sz w:val="20"/>
              </w:rPr>
              <w:t>类高能量</w:t>
            </w:r>
            <w:r>
              <w:rPr>
                <w:rFonts w:ascii="Arial" w:hAnsi="Arial" w:cs="Arial"/>
                <w:color w:val="000000"/>
                <w:sz w:val="20"/>
              </w:rPr>
              <w:t>SPD</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103</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四路网络模块</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104</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二路网络模块</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22 </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105</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16</w:t>
            </w:r>
            <w:r>
              <w:rPr>
                <w:rFonts w:hint="eastAsia" w:ascii="宋体" w:hAnsi="宋体" w:cs="宋体"/>
                <w:color w:val="000000"/>
                <w:sz w:val="20"/>
              </w:rPr>
              <w:t>路继电器</w:t>
            </w:r>
            <w:r>
              <w:rPr>
                <w:rStyle w:val="19"/>
                <w:rFonts w:hint="default"/>
              </w:rPr>
              <w:t>输出控制器</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106</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32</w:t>
            </w:r>
            <w:r>
              <w:rPr>
                <w:rFonts w:hint="eastAsia" w:ascii="宋体" w:hAnsi="宋体" w:cs="宋体"/>
                <w:color w:val="000000"/>
                <w:sz w:val="20"/>
              </w:rPr>
              <w:t>路继电器输出控制器</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107</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烟感探测器</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40 </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108</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电源</w:t>
            </w:r>
          </w:p>
        </w:tc>
        <w:tc>
          <w:tcPr>
            <w:tcW w:w="107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109</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声光警号</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110</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四道单防区控制杆（含底座）</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111</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四道双防区控制杆（含底座）</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112</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交流电源</w:t>
            </w:r>
            <w:r>
              <w:rPr>
                <w:rFonts w:ascii="Arial" w:hAnsi="Arial" w:cs="Arial"/>
                <w:color w:val="000000"/>
                <w:sz w:val="20"/>
              </w:rPr>
              <w:t>24V</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 </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113</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避雷器</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 </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114</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中间支撑杆（含底座）</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62 </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115</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终端受力杆（含底座）</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11 </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116</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束线器</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176 </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117</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转向滑轮</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30 </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118</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张力收紧器</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44 </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119</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张力弹簧</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44 </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120</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多股张力线</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1000 </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121</w:t>
            </w:r>
          </w:p>
        </w:tc>
        <w:tc>
          <w:tcPr>
            <w:tcW w:w="311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警示牌</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 </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122</w:t>
            </w:r>
          </w:p>
        </w:tc>
        <w:tc>
          <w:tcPr>
            <w:tcW w:w="311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接地桩（含接地线）</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 </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123</w:t>
            </w:r>
          </w:p>
        </w:tc>
        <w:tc>
          <w:tcPr>
            <w:tcW w:w="311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304</w:t>
            </w:r>
            <w:r>
              <w:rPr>
                <w:rFonts w:hint="eastAsia" w:ascii="宋体" w:hAnsi="宋体" w:cs="宋体"/>
                <w:color w:val="000000"/>
                <w:sz w:val="20"/>
              </w:rPr>
              <w:t>不锈钢防水箱</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 </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124</w:t>
            </w:r>
          </w:p>
        </w:tc>
        <w:tc>
          <w:tcPr>
            <w:tcW w:w="311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单防区模块</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r>
      <w:tr>
        <w:tblPrEx>
          <w:tblCellMar>
            <w:top w:w="0" w:type="dxa"/>
            <w:left w:w="0" w:type="dxa"/>
            <w:bottom w:w="0" w:type="dxa"/>
            <w:right w:w="0" w:type="dxa"/>
          </w:tblCellMar>
        </w:tblPrEx>
        <w:trPr>
          <w:gridBefore w:val="1"/>
          <w:wBefore w:w="3" w:type="pct"/>
          <w:trHeight w:val="500" w:hRule="atLeast"/>
        </w:trPr>
        <w:tc>
          <w:tcPr>
            <w:tcW w:w="8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125</w:t>
            </w:r>
          </w:p>
        </w:tc>
        <w:tc>
          <w:tcPr>
            <w:tcW w:w="311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报警联动灯</w:t>
            </w:r>
          </w:p>
        </w:tc>
        <w:tc>
          <w:tcPr>
            <w:tcW w:w="107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r>
      <w:tr>
        <w:tblPrEx>
          <w:tblCellMar>
            <w:top w:w="0" w:type="dxa"/>
            <w:left w:w="0" w:type="dxa"/>
            <w:bottom w:w="0" w:type="dxa"/>
            <w:right w:w="0" w:type="dxa"/>
          </w:tblCellMar>
        </w:tblPrEx>
        <w:trPr>
          <w:gridBefore w:val="1"/>
          <w:wBefore w:w="3" w:type="pct"/>
          <w:trHeight w:val="500" w:hRule="atLeast"/>
        </w:trPr>
        <w:tc>
          <w:tcPr>
            <w:tcW w:w="4996" w:type="pct"/>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Arial" w:hAnsi="Arial" w:cs="Arial"/>
                <w:b/>
                <w:bCs/>
                <w:color w:val="000000"/>
                <w:sz w:val="20"/>
              </w:rPr>
            </w:pPr>
            <w:r>
              <w:rPr>
                <w:rFonts w:ascii="Arial" w:hAnsi="Arial" w:cs="Arial"/>
                <w:b/>
                <w:bCs/>
                <w:color w:val="000000"/>
                <w:sz w:val="20"/>
              </w:rPr>
              <w:t>7、</w:t>
            </w:r>
            <w:r>
              <w:rPr>
                <w:rFonts w:hint="eastAsia" w:ascii="Arial" w:hAnsi="Arial" w:cs="Arial"/>
                <w:b/>
                <w:bCs/>
                <w:color w:val="000000"/>
                <w:sz w:val="20"/>
              </w:rPr>
              <w:t>管线、安装、调试</w:t>
            </w:r>
          </w:p>
        </w:tc>
      </w:tr>
      <w:tr>
        <w:tblPrEx>
          <w:tblCellMar>
            <w:top w:w="0" w:type="dxa"/>
            <w:left w:w="108" w:type="dxa"/>
            <w:bottom w:w="0" w:type="dxa"/>
            <w:right w:w="108" w:type="dxa"/>
          </w:tblCellMar>
        </w:tblPrEx>
        <w:trPr>
          <w:gridAfter w:val="1"/>
          <w:wAfter w:w="69" w:type="pct"/>
          <w:trHeight w:val="450" w:hRule="atLeast"/>
        </w:trPr>
        <w:tc>
          <w:tcPr>
            <w:tcW w:w="7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序号</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采购内容</w:t>
            </w:r>
          </w:p>
        </w:tc>
        <w:tc>
          <w:tcPr>
            <w:tcW w:w="20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规格要求</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单位</w:t>
            </w:r>
          </w:p>
        </w:tc>
        <w:tc>
          <w:tcPr>
            <w:tcW w:w="6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数量</w:t>
            </w:r>
          </w:p>
        </w:tc>
      </w:tr>
      <w:tr>
        <w:tblPrEx>
          <w:tblCellMar>
            <w:top w:w="0" w:type="dxa"/>
            <w:left w:w="108" w:type="dxa"/>
            <w:bottom w:w="0" w:type="dxa"/>
            <w:right w:w="108" w:type="dxa"/>
          </w:tblCellMar>
        </w:tblPrEx>
        <w:trPr>
          <w:gridAfter w:val="1"/>
          <w:wAfter w:w="69" w:type="pct"/>
          <w:trHeight w:val="450" w:hRule="atLeast"/>
        </w:trPr>
        <w:tc>
          <w:tcPr>
            <w:tcW w:w="7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电缆保护管</w:t>
            </w:r>
          </w:p>
        </w:tc>
        <w:tc>
          <w:tcPr>
            <w:tcW w:w="20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镀锌钢管埋地敷设SC25</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6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13.77</w:t>
            </w:r>
          </w:p>
        </w:tc>
      </w:tr>
      <w:tr>
        <w:tblPrEx>
          <w:tblCellMar>
            <w:top w:w="0" w:type="dxa"/>
            <w:left w:w="108" w:type="dxa"/>
            <w:bottom w:w="0" w:type="dxa"/>
            <w:right w:w="108" w:type="dxa"/>
          </w:tblCellMar>
        </w:tblPrEx>
        <w:trPr>
          <w:gridAfter w:val="1"/>
          <w:wAfter w:w="69" w:type="pct"/>
          <w:trHeight w:val="450" w:hRule="atLeast"/>
        </w:trPr>
        <w:tc>
          <w:tcPr>
            <w:tcW w:w="7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电缆保护管</w:t>
            </w:r>
          </w:p>
        </w:tc>
        <w:tc>
          <w:tcPr>
            <w:tcW w:w="20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镀锌钢管埋地敷设SC32</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6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0.72</w:t>
            </w:r>
          </w:p>
        </w:tc>
      </w:tr>
      <w:tr>
        <w:tblPrEx>
          <w:tblCellMar>
            <w:top w:w="0" w:type="dxa"/>
            <w:left w:w="108" w:type="dxa"/>
            <w:bottom w:w="0" w:type="dxa"/>
            <w:right w:w="108" w:type="dxa"/>
          </w:tblCellMar>
        </w:tblPrEx>
        <w:trPr>
          <w:gridAfter w:val="1"/>
          <w:wAfter w:w="69" w:type="pct"/>
          <w:trHeight w:val="450" w:hRule="atLeast"/>
        </w:trPr>
        <w:tc>
          <w:tcPr>
            <w:tcW w:w="7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电缆保护管</w:t>
            </w:r>
          </w:p>
        </w:tc>
        <w:tc>
          <w:tcPr>
            <w:tcW w:w="20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镀锌钢管埋地敷设SC50</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6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3.80</w:t>
            </w:r>
          </w:p>
        </w:tc>
      </w:tr>
      <w:tr>
        <w:tblPrEx>
          <w:tblCellMar>
            <w:top w:w="0" w:type="dxa"/>
            <w:left w:w="108" w:type="dxa"/>
            <w:bottom w:w="0" w:type="dxa"/>
            <w:right w:w="108" w:type="dxa"/>
          </w:tblCellMar>
        </w:tblPrEx>
        <w:trPr>
          <w:gridAfter w:val="1"/>
          <w:wAfter w:w="69" w:type="pct"/>
          <w:trHeight w:val="450" w:hRule="atLeast"/>
        </w:trPr>
        <w:tc>
          <w:tcPr>
            <w:tcW w:w="7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电缆保护管</w:t>
            </w:r>
          </w:p>
        </w:tc>
        <w:tc>
          <w:tcPr>
            <w:tcW w:w="20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镀锌钢管埋地敷设SC100</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6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0.18</w:t>
            </w:r>
          </w:p>
        </w:tc>
      </w:tr>
      <w:tr>
        <w:tblPrEx>
          <w:tblCellMar>
            <w:top w:w="0" w:type="dxa"/>
            <w:left w:w="108" w:type="dxa"/>
            <w:bottom w:w="0" w:type="dxa"/>
            <w:right w:w="108" w:type="dxa"/>
          </w:tblCellMar>
        </w:tblPrEx>
        <w:trPr>
          <w:gridAfter w:val="1"/>
          <w:wAfter w:w="69" w:type="pct"/>
          <w:trHeight w:val="450" w:hRule="atLeast"/>
        </w:trPr>
        <w:tc>
          <w:tcPr>
            <w:tcW w:w="7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20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砖、混凝土结构明配JDG管 JDG20</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6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15.44</w:t>
            </w:r>
          </w:p>
        </w:tc>
      </w:tr>
      <w:tr>
        <w:tblPrEx>
          <w:tblCellMar>
            <w:top w:w="0" w:type="dxa"/>
            <w:left w:w="108" w:type="dxa"/>
            <w:bottom w:w="0" w:type="dxa"/>
            <w:right w:w="108" w:type="dxa"/>
          </w:tblCellMar>
        </w:tblPrEx>
        <w:trPr>
          <w:gridAfter w:val="1"/>
          <w:wAfter w:w="69" w:type="pct"/>
          <w:trHeight w:val="450" w:hRule="atLeast"/>
        </w:trPr>
        <w:tc>
          <w:tcPr>
            <w:tcW w:w="7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6</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20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砖、混凝土结构明配JDG管 JDG32</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6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121.94</w:t>
            </w:r>
          </w:p>
        </w:tc>
      </w:tr>
      <w:tr>
        <w:tblPrEx>
          <w:tblCellMar>
            <w:top w:w="0" w:type="dxa"/>
            <w:left w:w="108" w:type="dxa"/>
            <w:bottom w:w="0" w:type="dxa"/>
            <w:right w:w="108" w:type="dxa"/>
          </w:tblCellMar>
        </w:tblPrEx>
        <w:trPr>
          <w:gridAfter w:val="1"/>
          <w:wAfter w:w="69" w:type="pct"/>
          <w:trHeight w:val="570" w:hRule="atLeast"/>
        </w:trPr>
        <w:tc>
          <w:tcPr>
            <w:tcW w:w="7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7</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20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砖、混凝土结构明配刚性阻燃管 PVC25</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6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1034.15</w:t>
            </w:r>
          </w:p>
        </w:tc>
      </w:tr>
      <w:tr>
        <w:tblPrEx>
          <w:tblCellMar>
            <w:top w:w="0" w:type="dxa"/>
            <w:left w:w="108" w:type="dxa"/>
            <w:bottom w:w="0" w:type="dxa"/>
            <w:right w:w="108" w:type="dxa"/>
          </w:tblCellMar>
        </w:tblPrEx>
        <w:trPr>
          <w:gridAfter w:val="1"/>
          <w:wAfter w:w="69" w:type="pct"/>
          <w:trHeight w:val="450" w:hRule="atLeast"/>
        </w:trPr>
        <w:tc>
          <w:tcPr>
            <w:tcW w:w="7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8</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20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PE20</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6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4.63</w:t>
            </w:r>
          </w:p>
        </w:tc>
      </w:tr>
      <w:tr>
        <w:tblPrEx>
          <w:tblCellMar>
            <w:top w:w="0" w:type="dxa"/>
            <w:left w:w="108" w:type="dxa"/>
            <w:bottom w:w="0" w:type="dxa"/>
            <w:right w:w="108" w:type="dxa"/>
          </w:tblCellMar>
        </w:tblPrEx>
        <w:trPr>
          <w:gridAfter w:val="1"/>
          <w:wAfter w:w="69" w:type="pct"/>
          <w:trHeight w:val="450" w:hRule="atLeast"/>
        </w:trPr>
        <w:tc>
          <w:tcPr>
            <w:tcW w:w="7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9</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20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PE25</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6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12.20</w:t>
            </w:r>
          </w:p>
        </w:tc>
      </w:tr>
      <w:tr>
        <w:tblPrEx>
          <w:tblCellMar>
            <w:top w:w="0" w:type="dxa"/>
            <w:left w:w="108" w:type="dxa"/>
            <w:bottom w:w="0" w:type="dxa"/>
            <w:right w:w="108" w:type="dxa"/>
          </w:tblCellMar>
        </w:tblPrEx>
        <w:trPr>
          <w:gridAfter w:val="1"/>
          <w:wAfter w:w="69" w:type="pct"/>
          <w:trHeight w:val="450" w:hRule="atLeast"/>
        </w:trPr>
        <w:tc>
          <w:tcPr>
            <w:tcW w:w="7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20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PE32</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6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22.02</w:t>
            </w:r>
          </w:p>
        </w:tc>
      </w:tr>
      <w:tr>
        <w:tblPrEx>
          <w:tblCellMar>
            <w:top w:w="0" w:type="dxa"/>
            <w:left w:w="108" w:type="dxa"/>
            <w:bottom w:w="0" w:type="dxa"/>
            <w:right w:w="108" w:type="dxa"/>
          </w:tblCellMar>
        </w:tblPrEx>
        <w:trPr>
          <w:gridAfter w:val="1"/>
          <w:wAfter w:w="69" w:type="pct"/>
          <w:trHeight w:val="450" w:hRule="atLeast"/>
        </w:trPr>
        <w:tc>
          <w:tcPr>
            <w:tcW w:w="7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11</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20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PE50</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6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18.34</w:t>
            </w:r>
          </w:p>
        </w:tc>
      </w:tr>
      <w:tr>
        <w:tblPrEx>
          <w:tblCellMar>
            <w:top w:w="0" w:type="dxa"/>
            <w:left w:w="108" w:type="dxa"/>
            <w:bottom w:w="0" w:type="dxa"/>
            <w:right w:w="108" w:type="dxa"/>
          </w:tblCellMar>
        </w:tblPrEx>
        <w:trPr>
          <w:gridAfter w:val="1"/>
          <w:wAfter w:w="69" w:type="pct"/>
          <w:trHeight w:val="450" w:hRule="atLeast"/>
        </w:trPr>
        <w:tc>
          <w:tcPr>
            <w:tcW w:w="7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12</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20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PE100</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6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14.72</w:t>
            </w:r>
          </w:p>
        </w:tc>
      </w:tr>
      <w:tr>
        <w:tblPrEx>
          <w:tblCellMar>
            <w:top w:w="0" w:type="dxa"/>
            <w:left w:w="108" w:type="dxa"/>
            <w:bottom w:w="0" w:type="dxa"/>
            <w:right w:w="108" w:type="dxa"/>
          </w:tblCellMar>
        </w:tblPrEx>
        <w:trPr>
          <w:gridAfter w:val="1"/>
          <w:wAfter w:w="69" w:type="pct"/>
          <w:trHeight w:val="450" w:hRule="atLeast"/>
        </w:trPr>
        <w:tc>
          <w:tcPr>
            <w:tcW w:w="7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13</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w:t>
            </w:r>
          </w:p>
        </w:tc>
        <w:tc>
          <w:tcPr>
            <w:tcW w:w="20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 管内穿放CAT6(室外型)</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6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613.08</w:t>
            </w:r>
          </w:p>
        </w:tc>
      </w:tr>
      <w:tr>
        <w:tblPrEx>
          <w:tblCellMar>
            <w:top w:w="0" w:type="dxa"/>
            <w:left w:w="108" w:type="dxa"/>
            <w:bottom w:w="0" w:type="dxa"/>
            <w:right w:w="108" w:type="dxa"/>
          </w:tblCellMar>
        </w:tblPrEx>
        <w:trPr>
          <w:gridAfter w:val="1"/>
          <w:wAfter w:w="69" w:type="pct"/>
          <w:trHeight w:val="450" w:hRule="atLeast"/>
        </w:trPr>
        <w:tc>
          <w:tcPr>
            <w:tcW w:w="7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14</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w:t>
            </w:r>
          </w:p>
        </w:tc>
        <w:tc>
          <w:tcPr>
            <w:tcW w:w="20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 管内穿放CAT6</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6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236.16</w:t>
            </w:r>
          </w:p>
        </w:tc>
      </w:tr>
      <w:tr>
        <w:tblPrEx>
          <w:tblCellMar>
            <w:top w:w="0" w:type="dxa"/>
            <w:left w:w="108" w:type="dxa"/>
            <w:bottom w:w="0" w:type="dxa"/>
            <w:right w:w="108" w:type="dxa"/>
          </w:tblCellMar>
        </w:tblPrEx>
        <w:trPr>
          <w:gridAfter w:val="1"/>
          <w:wAfter w:w="69" w:type="pct"/>
          <w:trHeight w:val="450" w:hRule="atLeast"/>
        </w:trPr>
        <w:tc>
          <w:tcPr>
            <w:tcW w:w="7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15</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w:t>
            </w:r>
          </w:p>
        </w:tc>
        <w:tc>
          <w:tcPr>
            <w:tcW w:w="20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 管内穿放CAT5E</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6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3590.18</w:t>
            </w:r>
          </w:p>
        </w:tc>
      </w:tr>
      <w:tr>
        <w:tblPrEx>
          <w:tblCellMar>
            <w:top w:w="0" w:type="dxa"/>
            <w:left w:w="108" w:type="dxa"/>
            <w:bottom w:w="0" w:type="dxa"/>
            <w:right w:w="108" w:type="dxa"/>
          </w:tblCellMar>
        </w:tblPrEx>
        <w:trPr>
          <w:gridAfter w:val="1"/>
          <w:wAfter w:w="69" w:type="pct"/>
          <w:trHeight w:val="450" w:hRule="atLeast"/>
        </w:trPr>
        <w:tc>
          <w:tcPr>
            <w:tcW w:w="7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16</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控制电缆</w:t>
            </w:r>
          </w:p>
        </w:tc>
        <w:tc>
          <w:tcPr>
            <w:tcW w:w="20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控制电缆敷设 KVVR2*1.5</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6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161.48</w:t>
            </w:r>
          </w:p>
        </w:tc>
      </w:tr>
      <w:tr>
        <w:tblPrEx>
          <w:tblCellMar>
            <w:top w:w="0" w:type="dxa"/>
            <w:left w:w="108" w:type="dxa"/>
            <w:bottom w:w="0" w:type="dxa"/>
            <w:right w:w="108" w:type="dxa"/>
          </w:tblCellMar>
        </w:tblPrEx>
        <w:trPr>
          <w:gridAfter w:val="1"/>
          <w:wAfter w:w="69" w:type="pct"/>
          <w:trHeight w:val="450" w:hRule="atLeast"/>
        </w:trPr>
        <w:tc>
          <w:tcPr>
            <w:tcW w:w="7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17</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控制电缆</w:t>
            </w:r>
          </w:p>
        </w:tc>
        <w:tc>
          <w:tcPr>
            <w:tcW w:w="20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控制电缆敷设 KVVR2*1.0</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6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39.27</w:t>
            </w:r>
          </w:p>
        </w:tc>
      </w:tr>
      <w:tr>
        <w:tblPrEx>
          <w:tblCellMar>
            <w:top w:w="0" w:type="dxa"/>
            <w:left w:w="108" w:type="dxa"/>
            <w:bottom w:w="0" w:type="dxa"/>
            <w:right w:w="108" w:type="dxa"/>
          </w:tblCellMar>
        </w:tblPrEx>
        <w:trPr>
          <w:gridAfter w:val="1"/>
          <w:wAfter w:w="69" w:type="pct"/>
          <w:trHeight w:val="450" w:hRule="atLeast"/>
        </w:trPr>
        <w:tc>
          <w:tcPr>
            <w:tcW w:w="7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18</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配线</w:t>
            </w:r>
          </w:p>
        </w:tc>
        <w:tc>
          <w:tcPr>
            <w:tcW w:w="20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四芯单芯导线 RVV4*1.0</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6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160.52</w:t>
            </w:r>
          </w:p>
        </w:tc>
      </w:tr>
      <w:tr>
        <w:tblPrEx>
          <w:tblCellMar>
            <w:top w:w="0" w:type="dxa"/>
            <w:left w:w="108" w:type="dxa"/>
            <w:bottom w:w="0" w:type="dxa"/>
            <w:right w:w="108" w:type="dxa"/>
          </w:tblCellMar>
        </w:tblPrEx>
        <w:trPr>
          <w:gridAfter w:val="1"/>
          <w:wAfter w:w="69" w:type="pct"/>
          <w:trHeight w:val="450" w:hRule="atLeast"/>
        </w:trPr>
        <w:tc>
          <w:tcPr>
            <w:tcW w:w="7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19</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配线</w:t>
            </w:r>
          </w:p>
        </w:tc>
        <w:tc>
          <w:tcPr>
            <w:tcW w:w="20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二芯单芯导线 RVV2*1.0</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6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3445.09</w:t>
            </w:r>
          </w:p>
        </w:tc>
      </w:tr>
      <w:tr>
        <w:tblPrEx>
          <w:tblCellMar>
            <w:top w:w="0" w:type="dxa"/>
            <w:left w:w="108" w:type="dxa"/>
            <w:bottom w:w="0" w:type="dxa"/>
            <w:right w:w="108" w:type="dxa"/>
          </w:tblCellMar>
        </w:tblPrEx>
        <w:trPr>
          <w:gridAfter w:val="1"/>
          <w:wAfter w:w="69" w:type="pct"/>
          <w:trHeight w:val="450" w:hRule="atLeast"/>
        </w:trPr>
        <w:tc>
          <w:tcPr>
            <w:tcW w:w="7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20</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光缆</w:t>
            </w:r>
          </w:p>
        </w:tc>
        <w:tc>
          <w:tcPr>
            <w:tcW w:w="20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室外四芯单模光纤安装</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6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566.50</w:t>
            </w:r>
          </w:p>
        </w:tc>
      </w:tr>
      <w:tr>
        <w:tblPrEx>
          <w:tblCellMar>
            <w:top w:w="0" w:type="dxa"/>
            <w:left w:w="108" w:type="dxa"/>
            <w:bottom w:w="0" w:type="dxa"/>
            <w:right w:w="108" w:type="dxa"/>
          </w:tblCellMar>
        </w:tblPrEx>
        <w:trPr>
          <w:gridAfter w:val="1"/>
          <w:wAfter w:w="69" w:type="pct"/>
          <w:trHeight w:val="450" w:hRule="atLeast"/>
        </w:trPr>
        <w:tc>
          <w:tcPr>
            <w:tcW w:w="7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21</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电力电缆</w:t>
            </w:r>
          </w:p>
        </w:tc>
        <w:tc>
          <w:tcPr>
            <w:tcW w:w="20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铜芯电力电缆敷设 YJV-3*2.5</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6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90.54</w:t>
            </w:r>
          </w:p>
        </w:tc>
      </w:tr>
      <w:tr>
        <w:tblPrEx>
          <w:tblCellMar>
            <w:top w:w="0" w:type="dxa"/>
            <w:left w:w="108" w:type="dxa"/>
            <w:bottom w:w="0" w:type="dxa"/>
            <w:right w:w="108" w:type="dxa"/>
          </w:tblCellMar>
        </w:tblPrEx>
        <w:trPr>
          <w:gridAfter w:val="1"/>
          <w:wAfter w:w="69" w:type="pct"/>
          <w:trHeight w:val="450" w:hRule="atLeast"/>
        </w:trPr>
        <w:tc>
          <w:tcPr>
            <w:tcW w:w="7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22</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打洞（孔）</w:t>
            </w:r>
          </w:p>
        </w:tc>
        <w:tc>
          <w:tcPr>
            <w:tcW w:w="20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墙面入户管打孔</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6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335</w:t>
            </w:r>
          </w:p>
        </w:tc>
      </w:tr>
      <w:tr>
        <w:tblPrEx>
          <w:tblCellMar>
            <w:top w:w="0" w:type="dxa"/>
            <w:left w:w="108" w:type="dxa"/>
            <w:bottom w:w="0" w:type="dxa"/>
            <w:right w:w="108" w:type="dxa"/>
          </w:tblCellMar>
        </w:tblPrEx>
        <w:trPr>
          <w:gridAfter w:val="1"/>
          <w:wAfter w:w="69" w:type="pct"/>
          <w:trHeight w:val="450" w:hRule="atLeast"/>
        </w:trPr>
        <w:tc>
          <w:tcPr>
            <w:tcW w:w="7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23</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电力电缆</w:t>
            </w:r>
          </w:p>
        </w:tc>
        <w:tc>
          <w:tcPr>
            <w:tcW w:w="20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铜芯电力电缆敷设 YJV-3*4</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6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29.45</w:t>
            </w:r>
          </w:p>
        </w:tc>
      </w:tr>
      <w:tr>
        <w:tblPrEx>
          <w:tblCellMar>
            <w:top w:w="0" w:type="dxa"/>
            <w:left w:w="108" w:type="dxa"/>
            <w:bottom w:w="0" w:type="dxa"/>
            <w:right w:w="108" w:type="dxa"/>
          </w:tblCellMar>
        </w:tblPrEx>
        <w:trPr>
          <w:gridAfter w:val="1"/>
          <w:wAfter w:w="69" w:type="pct"/>
          <w:trHeight w:val="450" w:hRule="atLeast"/>
        </w:trPr>
        <w:tc>
          <w:tcPr>
            <w:tcW w:w="7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24</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手孔井</w:t>
            </w:r>
          </w:p>
        </w:tc>
        <w:tc>
          <w:tcPr>
            <w:tcW w:w="20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弱电手孔井 600*600*700</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6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5</w:t>
            </w:r>
          </w:p>
        </w:tc>
      </w:tr>
      <w:tr>
        <w:tblPrEx>
          <w:tblCellMar>
            <w:top w:w="0" w:type="dxa"/>
            <w:left w:w="108" w:type="dxa"/>
            <w:bottom w:w="0" w:type="dxa"/>
            <w:right w:w="108" w:type="dxa"/>
          </w:tblCellMar>
        </w:tblPrEx>
        <w:trPr>
          <w:gridAfter w:val="1"/>
          <w:wAfter w:w="69" w:type="pct"/>
          <w:trHeight w:val="570" w:hRule="atLeast"/>
        </w:trPr>
        <w:tc>
          <w:tcPr>
            <w:tcW w:w="7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25</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挖沟槽土方</w:t>
            </w:r>
          </w:p>
        </w:tc>
        <w:tc>
          <w:tcPr>
            <w:tcW w:w="20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绿化下素土开挖：人机配合挖沟槽土方不装车，土方类别综合考虑</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6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8.80</w:t>
            </w:r>
          </w:p>
        </w:tc>
      </w:tr>
      <w:tr>
        <w:tblPrEx>
          <w:tblCellMar>
            <w:top w:w="0" w:type="dxa"/>
            <w:left w:w="108" w:type="dxa"/>
            <w:bottom w:w="0" w:type="dxa"/>
            <w:right w:w="108" w:type="dxa"/>
          </w:tblCellMar>
        </w:tblPrEx>
        <w:trPr>
          <w:gridAfter w:val="1"/>
          <w:wAfter w:w="69" w:type="pct"/>
          <w:trHeight w:val="570" w:hRule="atLeast"/>
        </w:trPr>
        <w:tc>
          <w:tcPr>
            <w:tcW w:w="7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26</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挖沟槽土方</w:t>
            </w:r>
          </w:p>
        </w:tc>
        <w:tc>
          <w:tcPr>
            <w:tcW w:w="20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道路结构下开挖塘渣：人机配合挖沟槽四类土不装车</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6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0.98</w:t>
            </w:r>
          </w:p>
        </w:tc>
      </w:tr>
      <w:tr>
        <w:tblPrEx>
          <w:tblCellMar>
            <w:top w:w="0" w:type="dxa"/>
            <w:left w:w="108" w:type="dxa"/>
            <w:bottom w:w="0" w:type="dxa"/>
            <w:right w:w="108" w:type="dxa"/>
          </w:tblCellMar>
        </w:tblPrEx>
        <w:trPr>
          <w:gridAfter w:val="1"/>
          <w:wAfter w:w="69" w:type="pct"/>
          <w:trHeight w:val="450" w:hRule="atLeast"/>
        </w:trPr>
        <w:tc>
          <w:tcPr>
            <w:tcW w:w="7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27</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拆除路面</w:t>
            </w:r>
          </w:p>
        </w:tc>
        <w:tc>
          <w:tcPr>
            <w:tcW w:w="20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混凝土路面开挖及修复</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m2</w:t>
            </w:r>
          </w:p>
        </w:tc>
        <w:tc>
          <w:tcPr>
            <w:tcW w:w="6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4.45</w:t>
            </w:r>
          </w:p>
        </w:tc>
      </w:tr>
      <w:tr>
        <w:tblPrEx>
          <w:tblCellMar>
            <w:top w:w="0" w:type="dxa"/>
            <w:left w:w="108" w:type="dxa"/>
            <w:bottom w:w="0" w:type="dxa"/>
            <w:right w:w="108" w:type="dxa"/>
          </w:tblCellMar>
        </w:tblPrEx>
        <w:trPr>
          <w:gridAfter w:val="1"/>
          <w:wAfter w:w="69" w:type="pct"/>
          <w:trHeight w:val="450" w:hRule="atLeast"/>
        </w:trPr>
        <w:tc>
          <w:tcPr>
            <w:tcW w:w="7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28</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回填方</w:t>
            </w:r>
          </w:p>
        </w:tc>
        <w:tc>
          <w:tcPr>
            <w:tcW w:w="20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沟槽原土回填</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6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5.78</w:t>
            </w:r>
          </w:p>
        </w:tc>
      </w:tr>
      <w:tr>
        <w:tblPrEx>
          <w:tblCellMar>
            <w:top w:w="0" w:type="dxa"/>
            <w:left w:w="108" w:type="dxa"/>
            <w:bottom w:w="0" w:type="dxa"/>
            <w:right w:w="108" w:type="dxa"/>
          </w:tblCellMar>
        </w:tblPrEx>
        <w:trPr>
          <w:gridAfter w:val="1"/>
          <w:wAfter w:w="69" w:type="pct"/>
          <w:trHeight w:val="450" w:hRule="atLeast"/>
        </w:trPr>
        <w:tc>
          <w:tcPr>
            <w:tcW w:w="7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29</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回填方</w:t>
            </w:r>
          </w:p>
        </w:tc>
        <w:tc>
          <w:tcPr>
            <w:tcW w:w="20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沟槽机制砂回填</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6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1.60</w:t>
            </w:r>
          </w:p>
        </w:tc>
      </w:tr>
      <w:tr>
        <w:tblPrEx>
          <w:tblCellMar>
            <w:top w:w="0" w:type="dxa"/>
            <w:left w:w="108" w:type="dxa"/>
            <w:bottom w:w="0" w:type="dxa"/>
            <w:right w:w="108" w:type="dxa"/>
          </w:tblCellMar>
        </w:tblPrEx>
        <w:trPr>
          <w:gridAfter w:val="1"/>
          <w:wAfter w:w="69" w:type="pct"/>
          <w:trHeight w:val="450" w:hRule="atLeast"/>
        </w:trPr>
        <w:tc>
          <w:tcPr>
            <w:tcW w:w="78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30</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回填方</w:t>
            </w:r>
          </w:p>
        </w:tc>
        <w:tc>
          <w:tcPr>
            <w:tcW w:w="20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渠（管）道垫层 机制砂</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6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3.20</w:t>
            </w:r>
          </w:p>
        </w:tc>
      </w:tr>
    </w:tbl>
    <w:p>
      <w:pPr>
        <w:pStyle w:val="3"/>
        <w:tabs>
          <w:tab w:val="center" w:pos="4819"/>
        </w:tabs>
        <w:spacing w:before="200" w:after="200" w:line="360" w:lineRule="auto"/>
        <w:jc w:val="center"/>
        <w:rPr>
          <w:rFonts w:hint="eastAsia" w:ascii="宋体" w:hAnsi="宋体"/>
          <w:sz w:val="32"/>
        </w:rPr>
      </w:pPr>
    </w:p>
    <w:p>
      <w:pPr>
        <w:rPr>
          <w:rFonts w:hint="eastAsia" w:ascii="宋体" w:hAnsi="宋体"/>
          <w:sz w:val="32"/>
        </w:rPr>
      </w:pPr>
    </w:p>
    <w:p>
      <w:pPr>
        <w:pStyle w:val="2"/>
        <w:rPr>
          <w:rFonts w:hint="eastAsia" w:ascii="宋体" w:hAnsi="宋体"/>
          <w:sz w:val="32"/>
        </w:rPr>
      </w:pPr>
    </w:p>
    <w:p>
      <w:pPr>
        <w:rPr>
          <w:rFonts w:hint="eastAsia" w:ascii="宋体" w:hAnsi="宋体"/>
          <w:sz w:val="32"/>
        </w:rPr>
        <w:sectPr>
          <w:footerReference r:id="rId10" w:type="default"/>
          <w:pgSz w:w="11907" w:h="16840"/>
          <w:pgMar w:top="1418" w:right="1077" w:bottom="1418" w:left="1106" w:header="720" w:footer="720" w:gutter="0"/>
          <w:pgBorders>
            <w:top w:val="none" w:sz="0" w:space="0"/>
            <w:left w:val="none" w:sz="0" w:space="0"/>
            <w:bottom w:val="none" w:sz="0" w:space="0"/>
            <w:right w:val="none" w:sz="0" w:space="0"/>
          </w:pgBorders>
          <w:pgNumType w:fmt="decimal"/>
          <w:cols w:space="720" w:num="1"/>
          <w:titlePg/>
          <w:docGrid w:type="linesAndChars" w:linePitch="285" w:charSpace="0"/>
        </w:sectPr>
      </w:pPr>
    </w:p>
    <w:p>
      <w:pPr>
        <w:pStyle w:val="2"/>
        <w:rPr>
          <w:rFonts w:hint="eastAsia"/>
        </w:rPr>
      </w:pPr>
    </w:p>
    <w:p>
      <w:pPr>
        <w:spacing w:line="360" w:lineRule="auto"/>
        <w:rPr>
          <w:rFonts w:eastAsia="宋体"/>
          <w:b/>
          <w:bCs/>
        </w:rPr>
      </w:pPr>
      <w:r>
        <w:rPr>
          <w:rFonts w:hint="eastAsia"/>
          <w:b/>
          <w:bCs/>
        </w:rPr>
        <w:t>南门街道各小区设备配置清单</w:t>
      </w:r>
    </w:p>
    <w:tbl>
      <w:tblPr>
        <w:tblStyle w:val="14"/>
        <w:tblW w:w="13603" w:type="dxa"/>
        <w:tblInd w:w="0" w:type="dxa"/>
        <w:tblLayout w:type="fixed"/>
        <w:tblCellMar>
          <w:top w:w="0" w:type="dxa"/>
          <w:left w:w="0" w:type="dxa"/>
          <w:bottom w:w="0" w:type="dxa"/>
          <w:right w:w="0" w:type="dxa"/>
        </w:tblCellMar>
      </w:tblPr>
      <w:tblGrid>
        <w:gridCol w:w="6"/>
        <w:gridCol w:w="362"/>
        <w:gridCol w:w="234"/>
        <w:gridCol w:w="1917"/>
        <w:gridCol w:w="270"/>
        <w:gridCol w:w="459"/>
        <w:gridCol w:w="729"/>
        <w:gridCol w:w="521"/>
        <w:gridCol w:w="535"/>
        <w:gridCol w:w="699"/>
        <w:gridCol w:w="565"/>
        <w:gridCol w:w="684"/>
        <w:gridCol w:w="535"/>
        <w:gridCol w:w="535"/>
        <w:gridCol w:w="684"/>
        <w:gridCol w:w="684"/>
        <w:gridCol w:w="550"/>
        <w:gridCol w:w="669"/>
        <w:gridCol w:w="684"/>
        <w:gridCol w:w="261"/>
        <w:gridCol w:w="424"/>
        <w:gridCol w:w="514"/>
        <w:gridCol w:w="320"/>
        <w:gridCol w:w="648"/>
        <w:gridCol w:w="114"/>
      </w:tblGrid>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序号</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设备名称</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6"/>
                <w:szCs w:val="16"/>
              </w:rPr>
            </w:pPr>
            <w:r>
              <w:rPr>
                <w:rFonts w:hint="eastAsia" w:ascii="宋体" w:hAnsi="宋体" w:cs="宋体"/>
                <w:color w:val="000000"/>
                <w:sz w:val="16"/>
                <w:szCs w:val="16"/>
              </w:rPr>
              <w:t>假山苗圃</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6"/>
                <w:szCs w:val="16"/>
              </w:rPr>
            </w:pPr>
            <w:r>
              <w:rPr>
                <w:rFonts w:hint="eastAsia" w:ascii="宋体" w:hAnsi="宋体" w:cs="宋体"/>
                <w:color w:val="000000"/>
                <w:sz w:val="16"/>
                <w:szCs w:val="16"/>
              </w:rPr>
              <w:t>金谷小区</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6"/>
                <w:szCs w:val="16"/>
              </w:rPr>
            </w:pPr>
            <w:r>
              <w:rPr>
                <w:rFonts w:hint="eastAsia" w:ascii="宋体" w:hAnsi="宋体" w:cs="宋体"/>
                <w:color w:val="000000"/>
                <w:sz w:val="16"/>
                <w:szCs w:val="16"/>
              </w:rPr>
              <w:t>同德楼</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6"/>
                <w:szCs w:val="16"/>
              </w:rPr>
            </w:pPr>
            <w:r>
              <w:rPr>
                <w:rFonts w:hint="eastAsia" w:ascii="宋体" w:hAnsi="宋体" w:cs="宋体"/>
                <w:color w:val="000000"/>
                <w:sz w:val="16"/>
                <w:szCs w:val="16"/>
              </w:rPr>
              <w:t>尹江岸一村</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6"/>
                <w:szCs w:val="16"/>
              </w:rPr>
            </w:pPr>
            <w:r>
              <w:rPr>
                <w:rFonts w:hint="eastAsia" w:ascii="宋体" w:hAnsi="宋体" w:cs="宋体"/>
                <w:color w:val="000000"/>
                <w:sz w:val="16"/>
                <w:szCs w:val="16"/>
              </w:rPr>
              <w:t>尹东小区</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6"/>
                <w:szCs w:val="16"/>
              </w:rPr>
            </w:pPr>
            <w:r>
              <w:rPr>
                <w:rFonts w:hint="eastAsia" w:ascii="宋体" w:hAnsi="宋体" w:cs="宋体"/>
                <w:color w:val="000000"/>
                <w:sz w:val="16"/>
                <w:szCs w:val="16"/>
              </w:rPr>
              <w:t>三市路</w:t>
            </w:r>
            <w:r>
              <w:rPr>
                <w:rStyle w:val="32"/>
              </w:rPr>
              <w:t>396</w:t>
            </w:r>
            <w:r>
              <w:rPr>
                <w:rStyle w:val="26"/>
                <w:rFonts w:hint="default"/>
              </w:rPr>
              <w:t>弄</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6"/>
                <w:szCs w:val="16"/>
              </w:rPr>
            </w:pPr>
            <w:r>
              <w:rPr>
                <w:rFonts w:hint="eastAsia" w:ascii="宋体" w:hAnsi="宋体" w:cs="宋体"/>
                <w:color w:val="000000"/>
                <w:sz w:val="16"/>
                <w:szCs w:val="16"/>
              </w:rPr>
              <w:t>世纪长春</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6"/>
                <w:szCs w:val="16"/>
              </w:rPr>
            </w:pPr>
            <w:r>
              <w:rPr>
                <w:rFonts w:hint="eastAsia" w:ascii="宋体" w:hAnsi="宋体" w:cs="宋体"/>
                <w:color w:val="000000"/>
                <w:sz w:val="16"/>
                <w:szCs w:val="16"/>
              </w:rPr>
              <w:t>尹家岸二村</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6"/>
                <w:szCs w:val="16"/>
              </w:rPr>
            </w:pPr>
            <w:r>
              <w:rPr>
                <w:rFonts w:hint="eastAsia" w:ascii="宋体" w:hAnsi="宋体" w:cs="宋体"/>
                <w:color w:val="000000"/>
                <w:sz w:val="16"/>
                <w:szCs w:val="16"/>
              </w:rPr>
              <w:t>尹家岸三村</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6"/>
                <w:szCs w:val="16"/>
              </w:rPr>
            </w:pPr>
            <w:r>
              <w:rPr>
                <w:rFonts w:hint="eastAsia" w:ascii="宋体" w:hAnsi="宋体" w:cs="宋体"/>
                <w:color w:val="000000"/>
                <w:sz w:val="16"/>
                <w:szCs w:val="16"/>
              </w:rPr>
              <w:t>柳汀花苑</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6"/>
                <w:szCs w:val="16"/>
              </w:rPr>
            </w:pPr>
            <w:r>
              <w:rPr>
                <w:rFonts w:hint="eastAsia" w:ascii="宋体" w:hAnsi="宋体" w:cs="宋体"/>
                <w:color w:val="000000"/>
                <w:sz w:val="16"/>
                <w:szCs w:val="16"/>
              </w:rPr>
              <w:t>柳锦花园</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6"/>
                <w:szCs w:val="16"/>
              </w:rPr>
            </w:pPr>
            <w:r>
              <w:rPr>
                <w:rFonts w:hint="eastAsia" w:ascii="宋体" w:hAnsi="宋体" w:cs="宋体"/>
                <w:color w:val="000000"/>
                <w:sz w:val="16"/>
                <w:szCs w:val="16"/>
              </w:rPr>
              <w:t>汇头巷</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6"/>
                <w:szCs w:val="16"/>
              </w:rPr>
            </w:pPr>
            <w:r>
              <w:rPr>
                <w:rFonts w:hint="eastAsia" w:ascii="宋体" w:hAnsi="宋体" w:cs="宋体"/>
                <w:color w:val="000000"/>
                <w:sz w:val="16"/>
                <w:szCs w:val="16"/>
              </w:rPr>
              <w:t>万安小区</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6"/>
                <w:szCs w:val="16"/>
              </w:rPr>
            </w:pPr>
            <w:r>
              <w:rPr>
                <w:rFonts w:hint="eastAsia" w:ascii="宋体" w:hAnsi="宋体" w:cs="宋体"/>
                <w:color w:val="000000"/>
                <w:sz w:val="16"/>
                <w:szCs w:val="16"/>
              </w:rPr>
              <w:t>文化家园</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6"/>
                <w:szCs w:val="16"/>
              </w:rPr>
            </w:pPr>
            <w:r>
              <w:rPr>
                <w:rFonts w:hint="eastAsia" w:ascii="宋体" w:hAnsi="宋体" w:cs="宋体"/>
                <w:color w:val="000000"/>
                <w:sz w:val="16"/>
                <w:szCs w:val="16"/>
              </w:rPr>
              <w:t>消防公寓</w:t>
            </w:r>
          </w:p>
        </w:tc>
        <w:tc>
          <w:tcPr>
            <w:tcW w:w="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6"/>
                <w:szCs w:val="16"/>
              </w:rPr>
            </w:pPr>
            <w:r>
              <w:rPr>
                <w:rFonts w:hint="eastAsia" w:ascii="宋体" w:hAnsi="宋体" w:cs="宋体"/>
                <w:color w:val="000000"/>
                <w:sz w:val="16"/>
                <w:szCs w:val="16"/>
              </w:rPr>
              <w:t>星河湾公寓</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16"/>
                <w:szCs w:val="16"/>
              </w:rPr>
            </w:pPr>
            <w:r>
              <w:rPr>
                <w:rFonts w:hint="eastAsia" w:ascii="宋体" w:hAnsi="宋体" w:cs="宋体"/>
                <w:color w:val="000000"/>
                <w:sz w:val="16"/>
                <w:szCs w:val="16"/>
              </w:rPr>
              <w:t>数量</w:t>
            </w:r>
          </w:p>
        </w:tc>
      </w:tr>
      <w:tr>
        <w:tblPrEx>
          <w:tblCellMar>
            <w:top w:w="0" w:type="dxa"/>
            <w:left w:w="0" w:type="dxa"/>
            <w:bottom w:w="0" w:type="dxa"/>
            <w:right w:w="0" w:type="dxa"/>
          </w:tblCellMar>
        </w:tblPrEx>
        <w:trPr>
          <w:gridBefore w:val="1"/>
          <w:wBefore w:w="6" w:type="dxa"/>
          <w:trHeight w:val="500" w:hRule="atLeast"/>
        </w:trPr>
        <w:tc>
          <w:tcPr>
            <w:tcW w:w="13603" w:type="dxa"/>
            <w:gridSpan w:val="2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Arial" w:hAnsi="Arial" w:cs="Arial"/>
                <w:color w:val="000000"/>
                <w:sz w:val="20"/>
              </w:rPr>
            </w:pPr>
            <w:r>
              <w:rPr>
                <w:rFonts w:ascii="Arial" w:hAnsi="Arial" w:cs="Arial"/>
                <w:b/>
                <w:color w:val="000000"/>
                <w:sz w:val="20"/>
              </w:rPr>
              <w:t>1</w:t>
            </w:r>
            <w:r>
              <w:rPr>
                <w:rStyle w:val="22"/>
                <w:rFonts w:hint="default"/>
              </w:rPr>
              <w:t>、出入口控制系统</w:t>
            </w:r>
            <w:r>
              <w:rPr>
                <w:rStyle w:val="23"/>
              </w:rPr>
              <w:t>1</w:t>
            </w:r>
            <w:r>
              <w:rPr>
                <w:rStyle w:val="22"/>
                <w:rFonts w:hint="default"/>
              </w:rPr>
              <w:t>（人行出入口）</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智慧门</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9</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2</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57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24</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双目人脸识别可视对讲围墙机</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10</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5</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w:t>
            </w:r>
            <w:r>
              <w:rPr>
                <w:rFonts w:hint="eastAsia" w:ascii="Arial" w:hAnsi="Arial" w:cs="Arial"/>
                <w:color w:val="000000"/>
                <w:sz w:val="20"/>
              </w:rPr>
              <w:t>2</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主机电源</w:t>
            </w:r>
            <w:r>
              <w:rPr>
                <w:rStyle w:val="24"/>
              </w:rPr>
              <w:t>12V/2A</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10 </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5</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12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 </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w:t>
            </w:r>
            <w:r>
              <w:rPr>
                <w:rFonts w:hint="eastAsia" w:ascii="Arial" w:hAnsi="Arial" w:cs="Arial"/>
                <w:color w:val="000000"/>
                <w:sz w:val="20"/>
              </w:rPr>
              <w:t>2</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磁力锁</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r>
              <w:rPr>
                <w:rFonts w:hint="eastAsia" w:ascii="Arial" w:hAnsi="Arial" w:cs="Arial"/>
                <w:color w:val="000000"/>
                <w:sz w:val="20"/>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6</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专用锁电源</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 </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r>
              <w:rPr>
                <w:rFonts w:hint="eastAsia" w:ascii="Arial" w:hAnsi="Arial" w:cs="Arial"/>
                <w:color w:val="000000"/>
                <w:sz w:val="20"/>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0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6</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闭门器</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r>
              <w:rPr>
                <w:rFonts w:hint="eastAsia" w:ascii="Arial" w:hAnsi="Arial" w:cs="Arial"/>
                <w:color w:val="000000"/>
                <w:sz w:val="20"/>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6</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7</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防水出门按钮及支架</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10</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5</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w:t>
            </w:r>
            <w:r>
              <w:rPr>
                <w:rFonts w:hint="eastAsia" w:ascii="Arial" w:hAnsi="Arial" w:cs="Arial"/>
                <w:color w:val="000000"/>
                <w:sz w:val="20"/>
              </w:rPr>
              <w:t>1</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8</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人证合一一体机</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r>
              <w:rPr>
                <w:rFonts w:hint="eastAsia" w:ascii="Arial" w:hAnsi="Arial" w:cs="Arial"/>
                <w:color w:val="000000"/>
                <w:sz w:val="20"/>
              </w:rPr>
              <w:t>7</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9</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USB</w:t>
            </w:r>
            <w:r>
              <w:rPr>
                <w:rFonts w:hint="eastAsia" w:ascii="宋体" w:hAnsi="宋体" w:cs="宋体"/>
                <w:color w:val="000000"/>
                <w:sz w:val="20"/>
              </w:rPr>
              <w:t>人像采集</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16</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10</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基础（智慧门、围墙机支架、出门按钮支架）</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9</w:t>
            </w:r>
          </w:p>
        </w:tc>
        <w:tc>
          <w:tcPr>
            <w:tcW w:w="735"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25"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705"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570"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0</w:t>
            </w:r>
          </w:p>
        </w:tc>
        <w:tc>
          <w:tcPr>
            <w:tcW w:w="690"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0</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2</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0</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1</w:t>
            </w:r>
          </w:p>
        </w:tc>
        <w:tc>
          <w:tcPr>
            <w:tcW w:w="690" w:type="dxa"/>
            <w:gridSpan w:val="2"/>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840" w:type="dxa"/>
            <w:gridSpan w:val="2"/>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0</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24</w:t>
            </w:r>
          </w:p>
        </w:tc>
      </w:tr>
      <w:tr>
        <w:tblPrEx>
          <w:tblCellMar>
            <w:top w:w="0" w:type="dxa"/>
            <w:left w:w="0" w:type="dxa"/>
            <w:bottom w:w="0" w:type="dxa"/>
            <w:right w:w="0" w:type="dxa"/>
          </w:tblCellMar>
        </w:tblPrEx>
        <w:trPr>
          <w:gridBefore w:val="1"/>
          <w:wBefore w:w="6" w:type="dxa"/>
          <w:trHeight w:val="500" w:hRule="atLeast"/>
        </w:trPr>
        <w:tc>
          <w:tcPr>
            <w:tcW w:w="13603" w:type="dxa"/>
            <w:gridSpan w:val="2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b/>
                <w:color w:val="000000"/>
                <w:sz w:val="20"/>
              </w:rPr>
              <w:t>2</w:t>
            </w:r>
            <w:r>
              <w:rPr>
                <w:rStyle w:val="22"/>
                <w:rFonts w:hint="default"/>
              </w:rPr>
              <w:t>、出入口控制系统</w:t>
            </w:r>
            <w:r>
              <w:rPr>
                <w:rStyle w:val="23"/>
              </w:rPr>
              <w:t>2</w:t>
            </w:r>
            <w:r>
              <w:rPr>
                <w:rStyle w:val="22"/>
                <w:rFonts w:hint="default"/>
              </w:rPr>
              <w:t>（停车系统设备）</w:t>
            </w:r>
          </w:p>
        </w:tc>
      </w:tr>
      <w:tr>
        <w:tblPrEx>
          <w:tblCellMar>
            <w:top w:w="0" w:type="dxa"/>
            <w:left w:w="0" w:type="dxa"/>
            <w:bottom w:w="0" w:type="dxa"/>
            <w:right w:w="0" w:type="dxa"/>
          </w:tblCellMar>
        </w:tblPrEx>
        <w:trPr>
          <w:gridBefore w:val="1"/>
          <w:wBefore w:w="6" w:type="dxa"/>
          <w:trHeight w:val="500" w:hRule="atLeast"/>
        </w:trPr>
        <w:tc>
          <w:tcPr>
            <w:tcW w:w="13603" w:type="dxa"/>
            <w:gridSpan w:val="2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hint="eastAsia" w:ascii="宋体" w:hAnsi="宋体" w:cs="宋体"/>
                <w:b/>
                <w:color w:val="000000"/>
                <w:sz w:val="20"/>
              </w:rPr>
              <w:t>主要出入口单进单出</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11</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出口杆式抓拍一体机</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r>
              <w:rPr>
                <w:rFonts w:ascii="Arial" w:hAnsi="Arial" w:cs="Arial"/>
                <w:color w:val="000000"/>
                <w:sz w:val="20"/>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r>
              <w:rPr>
                <w:rFonts w:hint="eastAsia"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r>
              <w:rPr>
                <w:rFonts w:hint="eastAsia" w:ascii="Arial" w:hAnsi="Arial" w:cs="Arial"/>
                <w:color w:val="000000"/>
                <w:sz w:val="20"/>
              </w:rPr>
              <w:t>9</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12</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道闸</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r>
              <w:rPr>
                <w:rFonts w:hint="eastAsia" w:ascii="Arial" w:hAnsi="Arial" w:cs="Arial"/>
                <w:color w:val="000000"/>
                <w:sz w:val="20"/>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r>
              <w:rPr>
                <w:rFonts w:hint="eastAsia"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r>
              <w:rPr>
                <w:rFonts w:hint="eastAsia" w:ascii="Arial" w:hAnsi="Arial" w:cs="Arial"/>
                <w:color w:val="000000"/>
                <w:sz w:val="20"/>
              </w:rPr>
              <w:t>4</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13</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防砸雷达</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r>
              <w:rPr>
                <w:rFonts w:hint="eastAsia" w:ascii="Arial" w:hAnsi="Arial" w:cs="Arial"/>
                <w:color w:val="000000"/>
                <w:sz w:val="20"/>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r>
              <w:rPr>
                <w:rFonts w:hint="eastAsia"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r>
              <w:rPr>
                <w:rFonts w:hint="eastAsia" w:ascii="Arial" w:hAnsi="Arial" w:cs="Arial"/>
                <w:color w:val="000000"/>
                <w:sz w:val="20"/>
              </w:rPr>
              <w:t>4</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14</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入口杆式抓拍一体机</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r>
              <w:rPr>
                <w:rFonts w:ascii="Arial" w:hAnsi="Arial" w:cs="Arial"/>
                <w:color w:val="000000"/>
                <w:sz w:val="20"/>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r>
              <w:rPr>
                <w:rFonts w:hint="eastAsia"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r>
              <w:rPr>
                <w:rFonts w:hint="eastAsia" w:ascii="Arial" w:hAnsi="Arial" w:cs="Arial"/>
                <w:color w:val="000000"/>
                <w:sz w:val="20"/>
              </w:rPr>
              <w:t>3</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15</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道闸</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9</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16</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防砸雷达</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9</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17</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逻辑雷达</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7</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2</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r>
              <w:rPr>
                <w:rFonts w:hint="eastAsia" w:ascii="Arial" w:hAnsi="Arial" w:cs="Arial"/>
                <w:color w:val="000000"/>
                <w:sz w:val="20"/>
              </w:rPr>
              <w:t>5</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18</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触发雷达</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7</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2</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r>
              <w:rPr>
                <w:rFonts w:hint="eastAsia" w:ascii="Arial" w:hAnsi="Arial" w:cs="Arial"/>
                <w:color w:val="000000"/>
                <w:sz w:val="20"/>
              </w:rPr>
              <w:t>5</w:t>
            </w:r>
          </w:p>
        </w:tc>
      </w:tr>
      <w:tr>
        <w:tblPrEx>
          <w:tblCellMar>
            <w:top w:w="0" w:type="dxa"/>
            <w:left w:w="0" w:type="dxa"/>
            <w:bottom w:w="0" w:type="dxa"/>
            <w:right w:w="0" w:type="dxa"/>
          </w:tblCellMar>
        </w:tblPrEx>
        <w:trPr>
          <w:gridBefore w:val="1"/>
          <w:wBefore w:w="6" w:type="dxa"/>
          <w:trHeight w:val="500" w:hRule="atLeast"/>
        </w:trPr>
        <w:tc>
          <w:tcPr>
            <w:tcW w:w="13603" w:type="dxa"/>
            <w:gridSpan w:val="2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hint="eastAsia" w:ascii="宋体" w:hAnsi="宋体" w:cs="宋体"/>
                <w:b/>
                <w:color w:val="000000"/>
                <w:sz w:val="20"/>
              </w:rPr>
              <w:t>管理设备</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19</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收费电脑</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11</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20</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车辆收费软件</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r>
              <w:rPr>
                <w:rFonts w:hint="eastAsia" w:ascii="Arial" w:hAnsi="Arial" w:cs="Arial"/>
                <w:color w:val="000000"/>
                <w:sz w:val="20"/>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r>
              <w:rPr>
                <w:rFonts w:hint="eastAsia" w:ascii="Arial" w:hAnsi="Arial" w:cs="Arial"/>
                <w:color w:val="000000"/>
                <w:sz w:val="20"/>
              </w:rPr>
              <w:t>2</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21</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附件</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18</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22</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光纤收发器</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8</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4</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r>
              <w:rPr>
                <w:rFonts w:hint="eastAsia" w:ascii="Arial" w:hAnsi="Arial" w:cs="Arial"/>
                <w:color w:val="000000"/>
                <w:sz w:val="20"/>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23</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23</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8</w:t>
            </w:r>
            <w:r>
              <w:rPr>
                <w:rFonts w:hint="eastAsia" w:ascii="宋体" w:hAnsi="宋体" w:cs="宋体"/>
                <w:color w:val="000000"/>
                <w:sz w:val="20"/>
              </w:rPr>
              <w:t>口千兆接入层交换机</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15</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24</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24</w:t>
            </w:r>
            <w:r>
              <w:rPr>
                <w:rFonts w:hint="eastAsia" w:ascii="宋体" w:hAnsi="宋体" w:cs="宋体"/>
                <w:color w:val="000000"/>
                <w:sz w:val="20"/>
              </w:rPr>
              <w:t>口千兆接入层交换机</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25</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调试对接费用</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r>
              <w:rPr>
                <w:rFonts w:hint="eastAsia" w:ascii="Arial" w:hAnsi="Arial" w:cs="Arial"/>
                <w:color w:val="000000"/>
                <w:sz w:val="20"/>
              </w:rPr>
              <w:t>1</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r>
              <w:rPr>
                <w:rFonts w:hint="eastAsia"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7</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26</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基础（道闸设备机箱等基础）</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8</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34</w:t>
            </w:r>
          </w:p>
        </w:tc>
      </w:tr>
      <w:tr>
        <w:tblPrEx>
          <w:tblCellMar>
            <w:top w:w="0" w:type="dxa"/>
            <w:left w:w="0" w:type="dxa"/>
            <w:bottom w:w="0" w:type="dxa"/>
            <w:right w:w="0" w:type="dxa"/>
          </w:tblCellMar>
        </w:tblPrEx>
        <w:trPr>
          <w:gridBefore w:val="1"/>
          <w:wBefore w:w="6" w:type="dxa"/>
          <w:trHeight w:val="500" w:hRule="atLeast"/>
        </w:trPr>
        <w:tc>
          <w:tcPr>
            <w:tcW w:w="13603" w:type="dxa"/>
            <w:gridSpan w:val="2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b/>
                <w:color w:val="000000"/>
                <w:sz w:val="20"/>
              </w:rPr>
              <w:t>3</w:t>
            </w:r>
            <w:r>
              <w:rPr>
                <w:rStyle w:val="22"/>
                <w:rFonts w:hint="default"/>
              </w:rPr>
              <w:t>、视频监控系统</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27</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微卡摄像机</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7</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28</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28</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全局人脸摄像机</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29</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人脸摄像机</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8</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29</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30</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步态摄像机</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16</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31</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高空抛物网络摄像机</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32</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彩色高清摄像机</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207</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58</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50</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25</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50</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43</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44</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22</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52</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20</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81</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16</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698</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33</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彩色高清半球摄像机</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37</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42</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34</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彩色高清电梯专用摄像机</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35</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数字楼层显示器</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36</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网络传输器</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8</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37</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200</w:t>
            </w:r>
            <w:r>
              <w:rPr>
                <w:rFonts w:hint="eastAsia" w:ascii="宋体" w:hAnsi="宋体" w:cs="宋体"/>
                <w:color w:val="000000"/>
                <w:sz w:val="20"/>
              </w:rPr>
              <w:t>万轻智能警戒摄像机</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11</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7</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18</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23</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7</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25</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7</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7</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17</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175</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38</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消防占道球机</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13</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39</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摄像机立竿</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66</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9</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18</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8</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27</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50</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226</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40</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视频解码器</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41</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32</w:t>
            </w:r>
            <w:r>
              <w:rPr>
                <w:rFonts w:hint="eastAsia" w:ascii="宋体" w:hAnsi="宋体" w:cs="宋体"/>
                <w:color w:val="000000"/>
                <w:sz w:val="20"/>
              </w:rPr>
              <w:t>寸监视器</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30</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42</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视频切换器</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43</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电源</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11</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9</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65</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44</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配套支架</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45</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管理电脑</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16</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46</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操作台1</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5</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47</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kern w:val="2"/>
                <w:sz w:val="20"/>
              </w:rPr>
            </w:pPr>
            <w:r>
              <w:rPr>
                <w:rFonts w:hint="eastAsia" w:ascii="宋体" w:hAnsi="宋体" w:cs="宋体"/>
                <w:color w:val="000000"/>
                <w:sz w:val="20"/>
              </w:rPr>
              <w:t>操作台2</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w:t>
            </w:r>
            <w:r>
              <w:rPr>
                <w:rFonts w:hint="eastAsia" w:ascii="Arial" w:hAnsi="Arial" w:cs="Arial"/>
                <w:color w:val="000000"/>
                <w:sz w:val="20"/>
              </w:rPr>
              <w:t>0</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48</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kern w:val="2"/>
                <w:sz w:val="20"/>
              </w:rPr>
            </w:pPr>
            <w:r>
              <w:rPr>
                <w:rFonts w:hint="eastAsia" w:ascii="宋体" w:hAnsi="宋体" w:cs="宋体"/>
                <w:color w:val="000000"/>
                <w:sz w:val="20"/>
              </w:rPr>
              <w:t>操作台4</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r>
              <w:rPr>
                <w:rFonts w:hint="eastAsia" w:ascii="Arial" w:hAnsi="Arial" w:cs="Arial"/>
                <w:color w:val="000000"/>
                <w:sz w:val="20"/>
              </w:rPr>
              <w:t>9</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配套附件</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16</w:t>
            </w:r>
          </w:p>
        </w:tc>
      </w:tr>
      <w:tr>
        <w:tblPrEx>
          <w:tblCellMar>
            <w:top w:w="0" w:type="dxa"/>
            <w:left w:w="0" w:type="dxa"/>
            <w:bottom w:w="0" w:type="dxa"/>
            <w:right w:w="0" w:type="dxa"/>
          </w:tblCellMar>
        </w:tblPrEx>
        <w:trPr>
          <w:gridBefore w:val="1"/>
          <w:wBefore w:w="6" w:type="dxa"/>
          <w:trHeight w:val="500" w:hRule="atLeast"/>
        </w:trPr>
        <w:tc>
          <w:tcPr>
            <w:tcW w:w="13603" w:type="dxa"/>
            <w:gridSpan w:val="2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b/>
                <w:color w:val="000000"/>
                <w:sz w:val="20"/>
              </w:rPr>
              <w:t>4</w:t>
            </w:r>
            <w:r>
              <w:rPr>
                <w:rStyle w:val="22"/>
                <w:rFonts w:hint="default"/>
              </w:rPr>
              <w:t>、可视对讲系统</w:t>
            </w:r>
          </w:p>
        </w:tc>
      </w:tr>
      <w:tr>
        <w:tblPrEx>
          <w:tblCellMar>
            <w:top w:w="0" w:type="dxa"/>
            <w:left w:w="0" w:type="dxa"/>
            <w:bottom w:w="0" w:type="dxa"/>
            <w:right w:w="0" w:type="dxa"/>
          </w:tblCellMar>
        </w:tblPrEx>
        <w:trPr>
          <w:gridBefore w:val="1"/>
          <w:wBefore w:w="6" w:type="dxa"/>
          <w:trHeight w:val="500" w:hRule="atLeast"/>
        </w:trPr>
        <w:tc>
          <w:tcPr>
            <w:tcW w:w="13603" w:type="dxa"/>
            <w:gridSpan w:val="2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hint="eastAsia" w:ascii="Arial" w:hAnsi="Arial" w:cs="Arial"/>
                <w:b/>
                <w:color w:val="000000"/>
                <w:sz w:val="20"/>
              </w:rPr>
              <w:t>4.</w:t>
            </w:r>
            <w:r>
              <w:rPr>
                <w:rFonts w:ascii="Arial" w:hAnsi="Arial" w:cs="Arial"/>
                <w:b/>
                <w:color w:val="000000"/>
                <w:sz w:val="20"/>
              </w:rPr>
              <w:t>1</w:t>
            </w:r>
            <w:r>
              <w:rPr>
                <w:rStyle w:val="22"/>
                <w:rFonts w:hint="default"/>
              </w:rPr>
              <w:t>、住宅部分</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50</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人脸识别可视对讲主机</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233 </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6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5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58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62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12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37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60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45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13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82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9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27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w:t>
            </w:r>
            <w:r>
              <w:rPr>
                <w:rFonts w:hint="eastAsia" w:ascii="Arial" w:hAnsi="Arial" w:cs="Arial"/>
                <w:color w:val="000000"/>
                <w:sz w:val="20"/>
              </w:rPr>
              <w:t>1</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r>
              <w:rPr>
                <w:rFonts w:hint="eastAsia" w:ascii="Arial" w:hAnsi="Arial" w:cs="Arial"/>
                <w:color w:val="000000"/>
                <w:sz w:val="20"/>
              </w:rPr>
              <w:t>2</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715</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51</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灵性锁</w:t>
            </w:r>
            <w:r>
              <w:rPr>
                <w:rStyle w:val="24"/>
              </w:rPr>
              <w:t>(</w:t>
            </w:r>
            <w:r>
              <w:rPr>
                <w:rFonts w:hint="eastAsia" w:ascii="宋体" w:hAnsi="宋体" w:cs="宋体"/>
                <w:color w:val="000000"/>
                <w:sz w:val="20"/>
              </w:rPr>
              <w:t>双门或单门，根据实际情况确定数量。包含双门和单门）</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233 </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6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5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58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62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12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37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60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45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13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82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9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27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w:t>
            </w:r>
            <w:r>
              <w:rPr>
                <w:rFonts w:hint="eastAsia" w:ascii="Arial" w:hAnsi="Arial" w:cs="Arial"/>
                <w:color w:val="000000"/>
                <w:sz w:val="20"/>
              </w:rPr>
              <w:t>1</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r>
              <w:rPr>
                <w:rFonts w:hint="eastAsia" w:ascii="Arial" w:hAnsi="Arial" w:cs="Arial"/>
                <w:color w:val="000000"/>
                <w:sz w:val="20"/>
              </w:rPr>
              <w:t>2</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71</w:t>
            </w:r>
            <w:r>
              <w:rPr>
                <w:rFonts w:hint="eastAsia" w:ascii="Arial" w:hAnsi="Arial" w:cs="Arial"/>
                <w:color w:val="000000"/>
                <w:sz w:val="20"/>
              </w:rPr>
              <w:t>5</w:t>
            </w:r>
          </w:p>
        </w:tc>
      </w:tr>
      <w:tr>
        <w:tblPrEx>
          <w:tblCellMar>
            <w:top w:w="0" w:type="dxa"/>
            <w:left w:w="0" w:type="dxa"/>
            <w:bottom w:w="0" w:type="dxa"/>
            <w:right w:w="0" w:type="dxa"/>
          </w:tblCellMar>
        </w:tblPrEx>
        <w:trPr>
          <w:gridBefore w:val="1"/>
          <w:wBefore w:w="6" w:type="dxa"/>
          <w:trHeight w:val="500" w:hRule="atLeast"/>
        </w:trPr>
        <w:tc>
          <w:tcPr>
            <w:tcW w:w="13603" w:type="dxa"/>
            <w:gridSpan w:val="2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b/>
                <w:bCs/>
                <w:color w:val="000000"/>
                <w:sz w:val="20"/>
              </w:rPr>
            </w:pPr>
            <w:r>
              <w:rPr>
                <w:rFonts w:hint="eastAsia" w:ascii="宋体" w:hAnsi="宋体" w:cs="宋体"/>
                <w:b/>
                <w:bCs/>
                <w:color w:val="000000"/>
                <w:sz w:val="20"/>
              </w:rPr>
              <w:t>4.2、管理中心部分（设备网1）</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52</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主机电源</w:t>
            </w:r>
            <w:r>
              <w:rPr>
                <w:rStyle w:val="24"/>
              </w:rPr>
              <w:t>12V/2A</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233 </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6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5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58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62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12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37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60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45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13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82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9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27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63 </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322"/>
                <w:tab w:val="center" w:pos="514"/>
              </w:tabs>
              <w:textAlignment w:val="center"/>
              <w:rPr>
                <w:rFonts w:ascii="Arial" w:hAnsi="Arial" w:cs="Arial"/>
                <w:color w:val="000000"/>
                <w:sz w:val="20"/>
              </w:rPr>
            </w:pPr>
            <w:r>
              <w:rPr>
                <w:rFonts w:hint="eastAsia" w:ascii="Arial" w:hAnsi="Arial" w:cs="Arial"/>
                <w:color w:val="000000"/>
                <w:sz w:val="20"/>
              </w:rPr>
              <w:tab/>
            </w:r>
            <w:r>
              <w:rPr>
                <w:rFonts w:hint="eastAsia" w:ascii="Arial" w:hAnsi="Arial" w:cs="Arial"/>
                <w:color w:val="000000"/>
                <w:sz w:val="20"/>
              </w:rPr>
              <w:t>2</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717</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53</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闭门器</w:t>
            </w:r>
            <w:r>
              <w:rPr>
                <w:rStyle w:val="24"/>
              </w:rPr>
              <w:t>(</w:t>
            </w:r>
            <w:r>
              <w:rPr>
                <w:rFonts w:hint="eastAsia" w:ascii="宋体" w:hAnsi="宋体" w:cs="宋体"/>
                <w:color w:val="000000"/>
                <w:sz w:val="20"/>
              </w:rPr>
              <w:t>双门或单门，根据实际情况确定数量。包含双门和单门））</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233 </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6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5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58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62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12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37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60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45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13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82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9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27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63 </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717</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54</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专用锁电源</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233 </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6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5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58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62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12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37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60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45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13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82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9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27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63 </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717</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55</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16</w:t>
            </w:r>
            <w:r>
              <w:rPr>
                <w:rFonts w:hint="eastAsia" w:ascii="宋体" w:hAnsi="宋体" w:cs="宋体"/>
                <w:color w:val="000000"/>
                <w:sz w:val="20"/>
              </w:rPr>
              <w:t>口百兆接入交换机</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122 </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43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42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8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28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35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34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7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66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20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46 </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467</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56</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24</w:t>
            </w:r>
            <w:r>
              <w:rPr>
                <w:rFonts w:hint="eastAsia" w:ascii="宋体" w:hAnsi="宋体" w:cs="宋体"/>
                <w:color w:val="000000"/>
                <w:sz w:val="20"/>
              </w:rPr>
              <w:t>口百兆接入交换机</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54 </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7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14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10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88</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57</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8</w:t>
            </w:r>
            <w:r>
              <w:rPr>
                <w:rFonts w:hint="eastAsia" w:ascii="宋体" w:hAnsi="宋体" w:cs="宋体"/>
                <w:color w:val="000000"/>
                <w:sz w:val="20"/>
              </w:rPr>
              <w:t>口千兆</w:t>
            </w:r>
            <w:r>
              <w:rPr>
                <w:rStyle w:val="24"/>
              </w:rPr>
              <w:t>POE</w:t>
            </w:r>
            <w:r>
              <w:rPr>
                <w:rFonts w:hint="eastAsia" w:ascii="宋体" w:hAnsi="宋体" w:cs="宋体"/>
                <w:color w:val="000000"/>
                <w:sz w:val="20"/>
              </w:rPr>
              <w:t>工业接入交换机</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0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0 </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58</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8</w:t>
            </w:r>
            <w:r>
              <w:rPr>
                <w:rFonts w:hint="eastAsia" w:ascii="宋体" w:hAnsi="宋体" w:cs="宋体"/>
                <w:color w:val="000000"/>
                <w:sz w:val="20"/>
              </w:rPr>
              <w:t>口千兆</w:t>
            </w:r>
            <w:r>
              <w:rPr>
                <w:rStyle w:val="24"/>
              </w:rPr>
              <w:t>POE</w:t>
            </w:r>
            <w:r>
              <w:rPr>
                <w:rFonts w:hint="eastAsia" w:ascii="宋体" w:hAnsi="宋体" w:cs="宋体"/>
                <w:color w:val="000000"/>
                <w:sz w:val="20"/>
              </w:rPr>
              <w:t>接入交换机</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0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0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0 </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59</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24</w:t>
            </w:r>
            <w:r>
              <w:rPr>
                <w:rFonts w:hint="eastAsia" w:ascii="宋体" w:hAnsi="宋体" w:cs="宋体"/>
                <w:color w:val="000000"/>
                <w:sz w:val="20"/>
              </w:rPr>
              <w:t>口千兆接入层交换机</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17</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53</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60</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24</w:t>
            </w:r>
            <w:r>
              <w:rPr>
                <w:rFonts w:hint="eastAsia" w:ascii="宋体" w:hAnsi="宋体" w:cs="宋体"/>
                <w:color w:val="000000"/>
                <w:sz w:val="20"/>
              </w:rPr>
              <w:t>口千兆</w:t>
            </w:r>
            <w:r>
              <w:rPr>
                <w:rStyle w:val="24"/>
              </w:rPr>
              <w:t>POE</w:t>
            </w:r>
            <w:r>
              <w:rPr>
                <w:rFonts w:hint="eastAsia" w:ascii="宋体" w:hAnsi="宋体" w:cs="宋体"/>
                <w:color w:val="000000"/>
                <w:sz w:val="20"/>
              </w:rPr>
              <w:t>接入层交换机</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73</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21</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19</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12</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15</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16</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20</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221</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61</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千兆单模光模块</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90 </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27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22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23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17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15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8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21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8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25 </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7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273</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62</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单模光纤跳线</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90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27</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23</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17</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15</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8</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21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8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25 </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7</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273</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63</w:t>
            </w:r>
          </w:p>
        </w:tc>
        <w:tc>
          <w:tcPr>
            <w:tcW w:w="21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12</w:t>
            </w:r>
            <w:r>
              <w:rPr>
                <w:rFonts w:hint="eastAsia" w:ascii="宋体" w:hAnsi="宋体" w:cs="宋体"/>
                <w:color w:val="000000"/>
                <w:sz w:val="20"/>
              </w:rPr>
              <w:t>口光纤配线架</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90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27</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23</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17</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16</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8</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 </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224</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64</w:t>
            </w:r>
          </w:p>
        </w:tc>
        <w:tc>
          <w:tcPr>
            <w:tcW w:w="21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双工耦合器</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196</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54</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8</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46</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34</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32</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16</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42</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16</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50</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12</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562</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65</w:t>
            </w:r>
          </w:p>
        </w:tc>
        <w:tc>
          <w:tcPr>
            <w:tcW w:w="21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尾纤</w:t>
            </w:r>
            <w:r>
              <w:rPr>
                <w:rStyle w:val="24"/>
              </w:rPr>
              <w:t xml:space="preserve">LC, </w:t>
            </w:r>
            <w:r>
              <w:rPr>
                <w:rFonts w:hint="eastAsia" w:ascii="宋体" w:hAnsi="宋体" w:cs="宋体"/>
                <w:color w:val="000000"/>
                <w:sz w:val="20"/>
              </w:rPr>
              <w:t>单模</w:t>
            </w:r>
            <w:r>
              <w:rPr>
                <w:rStyle w:val="24"/>
              </w:rPr>
              <w:t>, 0.9mm, 1</w:t>
            </w:r>
            <w:r>
              <w:rPr>
                <w:rFonts w:hint="eastAsia" w:ascii="宋体" w:hAnsi="宋体" w:cs="宋体"/>
                <w:color w:val="000000"/>
                <w:sz w:val="20"/>
              </w:rPr>
              <w:t>米</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784</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16</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16</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216</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176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32</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184</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68</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64</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32</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16</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16</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8</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16</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48</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1692</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66</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安防设备箱</w:t>
            </w:r>
            <w:r>
              <w:rPr>
                <w:rStyle w:val="24"/>
              </w:rPr>
              <w:t>1</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150 </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33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42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8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24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43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30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8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62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6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19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41 </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476</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67</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安防设备箱</w:t>
            </w:r>
            <w:r>
              <w:rPr>
                <w:rStyle w:val="24"/>
              </w:rPr>
              <w:t>2</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89 </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26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22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23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17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16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8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20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8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24 </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26</w:t>
            </w:r>
            <w:r>
              <w:rPr>
                <w:rFonts w:hint="eastAsia" w:ascii="Arial" w:hAnsi="Arial" w:cs="Arial"/>
                <w:color w:val="000000"/>
                <w:sz w:val="20"/>
              </w:rPr>
              <w:t>4</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68</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安防设备箱</w:t>
            </w:r>
            <w:r>
              <w:rPr>
                <w:rStyle w:val="24"/>
                <w:rFonts w:hint="eastAsia"/>
              </w:rPr>
              <w:t>3</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4</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4</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hint="eastAsia" w:ascii="Arial" w:hAnsi="Arial" w:cs="Arial"/>
                <w:color w:val="000000"/>
                <w:kern w:val="2"/>
                <w:sz w:val="20"/>
              </w:rPr>
              <w:t>69</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室外安防设备箱</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 </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0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0 </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9</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kern w:val="2"/>
                <w:sz w:val="20"/>
              </w:rPr>
            </w:pPr>
            <w:r>
              <w:rPr>
                <w:rFonts w:hint="eastAsia" w:ascii="Arial" w:hAnsi="Arial" w:cs="Arial"/>
                <w:kern w:val="2"/>
                <w:sz w:val="20"/>
              </w:rPr>
              <w:t>70</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sz w:val="20"/>
              </w:rPr>
            </w:pPr>
            <w:r>
              <w:rPr>
                <w:rFonts w:hint="eastAsia" w:ascii="宋体" w:hAnsi="宋体" w:cs="宋体"/>
                <w:sz w:val="20"/>
              </w:rPr>
              <w:t>室内分机</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sz w:val="20"/>
              </w:rPr>
            </w:pPr>
            <w:r>
              <w:rPr>
                <w:rFonts w:ascii="Arial" w:hAnsi="Arial" w:cs="Arial"/>
                <w:sz w:val="20"/>
              </w:rPr>
              <w:t>31</w:t>
            </w:r>
            <w:r>
              <w:rPr>
                <w:rFonts w:hint="eastAsia" w:ascii="Arial" w:hAnsi="Arial" w:cs="Arial"/>
                <w:sz w:val="20"/>
              </w:rPr>
              <w:t>96</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sz w:val="20"/>
              </w:rPr>
            </w:pPr>
            <w:r>
              <w:rPr>
                <w:rFonts w:hint="eastAsia" w:ascii="Arial" w:hAnsi="Arial" w:cs="Arial"/>
                <w:sz w:val="20"/>
              </w:rPr>
              <w:t>68</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sz w:val="20"/>
              </w:rPr>
            </w:pPr>
            <w:r>
              <w:rPr>
                <w:rFonts w:ascii="Arial" w:hAnsi="Arial" w:cs="Arial"/>
                <w:sz w:val="20"/>
              </w:rPr>
              <w:t xml:space="preserve">50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sz w:val="20"/>
              </w:rPr>
            </w:pPr>
            <w:r>
              <w:rPr>
                <w:rFonts w:hint="eastAsia" w:ascii="Arial" w:hAnsi="Arial" w:cs="Arial"/>
                <w:sz w:val="20"/>
              </w:rPr>
              <w:t>921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sz w:val="20"/>
              </w:rPr>
            </w:pPr>
            <w:r>
              <w:rPr>
                <w:rFonts w:ascii="Arial" w:hAnsi="Arial" w:cs="Arial"/>
                <w:sz w:val="20"/>
              </w:rPr>
              <w:t xml:space="preserve">923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sz w:val="20"/>
              </w:rPr>
            </w:pPr>
            <w:r>
              <w:rPr>
                <w:rFonts w:ascii="Arial" w:hAnsi="Arial" w:cs="Arial"/>
                <w:sz w:val="20"/>
              </w:rPr>
              <w:t xml:space="preserve">157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sz w:val="20"/>
              </w:rPr>
            </w:pPr>
            <w:r>
              <w:rPr>
                <w:rFonts w:hint="eastAsia" w:ascii="Arial" w:hAnsi="Arial" w:cs="Arial"/>
                <w:sz w:val="20"/>
              </w:rPr>
              <w:t>708</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sz w:val="20"/>
              </w:rPr>
            </w:pPr>
            <w:r>
              <w:rPr>
                <w:rFonts w:ascii="Arial" w:hAnsi="Arial" w:cs="Arial"/>
                <w:sz w:val="20"/>
              </w:rPr>
              <w:t xml:space="preserve">872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sz w:val="20"/>
              </w:rPr>
            </w:pPr>
            <w:r>
              <w:rPr>
                <w:rFonts w:ascii="Arial" w:hAnsi="Arial" w:cs="Arial"/>
                <w:sz w:val="20"/>
              </w:rPr>
              <w:t xml:space="preserve">508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sz w:val="20"/>
              </w:rPr>
            </w:pPr>
            <w:r>
              <w:rPr>
                <w:rFonts w:ascii="Arial" w:hAnsi="Arial" w:cs="Arial"/>
                <w:sz w:val="20"/>
              </w:rPr>
              <w:t xml:space="preserve">162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sz w:val="20"/>
              </w:rPr>
            </w:pPr>
            <w:r>
              <w:rPr>
                <w:rFonts w:ascii="Arial" w:hAnsi="Arial" w:cs="Arial"/>
                <w:sz w:val="20"/>
              </w:rPr>
              <w:t xml:space="preserve">968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sz w:val="20"/>
              </w:rPr>
            </w:pPr>
            <w:r>
              <w:rPr>
                <w:rFonts w:ascii="Arial" w:hAnsi="Arial" w:cs="Arial"/>
                <w:sz w:val="20"/>
              </w:rPr>
              <w:t xml:space="preserve">112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sz w:val="20"/>
              </w:rPr>
            </w:pPr>
            <w:r>
              <w:rPr>
                <w:rFonts w:ascii="Arial" w:hAnsi="Arial" w:cs="Arial"/>
                <w:sz w:val="20"/>
              </w:rPr>
              <w:t xml:space="preserve">302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sz w:val="20"/>
              </w:rPr>
            </w:pPr>
            <w:r>
              <w:rPr>
                <w:rFonts w:ascii="Arial" w:hAnsi="Arial" w:cs="Arial"/>
                <w:sz w:val="20"/>
              </w:rPr>
              <w:t xml:space="preserve">815 </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sz w:val="20"/>
              </w:rPr>
            </w:pPr>
            <w:r>
              <w:rPr>
                <w:rFonts w:ascii="Arial" w:hAnsi="Arial" w:cs="Arial"/>
                <w:sz w:val="20"/>
              </w:rPr>
              <w:t xml:space="preserve">25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sz w:val="20"/>
              </w:rPr>
            </w:pPr>
            <w:r>
              <w:rPr>
                <w:rFonts w:ascii="Arial" w:hAnsi="Arial" w:cs="Arial"/>
                <w:sz w:val="20"/>
              </w:rPr>
              <w:t xml:space="preserve">252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sz w:val="20"/>
              </w:rPr>
            </w:pPr>
            <w:r>
              <w:rPr>
                <w:rFonts w:hint="eastAsia" w:ascii="Arial" w:hAnsi="Arial" w:cs="Arial"/>
                <w:sz w:val="20"/>
              </w:rPr>
              <w:t>10039</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hint="eastAsia" w:ascii="Arial" w:hAnsi="Arial" w:cs="Arial"/>
                <w:color w:val="000000"/>
                <w:kern w:val="2"/>
                <w:sz w:val="20"/>
              </w:rPr>
              <w:t>71</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分机电源</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622 </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12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10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178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185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28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100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120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90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26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170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21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54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132 </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5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44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1797</w:t>
            </w:r>
          </w:p>
        </w:tc>
      </w:tr>
      <w:tr>
        <w:tblPrEx>
          <w:tblCellMar>
            <w:top w:w="0" w:type="dxa"/>
            <w:left w:w="0" w:type="dxa"/>
            <w:bottom w:w="0" w:type="dxa"/>
            <w:right w:w="0" w:type="dxa"/>
          </w:tblCellMar>
        </w:tblPrEx>
        <w:trPr>
          <w:gridBefore w:val="1"/>
          <w:wBefore w:w="6" w:type="dxa"/>
          <w:trHeight w:val="500" w:hRule="atLeast"/>
        </w:trPr>
        <w:tc>
          <w:tcPr>
            <w:tcW w:w="13603" w:type="dxa"/>
            <w:gridSpan w:val="2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b/>
                <w:color w:val="000000"/>
                <w:sz w:val="20"/>
              </w:rPr>
              <w:t>2</w:t>
            </w:r>
            <w:r>
              <w:rPr>
                <w:rStyle w:val="22"/>
                <w:rFonts w:hint="default"/>
              </w:rPr>
              <w:t>、管理中心部分（设备网）</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72</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w:t>
            </w:r>
            <w:r>
              <w:rPr>
                <w:rStyle w:val="24"/>
              </w:rPr>
              <w:t>1</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73</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w:t>
            </w:r>
            <w:r>
              <w:rPr>
                <w:rStyle w:val="24"/>
              </w:rPr>
              <w:t>2</w:t>
            </w:r>
          </w:p>
        </w:tc>
        <w:tc>
          <w:tcPr>
            <w:tcW w:w="735" w:type="dxa"/>
            <w:gridSpan w:val="2"/>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735" w:type="dxa"/>
            <w:tcBorders>
              <w:top w:val="nil"/>
              <w:left w:val="nil"/>
              <w:bottom w:val="nil"/>
              <w:right w:val="nil"/>
            </w:tcBorders>
            <w:noWrap/>
            <w:tcMar>
              <w:top w:w="15" w:type="dxa"/>
              <w:left w:w="15" w:type="dxa"/>
              <w:right w:w="15" w:type="dxa"/>
            </w:tcMar>
            <w:vAlign w:val="center"/>
          </w:tcPr>
          <w:p>
            <w:pPr>
              <w:jc w:val="center"/>
              <w:rPr>
                <w:rFonts w:ascii="Arial" w:hAnsi="Arial" w:cs="Arial"/>
                <w:color w:val="000000"/>
                <w:sz w:val="20"/>
              </w:rPr>
            </w:pPr>
          </w:p>
        </w:tc>
        <w:tc>
          <w:tcPr>
            <w:tcW w:w="525" w:type="dxa"/>
            <w:tcBorders>
              <w:top w:val="nil"/>
              <w:left w:val="nil"/>
              <w:bottom w:val="nil"/>
              <w:right w:val="nil"/>
            </w:tcBorders>
            <w:noWrap/>
            <w:tcMar>
              <w:top w:w="15" w:type="dxa"/>
              <w:left w:w="15" w:type="dxa"/>
              <w:right w:w="15" w:type="dxa"/>
            </w:tcMar>
            <w:vAlign w:val="center"/>
          </w:tcPr>
          <w:p>
            <w:pPr>
              <w:jc w:val="center"/>
              <w:rPr>
                <w:rFonts w:ascii="Arial" w:hAnsi="Arial" w:cs="Arial"/>
                <w:color w:val="000000"/>
                <w:sz w:val="20"/>
              </w:rPr>
            </w:pPr>
          </w:p>
        </w:tc>
        <w:tc>
          <w:tcPr>
            <w:tcW w:w="540"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705"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70" w:type="dxa"/>
            <w:tcBorders>
              <w:top w:val="nil"/>
              <w:left w:val="nil"/>
              <w:bottom w:val="nil"/>
              <w:right w:val="nil"/>
            </w:tcBorders>
            <w:noWrap/>
            <w:tcMar>
              <w:top w:w="15" w:type="dxa"/>
              <w:left w:w="15" w:type="dxa"/>
              <w:right w:w="15" w:type="dxa"/>
            </w:tcMar>
            <w:vAlign w:val="center"/>
          </w:tcPr>
          <w:p>
            <w:pPr>
              <w:jc w:val="center"/>
              <w:rPr>
                <w:rFonts w:ascii="Arial" w:hAnsi="Arial" w:cs="Arial"/>
                <w:color w:val="000000"/>
                <w:sz w:val="20"/>
              </w:rPr>
            </w:pPr>
          </w:p>
        </w:tc>
        <w:tc>
          <w:tcPr>
            <w:tcW w:w="690"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nil"/>
              <w:left w:val="nil"/>
              <w:bottom w:val="nil"/>
              <w:right w:val="nil"/>
            </w:tcBorders>
            <w:noWrap/>
            <w:tcMar>
              <w:top w:w="15" w:type="dxa"/>
              <w:left w:w="15" w:type="dxa"/>
              <w:right w:w="15" w:type="dxa"/>
            </w:tcMar>
            <w:vAlign w:val="center"/>
          </w:tcPr>
          <w:p>
            <w:pPr>
              <w:jc w:val="center"/>
              <w:rPr>
                <w:rFonts w:ascii="Arial" w:hAnsi="Arial" w:cs="Arial"/>
                <w:color w:val="000000"/>
                <w:sz w:val="20"/>
              </w:rPr>
            </w:pPr>
          </w:p>
        </w:tc>
        <w:tc>
          <w:tcPr>
            <w:tcW w:w="690"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555"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75"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90"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gridSpan w:val="2"/>
            <w:tcBorders>
              <w:top w:val="nil"/>
              <w:left w:val="nil"/>
              <w:bottom w:val="nil"/>
              <w:right w:val="nil"/>
            </w:tcBorders>
            <w:noWrap/>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nil"/>
              <w:left w:val="nil"/>
              <w:bottom w:val="nil"/>
              <w:right w:val="nil"/>
            </w:tcBorders>
            <w:noWrap/>
            <w:tcMar>
              <w:top w:w="15" w:type="dxa"/>
              <w:left w:w="15" w:type="dxa"/>
              <w:right w:w="15" w:type="dxa"/>
            </w:tcMar>
            <w:vAlign w:val="center"/>
          </w:tcPr>
          <w:p>
            <w:pPr>
              <w:jc w:val="center"/>
              <w:rPr>
                <w:rFonts w:ascii="Arial" w:hAnsi="Arial" w:cs="Arial"/>
                <w:color w:val="000000"/>
                <w:sz w:val="20"/>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7</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74</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w:t>
            </w:r>
            <w:r>
              <w:rPr>
                <w:rStyle w:val="24"/>
              </w:rPr>
              <w:t>3</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8</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75</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w:t>
            </w:r>
            <w:r>
              <w:rPr>
                <w:rStyle w:val="24"/>
              </w:rPr>
              <w:t>4</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76</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w:t>
            </w:r>
            <w:r>
              <w:rPr>
                <w:rStyle w:val="24"/>
              </w:rPr>
              <w:t>5</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77</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堆叠电缆</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78</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千兆单模光模块</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90 </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27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22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23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17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16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8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21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8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25 </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7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275</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79</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千兆单模光模块</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32</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80</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8</w:t>
            </w:r>
            <w:r>
              <w:rPr>
                <w:rFonts w:hint="eastAsia" w:ascii="宋体" w:hAnsi="宋体" w:cs="宋体"/>
                <w:color w:val="000000"/>
                <w:sz w:val="20"/>
              </w:rPr>
              <w:t>口千兆接入层交换机</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9</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81</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24</w:t>
            </w:r>
            <w:r>
              <w:rPr>
                <w:rFonts w:hint="eastAsia" w:ascii="宋体" w:hAnsi="宋体" w:cs="宋体"/>
                <w:color w:val="000000"/>
                <w:sz w:val="20"/>
              </w:rPr>
              <w:t>口千兆接入层交换机</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82</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管理中心对讲主机</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20</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83</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存储设备</w:t>
            </w:r>
            <w:r>
              <w:rPr>
                <w:rStyle w:val="24"/>
              </w:rPr>
              <w:t>1~64</w:t>
            </w:r>
            <w:r>
              <w:rPr>
                <w:rFonts w:hint="eastAsia" w:ascii="宋体" w:hAnsi="宋体" w:cs="宋体"/>
                <w:color w:val="000000"/>
                <w:sz w:val="20"/>
              </w:rPr>
              <w:t>路</w:t>
            </w:r>
            <w:r>
              <w:rPr>
                <w:rStyle w:val="24"/>
              </w:rPr>
              <w:t>NVR</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12</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84</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存储设备</w:t>
            </w:r>
            <w:r>
              <w:rPr>
                <w:rStyle w:val="24"/>
              </w:rPr>
              <w:t>2~32</w:t>
            </w:r>
            <w:r>
              <w:rPr>
                <w:rFonts w:hint="eastAsia" w:ascii="宋体" w:hAnsi="宋体" w:cs="宋体"/>
                <w:color w:val="000000"/>
                <w:sz w:val="20"/>
              </w:rPr>
              <w:t>路</w:t>
            </w:r>
            <w:r>
              <w:rPr>
                <w:rStyle w:val="24"/>
              </w:rPr>
              <w:t>NVR</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17</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85</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硬盘</w:t>
            </w:r>
            <w:r>
              <w:rPr>
                <w:rStyle w:val="24"/>
              </w:rPr>
              <w:t>2</w:t>
            </w:r>
          </w:p>
        </w:tc>
        <w:tc>
          <w:tcPr>
            <w:tcW w:w="735" w:type="dxa"/>
            <w:gridSpan w:val="2"/>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44</w:t>
            </w:r>
          </w:p>
        </w:tc>
        <w:tc>
          <w:tcPr>
            <w:tcW w:w="735"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w:t>
            </w:r>
          </w:p>
        </w:tc>
        <w:tc>
          <w:tcPr>
            <w:tcW w:w="525"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w:t>
            </w:r>
          </w:p>
        </w:tc>
        <w:tc>
          <w:tcPr>
            <w:tcW w:w="540"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17</w:t>
            </w:r>
          </w:p>
        </w:tc>
        <w:tc>
          <w:tcPr>
            <w:tcW w:w="705"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17</w:t>
            </w:r>
          </w:p>
        </w:tc>
        <w:tc>
          <w:tcPr>
            <w:tcW w:w="570"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12</w:t>
            </w:r>
          </w:p>
        </w:tc>
        <w:tc>
          <w:tcPr>
            <w:tcW w:w="690"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17</w:t>
            </w:r>
          </w:p>
        </w:tc>
        <w:tc>
          <w:tcPr>
            <w:tcW w:w="540"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17</w:t>
            </w:r>
          </w:p>
        </w:tc>
        <w:tc>
          <w:tcPr>
            <w:tcW w:w="540"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17</w:t>
            </w:r>
          </w:p>
        </w:tc>
        <w:tc>
          <w:tcPr>
            <w:tcW w:w="690"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10</w:t>
            </w:r>
          </w:p>
        </w:tc>
        <w:tc>
          <w:tcPr>
            <w:tcW w:w="690"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22</w:t>
            </w:r>
          </w:p>
        </w:tc>
        <w:tc>
          <w:tcPr>
            <w:tcW w:w="555"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w:t>
            </w:r>
          </w:p>
        </w:tc>
        <w:tc>
          <w:tcPr>
            <w:tcW w:w="675"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w:t>
            </w:r>
          </w:p>
        </w:tc>
        <w:tc>
          <w:tcPr>
            <w:tcW w:w="690"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22</w:t>
            </w:r>
          </w:p>
        </w:tc>
        <w:tc>
          <w:tcPr>
            <w:tcW w:w="690" w:type="dxa"/>
            <w:gridSpan w:val="2"/>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w:t>
            </w:r>
          </w:p>
        </w:tc>
        <w:tc>
          <w:tcPr>
            <w:tcW w:w="840" w:type="dxa"/>
            <w:gridSpan w:val="2"/>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12</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237</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86</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IC</w:t>
            </w:r>
            <w:r>
              <w:rPr>
                <w:rFonts w:hint="eastAsia" w:ascii="宋体" w:hAnsi="宋体" w:cs="宋体"/>
                <w:color w:val="000000"/>
                <w:sz w:val="20"/>
              </w:rPr>
              <w:t>卡发行器</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16</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87</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IC</w:t>
            </w:r>
            <w:r>
              <w:rPr>
                <w:rFonts w:hint="eastAsia" w:ascii="宋体" w:hAnsi="宋体" w:cs="宋体"/>
                <w:color w:val="000000"/>
                <w:sz w:val="20"/>
              </w:rPr>
              <w:t>钥匙扣卡</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9588 </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204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150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2763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2769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471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2124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2616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1524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486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2904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336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906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2445 </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75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756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b/>
                <w:bCs/>
                <w:color w:val="000000"/>
                <w:sz w:val="20"/>
              </w:rPr>
              <w:t>30117</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88</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钥匙</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9588 </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204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150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2763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2769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471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2124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2616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1524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486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2904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336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906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2445 </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75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756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b/>
                <w:bCs/>
                <w:color w:val="000000"/>
                <w:sz w:val="20"/>
              </w:rPr>
              <w:t>30117</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89</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管理电脑</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16</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90</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街道数据汇聚</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91</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汇聚交换机</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92</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服务器</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93</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小区侧智慧安防管控软件</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16</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94</w:t>
            </w:r>
          </w:p>
        </w:tc>
        <w:tc>
          <w:tcPr>
            <w:tcW w:w="21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光纤链路费</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16</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95</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网络机柜</w:t>
            </w:r>
            <w:r>
              <w:rPr>
                <w:rStyle w:val="24"/>
              </w:rPr>
              <w:t>1~42U</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 </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0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7</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96</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网络机柜</w:t>
            </w:r>
            <w:r>
              <w:rPr>
                <w:rStyle w:val="24"/>
              </w:rPr>
              <w:t>2~24U</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0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0 </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10</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97</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网络机柜</w:t>
            </w:r>
            <w:r>
              <w:rPr>
                <w:rStyle w:val="24"/>
              </w:rPr>
              <w:t>3~6U</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98</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附材</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16</w:t>
            </w:r>
          </w:p>
        </w:tc>
      </w:tr>
      <w:tr>
        <w:tblPrEx>
          <w:tblCellMar>
            <w:top w:w="0" w:type="dxa"/>
            <w:left w:w="0" w:type="dxa"/>
            <w:bottom w:w="0" w:type="dxa"/>
            <w:right w:w="0" w:type="dxa"/>
          </w:tblCellMar>
        </w:tblPrEx>
        <w:trPr>
          <w:gridBefore w:val="1"/>
          <w:wBefore w:w="6" w:type="dxa"/>
          <w:trHeight w:val="500" w:hRule="atLeast"/>
        </w:trPr>
        <w:tc>
          <w:tcPr>
            <w:tcW w:w="13603" w:type="dxa"/>
            <w:gridSpan w:val="2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b/>
                <w:color w:val="000000"/>
                <w:sz w:val="20"/>
              </w:rPr>
              <w:t>5</w:t>
            </w:r>
            <w:r>
              <w:rPr>
                <w:rStyle w:val="22"/>
                <w:rFonts w:hint="default"/>
              </w:rPr>
              <w:t>、智能感知系统</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9</w:t>
            </w:r>
            <w:r>
              <w:rPr>
                <w:rFonts w:hint="eastAsia" w:ascii="Arial" w:hAnsi="Arial" w:cs="Arial"/>
                <w:color w:val="000000"/>
                <w:sz w:val="20"/>
              </w:rPr>
              <w:t>9</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人脸摄像机带定向智能感知设备</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25</w:t>
            </w:r>
          </w:p>
        </w:tc>
      </w:tr>
      <w:tr>
        <w:tblPrEx>
          <w:tblCellMar>
            <w:top w:w="0" w:type="dxa"/>
            <w:left w:w="0" w:type="dxa"/>
            <w:bottom w:w="0" w:type="dxa"/>
            <w:right w:w="0" w:type="dxa"/>
          </w:tblCellMar>
        </w:tblPrEx>
        <w:trPr>
          <w:gridBefore w:val="1"/>
          <w:wBefore w:w="6" w:type="dxa"/>
          <w:trHeight w:val="500" w:hRule="atLeast"/>
        </w:trPr>
        <w:tc>
          <w:tcPr>
            <w:tcW w:w="13603" w:type="dxa"/>
            <w:gridSpan w:val="2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b/>
                <w:color w:val="000000"/>
                <w:sz w:val="20"/>
              </w:rPr>
              <w:t>6</w:t>
            </w:r>
            <w:r>
              <w:rPr>
                <w:rStyle w:val="22"/>
                <w:rFonts w:hint="default"/>
              </w:rPr>
              <w:t>、入侵报警系统</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100</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中央控制器</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0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15</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101</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主机键盘</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0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15</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102</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监控软件</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0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15</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103</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w:t>
            </w:r>
            <w:r>
              <w:rPr>
                <w:rStyle w:val="24"/>
              </w:rPr>
              <w:t>IP</w:t>
            </w:r>
            <w:r>
              <w:rPr>
                <w:rFonts w:hint="eastAsia" w:ascii="宋体" w:hAnsi="宋体" w:cs="宋体"/>
                <w:color w:val="000000"/>
                <w:sz w:val="20"/>
              </w:rPr>
              <w:t>模块</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0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15</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104</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D1</w:t>
            </w:r>
            <w:r>
              <w:rPr>
                <w:rFonts w:hint="eastAsia" w:ascii="宋体" w:hAnsi="宋体" w:cs="宋体"/>
                <w:color w:val="000000"/>
                <w:sz w:val="20"/>
              </w:rPr>
              <w:t>类高能量</w:t>
            </w:r>
            <w:r>
              <w:rPr>
                <w:rStyle w:val="24"/>
              </w:rPr>
              <w:t>SPD</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 </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0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36</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105</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四路网络模块</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22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0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0 </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24</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106</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二路网络模块</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81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6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6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27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13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79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8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10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53 </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 </w:t>
            </w:r>
          </w:p>
        </w:tc>
        <w:tc>
          <w:tcPr>
            <w:tcW w:w="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0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286</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107</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16</w:t>
            </w:r>
            <w:r>
              <w:rPr>
                <w:rFonts w:hint="eastAsia" w:ascii="宋体" w:hAnsi="宋体" w:cs="宋体"/>
                <w:color w:val="000000"/>
                <w:sz w:val="20"/>
              </w:rPr>
              <w:t>路继电器</w:t>
            </w:r>
            <w:r>
              <w:rPr>
                <w:rStyle w:val="33"/>
                <w:rFonts w:hint="default"/>
              </w:rPr>
              <w:t>输出控制器</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0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11</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108</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32</w:t>
            </w:r>
            <w:r>
              <w:rPr>
                <w:rFonts w:hint="eastAsia" w:ascii="宋体" w:hAnsi="宋体" w:cs="宋体"/>
                <w:color w:val="000000"/>
                <w:sz w:val="20"/>
              </w:rPr>
              <w:t>路继电器输出控制器</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109</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烟感探测器</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225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12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12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54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26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147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16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17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102 </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611</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110</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电源</w:t>
            </w:r>
          </w:p>
        </w:tc>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80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8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10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53 </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0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162</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111</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声光警号</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0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15</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112</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四道单防区控制杆（含底座）</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5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6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0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 </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 </w:t>
            </w:r>
          </w:p>
        </w:tc>
        <w:tc>
          <w:tcPr>
            <w:tcW w:w="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0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39</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113</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四道双防区控制杆（含底座）</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9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8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10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14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7 </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0 </w:t>
            </w:r>
          </w:p>
        </w:tc>
        <w:tc>
          <w:tcPr>
            <w:tcW w:w="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0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72</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114</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交流电源</w:t>
            </w:r>
            <w:r>
              <w:rPr>
                <w:rStyle w:val="24"/>
              </w:rPr>
              <w:t>24V</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7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12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10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5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15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5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20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10 </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 </w:t>
            </w:r>
          </w:p>
        </w:tc>
        <w:tc>
          <w:tcPr>
            <w:tcW w:w="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0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108</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115</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避雷器</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11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7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5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21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18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5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7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15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5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20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10 </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 </w:t>
            </w:r>
          </w:p>
        </w:tc>
        <w:tc>
          <w:tcPr>
            <w:tcW w:w="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0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137</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116</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中间支撑杆（含底座）</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47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45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28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140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146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34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39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15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180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50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212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46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46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124 </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18 </w:t>
            </w:r>
          </w:p>
        </w:tc>
        <w:tc>
          <w:tcPr>
            <w:tcW w:w="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0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1170</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117</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终端受力杆（含底座）</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13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7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5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28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25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5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7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5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30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12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45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16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9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25 </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 </w:t>
            </w:r>
          </w:p>
        </w:tc>
        <w:tc>
          <w:tcPr>
            <w:tcW w:w="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0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234</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118</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束线器</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176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112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80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336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288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80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112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48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400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112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544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128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112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272 </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32 </w:t>
            </w:r>
          </w:p>
        </w:tc>
        <w:tc>
          <w:tcPr>
            <w:tcW w:w="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0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2832</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119</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转向滑轮</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8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28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28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Arial" w:hAnsi="Arial" w:cs="Arial"/>
                <w:color w:val="000000"/>
                <w:sz w:val="20"/>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5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40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28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72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20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20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28 </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8 </w:t>
            </w:r>
          </w:p>
        </w:tc>
        <w:tc>
          <w:tcPr>
            <w:tcW w:w="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0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285</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120</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张力收紧器</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44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28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20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84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72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20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28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12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100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28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136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32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28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68 </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8 </w:t>
            </w:r>
          </w:p>
        </w:tc>
        <w:tc>
          <w:tcPr>
            <w:tcW w:w="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0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708</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121</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张力弹簧</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44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28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20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84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72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20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28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12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100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28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136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32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28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68 </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8 </w:t>
            </w:r>
          </w:p>
        </w:tc>
        <w:tc>
          <w:tcPr>
            <w:tcW w:w="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0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708</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122</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多股张力线</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800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750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440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2240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2400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560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640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240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4000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900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3400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750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750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2000 </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320 </w:t>
            </w:r>
          </w:p>
        </w:tc>
        <w:tc>
          <w:tcPr>
            <w:tcW w:w="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0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20190</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123</w:t>
            </w:r>
          </w:p>
        </w:tc>
        <w:tc>
          <w:tcPr>
            <w:tcW w:w="21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警示牌</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18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18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11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56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59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14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16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25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5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85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18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18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50 </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8 </w:t>
            </w:r>
          </w:p>
        </w:tc>
        <w:tc>
          <w:tcPr>
            <w:tcW w:w="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0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404</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kern w:val="2"/>
                <w:sz w:val="20"/>
              </w:rPr>
            </w:pPr>
            <w:r>
              <w:rPr>
                <w:rFonts w:ascii="Arial" w:hAnsi="Arial" w:cs="Arial"/>
                <w:color w:val="000000"/>
                <w:sz w:val="20"/>
              </w:rPr>
              <w:t>124</w:t>
            </w:r>
          </w:p>
        </w:tc>
        <w:tc>
          <w:tcPr>
            <w:tcW w:w="21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接地桩（含接地线）</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7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12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10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5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15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5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34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8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7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17 </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 </w:t>
            </w:r>
          </w:p>
        </w:tc>
        <w:tc>
          <w:tcPr>
            <w:tcW w:w="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0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136</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125</w:t>
            </w:r>
          </w:p>
        </w:tc>
        <w:tc>
          <w:tcPr>
            <w:tcW w:w="21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Arial" w:hAnsi="Arial" w:cs="Arial"/>
                <w:color w:val="000000"/>
                <w:sz w:val="20"/>
              </w:rPr>
            </w:pPr>
            <w:r>
              <w:rPr>
                <w:rFonts w:ascii="Arial" w:hAnsi="Arial" w:cs="Arial"/>
                <w:color w:val="000000"/>
                <w:sz w:val="20"/>
              </w:rPr>
              <w:t>304</w:t>
            </w:r>
            <w:r>
              <w:rPr>
                <w:rFonts w:hint="eastAsia" w:ascii="宋体" w:hAnsi="宋体" w:cs="宋体"/>
                <w:color w:val="000000"/>
                <w:sz w:val="20"/>
              </w:rPr>
              <w:t>不锈钢防水箱</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7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4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12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10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5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 </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15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5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34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8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7 </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17 </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2 </w:t>
            </w:r>
          </w:p>
        </w:tc>
        <w:tc>
          <w:tcPr>
            <w:tcW w:w="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 xml:space="preserve">0 </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136</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126</w:t>
            </w:r>
          </w:p>
        </w:tc>
        <w:tc>
          <w:tcPr>
            <w:tcW w:w="21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单防区模块</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11</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7</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21</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7</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25</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7</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34</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8</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7</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17</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177</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127</w:t>
            </w:r>
          </w:p>
        </w:tc>
        <w:tc>
          <w:tcPr>
            <w:tcW w:w="21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报警联动灯</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7</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15</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5</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16</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4</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3</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10</w:t>
            </w:r>
          </w:p>
        </w:tc>
        <w:tc>
          <w:tcPr>
            <w:tcW w:w="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2</w:t>
            </w:r>
          </w:p>
        </w:tc>
        <w:tc>
          <w:tcPr>
            <w:tcW w:w="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0</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ascii="Arial" w:hAnsi="Arial" w:cs="Arial"/>
                <w:color w:val="000000"/>
                <w:sz w:val="20"/>
              </w:rPr>
              <w:t>103</w:t>
            </w:r>
          </w:p>
        </w:tc>
      </w:tr>
      <w:tr>
        <w:tblPrEx>
          <w:tblCellMar>
            <w:top w:w="0" w:type="dxa"/>
            <w:left w:w="0" w:type="dxa"/>
            <w:bottom w:w="0" w:type="dxa"/>
            <w:right w:w="0" w:type="dxa"/>
          </w:tblCellMar>
        </w:tblPrEx>
        <w:trPr>
          <w:gridBefore w:val="1"/>
          <w:wBefore w:w="6" w:type="dxa"/>
          <w:trHeight w:val="500" w:hRule="atLeast"/>
        </w:trPr>
        <w:tc>
          <w:tcPr>
            <w:tcW w:w="13603" w:type="dxa"/>
            <w:gridSpan w:val="2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color w:val="000000"/>
                <w:sz w:val="20"/>
              </w:rPr>
            </w:pPr>
            <w:r>
              <w:rPr>
                <w:rFonts w:hint="eastAsia" w:ascii="Arial" w:hAnsi="Arial" w:cs="Arial"/>
                <w:b/>
                <w:bCs/>
                <w:color w:val="000000"/>
                <w:sz w:val="20"/>
              </w:rPr>
              <w:t>7、</w:t>
            </w:r>
            <w:r>
              <w:rPr>
                <w:rFonts w:hint="eastAsia" w:ascii="宋体" w:hAnsi="宋体" w:cs="宋体"/>
                <w:b/>
                <w:bCs/>
                <w:color w:val="000000"/>
                <w:sz w:val="20"/>
              </w:rPr>
              <w:t>街道平台侧扩容</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128</w:t>
            </w:r>
          </w:p>
        </w:tc>
        <w:tc>
          <w:tcPr>
            <w:tcW w:w="21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街道数据汇聚（标准平台）</w:t>
            </w:r>
          </w:p>
        </w:tc>
        <w:tc>
          <w:tcPr>
            <w:tcW w:w="11070" w:type="dxa"/>
            <w:gridSpan w:val="21"/>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129</w:t>
            </w:r>
          </w:p>
        </w:tc>
        <w:tc>
          <w:tcPr>
            <w:tcW w:w="21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街道数据汇聚（数据扩容）</w:t>
            </w:r>
          </w:p>
        </w:tc>
        <w:tc>
          <w:tcPr>
            <w:tcW w:w="11070" w:type="dxa"/>
            <w:gridSpan w:val="21"/>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130</w:t>
            </w:r>
          </w:p>
        </w:tc>
        <w:tc>
          <w:tcPr>
            <w:tcW w:w="21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汇聚交换机</w:t>
            </w:r>
          </w:p>
        </w:tc>
        <w:tc>
          <w:tcPr>
            <w:tcW w:w="11070" w:type="dxa"/>
            <w:gridSpan w:val="21"/>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6" w:type="dxa"/>
          <w:trHeight w:val="500" w:hRule="atLeast"/>
        </w:trPr>
        <w:tc>
          <w:tcPr>
            <w:tcW w:w="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Arial" w:hAnsi="Arial" w:cs="Arial"/>
                <w:color w:val="000000"/>
                <w:sz w:val="20"/>
              </w:rPr>
            </w:pPr>
            <w:r>
              <w:rPr>
                <w:rFonts w:hint="eastAsia" w:ascii="Arial" w:hAnsi="Arial" w:cs="Arial"/>
                <w:color w:val="000000"/>
                <w:sz w:val="20"/>
              </w:rPr>
              <w:t>131</w:t>
            </w:r>
          </w:p>
        </w:tc>
        <w:tc>
          <w:tcPr>
            <w:tcW w:w="21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堆叠电缆</w:t>
            </w:r>
          </w:p>
        </w:tc>
        <w:tc>
          <w:tcPr>
            <w:tcW w:w="11070" w:type="dxa"/>
            <w:gridSpan w:val="21"/>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Arial" w:hAnsi="Arial" w:cs="Arial"/>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6" w:type="dxa"/>
          <w:trHeight w:val="500" w:hRule="atLeast"/>
        </w:trPr>
        <w:tc>
          <w:tcPr>
            <w:tcW w:w="13603" w:type="dxa"/>
            <w:gridSpan w:val="2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Arial" w:hAnsi="Arial" w:cs="Arial"/>
                <w:b/>
                <w:bCs/>
                <w:color w:val="000000"/>
                <w:sz w:val="20"/>
              </w:rPr>
            </w:pPr>
            <w:r>
              <w:rPr>
                <w:rFonts w:hint="eastAsia" w:ascii="Arial" w:hAnsi="Arial" w:cs="Arial"/>
                <w:b/>
                <w:bCs/>
                <w:color w:val="000000"/>
                <w:sz w:val="20"/>
              </w:rPr>
              <w:t>8、管线、安装、调试</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序号</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采购内容</w:t>
            </w:r>
          </w:p>
        </w:tc>
        <w:tc>
          <w:tcPr>
            <w:tcW w:w="8871"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规格要求</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单位</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数量</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电缆保护管</w:t>
            </w:r>
          </w:p>
        </w:tc>
        <w:tc>
          <w:tcPr>
            <w:tcW w:w="8871"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镀锌钢管埋地敷设SC25</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334.33</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电缆保护管</w:t>
            </w:r>
          </w:p>
        </w:tc>
        <w:tc>
          <w:tcPr>
            <w:tcW w:w="8871"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镀锌钢管埋地敷设SC32</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17.54</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电缆保护管</w:t>
            </w:r>
          </w:p>
        </w:tc>
        <w:tc>
          <w:tcPr>
            <w:tcW w:w="8871"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镀锌钢管埋地敷设SC50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92.21</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电缆保护管</w:t>
            </w:r>
          </w:p>
        </w:tc>
        <w:tc>
          <w:tcPr>
            <w:tcW w:w="8871"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镀锌钢管埋地敷设SC100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4.27</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8871"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砖、混凝土结构明配JDG管 JDG20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374.85</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6</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8871"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砖、混凝土结构明配JDG管 JDG32</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3384.36</w:t>
            </w:r>
          </w:p>
        </w:tc>
      </w:tr>
      <w:tr>
        <w:tblPrEx>
          <w:tblCellMar>
            <w:top w:w="0" w:type="dxa"/>
            <w:left w:w="108" w:type="dxa"/>
            <w:bottom w:w="0" w:type="dxa"/>
            <w:right w:w="108" w:type="dxa"/>
          </w:tblCellMar>
        </w:tblPrEx>
        <w:trPr>
          <w:gridAfter w:val="1"/>
          <w:wAfter w:w="115" w:type="dxa"/>
          <w:trHeight w:val="57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7</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8871"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砖、混凝土结构明配刚性阻燃管 PVC25</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35417.59</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8</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8871"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PE20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112.46</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9</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8871"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PE25</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296.21</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8871"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PE32</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534.84</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11</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8871"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PE50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445.32</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12</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8871"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PE100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357.61</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13</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w:t>
            </w:r>
          </w:p>
        </w:tc>
        <w:tc>
          <w:tcPr>
            <w:tcW w:w="8871"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 管内穿放CAT6(室外型)</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17016.05</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14</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w:t>
            </w:r>
          </w:p>
        </w:tc>
        <w:tc>
          <w:tcPr>
            <w:tcW w:w="8871"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 管内穿放CAT6</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5735.21</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15</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w:t>
            </w:r>
          </w:p>
        </w:tc>
        <w:tc>
          <w:tcPr>
            <w:tcW w:w="8871"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 管内穿放CAT5E</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99645.84</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16</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控制电缆</w:t>
            </w:r>
          </w:p>
        </w:tc>
        <w:tc>
          <w:tcPr>
            <w:tcW w:w="8871"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控制电缆敷设 KVVR2*1.5</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3921.68</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17</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控制电缆</w:t>
            </w:r>
          </w:p>
        </w:tc>
        <w:tc>
          <w:tcPr>
            <w:tcW w:w="8871"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控制电缆敷设 KVVR2*1.0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953.62</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18</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配线</w:t>
            </w:r>
          </w:p>
        </w:tc>
        <w:tc>
          <w:tcPr>
            <w:tcW w:w="8871"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四芯单芯导线 RVV4*1.0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4455.36</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19</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配线</w:t>
            </w:r>
          </w:p>
        </w:tc>
        <w:tc>
          <w:tcPr>
            <w:tcW w:w="8871"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二芯单芯导线 RVV2*1.0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95618.88</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20</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光缆</w:t>
            </w:r>
          </w:p>
        </w:tc>
        <w:tc>
          <w:tcPr>
            <w:tcW w:w="8871"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室外四芯单模光纤安装</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15723.14</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21</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电力电缆</w:t>
            </w:r>
          </w:p>
        </w:tc>
        <w:tc>
          <w:tcPr>
            <w:tcW w:w="8871"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铜芯电力电缆敷设 YJV-3*2.5</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2198.87</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22</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打洞（孔）</w:t>
            </w:r>
          </w:p>
        </w:tc>
        <w:tc>
          <w:tcPr>
            <w:tcW w:w="8871"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墙面入户管打孔</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10039</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23</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电力电缆</w:t>
            </w:r>
          </w:p>
        </w:tc>
        <w:tc>
          <w:tcPr>
            <w:tcW w:w="8871"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铜芯电力电缆敷设 YJV-3*4</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715.21</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24</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手孔井</w:t>
            </w:r>
          </w:p>
        </w:tc>
        <w:tc>
          <w:tcPr>
            <w:tcW w:w="8871"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弱电手孔井 600*600*700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48</w:t>
            </w:r>
          </w:p>
        </w:tc>
      </w:tr>
      <w:tr>
        <w:tblPrEx>
          <w:tblCellMar>
            <w:top w:w="0" w:type="dxa"/>
            <w:left w:w="108" w:type="dxa"/>
            <w:bottom w:w="0" w:type="dxa"/>
            <w:right w:w="108" w:type="dxa"/>
          </w:tblCellMar>
        </w:tblPrEx>
        <w:trPr>
          <w:gridAfter w:val="1"/>
          <w:wAfter w:w="115" w:type="dxa"/>
          <w:trHeight w:val="57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25</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挖沟槽土方</w:t>
            </w:r>
          </w:p>
        </w:tc>
        <w:tc>
          <w:tcPr>
            <w:tcW w:w="8871"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绿化下素土开挖：人机配合挖沟槽土方不装车，土方类别综合考虑</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213.75</w:t>
            </w:r>
          </w:p>
        </w:tc>
      </w:tr>
      <w:tr>
        <w:tblPrEx>
          <w:tblCellMar>
            <w:top w:w="0" w:type="dxa"/>
            <w:left w:w="108" w:type="dxa"/>
            <w:bottom w:w="0" w:type="dxa"/>
            <w:right w:w="108" w:type="dxa"/>
          </w:tblCellMar>
        </w:tblPrEx>
        <w:trPr>
          <w:gridAfter w:val="1"/>
          <w:wAfter w:w="115" w:type="dxa"/>
          <w:trHeight w:val="57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26</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挖沟槽土方</w:t>
            </w:r>
          </w:p>
        </w:tc>
        <w:tc>
          <w:tcPr>
            <w:tcW w:w="8871"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道路结构下开挖塘渣：人机配合挖沟槽四类土不装车</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23.75</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27</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拆除路面</w:t>
            </w:r>
          </w:p>
        </w:tc>
        <w:tc>
          <w:tcPr>
            <w:tcW w:w="8871"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混凝土路面开挖及修复</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m2</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107.96</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28</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回填方</w:t>
            </w:r>
          </w:p>
        </w:tc>
        <w:tc>
          <w:tcPr>
            <w:tcW w:w="8871"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沟槽原土回填</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140.34</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29</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回填方</w:t>
            </w:r>
          </w:p>
        </w:tc>
        <w:tc>
          <w:tcPr>
            <w:tcW w:w="8871"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沟槽机制砂回填</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38.86</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30</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回填方</w:t>
            </w:r>
          </w:p>
        </w:tc>
        <w:tc>
          <w:tcPr>
            <w:tcW w:w="8871"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渠（管）道垫层 机制砂</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77.73</w:t>
            </w:r>
          </w:p>
        </w:tc>
      </w:tr>
    </w:tbl>
    <w:p>
      <w:pPr>
        <w:pStyle w:val="2"/>
      </w:pPr>
    </w:p>
    <w:p/>
    <w:p>
      <w:pPr>
        <w:pStyle w:val="2"/>
      </w:pPr>
    </w:p>
    <w:p/>
    <w:p>
      <w:pPr>
        <w:pStyle w:val="43"/>
        <w:spacing w:line="360" w:lineRule="auto"/>
        <w:ind w:firstLine="0" w:firstLineChars="0"/>
        <w:rPr>
          <w:rFonts w:hint="eastAsia" w:ascii="宋体" w:hAnsi="宋体" w:eastAsia="宋体"/>
          <w:b/>
          <w:bCs/>
          <w:color w:val="000000"/>
          <w:sz w:val="32"/>
          <w:szCs w:val="32"/>
          <w:lang w:eastAsia="zh-CN"/>
        </w:rPr>
      </w:pPr>
      <w:r>
        <w:rPr>
          <w:rFonts w:hint="eastAsia" w:ascii="宋体" w:hAnsi="宋体"/>
          <w:b/>
          <w:bCs/>
          <w:color w:val="000000"/>
          <w:sz w:val="32"/>
          <w:szCs w:val="32"/>
        </w:rPr>
        <w:t>标项五</w:t>
      </w:r>
      <w:r>
        <w:rPr>
          <w:rFonts w:hint="eastAsia" w:ascii="宋体" w:hAnsi="宋体"/>
          <w:b/>
          <w:bCs/>
          <w:color w:val="000000"/>
          <w:sz w:val="32"/>
          <w:szCs w:val="32"/>
          <w:lang w:eastAsia="zh-CN"/>
        </w:rPr>
        <w:t>：</w:t>
      </w:r>
    </w:p>
    <w:p>
      <w:pPr>
        <w:spacing w:line="360" w:lineRule="auto"/>
        <w:rPr>
          <w:b/>
          <w:bCs/>
        </w:rPr>
      </w:pPr>
      <w:r>
        <w:rPr>
          <w:rFonts w:hint="eastAsia"/>
          <w:b/>
          <w:bCs/>
        </w:rPr>
        <w:t>江厦街道各小区设备配置清单</w:t>
      </w:r>
    </w:p>
    <w:tbl>
      <w:tblPr>
        <w:tblStyle w:val="14"/>
        <w:tblW w:w="13018" w:type="dxa"/>
        <w:tblInd w:w="0" w:type="dxa"/>
        <w:tblLayout w:type="fixed"/>
        <w:tblCellMar>
          <w:top w:w="0" w:type="dxa"/>
          <w:left w:w="0" w:type="dxa"/>
          <w:bottom w:w="0" w:type="dxa"/>
          <w:right w:w="0" w:type="dxa"/>
        </w:tblCellMar>
      </w:tblPr>
      <w:tblGrid>
        <w:gridCol w:w="5"/>
        <w:gridCol w:w="795"/>
        <w:gridCol w:w="1987"/>
        <w:gridCol w:w="1834"/>
        <w:gridCol w:w="1100"/>
        <w:gridCol w:w="1100"/>
        <w:gridCol w:w="2094"/>
        <w:gridCol w:w="1652"/>
        <w:gridCol w:w="73"/>
        <w:gridCol w:w="1237"/>
        <w:gridCol w:w="1042"/>
        <w:gridCol w:w="99"/>
      </w:tblGrid>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序号</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设备名称</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新街小区</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双梁小区</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开明巷(双梁东区)</w:t>
            </w: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新大世界小区</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玲珑苑</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数量</w:t>
            </w:r>
          </w:p>
        </w:tc>
      </w:tr>
      <w:tr>
        <w:tblPrEx>
          <w:tblCellMar>
            <w:top w:w="0" w:type="dxa"/>
            <w:left w:w="0" w:type="dxa"/>
            <w:bottom w:w="0" w:type="dxa"/>
            <w:right w:w="0" w:type="dxa"/>
          </w:tblCellMar>
        </w:tblPrEx>
        <w:trPr>
          <w:gridBefore w:val="1"/>
          <w:wBefore w:w="5" w:type="dxa"/>
          <w:trHeight w:val="402" w:hRule="atLeast"/>
        </w:trPr>
        <w:tc>
          <w:tcPr>
            <w:tcW w:w="1301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1、出入口控制系统1（人行出入口）</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智慧门</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双目人脸识别可视对讲围墙机</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20</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主机电源12V/2A</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 </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20</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磁力锁</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14</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专用锁电源</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 </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14</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闭门器</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14</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防水出门按钮及支架</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16</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人证合一 一体机</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USB人像采集</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基础（智慧门、围墙机支架、出门按钮支架）</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5" w:type="dxa"/>
          <w:trHeight w:val="402" w:hRule="atLeast"/>
        </w:trPr>
        <w:tc>
          <w:tcPr>
            <w:tcW w:w="1301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b/>
                <w:color w:val="000000"/>
                <w:sz w:val="20"/>
              </w:rPr>
              <w:t>2、出入口控制系统2（停车系统设备）</w:t>
            </w:r>
          </w:p>
        </w:tc>
      </w:tr>
      <w:tr>
        <w:tblPrEx>
          <w:tblCellMar>
            <w:top w:w="0" w:type="dxa"/>
            <w:left w:w="0" w:type="dxa"/>
            <w:bottom w:w="0" w:type="dxa"/>
            <w:right w:w="0" w:type="dxa"/>
          </w:tblCellMar>
        </w:tblPrEx>
        <w:trPr>
          <w:gridBefore w:val="1"/>
          <w:wBefore w:w="5" w:type="dxa"/>
          <w:trHeight w:val="402" w:hRule="atLeast"/>
        </w:trPr>
        <w:tc>
          <w:tcPr>
            <w:tcW w:w="1301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b/>
                <w:color w:val="000000"/>
                <w:sz w:val="20"/>
              </w:rPr>
              <w:t>主要出入口单进单出</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出口杆式抓拍一体机</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道闸</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防砸雷达</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14</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入口杆式抓拍一体机</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道闸</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16</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防砸雷达</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17</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逻辑雷达</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14</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22</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18</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触发雷达</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14</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22</w:t>
            </w:r>
          </w:p>
        </w:tc>
      </w:tr>
      <w:tr>
        <w:tblPrEx>
          <w:tblCellMar>
            <w:top w:w="0" w:type="dxa"/>
            <w:left w:w="0" w:type="dxa"/>
            <w:bottom w:w="0" w:type="dxa"/>
            <w:right w:w="0" w:type="dxa"/>
          </w:tblCellMar>
        </w:tblPrEx>
        <w:trPr>
          <w:gridBefore w:val="1"/>
          <w:wBefore w:w="5" w:type="dxa"/>
          <w:trHeight w:val="402" w:hRule="atLeast"/>
        </w:trPr>
        <w:tc>
          <w:tcPr>
            <w:tcW w:w="1301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b/>
                <w:color w:val="000000"/>
                <w:sz w:val="20"/>
              </w:rPr>
              <w:t>管理设备</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19</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收费电脑</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20</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车辆收费软件</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21</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附件</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22</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光纤收发器</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23</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8口千兆接入层交换机</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24</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24口千兆接入层交换机</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25</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调试对接费用</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26</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基础（道闸设备机箱等基础）</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w:t>
            </w:r>
          </w:p>
        </w:tc>
      </w:tr>
      <w:tr>
        <w:tblPrEx>
          <w:tblCellMar>
            <w:top w:w="0" w:type="dxa"/>
            <w:left w:w="0" w:type="dxa"/>
            <w:bottom w:w="0" w:type="dxa"/>
            <w:right w:w="0" w:type="dxa"/>
          </w:tblCellMar>
        </w:tblPrEx>
        <w:trPr>
          <w:gridBefore w:val="1"/>
          <w:wBefore w:w="5" w:type="dxa"/>
          <w:trHeight w:val="402" w:hRule="atLeast"/>
        </w:trPr>
        <w:tc>
          <w:tcPr>
            <w:tcW w:w="13018" w:type="dxa"/>
            <w:gridSpan w:val="11"/>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b/>
                <w:color w:val="000000"/>
                <w:sz w:val="20"/>
              </w:rPr>
              <w:t>3、视频监控系统</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27</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微卡摄像机</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28</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全局人脸摄像机</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29</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人脸摄像机</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24</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30</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步态摄像机</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31</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高空抛物网络摄像机</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32</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彩色高清摄像机</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97</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62</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186</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33</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彩色高清半球摄像机</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34</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彩色高清电梯专用摄像机</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35</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数字楼层显示器</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36</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网络传输器</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37</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200万轻智能警戒摄像机</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38</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消防占道球机</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39</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摄像机 立竿</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28</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34</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40</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视频解码器</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41</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32寸监视器</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42</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视频切换器</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43</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电源</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28</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44</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配套支架</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45</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管理电脑</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46</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kern w:val="2"/>
                <w:sz w:val="20"/>
              </w:rPr>
            </w:pPr>
            <w:r>
              <w:rPr>
                <w:rFonts w:hint="eastAsia" w:ascii="宋体" w:hAnsi="宋体" w:cs="宋体"/>
                <w:color w:val="000000"/>
                <w:sz w:val="20"/>
              </w:rPr>
              <w:t>操作台1</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3</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47</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操作台2</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48</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配套附件</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r>
      <w:tr>
        <w:tblPrEx>
          <w:tblCellMar>
            <w:top w:w="0" w:type="dxa"/>
            <w:left w:w="0" w:type="dxa"/>
            <w:bottom w:w="0" w:type="dxa"/>
            <w:right w:w="0" w:type="dxa"/>
          </w:tblCellMar>
        </w:tblPrEx>
        <w:trPr>
          <w:gridBefore w:val="1"/>
          <w:wBefore w:w="5" w:type="dxa"/>
          <w:trHeight w:val="402" w:hRule="atLeast"/>
        </w:trPr>
        <w:tc>
          <w:tcPr>
            <w:tcW w:w="1301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b/>
                <w:color w:val="000000"/>
                <w:sz w:val="20"/>
              </w:rPr>
              <w:t>4、可视对讲系统</w:t>
            </w:r>
          </w:p>
        </w:tc>
      </w:tr>
      <w:tr>
        <w:tblPrEx>
          <w:tblCellMar>
            <w:top w:w="0" w:type="dxa"/>
            <w:left w:w="0" w:type="dxa"/>
            <w:bottom w:w="0" w:type="dxa"/>
            <w:right w:w="0" w:type="dxa"/>
          </w:tblCellMar>
        </w:tblPrEx>
        <w:trPr>
          <w:gridBefore w:val="1"/>
          <w:wBefore w:w="5" w:type="dxa"/>
          <w:trHeight w:val="402" w:hRule="atLeast"/>
        </w:trPr>
        <w:tc>
          <w:tcPr>
            <w:tcW w:w="1301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b/>
                <w:color w:val="000000"/>
                <w:sz w:val="20"/>
              </w:rPr>
              <w:t>4.1、住宅部分</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49</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人脸识别可视对讲主机</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89</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74 </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 </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179</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50</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灵性锁(双门或单门，根据实际情况确定数量。包含双门和单门）</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89</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74 </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 </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179</w:t>
            </w:r>
          </w:p>
        </w:tc>
      </w:tr>
      <w:tr>
        <w:tblPrEx>
          <w:tblCellMar>
            <w:top w:w="0" w:type="dxa"/>
            <w:left w:w="0" w:type="dxa"/>
            <w:bottom w:w="0" w:type="dxa"/>
            <w:right w:w="0" w:type="dxa"/>
          </w:tblCellMar>
        </w:tblPrEx>
        <w:trPr>
          <w:gridBefore w:val="1"/>
          <w:wBefore w:w="5" w:type="dxa"/>
          <w:trHeight w:val="402" w:hRule="atLeast"/>
        </w:trPr>
        <w:tc>
          <w:tcPr>
            <w:tcW w:w="1301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b/>
                <w:bCs/>
                <w:color w:val="000000"/>
                <w:sz w:val="20"/>
              </w:rPr>
            </w:pPr>
            <w:r>
              <w:rPr>
                <w:rFonts w:hint="eastAsia" w:ascii="宋体" w:hAnsi="宋体" w:cs="宋体"/>
                <w:b/>
                <w:bCs/>
                <w:color w:val="000000"/>
                <w:sz w:val="20"/>
              </w:rPr>
              <w:t>4.2、管理中心部分（设备网2）</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51</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主机电源12V/2A</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88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74 </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 </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178</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52</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闭门器(双门或单门，根据实际情况确定数量。包含双门和单门））</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88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74 </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 </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178</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53</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专用锁电源</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88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74 </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 </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178</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54</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16口百兆接入交换机</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66</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50 </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126</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55</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24口百兆接入交换机</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 </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25</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56</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8口千兆POE工业接入交换机</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57</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8口千兆POE接入交换机</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58</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24口千兆接入层交换机</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59</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24口千兆POE接入层交换机</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28</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26</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64</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60</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千兆单模光模块</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37</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27 </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74</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61</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单模光纤跳线</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37</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27</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74</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62</w:t>
            </w:r>
          </w:p>
        </w:tc>
        <w:tc>
          <w:tcPr>
            <w:tcW w:w="38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12口光纤配线架</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37</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27</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74</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63</w:t>
            </w:r>
          </w:p>
        </w:tc>
        <w:tc>
          <w:tcPr>
            <w:tcW w:w="38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双工耦合器</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74</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54</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148</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64</w:t>
            </w:r>
          </w:p>
        </w:tc>
        <w:tc>
          <w:tcPr>
            <w:tcW w:w="38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尾纤LC, 单模, 0.9mm, 1米</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296</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216</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24</w:t>
            </w: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24</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592</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65</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安防设备箱1</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60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47 </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121</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66</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安防设备箱2</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29</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26 </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64</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67</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室外安防设备箱</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68</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室内分机</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1352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1050 </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76 </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161 </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45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2684</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69</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分机电源</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375</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275 </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19 </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40 </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15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724</w:t>
            </w:r>
          </w:p>
        </w:tc>
      </w:tr>
      <w:tr>
        <w:tblPrEx>
          <w:tblCellMar>
            <w:top w:w="0" w:type="dxa"/>
            <w:left w:w="0" w:type="dxa"/>
            <w:bottom w:w="0" w:type="dxa"/>
            <w:right w:w="0" w:type="dxa"/>
          </w:tblCellMar>
        </w:tblPrEx>
        <w:trPr>
          <w:gridBefore w:val="1"/>
          <w:wBefore w:w="5" w:type="dxa"/>
          <w:trHeight w:val="402" w:hRule="atLeast"/>
        </w:trPr>
        <w:tc>
          <w:tcPr>
            <w:tcW w:w="1301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b/>
                <w:color w:val="000000"/>
                <w:sz w:val="20"/>
              </w:rPr>
              <w:t>4.2、管理中心部分（设备网）</w:t>
            </w:r>
          </w:p>
        </w:tc>
      </w:tr>
      <w:tr>
        <w:tblPrEx>
          <w:tblCellMar>
            <w:top w:w="0" w:type="dxa"/>
            <w:left w:w="0" w:type="dxa"/>
            <w:bottom w:w="0" w:type="dxa"/>
            <w:right w:w="0" w:type="dxa"/>
          </w:tblCellMar>
        </w:tblPrEx>
        <w:trPr>
          <w:gridBefore w:val="1"/>
          <w:wBefore w:w="5" w:type="dxa"/>
          <w:trHeight w:val="499"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70</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核心交换机1</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5" w:type="dxa"/>
          <w:trHeight w:val="499"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71</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核心交换机2</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5" w:type="dxa"/>
          <w:trHeight w:val="499"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72</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核心交换机3</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r>
      <w:tr>
        <w:tblPrEx>
          <w:tblCellMar>
            <w:top w:w="0" w:type="dxa"/>
            <w:left w:w="0" w:type="dxa"/>
            <w:bottom w:w="0" w:type="dxa"/>
            <w:right w:w="0" w:type="dxa"/>
          </w:tblCellMar>
        </w:tblPrEx>
        <w:trPr>
          <w:gridBefore w:val="1"/>
          <w:wBefore w:w="5" w:type="dxa"/>
          <w:trHeight w:val="499"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73</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核心交换机4</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5" w:type="dxa"/>
          <w:trHeight w:val="499"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74</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核心交换机5</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75</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堆叠电缆</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76</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千兆单模光模块</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34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27 </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71</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77</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千兆单模光模块</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78</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8口千兆接入层交换机</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79</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24口千兆接入层交换机</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80</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管理中心对讲主机</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81</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存储设备1~64路NVR</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82</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存储设备2~32路NVR</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83</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硬盘2</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28</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16</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53</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84</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IC卡发行器</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85</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IC钥匙扣卡</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4056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3150 </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228 </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483 </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135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8052</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86</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钥匙</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4056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3150 </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228 </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483 </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135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8052</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87</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管理电脑</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88</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街道数据汇聚</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89</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汇聚交换机</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90</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服务器</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91</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小区侧智慧安防管控软件</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92</w:t>
            </w:r>
          </w:p>
        </w:tc>
        <w:tc>
          <w:tcPr>
            <w:tcW w:w="38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光纤链路费</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93</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网络机柜1~42U</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94</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网络机柜2~24U</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95</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网络机柜3~6U</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r>
              <w:rPr>
                <w:rFonts w:hint="eastAsia" w:ascii="宋体" w:hAnsi="宋体" w:cs="宋体"/>
                <w:color w:val="000000"/>
                <w:sz w:val="20"/>
              </w:rPr>
              <w:t>1</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5" w:type="dxa"/>
          <w:trHeight w:val="460"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96</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网络机柜12U</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rPr>
            </w:pP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rPr>
            </w:pP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hAnsi="宋体" w:cs="宋体"/>
                <w:color w:val="000000"/>
                <w:sz w:val="20"/>
              </w:rPr>
            </w:pP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rPr>
            </w:pP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97</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附材</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r>
      <w:tr>
        <w:tblPrEx>
          <w:tblCellMar>
            <w:top w:w="0" w:type="dxa"/>
            <w:left w:w="0" w:type="dxa"/>
            <w:bottom w:w="0" w:type="dxa"/>
            <w:right w:w="0" w:type="dxa"/>
          </w:tblCellMar>
        </w:tblPrEx>
        <w:trPr>
          <w:gridBefore w:val="1"/>
          <w:wBefore w:w="5" w:type="dxa"/>
          <w:trHeight w:val="402" w:hRule="atLeast"/>
        </w:trPr>
        <w:tc>
          <w:tcPr>
            <w:tcW w:w="1301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b/>
                <w:color w:val="000000"/>
                <w:sz w:val="20"/>
              </w:rPr>
              <w:t>5、智能感知系统</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98</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人脸摄像机带定向智能感知设备</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2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5" w:type="dxa"/>
          <w:trHeight w:val="402" w:hRule="atLeast"/>
        </w:trPr>
        <w:tc>
          <w:tcPr>
            <w:tcW w:w="1301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b/>
                <w:color w:val="000000"/>
                <w:sz w:val="20"/>
              </w:rPr>
              <w:t>6、入侵报警系统</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99</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中央控制器</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100</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主机键盘</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101</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监控软件</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102</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网络IP模块</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103</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D1类高能量SPD</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104</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四路网络模块</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105</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二路网络模块</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61 </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25 </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 </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102</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106</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16路继电器输出控制器</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107</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32路继电器输出控制器</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108</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烟感探测器</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160 </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66 </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20 </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255</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109</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电源</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61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 </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77</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110</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声光警号</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111</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四道单防区控制杆（含底座）</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112</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四道双防区控制杆（含底座）</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113</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交流电源24V</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114</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避雷器</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 </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115</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中间支撑杆（含底座）</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33 </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 </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40</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116</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终端受力杆（含底座）</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17 </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18</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117</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束线器</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144 </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16 </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160</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118</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转向滑轮</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44 </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44</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119</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张力收紧器</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36 </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40</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120</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张力弹簧</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36 </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40</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121</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多股张力线</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540 </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100 </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640</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122</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警示牌</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14 </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16</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123</w:t>
            </w:r>
          </w:p>
        </w:tc>
        <w:tc>
          <w:tcPr>
            <w:tcW w:w="38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接地桩（含接地线）</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 </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124</w:t>
            </w:r>
          </w:p>
        </w:tc>
        <w:tc>
          <w:tcPr>
            <w:tcW w:w="38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304不锈钢防水箱</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125</w:t>
            </w:r>
          </w:p>
        </w:tc>
        <w:tc>
          <w:tcPr>
            <w:tcW w:w="38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单防区模块</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 </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126</w:t>
            </w:r>
          </w:p>
        </w:tc>
        <w:tc>
          <w:tcPr>
            <w:tcW w:w="38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报警联动灯</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2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7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r>
      <w:tr>
        <w:tblPrEx>
          <w:tblCellMar>
            <w:top w:w="0" w:type="dxa"/>
            <w:left w:w="0" w:type="dxa"/>
            <w:bottom w:w="0" w:type="dxa"/>
            <w:right w:w="0" w:type="dxa"/>
          </w:tblCellMar>
        </w:tblPrEx>
        <w:trPr>
          <w:gridBefore w:val="1"/>
          <w:wBefore w:w="5" w:type="dxa"/>
          <w:trHeight w:val="402" w:hRule="atLeast"/>
        </w:trPr>
        <w:tc>
          <w:tcPr>
            <w:tcW w:w="1301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b/>
                <w:bCs/>
                <w:color w:val="000000"/>
                <w:sz w:val="20"/>
              </w:rPr>
              <w:t>7、街道平台侧扩容</w:t>
            </w:r>
          </w:p>
        </w:tc>
      </w:tr>
      <w:tr>
        <w:tblPrEx>
          <w:tblCellMar>
            <w:top w:w="0" w:type="dxa"/>
            <w:left w:w="0" w:type="dxa"/>
            <w:bottom w:w="0" w:type="dxa"/>
            <w:right w:w="0" w:type="dxa"/>
          </w:tblCellMar>
        </w:tblPrEx>
        <w:trPr>
          <w:gridBefore w:val="1"/>
          <w:wBefore w:w="5" w:type="dxa"/>
          <w:trHeight w:val="402"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127</w:t>
            </w:r>
          </w:p>
        </w:tc>
        <w:tc>
          <w:tcPr>
            <w:tcW w:w="38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街道数据汇聚（标准平台）</w:t>
            </w:r>
          </w:p>
        </w:tc>
        <w:tc>
          <w:tcPr>
            <w:tcW w:w="8368"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5" w:type="dxa"/>
          <w:trHeight w:val="402" w:hRule="atLeast"/>
        </w:trPr>
        <w:tc>
          <w:tcPr>
            <w:tcW w:w="1301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b/>
                <w:bCs/>
                <w:color w:val="000000"/>
                <w:sz w:val="20"/>
              </w:rPr>
            </w:pPr>
            <w:r>
              <w:rPr>
                <w:rFonts w:hint="eastAsia" w:ascii="宋体" w:hAnsi="宋体" w:cs="宋体"/>
                <w:b/>
                <w:bCs/>
                <w:color w:val="000000"/>
                <w:sz w:val="20"/>
              </w:rPr>
              <w:t>8、管线、安装、调试</w:t>
            </w:r>
          </w:p>
        </w:tc>
      </w:tr>
      <w:tr>
        <w:tblPrEx>
          <w:tblCellMar>
            <w:top w:w="0" w:type="dxa"/>
            <w:left w:w="108" w:type="dxa"/>
            <w:bottom w:w="0" w:type="dxa"/>
            <w:right w:w="108" w:type="dxa"/>
          </w:tblCellMar>
        </w:tblPrEx>
        <w:trPr>
          <w:gridAfter w:val="1"/>
          <w:wAfter w:w="100" w:type="dxa"/>
          <w:trHeight w:val="450" w:hRule="atLeast"/>
        </w:trPr>
        <w:tc>
          <w:tcPr>
            <w:tcW w:w="80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序号</w:t>
            </w: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采购内容</w:t>
            </w:r>
          </w:p>
        </w:tc>
        <w:tc>
          <w:tcPr>
            <w:tcW w:w="7851"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规格要求</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数量</w:t>
            </w:r>
          </w:p>
        </w:tc>
      </w:tr>
      <w:tr>
        <w:tblPrEx>
          <w:tblCellMar>
            <w:top w:w="0" w:type="dxa"/>
            <w:left w:w="108" w:type="dxa"/>
            <w:bottom w:w="0" w:type="dxa"/>
            <w:right w:w="108" w:type="dxa"/>
          </w:tblCellMar>
        </w:tblPrEx>
        <w:trPr>
          <w:gridAfter w:val="1"/>
          <w:wAfter w:w="100" w:type="dxa"/>
          <w:trHeight w:val="450" w:hRule="atLeast"/>
        </w:trPr>
        <w:tc>
          <w:tcPr>
            <w:tcW w:w="80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电缆保护管</w:t>
            </w:r>
          </w:p>
        </w:tc>
        <w:tc>
          <w:tcPr>
            <w:tcW w:w="7851"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镀锌钢管埋地敷设SC25</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76.89</w:t>
            </w:r>
          </w:p>
        </w:tc>
      </w:tr>
      <w:tr>
        <w:tblPrEx>
          <w:tblCellMar>
            <w:top w:w="0" w:type="dxa"/>
            <w:left w:w="108" w:type="dxa"/>
            <w:bottom w:w="0" w:type="dxa"/>
            <w:right w:w="108" w:type="dxa"/>
          </w:tblCellMar>
        </w:tblPrEx>
        <w:trPr>
          <w:gridAfter w:val="1"/>
          <w:wAfter w:w="100" w:type="dxa"/>
          <w:trHeight w:val="450" w:hRule="atLeast"/>
        </w:trPr>
        <w:tc>
          <w:tcPr>
            <w:tcW w:w="80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电缆保护管</w:t>
            </w:r>
          </w:p>
        </w:tc>
        <w:tc>
          <w:tcPr>
            <w:tcW w:w="7851"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镀锌钢管埋地敷设SC32</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4.07</w:t>
            </w:r>
          </w:p>
        </w:tc>
      </w:tr>
      <w:tr>
        <w:tblPrEx>
          <w:tblCellMar>
            <w:top w:w="0" w:type="dxa"/>
            <w:left w:w="108" w:type="dxa"/>
            <w:bottom w:w="0" w:type="dxa"/>
            <w:right w:w="108" w:type="dxa"/>
          </w:tblCellMar>
        </w:tblPrEx>
        <w:trPr>
          <w:gridAfter w:val="1"/>
          <w:wAfter w:w="100" w:type="dxa"/>
          <w:trHeight w:val="450" w:hRule="atLeast"/>
        </w:trPr>
        <w:tc>
          <w:tcPr>
            <w:tcW w:w="80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电缆保护管</w:t>
            </w:r>
          </w:p>
        </w:tc>
        <w:tc>
          <w:tcPr>
            <w:tcW w:w="7851"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镀锌钢管埋地敷设SC50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21.37</w:t>
            </w:r>
          </w:p>
        </w:tc>
      </w:tr>
      <w:tr>
        <w:tblPrEx>
          <w:tblCellMar>
            <w:top w:w="0" w:type="dxa"/>
            <w:left w:w="108" w:type="dxa"/>
            <w:bottom w:w="0" w:type="dxa"/>
            <w:right w:w="108" w:type="dxa"/>
          </w:tblCellMar>
        </w:tblPrEx>
        <w:trPr>
          <w:gridAfter w:val="1"/>
          <w:wAfter w:w="100" w:type="dxa"/>
          <w:trHeight w:val="450" w:hRule="atLeast"/>
        </w:trPr>
        <w:tc>
          <w:tcPr>
            <w:tcW w:w="80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电缆保护管</w:t>
            </w:r>
          </w:p>
        </w:tc>
        <w:tc>
          <w:tcPr>
            <w:tcW w:w="7851"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镀锌钢管埋地敷设SC100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0.99</w:t>
            </w:r>
          </w:p>
        </w:tc>
      </w:tr>
      <w:tr>
        <w:tblPrEx>
          <w:tblCellMar>
            <w:top w:w="0" w:type="dxa"/>
            <w:left w:w="108" w:type="dxa"/>
            <w:bottom w:w="0" w:type="dxa"/>
            <w:right w:w="108" w:type="dxa"/>
          </w:tblCellMar>
        </w:tblPrEx>
        <w:trPr>
          <w:gridAfter w:val="1"/>
          <w:wAfter w:w="100" w:type="dxa"/>
          <w:trHeight w:val="450" w:hRule="atLeast"/>
        </w:trPr>
        <w:tc>
          <w:tcPr>
            <w:tcW w:w="80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7851"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PE20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26.06</w:t>
            </w:r>
          </w:p>
        </w:tc>
      </w:tr>
      <w:tr>
        <w:tblPrEx>
          <w:tblCellMar>
            <w:top w:w="0" w:type="dxa"/>
            <w:left w:w="108" w:type="dxa"/>
            <w:bottom w:w="0" w:type="dxa"/>
            <w:right w:w="108" w:type="dxa"/>
          </w:tblCellMar>
        </w:tblPrEx>
        <w:trPr>
          <w:gridAfter w:val="1"/>
          <w:wAfter w:w="100" w:type="dxa"/>
          <w:trHeight w:val="450" w:hRule="atLeast"/>
        </w:trPr>
        <w:tc>
          <w:tcPr>
            <w:tcW w:w="80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6</w:t>
            </w: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7851"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PE25</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68.65</w:t>
            </w:r>
          </w:p>
        </w:tc>
      </w:tr>
      <w:tr>
        <w:tblPrEx>
          <w:tblCellMar>
            <w:top w:w="0" w:type="dxa"/>
            <w:left w:w="108" w:type="dxa"/>
            <w:bottom w:w="0" w:type="dxa"/>
            <w:right w:w="108" w:type="dxa"/>
          </w:tblCellMar>
        </w:tblPrEx>
        <w:trPr>
          <w:gridAfter w:val="1"/>
          <w:wAfter w:w="100" w:type="dxa"/>
          <w:trHeight w:val="450" w:hRule="atLeast"/>
        </w:trPr>
        <w:tc>
          <w:tcPr>
            <w:tcW w:w="80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7</w:t>
            </w: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7851"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PE32</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123.96</w:t>
            </w:r>
          </w:p>
        </w:tc>
      </w:tr>
      <w:tr>
        <w:tblPrEx>
          <w:tblCellMar>
            <w:top w:w="0" w:type="dxa"/>
            <w:left w:w="108" w:type="dxa"/>
            <w:bottom w:w="0" w:type="dxa"/>
            <w:right w:w="108" w:type="dxa"/>
          </w:tblCellMar>
        </w:tblPrEx>
        <w:trPr>
          <w:gridAfter w:val="1"/>
          <w:wAfter w:w="100" w:type="dxa"/>
          <w:trHeight w:val="450" w:hRule="atLeast"/>
        </w:trPr>
        <w:tc>
          <w:tcPr>
            <w:tcW w:w="80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8</w:t>
            </w: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7851"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PE50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102.95</w:t>
            </w:r>
          </w:p>
        </w:tc>
      </w:tr>
      <w:tr>
        <w:tblPrEx>
          <w:tblCellMar>
            <w:top w:w="0" w:type="dxa"/>
            <w:left w:w="108" w:type="dxa"/>
            <w:bottom w:w="0" w:type="dxa"/>
            <w:right w:w="108" w:type="dxa"/>
          </w:tblCellMar>
        </w:tblPrEx>
        <w:trPr>
          <w:gridAfter w:val="1"/>
          <w:wAfter w:w="100" w:type="dxa"/>
          <w:trHeight w:val="450" w:hRule="atLeast"/>
        </w:trPr>
        <w:tc>
          <w:tcPr>
            <w:tcW w:w="80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9</w:t>
            </w: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7851"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PE100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55.78</w:t>
            </w:r>
          </w:p>
        </w:tc>
      </w:tr>
      <w:tr>
        <w:tblPrEx>
          <w:tblCellMar>
            <w:top w:w="0" w:type="dxa"/>
            <w:left w:w="108" w:type="dxa"/>
            <w:bottom w:w="0" w:type="dxa"/>
            <w:right w:w="108" w:type="dxa"/>
          </w:tblCellMar>
        </w:tblPrEx>
        <w:trPr>
          <w:gridAfter w:val="1"/>
          <w:wAfter w:w="100" w:type="dxa"/>
          <w:trHeight w:val="450" w:hRule="atLeast"/>
        </w:trPr>
        <w:tc>
          <w:tcPr>
            <w:tcW w:w="80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7851"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砖、混凝土结构明配JDG管 JDG20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86.88</w:t>
            </w:r>
          </w:p>
        </w:tc>
      </w:tr>
      <w:tr>
        <w:tblPrEx>
          <w:tblCellMar>
            <w:top w:w="0" w:type="dxa"/>
            <w:left w:w="108" w:type="dxa"/>
            <w:bottom w:w="0" w:type="dxa"/>
            <w:right w:w="108" w:type="dxa"/>
          </w:tblCellMar>
        </w:tblPrEx>
        <w:trPr>
          <w:gridAfter w:val="1"/>
          <w:wAfter w:w="100" w:type="dxa"/>
          <w:trHeight w:val="450" w:hRule="atLeast"/>
        </w:trPr>
        <w:tc>
          <w:tcPr>
            <w:tcW w:w="80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11</w:t>
            </w: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7851"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砖、混凝土结构明配JDG管 JDG32</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686.33</w:t>
            </w:r>
          </w:p>
        </w:tc>
      </w:tr>
      <w:tr>
        <w:tblPrEx>
          <w:tblCellMar>
            <w:top w:w="0" w:type="dxa"/>
            <w:left w:w="108" w:type="dxa"/>
            <w:bottom w:w="0" w:type="dxa"/>
            <w:right w:w="108" w:type="dxa"/>
          </w:tblCellMar>
        </w:tblPrEx>
        <w:trPr>
          <w:gridAfter w:val="1"/>
          <w:wAfter w:w="100" w:type="dxa"/>
          <w:trHeight w:val="570" w:hRule="atLeast"/>
        </w:trPr>
        <w:tc>
          <w:tcPr>
            <w:tcW w:w="80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12</w:t>
            </w: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7851"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砖、混凝土结构明配刚性阻燃管 PVC20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607.26</w:t>
            </w:r>
          </w:p>
        </w:tc>
      </w:tr>
      <w:tr>
        <w:tblPrEx>
          <w:tblCellMar>
            <w:top w:w="0" w:type="dxa"/>
            <w:left w:w="108" w:type="dxa"/>
            <w:bottom w:w="0" w:type="dxa"/>
            <w:right w:w="108" w:type="dxa"/>
          </w:tblCellMar>
        </w:tblPrEx>
        <w:trPr>
          <w:gridAfter w:val="1"/>
          <w:wAfter w:w="100" w:type="dxa"/>
          <w:trHeight w:val="570" w:hRule="atLeast"/>
        </w:trPr>
        <w:tc>
          <w:tcPr>
            <w:tcW w:w="80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13</w:t>
            </w: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7851"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砖、混凝土结构明配刚性阻燃管 PVC25</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8285.51</w:t>
            </w:r>
          </w:p>
        </w:tc>
      </w:tr>
      <w:tr>
        <w:tblPrEx>
          <w:tblCellMar>
            <w:top w:w="0" w:type="dxa"/>
            <w:left w:w="108" w:type="dxa"/>
            <w:bottom w:w="0" w:type="dxa"/>
            <w:right w:w="108" w:type="dxa"/>
          </w:tblCellMar>
        </w:tblPrEx>
        <w:trPr>
          <w:gridAfter w:val="1"/>
          <w:wAfter w:w="100" w:type="dxa"/>
          <w:trHeight w:val="450" w:hRule="atLeast"/>
        </w:trPr>
        <w:tc>
          <w:tcPr>
            <w:tcW w:w="80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14</w:t>
            </w: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w:t>
            </w:r>
          </w:p>
        </w:tc>
        <w:tc>
          <w:tcPr>
            <w:tcW w:w="7851"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 管内穿放CAT6(室外型)</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4778.24</w:t>
            </w:r>
          </w:p>
        </w:tc>
      </w:tr>
      <w:tr>
        <w:tblPrEx>
          <w:tblCellMar>
            <w:top w:w="0" w:type="dxa"/>
            <w:left w:w="108" w:type="dxa"/>
            <w:bottom w:w="0" w:type="dxa"/>
            <w:right w:w="108" w:type="dxa"/>
          </w:tblCellMar>
        </w:tblPrEx>
        <w:trPr>
          <w:gridAfter w:val="1"/>
          <w:wAfter w:w="100" w:type="dxa"/>
          <w:trHeight w:val="450" w:hRule="atLeast"/>
        </w:trPr>
        <w:tc>
          <w:tcPr>
            <w:tcW w:w="80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15</w:t>
            </w: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w:t>
            </w:r>
          </w:p>
        </w:tc>
        <w:tc>
          <w:tcPr>
            <w:tcW w:w="7851"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 管内穿放CAT5E</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20207.59</w:t>
            </w:r>
          </w:p>
        </w:tc>
      </w:tr>
      <w:tr>
        <w:tblPrEx>
          <w:tblCellMar>
            <w:top w:w="0" w:type="dxa"/>
            <w:left w:w="108" w:type="dxa"/>
            <w:bottom w:w="0" w:type="dxa"/>
            <w:right w:w="108" w:type="dxa"/>
          </w:tblCellMar>
        </w:tblPrEx>
        <w:trPr>
          <w:gridAfter w:val="1"/>
          <w:wAfter w:w="100" w:type="dxa"/>
          <w:trHeight w:val="450" w:hRule="atLeast"/>
        </w:trPr>
        <w:tc>
          <w:tcPr>
            <w:tcW w:w="80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16</w:t>
            </w: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控制电缆</w:t>
            </w:r>
          </w:p>
        </w:tc>
        <w:tc>
          <w:tcPr>
            <w:tcW w:w="7851"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控制电缆敷设 KVVR2*1.5</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908.91</w:t>
            </w:r>
          </w:p>
        </w:tc>
      </w:tr>
      <w:tr>
        <w:tblPrEx>
          <w:tblCellMar>
            <w:top w:w="0" w:type="dxa"/>
            <w:left w:w="108" w:type="dxa"/>
            <w:bottom w:w="0" w:type="dxa"/>
            <w:right w:w="108" w:type="dxa"/>
          </w:tblCellMar>
        </w:tblPrEx>
        <w:trPr>
          <w:gridAfter w:val="1"/>
          <w:wAfter w:w="100" w:type="dxa"/>
          <w:trHeight w:val="450" w:hRule="atLeast"/>
        </w:trPr>
        <w:tc>
          <w:tcPr>
            <w:tcW w:w="80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17</w:t>
            </w: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控制电缆</w:t>
            </w:r>
          </w:p>
        </w:tc>
        <w:tc>
          <w:tcPr>
            <w:tcW w:w="7851"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控制电缆敷设 KVVR2*1.0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20970.37</w:t>
            </w:r>
          </w:p>
        </w:tc>
      </w:tr>
      <w:tr>
        <w:tblPrEx>
          <w:tblCellMar>
            <w:top w:w="0" w:type="dxa"/>
            <w:left w:w="108" w:type="dxa"/>
            <w:bottom w:w="0" w:type="dxa"/>
            <w:right w:w="108" w:type="dxa"/>
          </w:tblCellMar>
        </w:tblPrEx>
        <w:trPr>
          <w:gridAfter w:val="1"/>
          <w:wAfter w:w="100" w:type="dxa"/>
          <w:trHeight w:val="450" w:hRule="atLeast"/>
        </w:trPr>
        <w:tc>
          <w:tcPr>
            <w:tcW w:w="80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18</w:t>
            </w: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配线</w:t>
            </w:r>
          </w:p>
        </w:tc>
        <w:tc>
          <w:tcPr>
            <w:tcW w:w="7851"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四芯单芯导线 RVV4*1.0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2153.87</w:t>
            </w:r>
          </w:p>
        </w:tc>
      </w:tr>
      <w:tr>
        <w:tblPrEx>
          <w:tblCellMar>
            <w:top w:w="0" w:type="dxa"/>
            <w:left w:w="108" w:type="dxa"/>
            <w:bottom w:w="0" w:type="dxa"/>
            <w:right w:w="108" w:type="dxa"/>
          </w:tblCellMar>
        </w:tblPrEx>
        <w:trPr>
          <w:gridAfter w:val="1"/>
          <w:wAfter w:w="100" w:type="dxa"/>
          <w:trHeight w:val="450" w:hRule="atLeast"/>
        </w:trPr>
        <w:tc>
          <w:tcPr>
            <w:tcW w:w="80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19</w:t>
            </w: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配线</w:t>
            </w:r>
          </w:p>
        </w:tc>
        <w:tc>
          <w:tcPr>
            <w:tcW w:w="7851"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二芯单芯导线 RVV2*1.0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17451.85</w:t>
            </w:r>
          </w:p>
        </w:tc>
      </w:tr>
      <w:tr>
        <w:tblPrEx>
          <w:tblCellMar>
            <w:top w:w="0" w:type="dxa"/>
            <w:left w:w="108" w:type="dxa"/>
            <w:bottom w:w="0" w:type="dxa"/>
            <w:right w:w="108" w:type="dxa"/>
          </w:tblCellMar>
        </w:tblPrEx>
        <w:trPr>
          <w:gridAfter w:val="1"/>
          <w:wAfter w:w="100" w:type="dxa"/>
          <w:trHeight w:val="450" w:hRule="atLeast"/>
        </w:trPr>
        <w:tc>
          <w:tcPr>
            <w:tcW w:w="80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20</w:t>
            </w: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光缆</w:t>
            </w:r>
          </w:p>
        </w:tc>
        <w:tc>
          <w:tcPr>
            <w:tcW w:w="7851"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室外四芯单模光纤安装</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3188.39</w:t>
            </w:r>
          </w:p>
        </w:tc>
      </w:tr>
      <w:tr>
        <w:tblPrEx>
          <w:tblCellMar>
            <w:top w:w="0" w:type="dxa"/>
            <w:left w:w="108" w:type="dxa"/>
            <w:bottom w:w="0" w:type="dxa"/>
            <w:right w:w="108" w:type="dxa"/>
          </w:tblCellMar>
        </w:tblPrEx>
        <w:trPr>
          <w:gridAfter w:val="1"/>
          <w:wAfter w:w="100" w:type="dxa"/>
          <w:trHeight w:val="450" w:hRule="atLeast"/>
        </w:trPr>
        <w:tc>
          <w:tcPr>
            <w:tcW w:w="80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21</w:t>
            </w: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电力电缆</w:t>
            </w:r>
          </w:p>
        </w:tc>
        <w:tc>
          <w:tcPr>
            <w:tcW w:w="7851"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铜芯电力电缆敷设 YJV-3*2.5</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165.76</w:t>
            </w:r>
          </w:p>
        </w:tc>
      </w:tr>
      <w:tr>
        <w:tblPrEx>
          <w:tblCellMar>
            <w:top w:w="0" w:type="dxa"/>
            <w:left w:w="108" w:type="dxa"/>
            <w:bottom w:w="0" w:type="dxa"/>
            <w:right w:w="108" w:type="dxa"/>
          </w:tblCellMar>
        </w:tblPrEx>
        <w:trPr>
          <w:gridAfter w:val="1"/>
          <w:wAfter w:w="100" w:type="dxa"/>
          <w:trHeight w:val="450" w:hRule="atLeast"/>
        </w:trPr>
        <w:tc>
          <w:tcPr>
            <w:tcW w:w="80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22</w:t>
            </w: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电力电缆</w:t>
            </w:r>
          </w:p>
        </w:tc>
        <w:tc>
          <w:tcPr>
            <w:tcW w:w="7851"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铜芯电力电缆敷设 YJV-3*4</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509.62</w:t>
            </w:r>
          </w:p>
        </w:tc>
      </w:tr>
      <w:tr>
        <w:tblPrEx>
          <w:tblCellMar>
            <w:top w:w="0" w:type="dxa"/>
            <w:left w:w="108" w:type="dxa"/>
            <w:bottom w:w="0" w:type="dxa"/>
            <w:right w:w="108" w:type="dxa"/>
          </w:tblCellMar>
        </w:tblPrEx>
        <w:trPr>
          <w:gridAfter w:val="1"/>
          <w:wAfter w:w="100" w:type="dxa"/>
          <w:trHeight w:val="450" w:hRule="atLeast"/>
        </w:trPr>
        <w:tc>
          <w:tcPr>
            <w:tcW w:w="80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23</w:t>
            </w: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打孔</w:t>
            </w:r>
          </w:p>
        </w:tc>
        <w:tc>
          <w:tcPr>
            <w:tcW w:w="7851"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墙面入户管打孔</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2684</w:t>
            </w:r>
          </w:p>
        </w:tc>
      </w:tr>
      <w:tr>
        <w:tblPrEx>
          <w:tblCellMar>
            <w:top w:w="0" w:type="dxa"/>
            <w:left w:w="108" w:type="dxa"/>
            <w:bottom w:w="0" w:type="dxa"/>
            <w:right w:w="108" w:type="dxa"/>
          </w:tblCellMar>
        </w:tblPrEx>
        <w:trPr>
          <w:gridAfter w:val="1"/>
          <w:wAfter w:w="100" w:type="dxa"/>
          <w:trHeight w:val="450" w:hRule="atLeast"/>
        </w:trPr>
        <w:tc>
          <w:tcPr>
            <w:tcW w:w="80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24</w:t>
            </w: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手孔井</w:t>
            </w:r>
          </w:p>
        </w:tc>
        <w:tc>
          <w:tcPr>
            <w:tcW w:w="7851"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弱电手孔井 600*600*700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2</w:t>
            </w:r>
          </w:p>
        </w:tc>
      </w:tr>
      <w:tr>
        <w:tblPrEx>
          <w:tblCellMar>
            <w:top w:w="0" w:type="dxa"/>
            <w:left w:w="108" w:type="dxa"/>
            <w:bottom w:w="0" w:type="dxa"/>
            <w:right w:w="108" w:type="dxa"/>
          </w:tblCellMar>
        </w:tblPrEx>
        <w:trPr>
          <w:gridAfter w:val="1"/>
          <w:wAfter w:w="100" w:type="dxa"/>
          <w:trHeight w:val="570" w:hRule="atLeast"/>
        </w:trPr>
        <w:tc>
          <w:tcPr>
            <w:tcW w:w="80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25</w:t>
            </w: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挖沟槽土方</w:t>
            </w:r>
          </w:p>
        </w:tc>
        <w:tc>
          <w:tcPr>
            <w:tcW w:w="7851"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绿化下素土开挖：人机配合挖沟槽土方不装车，土方类别综合考虑</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49.74</w:t>
            </w:r>
          </w:p>
        </w:tc>
      </w:tr>
      <w:tr>
        <w:tblPrEx>
          <w:tblCellMar>
            <w:top w:w="0" w:type="dxa"/>
            <w:left w:w="108" w:type="dxa"/>
            <w:bottom w:w="0" w:type="dxa"/>
            <w:right w:w="108" w:type="dxa"/>
          </w:tblCellMar>
        </w:tblPrEx>
        <w:trPr>
          <w:gridAfter w:val="1"/>
          <w:wAfter w:w="100" w:type="dxa"/>
          <w:trHeight w:val="570" w:hRule="atLeast"/>
        </w:trPr>
        <w:tc>
          <w:tcPr>
            <w:tcW w:w="80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26</w:t>
            </w: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挖沟槽土方</w:t>
            </w:r>
          </w:p>
        </w:tc>
        <w:tc>
          <w:tcPr>
            <w:tcW w:w="7851"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道路结构下开挖塘渣：人机配合挖沟槽四类土不装车</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9.39</w:t>
            </w:r>
          </w:p>
        </w:tc>
      </w:tr>
      <w:tr>
        <w:tblPrEx>
          <w:tblCellMar>
            <w:top w:w="0" w:type="dxa"/>
            <w:left w:w="108" w:type="dxa"/>
            <w:bottom w:w="0" w:type="dxa"/>
            <w:right w:w="108" w:type="dxa"/>
          </w:tblCellMar>
        </w:tblPrEx>
        <w:trPr>
          <w:gridAfter w:val="1"/>
          <w:wAfter w:w="100" w:type="dxa"/>
          <w:trHeight w:val="450" w:hRule="atLeast"/>
        </w:trPr>
        <w:tc>
          <w:tcPr>
            <w:tcW w:w="80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27</w:t>
            </w: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拆除路面</w:t>
            </w:r>
          </w:p>
        </w:tc>
        <w:tc>
          <w:tcPr>
            <w:tcW w:w="7851"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混凝土路面开挖及修复</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13.89</w:t>
            </w:r>
          </w:p>
        </w:tc>
      </w:tr>
      <w:tr>
        <w:tblPrEx>
          <w:tblCellMar>
            <w:top w:w="0" w:type="dxa"/>
            <w:left w:w="108" w:type="dxa"/>
            <w:bottom w:w="0" w:type="dxa"/>
            <w:right w:w="108" w:type="dxa"/>
          </w:tblCellMar>
        </w:tblPrEx>
        <w:trPr>
          <w:gridAfter w:val="1"/>
          <w:wAfter w:w="100" w:type="dxa"/>
          <w:trHeight w:val="450" w:hRule="atLeast"/>
        </w:trPr>
        <w:tc>
          <w:tcPr>
            <w:tcW w:w="80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28</w:t>
            </w: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回填方</w:t>
            </w:r>
          </w:p>
        </w:tc>
        <w:tc>
          <w:tcPr>
            <w:tcW w:w="7851"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沟槽原土回填</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12.24</w:t>
            </w:r>
          </w:p>
        </w:tc>
      </w:tr>
      <w:tr>
        <w:tblPrEx>
          <w:tblCellMar>
            <w:top w:w="0" w:type="dxa"/>
            <w:left w:w="108" w:type="dxa"/>
            <w:bottom w:w="0" w:type="dxa"/>
            <w:right w:w="108" w:type="dxa"/>
          </w:tblCellMar>
        </w:tblPrEx>
        <w:trPr>
          <w:gridAfter w:val="1"/>
          <w:wAfter w:w="100" w:type="dxa"/>
          <w:trHeight w:val="450" w:hRule="atLeast"/>
        </w:trPr>
        <w:tc>
          <w:tcPr>
            <w:tcW w:w="80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29</w:t>
            </w: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回填方</w:t>
            </w:r>
          </w:p>
        </w:tc>
        <w:tc>
          <w:tcPr>
            <w:tcW w:w="7851"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沟槽机制砂回填</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9.06</w:t>
            </w:r>
          </w:p>
        </w:tc>
      </w:tr>
      <w:tr>
        <w:tblPrEx>
          <w:tblCellMar>
            <w:top w:w="0" w:type="dxa"/>
            <w:left w:w="108" w:type="dxa"/>
            <w:bottom w:w="0" w:type="dxa"/>
            <w:right w:w="108" w:type="dxa"/>
          </w:tblCellMar>
        </w:tblPrEx>
        <w:trPr>
          <w:gridAfter w:val="1"/>
          <w:wAfter w:w="100" w:type="dxa"/>
          <w:trHeight w:val="450" w:hRule="atLeast"/>
        </w:trPr>
        <w:tc>
          <w:tcPr>
            <w:tcW w:w="80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30</w:t>
            </w:r>
          </w:p>
        </w:tc>
        <w:tc>
          <w:tcPr>
            <w:tcW w:w="2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回填方</w:t>
            </w:r>
          </w:p>
        </w:tc>
        <w:tc>
          <w:tcPr>
            <w:tcW w:w="7851"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渠（管）道垫层 机制砂</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11.51</w:t>
            </w:r>
          </w:p>
        </w:tc>
      </w:tr>
    </w:tbl>
    <w:p/>
    <w:p>
      <w:pPr>
        <w:pStyle w:val="2"/>
      </w:pPr>
    </w:p>
    <w:p>
      <w:pPr>
        <w:spacing w:line="360" w:lineRule="auto"/>
        <w:rPr>
          <w:rFonts w:eastAsia="宋体"/>
          <w:b/>
          <w:bCs/>
        </w:rPr>
      </w:pPr>
      <w:r>
        <w:rPr>
          <w:rFonts w:hint="eastAsia"/>
          <w:b/>
          <w:bCs/>
        </w:rPr>
        <w:t>月湖街道各小区设备配置清单</w:t>
      </w:r>
    </w:p>
    <w:tbl>
      <w:tblPr>
        <w:tblStyle w:val="14"/>
        <w:tblW w:w="13018" w:type="dxa"/>
        <w:tblInd w:w="0" w:type="dxa"/>
        <w:tblLayout w:type="fixed"/>
        <w:tblCellMar>
          <w:top w:w="0" w:type="dxa"/>
          <w:left w:w="0" w:type="dxa"/>
          <w:bottom w:w="0" w:type="dxa"/>
          <w:right w:w="0" w:type="dxa"/>
        </w:tblCellMar>
      </w:tblPr>
      <w:tblGrid>
        <w:gridCol w:w="6"/>
        <w:gridCol w:w="371"/>
        <w:gridCol w:w="225"/>
        <w:gridCol w:w="2186"/>
        <w:gridCol w:w="117"/>
        <w:gridCol w:w="669"/>
        <w:gridCol w:w="506"/>
        <w:gridCol w:w="713"/>
        <w:gridCol w:w="773"/>
        <w:gridCol w:w="506"/>
        <w:gridCol w:w="520"/>
        <w:gridCol w:w="817"/>
        <w:gridCol w:w="817"/>
        <w:gridCol w:w="550"/>
        <w:gridCol w:w="788"/>
        <w:gridCol w:w="885"/>
        <w:gridCol w:w="171"/>
        <w:gridCol w:w="960"/>
        <w:gridCol w:w="483"/>
        <w:gridCol w:w="841"/>
        <w:gridCol w:w="114"/>
      </w:tblGrid>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序号</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设备名称</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紫金梅园小区</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月湖人家</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广济街14.16号</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太阳公寓仓基街61号</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仓基小区</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游河小区</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解放南路265、267、269</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菱池街（凌池西区）</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菱池东区</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桂井街14.18号</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6"/>
                <w:szCs w:val="16"/>
              </w:rPr>
            </w:pPr>
            <w:r>
              <w:rPr>
                <w:rFonts w:hint="eastAsia" w:ascii="宋体" w:hAnsi="宋体" w:cs="宋体"/>
                <w:color w:val="000000"/>
                <w:sz w:val="16"/>
                <w:szCs w:val="16"/>
              </w:rPr>
              <w:t>青石巷1、2号、4-6号、6号-1、惠政巷31号</w:t>
            </w: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6"/>
                <w:szCs w:val="16"/>
              </w:rPr>
            </w:pPr>
            <w:r>
              <w:rPr>
                <w:rFonts w:hint="eastAsia" w:ascii="宋体" w:hAnsi="宋体" w:cs="宋体"/>
                <w:color w:val="000000"/>
                <w:sz w:val="16"/>
                <w:szCs w:val="16"/>
              </w:rPr>
              <w:t>中山西路207号、201弄11-16号中山西路等零星地块</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数量</w:t>
            </w:r>
          </w:p>
        </w:tc>
      </w:tr>
      <w:tr>
        <w:tblPrEx>
          <w:tblCellMar>
            <w:top w:w="0" w:type="dxa"/>
            <w:left w:w="0" w:type="dxa"/>
            <w:bottom w:w="0" w:type="dxa"/>
            <w:right w:w="0" w:type="dxa"/>
          </w:tblCellMar>
        </w:tblPrEx>
        <w:trPr>
          <w:gridBefore w:val="1"/>
          <w:wBefore w:w="6" w:type="dxa"/>
          <w:trHeight w:val="402" w:hRule="atLeast"/>
        </w:trPr>
        <w:tc>
          <w:tcPr>
            <w:tcW w:w="13018" w:type="dxa"/>
            <w:gridSpan w:val="2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rPr>
            </w:pPr>
            <w:r>
              <w:rPr>
                <w:rFonts w:hint="eastAsia" w:ascii="宋体" w:hAnsi="宋体" w:cs="宋体"/>
                <w:b/>
                <w:color w:val="000000"/>
                <w:sz w:val="20"/>
              </w:rPr>
              <w:t>1、出入口控制系统1（人行出入口）</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智慧门</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双目人脸识别可视对讲围墙机</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22</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主机电源12V/2A</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21</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磁力锁</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专用锁电源</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14</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闭门器</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防水出门按钮及支架</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20</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人证合一 一体机</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USB人像采集</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基础（智慧门、围墙机支架、出门按钮支架）</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r>
      <w:tr>
        <w:tblPrEx>
          <w:tblCellMar>
            <w:top w:w="0" w:type="dxa"/>
            <w:left w:w="0" w:type="dxa"/>
            <w:bottom w:w="0" w:type="dxa"/>
            <w:right w:w="0" w:type="dxa"/>
          </w:tblCellMar>
        </w:tblPrEx>
        <w:trPr>
          <w:gridBefore w:val="1"/>
          <w:wBefore w:w="6" w:type="dxa"/>
          <w:trHeight w:val="402" w:hRule="atLeast"/>
        </w:trPr>
        <w:tc>
          <w:tcPr>
            <w:tcW w:w="13018" w:type="dxa"/>
            <w:gridSpan w:val="2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b/>
                <w:color w:val="000000"/>
                <w:sz w:val="20"/>
              </w:rPr>
              <w:t>2、出入口控制系统2（停车系统设备）</w:t>
            </w:r>
          </w:p>
        </w:tc>
      </w:tr>
      <w:tr>
        <w:tblPrEx>
          <w:tblCellMar>
            <w:top w:w="0" w:type="dxa"/>
            <w:left w:w="0" w:type="dxa"/>
            <w:bottom w:w="0" w:type="dxa"/>
            <w:right w:w="0" w:type="dxa"/>
          </w:tblCellMar>
        </w:tblPrEx>
        <w:trPr>
          <w:gridBefore w:val="1"/>
          <w:wBefore w:w="6" w:type="dxa"/>
          <w:trHeight w:val="402" w:hRule="atLeast"/>
        </w:trPr>
        <w:tc>
          <w:tcPr>
            <w:tcW w:w="13018" w:type="dxa"/>
            <w:gridSpan w:val="2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b/>
                <w:color w:val="000000"/>
                <w:sz w:val="20"/>
              </w:rPr>
              <w:t>主要出入口单进单出</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11</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出口杆式抓拍一体机</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12</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道闸</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13</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防砸雷达</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14</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入口杆式抓拍一体机</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15</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道闸</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16</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防砸雷达</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17</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逻辑雷达</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18</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触发雷达</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6" w:type="dxa"/>
          <w:trHeight w:val="402" w:hRule="atLeast"/>
        </w:trPr>
        <w:tc>
          <w:tcPr>
            <w:tcW w:w="13018" w:type="dxa"/>
            <w:gridSpan w:val="2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b/>
                <w:color w:val="000000"/>
                <w:sz w:val="20"/>
              </w:rPr>
              <w:t>管理设备</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19</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收费电脑</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20</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车辆收费软件</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21</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附件</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22</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光纤收发器</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23</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8口千兆接入层交换机</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24</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24口千兆接入层交换机</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25</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调试对接费用</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26</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基础（道闸设备机箱等基础）</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r>
      <w:tr>
        <w:tblPrEx>
          <w:tblCellMar>
            <w:top w:w="0" w:type="dxa"/>
            <w:left w:w="0" w:type="dxa"/>
            <w:bottom w:w="0" w:type="dxa"/>
            <w:right w:w="0" w:type="dxa"/>
          </w:tblCellMar>
        </w:tblPrEx>
        <w:trPr>
          <w:gridBefore w:val="1"/>
          <w:wBefore w:w="6" w:type="dxa"/>
          <w:trHeight w:val="402" w:hRule="atLeast"/>
        </w:trPr>
        <w:tc>
          <w:tcPr>
            <w:tcW w:w="13018" w:type="dxa"/>
            <w:gridSpan w:val="2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b/>
                <w:color w:val="000000"/>
                <w:sz w:val="20"/>
              </w:rPr>
              <w:t>3、视频监控系统</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27</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微卡摄像机</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28</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全局人脸摄像机</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29</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人脸摄像机</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18</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30</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步态摄像机</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14</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31</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高空抛物网络摄像机</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32</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彩色高清摄像机</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155</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47</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34</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19</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311</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33</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彩色高清半球摄像机</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34</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彩色高清电梯专用摄像机</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35</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数字楼层显示器</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36</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网络传输器</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37</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200万轻智能警戒摄像机</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23</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74</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38</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消防占道球机</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39</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摄像机 立竿</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75</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40</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视频解码器</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41</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32寸监视器</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42</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视频切换器</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43</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电源</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40</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44</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配套支架</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45</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管理电脑</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46</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操作台1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47</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操作台2</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kern w:val="2"/>
                <w:sz w:val="20"/>
              </w:rPr>
            </w:pPr>
            <w:r>
              <w:rPr>
                <w:rFonts w:hint="eastAsia" w:ascii="宋体" w:hAnsi="宋体" w:cs="宋体"/>
                <w:color w:val="000000"/>
                <w:sz w:val="20"/>
              </w:rPr>
              <w:t>48</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配套附件</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r>
      <w:tr>
        <w:tblPrEx>
          <w:tblCellMar>
            <w:top w:w="0" w:type="dxa"/>
            <w:left w:w="0" w:type="dxa"/>
            <w:bottom w:w="0" w:type="dxa"/>
            <w:right w:w="0" w:type="dxa"/>
          </w:tblCellMar>
        </w:tblPrEx>
        <w:trPr>
          <w:gridBefore w:val="1"/>
          <w:wBefore w:w="6" w:type="dxa"/>
          <w:trHeight w:val="402" w:hRule="atLeast"/>
        </w:trPr>
        <w:tc>
          <w:tcPr>
            <w:tcW w:w="13018" w:type="dxa"/>
            <w:gridSpan w:val="2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b/>
                <w:color w:val="000000"/>
                <w:sz w:val="20"/>
              </w:rPr>
              <w:t>4、可视对讲系统</w:t>
            </w:r>
          </w:p>
        </w:tc>
      </w:tr>
      <w:tr>
        <w:tblPrEx>
          <w:tblCellMar>
            <w:top w:w="0" w:type="dxa"/>
            <w:left w:w="0" w:type="dxa"/>
            <w:bottom w:w="0" w:type="dxa"/>
            <w:right w:w="0" w:type="dxa"/>
          </w:tblCellMar>
        </w:tblPrEx>
        <w:trPr>
          <w:gridBefore w:val="1"/>
          <w:wBefore w:w="6" w:type="dxa"/>
          <w:trHeight w:val="402" w:hRule="atLeast"/>
        </w:trPr>
        <w:tc>
          <w:tcPr>
            <w:tcW w:w="13018" w:type="dxa"/>
            <w:gridSpan w:val="2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b/>
                <w:color w:val="000000"/>
                <w:sz w:val="20"/>
              </w:rPr>
              <w:t>4.1、住宅部分</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49</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人脸识别可视对讲主机</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176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15 </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58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29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16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31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31 </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 </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 </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386</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50</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灵性锁(双门或单门，根据实际情况确定数量。包含双门和单门）</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176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15 </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58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29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16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31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31 </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 </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 </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386</w:t>
            </w:r>
          </w:p>
        </w:tc>
      </w:tr>
      <w:tr>
        <w:tblPrEx>
          <w:tblCellMar>
            <w:top w:w="0" w:type="dxa"/>
            <w:left w:w="0" w:type="dxa"/>
            <w:bottom w:w="0" w:type="dxa"/>
            <w:right w:w="0" w:type="dxa"/>
          </w:tblCellMar>
        </w:tblPrEx>
        <w:trPr>
          <w:gridBefore w:val="1"/>
          <w:wBefore w:w="6" w:type="dxa"/>
          <w:trHeight w:val="402" w:hRule="atLeast"/>
        </w:trPr>
        <w:tc>
          <w:tcPr>
            <w:tcW w:w="13018" w:type="dxa"/>
            <w:gridSpan w:val="2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b/>
                <w:bCs/>
                <w:color w:val="000000"/>
                <w:sz w:val="20"/>
              </w:rPr>
            </w:pPr>
            <w:r>
              <w:rPr>
                <w:rFonts w:hint="eastAsia" w:ascii="宋体" w:hAnsi="宋体" w:cs="宋体"/>
                <w:b/>
                <w:bCs/>
                <w:color w:val="000000"/>
                <w:sz w:val="20"/>
              </w:rPr>
              <w:t>4.2、管理中心部分（设备网1）</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51</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主机电源12V/2A</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176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15 </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58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29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16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31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31 </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 </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 </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386</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52</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闭门器(双门或单门，根据实际情况确定数量。包含双门和单门））</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15 </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58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29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16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31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31 </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 </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 </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210</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53</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专用锁电源</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176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15 </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58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29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16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31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31 </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 </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 </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386</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54</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16口百兆接入交换机</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124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 </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38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23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23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20 </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 </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266</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55</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24口百兆接入交换机</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13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22</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56</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8口千兆POE工业接入交换机</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57</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8口千兆POE接入交换机</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58</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24口千兆接入层交换机</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59</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24口千兆POE接入层交换机</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58</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118</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60</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千兆单模光模块</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61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18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11 </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128</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61</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单模光纤跳线</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61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18</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128</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62</w:t>
            </w:r>
          </w:p>
        </w:tc>
        <w:tc>
          <w:tcPr>
            <w:tcW w:w="25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12口光纤配线架</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61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18</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128</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63</w:t>
            </w:r>
          </w:p>
        </w:tc>
        <w:tc>
          <w:tcPr>
            <w:tcW w:w="25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双工耦合器</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122</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36</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16</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18</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22</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256</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64</w:t>
            </w:r>
          </w:p>
        </w:tc>
        <w:tc>
          <w:tcPr>
            <w:tcW w:w="25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尾纤LC, 单模, 0.9mm, 1米</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488</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40</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136</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64</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48</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72</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88</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16</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32</w:t>
            </w: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24</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1016</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65</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安防设备箱1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116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 </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47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22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22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20 </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 </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269</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66</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安防设备箱2</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61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17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11 </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125</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67</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室外安防设备箱</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68</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室内分机</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2451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129 </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34 </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896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315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202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52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363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403 </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106 </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112 </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60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5123</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69</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分机电源</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480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41 </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 </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207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86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58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106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110 </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29 </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28 </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15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1181</w:t>
            </w:r>
          </w:p>
        </w:tc>
      </w:tr>
      <w:tr>
        <w:tblPrEx>
          <w:tblCellMar>
            <w:top w:w="0" w:type="dxa"/>
            <w:left w:w="0" w:type="dxa"/>
            <w:bottom w:w="0" w:type="dxa"/>
            <w:right w:w="0" w:type="dxa"/>
          </w:tblCellMar>
        </w:tblPrEx>
        <w:trPr>
          <w:gridBefore w:val="1"/>
          <w:wBefore w:w="6" w:type="dxa"/>
          <w:trHeight w:val="402" w:hRule="atLeast"/>
        </w:trPr>
        <w:tc>
          <w:tcPr>
            <w:tcW w:w="13018" w:type="dxa"/>
            <w:gridSpan w:val="2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b/>
                <w:color w:val="000000"/>
                <w:sz w:val="20"/>
              </w:rPr>
              <w:t>4.2、管理中心部分（设备网）</w:t>
            </w:r>
          </w:p>
        </w:tc>
      </w:tr>
      <w:tr>
        <w:tblPrEx>
          <w:tblCellMar>
            <w:top w:w="0" w:type="dxa"/>
            <w:left w:w="0" w:type="dxa"/>
            <w:bottom w:w="0" w:type="dxa"/>
            <w:right w:w="0" w:type="dxa"/>
          </w:tblCellMar>
        </w:tblPrEx>
        <w:trPr>
          <w:gridBefore w:val="1"/>
          <w:wBefore w:w="6" w:type="dxa"/>
          <w:trHeight w:val="499"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70</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499"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71</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核心交换机2</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6" w:type="dxa"/>
          <w:trHeight w:val="499"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72</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核心交换机3</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w:t>
            </w:r>
          </w:p>
        </w:tc>
      </w:tr>
      <w:tr>
        <w:tblPrEx>
          <w:tblCellMar>
            <w:top w:w="0" w:type="dxa"/>
            <w:left w:w="0" w:type="dxa"/>
            <w:bottom w:w="0" w:type="dxa"/>
            <w:right w:w="0" w:type="dxa"/>
          </w:tblCellMar>
        </w:tblPrEx>
        <w:trPr>
          <w:gridBefore w:val="1"/>
          <w:wBefore w:w="6" w:type="dxa"/>
          <w:trHeight w:val="499"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73</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核心交换机4</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499"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74</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核心交换机5</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75</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堆叠电缆</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76</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千兆单模光模块</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61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18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11 </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129</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77</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千兆单模光模块</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22</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78</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8口千兆接入层交换机</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79</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24口千兆接入层交换机</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80</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管理中心对讲主机</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81</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存储设备1~64路NVR</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82</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存储设备2~32路NVR</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83</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硬盘2</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33</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92</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84</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IC卡发行器</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85</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IC钥匙扣卡</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7353</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387 </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102 </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2688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945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606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156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1089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1209 </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318 </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336 </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180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15369</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86</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钥匙</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7353</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387 </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102 </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2688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945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606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156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1089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1209 </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318 </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336 </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180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15369</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87</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管理电脑</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88</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街道数据汇聚</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89</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汇聚交换机</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90</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服务器</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91</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小区侧智慧安防管控软件</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92</w:t>
            </w:r>
          </w:p>
        </w:tc>
        <w:tc>
          <w:tcPr>
            <w:tcW w:w="25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光纤链路费</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93</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网络机柜1~42U</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94</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网络机柜2~24U</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7</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95</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网络机柜3~6U</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460"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96</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网络机柜12U</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宋体" w:hAnsi="宋体" w:cs="宋体"/>
                <w:color w:val="000000"/>
                <w:sz w:val="20"/>
              </w:rPr>
            </w:pPr>
            <w:r>
              <w:rPr>
                <w:rFonts w:hint="eastAsia" w:ascii="宋体" w:hAnsi="宋体" w:cs="宋体"/>
                <w:color w:val="000000"/>
                <w:sz w:val="20"/>
              </w:rPr>
              <w:t>1</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rPr>
            </w:pP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97</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附材</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w:t>
            </w:r>
          </w:p>
        </w:tc>
      </w:tr>
      <w:tr>
        <w:tblPrEx>
          <w:tblCellMar>
            <w:top w:w="0" w:type="dxa"/>
            <w:left w:w="0" w:type="dxa"/>
            <w:bottom w:w="0" w:type="dxa"/>
            <w:right w:w="0" w:type="dxa"/>
          </w:tblCellMar>
        </w:tblPrEx>
        <w:trPr>
          <w:gridBefore w:val="1"/>
          <w:wBefore w:w="6" w:type="dxa"/>
          <w:trHeight w:val="402" w:hRule="atLeast"/>
        </w:trPr>
        <w:tc>
          <w:tcPr>
            <w:tcW w:w="13018" w:type="dxa"/>
            <w:gridSpan w:val="2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b/>
                <w:color w:val="000000"/>
                <w:sz w:val="20"/>
              </w:rPr>
              <w:t>5、智能感知系统</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98</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人脸摄像机带定向智能感知设备</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r>
      <w:tr>
        <w:tblPrEx>
          <w:tblCellMar>
            <w:top w:w="0" w:type="dxa"/>
            <w:left w:w="0" w:type="dxa"/>
            <w:bottom w:w="0" w:type="dxa"/>
            <w:right w:w="0" w:type="dxa"/>
          </w:tblCellMar>
        </w:tblPrEx>
        <w:trPr>
          <w:gridBefore w:val="1"/>
          <w:wBefore w:w="6" w:type="dxa"/>
          <w:trHeight w:val="402" w:hRule="atLeast"/>
        </w:trPr>
        <w:tc>
          <w:tcPr>
            <w:tcW w:w="13018" w:type="dxa"/>
            <w:gridSpan w:val="2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b/>
                <w:color w:val="000000"/>
                <w:sz w:val="20"/>
              </w:rPr>
              <w:t>6、入侵报警系统</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99</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中央控制器</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100</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主机键盘</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101</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监控软件</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102</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网络IP模块</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103</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D1类高能量SPD</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104</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四路网络模块</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105</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二路网络模块</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15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13 </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29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23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 </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106</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106</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16路继电器</w:t>
            </w:r>
            <w:r>
              <w:rPr>
                <w:rStyle w:val="35"/>
                <w:rFonts w:hint="default"/>
              </w:rPr>
              <w:t>输出控制器</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107</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32路继电器输出控制器</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108</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烟感探测器</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30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25 </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46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46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14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22 </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192</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109</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电源</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13 </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29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 </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14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66</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110</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声光警号</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111</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四道单防区控制杆（含底座）</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rPr>
            </w:pP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112</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四道双防区控制杆（含底座）</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23</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113</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交流电源24V</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11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 </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38</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114</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避雷器</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19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 </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54</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115</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中间支撑杆（含底座）</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130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57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52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60 </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16 </w:t>
            </w: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16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331</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116</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终端受力杆（含底座）</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24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22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25 </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91</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117</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束线器</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304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192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96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224 </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80 </w:t>
            </w: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64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960</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118</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转向滑轮</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60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40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12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42 </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162</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119</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张力收紧器</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76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48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24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56 </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20 </w:t>
            </w: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16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240</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120</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张力弹簧</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76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48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24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56 </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20 </w:t>
            </w: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16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240</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121</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多股张力线</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2000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920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800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1000 </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280 </w:t>
            </w: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248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5248</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122</w:t>
            </w:r>
          </w:p>
        </w:tc>
        <w:tc>
          <w:tcPr>
            <w:tcW w:w="25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警示牌</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50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23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20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25 </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130</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123</w:t>
            </w:r>
          </w:p>
        </w:tc>
        <w:tc>
          <w:tcPr>
            <w:tcW w:w="25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接地桩（含接地线）</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11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14 </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47</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124</w:t>
            </w:r>
          </w:p>
        </w:tc>
        <w:tc>
          <w:tcPr>
            <w:tcW w:w="25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304不锈钢防水箱</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11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8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6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 </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42</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125</w:t>
            </w:r>
          </w:p>
        </w:tc>
        <w:tc>
          <w:tcPr>
            <w:tcW w:w="25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单防区模块</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19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14 </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4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60</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126</w:t>
            </w:r>
          </w:p>
        </w:tc>
        <w:tc>
          <w:tcPr>
            <w:tcW w:w="25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报警联动灯</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11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0</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8</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9 </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0 </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5 </w:t>
            </w:r>
          </w:p>
        </w:tc>
        <w:tc>
          <w:tcPr>
            <w:tcW w:w="1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 xml:space="preserve">3 </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40</w:t>
            </w:r>
          </w:p>
        </w:tc>
      </w:tr>
      <w:tr>
        <w:tblPrEx>
          <w:tblCellMar>
            <w:top w:w="0" w:type="dxa"/>
            <w:left w:w="0" w:type="dxa"/>
            <w:bottom w:w="0" w:type="dxa"/>
            <w:right w:w="0" w:type="dxa"/>
          </w:tblCellMar>
        </w:tblPrEx>
        <w:trPr>
          <w:gridBefore w:val="1"/>
          <w:wBefore w:w="6" w:type="dxa"/>
          <w:trHeight w:val="402" w:hRule="atLeast"/>
        </w:trPr>
        <w:tc>
          <w:tcPr>
            <w:tcW w:w="13018" w:type="dxa"/>
            <w:gridSpan w:val="2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7、街道平台侧扩容</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127</w:t>
            </w:r>
          </w:p>
        </w:tc>
        <w:tc>
          <w:tcPr>
            <w:tcW w:w="25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街道数据汇聚（标准平台）</w:t>
            </w:r>
          </w:p>
        </w:tc>
        <w:tc>
          <w:tcPr>
            <w:tcW w:w="10095" w:type="dxa"/>
            <w:gridSpan w:val="1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128</w:t>
            </w:r>
          </w:p>
        </w:tc>
        <w:tc>
          <w:tcPr>
            <w:tcW w:w="25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街道数据汇聚（数据扩容）</w:t>
            </w:r>
          </w:p>
        </w:tc>
        <w:tc>
          <w:tcPr>
            <w:tcW w:w="10095" w:type="dxa"/>
            <w:gridSpan w:val="1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3</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129</w:t>
            </w:r>
          </w:p>
        </w:tc>
        <w:tc>
          <w:tcPr>
            <w:tcW w:w="25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汇聚交换机</w:t>
            </w:r>
          </w:p>
        </w:tc>
        <w:tc>
          <w:tcPr>
            <w:tcW w:w="10095" w:type="dxa"/>
            <w:gridSpan w:val="1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6" w:type="dxa"/>
          <w:trHeight w:val="402" w:hRule="atLeast"/>
        </w:trPr>
        <w:tc>
          <w:tcPr>
            <w:tcW w:w="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130</w:t>
            </w:r>
          </w:p>
        </w:tc>
        <w:tc>
          <w:tcPr>
            <w:tcW w:w="25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堆叠电缆</w:t>
            </w:r>
          </w:p>
        </w:tc>
        <w:tc>
          <w:tcPr>
            <w:tcW w:w="10095" w:type="dxa"/>
            <w:gridSpan w:val="1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0" w:type="dxa"/>
            <w:bottom w:w="0" w:type="dxa"/>
            <w:right w:w="0" w:type="dxa"/>
          </w:tblCellMar>
        </w:tblPrEx>
        <w:trPr>
          <w:gridBefore w:val="1"/>
          <w:wBefore w:w="6" w:type="dxa"/>
          <w:trHeight w:val="402" w:hRule="atLeast"/>
        </w:trPr>
        <w:tc>
          <w:tcPr>
            <w:tcW w:w="13018" w:type="dxa"/>
            <w:gridSpan w:val="2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ascii="宋体" w:hAnsi="宋体" w:cs="宋体"/>
                <w:color w:val="000000"/>
                <w:sz w:val="20"/>
              </w:rPr>
            </w:pPr>
            <w:r>
              <w:rPr>
                <w:rFonts w:hint="eastAsia" w:ascii="宋体" w:hAnsi="宋体" w:cs="宋体"/>
                <w:color w:val="000000"/>
                <w:sz w:val="20"/>
              </w:rPr>
              <w:t>8、管线、安装、调试</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序号</w:t>
            </w: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采购内容</w:t>
            </w:r>
          </w:p>
        </w:tc>
        <w:tc>
          <w:tcPr>
            <w:tcW w:w="7731" w:type="dxa"/>
            <w:gridSpan w:val="1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规格要求</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单位</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数量</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电缆保护管</w:t>
            </w:r>
          </w:p>
        </w:tc>
        <w:tc>
          <w:tcPr>
            <w:tcW w:w="7731" w:type="dxa"/>
            <w:gridSpan w:val="1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镀锌钢管埋地敷设SC25</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123.64</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电缆保护管</w:t>
            </w:r>
          </w:p>
        </w:tc>
        <w:tc>
          <w:tcPr>
            <w:tcW w:w="7731" w:type="dxa"/>
            <w:gridSpan w:val="1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镀锌钢管埋地敷设SC32</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6.54</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电缆保护管</w:t>
            </w:r>
          </w:p>
        </w:tc>
        <w:tc>
          <w:tcPr>
            <w:tcW w:w="7731" w:type="dxa"/>
            <w:gridSpan w:val="1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镀锌钢管埋地敷设SC50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34.37</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电缆保护管</w:t>
            </w:r>
          </w:p>
        </w:tc>
        <w:tc>
          <w:tcPr>
            <w:tcW w:w="7731" w:type="dxa"/>
            <w:gridSpan w:val="1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镀锌钢管埋地敷设SC100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1.59</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7731" w:type="dxa"/>
            <w:gridSpan w:val="1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砖、混凝土结构明配JDG管 JDG20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139.71</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7731" w:type="dxa"/>
            <w:gridSpan w:val="1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砖、混凝土结构明配JDG管 JDG32</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1103.70</w:t>
            </w:r>
          </w:p>
        </w:tc>
      </w:tr>
      <w:tr>
        <w:tblPrEx>
          <w:tblCellMar>
            <w:top w:w="0" w:type="dxa"/>
            <w:left w:w="108" w:type="dxa"/>
            <w:bottom w:w="0" w:type="dxa"/>
            <w:right w:w="108" w:type="dxa"/>
          </w:tblCellMar>
        </w:tblPrEx>
        <w:trPr>
          <w:gridAfter w:val="1"/>
          <w:wAfter w:w="115" w:type="dxa"/>
          <w:trHeight w:val="57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7731" w:type="dxa"/>
            <w:gridSpan w:val="1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砖、混凝土结构明配刚性阻燃管 PVC20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365.78</w:t>
            </w:r>
          </w:p>
        </w:tc>
      </w:tr>
      <w:tr>
        <w:tblPrEx>
          <w:tblCellMar>
            <w:top w:w="0" w:type="dxa"/>
            <w:left w:w="108" w:type="dxa"/>
            <w:bottom w:w="0" w:type="dxa"/>
            <w:right w:w="108" w:type="dxa"/>
          </w:tblCellMar>
        </w:tblPrEx>
        <w:trPr>
          <w:gridAfter w:val="1"/>
          <w:wAfter w:w="115" w:type="dxa"/>
          <w:trHeight w:val="57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7731" w:type="dxa"/>
            <w:gridSpan w:val="1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砖、混凝土结构明配刚性阻燃管 PVC25</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18073.94</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7731" w:type="dxa"/>
            <w:gridSpan w:val="1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PE20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41.91</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7731" w:type="dxa"/>
            <w:gridSpan w:val="1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PE25</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110.23</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7731" w:type="dxa"/>
            <w:gridSpan w:val="1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PE32</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190.70</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7731" w:type="dxa"/>
            <w:gridSpan w:val="1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PE50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165.55</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配管</w:t>
            </w:r>
          </w:p>
        </w:tc>
        <w:tc>
          <w:tcPr>
            <w:tcW w:w="7731" w:type="dxa"/>
            <w:gridSpan w:val="1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埋地敷设半硬质塑料管 PE100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94.72</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w:t>
            </w:r>
          </w:p>
        </w:tc>
        <w:tc>
          <w:tcPr>
            <w:tcW w:w="7731" w:type="dxa"/>
            <w:gridSpan w:val="1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 管内穿放CAT6(室外型)</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7683.98</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w:t>
            </w:r>
          </w:p>
        </w:tc>
        <w:tc>
          <w:tcPr>
            <w:tcW w:w="7731" w:type="dxa"/>
            <w:gridSpan w:val="1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双绞线缆 管内穿放CAT5E</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37138.59</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控制电缆</w:t>
            </w:r>
          </w:p>
        </w:tc>
        <w:tc>
          <w:tcPr>
            <w:tcW w:w="7731" w:type="dxa"/>
            <w:gridSpan w:val="1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控制电缆敷设 KVVR2*1.5</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1461.35</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控制电缆</w:t>
            </w:r>
          </w:p>
        </w:tc>
        <w:tc>
          <w:tcPr>
            <w:tcW w:w="7731" w:type="dxa"/>
            <w:gridSpan w:val="1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控制电缆敷设 KVVR2*1.0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48175.59</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配线</w:t>
            </w:r>
          </w:p>
        </w:tc>
        <w:tc>
          <w:tcPr>
            <w:tcW w:w="7731" w:type="dxa"/>
            <w:gridSpan w:val="1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四芯单芯导线 RVV4*1.0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3424.78</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配线</w:t>
            </w:r>
          </w:p>
        </w:tc>
        <w:tc>
          <w:tcPr>
            <w:tcW w:w="7731" w:type="dxa"/>
            <w:gridSpan w:val="1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二芯单芯导线 RVV2*1.0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44547.15</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光缆</w:t>
            </w:r>
          </w:p>
        </w:tc>
        <w:tc>
          <w:tcPr>
            <w:tcW w:w="7731" w:type="dxa"/>
            <w:gridSpan w:val="1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室外四芯单模光纤安装</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6409.14</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电力电缆</w:t>
            </w:r>
          </w:p>
        </w:tc>
        <w:tc>
          <w:tcPr>
            <w:tcW w:w="7731" w:type="dxa"/>
            <w:gridSpan w:val="1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铜芯电力电缆敷设 YJV-3*2.5</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333.21</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电力电缆</w:t>
            </w:r>
          </w:p>
        </w:tc>
        <w:tc>
          <w:tcPr>
            <w:tcW w:w="7731" w:type="dxa"/>
            <w:gridSpan w:val="1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铜芯电力电缆敷设 YJV-3*4</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1024.41</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打孔</w:t>
            </w:r>
          </w:p>
        </w:tc>
        <w:tc>
          <w:tcPr>
            <w:tcW w:w="7731" w:type="dxa"/>
            <w:gridSpan w:val="1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墙面入户管打孔</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5123</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手孔井</w:t>
            </w:r>
          </w:p>
        </w:tc>
        <w:tc>
          <w:tcPr>
            <w:tcW w:w="7731" w:type="dxa"/>
            <w:gridSpan w:val="1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弱电手孔井 600*600*700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4</w:t>
            </w:r>
          </w:p>
        </w:tc>
      </w:tr>
      <w:tr>
        <w:tblPrEx>
          <w:tblCellMar>
            <w:top w:w="0" w:type="dxa"/>
            <w:left w:w="108" w:type="dxa"/>
            <w:bottom w:w="0" w:type="dxa"/>
            <w:right w:w="108" w:type="dxa"/>
          </w:tblCellMar>
        </w:tblPrEx>
        <w:trPr>
          <w:gridAfter w:val="1"/>
          <w:wAfter w:w="115" w:type="dxa"/>
          <w:trHeight w:val="57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挖沟槽土方</w:t>
            </w:r>
          </w:p>
        </w:tc>
        <w:tc>
          <w:tcPr>
            <w:tcW w:w="7731" w:type="dxa"/>
            <w:gridSpan w:val="1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绿化下素土开挖：人机配合挖沟槽土方不装车，土方类别综合考虑</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60.92</w:t>
            </w:r>
          </w:p>
        </w:tc>
      </w:tr>
      <w:tr>
        <w:tblPrEx>
          <w:tblCellMar>
            <w:top w:w="0" w:type="dxa"/>
            <w:left w:w="108" w:type="dxa"/>
            <w:bottom w:w="0" w:type="dxa"/>
            <w:right w:w="108" w:type="dxa"/>
          </w:tblCellMar>
        </w:tblPrEx>
        <w:trPr>
          <w:gridAfter w:val="1"/>
          <w:wAfter w:w="115" w:type="dxa"/>
          <w:trHeight w:val="57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挖沟槽土方</w:t>
            </w:r>
          </w:p>
        </w:tc>
        <w:tc>
          <w:tcPr>
            <w:tcW w:w="7731" w:type="dxa"/>
            <w:gridSpan w:val="1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道路结构下开挖塘渣：人机配合挖沟槽四类土不装车</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7.41</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拆除路面</w:t>
            </w:r>
          </w:p>
        </w:tc>
        <w:tc>
          <w:tcPr>
            <w:tcW w:w="7731" w:type="dxa"/>
            <w:gridSpan w:val="1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混凝土路面开挖及修复</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m2</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16.21</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回填方</w:t>
            </w:r>
          </w:p>
        </w:tc>
        <w:tc>
          <w:tcPr>
            <w:tcW w:w="7731" w:type="dxa"/>
            <w:gridSpan w:val="1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沟槽原土回填</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27.25</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29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回填方</w:t>
            </w:r>
          </w:p>
        </w:tc>
        <w:tc>
          <w:tcPr>
            <w:tcW w:w="7731" w:type="dxa"/>
            <w:gridSpan w:val="1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沟槽机制砂回填</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9.59</w:t>
            </w:r>
          </w:p>
        </w:tc>
      </w:tr>
      <w:tr>
        <w:tblPrEx>
          <w:tblCellMar>
            <w:top w:w="0" w:type="dxa"/>
            <w:left w:w="108" w:type="dxa"/>
            <w:bottom w:w="0" w:type="dxa"/>
            <w:right w:w="108" w:type="dxa"/>
          </w:tblCellMar>
        </w:tblPrEx>
        <w:trPr>
          <w:gridAfter w:val="1"/>
          <w:wAfter w:w="115" w:type="dxa"/>
          <w:trHeight w:val="450" w:hRule="atLeast"/>
        </w:trPr>
        <w:tc>
          <w:tcPr>
            <w:tcW w:w="6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30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回填方</w:t>
            </w:r>
          </w:p>
        </w:tc>
        <w:tc>
          <w:tcPr>
            <w:tcW w:w="7731" w:type="dxa"/>
            <w:gridSpan w:val="1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ascii="宋体" w:hAnsi="宋体" w:cs="宋体"/>
                <w:color w:val="000000"/>
                <w:sz w:val="18"/>
                <w:szCs w:val="18"/>
              </w:rPr>
            </w:pPr>
            <w:r>
              <w:rPr>
                <w:rFonts w:hint="eastAsia" w:ascii="宋体" w:hAnsi="宋体" w:cs="宋体"/>
                <w:color w:val="000000"/>
                <w:sz w:val="18"/>
                <w:szCs w:val="18"/>
              </w:rPr>
              <w:t>渠（管）道垫层 机制砂</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m3</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ascii="宋体" w:hAnsi="宋体" w:cs="宋体"/>
                <w:color w:val="000000"/>
                <w:sz w:val="18"/>
                <w:szCs w:val="18"/>
              </w:rPr>
            </w:pPr>
            <w:r>
              <w:rPr>
                <w:rFonts w:hint="eastAsia" w:ascii="宋体" w:hAnsi="宋体" w:cs="宋体"/>
                <w:color w:val="000000"/>
                <w:sz w:val="18"/>
                <w:szCs w:val="18"/>
              </w:rPr>
              <w:t>12.24</w:t>
            </w:r>
          </w:p>
        </w:tc>
      </w:tr>
    </w:tbl>
    <w:p>
      <w:pPr>
        <w:rPr>
          <w:rFonts w:hint="eastAsia"/>
        </w:rPr>
      </w:pPr>
    </w:p>
    <w:p>
      <w:pPr>
        <w:pStyle w:val="2"/>
        <w:rPr>
          <w:rFonts w:hint="eastAsia"/>
        </w:rPr>
        <w:sectPr>
          <w:pgSz w:w="16840" w:h="11907" w:orient="landscape"/>
          <w:pgMar w:top="1106" w:right="1418" w:bottom="1077" w:left="1418" w:header="720" w:footer="720" w:gutter="0"/>
          <w:pgBorders>
            <w:top w:val="none" w:sz="0" w:space="0"/>
            <w:left w:val="none" w:sz="0" w:space="0"/>
            <w:bottom w:val="none" w:sz="0" w:space="0"/>
            <w:right w:val="none" w:sz="0" w:space="0"/>
          </w:pgBorders>
          <w:pgNumType w:fmt="decimal"/>
          <w:cols w:space="720" w:num="1"/>
          <w:titlePg/>
          <w:docGrid w:type="linesAndChars" w:linePitch="285" w:charSpace="0"/>
        </w:sectPr>
      </w:pPr>
    </w:p>
    <w:p>
      <w:pPr>
        <w:pStyle w:val="41"/>
        <w:spacing w:line="360" w:lineRule="auto"/>
        <w:rPr>
          <w:lang w:eastAsia="zh-CN"/>
        </w:rPr>
      </w:pPr>
      <w:r>
        <w:rPr>
          <w:rFonts w:hint="eastAsia"/>
          <w:lang w:eastAsia="zh-CN"/>
        </w:rPr>
        <w:t>项目实施要求</w:t>
      </w:r>
    </w:p>
    <w:p>
      <w:pPr>
        <w:widowControl w:val="0"/>
        <w:tabs>
          <w:tab w:val="left" w:pos="720"/>
        </w:tabs>
        <w:spacing w:line="360" w:lineRule="auto"/>
        <w:ind w:firstLine="630" w:firstLineChars="300"/>
        <w:jc w:val="both"/>
        <w:rPr>
          <w:bCs/>
          <w:szCs w:val="21"/>
        </w:rPr>
      </w:pPr>
      <w:r>
        <w:rPr>
          <w:rFonts w:hint="eastAsia"/>
          <w:bCs/>
          <w:szCs w:val="21"/>
        </w:rPr>
        <w:t>1、中标人应配备专业施工团队，施工人员数量必须满足现场施工进度要求，并按照所有小区同步开工的要求配备人员数量。项目经理要求全程到位，每个街道配备2名现场负责人。</w:t>
      </w:r>
    </w:p>
    <w:p>
      <w:pPr>
        <w:widowControl w:val="0"/>
        <w:tabs>
          <w:tab w:val="left" w:pos="720"/>
        </w:tabs>
        <w:spacing w:line="360" w:lineRule="auto"/>
        <w:ind w:firstLine="630" w:firstLineChars="300"/>
        <w:jc w:val="both"/>
        <w:rPr>
          <w:bCs/>
          <w:szCs w:val="21"/>
        </w:rPr>
      </w:pPr>
      <w:r>
        <w:rPr>
          <w:rFonts w:hint="eastAsia"/>
          <w:bCs/>
          <w:szCs w:val="21"/>
        </w:rPr>
        <w:t>2、中标人应全面负责街道、住建及总包单位的沟通协调工作，施工现场问题由中标人自行协调解决，确需采购人协调的，应以书面方式提交采购人，由采购人与相关单位沟通。</w:t>
      </w:r>
    </w:p>
    <w:p>
      <w:pPr>
        <w:widowControl w:val="0"/>
        <w:tabs>
          <w:tab w:val="left" w:pos="720"/>
        </w:tabs>
        <w:spacing w:line="360" w:lineRule="auto"/>
        <w:ind w:firstLine="630" w:firstLineChars="300"/>
        <w:jc w:val="both"/>
        <w:rPr>
          <w:bCs/>
          <w:szCs w:val="21"/>
        </w:rPr>
      </w:pPr>
      <w:r>
        <w:rPr>
          <w:rFonts w:hint="eastAsia"/>
          <w:bCs/>
          <w:szCs w:val="21"/>
        </w:rPr>
        <w:t>3、因中标人现场踏勘不到位、沟通不充分而导致施工返工或对其他单位施工成果造成破坏的，由中标人自行承担相应费用。</w:t>
      </w:r>
    </w:p>
    <w:p>
      <w:pPr>
        <w:widowControl w:val="0"/>
        <w:tabs>
          <w:tab w:val="left" w:pos="720"/>
        </w:tabs>
        <w:spacing w:line="360" w:lineRule="auto"/>
        <w:ind w:firstLine="630" w:firstLineChars="300"/>
        <w:jc w:val="both"/>
        <w:rPr>
          <w:bCs/>
          <w:szCs w:val="21"/>
        </w:rPr>
      </w:pPr>
      <w:r>
        <w:rPr>
          <w:rFonts w:hint="eastAsia"/>
          <w:bCs/>
          <w:szCs w:val="21"/>
        </w:rPr>
        <w:t>4、中标人应对施工团队所有人员购买工伤保险、第三者责任险，因中标人施工过程中对第三者人身造成伤亡以及财产造成损失的，由中标人负责赔偿，与采购人无涉。</w:t>
      </w:r>
    </w:p>
    <w:p>
      <w:pPr>
        <w:widowControl w:val="0"/>
        <w:tabs>
          <w:tab w:val="left" w:pos="720"/>
        </w:tabs>
        <w:spacing w:line="360" w:lineRule="auto"/>
        <w:ind w:firstLine="630" w:firstLineChars="300"/>
        <w:jc w:val="both"/>
        <w:rPr>
          <w:bCs/>
          <w:szCs w:val="21"/>
        </w:rPr>
      </w:pPr>
      <w:r>
        <w:rPr>
          <w:rFonts w:hint="eastAsia"/>
          <w:bCs/>
          <w:szCs w:val="21"/>
        </w:rPr>
        <w:t>5、中标人必须重视安全生产工作，确保合同期内不出安全责任事故。如发生安全责任事故，由中标人承担一切责任及损失。</w:t>
      </w:r>
    </w:p>
    <w:p>
      <w:pPr>
        <w:widowControl w:val="0"/>
        <w:tabs>
          <w:tab w:val="left" w:pos="720"/>
        </w:tabs>
        <w:spacing w:line="360" w:lineRule="auto"/>
        <w:ind w:firstLine="630" w:firstLineChars="300"/>
        <w:jc w:val="both"/>
        <w:rPr>
          <w:b/>
          <w:szCs w:val="21"/>
        </w:rPr>
      </w:pPr>
      <w:r>
        <w:rPr>
          <w:szCs w:val="21"/>
        </w:rPr>
        <w:t>★</w:t>
      </w:r>
      <w:r>
        <w:rPr>
          <w:rFonts w:hint="eastAsia"/>
          <w:b/>
          <w:szCs w:val="21"/>
        </w:rPr>
        <w:t>6、项目要求2021年10月底完成调试，进入试运行，2021年11月底完成终验。</w:t>
      </w:r>
    </w:p>
    <w:p>
      <w:pPr>
        <w:widowControl w:val="0"/>
        <w:tabs>
          <w:tab w:val="left" w:pos="720"/>
        </w:tabs>
        <w:spacing w:line="360" w:lineRule="auto"/>
        <w:ind w:firstLine="630" w:firstLineChars="300"/>
        <w:jc w:val="both"/>
        <w:rPr>
          <w:b/>
          <w:szCs w:val="21"/>
        </w:rPr>
      </w:pPr>
      <w:r>
        <w:rPr>
          <w:szCs w:val="21"/>
        </w:rPr>
        <w:t>★</w:t>
      </w:r>
      <w:r>
        <w:rPr>
          <w:rFonts w:hint="eastAsia"/>
          <w:b/>
          <w:szCs w:val="21"/>
        </w:rPr>
        <w:t>7、本项目终验合格后，中标人承担15个月质保运维，质保运维期间要求中标人安排运维人员，及时解决修复设备产生的故障。对社区或物业上报的故障，要求1小时响应，4小时修复，对无法立即修复的应由备品备件进行替代。</w:t>
      </w:r>
    </w:p>
    <w:p>
      <w:pPr>
        <w:pStyle w:val="41"/>
        <w:spacing w:line="360" w:lineRule="auto"/>
        <w:rPr>
          <w:lang w:eastAsia="zh-CN"/>
        </w:rPr>
      </w:pPr>
      <w:r>
        <w:rPr>
          <w:rFonts w:hint="eastAsia"/>
          <w:lang w:eastAsia="zh-CN"/>
        </w:rPr>
        <w:t>其他要求</w:t>
      </w:r>
    </w:p>
    <w:p>
      <w:pPr>
        <w:pStyle w:val="43"/>
        <w:spacing w:line="360" w:lineRule="auto"/>
        <w:ind w:firstLine="420"/>
        <w:rPr>
          <w:rFonts w:ascii="宋体" w:hAnsi="宋体"/>
          <w:b/>
          <w:bCs/>
          <w:color w:val="000000"/>
          <w:szCs w:val="21"/>
          <w:lang w:val="en-GB"/>
        </w:rPr>
      </w:pPr>
      <w:r>
        <w:rPr>
          <w:rFonts w:ascii="Times New Roman" w:hAnsi="Times New Roman"/>
          <w:szCs w:val="21"/>
        </w:rPr>
        <w:t>★</w:t>
      </w:r>
      <w:r>
        <w:rPr>
          <w:rFonts w:hint="eastAsia" w:ascii="宋体" w:hAnsi="宋体"/>
          <w:b/>
          <w:bCs/>
          <w:color w:val="000000"/>
          <w:szCs w:val="21"/>
        </w:rPr>
        <w:t>1、</w:t>
      </w:r>
      <w:r>
        <w:rPr>
          <w:rFonts w:hint="eastAsia" w:ascii="宋体" w:hAnsi="宋体"/>
          <w:b/>
          <w:bCs/>
          <w:color w:val="000000"/>
          <w:szCs w:val="21"/>
          <w:lang w:val="en-GB"/>
        </w:rPr>
        <w:t>本项目涉及小区端的前端感知数据的采集、汇聚、传输及应用，投标人所投的产品，必须提供和宁波市公安局海曙分局《海曙区</w:t>
      </w:r>
      <w:r>
        <w:rPr>
          <w:rFonts w:hint="eastAsia" w:ascii="宋体" w:hAnsi="宋体"/>
          <w:b/>
          <w:bCs/>
          <w:color w:val="000000"/>
          <w:szCs w:val="21"/>
        </w:rPr>
        <w:t>老旧</w:t>
      </w:r>
      <w:r>
        <w:rPr>
          <w:rFonts w:ascii="宋体" w:hAnsi="宋体"/>
          <w:b/>
          <w:bCs/>
          <w:color w:val="000000"/>
          <w:szCs w:val="21"/>
        </w:rPr>
        <w:t>小区</w:t>
      </w:r>
      <w:r>
        <w:rPr>
          <w:rFonts w:hint="eastAsia" w:ascii="宋体" w:hAnsi="宋体"/>
          <w:b/>
          <w:bCs/>
          <w:color w:val="000000"/>
          <w:szCs w:val="21"/>
        </w:rPr>
        <w:t>改造项目</w:t>
      </w:r>
      <w:r>
        <w:rPr>
          <w:rFonts w:ascii="宋体" w:hAnsi="宋体"/>
          <w:b/>
          <w:bCs/>
          <w:color w:val="000000"/>
          <w:szCs w:val="21"/>
        </w:rPr>
        <w:t>智安系统</w:t>
      </w:r>
      <w:r>
        <w:rPr>
          <w:rFonts w:hint="eastAsia" w:ascii="宋体" w:hAnsi="宋体"/>
          <w:b/>
          <w:bCs/>
          <w:color w:val="000000"/>
          <w:szCs w:val="21"/>
          <w:lang w:val="en-GB"/>
        </w:rPr>
        <w:t>》</w:t>
      </w:r>
      <w:r>
        <w:rPr>
          <w:rFonts w:hint="eastAsia" w:ascii="宋体" w:hAnsi="宋体"/>
          <w:b/>
          <w:bCs/>
          <w:color w:val="000000"/>
          <w:szCs w:val="21"/>
        </w:rPr>
        <w:t>的无缝对接证明</w:t>
      </w:r>
      <w:r>
        <w:rPr>
          <w:rFonts w:hint="eastAsia" w:ascii="宋体" w:hAnsi="宋体"/>
          <w:b/>
          <w:bCs/>
          <w:color w:val="000000"/>
          <w:szCs w:val="21"/>
          <w:lang w:val="en-GB"/>
        </w:rPr>
        <w:t>，否则投标无效。</w:t>
      </w:r>
    </w:p>
    <w:p>
      <w:pPr>
        <w:pStyle w:val="43"/>
        <w:spacing w:line="360" w:lineRule="auto"/>
        <w:ind w:firstLine="422"/>
        <w:rPr>
          <w:rFonts w:ascii="宋体" w:hAnsi="宋体"/>
          <w:b/>
          <w:bCs/>
          <w:color w:val="000000"/>
          <w:szCs w:val="21"/>
          <w:lang w:val="en-GB"/>
        </w:rPr>
      </w:pPr>
      <w:r>
        <w:rPr>
          <w:rFonts w:hint="eastAsia" w:ascii="宋体" w:hAnsi="宋体"/>
          <w:b/>
          <w:bCs/>
          <w:color w:val="000000"/>
          <w:szCs w:val="21"/>
          <w:lang w:val="en-GB"/>
        </w:rPr>
        <w:t>投标人需和《海曙区</w:t>
      </w:r>
      <w:r>
        <w:rPr>
          <w:rFonts w:hint="eastAsia" w:ascii="宋体" w:hAnsi="宋体"/>
          <w:b/>
          <w:bCs/>
          <w:color w:val="000000"/>
          <w:szCs w:val="21"/>
        </w:rPr>
        <w:t>老旧</w:t>
      </w:r>
      <w:r>
        <w:rPr>
          <w:rFonts w:ascii="宋体" w:hAnsi="宋体"/>
          <w:b/>
          <w:bCs/>
          <w:color w:val="000000"/>
          <w:szCs w:val="21"/>
        </w:rPr>
        <w:t>小区</w:t>
      </w:r>
      <w:r>
        <w:rPr>
          <w:rFonts w:hint="eastAsia" w:ascii="宋体" w:hAnsi="宋体"/>
          <w:b/>
          <w:bCs/>
          <w:color w:val="000000"/>
          <w:szCs w:val="21"/>
        </w:rPr>
        <w:t>改造项目</w:t>
      </w:r>
      <w:r>
        <w:rPr>
          <w:rFonts w:ascii="宋体" w:hAnsi="宋体"/>
          <w:b/>
          <w:bCs/>
          <w:color w:val="000000"/>
          <w:szCs w:val="21"/>
        </w:rPr>
        <w:t>智安系统</w:t>
      </w:r>
      <w:r>
        <w:rPr>
          <w:rFonts w:hint="eastAsia" w:ascii="宋体" w:hAnsi="宋体"/>
          <w:b/>
          <w:bCs/>
          <w:color w:val="000000"/>
          <w:szCs w:val="21"/>
          <w:lang w:val="en-GB"/>
        </w:rPr>
        <w:t>》承建单位先行进行技术交流，评估所投产品是否满足无缝对接要求，并向由宁波市公安局海曙分局组织的相关领域专家组提供材料，经专家组审核认可是否具备无缝对接能力，具备无缝对接能力的将提供无缝对接证明。</w:t>
      </w:r>
    </w:p>
    <w:p>
      <w:pPr>
        <w:pStyle w:val="43"/>
        <w:spacing w:line="360" w:lineRule="auto"/>
        <w:ind w:firstLine="422"/>
        <w:rPr>
          <w:rFonts w:hint="eastAsia" w:ascii="宋体" w:hAnsi="宋体" w:eastAsia="宋体"/>
          <w:b/>
          <w:bCs/>
          <w:color w:val="000000"/>
          <w:szCs w:val="21"/>
          <w:lang w:eastAsia="zh-CN"/>
        </w:rPr>
      </w:pPr>
      <w:r>
        <w:rPr>
          <w:rFonts w:hint="eastAsia" w:ascii="宋体" w:hAnsi="宋体"/>
          <w:b/>
          <w:bCs/>
          <w:color w:val="000000"/>
          <w:szCs w:val="21"/>
          <w:lang w:val="en-GB"/>
        </w:rPr>
        <w:t>注：</w:t>
      </w:r>
      <w:r>
        <w:rPr>
          <w:rFonts w:hint="eastAsia" w:ascii="宋体" w:hAnsi="宋体" w:cs="宋体"/>
          <w:b/>
          <w:bCs/>
          <w:szCs w:val="21"/>
        </w:rPr>
        <w:t>招标环境勘察要求：投标人需参加宁波市公安局海曙分局组织的现场勘察会议，否则投标无效。会议主要对本次项目背景、框架基础、与原智安系统对接等情况进行介绍和技术交流，由采购人出具相关证明材料，以确认潜在投标人必要的技术能力。投标人应充分了解本项目情况，否则导致投标失误由投标人自行承担。现场勘察时间：</w:t>
      </w:r>
      <w:r>
        <w:rPr>
          <w:rFonts w:hint="eastAsia" w:ascii="宋体" w:hAnsi="宋体" w:cs="宋体"/>
          <w:b/>
          <w:bCs/>
          <w:color w:val="FF0000"/>
          <w:szCs w:val="21"/>
        </w:rPr>
        <w:t>2021年5月</w:t>
      </w:r>
      <w:r>
        <w:rPr>
          <w:rFonts w:hint="eastAsia" w:ascii="宋体" w:hAnsi="宋体" w:cs="宋体"/>
          <w:b/>
          <w:bCs/>
          <w:color w:val="FF0000"/>
          <w:szCs w:val="21"/>
          <w:lang w:val="en-US" w:eastAsia="zh-CN"/>
        </w:rPr>
        <w:t>12</w:t>
      </w:r>
      <w:r>
        <w:rPr>
          <w:rFonts w:hint="eastAsia" w:ascii="宋体" w:hAnsi="宋体" w:cs="宋体"/>
          <w:b/>
          <w:bCs/>
          <w:color w:val="FF0000"/>
          <w:szCs w:val="21"/>
        </w:rPr>
        <w:t xml:space="preserve">日上午 9:30 </w:t>
      </w:r>
      <w:r>
        <w:rPr>
          <w:rFonts w:hint="eastAsia" w:ascii="宋体" w:hAnsi="宋体" w:cs="宋体"/>
          <w:b/>
          <w:bCs/>
          <w:szCs w:val="21"/>
        </w:rPr>
        <w:t>，地址：宁波市公安局海曙分局，联系人：</w:t>
      </w:r>
      <w:r>
        <w:rPr>
          <w:rFonts w:hint="eastAsia" w:ascii="宋体" w:hAnsi="宋体" w:cs="宋体"/>
          <w:b/>
          <w:bCs/>
          <w:szCs w:val="21"/>
          <w:lang w:eastAsia="zh-CN"/>
        </w:rPr>
        <w:t>干老师</w:t>
      </w:r>
      <w:r>
        <w:rPr>
          <w:rFonts w:hint="eastAsia" w:ascii="宋体" w:hAnsi="宋体" w:cs="宋体"/>
          <w:b/>
          <w:bCs/>
          <w:szCs w:val="21"/>
        </w:rPr>
        <w:t xml:space="preserve"> ，联系方式：0574-81987096</w:t>
      </w:r>
      <w:r>
        <w:rPr>
          <w:rFonts w:hint="eastAsia" w:ascii="宋体" w:hAnsi="宋体" w:cs="宋体"/>
          <w:b/>
          <w:bCs/>
          <w:szCs w:val="21"/>
          <w:lang w:eastAsia="zh-CN"/>
        </w:rPr>
        <w:t>。</w:t>
      </w:r>
    </w:p>
    <w:p>
      <w:pPr>
        <w:pStyle w:val="43"/>
        <w:spacing w:line="360" w:lineRule="auto"/>
        <w:ind w:firstLine="420"/>
        <w:rPr>
          <w:rFonts w:ascii="宋体" w:hAnsi="宋体"/>
          <w:b/>
          <w:color w:val="000000"/>
          <w:szCs w:val="21"/>
        </w:rPr>
      </w:pPr>
      <w:r>
        <w:rPr>
          <w:rFonts w:ascii="Times New Roman" w:hAnsi="Times New Roman"/>
          <w:szCs w:val="21"/>
        </w:rPr>
        <w:t>★</w:t>
      </w:r>
      <w:r>
        <w:rPr>
          <w:rFonts w:hint="eastAsia" w:ascii="宋体" w:hAnsi="宋体"/>
          <w:b/>
          <w:color w:val="000000"/>
          <w:szCs w:val="21"/>
        </w:rPr>
        <w:t>2、付款方式：合同签订施工单位进场开具开工报告后支付合同金额的20%，工程款（进度款）按月进行支付，承包人每月10日前将工程量情况报发包人审批，发包人支付本月已完进度款的70%；所有合同内容完成并通过竣工验收后支付至合同价款的80%，工程综合竣工验收合格且承包人提供全套合格的竣工结算资料后，发包人支付至合同价款的85%，剩余建设经费待工程决算最终审计后结清。</w:t>
      </w:r>
    </w:p>
    <w:p>
      <w:pPr>
        <w:pStyle w:val="43"/>
        <w:spacing w:line="360" w:lineRule="auto"/>
        <w:ind w:firstLine="420"/>
        <w:rPr>
          <w:rFonts w:ascii="宋体" w:hAnsi="宋体"/>
          <w:b/>
          <w:szCs w:val="21"/>
        </w:rPr>
      </w:pPr>
      <w:r>
        <w:rPr>
          <w:rFonts w:ascii="Times New Roman" w:hAnsi="Times New Roman"/>
          <w:szCs w:val="21"/>
        </w:rPr>
        <w:t>★</w:t>
      </w:r>
      <w:r>
        <w:rPr>
          <w:rFonts w:hint="eastAsia" w:ascii="宋体" w:hAnsi="宋体"/>
          <w:b/>
          <w:szCs w:val="21"/>
        </w:rPr>
        <w:t>3、质保期：质保期 15个月。以项目通过终验后开始。</w:t>
      </w:r>
    </w:p>
    <w:p>
      <w:pPr>
        <w:pStyle w:val="43"/>
        <w:spacing w:line="360" w:lineRule="auto"/>
        <w:ind w:firstLine="420"/>
        <w:rPr>
          <w:rFonts w:ascii="宋体" w:hAnsi="宋体"/>
          <w:color w:val="000000"/>
          <w:szCs w:val="21"/>
        </w:rPr>
      </w:pPr>
      <w:r>
        <w:rPr>
          <w:rFonts w:hint="eastAsia" w:ascii="宋体" w:hAnsi="宋体"/>
          <w:color w:val="000000"/>
          <w:szCs w:val="21"/>
        </w:rPr>
        <w:t>4、中标服务经费内已经包括招标需求内的一切费用，系统设备采购及安装、平台的接入费用、运输费、保险费、验收费、设施设备管理维护费用、人工费用，税金、利润及其他与本次采购相关的一切费用。</w:t>
      </w:r>
    </w:p>
    <w:p>
      <w:pPr>
        <w:pStyle w:val="43"/>
        <w:spacing w:line="360" w:lineRule="auto"/>
        <w:ind w:firstLine="420"/>
        <w:rPr>
          <w:rFonts w:ascii="宋体" w:hAnsi="宋体"/>
          <w:b/>
          <w:bCs/>
          <w:color w:val="000000"/>
          <w:szCs w:val="21"/>
        </w:rPr>
      </w:pPr>
      <w:r>
        <w:rPr>
          <w:rFonts w:ascii="Times New Roman" w:hAnsi="Times New Roman"/>
          <w:szCs w:val="21"/>
        </w:rPr>
        <w:t>★</w:t>
      </w:r>
      <w:r>
        <w:rPr>
          <w:rFonts w:hint="eastAsia" w:ascii="宋体" w:hAnsi="宋体"/>
          <w:b/>
          <w:bCs/>
          <w:color w:val="000000"/>
          <w:szCs w:val="21"/>
        </w:rPr>
        <w:t>5、中标人应无条件接受合同履约期内因地区政策性因素导致的该部分需求无法实施（实际采购需求核减，且不超过采购成交价的10%）的情况，即实际采购合同金额（支付价）低于签订合同金额（中标价）10%以内的调整。</w:t>
      </w:r>
    </w:p>
    <w:p>
      <w:pPr>
        <w:pStyle w:val="43"/>
        <w:spacing w:line="360" w:lineRule="auto"/>
        <w:ind w:firstLine="420"/>
        <w:rPr>
          <w:rFonts w:ascii="宋体" w:hAnsi="宋体"/>
          <w:color w:val="000000"/>
          <w:szCs w:val="21"/>
        </w:rPr>
      </w:pPr>
      <w:r>
        <w:rPr>
          <w:rFonts w:hint="eastAsia" w:ascii="宋体" w:hAnsi="宋体"/>
          <w:color w:val="000000"/>
          <w:szCs w:val="21"/>
        </w:rPr>
        <w:t>6、因自然灾害等不可抗力因素造成项目经济损失的，双方应本着实事求是的原则共同协商妥善解决。</w:t>
      </w:r>
    </w:p>
    <w:p>
      <w:pPr>
        <w:pStyle w:val="43"/>
        <w:spacing w:line="360" w:lineRule="auto"/>
        <w:ind w:firstLine="420"/>
        <w:rPr>
          <w:rFonts w:ascii="宋体" w:hAnsi="宋体"/>
          <w:b/>
          <w:bCs/>
          <w:color w:val="000000"/>
          <w:szCs w:val="21"/>
        </w:rPr>
      </w:pPr>
      <w:r>
        <w:rPr>
          <w:rFonts w:ascii="Times New Roman" w:hAnsi="Times New Roman"/>
          <w:szCs w:val="21"/>
        </w:rPr>
        <w:t>★</w:t>
      </w:r>
      <w:r>
        <w:rPr>
          <w:rFonts w:hint="eastAsia" w:ascii="宋体" w:hAnsi="宋体"/>
          <w:b/>
          <w:color w:val="000000"/>
          <w:szCs w:val="21"/>
        </w:rPr>
        <w:t>7、</w:t>
      </w:r>
      <w:r>
        <w:rPr>
          <w:rFonts w:hint="eastAsia" w:ascii="宋体" w:hAnsi="宋体"/>
          <w:b/>
          <w:bCs/>
          <w:color w:val="000000"/>
          <w:szCs w:val="21"/>
        </w:rPr>
        <w:t>其中标项一西门街道之新芝小区、西湾小区、西河花园、西湾路69弄，标项三望春街道天一家园小区、广安里二期，标项四南门街道星河湾公寓、武警宿舍，这八个小区需根据实际建设开工时间进行项目付款。</w:t>
      </w:r>
    </w:p>
    <w:p>
      <w:pPr>
        <w:pStyle w:val="43"/>
        <w:spacing w:line="360" w:lineRule="auto"/>
        <w:ind w:firstLine="420"/>
        <w:rPr>
          <w:rFonts w:ascii="宋体" w:hAnsi="宋体"/>
          <w:b/>
          <w:bCs/>
          <w:color w:val="000000"/>
          <w:szCs w:val="21"/>
        </w:rPr>
      </w:pPr>
      <w:r>
        <w:rPr>
          <w:rFonts w:ascii="Times New Roman" w:hAnsi="Times New Roman"/>
          <w:szCs w:val="21"/>
        </w:rPr>
        <w:t>★</w:t>
      </w:r>
      <w:r>
        <w:rPr>
          <w:rFonts w:hint="eastAsia" w:ascii="宋体" w:hAnsi="宋体"/>
          <w:b/>
          <w:color w:val="000000"/>
          <w:szCs w:val="21"/>
        </w:rPr>
        <w:t>8、</w:t>
      </w:r>
      <w:r>
        <w:rPr>
          <w:rFonts w:hint="eastAsia" w:ascii="宋体" w:hAnsi="宋体"/>
          <w:b/>
          <w:bCs/>
          <w:color w:val="000000"/>
          <w:szCs w:val="21"/>
        </w:rPr>
        <w:t>投标人承诺：</w:t>
      </w:r>
    </w:p>
    <w:p>
      <w:pPr>
        <w:pStyle w:val="43"/>
        <w:spacing w:line="360" w:lineRule="auto"/>
        <w:ind w:firstLine="422"/>
        <w:rPr>
          <w:rFonts w:ascii="宋体" w:hAnsi="宋体"/>
          <w:b/>
          <w:bCs/>
          <w:szCs w:val="21"/>
        </w:rPr>
      </w:pPr>
      <w:r>
        <w:rPr>
          <w:rFonts w:hint="eastAsia" w:ascii="宋体" w:hAnsi="宋体"/>
          <w:b/>
          <w:bCs/>
          <w:color w:val="000000"/>
          <w:szCs w:val="21"/>
        </w:rPr>
        <w:t>（1）竣工结算时，管线项目工程量按实计算，单价按投标价格计取，</w:t>
      </w:r>
      <w:r>
        <w:rPr>
          <w:rFonts w:hint="eastAsia" w:ascii="宋体" w:hAnsi="宋体"/>
          <w:b/>
          <w:bCs/>
          <w:szCs w:val="21"/>
        </w:rPr>
        <w:t>增加工程量单价按重新组价处理，并按下浮率计算。（下浮率计算公式为1-投标报价/预算金额*100%）</w:t>
      </w:r>
    </w:p>
    <w:p>
      <w:pPr>
        <w:pStyle w:val="43"/>
        <w:spacing w:line="360" w:lineRule="auto"/>
        <w:ind w:firstLine="422"/>
        <w:rPr>
          <w:rFonts w:ascii="宋体" w:hAnsi="宋体"/>
          <w:b/>
          <w:bCs/>
          <w:color w:val="000000"/>
          <w:szCs w:val="21"/>
        </w:rPr>
      </w:pPr>
      <w:r>
        <w:rPr>
          <w:rFonts w:hint="eastAsia" w:ascii="宋体" w:hAnsi="宋体"/>
          <w:b/>
          <w:bCs/>
          <w:color w:val="000000"/>
          <w:szCs w:val="21"/>
        </w:rPr>
        <w:t>（2）进行四网合一改造的小区，中标单位应当和四网合一建设单位充分协调沟通，避免出现重复开挖，共用包括但不限于管道及管线，费用由双方协商后按实结算。前期四网代建的管线部分，费用由中标方按实结算。</w:t>
      </w:r>
    </w:p>
    <w:p>
      <w:pPr>
        <w:pStyle w:val="43"/>
        <w:spacing w:line="360" w:lineRule="auto"/>
        <w:ind w:firstLine="422"/>
        <w:rPr>
          <w:rFonts w:ascii="宋体" w:hAnsi="宋体"/>
          <w:b/>
          <w:bCs/>
          <w:color w:val="000000"/>
          <w:szCs w:val="21"/>
        </w:rPr>
      </w:pPr>
      <w:r>
        <w:rPr>
          <w:rFonts w:hint="eastAsia" w:ascii="宋体" w:hAnsi="宋体"/>
          <w:b/>
          <w:bCs/>
          <w:color w:val="000000"/>
          <w:szCs w:val="21"/>
        </w:rPr>
        <w:t>（投标文件中提供承诺函）</w:t>
      </w:r>
    </w:p>
    <w:p>
      <w:pPr>
        <w:pStyle w:val="43"/>
        <w:spacing w:line="360" w:lineRule="auto"/>
        <w:ind w:firstLine="420"/>
        <w:rPr>
          <w:rFonts w:ascii="宋体" w:hAnsi="宋体"/>
          <w:b/>
          <w:bCs/>
          <w:color w:val="000000"/>
          <w:szCs w:val="21"/>
        </w:rPr>
      </w:pPr>
      <w:r>
        <w:rPr>
          <w:rFonts w:ascii="Times New Roman" w:hAnsi="Times New Roman"/>
          <w:szCs w:val="21"/>
        </w:rPr>
        <w:t>★</w:t>
      </w:r>
      <w:r>
        <w:rPr>
          <w:rFonts w:hint="eastAsia" w:ascii="宋体" w:hAnsi="宋体"/>
          <w:b/>
          <w:color w:val="000000"/>
          <w:szCs w:val="21"/>
        </w:rPr>
        <w:t>9、</w:t>
      </w:r>
      <w:r>
        <w:rPr>
          <w:rFonts w:hint="eastAsia" w:ascii="宋体" w:hAnsi="宋体"/>
          <w:b/>
          <w:bCs/>
          <w:color w:val="000000"/>
          <w:szCs w:val="21"/>
        </w:rPr>
        <w:t>需提供每个小区报价清单。</w:t>
      </w:r>
    </w:p>
    <w:p>
      <w:pPr>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sectPr>
          <w:pgSz w:w="11907" w:h="16840"/>
          <w:pgMar w:top="1418" w:right="1077" w:bottom="1418" w:left="1106" w:header="720" w:footer="720" w:gutter="0"/>
          <w:pgBorders>
            <w:top w:val="none" w:sz="0" w:space="0"/>
            <w:left w:val="none" w:sz="0" w:space="0"/>
            <w:bottom w:val="none" w:sz="0" w:space="0"/>
            <w:right w:val="none" w:sz="0" w:space="0"/>
          </w:pgBorders>
          <w:pgNumType w:fmt="decimal"/>
          <w:cols w:space="720" w:num="1"/>
          <w:titlePg/>
          <w:docGrid w:type="linesAndChars" w:linePitch="285" w:charSpace="0"/>
        </w:sectPr>
      </w:pPr>
    </w:p>
    <w:p>
      <w:pPr>
        <w:pStyle w:val="2"/>
        <w:rPr>
          <w:rFonts w:hint="eastAsia"/>
        </w:rPr>
      </w:pPr>
    </w:p>
    <w:p>
      <w:pPr>
        <w:pStyle w:val="3"/>
        <w:tabs>
          <w:tab w:val="center" w:pos="4819"/>
        </w:tabs>
        <w:spacing w:before="200" w:after="200" w:line="360" w:lineRule="auto"/>
        <w:jc w:val="center"/>
        <w:rPr>
          <w:rFonts w:ascii="宋体" w:hAnsi="宋体"/>
          <w:sz w:val="32"/>
        </w:rPr>
      </w:pPr>
      <w:r>
        <w:rPr>
          <w:rFonts w:hint="eastAsia" w:ascii="宋体" w:hAnsi="宋体"/>
          <w:sz w:val="32"/>
        </w:rPr>
        <w:t>第四章 合同条款及格式</w:t>
      </w:r>
      <w:bookmarkEnd w:id="110"/>
      <w:bookmarkEnd w:id="137"/>
      <w:r>
        <w:rPr>
          <w:rFonts w:hint="eastAsia" w:ascii="宋体" w:hAnsi="宋体"/>
          <w:sz w:val="32"/>
        </w:rPr>
        <w:t>（仅供参考）</w:t>
      </w:r>
      <w:bookmarkEnd w:id="138"/>
      <w:bookmarkEnd w:id="139"/>
    </w:p>
    <w:p>
      <w:pPr>
        <w:jc w:val="center"/>
        <w:rPr>
          <w:rFonts w:hint="eastAsia"/>
          <w:b/>
        </w:rPr>
      </w:pPr>
      <w:r>
        <w:rPr>
          <w:rFonts w:hint="eastAsia"/>
          <w:b/>
        </w:rPr>
        <w:t>一般条款（双方可参照此格式或根据具体情况自行编制）</w:t>
      </w:r>
    </w:p>
    <w:p>
      <w:pPr>
        <w:ind w:firstLine="435"/>
        <w:jc w:val="both"/>
        <w:rPr>
          <w:rFonts w:ascii="宋体" w:hAnsi="宋体"/>
          <w:bCs/>
          <w:szCs w:val="21"/>
        </w:rPr>
      </w:pPr>
      <w:bookmarkStart w:id="140" w:name="_Toc41723936"/>
      <w:bookmarkStart w:id="141" w:name="_Toc41884706"/>
      <w:bookmarkStart w:id="142" w:name="_Toc42313172"/>
      <w:bookmarkStart w:id="143" w:name="_Toc42394517"/>
      <w:bookmarkStart w:id="144" w:name="_Toc42394673"/>
      <w:bookmarkStart w:id="145" w:name="_Toc101951263"/>
      <w:bookmarkStart w:id="146" w:name="_Toc175644394"/>
      <w:bookmarkStart w:id="147" w:name="_Toc46308531"/>
      <w:bookmarkStart w:id="148" w:name="_Toc46308687"/>
      <w:bookmarkStart w:id="149" w:name="_Toc272497418"/>
      <w:bookmarkStart w:id="150" w:name="_Toc273520768"/>
      <w:bookmarkStart w:id="151" w:name="_Toc101771372"/>
      <w:bookmarkStart w:id="152" w:name="_Toc98035089"/>
      <w:bookmarkStart w:id="153" w:name="_Toc98580293"/>
      <w:bookmarkStart w:id="154" w:name="_Toc98579011"/>
      <w:bookmarkStart w:id="155" w:name="_Toc98579610"/>
      <w:bookmarkStart w:id="156" w:name="_Toc101843125"/>
      <w:bookmarkStart w:id="157" w:name="_Toc98579069"/>
      <w:bookmarkStart w:id="158" w:name="_Toc50276165"/>
      <w:bookmarkStart w:id="159" w:name="_Toc50276204"/>
      <w:bookmarkStart w:id="160" w:name="_Toc101775125"/>
      <w:r>
        <w:rPr>
          <w:rFonts w:hint="eastAsia" w:ascii="宋体" w:hAnsi="宋体"/>
          <w:bCs/>
          <w:szCs w:val="21"/>
        </w:rPr>
        <w:t xml:space="preserve">甲方（采购人）： </w:t>
      </w:r>
    </w:p>
    <w:p>
      <w:pPr>
        <w:autoSpaceDE w:val="0"/>
        <w:autoSpaceDN w:val="0"/>
        <w:spacing w:line="420" w:lineRule="exact"/>
        <w:ind w:firstLine="420" w:firstLineChars="200"/>
        <w:textAlignment w:val="bottom"/>
        <w:rPr>
          <w:rFonts w:ascii="宋体" w:hAnsi="宋体"/>
          <w:bCs/>
          <w:szCs w:val="21"/>
        </w:rPr>
      </w:pPr>
      <w:r>
        <w:rPr>
          <w:rFonts w:hint="eastAsia" w:ascii="宋体" w:hAnsi="宋体"/>
          <w:bCs/>
          <w:szCs w:val="21"/>
        </w:rPr>
        <w:t>乙方（供应商）：</w:t>
      </w:r>
    </w:p>
    <w:p>
      <w:pPr>
        <w:autoSpaceDE w:val="0"/>
        <w:autoSpaceDN w:val="0"/>
        <w:spacing w:line="420" w:lineRule="exact"/>
        <w:ind w:firstLine="420" w:firstLineChars="200"/>
        <w:textAlignment w:val="bottom"/>
        <w:rPr>
          <w:rFonts w:ascii="宋体" w:hAnsi="宋体"/>
          <w:bCs/>
          <w:szCs w:val="21"/>
        </w:rPr>
      </w:pPr>
      <w:r>
        <w:rPr>
          <w:rFonts w:hint="eastAsia" w:ascii="宋体" w:hAnsi="宋体"/>
          <w:bCs/>
          <w:szCs w:val="21"/>
        </w:rPr>
        <w:t>甲、乙双方根据海曙区公共资源交易中心关于项目编号为的（标项及名称）项目公开招标的结果，签署本合同。</w:t>
      </w:r>
    </w:p>
    <w:p>
      <w:pPr>
        <w:pStyle w:val="7"/>
        <w:adjustRightInd w:val="0"/>
        <w:snapToGrid w:val="0"/>
        <w:spacing w:line="420" w:lineRule="exact"/>
        <w:ind w:firstLine="447" w:firstLineChars="213"/>
        <w:rPr>
          <w:rFonts w:hAnsi="宋体"/>
          <w:bCs/>
        </w:rPr>
      </w:pPr>
      <w:r>
        <w:rPr>
          <w:rFonts w:hint="eastAsia" w:hAnsi="宋体"/>
          <w:bCs/>
        </w:rPr>
        <w:t>一、货物内容及合同价格</w:t>
      </w:r>
    </w:p>
    <w:p>
      <w:pPr>
        <w:pStyle w:val="7"/>
        <w:adjustRightInd w:val="0"/>
        <w:snapToGrid w:val="0"/>
        <w:spacing w:line="420" w:lineRule="exact"/>
        <w:ind w:right="840" w:firstLine="1050" w:firstLineChars="500"/>
        <w:rPr>
          <w:rFonts w:hAnsi="宋体"/>
          <w:bCs/>
        </w:rPr>
      </w:pPr>
      <w:r>
        <w:rPr>
          <w:rFonts w:hint="eastAsia" w:hAnsi="宋体"/>
          <w:bCs/>
        </w:rPr>
        <w:t xml:space="preserve">标项号：                                                       金额单位：元 </w:t>
      </w:r>
    </w:p>
    <w:tbl>
      <w:tblPr>
        <w:tblStyle w:val="14"/>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980"/>
        <w:gridCol w:w="1980"/>
        <w:gridCol w:w="12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noWrap w:val="0"/>
            <w:vAlign w:val="center"/>
          </w:tcPr>
          <w:p>
            <w:pPr>
              <w:pStyle w:val="7"/>
              <w:snapToGrid w:val="0"/>
              <w:spacing w:line="420" w:lineRule="exact"/>
              <w:jc w:val="center"/>
              <w:rPr>
                <w:rFonts w:hAnsi="宋体"/>
                <w:bCs/>
              </w:rPr>
            </w:pPr>
            <w:r>
              <w:rPr>
                <w:rFonts w:hint="eastAsia" w:hAnsi="宋体"/>
                <w:bCs/>
              </w:rPr>
              <w:t>货物（服务）名称</w:t>
            </w:r>
          </w:p>
        </w:tc>
        <w:tc>
          <w:tcPr>
            <w:tcW w:w="1980" w:type="dxa"/>
            <w:noWrap w:val="0"/>
            <w:vAlign w:val="center"/>
          </w:tcPr>
          <w:p>
            <w:pPr>
              <w:pStyle w:val="7"/>
              <w:snapToGrid w:val="0"/>
              <w:spacing w:line="420" w:lineRule="exact"/>
              <w:jc w:val="center"/>
              <w:rPr>
                <w:rFonts w:hAnsi="宋体"/>
                <w:bCs/>
              </w:rPr>
            </w:pPr>
            <w:r>
              <w:rPr>
                <w:rFonts w:hint="eastAsia" w:hAnsi="宋体"/>
                <w:bCs/>
              </w:rPr>
              <w:t>型号规格</w:t>
            </w:r>
          </w:p>
        </w:tc>
        <w:tc>
          <w:tcPr>
            <w:tcW w:w="1980" w:type="dxa"/>
            <w:noWrap w:val="0"/>
            <w:vAlign w:val="center"/>
          </w:tcPr>
          <w:p>
            <w:pPr>
              <w:pStyle w:val="7"/>
              <w:snapToGrid w:val="0"/>
              <w:spacing w:line="420" w:lineRule="exact"/>
              <w:jc w:val="center"/>
              <w:rPr>
                <w:rFonts w:hAnsi="宋体"/>
                <w:bCs/>
              </w:rPr>
            </w:pPr>
            <w:r>
              <w:rPr>
                <w:rFonts w:hint="eastAsia" w:hAnsi="宋体"/>
                <w:bCs/>
              </w:rPr>
              <w:t>配置要求</w:t>
            </w:r>
          </w:p>
        </w:tc>
        <w:tc>
          <w:tcPr>
            <w:tcW w:w="1260" w:type="dxa"/>
            <w:noWrap w:val="0"/>
            <w:vAlign w:val="center"/>
          </w:tcPr>
          <w:p>
            <w:pPr>
              <w:pStyle w:val="7"/>
              <w:snapToGrid w:val="0"/>
              <w:spacing w:line="420" w:lineRule="exact"/>
              <w:ind w:left="-108"/>
              <w:jc w:val="center"/>
              <w:rPr>
                <w:rFonts w:hAnsi="宋体"/>
                <w:bCs/>
              </w:rPr>
            </w:pPr>
            <w:r>
              <w:rPr>
                <w:rFonts w:hint="eastAsia" w:hAnsi="宋体"/>
                <w:bCs/>
              </w:rPr>
              <w:t>数量</w:t>
            </w:r>
          </w:p>
        </w:tc>
        <w:tc>
          <w:tcPr>
            <w:tcW w:w="2340" w:type="dxa"/>
            <w:noWrap w:val="0"/>
            <w:vAlign w:val="center"/>
          </w:tcPr>
          <w:p>
            <w:pPr>
              <w:pStyle w:val="7"/>
              <w:snapToGrid w:val="0"/>
              <w:spacing w:line="420" w:lineRule="exact"/>
              <w:ind w:left="-108"/>
              <w:jc w:val="center"/>
              <w:rPr>
                <w:rFonts w:hAnsi="宋体"/>
                <w:bCs/>
              </w:rPr>
            </w:pPr>
            <w:r>
              <w:rPr>
                <w:rFonts w:hint="eastAsia" w:hAnsi="宋体"/>
                <w:bCs/>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2340" w:type="dxa"/>
            <w:noWrap w:val="0"/>
            <w:vAlign w:val="top"/>
          </w:tcPr>
          <w:p>
            <w:pPr>
              <w:spacing w:line="420" w:lineRule="exact"/>
              <w:ind w:firstLine="447" w:firstLineChars="213"/>
              <w:rPr>
                <w:rFonts w:ascii="宋体" w:hAnsi="宋体"/>
                <w:bCs/>
                <w:szCs w:val="21"/>
              </w:rPr>
            </w:pPr>
          </w:p>
        </w:tc>
        <w:tc>
          <w:tcPr>
            <w:tcW w:w="1980" w:type="dxa"/>
            <w:noWrap w:val="0"/>
            <w:vAlign w:val="top"/>
          </w:tcPr>
          <w:p>
            <w:pPr>
              <w:spacing w:line="420" w:lineRule="exact"/>
              <w:ind w:firstLine="447" w:firstLineChars="213"/>
              <w:rPr>
                <w:rFonts w:ascii="宋体" w:hAnsi="宋体"/>
                <w:bCs/>
                <w:szCs w:val="21"/>
              </w:rPr>
            </w:pPr>
          </w:p>
        </w:tc>
        <w:tc>
          <w:tcPr>
            <w:tcW w:w="1980" w:type="dxa"/>
            <w:noWrap w:val="0"/>
            <w:vAlign w:val="top"/>
          </w:tcPr>
          <w:p>
            <w:pPr>
              <w:spacing w:line="420" w:lineRule="exact"/>
              <w:ind w:firstLine="447" w:firstLineChars="213"/>
              <w:rPr>
                <w:rFonts w:ascii="宋体" w:hAnsi="宋体"/>
                <w:bCs/>
                <w:szCs w:val="21"/>
              </w:rPr>
            </w:pPr>
          </w:p>
        </w:tc>
        <w:tc>
          <w:tcPr>
            <w:tcW w:w="1260" w:type="dxa"/>
            <w:noWrap w:val="0"/>
            <w:vAlign w:val="top"/>
          </w:tcPr>
          <w:p>
            <w:pPr>
              <w:spacing w:line="420" w:lineRule="exact"/>
              <w:ind w:firstLine="447" w:firstLineChars="213"/>
              <w:rPr>
                <w:rFonts w:ascii="宋体" w:hAnsi="宋体"/>
                <w:bCs/>
                <w:szCs w:val="21"/>
              </w:rPr>
            </w:pPr>
          </w:p>
        </w:tc>
        <w:tc>
          <w:tcPr>
            <w:tcW w:w="2340" w:type="dxa"/>
            <w:noWrap w:val="0"/>
            <w:vAlign w:val="top"/>
          </w:tcPr>
          <w:p>
            <w:pPr>
              <w:pStyle w:val="38"/>
              <w:spacing w:after="120" w:line="420" w:lineRule="exact"/>
              <w:ind w:firstLine="447" w:firstLineChars="213"/>
              <w:rPr>
                <w:rFonts w:hAnsi="宋体"/>
                <w:bCs/>
                <w:snapToGrid/>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6300" w:type="dxa"/>
            <w:gridSpan w:val="3"/>
            <w:noWrap w:val="0"/>
            <w:vAlign w:val="top"/>
          </w:tcPr>
          <w:p>
            <w:pPr>
              <w:pStyle w:val="7"/>
              <w:snapToGrid w:val="0"/>
              <w:spacing w:line="420" w:lineRule="exact"/>
              <w:rPr>
                <w:rFonts w:hAnsi="宋体"/>
                <w:bCs/>
              </w:rPr>
            </w:pPr>
            <w:r>
              <w:rPr>
                <w:rFonts w:hint="eastAsia" w:hAnsi="宋体"/>
                <w:bCs/>
              </w:rPr>
              <w:t>合      计</w:t>
            </w:r>
          </w:p>
        </w:tc>
        <w:tc>
          <w:tcPr>
            <w:tcW w:w="1260" w:type="dxa"/>
            <w:noWrap w:val="0"/>
            <w:vAlign w:val="top"/>
          </w:tcPr>
          <w:p>
            <w:pPr>
              <w:pStyle w:val="7"/>
              <w:snapToGrid w:val="0"/>
              <w:spacing w:line="420" w:lineRule="exact"/>
              <w:ind w:firstLine="447" w:firstLineChars="213"/>
              <w:jc w:val="center"/>
              <w:rPr>
                <w:rFonts w:hAnsi="宋体"/>
                <w:bCs/>
              </w:rPr>
            </w:pPr>
          </w:p>
        </w:tc>
        <w:tc>
          <w:tcPr>
            <w:tcW w:w="2340" w:type="dxa"/>
            <w:noWrap w:val="0"/>
            <w:vAlign w:val="top"/>
          </w:tcPr>
          <w:p>
            <w:pPr>
              <w:pStyle w:val="38"/>
              <w:spacing w:after="120" w:line="420" w:lineRule="exact"/>
              <w:ind w:firstLine="447" w:firstLineChars="213"/>
              <w:rPr>
                <w:rFonts w:hAnsi="宋体"/>
                <w:bCs/>
                <w:snapToGrid/>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900" w:type="dxa"/>
            <w:gridSpan w:val="5"/>
            <w:noWrap w:val="0"/>
            <w:vAlign w:val="top"/>
          </w:tcPr>
          <w:p>
            <w:pPr>
              <w:pStyle w:val="7"/>
              <w:snapToGrid w:val="0"/>
              <w:spacing w:line="420" w:lineRule="exact"/>
              <w:rPr>
                <w:rFonts w:hAnsi="宋体"/>
                <w:bCs/>
              </w:rPr>
            </w:pPr>
            <w:r>
              <w:rPr>
                <w:rFonts w:hint="eastAsia" w:hAnsi="宋体"/>
                <w:bCs/>
              </w:rPr>
              <w:t xml:space="preserve">合同总价大写：                           小写：￥      </w:t>
            </w:r>
          </w:p>
        </w:tc>
      </w:tr>
    </w:tbl>
    <w:p>
      <w:pPr>
        <w:pStyle w:val="7"/>
        <w:snapToGrid w:val="0"/>
        <w:spacing w:line="420" w:lineRule="exact"/>
        <w:ind w:left="-178" w:leftChars="-85" w:firstLine="447" w:firstLineChars="213"/>
        <w:rPr>
          <w:rFonts w:hAnsi="宋体"/>
          <w:bCs/>
        </w:rPr>
      </w:pPr>
      <w:r>
        <w:rPr>
          <w:rFonts w:hint="eastAsia" w:hAnsi="宋体"/>
          <w:bCs/>
        </w:rPr>
        <w:t>注：1、商品型号、数量、配置要求及使用单位地址等详见附件清单</w:t>
      </w:r>
    </w:p>
    <w:p>
      <w:pPr>
        <w:spacing w:line="420" w:lineRule="exact"/>
        <w:ind w:firstLine="447" w:firstLineChars="213"/>
        <w:rPr>
          <w:rFonts w:ascii="宋体" w:hAnsi="宋体"/>
          <w:bCs/>
          <w:szCs w:val="21"/>
        </w:rPr>
      </w:pPr>
      <w:r>
        <w:rPr>
          <w:rFonts w:hint="eastAsia" w:ascii="宋体" w:hAnsi="宋体"/>
          <w:bCs/>
          <w:szCs w:val="21"/>
        </w:rPr>
        <w:t>　2、以上合同总价包含产品到达用户并能正常使用所需的一切费用。</w:t>
      </w:r>
    </w:p>
    <w:p>
      <w:pPr>
        <w:pStyle w:val="7"/>
        <w:adjustRightInd w:val="0"/>
        <w:snapToGrid w:val="0"/>
        <w:spacing w:line="420" w:lineRule="exact"/>
        <w:ind w:firstLine="447" w:firstLineChars="213"/>
        <w:rPr>
          <w:rFonts w:hAnsi="宋体"/>
          <w:bCs/>
        </w:rPr>
      </w:pPr>
      <w:r>
        <w:rPr>
          <w:rFonts w:hint="eastAsia" w:hAnsi="宋体"/>
          <w:bCs/>
        </w:rPr>
        <w:t>二、技术资料</w:t>
      </w:r>
    </w:p>
    <w:p>
      <w:pPr>
        <w:pStyle w:val="7"/>
        <w:adjustRightInd w:val="0"/>
        <w:snapToGrid w:val="0"/>
        <w:spacing w:line="420" w:lineRule="exact"/>
        <w:ind w:firstLine="447" w:firstLineChars="213"/>
        <w:rPr>
          <w:rFonts w:hAnsi="宋体"/>
          <w:bCs/>
        </w:rPr>
      </w:pPr>
      <w:r>
        <w:rPr>
          <w:rFonts w:hint="eastAsia" w:hAnsi="宋体"/>
          <w:bCs/>
        </w:rPr>
        <w:t>1.乙方应按招标文件规定的时间向甲方提供使用货物的有关技术资料。</w:t>
      </w:r>
    </w:p>
    <w:p>
      <w:pPr>
        <w:pStyle w:val="7"/>
        <w:adjustRightInd w:val="0"/>
        <w:snapToGrid w:val="0"/>
        <w:spacing w:line="420" w:lineRule="exact"/>
        <w:ind w:firstLine="447" w:firstLineChars="213"/>
        <w:rPr>
          <w:rFonts w:hAnsi="宋体"/>
          <w:bCs/>
        </w:rPr>
      </w:pPr>
      <w:r>
        <w:rPr>
          <w:rFonts w:hint="eastAsia" w:hAnsi="宋体"/>
          <w:bCs/>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7"/>
        <w:adjustRightInd w:val="0"/>
        <w:snapToGrid w:val="0"/>
        <w:spacing w:line="420" w:lineRule="exact"/>
        <w:ind w:firstLine="415" w:firstLineChars="198"/>
        <w:rPr>
          <w:rFonts w:hAnsi="宋体"/>
          <w:bCs/>
        </w:rPr>
      </w:pPr>
      <w:r>
        <w:rPr>
          <w:rFonts w:hint="eastAsia" w:hAnsi="宋体"/>
          <w:bCs/>
        </w:rPr>
        <w:t>三、知识产权</w:t>
      </w:r>
    </w:p>
    <w:p>
      <w:pPr>
        <w:pStyle w:val="7"/>
        <w:adjustRightInd w:val="0"/>
        <w:snapToGrid w:val="0"/>
        <w:spacing w:line="420" w:lineRule="exact"/>
        <w:ind w:firstLine="447" w:firstLineChars="213"/>
        <w:rPr>
          <w:rFonts w:hAnsi="宋体"/>
          <w:bCs/>
        </w:rPr>
      </w:pPr>
      <w:r>
        <w:rPr>
          <w:rFonts w:hint="eastAsia" w:hAnsi="宋体"/>
          <w:bCs/>
        </w:rPr>
        <w:t>乙方应保证所提供的货物或其任何一部分均不会侵犯任何第三方的知识产权。</w:t>
      </w:r>
    </w:p>
    <w:p>
      <w:pPr>
        <w:pStyle w:val="7"/>
        <w:adjustRightInd w:val="0"/>
        <w:snapToGrid w:val="0"/>
        <w:spacing w:line="420" w:lineRule="exact"/>
        <w:ind w:firstLine="415" w:firstLineChars="198"/>
        <w:rPr>
          <w:rFonts w:hAnsi="宋体"/>
          <w:bCs/>
        </w:rPr>
      </w:pPr>
      <w:r>
        <w:rPr>
          <w:rFonts w:hint="eastAsia" w:hAnsi="宋体"/>
          <w:bCs/>
        </w:rPr>
        <w:t>四、产权担保</w:t>
      </w:r>
    </w:p>
    <w:p>
      <w:pPr>
        <w:pStyle w:val="7"/>
        <w:adjustRightInd w:val="0"/>
        <w:snapToGrid w:val="0"/>
        <w:spacing w:line="420" w:lineRule="exact"/>
        <w:ind w:firstLine="447" w:firstLineChars="213"/>
        <w:rPr>
          <w:rFonts w:hAnsi="宋体"/>
          <w:bCs/>
        </w:rPr>
      </w:pPr>
      <w:r>
        <w:rPr>
          <w:rFonts w:hint="eastAsia" w:hAnsi="宋体"/>
          <w:bCs/>
        </w:rPr>
        <w:t>乙方保证所交付的货物的所有权完全属于乙方且无任何抵押、查封等产权瑕疵。</w:t>
      </w:r>
    </w:p>
    <w:p>
      <w:pPr>
        <w:pStyle w:val="7"/>
        <w:adjustRightInd w:val="0"/>
        <w:snapToGrid w:val="0"/>
        <w:spacing w:line="420" w:lineRule="exact"/>
        <w:ind w:firstLine="415" w:firstLineChars="198"/>
        <w:rPr>
          <w:rFonts w:hAnsi="宋体"/>
          <w:bCs/>
        </w:rPr>
      </w:pPr>
      <w:r>
        <w:rPr>
          <w:rFonts w:hint="eastAsia" w:hAnsi="宋体"/>
          <w:bCs/>
        </w:rPr>
        <w:t>五、转包或分包</w:t>
      </w:r>
    </w:p>
    <w:p>
      <w:pPr>
        <w:adjustRightInd w:val="0"/>
        <w:snapToGrid w:val="0"/>
        <w:spacing w:beforeLines="50" w:afterLines="50" w:line="420" w:lineRule="exact"/>
        <w:ind w:firstLine="447" w:firstLineChars="213"/>
        <w:rPr>
          <w:rFonts w:ascii="宋体" w:hAnsi="宋体"/>
          <w:bCs/>
          <w:szCs w:val="21"/>
        </w:rPr>
      </w:pPr>
      <w:r>
        <w:rPr>
          <w:rFonts w:hint="eastAsia" w:ascii="宋体" w:hAnsi="宋体"/>
          <w:bCs/>
          <w:szCs w:val="21"/>
        </w:rPr>
        <w:t>本合同范围的货物，应由乙方直接供应，不得转让他人供应，否则，甲方有权解除合同，并追究乙方的违约责任。</w:t>
      </w:r>
    </w:p>
    <w:p>
      <w:pPr>
        <w:spacing w:line="420" w:lineRule="exact"/>
        <w:ind w:firstLine="420" w:firstLineChars="200"/>
      </w:pPr>
      <w:r>
        <w:rPr>
          <w:rFonts w:hint="eastAsia"/>
        </w:rPr>
        <w:t>六、质保期</w:t>
      </w:r>
    </w:p>
    <w:p>
      <w:pPr>
        <w:pStyle w:val="7"/>
        <w:adjustRightInd w:val="0"/>
        <w:snapToGrid w:val="0"/>
        <w:spacing w:line="420" w:lineRule="exact"/>
        <w:ind w:firstLine="420" w:firstLineChars="200"/>
        <w:rPr>
          <w:rFonts w:hAnsi="宋体"/>
          <w:bCs/>
        </w:rPr>
      </w:pPr>
      <w:bookmarkStart w:id="161" w:name="_Toc268858119"/>
      <w:bookmarkEnd w:id="161"/>
      <w:bookmarkStart w:id="162" w:name="_Toc268858118"/>
      <w:bookmarkEnd w:id="162"/>
      <w:bookmarkStart w:id="163" w:name="_Toc268858121"/>
      <w:bookmarkEnd w:id="163"/>
      <w:bookmarkStart w:id="164" w:name="_Toc268858122"/>
      <w:bookmarkEnd w:id="164"/>
      <w:bookmarkStart w:id="165" w:name="_Toc268858120"/>
      <w:bookmarkEnd w:id="165"/>
      <w:r>
        <w:rPr>
          <w:rFonts w:hint="eastAsia" w:hAnsi="宋体"/>
          <w:bCs/>
        </w:rPr>
        <w:t>1.质保期      年。（自交货验收合格之日起计）</w:t>
      </w:r>
    </w:p>
    <w:p>
      <w:pPr>
        <w:pStyle w:val="7"/>
        <w:adjustRightInd w:val="0"/>
        <w:snapToGrid w:val="0"/>
        <w:spacing w:line="420" w:lineRule="exact"/>
        <w:ind w:firstLine="447" w:firstLineChars="213"/>
        <w:rPr>
          <w:rFonts w:hAnsi="宋体"/>
          <w:bCs/>
        </w:rPr>
      </w:pPr>
      <w:r>
        <w:rPr>
          <w:rFonts w:hint="eastAsia" w:hAnsi="宋体"/>
          <w:bCs/>
        </w:rPr>
        <w:t>七、交货期、交货方式及交货地点</w:t>
      </w:r>
    </w:p>
    <w:p>
      <w:pPr>
        <w:pStyle w:val="7"/>
        <w:adjustRightInd w:val="0"/>
        <w:snapToGrid w:val="0"/>
        <w:spacing w:line="420" w:lineRule="exact"/>
        <w:ind w:firstLine="447" w:firstLineChars="213"/>
        <w:rPr>
          <w:rFonts w:hAnsi="宋体"/>
          <w:bCs/>
        </w:rPr>
      </w:pPr>
      <w:r>
        <w:rPr>
          <w:rFonts w:hint="eastAsia" w:hAnsi="宋体"/>
          <w:bCs/>
        </w:rPr>
        <w:t>1. 交货期：</w:t>
      </w:r>
    </w:p>
    <w:p>
      <w:pPr>
        <w:pStyle w:val="7"/>
        <w:adjustRightInd w:val="0"/>
        <w:snapToGrid w:val="0"/>
        <w:spacing w:line="420" w:lineRule="exact"/>
        <w:ind w:firstLine="447" w:firstLineChars="213"/>
        <w:rPr>
          <w:rFonts w:hAnsi="宋体"/>
          <w:bCs/>
        </w:rPr>
      </w:pPr>
      <w:r>
        <w:rPr>
          <w:rFonts w:hint="eastAsia" w:hAnsi="宋体"/>
          <w:bCs/>
        </w:rPr>
        <w:t>2. 交货方式：</w:t>
      </w:r>
    </w:p>
    <w:p>
      <w:pPr>
        <w:pStyle w:val="7"/>
        <w:adjustRightInd w:val="0"/>
        <w:snapToGrid w:val="0"/>
        <w:spacing w:line="420" w:lineRule="exact"/>
        <w:ind w:firstLine="447" w:firstLineChars="213"/>
        <w:rPr>
          <w:rFonts w:hAnsi="宋体"/>
          <w:bCs/>
        </w:rPr>
      </w:pPr>
      <w:r>
        <w:rPr>
          <w:rFonts w:hint="eastAsia" w:hAnsi="宋体"/>
          <w:bCs/>
        </w:rPr>
        <w:t>3. 交货地点：</w:t>
      </w:r>
    </w:p>
    <w:p>
      <w:pPr>
        <w:pStyle w:val="7"/>
        <w:adjustRightInd w:val="0"/>
        <w:snapToGrid w:val="0"/>
        <w:spacing w:line="420" w:lineRule="exact"/>
        <w:ind w:firstLine="447" w:firstLineChars="213"/>
        <w:rPr>
          <w:rFonts w:hAnsi="宋体"/>
          <w:bCs/>
        </w:rPr>
      </w:pPr>
      <w:r>
        <w:rPr>
          <w:rFonts w:hint="eastAsia" w:hAnsi="宋体"/>
          <w:bCs/>
        </w:rPr>
        <w:t>八、货款支付</w:t>
      </w:r>
    </w:p>
    <w:p>
      <w:pPr>
        <w:pStyle w:val="7"/>
        <w:adjustRightInd w:val="0"/>
        <w:snapToGrid w:val="0"/>
        <w:spacing w:line="420" w:lineRule="exact"/>
        <w:ind w:firstLine="447" w:firstLineChars="213"/>
        <w:rPr>
          <w:rFonts w:hAnsi="宋体"/>
          <w:bCs/>
        </w:rPr>
      </w:pPr>
      <w:r>
        <w:rPr>
          <w:rFonts w:hint="eastAsia" w:hAnsi="宋体"/>
          <w:bCs/>
        </w:rPr>
        <w:t xml:space="preserve"> 付款方式：</w:t>
      </w:r>
    </w:p>
    <w:p>
      <w:pPr>
        <w:adjustRightInd w:val="0"/>
        <w:snapToGrid w:val="0"/>
        <w:spacing w:beforeLines="50" w:afterLines="50" w:line="420" w:lineRule="exact"/>
        <w:ind w:firstLine="447" w:firstLineChars="213"/>
        <w:rPr>
          <w:rFonts w:ascii="宋体" w:hAnsi="宋体"/>
          <w:bCs/>
          <w:szCs w:val="21"/>
        </w:rPr>
      </w:pPr>
      <w:r>
        <w:rPr>
          <w:rFonts w:hint="eastAsia" w:ascii="宋体" w:hAnsi="宋体"/>
          <w:bCs/>
          <w:szCs w:val="21"/>
        </w:rPr>
        <w:t>九、税费</w:t>
      </w:r>
    </w:p>
    <w:p>
      <w:pPr>
        <w:adjustRightInd w:val="0"/>
        <w:snapToGrid w:val="0"/>
        <w:spacing w:beforeLines="50" w:afterLines="50" w:line="420" w:lineRule="exact"/>
        <w:ind w:firstLine="447" w:firstLineChars="213"/>
        <w:rPr>
          <w:rFonts w:ascii="宋体" w:hAnsi="宋体"/>
          <w:bCs/>
          <w:szCs w:val="21"/>
        </w:rPr>
      </w:pPr>
      <w:r>
        <w:rPr>
          <w:rFonts w:hint="eastAsia" w:ascii="宋体" w:hAnsi="宋体"/>
          <w:bCs/>
          <w:szCs w:val="21"/>
        </w:rPr>
        <w:t>本合同执行中相关的一切税费均由乙方负担。</w:t>
      </w:r>
    </w:p>
    <w:p>
      <w:pPr>
        <w:pStyle w:val="7"/>
        <w:adjustRightInd w:val="0"/>
        <w:snapToGrid w:val="0"/>
        <w:spacing w:line="420" w:lineRule="exact"/>
        <w:ind w:firstLine="415" w:firstLineChars="198"/>
        <w:rPr>
          <w:rFonts w:hAnsi="宋体"/>
          <w:bCs/>
        </w:rPr>
      </w:pPr>
      <w:r>
        <w:rPr>
          <w:rFonts w:hint="eastAsia" w:hAnsi="宋体"/>
          <w:bCs/>
        </w:rPr>
        <w:t>十、质量保证及售后服务</w:t>
      </w:r>
    </w:p>
    <w:p>
      <w:pPr>
        <w:pStyle w:val="7"/>
        <w:adjustRightInd w:val="0"/>
        <w:snapToGrid w:val="0"/>
        <w:spacing w:line="420" w:lineRule="exact"/>
        <w:ind w:firstLine="447" w:firstLineChars="213"/>
        <w:rPr>
          <w:rFonts w:hAnsi="宋体"/>
          <w:bCs/>
        </w:rPr>
      </w:pPr>
      <w:r>
        <w:rPr>
          <w:rFonts w:hint="eastAsia" w:hAnsi="宋体"/>
          <w:bCs/>
        </w:rPr>
        <w:t>1.乙方保证本合同中所供应的商品是最新生产的符合国家技术规格和质量标准的出厂原装合格产品。如发生所供商品与合同不符，甲方（使用方）有权拒收或退货，由此产生的一切责任和后果由乙方承担。</w:t>
      </w:r>
    </w:p>
    <w:p>
      <w:pPr>
        <w:pStyle w:val="7"/>
        <w:adjustRightInd w:val="0"/>
        <w:snapToGrid w:val="0"/>
        <w:spacing w:line="420" w:lineRule="exact"/>
        <w:ind w:firstLine="447" w:firstLineChars="213"/>
        <w:rPr>
          <w:rFonts w:hAnsi="宋体"/>
          <w:bCs/>
        </w:rPr>
      </w:pPr>
      <w:r>
        <w:rPr>
          <w:rFonts w:hint="eastAsia" w:hAnsi="宋体"/>
          <w:bCs/>
        </w:rPr>
        <w:t>2. 乙方提供的货物在质保期内因货物本身的质量问题发生故障，乙方应负责免费更换。对达不到技术要求者，根据实际情况，经双方协商，可按以下办法处理：</w:t>
      </w:r>
    </w:p>
    <w:p>
      <w:pPr>
        <w:pStyle w:val="7"/>
        <w:adjustRightInd w:val="0"/>
        <w:snapToGrid w:val="0"/>
        <w:spacing w:line="420" w:lineRule="exact"/>
        <w:ind w:firstLine="447" w:firstLineChars="213"/>
        <w:rPr>
          <w:rFonts w:hAnsi="宋体"/>
          <w:bCs/>
        </w:rPr>
      </w:pPr>
      <w:r>
        <w:rPr>
          <w:rFonts w:hint="eastAsia" w:hAnsi="宋体"/>
          <w:bCs/>
        </w:rPr>
        <w:t>⑴更换：由乙方承担所发生的全部费用。</w:t>
      </w:r>
    </w:p>
    <w:p>
      <w:pPr>
        <w:pStyle w:val="7"/>
        <w:adjustRightInd w:val="0"/>
        <w:snapToGrid w:val="0"/>
        <w:spacing w:line="420" w:lineRule="exact"/>
        <w:ind w:firstLine="447" w:firstLineChars="213"/>
        <w:rPr>
          <w:rFonts w:hAnsi="宋体"/>
          <w:bCs/>
        </w:rPr>
      </w:pPr>
      <w:r>
        <w:rPr>
          <w:rFonts w:hint="eastAsia" w:hAnsi="宋体"/>
          <w:bCs/>
        </w:rPr>
        <w:t>⑵贬值处理：由甲乙双方合议定价。</w:t>
      </w:r>
    </w:p>
    <w:p>
      <w:pPr>
        <w:pStyle w:val="7"/>
        <w:adjustRightInd w:val="0"/>
        <w:snapToGrid w:val="0"/>
        <w:spacing w:line="420" w:lineRule="exact"/>
        <w:ind w:firstLine="447" w:firstLineChars="213"/>
        <w:rPr>
          <w:rFonts w:hAnsi="宋体"/>
          <w:bCs/>
        </w:rPr>
      </w:pPr>
      <w:r>
        <w:rPr>
          <w:rFonts w:hint="eastAsia" w:hAnsi="宋体"/>
          <w:bCs/>
        </w:rPr>
        <w:t>⑶退货处理：乙方应退还甲方支付的合同款，同时应承担该货物的直接费用（运输、保险、检验、货款利息及银行手续费等）。</w:t>
      </w:r>
    </w:p>
    <w:p>
      <w:pPr>
        <w:pStyle w:val="7"/>
        <w:adjustRightInd w:val="0"/>
        <w:snapToGrid w:val="0"/>
        <w:spacing w:line="420" w:lineRule="exact"/>
        <w:ind w:firstLine="447" w:firstLineChars="213"/>
        <w:rPr>
          <w:rFonts w:hAnsi="宋体"/>
          <w:bCs/>
        </w:rPr>
      </w:pPr>
      <w:r>
        <w:rPr>
          <w:rFonts w:hint="eastAsia" w:hAnsi="宋体"/>
          <w:bCs/>
        </w:rPr>
        <w:t>3. 在质保期内，乙方应对货物出现的质量及安全问题负责处理解决并承担一切费用。</w:t>
      </w:r>
    </w:p>
    <w:p>
      <w:pPr>
        <w:pStyle w:val="7"/>
        <w:adjustRightInd w:val="0"/>
        <w:snapToGrid w:val="0"/>
        <w:spacing w:line="420" w:lineRule="exact"/>
        <w:ind w:firstLine="447" w:firstLineChars="213"/>
        <w:rPr>
          <w:rFonts w:hAnsi="宋体"/>
          <w:bCs/>
        </w:rPr>
      </w:pPr>
      <w:r>
        <w:rPr>
          <w:rFonts w:hint="eastAsia" w:hAnsi="宋体"/>
          <w:bCs/>
        </w:rPr>
        <w:t>4.上述的货物在质保期内免费保修，因人为因素出现的故障不在免费保修范围内。超过保修期的机器设备，终生维修，维修时只收部件成本费。</w:t>
      </w:r>
    </w:p>
    <w:p>
      <w:pPr>
        <w:pStyle w:val="7"/>
        <w:adjustRightInd w:val="0"/>
        <w:snapToGrid w:val="0"/>
        <w:spacing w:line="420" w:lineRule="exact"/>
        <w:ind w:firstLine="447" w:firstLineChars="213"/>
        <w:rPr>
          <w:rFonts w:hAnsi="宋体"/>
          <w:bCs/>
        </w:rPr>
      </w:pPr>
      <w:r>
        <w:rPr>
          <w:rFonts w:hint="eastAsia" w:hAnsi="宋体"/>
          <w:bCs/>
        </w:rPr>
        <w:t>十一、调试和验收</w:t>
      </w:r>
    </w:p>
    <w:p>
      <w:pPr>
        <w:pStyle w:val="7"/>
        <w:adjustRightInd w:val="0"/>
        <w:snapToGrid w:val="0"/>
        <w:spacing w:line="420" w:lineRule="exact"/>
        <w:ind w:firstLine="447" w:firstLineChars="213"/>
        <w:rPr>
          <w:rFonts w:hAnsi="宋体"/>
          <w:bCs/>
        </w:rPr>
      </w:pPr>
      <w:r>
        <w:rPr>
          <w:rFonts w:hint="eastAsia" w:hAnsi="宋体"/>
          <w:bCs/>
        </w:rPr>
        <w:t>1. 甲方对乙方提交的货物依据招标文件上的技术规格要求和国家有关质量标准进行现场验收。货到后，甲方需在五个工作日内验收。</w:t>
      </w:r>
    </w:p>
    <w:p>
      <w:pPr>
        <w:pStyle w:val="7"/>
        <w:adjustRightInd w:val="0"/>
        <w:snapToGrid w:val="0"/>
        <w:spacing w:line="420" w:lineRule="exact"/>
        <w:ind w:firstLine="447" w:firstLineChars="213"/>
      </w:pPr>
      <w:r>
        <w:rPr>
          <w:rFonts w:hint="eastAsia" w:hAnsi="宋体"/>
          <w:bCs/>
        </w:rPr>
        <w:t>2. 乙方交货前应对产品作出全面检查和对验收文件进行整理，并列出清单，作为甲方收</w:t>
      </w:r>
    </w:p>
    <w:p>
      <w:pPr>
        <w:pStyle w:val="7"/>
        <w:adjustRightInd w:val="0"/>
        <w:snapToGrid w:val="0"/>
        <w:spacing w:line="420" w:lineRule="exact"/>
        <w:ind w:firstLine="447" w:firstLineChars="213"/>
        <w:rPr>
          <w:rFonts w:hAnsi="宋体"/>
          <w:bCs/>
        </w:rPr>
      </w:pPr>
      <w:r>
        <w:rPr>
          <w:rFonts w:hint="eastAsia" w:hAnsi="宋体"/>
          <w:bCs/>
        </w:rPr>
        <w:t>货验收和使用的技术条件依据，检验的结果应随货物交甲方。</w:t>
      </w:r>
    </w:p>
    <w:p>
      <w:pPr>
        <w:pStyle w:val="7"/>
        <w:adjustRightInd w:val="0"/>
        <w:snapToGrid w:val="0"/>
        <w:spacing w:line="420" w:lineRule="exact"/>
        <w:ind w:firstLine="447" w:firstLineChars="213"/>
        <w:rPr>
          <w:rFonts w:hAnsi="宋体"/>
          <w:bCs/>
        </w:rPr>
      </w:pPr>
      <w:r>
        <w:rPr>
          <w:rFonts w:hint="eastAsia" w:hAnsi="宋体"/>
          <w:bCs/>
        </w:rPr>
        <w:t>3. 甲方对乙方提供的货物在使用前进行调试时，乙方需负责安装并培训甲方的使用操作人员，并协助甲方一起调试，直到符合技术要求，甲方才做最终验收。</w:t>
      </w:r>
    </w:p>
    <w:p>
      <w:pPr>
        <w:pStyle w:val="7"/>
        <w:adjustRightInd w:val="0"/>
        <w:snapToGrid w:val="0"/>
        <w:spacing w:line="420" w:lineRule="exact"/>
        <w:ind w:firstLine="447" w:firstLineChars="213"/>
        <w:rPr>
          <w:rFonts w:hAnsi="宋体"/>
          <w:bCs/>
        </w:rPr>
      </w:pPr>
      <w:r>
        <w:rPr>
          <w:rFonts w:hint="eastAsia" w:hAnsi="宋体"/>
          <w:bCs/>
        </w:rPr>
        <w:t>4. 对技术复杂的货物，甲方应请国家认可的专业检测机构参与验收，并由其出具质量检测报告。</w:t>
      </w:r>
    </w:p>
    <w:p>
      <w:pPr>
        <w:pStyle w:val="7"/>
        <w:adjustRightInd w:val="0"/>
        <w:snapToGrid w:val="0"/>
        <w:spacing w:line="420" w:lineRule="exact"/>
        <w:ind w:firstLine="447" w:firstLineChars="213"/>
        <w:rPr>
          <w:rFonts w:hAnsi="宋体"/>
          <w:bCs/>
        </w:rPr>
      </w:pPr>
      <w:r>
        <w:rPr>
          <w:rFonts w:hint="eastAsia" w:hAnsi="宋体"/>
          <w:bCs/>
        </w:rPr>
        <w:t>5. 验收时乙方必须在现场，验收完毕后作出验收结果报告；验收费用由乙方负责。</w:t>
      </w:r>
    </w:p>
    <w:p>
      <w:pPr>
        <w:pStyle w:val="7"/>
        <w:adjustRightInd w:val="0"/>
        <w:snapToGrid w:val="0"/>
        <w:spacing w:line="420" w:lineRule="exact"/>
        <w:ind w:firstLine="447" w:firstLineChars="213"/>
        <w:rPr>
          <w:rFonts w:hAnsi="宋体"/>
          <w:bCs/>
        </w:rPr>
      </w:pPr>
      <w:r>
        <w:rPr>
          <w:rFonts w:hint="eastAsia" w:hAnsi="宋体"/>
          <w:bCs/>
        </w:rPr>
        <w:t>十二、货物包装</w:t>
      </w:r>
    </w:p>
    <w:p>
      <w:pPr>
        <w:pStyle w:val="7"/>
        <w:adjustRightInd w:val="0"/>
        <w:snapToGrid w:val="0"/>
        <w:spacing w:line="420" w:lineRule="exact"/>
        <w:ind w:firstLine="447" w:firstLineChars="213"/>
        <w:rPr>
          <w:rFonts w:hAnsi="宋体"/>
          <w:bCs/>
        </w:rPr>
      </w:pPr>
      <w:r>
        <w:rPr>
          <w:rFonts w:hint="eastAsia" w:hAnsi="宋体"/>
          <w:bCs/>
        </w:rPr>
        <w:t>1. 乙方应在货物发运前对其进行满足运输距离、防潮、防震、防锈和防破损装卸等要求包装，以保证货物安全运达甲方指定地点。</w:t>
      </w:r>
    </w:p>
    <w:p>
      <w:pPr>
        <w:pStyle w:val="7"/>
        <w:adjustRightInd w:val="0"/>
        <w:snapToGrid w:val="0"/>
        <w:spacing w:line="420" w:lineRule="exact"/>
        <w:ind w:firstLine="447" w:firstLineChars="213"/>
        <w:rPr>
          <w:rFonts w:hAnsi="宋体"/>
          <w:bCs/>
        </w:rPr>
      </w:pPr>
      <w:r>
        <w:rPr>
          <w:rFonts w:hint="eastAsia" w:hAnsi="宋体"/>
          <w:bCs/>
        </w:rPr>
        <w:t>2. 使用说明书、质量检验证明书、随配附件和工具以及清单一并附于货物内。</w:t>
      </w:r>
    </w:p>
    <w:p>
      <w:pPr>
        <w:pStyle w:val="7"/>
        <w:adjustRightInd w:val="0"/>
        <w:snapToGrid w:val="0"/>
        <w:spacing w:line="420" w:lineRule="exact"/>
        <w:ind w:firstLine="447" w:firstLineChars="213"/>
        <w:rPr>
          <w:rFonts w:hAnsi="宋体"/>
          <w:bCs/>
        </w:rPr>
      </w:pPr>
      <w:r>
        <w:rPr>
          <w:rFonts w:hint="eastAsia" w:hAnsi="宋体"/>
          <w:bCs/>
        </w:rPr>
        <w:t>十三、违约责任</w:t>
      </w:r>
    </w:p>
    <w:p>
      <w:pPr>
        <w:pStyle w:val="7"/>
        <w:adjustRightInd w:val="0"/>
        <w:snapToGrid w:val="0"/>
        <w:spacing w:line="420" w:lineRule="exact"/>
        <w:ind w:left="1" w:firstLine="447" w:firstLineChars="213"/>
        <w:rPr>
          <w:rFonts w:hAnsi="宋体"/>
          <w:bCs/>
        </w:rPr>
      </w:pPr>
      <w:r>
        <w:rPr>
          <w:rFonts w:hint="eastAsia" w:hAnsi="宋体"/>
          <w:bCs/>
        </w:rPr>
        <w:t>1. 甲方无正当理由拒收货物的，甲方向乙方偿付拒收货款总值的百分之五违约金。</w:t>
      </w:r>
    </w:p>
    <w:p>
      <w:pPr>
        <w:pStyle w:val="7"/>
        <w:adjustRightInd w:val="0"/>
        <w:snapToGrid w:val="0"/>
        <w:spacing w:line="420" w:lineRule="exact"/>
        <w:ind w:left="1" w:firstLine="447" w:firstLineChars="213"/>
        <w:rPr>
          <w:rFonts w:hAnsi="宋体"/>
          <w:bCs/>
        </w:rPr>
      </w:pPr>
      <w:r>
        <w:rPr>
          <w:rFonts w:hint="eastAsia" w:hAnsi="宋体"/>
          <w:bCs/>
        </w:rPr>
        <w:t>2. 甲方无故逾期验收和办理货款支付手续的,甲方应按逾期付款总额每日万分之五向乙方支付违约金。</w:t>
      </w:r>
    </w:p>
    <w:p>
      <w:pPr>
        <w:pStyle w:val="7"/>
        <w:adjustRightInd w:val="0"/>
        <w:snapToGrid w:val="0"/>
        <w:spacing w:line="420" w:lineRule="exact"/>
        <w:ind w:left="1" w:firstLine="447" w:firstLineChars="213"/>
        <w:rPr>
          <w:rFonts w:hAnsi="宋体"/>
          <w:bCs/>
        </w:rPr>
      </w:pPr>
      <w:r>
        <w:rPr>
          <w:rFonts w:hint="eastAsia" w:hAnsi="宋体"/>
          <w:bCs/>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7"/>
        <w:adjustRightInd w:val="0"/>
        <w:snapToGrid w:val="0"/>
        <w:spacing w:line="420" w:lineRule="exact"/>
        <w:ind w:left="1" w:firstLine="447" w:firstLineChars="213"/>
        <w:rPr>
          <w:rFonts w:hAnsi="宋体"/>
          <w:bCs/>
        </w:rPr>
      </w:pPr>
      <w:r>
        <w:rPr>
          <w:rFonts w:hint="eastAsia" w:hAnsi="宋体"/>
          <w:bCs/>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7"/>
        <w:adjustRightInd w:val="0"/>
        <w:snapToGrid w:val="0"/>
        <w:spacing w:line="420" w:lineRule="exact"/>
        <w:ind w:firstLine="447" w:firstLineChars="213"/>
        <w:rPr>
          <w:rFonts w:hAnsi="宋体"/>
          <w:bCs/>
        </w:rPr>
      </w:pPr>
      <w:r>
        <w:rPr>
          <w:rFonts w:hint="eastAsia" w:hAnsi="宋体"/>
          <w:bCs/>
        </w:rPr>
        <w:t>十四、不可抗力事件处理</w:t>
      </w:r>
    </w:p>
    <w:p>
      <w:pPr>
        <w:pStyle w:val="7"/>
        <w:adjustRightInd w:val="0"/>
        <w:snapToGrid w:val="0"/>
        <w:spacing w:line="420" w:lineRule="exact"/>
        <w:ind w:firstLine="447" w:firstLineChars="213"/>
        <w:rPr>
          <w:rFonts w:hAnsi="宋体"/>
          <w:bCs/>
        </w:rPr>
      </w:pPr>
      <w:r>
        <w:rPr>
          <w:rFonts w:hint="eastAsia" w:hAnsi="宋体"/>
          <w:bCs/>
        </w:rPr>
        <w:t>1. 在合同有效期内，任何一方因不可抗力事件导致不能履行合同，则合同履行期可延长，其延长期与不可抗力影响期相同。</w:t>
      </w:r>
    </w:p>
    <w:p>
      <w:pPr>
        <w:pStyle w:val="7"/>
        <w:adjustRightInd w:val="0"/>
        <w:snapToGrid w:val="0"/>
        <w:spacing w:line="420" w:lineRule="exact"/>
        <w:ind w:firstLine="447" w:firstLineChars="213"/>
        <w:rPr>
          <w:rFonts w:hAnsi="宋体"/>
          <w:bCs/>
        </w:rPr>
      </w:pPr>
      <w:r>
        <w:rPr>
          <w:rFonts w:hint="eastAsia" w:hAnsi="宋体"/>
          <w:bCs/>
        </w:rPr>
        <w:t>2. 不可抗力事件发生后，应立即通知对方，并寄送有关权威机构出具的证明。</w:t>
      </w:r>
    </w:p>
    <w:p>
      <w:pPr>
        <w:pStyle w:val="7"/>
        <w:adjustRightInd w:val="0"/>
        <w:snapToGrid w:val="0"/>
        <w:spacing w:line="420" w:lineRule="exact"/>
        <w:ind w:firstLine="447" w:firstLineChars="213"/>
        <w:rPr>
          <w:rFonts w:hAnsi="宋体"/>
          <w:bCs/>
        </w:rPr>
      </w:pPr>
      <w:r>
        <w:rPr>
          <w:rFonts w:hint="eastAsia" w:hAnsi="宋体"/>
          <w:bCs/>
        </w:rPr>
        <w:t>3. 不可抗力事件延续120天以上，双方应通过友好协商，确定是否继续履行合同。</w:t>
      </w:r>
    </w:p>
    <w:p>
      <w:pPr>
        <w:pStyle w:val="7"/>
        <w:adjustRightInd w:val="0"/>
        <w:snapToGrid w:val="0"/>
        <w:spacing w:line="420" w:lineRule="exact"/>
        <w:ind w:firstLine="447" w:firstLineChars="213"/>
        <w:rPr>
          <w:rFonts w:hAnsi="宋体"/>
          <w:bCs/>
        </w:rPr>
      </w:pPr>
      <w:r>
        <w:rPr>
          <w:rFonts w:hint="eastAsia" w:hAnsi="宋体"/>
          <w:bCs/>
        </w:rPr>
        <w:t>十五、诉讼</w:t>
      </w:r>
    </w:p>
    <w:p>
      <w:pPr>
        <w:spacing w:line="420" w:lineRule="exact"/>
      </w:pPr>
      <w:r>
        <w:rPr>
          <w:rFonts w:hint="eastAsia" w:hAnsi="宋体"/>
          <w:bCs/>
          <w:szCs w:val="21"/>
        </w:rPr>
        <w:t>双方在执行合同中所发生的一切争议，应通过协商解决。如协商不成，可向甲方所在地法院起诉。</w:t>
      </w:r>
    </w:p>
    <w:p>
      <w:pPr>
        <w:pStyle w:val="7"/>
        <w:adjustRightInd w:val="0"/>
        <w:snapToGrid w:val="0"/>
        <w:spacing w:line="420" w:lineRule="exact"/>
        <w:ind w:firstLine="447" w:firstLineChars="213"/>
        <w:rPr>
          <w:rFonts w:hAnsi="宋体"/>
          <w:bCs/>
        </w:rPr>
      </w:pPr>
      <w:r>
        <w:rPr>
          <w:rFonts w:hint="eastAsia" w:hAnsi="宋体"/>
          <w:bCs/>
        </w:rPr>
        <w:t>十六、合同生效及其它</w:t>
      </w:r>
    </w:p>
    <w:p>
      <w:pPr>
        <w:pStyle w:val="7"/>
        <w:adjustRightInd w:val="0"/>
        <w:snapToGrid w:val="0"/>
        <w:spacing w:line="420" w:lineRule="exact"/>
        <w:ind w:firstLine="447" w:firstLineChars="213"/>
        <w:rPr>
          <w:rFonts w:hAnsi="宋体"/>
          <w:bCs/>
        </w:rPr>
      </w:pPr>
      <w:r>
        <w:rPr>
          <w:rFonts w:hint="eastAsia" w:hAnsi="宋体"/>
          <w:bCs/>
        </w:rPr>
        <w:t>1. 合同经甲、乙双方签字并加盖单位公章后生效。</w:t>
      </w:r>
    </w:p>
    <w:p>
      <w:pPr>
        <w:pStyle w:val="7"/>
        <w:adjustRightInd w:val="0"/>
        <w:snapToGrid w:val="0"/>
        <w:spacing w:line="420" w:lineRule="exact"/>
        <w:ind w:firstLine="447" w:firstLineChars="213"/>
        <w:rPr>
          <w:rFonts w:hAnsi="宋体"/>
          <w:bCs/>
        </w:rPr>
      </w:pPr>
      <w:r>
        <w:rPr>
          <w:rFonts w:hint="eastAsia" w:hAnsi="宋体"/>
          <w:bCs/>
        </w:rPr>
        <w:t>2.合同执行中涉及采购资金和采购内容修改或补充的，须经交易中心、财政部门审批，并签书面补充协议，经报政府采购监督管理部门备案后，方可作为主合同不可分割的一部分。</w:t>
      </w:r>
    </w:p>
    <w:p>
      <w:pPr>
        <w:pStyle w:val="7"/>
        <w:adjustRightInd w:val="0"/>
        <w:snapToGrid w:val="0"/>
        <w:spacing w:line="420" w:lineRule="exact"/>
        <w:ind w:firstLine="447" w:firstLineChars="213"/>
        <w:rPr>
          <w:rFonts w:hAnsi="宋体"/>
          <w:bCs/>
        </w:rPr>
      </w:pPr>
      <w:r>
        <w:rPr>
          <w:rFonts w:hint="eastAsia" w:hAnsi="宋体"/>
          <w:bCs/>
        </w:rPr>
        <w:t>3.招标文件、投标文件与本合同具有同等法律效力。</w:t>
      </w:r>
    </w:p>
    <w:p>
      <w:pPr>
        <w:pStyle w:val="7"/>
        <w:adjustRightInd w:val="0"/>
        <w:snapToGrid w:val="0"/>
        <w:spacing w:line="420" w:lineRule="exact"/>
        <w:ind w:firstLine="420" w:firstLineChars="200"/>
        <w:rPr>
          <w:rFonts w:hAnsi="宋体"/>
          <w:bCs/>
        </w:rPr>
      </w:pPr>
      <w:r>
        <w:rPr>
          <w:rFonts w:hint="eastAsia" w:hAnsi="宋体"/>
          <w:bCs/>
        </w:rPr>
        <w:t>4.本合同未尽事宜，遵照《合同法》有关条文执行。</w:t>
      </w:r>
    </w:p>
    <w:p>
      <w:pPr>
        <w:pStyle w:val="7"/>
        <w:adjustRightInd w:val="0"/>
        <w:snapToGrid w:val="0"/>
        <w:spacing w:before="120" w:after="120" w:line="420" w:lineRule="exact"/>
        <w:ind w:left="2" w:leftChars="1" w:firstLine="420" w:firstLineChars="200"/>
        <w:rPr>
          <w:rFonts w:hAnsi="宋体"/>
          <w:bCs/>
        </w:rPr>
      </w:pPr>
      <w:r>
        <w:rPr>
          <w:rFonts w:hint="eastAsia" w:hAnsi="宋体"/>
          <w:bCs/>
        </w:rPr>
        <w:t>5.本合同一式伍份，具有同等法律效力，甲、乙双方各执一份，区公共资源交易中心和区财政局各执一份。</w:t>
      </w:r>
    </w:p>
    <w:p>
      <w:pPr>
        <w:pStyle w:val="7"/>
        <w:adjustRightInd w:val="0"/>
        <w:snapToGrid w:val="0"/>
        <w:spacing w:line="420" w:lineRule="exact"/>
        <w:ind w:left="1" w:firstLine="447" w:firstLineChars="213"/>
        <w:rPr>
          <w:rFonts w:hAnsi="宋体"/>
          <w:bCs/>
        </w:rPr>
      </w:pPr>
      <w:r>
        <w:rPr>
          <w:rFonts w:hint="eastAsia" w:hAnsi="宋体"/>
          <w:bCs/>
        </w:rPr>
        <w:t>甲方（盖章）：                                   乙方（盖章）：</w:t>
      </w:r>
    </w:p>
    <w:p>
      <w:pPr>
        <w:pStyle w:val="7"/>
        <w:adjustRightInd w:val="0"/>
        <w:snapToGrid w:val="0"/>
        <w:spacing w:line="420" w:lineRule="exact"/>
        <w:ind w:firstLine="447" w:firstLineChars="213"/>
        <w:rPr>
          <w:rFonts w:hAnsi="宋体"/>
          <w:bCs/>
        </w:rPr>
      </w:pPr>
      <w:r>
        <w:rPr>
          <w:rFonts w:hint="eastAsia" w:hAnsi="宋体"/>
          <w:bCs/>
        </w:rPr>
        <w:t>地址：                                           地址：</w:t>
      </w:r>
    </w:p>
    <w:p>
      <w:pPr>
        <w:pStyle w:val="7"/>
        <w:adjustRightInd w:val="0"/>
        <w:snapToGrid w:val="0"/>
        <w:spacing w:line="420" w:lineRule="exact"/>
        <w:ind w:firstLine="447" w:firstLineChars="213"/>
        <w:rPr>
          <w:rFonts w:hAnsi="宋体"/>
          <w:bCs/>
        </w:rPr>
      </w:pPr>
      <w:r>
        <w:rPr>
          <w:rFonts w:hint="eastAsia" w:hAnsi="宋体"/>
          <w:bCs/>
        </w:rPr>
        <w:t>法定（授权）代表人：                             开户行：</w:t>
      </w:r>
    </w:p>
    <w:p>
      <w:pPr>
        <w:pStyle w:val="7"/>
        <w:adjustRightInd w:val="0"/>
        <w:snapToGrid w:val="0"/>
        <w:spacing w:line="420" w:lineRule="exact"/>
        <w:ind w:firstLine="447" w:firstLineChars="213"/>
        <w:rPr>
          <w:rFonts w:hAnsi="宋体"/>
          <w:bCs/>
        </w:rPr>
      </w:pPr>
      <w:r>
        <w:rPr>
          <w:rFonts w:hint="eastAsia" w:hAnsi="宋体"/>
          <w:bCs/>
        </w:rPr>
        <w:t>签字日期： 年  月  日                            开户帐号：</w:t>
      </w:r>
    </w:p>
    <w:p>
      <w:pPr>
        <w:pStyle w:val="7"/>
        <w:adjustRightInd w:val="0"/>
        <w:snapToGrid w:val="0"/>
        <w:spacing w:line="420" w:lineRule="exact"/>
        <w:ind w:firstLine="447" w:firstLineChars="213"/>
        <w:rPr>
          <w:rFonts w:hAnsi="宋体"/>
          <w:bCs/>
        </w:rPr>
      </w:pPr>
      <w:r>
        <w:rPr>
          <w:rFonts w:hint="eastAsia" w:hAnsi="宋体"/>
          <w:bCs/>
        </w:rPr>
        <w:t xml:space="preserve">                                                 法定（授权）代表人：</w:t>
      </w:r>
    </w:p>
    <w:p>
      <w:pPr>
        <w:pStyle w:val="7"/>
        <w:adjustRightInd w:val="0"/>
        <w:snapToGrid w:val="0"/>
        <w:spacing w:line="420" w:lineRule="exact"/>
        <w:ind w:firstLine="447" w:firstLineChars="213"/>
        <w:rPr>
          <w:rFonts w:hint="eastAsia"/>
        </w:rPr>
      </w:pPr>
      <w:r>
        <w:rPr>
          <w:rFonts w:hint="eastAsia"/>
        </w:rPr>
        <w:t xml:space="preserve">                                                 签字日期：  年  月  日                                                 </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pStyle w:val="3"/>
        <w:tabs>
          <w:tab w:val="center" w:pos="4819"/>
        </w:tabs>
        <w:spacing w:before="200" w:after="200" w:line="360" w:lineRule="auto"/>
        <w:jc w:val="center"/>
        <w:rPr>
          <w:rFonts w:ascii="宋体" w:hAnsi="宋体"/>
          <w:sz w:val="32"/>
        </w:rPr>
      </w:pPr>
      <w:bookmarkStart w:id="166" w:name="_Toc12185"/>
      <w:bookmarkStart w:id="167" w:name="_Toc498091106"/>
      <w:bookmarkStart w:id="168" w:name="_Toc404692910"/>
      <w:bookmarkStart w:id="169" w:name="_Toc690"/>
      <w:r>
        <w:rPr>
          <w:rFonts w:hint="eastAsia" w:ascii="宋体" w:hAnsi="宋体"/>
          <w:sz w:val="32"/>
        </w:rPr>
        <w:t>第五章 部分投标文件格式</w:t>
      </w:r>
      <w:bookmarkEnd w:id="166"/>
      <w:bookmarkEnd w:id="167"/>
      <w:bookmarkEnd w:id="168"/>
      <w:bookmarkEnd w:id="169"/>
    </w:p>
    <w:p>
      <w:pPr>
        <w:spacing w:line="480" w:lineRule="exact"/>
        <w:ind w:left="517" w:hanging="514" w:hangingChars="245"/>
        <w:rPr>
          <w:rFonts w:ascii="宋体" w:hAnsi="宋体"/>
          <w:b/>
          <w:color w:val="000000"/>
          <w:szCs w:val="21"/>
        </w:rPr>
      </w:pPr>
      <w:r>
        <w:rPr>
          <w:rFonts w:hint="eastAsia" w:ascii="宋体" w:hAnsi="宋体"/>
          <w:b/>
          <w:color w:val="000000"/>
          <w:szCs w:val="21"/>
        </w:rPr>
        <w:t>注：1.以下的投标文件格式为通用的格式，投标人在制作投标文件时应以“第二章投标人须知第14投标文件的组成内容”的要求为准，选择相应的投标文件格式。</w:t>
      </w:r>
    </w:p>
    <w:p>
      <w:pPr>
        <w:spacing w:line="480" w:lineRule="exact"/>
        <w:ind w:left="753" w:leftChars="261" w:hanging="205" w:hangingChars="98"/>
        <w:rPr>
          <w:rFonts w:ascii="宋体" w:hAnsi="宋体"/>
          <w:b/>
          <w:color w:val="000000"/>
          <w:szCs w:val="21"/>
        </w:rPr>
      </w:pPr>
      <w:r>
        <w:rPr>
          <w:rFonts w:hint="eastAsia" w:ascii="宋体" w:hAnsi="宋体"/>
          <w:b/>
          <w:color w:val="000000"/>
          <w:szCs w:val="21"/>
        </w:rPr>
        <w:t>2. 对于给定格式的，必须按照给定的格式进行填报；没有给定格式的，投标人可以自行设计。</w:t>
      </w:r>
    </w:p>
    <w:p>
      <w:pPr>
        <w:spacing w:line="480" w:lineRule="exact"/>
        <w:ind w:left="753" w:leftChars="261" w:hanging="205" w:hangingChars="98"/>
        <w:rPr>
          <w:rFonts w:hint="eastAsia" w:ascii="宋体" w:hAnsi="宋体"/>
          <w:b/>
          <w:color w:val="000000"/>
          <w:szCs w:val="21"/>
        </w:rPr>
      </w:pPr>
      <w:r>
        <w:rPr>
          <w:rFonts w:hint="eastAsia" w:ascii="宋体" w:hAnsi="宋体"/>
          <w:b/>
          <w:color w:val="000000"/>
          <w:szCs w:val="21"/>
        </w:rPr>
        <w:t>3、投标文件的资格技术文件、投标报价文件须分别编制并单独装订成册后,分别密封包装。</w:t>
      </w: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pacing w:line="480" w:lineRule="exact"/>
        <w:rPr>
          <w:rFonts w:hint="eastAsia" w:ascii="宋体" w:hAnsi="宋体"/>
          <w:b/>
          <w:color w:val="000000"/>
          <w:sz w:val="24"/>
          <w:szCs w:val="24"/>
        </w:rPr>
      </w:pPr>
      <w:r>
        <w:rPr>
          <w:rFonts w:hint="eastAsia" w:ascii="宋体" w:hAnsi="宋体"/>
          <w:b/>
          <w:color w:val="000000"/>
          <w:sz w:val="24"/>
          <w:szCs w:val="24"/>
        </w:rPr>
        <w:t>格式0</w:t>
      </w:r>
    </w:p>
    <w:p>
      <w:pPr>
        <w:spacing w:line="480" w:lineRule="exact"/>
        <w:rPr>
          <w:rFonts w:ascii="Lucida Sans Unicode" w:hAnsi="Lucida Sans Unicode" w:cs="Lucida Sans Unicode"/>
          <w:b/>
          <w:color w:val="000000"/>
          <w:szCs w:val="21"/>
        </w:rPr>
      </w:pPr>
      <w:r>
        <w:rPr>
          <w:rFonts w:hint="eastAsia" w:ascii="宋体" w:hAnsi="宋体"/>
          <w:b/>
          <w:color w:val="000000"/>
          <w:szCs w:val="21"/>
        </w:rPr>
        <w:t>注：</w:t>
      </w:r>
      <w:r>
        <w:rPr>
          <w:rFonts w:ascii="宋体" w:hAnsi="宋体"/>
          <w:b/>
          <w:color w:val="000000"/>
          <w:szCs w:val="21"/>
        </w:rPr>
        <w:t>请</w:t>
      </w:r>
      <w:r>
        <w:rPr>
          <w:rFonts w:hint="eastAsia" w:ascii="宋体" w:hAnsi="宋体"/>
          <w:b/>
          <w:color w:val="000000"/>
          <w:szCs w:val="21"/>
        </w:rPr>
        <w:t>投</w:t>
      </w:r>
      <w:r>
        <w:rPr>
          <w:rFonts w:ascii="宋体" w:hAnsi="宋体"/>
          <w:b/>
          <w:color w:val="000000"/>
          <w:szCs w:val="21"/>
        </w:rPr>
        <w:t>标</w:t>
      </w:r>
      <w:r>
        <w:rPr>
          <w:rFonts w:hint="eastAsia" w:ascii="宋体" w:hAnsi="宋体"/>
          <w:b/>
          <w:color w:val="000000"/>
          <w:szCs w:val="21"/>
        </w:rPr>
        <w:t>人使用此</w:t>
      </w:r>
      <w:r>
        <w:rPr>
          <w:rFonts w:ascii="宋体" w:hAnsi="宋体"/>
          <w:b/>
          <w:color w:val="000000"/>
          <w:szCs w:val="21"/>
        </w:rPr>
        <w:t>页</w:t>
      </w:r>
      <w:r>
        <w:rPr>
          <w:rFonts w:hint="eastAsia" w:ascii="宋体" w:hAnsi="宋体"/>
          <w:b/>
          <w:color w:val="000000"/>
          <w:szCs w:val="21"/>
        </w:rPr>
        <w:t>格式作</w:t>
      </w:r>
      <w:r>
        <w:rPr>
          <w:rFonts w:ascii="宋体" w:hAnsi="宋体"/>
          <w:b/>
          <w:color w:val="000000"/>
          <w:szCs w:val="21"/>
        </w:rPr>
        <w:t>为</w:t>
      </w:r>
      <w:r>
        <w:rPr>
          <w:rFonts w:hint="eastAsia" w:ascii="宋体" w:hAnsi="宋体"/>
          <w:b/>
          <w:color w:val="000000"/>
          <w:szCs w:val="21"/>
        </w:rPr>
        <w:t>所</w:t>
      </w:r>
      <w:r>
        <w:rPr>
          <w:rFonts w:ascii="宋体" w:hAnsi="宋体"/>
          <w:b/>
          <w:color w:val="000000"/>
          <w:szCs w:val="21"/>
        </w:rPr>
        <w:t>编写</w:t>
      </w:r>
      <w:r>
        <w:rPr>
          <w:rFonts w:hint="eastAsia" w:ascii="宋体" w:hAnsi="宋体"/>
          <w:b/>
          <w:color w:val="000000"/>
          <w:szCs w:val="21"/>
        </w:rPr>
        <w:t>投</w:t>
      </w:r>
      <w:r>
        <w:rPr>
          <w:rFonts w:ascii="宋体" w:hAnsi="宋体"/>
          <w:b/>
          <w:color w:val="000000"/>
          <w:szCs w:val="21"/>
        </w:rPr>
        <w:t>标</w:t>
      </w:r>
      <w:r>
        <w:rPr>
          <w:rFonts w:hint="eastAsia" w:ascii="宋体" w:hAnsi="宋体"/>
          <w:b/>
          <w:color w:val="000000"/>
          <w:szCs w:val="21"/>
        </w:rPr>
        <w:t>文件的封皮。</w:t>
      </w:r>
    </w:p>
    <w:p>
      <w:pPr>
        <w:spacing w:line="480" w:lineRule="exact"/>
        <w:rPr>
          <w:rFonts w:ascii="Lucida Sans Unicode" w:hAnsi="Lucida Sans Unicode" w:cs="Lucida Sans Unicode"/>
          <w:b/>
          <w:color w:val="000000"/>
        </w:rPr>
      </w:pPr>
    </w:p>
    <w:p>
      <w:pPr>
        <w:spacing w:line="480" w:lineRule="exact"/>
        <w:rPr>
          <w:rFonts w:ascii="Lucida Sans Unicode" w:hAnsi="Lucida Sans Unicode" w:cs="Lucida Sans Unicode"/>
          <w:b/>
          <w:color w:val="000000"/>
        </w:rPr>
      </w:pPr>
    </w:p>
    <w:p>
      <w:pPr>
        <w:spacing w:line="360" w:lineRule="auto"/>
        <w:jc w:val="center"/>
        <w:rPr>
          <w:rFonts w:ascii="宋体" w:hAnsi="宋体"/>
          <w:b/>
          <w:color w:val="000000"/>
          <w:sz w:val="52"/>
          <w:szCs w:val="52"/>
        </w:rPr>
      </w:pPr>
      <w:r>
        <w:rPr>
          <w:rFonts w:hint="eastAsia" w:ascii="宋体" w:hAnsi="宋体"/>
          <w:b/>
          <w:color w:val="000000"/>
          <w:sz w:val="52"/>
          <w:szCs w:val="52"/>
        </w:rPr>
        <w:t>海曙区政府采购项目</w:t>
      </w:r>
    </w:p>
    <w:p>
      <w:pPr>
        <w:spacing w:line="360" w:lineRule="auto"/>
        <w:jc w:val="center"/>
        <w:rPr>
          <w:rFonts w:ascii="宋体" w:hAnsi="宋体"/>
          <w:b/>
          <w:color w:val="000000"/>
          <w:sz w:val="72"/>
          <w:szCs w:val="72"/>
        </w:rPr>
      </w:pPr>
      <w:r>
        <w:rPr>
          <w:rFonts w:hint="eastAsia" w:ascii="宋体" w:hAnsi="宋体"/>
          <w:b/>
          <w:color w:val="000000"/>
          <w:sz w:val="72"/>
          <w:szCs w:val="72"/>
        </w:rPr>
        <w:t>投  标  文  件</w:t>
      </w:r>
    </w:p>
    <w:p>
      <w:pPr>
        <w:spacing w:line="360" w:lineRule="auto"/>
        <w:jc w:val="center"/>
        <w:rPr>
          <w:rFonts w:hint="eastAsia" w:ascii="Lucida Sans Unicode" w:hAnsi="Lucida Sans Unicode" w:cs="Lucida Sans Unicode"/>
          <w:b/>
          <w:color w:val="000000"/>
          <w:sz w:val="30"/>
          <w:szCs w:val="30"/>
        </w:rPr>
      </w:pPr>
      <w:r>
        <w:rPr>
          <w:rFonts w:hint="eastAsia" w:ascii="Lucida Sans Unicode" w:hAnsi="Lucida Sans Unicode" w:cs="Lucida Sans Unicode"/>
          <w:b/>
          <w:color w:val="000000"/>
          <w:sz w:val="30"/>
          <w:szCs w:val="30"/>
        </w:rPr>
        <w:t>资格技术文件/投标报价文件</w:t>
      </w:r>
    </w:p>
    <w:p>
      <w:pPr>
        <w:spacing w:line="480" w:lineRule="exact"/>
        <w:rPr>
          <w:rFonts w:ascii="Lucida Sans Unicode" w:hAnsi="Lucida Sans Unicode" w:cs="Lucida Sans Unicode"/>
          <w:color w:val="000000"/>
        </w:rPr>
      </w:pPr>
    </w:p>
    <w:p>
      <w:pPr>
        <w:spacing w:line="480" w:lineRule="exact"/>
        <w:rPr>
          <w:rFonts w:ascii="Lucida Sans Unicode" w:hAnsi="Lucida Sans Unicode" w:cs="Lucida Sans Unicode"/>
          <w:color w:val="000000"/>
        </w:rPr>
      </w:pPr>
    </w:p>
    <w:p>
      <w:pPr>
        <w:spacing w:line="360" w:lineRule="auto"/>
        <w:ind w:firstLine="896" w:firstLineChars="249"/>
        <w:rPr>
          <w:rFonts w:ascii="宋体" w:hAnsi="宋体"/>
          <w:b/>
          <w:color w:val="000000"/>
          <w:sz w:val="36"/>
          <w:szCs w:val="36"/>
        </w:rPr>
      </w:pPr>
      <w:r>
        <w:rPr>
          <w:rFonts w:hint="eastAsia" w:ascii="宋体" w:hAnsi="宋体"/>
          <w:b/>
          <w:color w:val="000000"/>
          <w:sz w:val="36"/>
          <w:szCs w:val="36"/>
        </w:rPr>
        <w:t>招标项目名称：</w:t>
      </w:r>
    </w:p>
    <w:p>
      <w:pPr>
        <w:spacing w:line="360" w:lineRule="auto"/>
        <w:ind w:firstLine="896" w:firstLineChars="249"/>
        <w:rPr>
          <w:rFonts w:ascii="宋体" w:hAnsi="宋体"/>
          <w:b/>
          <w:color w:val="000000"/>
          <w:sz w:val="36"/>
          <w:szCs w:val="36"/>
        </w:rPr>
      </w:pPr>
      <w:r>
        <w:rPr>
          <w:rFonts w:hint="eastAsia" w:ascii="宋体" w:hAnsi="宋体"/>
          <w:b/>
          <w:color w:val="000000"/>
          <w:sz w:val="36"/>
          <w:szCs w:val="36"/>
        </w:rPr>
        <w:t>招标项目编号：</w:t>
      </w:r>
    </w:p>
    <w:p>
      <w:pPr>
        <w:spacing w:line="360" w:lineRule="auto"/>
        <w:ind w:firstLine="896" w:firstLineChars="249"/>
        <w:rPr>
          <w:rFonts w:ascii="宋体" w:hAnsi="宋体"/>
          <w:b/>
          <w:color w:val="000000"/>
          <w:sz w:val="36"/>
          <w:szCs w:val="36"/>
        </w:rPr>
      </w:pPr>
      <w:r>
        <w:rPr>
          <w:rFonts w:hint="eastAsia" w:ascii="宋体" w:hAnsi="宋体"/>
          <w:b/>
          <w:color w:val="000000"/>
          <w:sz w:val="36"/>
          <w:szCs w:val="36"/>
        </w:rPr>
        <w:t>标包号：</w:t>
      </w:r>
    </w:p>
    <w:p>
      <w:pPr>
        <w:spacing w:line="360" w:lineRule="auto"/>
        <w:ind w:firstLine="896" w:firstLineChars="249"/>
        <w:rPr>
          <w:rFonts w:ascii="Lucida Sans Unicode" w:hAnsi="Lucida Sans Unicode" w:cs="Lucida Sans Unicode"/>
          <w:b/>
          <w:color w:val="000000"/>
          <w:sz w:val="36"/>
          <w:szCs w:val="36"/>
        </w:rPr>
      </w:pPr>
      <w:r>
        <w:rPr>
          <w:rFonts w:hint="eastAsia" w:ascii="宋体" w:hAnsi="宋体"/>
          <w:b/>
          <w:color w:val="000000"/>
          <w:sz w:val="36"/>
          <w:szCs w:val="36"/>
        </w:rPr>
        <w:t xml:space="preserve">投标人名称 </w:t>
      </w:r>
      <w:r>
        <w:rPr>
          <w:rFonts w:hint="eastAsia" w:ascii="Lucida Sans Unicode" w:hAnsi="Lucida Sans Unicode" w:cs="Lucida Sans Unicode"/>
          <w:b/>
          <w:color w:val="000000"/>
          <w:sz w:val="36"/>
          <w:szCs w:val="36"/>
        </w:rPr>
        <w:t xml:space="preserve"> （盖章）</w:t>
      </w:r>
      <w:r>
        <w:rPr>
          <w:rFonts w:hint="eastAsia" w:ascii="宋体" w:hAnsi="宋体"/>
          <w:b/>
          <w:color w:val="000000"/>
          <w:sz w:val="36"/>
          <w:szCs w:val="36"/>
        </w:rPr>
        <w:t>：</w:t>
      </w:r>
    </w:p>
    <w:p>
      <w:pPr>
        <w:spacing w:line="360" w:lineRule="auto"/>
        <w:ind w:firstLine="896" w:firstLineChars="249"/>
        <w:rPr>
          <w:rFonts w:ascii="Lucida Sans Unicode" w:hAnsi="Lucida Sans Unicode" w:cs="Lucida Sans Unicode"/>
          <w:b/>
          <w:color w:val="000000"/>
          <w:sz w:val="36"/>
          <w:szCs w:val="36"/>
        </w:rPr>
      </w:pPr>
      <w:r>
        <w:rPr>
          <w:rFonts w:hint="eastAsia" w:ascii="Lucida Sans Unicode" w:hAnsi="Lucida Sans Unicode" w:cs="Lucida Sans Unicode"/>
          <w:b/>
          <w:color w:val="000000"/>
          <w:sz w:val="36"/>
          <w:szCs w:val="36"/>
        </w:rPr>
        <w:t>在      年  月  日  时  分之前不得开启</w:t>
      </w:r>
    </w:p>
    <w:p>
      <w:pPr>
        <w:spacing w:line="480" w:lineRule="exact"/>
        <w:rPr>
          <w:rFonts w:ascii="Lucida Sans Unicode" w:hAnsi="Lucida Sans Unicode" w:cs="Lucida Sans Unicode"/>
          <w:color w:val="000000"/>
        </w:rPr>
      </w:pPr>
      <w:r>
        <w:rPr>
          <w:rFonts w:ascii="Lucida Sans Unicode" w:hAnsi="Lucida Sans Unicode" w:cs="Lucida Sans Unicode"/>
          <w:color w:val="000000"/>
        </w:rPr>
        <w:br w:type="page"/>
      </w:r>
      <w:r>
        <w:rPr>
          <w:rFonts w:hint="eastAsia" w:ascii="黑体" w:hAnsi="宋体" w:eastAsia="黑体" w:cs="Lucida Sans Unicode"/>
          <w:b/>
          <w:i/>
          <w:color w:val="000000"/>
          <w:sz w:val="28"/>
          <w:szCs w:val="28"/>
        </w:rPr>
        <w:t>资格技术文件（独立封包）</w:t>
      </w:r>
    </w:p>
    <w:p>
      <w:pPr>
        <w:spacing w:line="480" w:lineRule="exact"/>
        <w:rPr>
          <w:rFonts w:hint="eastAsia" w:ascii="宋体" w:hAnsi="宋体"/>
          <w:b/>
          <w:color w:val="000000"/>
          <w:sz w:val="24"/>
          <w:szCs w:val="24"/>
        </w:rPr>
      </w:pPr>
      <w:r>
        <w:rPr>
          <w:rFonts w:hint="eastAsia" w:ascii="宋体" w:hAnsi="宋体"/>
          <w:b/>
          <w:color w:val="000000"/>
          <w:sz w:val="24"/>
          <w:szCs w:val="24"/>
        </w:rPr>
        <w:t>格式1-1</w:t>
      </w:r>
    </w:p>
    <w:p>
      <w:pPr>
        <w:spacing w:line="400" w:lineRule="exact"/>
        <w:rPr>
          <w:rFonts w:hint="eastAsia" w:ascii="宋体" w:hAnsi="宋体"/>
          <w:iCs/>
          <w:sz w:val="24"/>
          <w:szCs w:val="24"/>
        </w:rPr>
      </w:pPr>
      <w:r>
        <w:rPr>
          <w:rFonts w:hint="eastAsia" w:ascii="宋体" w:hAnsi="宋体"/>
          <w:iCs/>
          <w:sz w:val="24"/>
          <w:szCs w:val="24"/>
        </w:rPr>
        <w:t>（1）营业执照副本复印件；</w:t>
      </w:r>
    </w:p>
    <w:p>
      <w:pPr>
        <w:spacing w:line="400" w:lineRule="exact"/>
        <w:rPr>
          <w:rFonts w:hint="eastAsia" w:ascii="宋体" w:hAnsi="宋体"/>
          <w:iCs/>
          <w:sz w:val="24"/>
          <w:szCs w:val="24"/>
        </w:rPr>
      </w:pPr>
      <w:r>
        <w:rPr>
          <w:rFonts w:hint="eastAsia" w:ascii="宋体" w:hAnsi="宋体"/>
          <w:iCs/>
          <w:sz w:val="24"/>
          <w:szCs w:val="24"/>
        </w:rPr>
        <w:t>（2）招标文件要求的财务状况报告复印件，其他组织或投标人新成立不足一年的提供银行出具的资信证明材料复印件；</w:t>
      </w:r>
    </w:p>
    <w:p>
      <w:pPr>
        <w:spacing w:line="400" w:lineRule="exact"/>
        <w:rPr>
          <w:rFonts w:hint="eastAsia" w:ascii="宋体" w:hAnsi="宋体"/>
          <w:iCs/>
          <w:sz w:val="24"/>
          <w:szCs w:val="24"/>
        </w:rPr>
      </w:pPr>
      <w:r>
        <w:rPr>
          <w:rFonts w:hint="eastAsia" w:ascii="宋体" w:hAnsi="宋体"/>
          <w:iCs/>
          <w:sz w:val="24"/>
          <w:szCs w:val="24"/>
        </w:rPr>
        <w:t>（3）开标日前六个月内任意一期依法缴纳（国税或地税）税收的凭证复印件，如依法免税或未开始缴纳税收的，应提供相应证明文件；</w:t>
      </w:r>
    </w:p>
    <w:p>
      <w:pPr>
        <w:spacing w:line="400" w:lineRule="exact"/>
        <w:rPr>
          <w:rFonts w:hint="eastAsia" w:ascii="宋体" w:hAnsi="宋体"/>
          <w:iCs/>
          <w:sz w:val="24"/>
          <w:szCs w:val="24"/>
        </w:rPr>
      </w:pPr>
      <w:r>
        <w:rPr>
          <w:rFonts w:hint="eastAsia" w:ascii="宋体" w:hAnsi="宋体"/>
          <w:iCs/>
          <w:sz w:val="24"/>
          <w:szCs w:val="24"/>
        </w:rPr>
        <w:t>（4）开标日前六个月内任意一期社会保障资金的凭证复印件，如依法不需要缴纳社会保障资金的，应提供相应证明文件；</w:t>
      </w:r>
    </w:p>
    <w:p>
      <w:pPr>
        <w:spacing w:line="400" w:lineRule="exact"/>
        <w:rPr>
          <w:rFonts w:hint="eastAsia" w:ascii="宋体" w:hAnsi="宋体"/>
          <w:b/>
          <w:bCs/>
          <w:iCs/>
          <w:sz w:val="24"/>
          <w:szCs w:val="24"/>
        </w:rPr>
      </w:pPr>
      <w:r>
        <w:rPr>
          <w:rFonts w:hint="eastAsia" w:ascii="宋体" w:hAnsi="宋体"/>
          <w:b/>
          <w:bCs/>
          <w:iCs/>
          <w:sz w:val="24"/>
          <w:szCs w:val="24"/>
        </w:rPr>
        <w:t>（5）“信用中国”网站(www.creditchina.gov.cn)“记录失信被执行人或重大税收违法案件当事人名单或政府采购严重违法失信行为”、中国政府采购网(www.ccgp.gov.cn)“政府采购严重违法失信行为信息记录”查询结果；</w:t>
      </w:r>
    </w:p>
    <w:p>
      <w:pPr>
        <w:spacing w:line="400" w:lineRule="exact"/>
        <w:rPr>
          <w:rFonts w:hint="eastAsia" w:ascii="宋体" w:hAnsi="宋体"/>
          <w:b/>
          <w:bCs/>
          <w:iCs/>
          <w:sz w:val="24"/>
          <w:szCs w:val="24"/>
        </w:rPr>
      </w:pPr>
      <w:r>
        <w:rPr>
          <w:rFonts w:hint="eastAsia" w:ascii="宋体" w:hAnsi="宋体"/>
          <w:b/>
          <w:bCs/>
          <w:iCs/>
          <w:sz w:val="24"/>
          <w:szCs w:val="24"/>
        </w:rPr>
        <w:t>（6）公告中的特定条件</w:t>
      </w:r>
    </w:p>
    <w:p>
      <w:pPr>
        <w:spacing w:line="400" w:lineRule="exact"/>
        <w:jc w:val="center"/>
        <w:rPr>
          <w:rFonts w:hint="eastAsia" w:ascii="宋体" w:hAnsi="宋体"/>
          <w:bCs/>
          <w:iCs/>
          <w:sz w:val="36"/>
          <w:szCs w:val="36"/>
        </w:rPr>
      </w:pPr>
      <w:r>
        <w:rPr>
          <w:rFonts w:hint="eastAsia" w:ascii="宋体" w:hAnsi="宋体"/>
          <w:bCs/>
          <w:iCs/>
          <w:sz w:val="36"/>
          <w:szCs w:val="36"/>
        </w:rPr>
        <w:t>（以上格式自拟）</w:t>
      </w: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pStyle w:val="2"/>
        <w:rPr>
          <w:rFonts w:hint="eastAsia"/>
        </w:rPr>
      </w:pPr>
    </w:p>
    <w:p>
      <w:pPr>
        <w:spacing w:line="480" w:lineRule="exact"/>
        <w:rPr>
          <w:rFonts w:hint="eastAsia" w:ascii="宋体" w:hAnsi="宋体"/>
          <w:b/>
          <w:color w:val="000000"/>
          <w:sz w:val="24"/>
          <w:szCs w:val="24"/>
        </w:rPr>
      </w:pPr>
      <w:r>
        <w:rPr>
          <w:rFonts w:hint="eastAsia" w:ascii="宋体" w:hAnsi="宋体"/>
          <w:b/>
          <w:color w:val="000000"/>
          <w:sz w:val="24"/>
          <w:szCs w:val="24"/>
        </w:rPr>
        <w:t>格式1-2</w:t>
      </w:r>
    </w:p>
    <w:p>
      <w:pPr>
        <w:spacing w:line="400" w:lineRule="exact"/>
        <w:jc w:val="center"/>
        <w:rPr>
          <w:rFonts w:hint="eastAsia" w:ascii="宋体" w:hAnsi="宋体"/>
          <w:b/>
          <w:bCs/>
          <w:iCs/>
          <w:sz w:val="36"/>
          <w:szCs w:val="36"/>
        </w:rPr>
      </w:pPr>
      <w:r>
        <w:rPr>
          <w:rFonts w:hint="eastAsia" w:ascii="宋体" w:hAnsi="宋体"/>
          <w:b/>
          <w:bCs/>
          <w:iCs/>
          <w:sz w:val="36"/>
          <w:szCs w:val="36"/>
        </w:rPr>
        <w:t>供应商自觉抵制政府采购领域</w:t>
      </w:r>
    </w:p>
    <w:p>
      <w:pPr>
        <w:spacing w:line="400" w:lineRule="exact"/>
        <w:jc w:val="center"/>
        <w:rPr>
          <w:rFonts w:hint="eastAsia" w:ascii="宋体" w:hAnsi="宋体"/>
          <w:b/>
          <w:bCs/>
          <w:iCs/>
          <w:sz w:val="36"/>
          <w:szCs w:val="36"/>
        </w:rPr>
      </w:pPr>
      <w:r>
        <w:rPr>
          <w:rFonts w:hint="eastAsia" w:ascii="宋体" w:hAnsi="宋体"/>
          <w:b/>
          <w:bCs/>
          <w:iCs/>
          <w:sz w:val="36"/>
          <w:szCs w:val="36"/>
        </w:rPr>
        <w:t>商业贿赂行为承诺书</w:t>
      </w:r>
    </w:p>
    <w:p>
      <w:pPr>
        <w:spacing w:after="142" w:afterLines="50" w:line="320" w:lineRule="exact"/>
        <w:rPr>
          <w:rFonts w:hint="eastAsia" w:ascii="宋体" w:hAnsi="宋体"/>
          <w:sz w:val="24"/>
          <w:szCs w:val="24"/>
        </w:rPr>
      </w:pPr>
    </w:p>
    <w:p>
      <w:pPr>
        <w:spacing w:after="142" w:afterLines="50" w:line="320" w:lineRule="exact"/>
        <w:rPr>
          <w:rFonts w:hint="eastAsia" w:ascii="宋体" w:hAnsi="宋体"/>
          <w:b/>
          <w:bCs/>
          <w:szCs w:val="21"/>
        </w:rPr>
      </w:pPr>
      <w:r>
        <w:rPr>
          <w:rFonts w:hint="eastAsia" w:ascii="宋体" w:hAnsi="宋体"/>
          <w:b/>
          <w:szCs w:val="21"/>
        </w:rPr>
        <w:t>致：宁波市海曙区公共资源交易中心</w:t>
      </w:r>
    </w:p>
    <w:p>
      <w:pPr>
        <w:spacing w:after="142" w:afterLines="50" w:line="320" w:lineRule="exact"/>
        <w:ind w:firstLine="420" w:firstLineChars="200"/>
        <w:rPr>
          <w:rFonts w:hint="eastAsia" w:ascii="宋体" w:hAnsi="宋体"/>
          <w:szCs w:val="21"/>
          <w:lang w:eastAsia="zh-TW"/>
        </w:rPr>
      </w:pPr>
      <w:r>
        <w:rPr>
          <w:rFonts w:ascii="宋体" w:hAnsi="宋体"/>
          <w:szCs w:val="21"/>
        </w:rPr>
        <w:t>开</w:t>
      </w:r>
      <w:r>
        <w:rPr>
          <w:rFonts w:hint="eastAsia" w:ascii="宋体" w:hAnsi="宋体"/>
          <w:szCs w:val="21"/>
        </w:rPr>
        <w:t>展治理政府采</w:t>
      </w:r>
      <w:r>
        <w:rPr>
          <w:rFonts w:ascii="宋体" w:hAnsi="宋体"/>
          <w:szCs w:val="21"/>
        </w:rPr>
        <w:t>购领</w:t>
      </w:r>
      <w:r>
        <w:rPr>
          <w:rFonts w:hint="eastAsia" w:ascii="宋体" w:hAnsi="宋体"/>
          <w:szCs w:val="21"/>
        </w:rPr>
        <w:t>域商</w:t>
      </w:r>
      <w:r>
        <w:rPr>
          <w:rFonts w:ascii="宋体" w:hAnsi="宋体"/>
          <w:szCs w:val="21"/>
        </w:rPr>
        <w:t>业贿赂专项工</w:t>
      </w:r>
      <w:r>
        <w:rPr>
          <w:rFonts w:hint="eastAsia" w:ascii="宋体" w:hAnsi="宋体"/>
          <w:szCs w:val="21"/>
        </w:rPr>
        <w:t>作，是中央确定的治理商</w:t>
      </w:r>
      <w:r>
        <w:rPr>
          <w:rFonts w:ascii="宋体" w:hAnsi="宋体"/>
          <w:szCs w:val="21"/>
        </w:rPr>
        <w:t>业贿赂</w:t>
      </w:r>
      <w:r>
        <w:rPr>
          <w:rFonts w:hint="eastAsia" w:ascii="宋体" w:hAnsi="宋体"/>
          <w:szCs w:val="21"/>
        </w:rPr>
        <w:t>六</w:t>
      </w:r>
      <w:r>
        <w:rPr>
          <w:rFonts w:ascii="宋体" w:hAnsi="宋体"/>
          <w:szCs w:val="21"/>
        </w:rPr>
        <w:t>个</w:t>
      </w:r>
      <w:r>
        <w:rPr>
          <w:rFonts w:hint="eastAsia" w:ascii="宋体" w:hAnsi="宋体"/>
          <w:szCs w:val="21"/>
        </w:rPr>
        <w:t>重</w:t>
      </w:r>
      <w:r>
        <w:rPr>
          <w:rFonts w:ascii="宋体" w:hAnsi="宋体"/>
          <w:szCs w:val="21"/>
        </w:rPr>
        <w:t>点领</w:t>
      </w:r>
      <w:r>
        <w:rPr>
          <w:rFonts w:hint="eastAsia" w:ascii="宋体" w:hAnsi="宋体"/>
          <w:szCs w:val="21"/>
        </w:rPr>
        <w:t>域之一，它既是完善市</w:t>
      </w:r>
      <w:r>
        <w:rPr>
          <w:rFonts w:ascii="宋体" w:hAnsi="宋体"/>
          <w:szCs w:val="21"/>
        </w:rPr>
        <w:t>场经济</w:t>
      </w:r>
      <w:r>
        <w:rPr>
          <w:rFonts w:hint="eastAsia" w:ascii="宋体" w:hAnsi="宋体"/>
          <w:szCs w:val="21"/>
        </w:rPr>
        <w:t>、构建社</w:t>
      </w:r>
      <w:r>
        <w:rPr>
          <w:rFonts w:ascii="宋体" w:hAnsi="宋体"/>
          <w:szCs w:val="21"/>
        </w:rPr>
        <w:t>会主义</w:t>
      </w:r>
      <w:r>
        <w:rPr>
          <w:rFonts w:hint="eastAsia" w:ascii="宋体" w:hAnsi="宋体"/>
          <w:szCs w:val="21"/>
        </w:rPr>
        <w:t>和</w:t>
      </w:r>
      <w:r>
        <w:rPr>
          <w:rFonts w:ascii="宋体" w:hAnsi="宋体"/>
          <w:szCs w:val="21"/>
        </w:rPr>
        <w:t>谐</w:t>
      </w:r>
      <w:r>
        <w:rPr>
          <w:rFonts w:hint="eastAsia" w:ascii="宋体" w:hAnsi="宋体"/>
          <w:szCs w:val="21"/>
        </w:rPr>
        <w:t>社</w:t>
      </w:r>
      <w:r>
        <w:rPr>
          <w:rFonts w:ascii="宋体" w:hAnsi="宋体"/>
          <w:szCs w:val="21"/>
        </w:rPr>
        <w:t>会</w:t>
      </w:r>
      <w:r>
        <w:rPr>
          <w:rFonts w:hint="eastAsia" w:ascii="宋体" w:hAnsi="宋体"/>
          <w:szCs w:val="21"/>
        </w:rPr>
        <w:t>的客</w:t>
      </w:r>
      <w:r>
        <w:rPr>
          <w:rFonts w:ascii="宋体" w:hAnsi="宋体"/>
          <w:szCs w:val="21"/>
        </w:rPr>
        <w:t>观需</w:t>
      </w:r>
      <w:r>
        <w:rPr>
          <w:rFonts w:hint="eastAsia" w:ascii="宋体" w:hAnsi="宋体"/>
          <w:szCs w:val="21"/>
        </w:rPr>
        <w:t>要，又是</w:t>
      </w:r>
      <w:r>
        <w:rPr>
          <w:rFonts w:ascii="宋体" w:hAnsi="宋体"/>
          <w:szCs w:val="21"/>
        </w:rPr>
        <w:t>从</w:t>
      </w:r>
      <w:r>
        <w:rPr>
          <w:rFonts w:hint="eastAsia" w:ascii="宋体" w:hAnsi="宋体"/>
          <w:szCs w:val="21"/>
        </w:rPr>
        <w:t>源</w:t>
      </w:r>
      <w:r>
        <w:rPr>
          <w:rFonts w:ascii="宋体" w:hAnsi="宋体"/>
          <w:szCs w:val="21"/>
        </w:rPr>
        <w:t>头</w:t>
      </w:r>
      <w:r>
        <w:rPr>
          <w:rFonts w:hint="eastAsia" w:ascii="宋体" w:hAnsi="宋体"/>
          <w:szCs w:val="21"/>
        </w:rPr>
        <w:t>上抑制腐</w:t>
      </w:r>
      <w:r>
        <w:rPr>
          <w:rFonts w:ascii="宋体" w:hAnsi="宋体"/>
          <w:szCs w:val="21"/>
        </w:rPr>
        <w:t>败</w:t>
      </w:r>
      <w:r>
        <w:rPr>
          <w:rFonts w:hint="eastAsia" w:ascii="宋体" w:hAnsi="宋体"/>
          <w:szCs w:val="21"/>
        </w:rPr>
        <w:t>的有力措施，意</w:t>
      </w:r>
      <w:r>
        <w:rPr>
          <w:rFonts w:ascii="宋体" w:hAnsi="宋体"/>
          <w:szCs w:val="21"/>
        </w:rPr>
        <w:t>义</w:t>
      </w:r>
      <w:r>
        <w:rPr>
          <w:rFonts w:hint="eastAsia" w:ascii="宋体" w:hAnsi="宋体"/>
          <w:szCs w:val="21"/>
        </w:rPr>
        <w:t>重大、影</w:t>
      </w:r>
      <w:r>
        <w:rPr>
          <w:rFonts w:ascii="宋体" w:hAnsi="宋体"/>
          <w:szCs w:val="21"/>
        </w:rPr>
        <w:t>响</w:t>
      </w:r>
      <w:r>
        <w:rPr>
          <w:rFonts w:hint="eastAsia" w:ascii="宋体" w:hAnsi="宋体"/>
          <w:szCs w:val="21"/>
        </w:rPr>
        <w:t>深</w:t>
      </w:r>
      <w:r>
        <w:rPr>
          <w:rFonts w:ascii="宋体" w:hAnsi="宋体"/>
          <w:szCs w:val="21"/>
        </w:rPr>
        <w:t>远</w:t>
      </w:r>
      <w:r>
        <w:rPr>
          <w:rFonts w:hint="eastAsia" w:ascii="宋体" w:hAnsi="宋体"/>
          <w:szCs w:val="21"/>
        </w:rPr>
        <w:t>。</w:t>
      </w:r>
      <w:r>
        <w:rPr>
          <w:rFonts w:ascii="宋体" w:hAnsi="宋体"/>
          <w:szCs w:val="21"/>
        </w:rPr>
        <w:t>为</w:t>
      </w:r>
      <w:r>
        <w:rPr>
          <w:rFonts w:hint="eastAsia" w:ascii="宋体" w:hAnsi="宋体"/>
          <w:szCs w:val="21"/>
        </w:rPr>
        <w:t>深入</w:t>
      </w:r>
      <w:r>
        <w:rPr>
          <w:rFonts w:ascii="宋体" w:hAnsi="宋体"/>
          <w:szCs w:val="21"/>
        </w:rPr>
        <w:t>贯彻</w:t>
      </w:r>
      <w:r>
        <w:rPr>
          <w:rFonts w:hint="eastAsia" w:ascii="宋体" w:hAnsi="宋体"/>
          <w:szCs w:val="21"/>
        </w:rPr>
        <w:t>落</w:t>
      </w:r>
      <w:r>
        <w:rPr>
          <w:rFonts w:ascii="宋体" w:hAnsi="宋体"/>
          <w:szCs w:val="21"/>
        </w:rPr>
        <w:t>实</w:t>
      </w:r>
      <w:r>
        <w:rPr>
          <w:rFonts w:hint="eastAsia" w:ascii="宋体" w:hAnsi="宋体"/>
          <w:szCs w:val="21"/>
        </w:rPr>
        <w:t>中央和省委、省、市、区政府的有</w:t>
      </w:r>
      <w:r>
        <w:rPr>
          <w:rFonts w:ascii="宋体" w:hAnsi="宋体"/>
          <w:szCs w:val="21"/>
        </w:rPr>
        <w:t>关</w:t>
      </w:r>
      <w:r>
        <w:rPr>
          <w:rFonts w:hint="eastAsia" w:ascii="宋体" w:hAnsi="宋体"/>
          <w:szCs w:val="21"/>
        </w:rPr>
        <w:t>部署及要求，</w:t>
      </w:r>
      <w:r>
        <w:rPr>
          <w:rFonts w:ascii="宋体" w:hAnsi="宋体"/>
          <w:szCs w:val="21"/>
        </w:rPr>
        <w:t>进</w:t>
      </w:r>
      <w:r>
        <w:rPr>
          <w:rFonts w:hint="eastAsia" w:ascii="宋体" w:hAnsi="宋体"/>
          <w:szCs w:val="21"/>
        </w:rPr>
        <w:t>一步</w:t>
      </w:r>
      <w:r>
        <w:rPr>
          <w:rFonts w:ascii="宋体" w:hAnsi="宋体"/>
          <w:szCs w:val="21"/>
        </w:rPr>
        <w:t>规</w:t>
      </w:r>
      <w:r>
        <w:rPr>
          <w:rFonts w:hint="eastAsia" w:ascii="宋体" w:hAnsi="宋体"/>
          <w:szCs w:val="21"/>
        </w:rPr>
        <w:t>范政府采</w:t>
      </w:r>
      <w:r>
        <w:rPr>
          <w:rFonts w:ascii="宋体" w:hAnsi="宋体"/>
          <w:szCs w:val="21"/>
        </w:rPr>
        <w:t>购行为</w:t>
      </w:r>
      <w:r>
        <w:rPr>
          <w:rFonts w:hint="eastAsia" w:ascii="宋体" w:hAnsi="宋体"/>
          <w:szCs w:val="21"/>
        </w:rPr>
        <w:t>，</w:t>
      </w:r>
      <w:r>
        <w:rPr>
          <w:rFonts w:ascii="宋体" w:hAnsi="宋体"/>
          <w:szCs w:val="21"/>
        </w:rPr>
        <w:t>营</w:t>
      </w:r>
      <w:r>
        <w:rPr>
          <w:rFonts w:hint="eastAsia" w:ascii="宋体" w:hAnsi="宋体"/>
          <w:szCs w:val="21"/>
        </w:rPr>
        <w:t>造公平</w:t>
      </w:r>
      <w:r>
        <w:rPr>
          <w:rFonts w:ascii="宋体" w:hAnsi="宋体"/>
          <w:szCs w:val="21"/>
        </w:rPr>
        <w:t>竞争</w:t>
      </w:r>
      <w:r>
        <w:rPr>
          <w:rFonts w:hint="eastAsia" w:ascii="宋体" w:hAnsi="宋体"/>
          <w:szCs w:val="21"/>
        </w:rPr>
        <w:t>的政府采</w:t>
      </w:r>
      <w:r>
        <w:rPr>
          <w:rFonts w:ascii="宋体" w:hAnsi="宋体"/>
          <w:szCs w:val="21"/>
        </w:rPr>
        <w:t>购</w:t>
      </w:r>
      <w:r>
        <w:rPr>
          <w:rFonts w:hint="eastAsia" w:ascii="宋体" w:hAnsi="宋体"/>
          <w:szCs w:val="21"/>
        </w:rPr>
        <w:t>市</w:t>
      </w:r>
      <w:r>
        <w:rPr>
          <w:rFonts w:ascii="宋体" w:hAnsi="宋体"/>
          <w:szCs w:val="21"/>
        </w:rPr>
        <w:t>场环</w:t>
      </w:r>
      <w:r>
        <w:rPr>
          <w:rFonts w:hint="eastAsia" w:ascii="宋体" w:hAnsi="宋体"/>
          <w:szCs w:val="21"/>
        </w:rPr>
        <w:t>境，</w:t>
      </w:r>
      <w:r>
        <w:rPr>
          <w:rFonts w:ascii="宋体" w:hAnsi="宋体"/>
          <w:szCs w:val="21"/>
        </w:rPr>
        <w:t>维护政</w:t>
      </w:r>
      <w:r>
        <w:rPr>
          <w:rFonts w:hint="eastAsia" w:ascii="宋体" w:hAnsi="宋体"/>
          <w:szCs w:val="21"/>
        </w:rPr>
        <w:t>府采</w:t>
      </w:r>
      <w:r>
        <w:rPr>
          <w:rFonts w:ascii="宋体" w:hAnsi="宋体"/>
          <w:szCs w:val="21"/>
        </w:rPr>
        <w:t>购</w:t>
      </w:r>
      <w:r>
        <w:rPr>
          <w:rFonts w:hint="eastAsia" w:ascii="宋体" w:hAnsi="宋体"/>
          <w:szCs w:val="21"/>
        </w:rPr>
        <w:t>制度良好</w:t>
      </w:r>
      <w:r>
        <w:rPr>
          <w:rFonts w:ascii="宋体" w:hAnsi="宋体"/>
          <w:szCs w:val="21"/>
        </w:rPr>
        <w:t>声誉</w:t>
      </w:r>
      <w:r>
        <w:rPr>
          <w:rFonts w:hint="eastAsia" w:ascii="宋体" w:hAnsi="宋体"/>
          <w:szCs w:val="21"/>
        </w:rPr>
        <w:t>，在</w:t>
      </w:r>
      <w:r>
        <w:rPr>
          <w:rFonts w:ascii="宋体" w:hAnsi="宋体"/>
          <w:szCs w:val="21"/>
        </w:rPr>
        <w:t>参</w:t>
      </w:r>
      <w:r>
        <w:rPr>
          <w:rFonts w:hint="eastAsia" w:ascii="宋体" w:hAnsi="宋体"/>
          <w:szCs w:val="21"/>
        </w:rPr>
        <w:t>与采购代理机构</w:t>
      </w:r>
      <w:r>
        <w:rPr>
          <w:rFonts w:ascii="宋体" w:hAnsi="宋体"/>
          <w:szCs w:val="21"/>
        </w:rPr>
        <w:t>组织的</w:t>
      </w:r>
      <w:r>
        <w:rPr>
          <w:rFonts w:hint="eastAsia" w:ascii="宋体" w:hAnsi="宋体"/>
          <w:szCs w:val="21"/>
        </w:rPr>
        <w:t>政府采</w:t>
      </w:r>
      <w:r>
        <w:rPr>
          <w:rFonts w:ascii="宋体" w:hAnsi="宋体"/>
          <w:szCs w:val="21"/>
        </w:rPr>
        <w:t>购</w:t>
      </w:r>
      <w:r>
        <w:rPr>
          <w:rFonts w:hint="eastAsia" w:ascii="宋体" w:hAnsi="宋体"/>
          <w:szCs w:val="21"/>
        </w:rPr>
        <w:t>活</w:t>
      </w:r>
      <w:r>
        <w:rPr>
          <w:rFonts w:ascii="宋体" w:hAnsi="宋体"/>
          <w:szCs w:val="21"/>
        </w:rPr>
        <w:t>动中</w:t>
      </w:r>
      <w:r>
        <w:rPr>
          <w:rFonts w:hint="eastAsia" w:ascii="宋体" w:hAnsi="宋体"/>
          <w:szCs w:val="21"/>
        </w:rPr>
        <w:t>，我方庄重承</w:t>
      </w:r>
      <w:r>
        <w:rPr>
          <w:rFonts w:ascii="宋体" w:hAnsi="宋体"/>
          <w:szCs w:val="21"/>
        </w:rPr>
        <w:t>诺</w:t>
      </w:r>
      <w:r>
        <w:rPr>
          <w:rFonts w:hint="eastAsia" w:ascii="宋体" w:hAnsi="宋体"/>
          <w:szCs w:val="21"/>
        </w:rPr>
        <w:t>：</w:t>
      </w:r>
    </w:p>
    <w:p>
      <w:pPr>
        <w:spacing w:after="142" w:afterLines="50" w:line="320" w:lineRule="exact"/>
        <w:ind w:firstLine="420" w:firstLineChars="200"/>
        <w:rPr>
          <w:rFonts w:hint="eastAsia"/>
          <w:szCs w:val="21"/>
        </w:rPr>
      </w:pPr>
      <w:r>
        <w:rPr>
          <w:rFonts w:hint="eastAsia"/>
          <w:szCs w:val="21"/>
        </w:rPr>
        <w:t>一、依法参与政府采购活动，遵纪守法，诚信经营，公平竞争。</w:t>
      </w:r>
    </w:p>
    <w:p>
      <w:pPr>
        <w:spacing w:after="142" w:afterLines="50" w:line="320" w:lineRule="exact"/>
        <w:ind w:firstLine="420" w:firstLineChars="200"/>
        <w:rPr>
          <w:rFonts w:hint="eastAsia"/>
          <w:szCs w:val="21"/>
        </w:rPr>
      </w:pPr>
      <w:r>
        <w:rPr>
          <w:rFonts w:hint="eastAsia"/>
          <w:szCs w:val="21"/>
        </w:rPr>
        <w:t>二、不向采购单位、采购代理机构和政府采购评审专家提供任何形式的商业贿赂；对索取或接受商业贿赂的单位和个人，及时向财政部门和纪检监察机关举报。</w:t>
      </w:r>
    </w:p>
    <w:p>
      <w:pPr>
        <w:spacing w:after="142" w:afterLines="50" w:line="320" w:lineRule="exact"/>
        <w:ind w:firstLine="420" w:firstLineChars="200"/>
        <w:rPr>
          <w:rFonts w:hint="eastAsia" w:ascii="宋体" w:hAnsi="宋体"/>
          <w:szCs w:val="21"/>
        </w:rPr>
      </w:pPr>
      <w:r>
        <w:rPr>
          <w:rFonts w:hint="eastAsia" w:ascii="宋体" w:hAnsi="宋体"/>
          <w:szCs w:val="21"/>
        </w:rPr>
        <w:t>三、不以提</w:t>
      </w:r>
      <w:r>
        <w:rPr>
          <w:rFonts w:ascii="宋体" w:hAnsi="宋体"/>
          <w:szCs w:val="21"/>
        </w:rPr>
        <w:t>供虚假资质</w:t>
      </w:r>
      <w:r>
        <w:rPr>
          <w:rFonts w:hint="eastAsia" w:ascii="宋体" w:hAnsi="宋体"/>
          <w:szCs w:val="21"/>
        </w:rPr>
        <w:t>文件等形式</w:t>
      </w:r>
      <w:r>
        <w:rPr>
          <w:rFonts w:ascii="宋体" w:hAnsi="宋体"/>
          <w:szCs w:val="21"/>
        </w:rPr>
        <w:t>参</w:t>
      </w:r>
      <w:r>
        <w:rPr>
          <w:rFonts w:hint="eastAsia" w:ascii="宋体" w:hAnsi="宋体"/>
          <w:szCs w:val="21"/>
        </w:rPr>
        <w:t>与政府采</w:t>
      </w:r>
      <w:r>
        <w:rPr>
          <w:rFonts w:ascii="宋体" w:hAnsi="宋体"/>
          <w:szCs w:val="21"/>
        </w:rPr>
        <w:t>购</w:t>
      </w:r>
      <w:r>
        <w:rPr>
          <w:rFonts w:hint="eastAsia" w:ascii="宋体" w:hAnsi="宋体"/>
          <w:szCs w:val="21"/>
        </w:rPr>
        <w:t>活</w:t>
      </w:r>
      <w:r>
        <w:rPr>
          <w:rFonts w:ascii="宋体" w:hAnsi="宋体"/>
          <w:szCs w:val="21"/>
        </w:rPr>
        <w:t>动</w:t>
      </w:r>
      <w:r>
        <w:rPr>
          <w:rFonts w:hint="eastAsia" w:ascii="宋体" w:hAnsi="宋体"/>
          <w:szCs w:val="21"/>
        </w:rPr>
        <w:t>，不以</w:t>
      </w:r>
      <w:r>
        <w:rPr>
          <w:rFonts w:ascii="宋体" w:hAnsi="宋体"/>
          <w:szCs w:val="21"/>
        </w:rPr>
        <w:t>虚</w:t>
      </w:r>
      <w:r>
        <w:rPr>
          <w:rFonts w:hint="eastAsia" w:ascii="宋体" w:hAnsi="宋体"/>
          <w:szCs w:val="21"/>
        </w:rPr>
        <w:t>假材料</w:t>
      </w:r>
      <w:r>
        <w:rPr>
          <w:rFonts w:ascii="宋体" w:hAnsi="宋体"/>
          <w:szCs w:val="21"/>
        </w:rPr>
        <w:t>谋</w:t>
      </w:r>
      <w:r>
        <w:rPr>
          <w:rFonts w:hint="eastAsia" w:ascii="宋体" w:hAnsi="宋体"/>
          <w:szCs w:val="21"/>
        </w:rPr>
        <w:t>取中</w:t>
      </w:r>
      <w:r>
        <w:rPr>
          <w:rFonts w:ascii="宋体" w:hAnsi="宋体"/>
          <w:szCs w:val="21"/>
        </w:rPr>
        <w:t>标</w:t>
      </w:r>
      <w:r>
        <w:rPr>
          <w:rFonts w:hint="eastAsia" w:ascii="宋体" w:hAnsi="宋体"/>
          <w:szCs w:val="21"/>
        </w:rPr>
        <w:t>。</w:t>
      </w:r>
    </w:p>
    <w:p>
      <w:pPr>
        <w:spacing w:after="142" w:afterLines="50" w:line="320" w:lineRule="exact"/>
        <w:ind w:firstLine="420" w:firstLineChars="200"/>
        <w:rPr>
          <w:rFonts w:hint="eastAsia" w:ascii="宋体" w:hAnsi="宋体"/>
          <w:szCs w:val="21"/>
        </w:rPr>
      </w:pPr>
      <w:r>
        <w:rPr>
          <w:rFonts w:hint="eastAsia" w:ascii="宋体" w:hAnsi="宋体"/>
          <w:szCs w:val="21"/>
        </w:rPr>
        <w:t>四、不采取不正</w:t>
      </w:r>
      <w:r>
        <w:rPr>
          <w:rFonts w:ascii="宋体" w:hAnsi="宋体"/>
          <w:szCs w:val="21"/>
        </w:rPr>
        <w:t>当</w:t>
      </w:r>
      <w:r>
        <w:rPr>
          <w:rFonts w:hint="eastAsia" w:ascii="宋体" w:hAnsi="宋体"/>
          <w:szCs w:val="21"/>
        </w:rPr>
        <w:t>手段</w:t>
      </w:r>
      <w:r>
        <w:rPr>
          <w:rFonts w:ascii="宋体" w:hAnsi="宋体"/>
          <w:szCs w:val="21"/>
        </w:rPr>
        <w:t>诋毁</w:t>
      </w:r>
      <w:r>
        <w:rPr>
          <w:rFonts w:hint="eastAsia" w:ascii="宋体" w:hAnsi="宋体"/>
          <w:szCs w:val="21"/>
        </w:rPr>
        <w:t>、排</w:t>
      </w:r>
      <w:r>
        <w:rPr>
          <w:rFonts w:ascii="宋体" w:hAnsi="宋体"/>
          <w:szCs w:val="21"/>
        </w:rPr>
        <w:t>挤</w:t>
      </w:r>
      <w:r>
        <w:rPr>
          <w:rFonts w:hint="eastAsia" w:ascii="宋体" w:hAnsi="宋体"/>
          <w:szCs w:val="21"/>
        </w:rPr>
        <w:t>其他供应商，与其他</w:t>
      </w:r>
      <w:r>
        <w:rPr>
          <w:rFonts w:ascii="宋体" w:hAnsi="宋体"/>
          <w:szCs w:val="21"/>
        </w:rPr>
        <w:t>参</w:t>
      </w:r>
      <w:r>
        <w:rPr>
          <w:rFonts w:hint="eastAsia" w:ascii="宋体" w:hAnsi="宋体"/>
          <w:szCs w:val="21"/>
        </w:rPr>
        <w:t>与政府采</w:t>
      </w:r>
      <w:r>
        <w:rPr>
          <w:rFonts w:ascii="宋体" w:hAnsi="宋体"/>
          <w:szCs w:val="21"/>
        </w:rPr>
        <w:t>购</w:t>
      </w:r>
      <w:r>
        <w:rPr>
          <w:rFonts w:hint="eastAsia" w:ascii="宋体" w:hAnsi="宋体"/>
          <w:szCs w:val="21"/>
        </w:rPr>
        <w:t>活</w:t>
      </w:r>
      <w:r>
        <w:rPr>
          <w:rFonts w:ascii="宋体" w:hAnsi="宋体"/>
          <w:szCs w:val="21"/>
        </w:rPr>
        <w:t>动</w:t>
      </w:r>
      <w:r>
        <w:rPr>
          <w:rFonts w:hint="eastAsia" w:ascii="宋体" w:hAnsi="宋体"/>
          <w:szCs w:val="21"/>
        </w:rPr>
        <w:t>供应商保持良性的</w:t>
      </w:r>
      <w:r>
        <w:rPr>
          <w:rFonts w:ascii="宋体" w:hAnsi="宋体"/>
          <w:szCs w:val="21"/>
        </w:rPr>
        <w:t>竞争关</w:t>
      </w:r>
      <w:r>
        <w:rPr>
          <w:rFonts w:hint="eastAsia" w:ascii="宋体" w:hAnsi="宋体"/>
          <w:szCs w:val="21"/>
        </w:rPr>
        <w:t>系。</w:t>
      </w:r>
    </w:p>
    <w:p>
      <w:pPr>
        <w:spacing w:after="142" w:afterLines="50" w:line="320" w:lineRule="exact"/>
        <w:ind w:firstLine="420" w:firstLineChars="200"/>
        <w:rPr>
          <w:rFonts w:hint="eastAsia" w:ascii="宋体" w:hAnsi="宋体"/>
          <w:szCs w:val="21"/>
        </w:rPr>
      </w:pPr>
      <w:r>
        <w:rPr>
          <w:rFonts w:hint="eastAsia" w:ascii="宋体" w:hAnsi="宋体"/>
          <w:szCs w:val="21"/>
        </w:rPr>
        <w:t>五、不与采购单位、采购代理机构和政府采</w:t>
      </w:r>
      <w:r>
        <w:rPr>
          <w:rFonts w:ascii="宋体" w:hAnsi="宋体"/>
          <w:szCs w:val="21"/>
        </w:rPr>
        <w:t>购评审专</w:t>
      </w:r>
      <w:r>
        <w:rPr>
          <w:rFonts w:hint="eastAsia" w:ascii="宋体" w:hAnsi="宋体"/>
          <w:szCs w:val="21"/>
        </w:rPr>
        <w:t>家</w:t>
      </w:r>
      <w:r>
        <w:rPr>
          <w:rFonts w:ascii="宋体" w:hAnsi="宋体"/>
          <w:szCs w:val="21"/>
        </w:rPr>
        <w:t>恶</w:t>
      </w:r>
      <w:r>
        <w:rPr>
          <w:rFonts w:hint="eastAsia" w:ascii="宋体" w:hAnsi="宋体"/>
          <w:szCs w:val="21"/>
        </w:rPr>
        <w:t>意串通，</w:t>
      </w:r>
      <w:r>
        <w:rPr>
          <w:rFonts w:ascii="宋体" w:hAnsi="宋体"/>
          <w:szCs w:val="21"/>
        </w:rPr>
        <w:t>自觉维护政</w:t>
      </w:r>
      <w:r>
        <w:rPr>
          <w:rFonts w:hint="eastAsia" w:ascii="宋体" w:hAnsi="宋体"/>
          <w:szCs w:val="21"/>
        </w:rPr>
        <w:t>府采</w:t>
      </w:r>
      <w:r>
        <w:rPr>
          <w:rFonts w:ascii="宋体" w:hAnsi="宋体"/>
          <w:szCs w:val="21"/>
        </w:rPr>
        <w:t>购公</w:t>
      </w:r>
      <w:r>
        <w:rPr>
          <w:rFonts w:hint="eastAsia" w:ascii="宋体" w:hAnsi="宋体"/>
          <w:szCs w:val="21"/>
        </w:rPr>
        <w:t>平</w:t>
      </w:r>
      <w:r>
        <w:rPr>
          <w:rFonts w:ascii="宋体" w:hAnsi="宋体"/>
          <w:szCs w:val="21"/>
        </w:rPr>
        <w:t>竞争</w:t>
      </w:r>
      <w:r>
        <w:rPr>
          <w:rFonts w:hint="eastAsia" w:ascii="宋体" w:hAnsi="宋体"/>
          <w:szCs w:val="21"/>
        </w:rPr>
        <w:t>的市</w:t>
      </w:r>
      <w:r>
        <w:rPr>
          <w:rFonts w:ascii="宋体" w:hAnsi="宋体"/>
          <w:szCs w:val="21"/>
        </w:rPr>
        <w:t>场</w:t>
      </w:r>
      <w:r>
        <w:rPr>
          <w:rFonts w:hint="eastAsia" w:ascii="宋体" w:hAnsi="宋体"/>
          <w:szCs w:val="21"/>
        </w:rPr>
        <w:t>秩序。</w:t>
      </w:r>
    </w:p>
    <w:p>
      <w:pPr>
        <w:spacing w:after="142" w:afterLines="50" w:line="320" w:lineRule="exact"/>
        <w:ind w:firstLine="420" w:firstLineChars="200"/>
        <w:rPr>
          <w:rFonts w:hint="eastAsia" w:ascii="宋体" w:hAnsi="宋体"/>
          <w:szCs w:val="21"/>
        </w:rPr>
      </w:pPr>
      <w:r>
        <w:rPr>
          <w:rFonts w:hint="eastAsia" w:ascii="宋体" w:hAnsi="宋体"/>
          <w:szCs w:val="21"/>
        </w:rPr>
        <w:t>六、不与其他供应商串通采取</w:t>
      </w:r>
      <w:r>
        <w:rPr>
          <w:rFonts w:ascii="宋体" w:hAnsi="宋体"/>
          <w:szCs w:val="21"/>
        </w:rPr>
        <w:t>围标、</w:t>
      </w:r>
      <w:r>
        <w:rPr>
          <w:rFonts w:hint="eastAsia" w:ascii="宋体" w:hAnsi="宋体"/>
          <w:szCs w:val="21"/>
        </w:rPr>
        <w:t>陪</w:t>
      </w:r>
      <w:r>
        <w:rPr>
          <w:rFonts w:ascii="宋体" w:hAnsi="宋体"/>
          <w:szCs w:val="21"/>
        </w:rPr>
        <w:t>标等</w:t>
      </w:r>
      <w:r>
        <w:rPr>
          <w:rFonts w:hint="eastAsia" w:ascii="宋体" w:hAnsi="宋体"/>
          <w:szCs w:val="21"/>
        </w:rPr>
        <w:t>商</w:t>
      </w:r>
      <w:r>
        <w:rPr>
          <w:rFonts w:ascii="宋体" w:hAnsi="宋体"/>
          <w:szCs w:val="21"/>
        </w:rPr>
        <w:t>业</w:t>
      </w:r>
      <w:r>
        <w:rPr>
          <w:rFonts w:hint="eastAsia" w:ascii="宋体" w:hAnsi="宋体"/>
          <w:szCs w:val="21"/>
        </w:rPr>
        <w:t>欺</w:t>
      </w:r>
      <w:r>
        <w:rPr>
          <w:rFonts w:ascii="宋体" w:hAnsi="宋体"/>
          <w:szCs w:val="21"/>
        </w:rPr>
        <w:t>诈</w:t>
      </w:r>
      <w:r>
        <w:rPr>
          <w:rFonts w:hint="eastAsia" w:ascii="宋体" w:hAnsi="宋体"/>
          <w:szCs w:val="21"/>
        </w:rPr>
        <w:t>手段</w:t>
      </w:r>
      <w:r>
        <w:rPr>
          <w:rFonts w:ascii="宋体" w:hAnsi="宋体"/>
          <w:szCs w:val="21"/>
        </w:rPr>
        <w:t>谋</w:t>
      </w:r>
      <w:r>
        <w:rPr>
          <w:rFonts w:hint="eastAsia" w:ascii="宋体" w:hAnsi="宋体"/>
          <w:szCs w:val="21"/>
        </w:rPr>
        <w:t>取中</w:t>
      </w:r>
      <w:r>
        <w:rPr>
          <w:rFonts w:ascii="宋体" w:hAnsi="宋体"/>
          <w:szCs w:val="21"/>
        </w:rPr>
        <w:t>标</w:t>
      </w:r>
      <w:r>
        <w:rPr>
          <w:rFonts w:hint="eastAsia" w:ascii="宋体" w:hAnsi="宋体"/>
          <w:szCs w:val="21"/>
        </w:rPr>
        <w:t>，</w:t>
      </w:r>
      <w:r>
        <w:rPr>
          <w:rFonts w:ascii="宋体" w:hAnsi="宋体"/>
          <w:szCs w:val="21"/>
        </w:rPr>
        <w:t>积极维护国</w:t>
      </w:r>
      <w:r>
        <w:rPr>
          <w:rFonts w:hint="eastAsia" w:ascii="宋体" w:hAnsi="宋体"/>
          <w:szCs w:val="21"/>
        </w:rPr>
        <w:t>家利益、社</w:t>
      </w:r>
      <w:r>
        <w:rPr>
          <w:rFonts w:ascii="宋体" w:hAnsi="宋体"/>
          <w:szCs w:val="21"/>
        </w:rPr>
        <w:t>会</w:t>
      </w:r>
      <w:r>
        <w:rPr>
          <w:rFonts w:hint="eastAsia" w:ascii="宋体" w:hAnsi="宋体"/>
          <w:szCs w:val="21"/>
        </w:rPr>
        <w:t>公共利益和采购单位的合法</w:t>
      </w:r>
      <w:r>
        <w:rPr>
          <w:rFonts w:ascii="宋体" w:hAnsi="宋体"/>
          <w:szCs w:val="21"/>
        </w:rPr>
        <w:t>权益。</w:t>
      </w:r>
    </w:p>
    <w:p>
      <w:pPr>
        <w:spacing w:after="142" w:afterLines="50" w:line="320" w:lineRule="exact"/>
        <w:ind w:firstLine="420" w:firstLineChars="200"/>
        <w:rPr>
          <w:rFonts w:hint="eastAsia" w:ascii="宋体" w:hAnsi="宋体"/>
          <w:szCs w:val="21"/>
        </w:rPr>
      </w:pPr>
      <w:r>
        <w:rPr>
          <w:rFonts w:hint="eastAsia" w:ascii="宋体" w:hAnsi="宋体"/>
          <w:szCs w:val="21"/>
        </w:rPr>
        <w:t>七、</w:t>
      </w:r>
      <w:r>
        <w:rPr>
          <w:rFonts w:ascii="宋体" w:hAnsi="宋体"/>
          <w:szCs w:val="21"/>
        </w:rPr>
        <w:t>严格</w:t>
      </w:r>
      <w:r>
        <w:rPr>
          <w:rFonts w:hint="eastAsia" w:ascii="宋体" w:hAnsi="宋体"/>
          <w:szCs w:val="21"/>
        </w:rPr>
        <w:t>履行政府采</w:t>
      </w:r>
      <w:r>
        <w:rPr>
          <w:rFonts w:ascii="宋体" w:hAnsi="宋体"/>
          <w:szCs w:val="21"/>
        </w:rPr>
        <w:t>购</w:t>
      </w:r>
      <w:r>
        <w:rPr>
          <w:rFonts w:hint="eastAsia" w:ascii="宋体" w:hAnsi="宋体"/>
          <w:szCs w:val="21"/>
        </w:rPr>
        <w:t>合</w:t>
      </w:r>
      <w:r>
        <w:rPr>
          <w:rFonts w:ascii="宋体" w:hAnsi="宋体"/>
          <w:szCs w:val="21"/>
        </w:rPr>
        <w:t>同约</w:t>
      </w:r>
      <w:r>
        <w:rPr>
          <w:rFonts w:hint="eastAsia" w:ascii="宋体" w:hAnsi="宋体"/>
          <w:szCs w:val="21"/>
        </w:rPr>
        <w:t>定</w:t>
      </w:r>
      <w:r>
        <w:rPr>
          <w:rFonts w:ascii="宋体" w:hAnsi="宋体"/>
          <w:szCs w:val="21"/>
        </w:rPr>
        <w:t>义务</w:t>
      </w:r>
      <w:r>
        <w:rPr>
          <w:rFonts w:hint="eastAsia" w:ascii="宋体" w:hAnsi="宋体"/>
          <w:szCs w:val="21"/>
        </w:rPr>
        <w:t>，不在政府采</w:t>
      </w:r>
      <w:r>
        <w:rPr>
          <w:rFonts w:ascii="宋体" w:hAnsi="宋体"/>
          <w:szCs w:val="21"/>
        </w:rPr>
        <w:t>购</w:t>
      </w:r>
      <w:r>
        <w:rPr>
          <w:rFonts w:hint="eastAsia" w:ascii="宋体" w:hAnsi="宋体"/>
          <w:szCs w:val="21"/>
        </w:rPr>
        <w:t>合同</w:t>
      </w:r>
      <w:r>
        <w:rPr>
          <w:rFonts w:ascii="宋体" w:hAnsi="宋体"/>
          <w:szCs w:val="21"/>
        </w:rPr>
        <w:t>执</w:t>
      </w:r>
      <w:r>
        <w:rPr>
          <w:rFonts w:hint="eastAsia" w:ascii="宋体" w:hAnsi="宋体"/>
          <w:szCs w:val="21"/>
        </w:rPr>
        <w:t>行</w:t>
      </w:r>
      <w:r>
        <w:rPr>
          <w:rFonts w:ascii="宋体" w:hAnsi="宋体"/>
          <w:szCs w:val="21"/>
        </w:rPr>
        <w:t>过</w:t>
      </w:r>
      <w:r>
        <w:rPr>
          <w:rFonts w:hint="eastAsia" w:ascii="宋体" w:hAnsi="宋体"/>
          <w:szCs w:val="21"/>
        </w:rPr>
        <w:t>程中采取降低</w:t>
      </w:r>
      <w:r>
        <w:rPr>
          <w:rFonts w:ascii="宋体" w:hAnsi="宋体"/>
          <w:szCs w:val="21"/>
        </w:rPr>
        <w:t>质</w:t>
      </w:r>
      <w:r>
        <w:rPr>
          <w:rFonts w:hint="eastAsia" w:ascii="宋体" w:hAnsi="宋体"/>
          <w:szCs w:val="21"/>
        </w:rPr>
        <w:t>量或</w:t>
      </w:r>
      <w:r>
        <w:rPr>
          <w:rFonts w:ascii="宋体" w:hAnsi="宋体"/>
          <w:szCs w:val="21"/>
        </w:rPr>
        <w:t>标</w:t>
      </w:r>
      <w:r>
        <w:rPr>
          <w:rFonts w:hint="eastAsia" w:ascii="宋体" w:hAnsi="宋体"/>
          <w:szCs w:val="21"/>
        </w:rPr>
        <w:t>准、</w:t>
      </w:r>
      <w:r>
        <w:rPr>
          <w:rFonts w:ascii="宋体" w:hAnsi="宋体"/>
          <w:szCs w:val="21"/>
        </w:rPr>
        <w:t>减</w:t>
      </w:r>
      <w:r>
        <w:rPr>
          <w:rFonts w:hint="eastAsia" w:ascii="宋体" w:hAnsi="宋体"/>
          <w:szCs w:val="21"/>
        </w:rPr>
        <w:t>少</w:t>
      </w:r>
      <w:r>
        <w:rPr>
          <w:rFonts w:ascii="宋体" w:hAnsi="宋体"/>
          <w:szCs w:val="21"/>
        </w:rPr>
        <w:t>数</w:t>
      </w:r>
      <w:r>
        <w:rPr>
          <w:rFonts w:hint="eastAsia" w:ascii="宋体" w:hAnsi="宋体"/>
          <w:szCs w:val="21"/>
        </w:rPr>
        <w:t>量、拖延交付</w:t>
      </w:r>
      <w:r>
        <w:rPr>
          <w:rFonts w:ascii="宋体" w:hAnsi="宋体"/>
          <w:szCs w:val="21"/>
        </w:rPr>
        <w:t>时间</w:t>
      </w:r>
      <w:r>
        <w:rPr>
          <w:rFonts w:hint="eastAsia" w:ascii="宋体" w:hAnsi="宋体"/>
          <w:szCs w:val="21"/>
        </w:rPr>
        <w:t>等方式</w:t>
      </w:r>
      <w:r>
        <w:rPr>
          <w:rFonts w:ascii="宋体" w:hAnsi="宋体"/>
          <w:szCs w:val="21"/>
        </w:rPr>
        <w:t>损</w:t>
      </w:r>
      <w:r>
        <w:rPr>
          <w:rFonts w:hint="eastAsia" w:ascii="宋体" w:hAnsi="宋体"/>
          <w:szCs w:val="21"/>
        </w:rPr>
        <w:t>害采购单位的利益，并</w:t>
      </w:r>
      <w:r>
        <w:rPr>
          <w:rFonts w:ascii="宋体" w:hAnsi="宋体"/>
          <w:szCs w:val="21"/>
        </w:rPr>
        <w:t>自觉</w:t>
      </w:r>
      <w:r>
        <w:rPr>
          <w:rFonts w:hint="eastAsia" w:ascii="宋体" w:hAnsi="宋体"/>
          <w:szCs w:val="21"/>
        </w:rPr>
        <w:t>承</w:t>
      </w:r>
      <w:r>
        <w:rPr>
          <w:rFonts w:ascii="宋体" w:hAnsi="宋体"/>
          <w:szCs w:val="21"/>
        </w:rPr>
        <w:t>担违约责</w:t>
      </w:r>
      <w:r>
        <w:rPr>
          <w:rFonts w:hint="eastAsia" w:ascii="宋体" w:hAnsi="宋体"/>
          <w:szCs w:val="21"/>
        </w:rPr>
        <w:t>任。</w:t>
      </w:r>
    </w:p>
    <w:p>
      <w:pPr>
        <w:spacing w:after="142" w:afterLines="50" w:line="320" w:lineRule="exact"/>
        <w:ind w:firstLine="420" w:firstLineChars="200"/>
        <w:rPr>
          <w:rFonts w:hint="eastAsia" w:ascii="宋体" w:hAnsi="宋体"/>
          <w:szCs w:val="21"/>
        </w:rPr>
      </w:pPr>
      <w:r>
        <w:rPr>
          <w:rFonts w:hint="eastAsia" w:ascii="宋体" w:hAnsi="宋体"/>
          <w:szCs w:val="21"/>
        </w:rPr>
        <w:t>八、</w:t>
      </w:r>
      <w:r>
        <w:rPr>
          <w:rFonts w:ascii="宋体" w:hAnsi="宋体"/>
          <w:szCs w:val="21"/>
        </w:rPr>
        <w:t>自觉</w:t>
      </w:r>
      <w:r>
        <w:rPr>
          <w:rFonts w:hint="eastAsia" w:ascii="宋体" w:hAnsi="宋体"/>
          <w:szCs w:val="21"/>
        </w:rPr>
        <w:t>接受并</w:t>
      </w:r>
      <w:r>
        <w:rPr>
          <w:rFonts w:ascii="宋体" w:hAnsi="宋体"/>
          <w:szCs w:val="21"/>
        </w:rPr>
        <w:t>积极配</w:t>
      </w:r>
      <w:r>
        <w:rPr>
          <w:rFonts w:hint="eastAsia" w:ascii="宋体" w:hAnsi="宋体"/>
          <w:szCs w:val="21"/>
        </w:rPr>
        <w:t>合</w:t>
      </w:r>
      <w:r>
        <w:rPr>
          <w:rFonts w:ascii="宋体" w:hAnsi="宋体"/>
          <w:szCs w:val="21"/>
        </w:rPr>
        <w:t>财</w:t>
      </w:r>
      <w:r>
        <w:rPr>
          <w:rFonts w:hint="eastAsia" w:ascii="宋体" w:hAnsi="宋体"/>
          <w:szCs w:val="21"/>
        </w:rPr>
        <w:t>政</w:t>
      </w:r>
      <w:r>
        <w:rPr>
          <w:rFonts w:ascii="宋体" w:hAnsi="宋体"/>
          <w:szCs w:val="21"/>
        </w:rPr>
        <w:t>部门</w:t>
      </w:r>
      <w:r>
        <w:rPr>
          <w:rFonts w:hint="eastAsia" w:ascii="宋体" w:hAnsi="宋体"/>
          <w:szCs w:val="21"/>
        </w:rPr>
        <w:t>和</w:t>
      </w:r>
      <w:r>
        <w:rPr>
          <w:rFonts w:ascii="宋体" w:hAnsi="宋体"/>
          <w:szCs w:val="21"/>
        </w:rPr>
        <w:t>纪检监</w:t>
      </w:r>
      <w:r>
        <w:rPr>
          <w:rFonts w:hint="eastAsia" w:ascii="宋体" w:hAnsi="宋体"/>
          <w:szCs w:val="21"/>
        </w:rPr>
        <w:t>察机</w:t>
      </w:r>
      <w:r>
        <w:rPr>
          <w:rFonts w:ascii="宋体" w:hAnsi="宋体"/>
          <w:szCs w:val="21"/>
        </w:rPr>
        <w:t>关</w:t>
      </w:r>
      <w:r>
        <w:rPr>
          <w:rFonts w:hint="eastAsia" w:ascii="宋体" w:hAnsi="宋体"/>
          <w:szCs w:val="21"/>
        </w:rPr>
        <w:t>依法</w:t>
      </w:r>
      <w:r>
        <w:rPr>
          <w:rFonts w:ascii="宋体" w:hAnsi="宋体"/>
          <w:szCs w:val="21"/>
        </w:rPr>
        <w:t>实</w:t>
      </w:r>
      <w:r>
        <w:rPr>
          <w:rFonts w:hint="eastAsia" w:ascii="宋体" w:hAnsi="宋体"/>
          <w:szCs w:val="21"/>
        </w:rPr>
        <w:t>施的</w:t>
      </w:r>
      <w:r>
        <w:rPr>
          <w:rFonts w:ascii="宋体" w:hAnsi="宋体"/>
          <w:szCs w:val="21"/>
        </w:rPr>
        <w:t>监督检</w:t>
      </w:r>
      <w:r>
        <w:rPr>
          <w:rFonts w:hint="eastAsia" w:ascii="宋体" w:hAnsi="宋体"/>
          <w:szCs w:val="21"/>
        </w:rPr>
        <w:t>查，如</w:t>
      </w:r>
      <w:r>
        <w:rPr>
          <w:rFonts w:ascii="宋体" w:hAnsi="宋体"/>
          <w:szCs w:val="21"/>
        </w:rPr>
        <w:t>实</w:t>
      </w:r>
      <w:r>
        <w:rPr>
          <w:rFonts w:hint="eastAsia" w:ascii="宋体" w:hAnsi="宋体"/>
          <w:szCs w:val="21"/>
        </w:rPr>
        <w:t>反映情</w:t>
      </w:r>
      <w:r>
        <w:rPr>
          <w:rFonts w:ascii="宋体" w:hAnsi="宋体"/>
          <w:szCs w:val="21"/>
        </w:rPr>
        <w:t>况</w:t>
      </w:r>
      <w:r>
        <w:rPr>
          <w:rFonts w:hint="eastAsia" w:ascii="宋体" w:hAnsi="宋体"/>
          <w:szCs w:val="21"/>
        </w:rPr>
        <w:t>，</w:t>
      </w:r>
      <w:r>
        <w:rPr>
          <w:rFonts w:ascii="宋体" w:hAnsi="宋体"/>
          <w:szCs w:val="21"/>
        </w:rPr>
        <w:t>及时</w:t>
      </w:r>
      <w:r>
        <w:rPr>
          <w:rFonts w:hint="eastAsia" w:ascii="宋体" w:hAnsi="宋体"/>
          <w:szCs w:val="21"/>
        </w:rPr>
        <w:t>提供有</w:t>
      </w:r>
      <w:r>
        <w:rPr>
          <w:rFonts w:ascii="宋体" w:hAnsi="宋体"/>
          <w:szCs w:val="21"/>
        </w:rPr>
        <w:t>关证</w:t>
      </w:r>
      <w:r>
        <w:rPr>
          <w:rFonts w:hint="eastAsia" w:ascii="宋体" w:hAnsi="宋体"/>
          <w:szCs w:val="21"/>
        </w:rPr>
        <w:t>明材料。</w:t>
      </w:r>
    </w:p>
    <w:p>
      <w:pPr>
        <w:spacing w:after="142" w:afterLines="50" w:line="320" w:lineRule="exact"/>
        <w:rPr>
          <w:rFonts w:hint="eastAsia" w:ascii="宋体" w:hAnsi="宋体"/>
          <w:szCs w:val="21"/>
        </w:rPr>
      </w:pPr>
    </w:p>
    <w:p>
      <w:pPr>
        <w:spacing w:after="142" w:afterLines="50" w:line="320" w:lineRule="exact"/>
        <w:rPr>
          <w:rFonts w:ascii="宋体" w:hAnsi="宋体" w:cs="Arial"/>
          <w:szCs w:val="21"/>
          <w:u w:val="single"/>
        </w:rPr>
      </w:pPr>
      <w:r>
        <w:rPr>
          <w:rFonts w:hint="eastAsia" w:ascii="宋体" w:hAnsi="宋体" w:cs="Arial"/>
          <w:szCs w:val="21"/>
        </w:rPr>
        <w:t>供应商（并加</w:t>
      </w:r>
      <w:r>
        <w:rPr>
          <w:rFonts w:ascii="宋体" w:hAnsi="宋体" w:cs="Arial"/>
          <w:szCs w:val="21"/>
        </w:rPr>
        <w:t>盖</w:t>
      </w:r>
      <w:r>
        <w:rPr>
          <w:rFonts w:hint="eastAsia" w:ascii="宋体" w:hAnsi="宋体" w:cs="Arial"/>
          <w:szCs w:val="21"/>
        </w:rPr>
        <w:t>公章）：</w:t>
      </w:r>
      <w:r>
        <w:rPr>
          <w:rFonts w:ascii="宋体" w:hAnsi="宋体" w:cs="Arial"/>
          <w:szCs w:val="21"/>
          <w:u w:val="single"/>
        </w:rPr>
        <w:t xml:space="preserve">                             </w:t>
      </w:r>
    </w:p>
    <w:p>
      <w:pPr>
        <w:pStyle w:val="5"/>
        <w:spacing w:before="60" w:after="142" w:afterLines="50" w:line="320" w:lineRule="exact"/>
        <w:ind w:firstLine="0"/>
        <w:rPr>
          <w:rFonts w:hint="eastAsia" w:ascii="宋体" w:hAnsi="宋体" w:cs="Arial"/>
          <w:szCs w:val="21"/>
        </w:rPr>
      </w:pPr>
      <w:r>
        <w:rPr>
          <w:rFonts w:hint="eastAsia" w:ascii="宋体" w:hAnsi="宋体" w:cs="Arial"/>
          <w:szCs w:val="21"/>
        </w:rPr>
        <w:t>法定代表人或其授</w:t>
      </w:r>
      <w:r>
        <w:rPr>
          <w:rFonts w:ascii="宋体" w:hAnsi="宋体" w:cs="Arial"/>
          <w:szCs w:val="21"/>
        </w:rPr>
        <w:t>权</w:t>
      </w:r>
      <w:r>
        <w:rPr>
          <w:rFonts w:hint="eastAsia" w:ascii="宋体" w:hAnsi="宋体" w:cs="Arial"/>
          <w:szCs w:val="21"/>
        </w:rPr>
        <w:t>委托人</w:t>
      </w:r>
      <w:r>
        <w:rPr>
          <w:rFonts w:hint="eastAsia" w:ascii="宋体" w:hAnsi="宋体" w:cs="Arial"/>
          <w:szCs w:val="24"/>
        </w:rPr>
        <w:t>（</w:t>
      </w:r>
      <w:r>
        <w:rPr>
          <w:rFonts w:ascii="宋体" w:hAnsi="宋体" w:cs="Arial"/>
          <w:szCs w:val="24"/>
        </w:rPr>
        <w:t>签</w:t>
      </w:r>
      <w:r>
        <w:rPr>
          <w:rFonts w:hint="eastAsia" w:ascii="宋体" w:hAnsi="宋体" w:cs="Arial"/>
          <w:szCs w:val="24"/>
        </w:rPr>
        <w:t>字或加</w:t>
      </w:r>
      <w:r>
        <w:rPr>
          <w:rFonts w:ascii="宋体" w:hAnsi="宋体" w:cs="Arial"/>
          <w:szCs w:val="24"/>
        </w:rPr>
        <w:t>盖</w:t>
      </w:r>
      <w:r>
        <w:rPr>
          <w:rFonts w:hint="eastAsia" w:ascii="宋体" w:hAnsi="宋体" w:cs="Arial"/>
          <w:szCs w:val="24"/>
        </w:rPr>
        <w:t>名章）</w:t>
      </w:r>
      <w:r>
        <w:rPr>
          <w:rFonts w:hint="eastAsia" w:ascii="宋体" w:hAnsi="宋体" w:cs="Arial"/>
          <w:szCs w:val="21"/>
        </w:rPr>
        <w:t>：</w:t>
      </w:r>
      <w:r>
        <w:rPr>
          <w:rFonts w:ascii="宋体" w:hAnsi="宋体" w:cs="Arial"/>
          <w:szCs w:val="21"/>
          <w:u w:val="single"/>
        </w:rPr>
        <w:t xml:space="preserve"> </w:t>
      </w:r>
      <w:r>
        <w:rPr>
          <w:rFonts w:hint="eastAsia" w:ascii="宋体" w:hAnsi="宋体" w:cs="Arial"/>
          <w:szCs w:val="21"/>
          <w:u w:val="single"/>
        </w:rPr>
        <w:t xml:space="preserve">                  </w:t>
      </w:r>
    </w:p>
    <w:p>
      <w:pPr>
        <w:pStyle w:val="5"/>
        <w:spacing w:before="60" w:after="142" w:afterLines="50" w:line="320" w:lineRule="exact"/>
        <w:ind w:firstLine="0"/>
        <w:rPr>
          <w:rFonts w:hint="eastAsia"/>
          <w:szCs w:val="21"/>
        </w:rPr>
      </w:pPr>
      <w:r>
        <w:rPr>
          <w:szCs w:val="21"/>
        </w:rPr>
        <w:t>签</w:t>
      </w:r>
      <w:r>
        <w:rPr>
          <w:rFonts w:hint="eastAsia"/>
          <w:szCs w:val="21"/>
        </w:rPr>
        <w:t>署日期：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r>
        <w:rPr>
          <w:rFonts w:hint="eastAsia" w:ascii="宋体" w:hAnsi="宋体"/>
          <w:b/>
          <w:color w:val="000000"/>
          <w:sz w:val="24"/>
          <w:szCs w:val="24"/>
        </w:rPr>
        <w:t>格式1-3</w:t>
      </w:r>
    </w:p>
    <w:p>
      <w:pPr>
        <w:spacing w:line="480" w:lineRule="exact"/>
        <w:rPr>
          <w:rFonts w:hint="eastAsia" w:ascii="宋体" w:hAnsi="宋体"/>
          <w:b/>
          <w:color w:val="000000"/>
          <w:sz w:val="24"/>
          <w:szCs w:val="24"/>
        </w:rPr>
      </w:pPr>
      <w:r>
        <w:rPr>
          <w:rFonts w:hint="eastAsia" w:ascii="宋体" w:hAnsi="宋体"/>
          <w:b/>
          <w:color w:val="000000"/>
          <w:sz w:val="24"/>
          <w:szCs w:val="24"/>
        </w:rPr>
        <w:t xml:space="preserve">                 </w:t>
      </w:r>
    </w:p>
    <w:p>
      <w:pPr>
        <w:spacing w:line="480" w:lineRule="exact"/>
        <w:jc w:val="center"/>
        <w:rPr>
          <w:rFonts w:ascii="宋体" w:hAnsi="宋体"/>
          <w:b/>
          <w:bCs/>
          <w:color w:val="000000"/>
          <w:sz w:val="36"/>
          <w:szCs w:val="36"/>
        </w:rPr>
      </w:pPr>
      <w:r>
        <w:rPr>
          <w:rFonts w:hint="eastAsia" w:ascii="宋体" w:hAnsi="宋体"/>
          <w:b/>
          <w:bCs/>
          <w:color w:val="000000"/>
          <w:sz w:val="36"/>
          <w:szCs w:val="36"/>
        </w:rPr>
        <w:t>法定代表人</w:t>
      </w:r>
      <w:r>
        <w:rPr>
          <w:rFonts w:ascii="宋体" w:hAnsi="宋体"/>
          <w:b/>
          <w:bCs/>
          <w:color w:val="000000"/>
          <w:sz w:val="36"/>
          <w:szCs w:val="36"/>
        </w:rPr>
        <w:t>资</w:t>
      </w:r>
      <w:r>
        <w:rPr>
          <w:rFonts w:hint="eastAsia" w:ascii="宋体" w:hAnsi="宋体"/>
          <w:b/>
          <w:bCs/>
          <w:color w:val="000000"/>
          <w:sz w:val="36"/>
          <w:szCs w:val="36"/>
        </w:rPr>
        <w:t>格</w:t>
      </w:r>
      <w:r>
        <w:rPr>
          <w:rFonts w:ascii="宋体" w:hAnsi="宋体"/>
          <w:b/>
          <w:bCs/>
          <w:color w:val="000000"/>
          <w:sz w:val="36"/>
          <w:szCs w:val="36"/>
        </w:rPr>
        <w:t>证</w:t>
      </w:r>
      <w:r>
        <w:rPr>
          <w:rFonts w:hint="eastAsia" w:ascii="宋体" w:hAnsi="宋体"/>
          <w:b/>
          <w:bCs/>
          <w:color w:val="000000"/>
          <w:sz w:val="36"/>
          <w:szCs w:val="36"/>
        </w:rPr>
        <w:t>明</w:t>
      </w:r>
      <w:r>
        <w:rPr>
          <w:rFonts w:ascii="宋体" w:hAnsi="宋体"/>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widowControl w:val="0"/>
        <w:spacing w:line="400" w:lineRule="exact"/>
        <w:ind w:left="420" w:leftChars="200" w:firstLine="630" w:firstLineChars="300"/>
        <w:jc w:val="both"/>
        <w:rPr>
          <w:rFonts w:hint="eastAsia" w:ascii="宋体" w:hAnsi="宋体"/>
          <w:szCs w:val="21"/>
        </w:rPr>
      </w:pPr>
      <w:r>
        <w:rPr>
          <w:rFonts w:ascii="宋体" w:hAnsi="宋体"/>
          <w:szCs w:val="21"/>
        </w:rPr>
        <w:t>单</w:t>
      </w:r>
      <w:r>
        <w:rPr>
          <w:rFonts w:hint="eastAsia" w:ascii="宋体" w:hAnsi="宋体"/>
          <w:szCs w:val="21"/>
        </w:rPr>
        <w:t>位名</w:t>
      </w:r>
      <w:r>
        <w:rPr>
          <w:rFonts w:ascii="宋体" w:hAnsi="宋体"/>
          <w:szCs w:val="21"/>
        </w:rPr>
        <w:t>称</w:t>
      </w:r>
      <w:r>
        <w:rPr>
          <w:rFonts w:hint="eastAsia" w:ascii="宋体" w:hAnsi="宋体"/>
          <w:szCs w:val="21"/>
        </w:rPr>
        <w:t>：</w:t>
      </w:r>
    </w:p>
    <w:p>
      <w:pPr>
        <w:pStyle w:val="2"/>
      </w:pPr>
    </w:p>
    <w:p>
      <w:pPr>
        <w:widowControl w:val="0"/>
        <w:spacing w:line="400" w:lineRule="exact"/>
        <w:ind w:left="420"/>
        <w:jc w:val="both"/>
        <w:rPr>
          <w:rFonts w:hint="eastAsia" w:ascii="宋体" w:hAnsi="宋体"/>
          <w:szCs w:val="21"/>
          <w:lang w:val="en-US" w:eastAsia="zh-CN"/>
        </w:rPr>
      </w:pPr>
      <w:r>
        <w:rPr>
          <w:rFonts w:hint="eastAsia" w:ascii="宋体" w:hAnsi="宋体"/>
          <w:szCs w:val="21"/>
          <w:lang w:val="en-US" w:eastAsia="zh-CN"/>
        </w:rPr>
        <w:t xml:space="preserve">      企业类型（微型、小型、中型、大型）：</w:t>
      </w:r>
    </w:p>
    <w:p>
      <w:pPr>
        <w:pStyle w:val="2"/>
        <w:rPr>
          <w:rFonts w:hint="default"/>
          <w:lang w:val="en-US" w:eastAsia="zh-CN"/>
        </w:rPr>
      </w:pPr>
    </w:p>
    <w:p>
      <w:pPr>
        <w:widowControl w:val="0"/>
        <w:spacing w:line="400" w:lineRule="exact"/>
        <w:ind w:left="420" w:leftChars="200" w:firstLine="630" w:firstLineChars="300"/>
        <w:jc w:val="both"/>
        <w:rPr>
          <w:rFonts w:ascii="宋体" w:hAnsi="宋体"/>
          <w:szCs w:val="21"/>
        </w:rPr>
      </w:pPr>
      <w:r>
        <w:rPr>
          <w:rFonts w:hint="eastAsia" w:ascii="宋体" w:hAnsi="宋体"/>
          <w:szCs w:val="21"/>
        </w:rPr>
        <w:t>地址：</w:t>
      </w:r>
    </w:p>
    <w:p>
      <w:pPr>
        <w:widowControl w:val="0"/>
        <w:spacing w:line="400" w:lineRule="exact"/>
        <w:ind w:left="420"/>
        <w:jc w:val="both"/>
        <w:rPr>
          <w:rFonts w:ascii="宋体" w:hAnsi="宋体"/>
          <w:szCs w:val="21"/>
        </w:rPr>
      </w:pPr>
    </w:p>
    <w:p>
      <w:pPr>
        <w:widowControl w:val="0"/>
        <w:spacing w:line="400" w:lineRule="exact"/>
        <w:ind w:left="420" w:leftChars="200" w:firstLine="630" w:firstLineChars="300"/>
        <w:jc w:val="both"/>
        <w:rPr>
          <w:rFonts w:ascii="宋体" w:hAnsi="宋体"/>
          <w:szCs w:val="21"/>
        </w:rPr>
      </w:pPr>
      <w:r>
        <w:rPr>
          <w:rFonts w:hint="eastAsia" w:ascii="宋体" w:hAnsi="宋体"/>
          <w:szCs w:val="21"/>
        </w:rPr>
        <w:t>姓名：</w:t>
      </w:r>
      <w:r>
        <w:rPr>
          <w:rFonts w:ascii="宋体" w:hAnsi="宋体"/>
          <w:szCs w:val="21"/>
        </w:rPr>
        <w:t xml:space="preserve">          </w:t>
      </w:r>
      <w:r>
        <w:rPr>
          <w:rFonts w:hint="eastAsia" w:ascii="宋体" w:hAnsi="宋体"/>
          <w:szCs w:val="21"/>
        </w:rPr>
        <w:t>性</w:t>
      </w:r>
      <w:r>
        <w:rPr>
          <w:rFonts w:ascii="宋体" w:hAnsi="宋体"/>
          <w:szCs w:val="21"/>
        </w:rPr>
        <w:t>别</w:t>
      </w:r>
      <w:r>
        <w:rPr>
          <w:rFonts w:hint="eastAsia" w:ascii="宋体" w:hAnsi="宋体"/>
          <w:szCs w:val="21"/>
        </w:rPr>
        <w:t>：</w:t>
      </w:r>
      <w:r>
        <w:rPr>
          <w:rFonts w:ascii="宋体" w:hAnsi="宋体"/>
          <w:szCs w:val="21"/>
        </w:rPr>
        <w:t xml:space="preserve">           </w:t>
      </w:r>
      <w:r>
        <w:rPr>
          <w:rFonts w:hint="eastAsia" w:ascii="宋体" w:hAnsi="宋体"/>
          <w:szCs w:val="21"/>
        </w:rPr>
        <w:t>年</w:t>
      </w:r>
      <w:r>
        <w:rPr>
          <w:rFonts w:ascii="宋体" w:hAnsi="宋体"/>
          <w:szCs w:val="21"/>
        </w:rPr>
        <w:t>龄</w:t>
      </w:r>
      <w:r>
        <w:rPr>
          <w:rFonts w:hint="eastAsia" w:ascii="宋体" w:hAnsi="宋体"/>
          <w:szCs w:val="21"/>
        </w:rPr>
        <w:t>：</w:t>
      </w:r>
      <w:r>
        <w:rPr>
          <w:rFonts w:ascii="宋体" w:hAnsi="宋体"/>
          <w:szCs w:val="21"/>
        </w:rPr>
        <w:t xml:space="preserve">            职务</w:t>
      </w:r>
      <w:r>
        <w:rPr>
          <w:rFonts w:hint="eastAsia" w:ascii="宋体" w:hAnsi="宋体"/>
          <w:szCs w:val="21"/>
        </w:rPr>
        <w:t xml:space="preserve">：        </w:t>
      </w:r>
    </w:p>
    <w:p>
      <w:pPr>
        <w:widowControl w:val="0"/>
        <w:spacing w:line="400" w:lineRule="exact"/>
        <w:ind w:left="420"/>
        <w:jc w:val="both"/>
        <w:rPr>
          <w:rFonts w:ascii="宋体" w:hAnsi="宋体"/>
          <w:szCs w:val="21"/>
        </w:rPr>
      </w:pPr>
    </w:p>
    <w:p>
      <w:pPr>
        <w:widowControl w:val="0"/>
        <w:spacing w:line="400" w:lineRule="exact"/>
        <w:ind w:left="525" w:leftChars="250" w:firstLine="525" w:firstLineChars="250"/>
        <w:jc w:val="both"/>
        <w:rPr>
          <w:rFonts w:ascii="宋体" w:hAnsi="宋体"/>
          <w:szCs w:val="21"/>
        </w:rPr>
      </w:pPr>
      <w:r>
        <w:rPr>
          <w:rFonts w:hint="eastAsia" w:ascii="宋体" w:hAnsi="宋体"/>
          <w:szCs w:val="21"/>
        </w:rPr>
        <w:t>本人系</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&lt;投</w:t>
      </w:r>
      <w:r>
        <w:rPr>
          <w:rFonts w:ascii="宋体" w:hAnsi="宋体"/>
          <w:szCs w:val="21"/>
          <w:u w:val="single"/>
        </w:rPr>
        <w:t>标</w:t>
      </w:r>
      <w:r>
        <w:rPr>
          <w:rFonts w:hint="eastAsia" w:ascii="宋体" w:hAnsi="宋体"/>
          <w:szCs w:val="21"/>
          <w:u w:val="single"/>
        </w:rPr>
        <w:t>人名</w:t>
      </w:r>
      <w:r>
        <w:rPr>
          <w:rFonts w:ascii="宋体" w:hAnsi="宋体"/>
          <w:szCs w:val="21"/>
          <w:u w:val="single"/>
        </w:rPr>
        <w:t>称</w:t>
      </w:r>
      <w:r>
        <w:rPr>
          <w:rFonts w:hint="eastAsia" w:ascii="宋体" w:hAnsi="宋体"/>
          <w:szCs w:val="21"/>
          <w:u w:val="single"/>
        </w:rPr>
        <w:t>&gt;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的法定代表人。 就</w:t>
      </w:r>
      <w:r>
        <w:rPr>
          <w:rFonts w:ascii="宋体" w:hAnsi="宋体"/>
          <w:szCs w:val="21"/>
        </w:rPr>
        <w:t>参</w:t>
      </w:r>
      <w:r>
        <w:rPr>
          <w:rFonts w:hint="eastAsia" w:ascii="宋体" w:hAnsi="宋体"/>
          <w:szCs w:val="21"/>
        </w:rPr>
        <w:t>加你中心</w:t>
      </w:r>
      <w:r>
        <w:rPr>
          <w:rFonts w:ascii="宋体" w:hAnsi="宋体"/>
          <w:szCs w:val="21"/>
        </w:rPr>
        <w:t>组织的</w:t>
      </w:r>
      <w:r>
        <w:rPr>
          <w:rFonts w:hint="eastAsia" w:ascii="宋体" w:hAnsi="宋体"/>
          <w:szCs w:val="21"/>
        </w:rPr>
        <w:t>招</w:t>
      </w:r>
      <w:r>
        <w:rPr>
          <w:rFonts w:ascii="宋体" w:hAnsi="宋体"/>
          <w:szCs w:val="21"/>
        </w:rPr>
        <w:t>标编号为</w:t>
      </w:r>
      <w:r>
        <w:rPr>
          <w:rFonts w:ascii="宋体" w:hAnsi="宋体"/>
          <w:szCs w:val="21"/>
          <w:u w:val="single"/>
        </w:rPr>
        <w:t xml:space="preserve">    </w:t>
      </w:r>
      <w:r>
        <w:rPr>
          <w:rFonts w:hint="eastAsia" w:ascii="宋体" w:hAnsi="宋体"/>
          <w:szCs w:val="21"/>
          <w:u w:val="single"/>
        </w:rPr>
        <w:t xml:space="preserve">  &lt;</w:t>
      </w:r>
      <w:r>
        <w:rPr>
          <w:rFonts w:ascii="宋体" w:hAnsi="宋体"/>
          <w:szCs w:val="21"/>
          <w:u w:val="single"/>
        </w:rPr>
        <w:t>项目编号</w:t>
      </w:r>
      <w:r>
        <w:rPr>
          <w:rFonts w:hint="eastAsia" w:ascii="宋体" w:hAnsi="宋体"/>
          <w:szCs w:val="21"/>
          <w:u w:val="single"/>
        </w:rPr>
        <w:t xml:space="preserve">&gt;      </w:t>
      </w:r>
      <w:r>
        <w:rPr>
          <w:rFonts w:hint="eastAsia" w:ascii="宋体" w:hAnsi="宋体"/>
          <w:szCs w:val="21"/>
        </w:rPr>
        <w:t>的</w:t>
      </w:r>
      <w:r>
        <w:rPr>
          <w:rFonts w:ascii="宋体" w:hAnsi="宋体"/>
          <w:szCs w:val="21"/>
          <w:u w:val="single"/>
        </w:rPr>
        <w:t xml:space="preserve">    </w:t>
      </w:r>
      <w:r>
        <w:rPr>
          <w:rFonts w:hint="eastAsia" w:ascii="宋体" w:hAnsi="宋体"/>
          <w:szCs w:val="21"/>
          <w:u w:val="single"/>
        </w:rPr>
        <w:t xml:space="preserve">  &lt;</w:t>
      </w:r>
      <w:r>
        <w:rPr>
          <w:rFonts w:ascii="宋体" w:hAnsi="宋体"/>
          <w:szCs w:val="21"/>
          <w:u w:val="single"/>
        </w:rPr>
        <w:t>项目</w:t>
      </w:r>
      <w:r>
        <w:rPr>
          <w:rFonts w:hint="eastAsia" w:ascii="宋体" w:hAnsi="宋体"/>
          <w:szCs w:val="21"/>
          <w:u w:val="single"/>
        </w:rPr>
        <w:t>名</w:t>
      </w:r>
      <w:r>
        <w:rPr>
          <w:rFonts w:ascii="宋体" w:hAnsi="宋体"/>
          <w:szCs w:val="21"/>
          <w:u w:val="single"/>
        </w:rPr>
        <w:t>称</w:t>
      </w:r>
      <w:r>
        <w:rPr>
          <w:rFonts w:hint="eastAsia" w:ascii="宋体" w:hAnsi="宋体"/>
          <w:szCs w:val="21"/>
          <w:u w:val="single"/>
        </w:rPr>
        <w:t xml:space="preserve">&gt;      </w:t>
      </w:r>
      <w:r>
        <w:rPr>
          <w:rFonts w:hint="eastAsia" w:ascii="宋体" w:hAnsi="宋体"/>
          <w:szCs w:val="21"/>
        </w:rPr>
        <w:t>公</w:t>
      </w:r>
      <w:r>
        <w:rPr>
          <w:rFonts w:ascii="宋体" w:hAnsi="宋体"/>
          <w:szCs w:val="21"/>
        </w:rPr>
        <w:t>开</w:t>
      </w:r>
      <w:r>
        <w:rPr>
          <w:rFonts w:hint="eastAsia" w:ascii="宋体" w:hAnsi="宋体"/>
          <w:szCs w:val="21"/>
        </w:rPr>
        <w:t>招</w:t>
      </w:r>
      <w:r>
        <w:rPr>
          <w:rFonts w:ascii="宋体" w:hAnsi="宋体"/>
          <w:szCs w:val="21"/>
        </w:rPr>
        <w:t>标项目</w:t>
      </w:r>
      <w:r>
        <w:rPr>
          <w:rFonts w:hint="eastAsia" w:ascii="宋体" w:hAnsi="宋体"/>
          <w:szCs w:val="21"/>
        </w:rPr>
        <w:t>的投</w:t>
      </w:r>
      <w:r>
        <w:rPr>
          <w:rFonts w:ascii="宋体" w:hAnsi="宋体"/>
          <w:szCs w:val="21"/>
        </w:rPr>
        <w:t>标报价</w:t>
      </w:r>
      <w:r>
        <w:rPr>
          <w:rFonts w:hint="eastAsia" w:ascii="宋体" w:hAnsi="宋体"/>
          <w:szCs w:val="21"/>
        </w:rPr>
        <w:t>，</w:t>
      </w:r>
      <w:r>
        <w:rPr>
          <w:rFonts w:ascii="宋体" w:hAnsi="宋体"/>
          <w:szCs w:val="21"/>
        </w:rPr>
        <w:t>签</w:t>
      </w:r>
      <w:r>
        <w:rPr>
          <w:rFonts w:hint="eastAsia" w:ascii="宋体" w:hAnsi="宋体"/>
          <w:szCs w:val="21"/>
        </w:rPr>
        <w:t>署上</w:t>
      </w:r>
      <w:r>
        <w:rPr>
          <w:rFonts w:ascii="宋体" w:hAnsi="宋体"/>
          <w:szCs w:val="21"/>
        </w:rPr>
        <w:t>述项目</w:t>
      </w:r>
      <w:r>
        <w:rPr>
          <w:rFonts w:hint="eastAsia" w:ascii="宋体" w:hAnsi="宋体"/>
          <w:szCs w:val="21"/>
        </w:rPr>
        <w:t>的投</w:t>
      </w:r>
      <w:r>
        <w:rPr>
          <w:rFonts w:ascii="宋体" w:hAnsi="宋体"/>
          <w:szCs w:val="21"/>
        </w:rPr>
        <w:t>标</w:t>
      </w:r>
      <w:r>
        <w:rPr>
          <w:rFonts w:hint="eastAsia" w:ascii="宋体" w:hAnsi="宋体"/>
          <w:szCs w:val="21"/>
        </w:rPr>
        <w:t>文件及合同的</w:t>
      </w:r>
      <w:r>
        <w:rPr>
          <w:rFonts w:ascii="宋体" w:hAnsi="宋体"/>
          <w:szCs w:val="21"/>
        </w:rPr>
        <w:t>执</w:t>
      </w:r>
      <w:r>
        <w:rPr>
          <w:rFonts w:hint="eastAsia" w:ascii="宋体" w:hAnsi="宋体"/>
          <w:szCs w:val="21"/>
        </w:rPr>
        <w:t>行、完成和服</w:t>
      </w:r>
      <w:r>
        <w:rPr>
          <w:rFonts w:ascii="宋体" w:hAnsi="宋体"/>
          <w:szCs w:val="21"/>
        </w:rPr>
        <w:t>务</w:t>
      </w:r>
      <w:r>
        <w:rPr>
          <w:rFonts w:hint="eastAsia" w:ascii="宋体" w:hAnsi="宋体"/>
          <w:szCs w:val="21"/>
        </w:rPr>
        <w:t>，</w:t>
      </w:r>
      <w:r>
        <w:rPr>
          <w:rFonts w:ascii="宋体" w:hAnsi="宋体"/>
          <w:szCs w:val="21"/>
        </w:rPr>
        <w:t>签</w:t>
      </w:r>
      <w:r>
        <w:rPr>
          <w:rFonts w:hint="eastAsia" w:ascii="宋体" w:hAnsi="宋体"/>
          <w:szCs w:val="21"/>
        </w:rPr>
        <w:t>署合同和</w:t>
      </w:r>
      <w:r>
        <w:rPr>
          <w:rFonts w:ascii="宋体" w:hAnsi="宋体"/>
          <w:szCs w:val="21"/>
        </w:rPr>
        <w:t>处</w:t>
      </w:r>
      <w:r>
        <w:rPr>
          <w:rFonts w:hint="eastAsia" w:ascii="宋体" w:hAnsi="宋体"/>
          <w:szCs w:val="21"/>
        </w:rPr>
        <w:t>理与之有</w:t>
      </w:r>
      <w:r>
        <w:rPr>
          <w:rFonts w:ascii="宋体" w:hAnsi="宋体"/>
          <w:szCs w:val="21"/>
        </w:rPr>
        <w:t>关的</w:t>
      </w:r>
      <w:r>
        <w:rPr>
          <w:rFonts w:hint="eastAsia" w:ascii="宋体" w:hAnsi="宋体"/>
          <w:szCs w:val="21"/>
        </w:rPr>
        <w:t>一切事</w:t>
      </w:r>
      <w:r>
        <w:rPr>
          <w:rFonts w:ascii="宋体" w:hAnsi="宋体"/>
          <w:szCs w:val="21"/>
        </w:rPr>
        <w:t>务</w:t>
      </w:r>
      <w:r>
        <w:rPr>
          <w:rFonts w:hint="eastAsia" w:ascii="宋体" w:hAnsi="宋体"/>
          <w:szCs w:val="21"/>
        </w:rPr>
        <w:t>。</w:t>
      </w:r>
    </w:p>
    <w:p>
      <w:pPr>
        <w:widowControl w:val="0"/>
        <w:spacing w:line="400" w:lineRule="exact"/>
        <w:ind w:left="420" w:leftChars="200" w:firstLine="420" w:firstLineChars="200"/>
        <w:jc w:val="both"/>
        <w:rPr>
          <w:rFonts w:ascii="宋体" w:hAnsi="宋体"/>
          <w:szCs w:val="21"/>
        </w:rPr>
      </w:pPr>
      <w:r>
        <w:rPr>
          <w:rFonts w:hint="eastAsia" w:ascii="宋体" w:hAnsi="宋体"/>
          <w:szCs w:val="21"/>
        </w:rPr>
        <w:t>特此</w:t>
      </w:r>
      <w:r>
        <w:rPr>
          <w:rFonts w:ascii="宋体" w:hAnsi="宋体"/>
          <w:szCs w:val="21"/>
        </w:rPr>
        <w:t>证</w:t>
      </w:r>
      <w:r>
        <w:rPr>
          <w:rFonts w:hint="eastAsia" w:ascii="宋体" w:hAnsi="宋体"/>
          <w:szCs w:val="21"/>
        </w:rPr>
        <w:t>明。</w:t>
      </w:r>
    </w:p>
    <w:p>
      <w:pPr>
        <w:widowControl w:val="0"/>
        <w:spacing w:line="400" w:lineRule="exact"/>
        <w:ind w:left="420"/>
        <w:jc w:val="both"/>
        <w:rPr>
          <w:rFonts w:ascii="宋体" w:hAnsi="宋体"/>
          <w:szCs w:val="21"/>
        </w:rPr>
      </w:pPr>
    </w:p>
    <w:p>
      <w:pPr>
        <w:widowControl w:val="0"/>
        <w:spacing w:line="400" w:lineRule="exact"/>
        <w:ind w:left="420"/>
        <w:jc w:val="both"/>
        <w:rPr>
          <w:rFonts w:ascii="宋体" w:hAnsi="宋体"/>
          <w:szCs w:val="21"/>
        </w:rPr>
      </w:pPr>
      <w:r>
        <w:rPr>
          <w:rFonts w:hint="eastAsia" w:ascii="宋体" w:hAnsi="宋体"/>
          <w:szCs w:val="21"/>
        </w:rPr>
        <w:t>（※此</w:t>
      </w:r>
      <w:r>
        <w:rPr>
          <w:rFonts w:ascii="宋体" w:hAnsi="宋体"/>
          <w:szCs w:val="21"/>
        </w:rPr>
        <w:t>处请</w:t>
      </w:r>
      <w:r>
        <w:rPr>
          <w:rFonts w:hint="eastAsia" w:ascii="宋体" w:hAnsi="宋体"/>
          <w:szCs w:val="21"/>
        </w:rPr>
        <w:t>粘</w:t>
      </w:r>
      <w:r>
        <w:rPr>
          <w:rFonts w:ascii="宋体" w:hAnsi="宋体"/>
          <w:szCs w:val="21"/>
        </w:rPr>
        <w:t>贴</w:t>
      </w:r>
      <w:r>
        <w:rPr>
          <w:rFonts w:hint="eastAsia" w:ascii="宋体" w:hAnsi="宋体"/>
          <w:szCs w:val="21"/>
        </w:rPr>
        <w:t>法定代表人身份</w:t>
      </w:r>
      <w:r>
        <w:rPr>
          <w:rFonts w:ascii="宋体" w:hAnsi="宋体"/>
          <w:szCs w:val="21"/>
        </w:rPr>
        <w:t>证复</w:t>
      </w:r>
      <w:r>
        <w:rPr>
          <w:rFonts w:hint="eastAsia" w:ascii="宋体" w:hAnsi="宋体"/>
          <w:szCs w:val="21"/>
        </w:rPr>
        <w:t>印件，需清晰反映身份证有效期限※）</w:t>
      </w:r>
    </w:p>
    <w:p>
      <w:pPr>
        <w:widowControl w:val="0"/>
        <w:spacing w:line="400" w:lineRule="exact"/>
        <w:ind w:left="420"/>
        <w:jc w:val="both"/>
        <w:rPr>
          <w:rFonts w:ascii="宋体" w:hAnsi="宋体"/>
          <w:szCs w:val="21"/>
        </w:rPr>
      </w:pPr>
    </w:p>
    <w:p>
      <w:pPr>
        <w:widowControl w:val="0"/>
        <w:spacing w:line="400" w:lineRule="exact"/>
        <w:ind w:left="420"/>
        <w:jc w:val="both"/>
        <w:rPr>
          <w:rFonts w:ascii="宋体" w:hAnsi="宋体"/>
          <w:szCs w:val="21"/>
        </w:rPr>
      </w:pPr>
      <w:r>
        <w:rPr>
          <w:rFonts w:hint="eastAsia" w:ascii="宋体" w:hAnsi="宋体"/>
          <w:szCs w:val="21"/>
        </w:rPr>
        <w:t>投标人名称（并加盖公章）：</w:t>
      </w:r>
      <w:r>
        <w:rPr>
          <w:rFonts w:ascii="宋体" w:hAnsi="宋体"/>
          <w:szCs w:val="21"/>
        </w:rPr>
        <w:t xml:space="preserve"> </w:t>
      </w:r>
    </w:p>
    <w:p>
      <w:pPr>
        <w:widowControl w:val="0"/>
        <w:spacing w:line="400" w:lineRule="exact"/>
        <w:ind w:left="420"/>
        <w:jc w:val="both"/>
        <w:rPr>
          <w:rFonts w:ascii="宋体" w:hAnsi="宋体"/>
          <w:szCs w:val="21"/>
        </w:rPr>
      </w:pPr>
      <w:r>
        <w:rPr>
          <w:rFonts w:ascii="宋体" w:hAnsi="宋体"/>
          <w:szCs w:val="21"/>
        </w:rPr>
        <w:t xml:space="preserve">                            </w:t>
      </w:r>
    </w:p>
    <w:p>
      <w:pPr>
        <w:widowControl w:val="0"/>
        <w:spacing w:line="400" w:lineRule="exact"/>
        <w:ind w:left="420"/>
        <w:jc w:val="both"/>
        <w:rPr>
          <w:rFonts w:ascii="宋体" w:hAnsi="宋体"/>
          <w:szCs w:val="21"/>
        </w:rPr>
      </w:pPr>
      <w:r>
        <w:rPr>
          <w:rFonts w:hint="eastAsia" w:ascii="宋体" w:hAnsi="宋体"/>
          <w:szCs w:val="21"/>
        </w:rPr>
        <w:t>签署日期：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widowControl w:val="0"/>
        <w:spacing w:line="400" w:lineRule="exact"/>
        <w:ind w:left="420"/>
        <w:jc w:val="both"/>
        <w:rPr>
          <w:rFonts w:ascii="宋体" w:hAnsi="宋体"/>
          <w:szCs w:val="21"/>
        </w:rPr>
      </w:pPr>
      <w:bookmarkStart w:id="170" w:name="_4.6__"/>
      <w:bookmarkEnd w:id="170"/>
    </w:p>
    <w:p>
      <w:pPr>
        <w:spacing w:line="480" w:lineRule="exact"/>
        <w:jc w:val="center"/>
        <w:rPr>
          <w:rFonts w:ascii="宋体" w:hAnsi="宋体"/>
          <w:b/>
          <w:color w:val="000000"/>
          <w:kern w:val="12"/>
          <w:sz w:val="24"/>
          <w:szCs w:val="24"/>
        </w:rPr>
      </w:pPr>
    </w:p>
    <w:p>
      <w:pPr>
        <w:spacing w:line="320" w:lineRule="exact"/>
        <w:ind w:left="413" w:hanging="411" w:hangingChars="196"/>
        <w:rPr>
          <w:rFonts w:ascii="宋体" w:hAnsi="宋体"/>
          <w:b/>
          <w:color w:val="000000"/>
          <w:kern w:val="12"/>
          <w:szCs w:val="21"/>
        </w:rPr>
      </w:pPr>
      <w:r>
        <w:rPr>
          <w:rFonts w:hint="eastAsia"/>
          <w:b/>
          <w:color w:val="000000"/>
          <w:kern w:val="12"/>
          <w:szCs w:val="21"/>
        </w:rPr>
        <w:t>★</w:t>
      </w:r>
      <w:r>
        <w:rPr>
          <w:b/>
          <w:color w:val="000000"/>
          <w:kern w:val="12"/>
          <w:szCs w:val="21"/>
        </w:rPr>
        <w:t xml:space="preserve">  </w:t>
      </w:r>
      <w:r>
        <w:rPr>
          <w:rFonts w:hint="eastAsia"/>
          <w:b/>
          <w:color w:val="000000"/>
          <w:kern w:val="12"/>
          <w:szCs w:val="21"/>
        </w:rPr>
        <w:t>说明：</w:t>
      </w:r>
      <w:r>
        <w:rPr>
          <w:rFonts w:hint="eastAsia" w:ascii="宋体" w:hAnsi="宋体"/>
          <w:b/>
          <w:color w:val="000000"/>
          <w:kern w:val="12"/>
          <w:szCs w:val="21"/>
        </w:rPr>
        <w:t>法定代表人</w:t>
      </w:r>
      <w:r>
        <w:rPr>
          <w:rFonts w:ascii="宋体" w:hAnsi="宋体"/>
          <w:b/>
          <w:color w:val="000000"/>
          <w:kern w:val="12"/>
          <w:szCs w:val="21"/>
        </w:rPr>
        <w:t>参</w:t>
      </w:r>
      <w:r>
        <w:rPr>
          <w:rFonts w:hint="eastAsia" w:ascii="宋体" w:hAnsi="宋体"/>
          <w:b/>
          <w:color w:val="000000"/>
          <w:kern w:val="12"/>
          <w:szCs w:val="21"/>
        </w:rPr>
        <w:t>加本招</w:t>
      </w:r>
      <w:r>
        <w:rPr>
          <w:rFonts w:ascii="宋体" w:hAnsi="宋体"/>
          <w:b/>
          <w:color w:val="000000"/>
          <w:kern w:val="12"/>
          <w:szCs w:val="21"/>
        </w:rPr>
        <w:t>标项目</w:t>
      </w:r>
      <w:r>
        <w:rPr>
          <w:rFonts w:hint="eastAsia" w:ascii="宋体" w:hAnsi="宋体"/>
          <w:b/>
          <w:color w:val="000000"/>
          <w:kern w:val="12"/>
          <w:szCs w:val="21"/>
        </w:rPr>
        <w:t>投</w:t>
      </w:r>
      <w:r>
        <w:rPr>
          <w:rFonts w:ascii="宋体" w:hAnsi="宋体"/>
          <w:b/>
          <w:color w:val="000000"/>
          <w:kern w:val="12"/>
          <w:szCs w:val="21"/>
        </w:rPr>
        <w:t>标</w:t>
      </w:r>
      <w:r>
        <w:rPr>
          <w:rFonts w:hint="eastAsia" w:ascii="宋体" w:hAnsi="宋体"/>
          <w:b/>
          <w:color w:val="000000"/>
          <w:kern w:val="12"/>
          <w:szCs w:val="21"/>
        </w:rPr>
        <w:t>的，</w:t>
      </w:r>
      <w:r>
        <w:rPr>
          <w:rFonts w:ascii="宋体" w:hAnsi="宋体"/>
          <w:b/>
          <w:color w:val="000000"/>
          <w:kern w:val="12"/>
          <w:szCs w:val="21"/>
        </w:rPr>
        <w:t>仅须</w:t>
      </w:r>
      <w:r>
        <w:rPr>
          <w:rFonts w:hint="eastAsia" w:ascii="宋体" w:hAnsi="宋体"/>
          <w:b/>
          <w:color w:val="000000"/>
          <w:kern w:val="12"/>
          <w:szCs w:val="21"/>
        </w:rPr>
        <w:t>出具此</w:t>
      </w:r>
      <w:r>
        <w:rPr>
          <w:rFonts w:ascii="宋体" w:hAnsi="宋体"/>
          <w:b/>
          <w:color w:val="000000"/>
          <w:kern w:val="12"/>
          <w:szCs w:val="21"/>
        </w:rPr>
        <w:t>证</w:t>
      </w:r>
      <w:r>
        <w:rPr>
          <w:rFonts w:hint="eastAsia" w:ascii="宋体" w:hAnsi="宋体"/>
          <w:b/>
          <w:color w:val="000000"/>
          <w:kern w:val="12"/>
          <w:szCs w:val="21"/>
        </w:rPr>
        <w:t>明</w:t>
      </w:r>
      <w:r>
        <w:rPr>
          <w:rFonts w:ascii="宋体" w:hAnsi="宋体"/>
          <w:b/>
          <w:color w:val="000000"/>
          <w:kern w:val="12"/>
          <w:szCs w:val="21"/>
        </w:rPr>
        <w:t>书</w:t>
      </w:r>
      <w:r>
        <w:rPr>
          <w:rFonts w:hint="eastAsia" w:ascii="宋体" w:hAnsi="宋体"/>
          <w:b/>
          <w:color w:val="000000"/>
          <w:kern w:val="12"/>
          <w:szCs w:val="21"/>
        </w:rPr>
        <w:t>。</w:t>
      </w:r>
    </w:p>
    <w:p>
      <w:pPr>
        <w:spacing w:line="480" w:lineRule="exact"/>
        <w:rPr>
          <w:rFonts w:ascii="宋体" w:hAnsi="宋体"/>
          <w:b/>
          <w:color w:val="000000"/>
          <w:kern w:val="12"/>
          <w:szCs w:val="21"/>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hint="eastAsia" w:ascii="宋体" w:hAnsi="宋体"/>
          <w:b/>
          <w:color w:val="000000"/>
          <w:sz w:val="24"/>
          <w:szCs w:val="24"/>
        </w:rPr>
      </w:pPr>
      <w:r>
        <w:rPr>
          <w:rFonts w:hint="eastAsia" w:ascii="宋体" w:hAnsi="宋体"/>
          <w:b/>
          <w:color w:val="000000"/>
          <w:sz w:val="24"/>
          <w:szCs w:val="24"/>
        </w:rPr>
        <w:t xml:space="preserve">格式1-4    </w:t>
      </w:r>
    </w:p>
    <w:p>
      <w:pPr>
        <w:spacing w:line="480" w:lineRule="exact"/>
        <w:jc w:val="center"/>
        <w:rPr>
          <w:rFonts w:ascii="宋体" w:hAnsi="宋体"/>
          <w:b/>
          <w:bCs/>
          <w:color w:val="000000"/>
          <w:sz w:val="36"/>
          <w:szCs w:val="36"/>
        </w:rPr>
      </w:pPr>
      <w:r>
        <w:rPr>
          <w:rFonts w:hint="eastAsia" w:ascii="宋体" w:hAnsi="宋体"/>
          <w:b/>
          <w:bCs/>
          <w:color w:val="000000"/>
          <w:sz w:val="36"/>
          <w:szCs w:val="36"/>
        </w:rPr>
        <w:t>法定代表人授</w:t>
      </w:r>
      <w:r>
        <w:rPr>
          <w:rFonts w:ascii="宋体" w:hAnsi="宋体"/>
          <w:b/>
          <w:bCs/>
          <w:color w:val="000000"/>
          <w:sz w:val="36"/>
          <w:szCs w:val="36"/>
        </w:rPr>
        <w:t>权</w:t>
      </w:r>
      <w:r>
        <w:rPr>
          <w:rFonts w:hint="eastAsia" w:ascii="宋体" w:hAnsi="宋体"/>
          <w:b/>
          <w:bCs/>
          <w:color w:val="000000"/>
          <w:sz w:val="36"/>
          <w:szCs w:val="36"/>
        </w:rPr>
        <w:t>委托</w:t>
      </w:r>
      <w:r>
        <w:rPr>
          <w:rFonts w:ascii="宋体" w:hAnsi="宋体"/>
          <w:b/>
          <w:bCs/>
          <w:color w:val="000000"/>
          <w:sz w:val="36"/>
          <w:szCs w:val="36"/>
        </w:rPr>
        <w:t>书</w:t>
      </w:r>
    </w:p>
    <w:p>
      <w:pPr>
        <w:spacing w:line="360" w:lineRule="auto"/>
        <w:rPr>
          <w:rFonts w:ascii="宋体" w:hAnsi="宋体" w:cs="Arial"/>
          <w:color w:val="000000"/>
          <w:sz w:val="24"/>
          <w:szCs w:val="24"/>
        </w:rPr>
      </w:pPr>
    </w:p>
    <w:p>
      <w:pPr>
        <w:spacing w:line="360" w:lineRule="auto"/>
        <w:ind w:firstLine="420" w:firstLineChars="200"/>
        <w:rPr>
          <w:rFonts w:hint="eastAsia" w:ascii="宋体" w:hAnsi="宋体" w:eastAsia="宋体" w:cs="Arial"/>
          <w:color w:val="000000"/>
          <w:szCs w:val="21"/>
          <w:lang w:eastAsia="zh-CN"/>
        </w:rPr>
      </w:pPr>
      <w:r>
        <w:rPr>
          <w:rFonts w:hint="eastAsia" w:ascii="宋体" w:hAnsi="宋体" w:cs="Arial"/>
          <w:color w:val="000000"/>
          <w:szCs w:val="21"/>
        </w:rPr>
        <w:t>本授</w:t>
      </w:r>
      <w:r>
        <w:rPr>
          <w:rFonts w:ascii="宋体" w:hAnsi="宋体" w:cs="Arial"/>
          <w:color w:val="000000"/>
          <w:szCs w:val="21"/>
        </w:rPr>
        <w:t>权书声</w:t>
      </w:r>
      <w:r>
        <w:rPr>
          <w:rFonts w:hint="eastAsia" w:ascii="宋体" w:hAnsi="宋体" w:cs="Arial"/>
          <w:color w:val="000000"/>
          <w:szCs w:val="21"/>
        </w:rPr>
        <w:t>明：注</w:t>
      </w:r>
      <w:r>
        <w:rPr>
          <w:rFonts w:ascii="宋体" w:hAnsi="宋体" w:cs="Arial"/>
          <w:color w:val="000000"/>
          <w:szCs w:val="21"/>
        </w:rPr>
        <w:t>册</w:t>
      </w:r>
      <w:r>
        <w:rPr>
          <w:rFonts w:hint="eastAsia" w:ascii="宋体" w:hAnsi="宋体" w:cs="Arial"/>
          <w:color w:val="000000"/>
          <w:szCs w:val="21"/>
        </w:rPr>
        <w:t>于</w:t>
      </w:r>
      <w:r>
        <w:rPr>
          <w:rFonts w:ascii="宋体" w:hAnsi="宋体" w:cs="Arial"/>
          <w:color w:val="000000"/>
          <w:szCs w:val="21"/>
          <w:u w:val="single"/>
        </w:rPr>
        <w:t xml:space="preserve">           </w:t>
      </w:r>
      <w:r>
        <w:rPr>
          <w:rFonts w:hint="eastAsia" w:ascii="宋体" w:hAnsi="宋体" w:cs="Arial"/>
          <w:color w:val="000000"/>
          <w:szCs w:val="21"/>
        </w:rPr>
        <w:t>（注</w:t>
      </w:r>
      <w:r>
        <w:rPr>
          <w:rFonts w:ascii="宋体" w:hAnsi="宋体" w:cs="Arial"/>
          <w:color w:val="000000"/>
          <w:szCs w:val="21"/>
        </w:rPr>
        <w:t>册</w:t>
      </w:r>
      <w:r>
        <w:rPr>
          <w:rFonts w:hint="eastAsia" w:ascii="宋体" w:hAnsi="宋体" w:cs="Arial"/>
          <w:color w:val="000000"/>
          <w:szCs w:val="21"/>
        </w:rPr>
        <w:t>地</w:t>
      </w:r>
      <w:r>
        <w:rPr>
          <w:rFonts w:ascii="宋体" w:hAnsi="宋体" w:cs="Arial"/>
          <w:color w:val="000000"/>
          <w:szCs w:val="21"/>
        </w:rPr>
        <w:t>点</w:t>
      </w:r>
      <w:r>
        <w:rPr>
          <w:rFonts w:hint="eastAsia" w:ascii="宋体" w:hAnsi="宋体" w:cs="Arial"/>
          <w:color w:val="000000"/>
          <w:szCs w:val="21"/>
        </w:rPr>
        <w:t>）的</w:t>
      </w:r>
      <w:r>
        <w:rPr>
          <w:rFonts w:ascii="宋体" w:hAnsi="宋体" w:cs="Arial"/>
          <w:color w:val="000000"/>
          <w:szCs w:val="21"/>
          <w:u w:val="single"/>
        </w:rPr>
        <w:t xml:space="preserve">           </w:t>
      </w:r>
      <w:r>
        <w:rPr>
          <w:rFonts w:hint="eastAsia" w:ascii="宋体" w:hAnsi="宋体" w:cs="Arial"/>
          <w:color w:val="000000"/>
          <w:szCs w:val="21"/>
        </w:rPr>
        <w:t>（投</w:t>
      </w:r>
      <w:r>
        <w:rPr>
          <w:rFonts w:ascii="宋体" w:hAnsi="宋体" w:cs="Arial"/>
          <w:color w:val="000000"/>
          <w:szCs w:val="21"/>
        </w:rPr>
        <w:t>标</w:t>
      </w:r>
      <w:r>
        <w:rPr>
          <w:rFonts w:hint="eastAsia" w:ascii="宋体" w:hAnsi="宋体" w:cs="Arial"/>
          <w:color w:val="000000"/>
          <w:szCs w:val="21"/>
        </w:rPr>
        <w:t>人名</w:t>
      </w:r>
      <w:r>
        <w:rPr>
          <w:rFonts w:ascii="宋体" w:hAnsi="宋体" w:cs="Arial"/>
          <w:color w:val="000000"/>
          <w:szCs w:val="21"/>
        </w:rPr>
        <w:t>称）</w:t>
      </w:r>
      <w:r>
        <w:rPr>
          <w:rFonts w:hint="eastAsia" w:ascii="宋体" w:hAnsi="宋体" w:cs="Arial"/>
          <w:color w:val="000000"/>
          <w:szCs w:val="21"/>
        </w:rPr>
        <w:t>的</w:t>
      </w:r>
      <w:r>
        <w:rPr>
          <w:rFonts w:ascii="宋体" w:hAnsi="宋体" w:cs="Arial"/>
          <w:color w:val="000000"/>
          <w:szCs w:val="21"/>
          <w:u w:val="single"/>
        </w:rPr>
        <w:t xml:space="preserve">           </w:t>
      </w:r>
      <w:r>
        <w:rPr>
          <w:rFonts w:hint="eastAsia" w:ascii="宋体" w:hAnsi="宋体" w:cs="Arial"/>
          <w:color w:val="000000"/>
          <w:szCs w:val="21"/>
        </w:rPr>
        <w:t>（法定代表人姓名与</w:t>
      </w:r>
      <w:r>
        <w:rPr>
          <w:rFonts w:ascii="宋体" w:hAnsi="宋体" w:cs="Arial"/>
          <w:color w:val="000000"/>
          <w:szCs w:val="21"/>
        </w:rPr>
        <w:t>职务）</w:t>
      </w:r>
      <w:r>
        <w:rPr>
          <w:rFonts w:hint="eastAsia" w:ascii="宋体" w:hAnsi="宋体" w:cs="Arial"/>
          <w:color w:val="000000"/>
          <w:szCs w:val="21"/>
        </w:rPr>
        <w:t>代表本公司授</w:t>
      </w:r>
      <w:r>
        <w:rPr>
          <w:rFonts w:ascii="宋体" w:hAnsi="宋体" w:cs="Arial"/>
          <w:color w:val="000000"/>
          <w:szCs w:val="21"/>
        </w:rPr>
        <w:t>权</w:t>
      </w:r>
      <w:r>
        <w:rPr>
          <w:rFonts w:ascii="宋体" w:hAnsi="宋体" w:cs="Arial"/>
          <w:color w:val="000000"/>
          <w:szCs w:val="21"/>
          <w:u w:val="single"/>
        </w:rPr>
        <w:t xml:space="preserve">           </w:t>
      </w:r>
      <w:r>
        <w:rPr>
          <w:rFonts w:hint="eastAsia" w:ascii="宋体" w:hAnsi="宋体" w:cs="Arial"/>
          <w:color w:val="000000"/>
          <w:szCs w:val="21"/>
        </w:rPr>
        <w:t>（</w:t>
      </w:r>
      <w:r>
        <w:rPr>
          <w:rFonts w:ascii="宋体" w:hAnsi="宋体" w:cs="Arial"/>
          <w:color w:val="000000"/>
          <w:szCs w:val="21"/>
        </w:rPr>
        <w:t>单</w:t>
      </w:r>
      <w:r>
        <w:rPr>
          <w:rFonts w:hint="eastAsia" w:ascii="宋体" w:hAnsi="宋体" w:cs="Arial"/>
          <w:color w:val="000000"/>
          <w:szCs w:val="21"/>
        </w:rPr>
        <w:t>位名</w:t>
      </w:r>
      <w:r>
        <w:rPr>
          <w:rFonts w:ascii="宋体" w:hAnsi="宋体" w:cs="Arial"/>
          <w:color w:val="000000"/>
          <w:szCs w:val="21"/>
        </w:rPr>
        <w:t>称）</w:t>
      </w:r>
      <w:r>
        <w:rPr>
          <w:rFonts w:hint="eastAsia" w:ascii="宋体" w:hAnsi="宋体" w:cs="Arial"/>
          <w:color w:val="000000"/>
          <w:szCs w:val="21"/>
        </w:rPr>
        <w:t>的</w:t>
      </w:r>
      <w:r>
        <w:rPr>
          <w:rFonts w:ascii="宋体" w:hAnsi="宋体" w:cs="Arial"/>
          <w:color w:val="000000"/>
          <w:szCs w:val="21"/>
          <w:u w:val="single"/>
        </w:rPr>
        <w:t xml:space="preserve">           </w:t>
      </w:r>
      <w:r>
        <w:rPr>
          <w:rFonts w:hint="eastAsia" w:ascii="宋体" w:hAnsi="宋体" w:cs="Arial"/>
          <w:color w:val="000000"/>
          <w:szCs w:val="21"/>
        </w:rPr>
        <w:t>（被授</w:t>
      </w:r>
      <w:r>
        <w:rPr>
          <w:rFonts w:ascii="宋体" w:hAnsi="宋体" w:cs="Arial"/>
          <w:color w:val="000000"/>
          <w:szCs w:val="21"/>
        </w:rPr>
        <w:t>权人</w:t>
      </w:r>
      <w:r>
        <w:rPr>
          <w:rFonts w:hint="eastAsia" w:ascii="宋体" w:hAnsi="宋体" w:cs="Arial"/>
          <w:color w:val="000000"/>
          <w:szCs w:val="21"/>
        </w:rPr>
        <w:t>的姓名与</w:t>
      </w:r>
      <w:r>
        <w:rPr>
          <w:rFonts w:ascii="宋体" w:hAnsi="宋体" w:cs="Arial"/>
          <w:color w:val="000000"/>
          <w:szCs w:val="21"/>
        </w:rPr>
        <w:t>职务）为</w:t>
      </w:r>
      <w:r>
        <w:rPr>
          <w:rFonts w:hint="eastAsia" w:ascii="宋体" w:hAnsi="宋体" w:cs="Arial"/>
          <w:color w:val="000000"/>
          <w:szCs w:val="21"/>
        </w:rPr>
        <w:t>本公司的合法代理人，</w:t>
      </w:r>
      <w:r>
        <w:rPr>
          <w:rFonts w:hint="eastAsia" w:ascii="宋体" w:hAnsi="宋体"/>
          <w:color w:val="000000"/>
          <w:szCs w:val="21"/>
        </w:rPr>
        <w:t>就</w:t>
      </w:r>
      <w:r>
        <w:rPr>
          <w:rFonts w:ascii="宋体" w:hAnsi="宋体"/>
          <w:color w:val="000000"/>
          <w:szCs w:val="21"/>
        </w:rPr>
        <w:t>参</w:t>
      </w:r>
      <w:r>
        <w:rPr>
          <w:rFonts w:hint="eastAsia" w:ascii="宋体" w:hAnsi="宋体"/>
          <w:color w:val="000000"/>
          <w:szCs w:val="21"/>
        </w:rPr>
        <w:t>加你中心</w:t>
      </w:r>
      <w:r>
        <w:rPr>
          <w:rFonts w:ascii="宋体" w:hAnsi="宋体"/>
          <w:color w:val="000000"/>
          <w:szCs w:val="21"/>
        </w:rPr>
        <w:t>组织的</w:t>
      </w:r>
      <w:r>
        <w:rPr>
          <w:rFonts w:hint="eastAsia" w:ascii="宋体" w:hAnsi="宋体"/>
          <w:color w:val="000000"/>
          <w:szCs w:val="21"/>
        </w:rPr>
        <w:t>招</w:t>
      </w:r>
      <w:r>
        <w:rPr>
          <w:rFonts w:ascii="宋体" w:hAnsi="宋体"/>
          <w:color w:val="000000"/>
          <w:szCs w:val="21"/>
        </w:rPr>
        <w:t>标编号为</w:t>
      </w:r>
      <w:r>
        <w:rPr>
          <w:rFonts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项目编号</w:t>
      </w:r>
      <w:r>
        <w:rPr>
          <w:rFonts w:hint="eastAsia" w:ascii="宋体" w:hAnsi="宋体"/>
          <w:color w:val="000000"/>
          <w:szCs w:val="21"/>
        </w:rPr>
        <w:t>）的</w:t>
      </w:r>
      <w:r>
        <w:rPr>
          <w:rFonts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项目</w:t>
      </w:r>
      <w:r>
        <w:rPr>
          <w:rFonts w:hint="eastAsia" w:ascii="宋体" w:hAnsi="宋体"/>
          <w:color w:val="000000"/>
          <w:szCs w:val="21"/>
        </w:rPr>
        <w:t>名</w:t>
      </w:r>
      <w:r>
        <w:rPr>
          <w:rFonts w:ascii="宋体" w:hAnsi="宋体"/>
          <w:color w:val="000000"/>
          <w:szCs w:val="21"/>
        </w:rPr>
        <w:t>称）</w:t>
      </w:r>
      <w:r>
        <w:rPr>
          <w:rFonts w:hint="eastAsia" w:ascii="宋体" w:hAnsi="宋体"/>
          <w:color w:val="000000"/>
          <w:szCs w:val="21"/>
        </w:rPr>
        <w:t>公</w:t>
      </w:r>
      <w:r>
        <w:rPr>
          <w:rFonts w:ascii="宋体" w:hAnsi="宋体"/>
          <w:color w:val="000000"/>
          <w:szCs w:val="21"/>
        </w:rPr>
        <w:t>开</w:t>
      </w:r>
      <w:r>
        <w:rPr>
          <w:rFonts w:hint="eastAsia" w:ascii="宋体" w:hAnsi="宋体"/>
          <w:color w:val="000000"/>
          <w:szCs w:val="21"/>
        </w:rPr>
        <w:t>招</w:t>
      </w:r>
      <w:r>
        <w:rPr>
          <w:rFonts w:ascii="宋体" w:hAnsi="宋体"/>
          <w:color w:val="000000"/>
          <w:szCs w:val="21"/>
        </w:rPr>
        <w:t>标项</w:t>
      </w:r>
      <w:r>
        <w:rPr>
          <w:rFonts w:hint="eastAsia" w:ascii="宋体" w:hAnsi="宋体"/>
          <w:color w:val="000000"/>
          <w:szCs w:val="21"/>
        </w:rPr>
        <w:t>目的投</w:t>
      </w:r>
      <w:r>
        <w:rPr>
          <w:rFonts w:ascii="宋体" w:hAnsi="宋体"/>
          <w:color w:val="000000"/>
          <w:szCs w:val="21"/>
        </w:rPr>
        <w:t>标报价、签订</w:t>
      </w:r>
      <w:r>
        <w:rPr>
          <w:rFonts w:hint="eastAsia" w:ascii="宋体" w:hAnsi="宋体" w:cs="Arial"/>
          <w:color w:val="000000"/>
          <w:szCs w:val="21"/>
        </w:rPr>
        <w:t>合同以及合同的</w:t>
      </w:r>
      <w:r>
        <w:rPr>
          <w:rFonts w:ascii="宋体" w:hAnsi="宋体" w:cs="Arial"/>
          <w:color w:val="000000"/>
          <w:szCs w:val="21"/>
        </w:rPr>
        <w:t>执</w:t>
      </w:r>
      <w:r>
        <w:rPr>
          <w:rFonts w:hint="eastAsia" w:ascii="宋体" w:hAnsi="宋体" w:cs="Arial"/>
          <w:color w:val="000000"/>
          <w:szCs w:val="21"/>
        </w:rPr>
        <w:t>行、完成和服</w:t>
      </w:r>
      <w:r>
        <w:rPr>
          <w:rFonts w:ascii="宋体" w:hAnsi="宋体" w:cs="Arial"/>
          <w:color w:val="000000"/>
          <w:szCs w:val="21"/>
        </w:rPr>
        <w:t>务</w:t>
      </w:r>
      <w:r>
        <w:rPr>
          <w:rFonts w:hint="eastAsia" w:ascii="宋体" w:hAnsi="宋体" w:cs="Arial"/>
          <w:color w:val="000000"/>
          <w:szCs w:val="21"/>
        </w:rPr>
        <w:t>，以本公司名</w:t>
      </w:r>
      <w:r>
        <w:rPr>
          <w:rFonts w:ascii="宋体" w:hAnsi="宋体" w:cs="Arial"/>
          <w:color w:val="000000"/>
          <w:szCs w:val="21"/>
        </w:rPr>
        <w:t>义处</w:t>
      </w:r>
      <w:r>
        <w:rPr>
          <w:rFonts w:hint="eastAsia" w:ascii="宋体" w:hAnsi="宋体" w:cs="Arial"/>
          <w:color w:val="000000"/>
          <w:szCs w:val="21"/>
        </w:rPr>
        <w:t>理一切与之有</w:t>
      </w:r>
      <w:r>
        <w:rPr>
          <w:rFonts w:ascii="宋体" w:hAnsi="宋体" w:cs="Arial"/>
          <w:color w:val="000000"/>
          <w:szCs w:val="21"/>
        </w:rPr>
        <w:t>关的</w:t>
      </w:r>
      <w:r>
        <w:rPr>
          <w:rFonts w:hint="eastAsia" w:ascii="宋体" w:hAnsi="宋体" w:cs="Arial"/>
          <w:color w:val="000000"/>
          <w:szCs w:val="21"/>
        </w:rPr>
        <w:t>事</w:t>
      </w:r>
      <w:r>
        <w:rPr>
          <w:rFonts w:ascii="宋体" w:hAnsi="宋体" w:cs="Arial"/>
          <w:color w:val="000000"/>
          <w:szCs w:val="21"/>
        </w:rPr>
        <w:t>务</w:t>
      </w:r>
      <w:r>
        <w:rPr>
          <w:rFonts w:hint="eastAsia" w:ascii="宋体" w:hAnsi="宋体" w:cs="Arial"/>
          <w:color w:val="000000"/>
          <w:szCs w:val="21"/>
        </w:rPr>
        <w:t>。</w:t>
      </w:r>
      <w:r>
        <w:rPr>
          <w:rFonts w:hint="eastAsia" w:ascii="宋体" w:hAnsi="宋体" w:cs="Arial"/>
          <w:color w:val="000000"/>
          <w:szCs w:val="21"/>
          <w:lang w:eastAsia="zh-CN"/>
        </w:rPr>
        <w:t>本企业为</w:t>
      </w:r>
      <w:r>
        <w:rPr>
          <w:rFonts w:ascii="宋体" w:hAnsi="宋体" w:cs="Arial"/>
          <w:color w:val="000000"/>
          <w:szCs w:val="21"/>
          <w:u w:val="single"/>
        </w:rPr>
        <w:t xml:space="preserve">         </w:t>
      </w:r>
      <w:r>
        <w:rPr>
          <w:rFonts w:hint="eastAsia" w:ascii="宋体" w:hAnsi="宋体" w:cs="Arial"/>
          <w:color w:val="000000"/>
          <w:szCs w:val="21"/>
          <w:u w:val="none"/>
          <w:lang w:eastAsia="zh-CN"/>
        </w:rPr>
        <w:t>企业</w:t>
      </w:r>
      <w:r>
        <w:rPr>
          <w:rFonts w:hint="eastAsia" w:ascii="宋体" w:hAnsi="宋体" w:cs="Arial"/>
          <w:color w:val="000000"/>
          <w:szCs w:val="21"/>
        </w:rPr>
        <w:t>（</w:t>
      </w:r>
      <w:r>
        <w:rPr>
          <w:rFonts w:hint="eastAsia" w:ascii="宋体" w:hAnsi="宋体" w:cs="Arial"/>
          <w:color w:val="000000"/>
          <w:szCs w:val="21"/>
          <w:lang w:eastAsia="zh-CN"/>
        </w:rPr>
        <w:t>微型、小型、中型、大型）。</w:t>
      </w:r>
    </w:p>
    <w:p>
      <w:pPr>
        <w:spacing w:line="360" w:lineRule="auto"/>
        <w:ind w:firstLine="420" w:firstLineChars="200"/>
        <w:rPr>
          <w:rFonts w:ascii="宋体" w:hAnsi="宋体" w:cs="Arial"/>
          <w:color w:val="000000"/>
          <w:szCs w:val="21"/>
        </w:rPr>
      </w:pPr>
      <w:r>
        <w:rPr>
          <w:rFonts w:hint="eastAsia" w:ascii="宋体" w:hAnsi="宋体" w:cs="Arial"/>
          <w:color w:val="000000"/>
          <w:szCs w:val="21"/>
        </w:rPr>
        <w:t>本授</w:t>
      </w:r>
      <w:r>
        <w:rPr>
          <w:rFonts w:ascii="宋体" w:hAnsi="宋体" w:cs="Arial"/>
          <w:color w:val="000000"/>
          <w:szCs w:val="21"/>
        </w:rPr>
        <w:t>权书</w:t>
      </w:r>
      <w:r>
        <w:rPr>
          <w:rFonts w:hint="eastAsia" w:ascii="宋体" w:hAnsi="宋体" w:cs="Arial"/>
          <w:color w:val="000000"/>
          <w:szCs w:val="21"/>
        </w:rPr>
        <w:t>于</w:t>
      </w:r>
      <w:r>
        <w:rPr>
          <w:rFonts w:ascii="宋体" w:hAnsi="宋体" w:cs="Arial"/>
          <w:color w:val="000000"/>
          <w:szCs w:val="21"/>
          <w:u w:val="single"/>
        </w:rPr>
        <w:t xml:space="preserve">        </w:t>
      </w:r>
      <w:r>
        <w:rPr>
          <w:rFonts w:hint="eastAsia" w:ascii="宋体" w:hAnsi="宋体" w:cs="Arial"/>
          <w:color w:val="000000"/>
          <w:szCs w:val="21"/>
        </w:rPr>
        <w:t>年</w:t>
      </w:r>
      <w:r>
        <w:rPr>
          <w:rFonts w:ascii="宋体" w:hAnsi="宋体" w:cs="Arial"/>
          <w:color w:val="000000"/>
          <w:szCs w:val="21"/>
          <w:u w:val="single"/>
        </w:rPr>
        <w:t xml:space="preserve">      </w:t>
      </w:r>
      <w:r>
        <w:rPr>
          <w:rFonts w:hint="eastAsia" w:ascii="宋体" w:hAnsi="宋体" w:cs="Arial"/>
          <w:color w:val="000000"/>
          <w:szCs w:val="21"/>
        </w:rPr>
        <w:t>月</w:t>
      </w:r>
      <w:r>
        <w:rPr>
          <w:rFonts w:ascii="宋体" w:hAnsi="宋体" w:cs="Arial"/>
          <w:color w:val="000000"/>
          <w:szCs w:val="21"/>
          <w:u w:val="single"/>
        </w:rPr>
        <w:t xml:space="preserve">      </w:t>
      </w:r>
      <w:r>
        <w:rPr>
          <w:rFonts w:ascii="宋体" w:hAnsi="宋体" w:cs="Arial"/>
          <w:color w:val="000000"/>
          <w:szCs w:val="21"/>
        </w:rPr>
        <w:t>日</w:t>
      </w:r>
      <w:r>
        <w:rPr>
          <w:rFonts w:hint="eastAsia" w:ascii="宋体" w:hAnsi="宋体" w:cs="Arial"/>
          <w:color w:val="000000"/>
          <w:szCs w:val="21"/>
        </w:rPr>
        <w:t>生效，</w:t>
      </w:r>
      <w:r>
        <w:rPr>
          <w:rFonts w:ascii="宋体" w:hAnsi="宋体" w:cs="Arial"/>
          <w:color w:val="000000"/>
          <w:szCs w:val="21"/>
        </w:rPr>
        <w:t>无转</w:t>
      </w:r>
      <w:r>
        <w:rPr>
          <w:rFonts w:hint="eastAsia" w:ascii="宋体" w:hAnsi="宋体" w:cs="Arial"/>
          <w:color w:val="000000"/>
          <w:szCs w:val="21"/>
        </w:rPr>
        <w:t>委</w:t>
      </w:r>
      <w:r>
        <w:rPr>
          <w:rFonts w:ascii="宋体" w:hAnsi="宋体" w:cs="Arial"/>
          <w:color w:val="000000"/>
          <w:szCs w:val="21"/>
        </w:rPr>
        <w:t>权</w:t>
      </w:r>
      <w:r>
        <w:rPr>
          <w:rFonts w:hint="eastAsia" w:ascii="宋体" w:hAnsi="宋体" w:cs="Arial"/>
          <w:color w:val="000000"/>
          <w:szCs w:val="21"/>
        </w:rPr>
        <w:t>，特此</w:t>
      </w:r>
      <w:r>
        <w:rPr>
          <w:rFonts w:ascii="宋体" w:hAnsi="宋体" w:cs="Arial"/>
          <w:color w:val="000000"/>
          <w:szCs w:val="21"/>
        </w:rPr>
        <w:t>声</w:t>
      </w:r>
      <w:r>
        <w:rPr>
          <w:rFonts w:hint="eastAsia" w:ascii="宋体" w:hAnsi="宋体" w:cs="Arial"/>
          <w:color w:val="000000"/>
          <w:szCs w:val="21"/>
        </w:rPr>
        <w:t>明。</w:t>
      </w:r>
    </w:p>
    <w:p>
      <w:pPr>
        <w:spacing w:line="360" w:lineRule="auto"/>
        <w:rPr>
          <w:rFonts w:ascii="宋体" w:hAnsi="宋体" w:cs="Arial"/>
          <w:color w:val="000000"/>
          <w:szCs w:val="21"/>
        </w:rPr>
      </w:pPr>
    </w:p>
    <w:p>
      <w:pPr>
        <w:pStyle w:val="2"/>
        <w:spacing w:after="0" w:line="360" w:lineRule="auto"/>
        <w:ind w:firstLine="420" w:firstLineChars="200"/>
        <w:rPr>
          <w:rFonts w:ascii="宋体" w:hAnsi="宋体" w:cs="Arial"/>
          <w:color w:val="000000"/>
          <w:szCs w:val="21"/>
          <w:u w:val="single"/>
        </w:rPr>
      </w:pPr>
      <w:r>
        <w:rPr>
          <w:rFonts w:hint="eastAsia" w:ascii="宋体" w:hAnsi="宋体" w:cs="Arial"/>
          <w:color w:val="000000"/>
          <w:szCs w:val="21"/>
        </w:rPr>
        <w:t>代理人：</w:t>
      </w:r>
      <w:r>
        <w:rPr>
          <w:rFonts w:ascii="宋体" w:hAnsi="宋体" w:cs="Arial"/>
          <w:color w:val="000000"/>
          <w:szCs w:val="21"/>
          <w:u w:val="single"/>
        </w:rPr>
        <w:t xml:space="preserve">                  </w:t>
      </w:r>
      <w:r>
        <w:rPr>
          <w:rFonts w:ascii="宋体" w:hAnsi="宋体" w:cs="Arial"/>
          <w:color w:val="000000"/>
          <w:szCs w:val="21"/>
        </w:rPr>
        <w:t xml:space="preserve"> </w:t>
      </w:r>
      <w:r>
        <w:rPr>
          <w:rFonts w:hint="eastAsia" w:ascii="宋体" w:hAnsi="宋体" w:cs="Arial"/>
          <w:color w:val="000000"/>
          <w:szCs w:val="21"/>
        </w:rPr>
        <w:t>性</w:t>
      </w:r>
      <w:r>
        <w:rPr>
          <w:rFonts w:ascii="宋体" w:hAnsi="宋体" w:cs="Arial"/>
          <w:color w:val="000000"/>
          <w:szCs w:val="21"/>
        </w:rPr>
        <w:t>别</w:t>
      </w:r>
      <w:r>
        <w:rPr>
          <w:rFonts w:hint="eastAsia" w:ascii="宋体" w:hAnsi="宋体" w:cs="Arial"/>
          <w:color w:val="000000"/>
          <w:szCs w:val="21"/>
        </w:rPr>
        <w:t>：</w:t>
      </w:r>
      <w:r>
        <w:rPr>
          <w:rFonts w:ascii="宋体" w:hAnsi="宋体" w:cs="Arial"/>
          <w:color w:val="000000"/>
          <w:szCs w:val="21"/>
          <w:u w:val="single"/>
        </w:rPr>
        <w:t xml:space="preserve">         </w:t>
      </w:r>
      <w:r>
        <w:rPr>
          <w:rFonts w:hint="eastAsia" w:ascii="宋体" w:hAnsi="宋体" w:cs="Arial"/>
          <w:color w:val="000000"/>
          <w:szCs w:val="21"/>
        </w:rPr>
        <w:t>年</w:t>
      </w:r>
      <w:r>
        <w:rPr>
          <w:rFonts w:ascii="宋体" w:hAnsi="宋体" w:cs="Arial"/>
          <w:color w:val="000000"/>
          <w:szCs w:val="21"/>
        </w:rPr>
        <w:t>龄</w:t>
      </w:r>
      <w:r>
        <w:rPr>
          <w:rFonts w:hint="eastAsia" w:ascii="宋体" w:hAnsi="宋体" w:cs="Arial"/>
          <w:color w:val="000000"/>
          <w:szCs w:val="21"/>
        </w:rPr>
        <w:t>：</w:t>
      </w:r>
      <w:r>
        <w:rPr>
          <w:rFonts w:ascii="宋体" w:hAnsi="宋体" w:cs="Arial"/>
          <w:color w:val="000000"/>
          <w:szCs w:val="21"/>
          <w:u w:val="single"/>
        </w:rPr>
        <w:t xml:space="preserve">           </w:t>
      </w:r>
      <w:r>
        <w:rPr>
          <w:rFonts w:hint="eastAsia" w:ascii="宋体" w:hAnsi="宋体" w:cs="Arial"/>
          <w:color w:val="000000"/>
          <w:szCs w:val="21"/>
        </w:rPr>
        <w:t>。</w:t>
      </w:r>
    </w:p>
    <w:p>
      <w:pPr>
        <w:pStyle w:val="2"/>
        <w:spacing w:after="0" w:line="360" w:lineRule="auto"/>
        <w:ind w:firstLine="420" w:firstLineChars="200"/>
        <w:rPr>
          <w:rFonts w:ascii="宋体" w:hAnsi="宋体" w:cs="Arial"/>
          <w:color w:val="000000"/>
          <w:szCs w:val="21"/>
        </w:rPr>
      </w:pPr>
      <w:r>
        <w:rPr>
          <w:rFonts w:ascii="宋体" w:hAnsi="宋体" w:cs="Arial"/>
          <w:color w:val="000000"/>
          <w:szCs w:val="21"/>
        </w:rPr>
        <w:t xml:space="preserve">单  </w:t>
      </w:r>
      <w:r>
        <w:rPr>
          <w:rFonts w:hint="eastAsia" w:ascii="宋体" w:hAnsi="宋体" w:cs="Arial"/>
          <w:color w:val="000000"/>
          <w:szCs w:val="21"/>
        </w:rPr>
        <w:t>位：</w:t>
      </w:r>
      <w:r>
        <w:rPr>
          <w:rFonts w:ascii="宋体" w:hAnsi="宋体" w:cs="Arial"/>
          <w:color w:val="000000"/>
          <w:szCs w:val="21"/>
          <w:u w:val="single"/>
        </w:rPr>
        <w:t xml:space="preserve">                  </w:t>
      </w:r>
      <w:r>
        <w:rPr>
          <w:rFonts w:ascii="宋体" w:hAnsi="宋体" w:cs="Arial"/>
          <w:color w:val="000000"/>
          <w:szCs w:val="21"/>
        </w:rPr>
        <w:t xml:space="preserve"> 部门</w:t>
      </w:r>
      <w:r>
        <w:rPr>
          <w:rFonts w:hint="eastAsia" w:ascii="宋体" w:hAnsi="宋体" w:cs="Arial"/>
          <w:color w:val="000000"/>
          <w:szCs w:val="21"/>
        </w:rPr>
        <w:t>：</w:t>
      </w:r>
      <w:r>
        <w:rPr>
          <w:rFonts w:ascii="宋体" w:hAnsi="宋体" w:cs="Arial"/>
          <w:color w:val="000000"/>
          <w:szCs w:val="21"/>
          <w:u w:val="single"/>
        </w:rPr>
        <w:t xml:space="preserve">         </w:t>
      </w:r>
      <w:r>
        <w:rPr>
          <w:rFonts w:ascii="宋体" w:hAnsi="宋体" w:cs="Arial"/>
          <w:color w:val="000000"/>
          <w:szCs w:val="21"/>
        </w:rPr>
        <w:t>职务</w:t>
      </w:r>
      <w:r>
        <w:rPr>
          <w:rFonts w:hint="eastAsia" w:ascii="宋体" w:hAnsi="宋体" w:cs="Arial"/>
          <w:color w:val="000000"/>
          <w:szCs w:val="21"/>
        </w:rPr>
        <w:t>：</w:t>
      </w:r>
      <w:r>
        <w:rPr>
          <w:rFonts w:ascii="宋体" w:hAnsi="宋体" w:cs="Arial"/>
          <w:color w:val="000000"/>
          <w:szCs w:val="21"/>
          <w:u w:val="single"/>
        </w:rPr>
        <w:t xml:space="preserve">           </w:t>
      </w:r>
      <w:r>
        <w:rPr>
          <w:rFonts w:hint="eastAsia" w:ascii="宋体" w:hAnsi="宋体" w:cs="Arial"/>
          <w:color w:val="000000"/>
          <w:szCs w:val="21"/>
        </w:rPr>
        <w:t>。</w:t>
      </w:r>
    </w:p>
    <w:p>
      <w:pPr>
        <w:pStyle w:val="2"/>
        <w:spacing w:after="0" w:line="360" w:lineRule="auto"/>
        <w:ind w:firstLine="420" w:firstLineChars="200"/>
        <w:rPr>
          <w:rFonts w:ascii="宋体" w:hAnsi="宋体" w:cs="Arial"/>
          <w:color w:val="000000"/>
          <w:szCs w:val="21"/>
          <w:u w:val="single"/>
        </w:rPr>
      </w:pPr>
    </w:p>
    <w:p>
      <w:pPr>
        <w:pStyle w:val="6"/>
        <w:ind w:left="0" w:leftChars="0"/>
        <w:rPr>
          <w:rFonts w:hAnsi="宋体"/>
          <w:b/>
          <w:color w:val="000000"/>
          <w:szCs w:val="24"/>
        </w:rPr>
      </w:pPr>
    </w:p>
    <w:p>
      <w:pPr>
        <w:pStyle w:val="6"/>
        <w:ind w:left="0" w:leftChars="0"/>
        <w:rPr>
          <w:rFonts w:hAnsi="宋体"/>
          <w:b/>
          <w:color w:val="000000"/>
          <w:szCs w:val="24"/>
        </w:rPr>
      </w:pPr>
      <w:r>
        <w:rPr>
          <w:rFonts w:hint="eastAsia" w:hAnsi="宋体"/>
          <w:b/>
          <w:color w:val="000000"/>
          <w:szCs w:val="24"/>
        </w:rPr>
        <w:t>（</w:t>
      </w:r>
      <w:r>
        <w:rPr>
          <w:rFonts w:hAnsi="宋体"/>
          <w:b/>
          <w:color w:val="000000"/>
          <w:szCs w:val="24"/>
        </w:rPr>
        <w:t>※</w:t>
      </w:r>
      <w:r>
        <w:rPr>
          <w:rFonts w:hint="eastAsia" w:hAnsi="宋体"/>
          <w:b/>
          <w:color w:val="000000"/>
          <w:szCs w:val="24"/>
        </w:rPr>
        <w:t>此</w:t>
      </w:r>
      <w:r>
        <w:rPr>
          <w:rFonts w:hAnsi="宋体"/>
          <w:b/>
          <w:color w:val="000000"/>
          <w:szCs w:val="24"/>
        </w:rPr>
        <w:t>处请</w:t>
      </w:r>
      <w:r>
        <w:rPr>
          <w:rFonts w:hint="eastAsia" w:hAnsi="宋体"/>
          <w:b/>
          <w:color w:val="000000"/>
          <w:szCs w:val="24"/>
        </w:rPr>
        <w:t>粘</w:t>
      </w:r>
      <w:r>
        <w:rPr>
          <w:rFonts w:hAnsi="宋体"/>
          <w:b/>
          <w:color w:val="000000"/>
          <w:szCs w:val="24"/>
        </w:rPr>
        <w:t>贴</w:t>
      </w:r>
      <w:r>
        <w:rPr>
          <w:rFonts w:hint="eastAsia" w:hAnsi="宋体"/>
          <w:b/>
          <w:color w:val="000000"/>
          <w:szCs w:val="24"/>
        </w:rPr>
        <w:t>法定代表人和被授</w:t>
      </w:r>
      <w:r>
        <w:rPr>
          <w:rFonts w:hAnsi="宋体"/>
          <w:b/>
          <w:color w:val="000000"/>
          <w:szCs w:val="24"/>
        </w:rPr>
        <w:t>权人</w:t>
      </w:r>
      <w:r>
        <w:rPr>
          <w:rFonts w:hint="eastAsia" w:hAnsi="宋体"/>
          <w:b/>
          <w:color w:val="000000"/>
          <w:szCs w:val="24"/>
        </w:rPr>
        <w:t>身份</w:t>
      </w:r>
      <w:r>
        <w:rPr>
          <w:rFonts w:hAnsi="宋体"/>
          <w:b/>
          <w:color w:val="000000"/>
          <w:szCs w:val="24"/>
        </w:rPr>
        <w:t>证复</w:t>
      </w:r>
      <w:r>
        <w:rPr>
          <w:rFonts w:hint="eastAsia" w:hAnsi="宋体"/>
          <w:b/>
          <w:color w:val="000000"/>
          <w:szCs w:val="24"/>
        </w:rPr>
        <w:t>印件，需清晰反映身份证有效期限</w:t>
      </w:r>
      <w:r>
        <w:rPr>
          <w:rFonts w:hAnsi="宋体"/>
          <w:b/>
          <w:color w:val="000000"/>
          <w:szCs w:val="24"/>
        </w:rPr>
        <w:t>※</w:t>
      </w:r>
      <w:r>
        <w:rPr>
          <w:rFonts w:hint="eastAsia" w:hAnsi="宋体"/>
          <w:b/>
          <w:color w:val="000000"/>
          <w:szCs w:val="24"/>
        </w:rPr>
        <w:t>）</w:t>
      </w:r>
    </w:p>
    <w:p>
      <w:pPr>
        <w:spacing w:line="360" w:lineRule="auto"/>
        <w:rPr>
          <w:rFonts w:ascii="宋体" w:hAnsi="宋体" w:cs="Arial"/>
          <w:color w:val="000000"/>
          <w:sz w:val="24"/>
          <w:szCs w:val="24"/>
        </w:rPr>
      </w:pPr>
    </w:p>
    <w:p>
      <w:pPr>
        <w:spacing w:line="360" w:lineRule="auto"/>
        <w:rPr>
          <w:rFonts w:ascii="宋体" w:hAnsi="宋体" w:cs="Arial"/>
          <w:color w:val="000000"/>
          <w:sz w:val="24"/>
          <w:szCs w:val="24"/>
        </w:rPr>
      </w:pPr>
    </w:p>
    <w:p>
      <w:pPr>
        <w:pStyle w:val="2"/>
        <w:spacing w:after="0" w:line="360" w:lineRule="auto"/>
        <w:ind w:firstLine="420" w:firstLineChars="200"/>
        <w:rPr>
          <w:rFonts w:ascii="宋体" w:hAnsi="宋体" w:cs="Arial"/>
          <w:color w:val="000000"/>
          <w:szCs w:val="24"/>
          <w:u w:val="single"/>
        </w:rPr>
      </w:pPr>
      <w:r>
        <w:rPr>
          <w:rFonts w:hint="eastAsia" w:ascii="宋体" w:hAnsi="宋体" w:cs="Arial"/>
          <w:color w:val="000000"/>
          <w:szCs w:val="24"/>
        </w:rPr>
        <w:t>投</w:t>
      </w:r>
      <w:r>
        <w:rPr>
          <w:rFonts w:ascii="宋体" w:hAnsi="宋体" w:cs="Arial"/>
          <w:color w:val="000000"/>
          <w:szCs w:val="24"/>
        </w:rPr>
        <w:t>标</w:t>
      </w:r>
      <w:r>
        <w:rPr>
          <w:rFonts w:hint="eastAsia" w:ascii="宋体" w:hAnsi="宋体" w:cs="Arial"/>
          <w:color w:val="000000"/>
          <w:szCs w:val="24"/>
        </w:rPr>
        <w:t>人名</w:t>
      </w:r>
      <w:r>
        <w:rPr>
          <w:rFonts w:ascii="宋体" w:hAnsi="宋体" w:cs="Arial"/>
          <w:color w:val="000000"/>
          <w:szCs w:val="24"/>
        </w:rPr>
        <w:t>称</w:t>
      </w:r>
      <w:r>
        <w:rPr>
          <w:rFonts w:hint="eastAsia" w:ascii="宋体" w:hAnsi="宋体" w:cs="Arial"/>
          <w:color w:val="000000"/>
          <w:szCs w:val="24"/>
        </w:rPr>
        <w:t>（并加</w:t>
      </w:r>
      <w:r>
        <w:rPr>
          <w:rFonts w:ascii="宋体" w:hAnsi="宋体" w:cs="Arial"/>
          <w:color w:val="000000"/>
          <w:szCs w:val="24"/>
        </w:rPr>
        <w:t>盖</w:t>
      </w:r>
      <w:r>
        <w:rPr>
          <w:rFonts w:hint="eastAsia" w:ascii="宋体" w:hAnsi="宋体" w:cs="Arial"/>
          <w:color w:val="000000"/>
          <w:szCs w:val="24"/>
        </w:rPr>
        <w:t>公章）：</w:t>
      </w:r>
      <w:r>
        <w:rPr>
          <w:rFonts w:ascii="宋体" w:hAnsi="宋体" w:cs="Arial"/>
          <w:color w:val="000000"/>
          <w:szCs w:val="24"/>
          <w:u w:val="single"/>
        </w:rPr>
        <w:t xml:space="preserve">           </w:t>
      </w:r>
      <w:r>
        <w:rPr>
          <w:rFonts w:hint="eastAsia" w:ascii="宋体" w:hAnsi="宋体" w:cs="Arial"/>
          <w:color w:val="000000"/>
          <w:szCs w:val="24"/>
          <w:u w:val="single"/>
        </w:rPr>
        <w:t xml:space="preserve">    </w:t>
      </w:r>
      <w:r>
        <w:rPr>
          <w:rFonts w:ascii="宋体" w:hAnsi="宋体" w:cs="Arial"/>
          <w:color w:val="000000"/>
          <w:szCs w:val="24"/>
          <w:u w:val="single"/>
        </w:rPr>
        <w:t xml:space="preserve">        </w:t>
      </w:r>
    </w:p>
    <w:p>
      <w:pPr>
        <w:pStyle w:val="2"/>
        <w:spacing w:after="0" w:line="360" w:lineRule="auto"/>
        <w:ind w:firstLine="420" w:firstLineChars="200"/>
        <w:rPr>
          <w:rFonts w:ascii="宋体" w:hAnsi="宋体" w:cs="Arial"/>
          <w:color w:val="000000"/>
          <w:szCs w:val="21"/>
        </w:rPr>
      </w:pPr>
      <w:r>
        <w:rPr>
          <w:rFonts w:hint="eastAsia" w:ascii="宋体" w:hAnsi="宋体" w:cs="Arial"/>
          <w:color w:val="000000"/>
          <w:szCs w:val="21"/>
        </w:rPr>
        <w:t>法定代表人</w:t>
      </w:r>
      <w:r>
        <w:rPr>
          <w:rFonts w:hint="eastAsia" w:ascii="宋体" w:hAnsi="宋体" w:cs="Arial"/>
          <w:b/>
          <w:color w:val="000000"/>
          <w:szCs w:val="21"/>
        </w:rPr>
        <w:t>（签字或加</w:t>
      </w:r>
      <w:r>
        <w:rPr>
          <w:rFonts w:ascii="宋体" w:hAnsi="宋体" w:cs="Arial"/>
          <w:b/>
          <w:color w:val="000000"/>
          <w:szCs w:val="21"/>
        </w:rPr>
        <w:t>盖</w:t>
      </w:r>
      <w:r>
        <w:rPr>
          <w:rFonts w:hint="eastAsia" w:ascii="宋体" w:hAnsi="宋体" w:cs="Arial"/>
          <w:b/>
          <w:color w:val="000000"/>
          <w:szCs w:val="21"/>
        </w:rPr>
        <w:t>名章）</w:t>
      </w:r>
      <w:r>
        <w:rPr>
          <w:rFonts w:hint="eastAsia" w:ascii="宋体" w:hAnsi="宋体" w:cs="Arial"/>
          <w:color w:val="000000"/>
          <w:szCs w:val="21"/>
        </w:rPr>
        <w:t>：</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p>
    <w:p>
      <w:pPr>
        <w:spacing w:line="360" w:lineRule="auto"/>
        <w:ind w:firstLine="480" w:firstLineChars="200"/>
        <w:rPr>
          <w:rFonts w:ascii="宋体" w:hAnsi="宋体"/>
          <w:b/>
          <w:color w:val="000000"/>
          <w:kern w:val="12"/>
          <w:sz w:val="24"/>
          <w:szCs w:val="24"/>
        </w:rPr>
      </w:pPr>
      <w:r>
        <w:rPr>
          <w:rFonts w:ascii="宋体" w:hAnsi="宋体" w:cs="Arial"/>
          <w:color w:val="000000"/>
          <w:sz w:val="24"/>
          <w:szCs w:val="24"/>
        </w:rPr>
        <w:t>签</w:t>
      </w:r>
      <w:r>
        <w:rPr>
          <w:rFonts w:hint="eastAsia" w:ascii="宋体" w:hAnsi="宋体" w:cs="Arial"/>
          <w:color w:val="000000"/>
          <w:sz w:val="24"/>
          <w:szCs w:val="24"/>
        </w:rPr>
        <w:t>署日期：</w:t>
      </w:r>
      <w:r>
        <w:rPr>
          <w:rFonts w:ascii="宋体" w:hAnsi="宋体" w:cs="Arial"/>
          <w:color w:val="000000"/>
          <w:sz w:val="24"/>
          <w:szCs w:val="24"/>
          <w:u w:val="single"/>
        </w:rPr>
        <w:t xml:space="preserve">        </w:t>
      </w:r>
      <w:r>
        <w:rPr>
          <w:rFonts w:hint="eastAsia" w:ascii="宋体" w:hAnsi="宋体" w:cs="Arial"/>
          <w:color w:val="000000"/>
          <w:sz w:val="24"/>
          <w:szCs w:val="24"/>
        </w:rPr>
        <w:t>年</w:t>
      </w:r>
      <w:r>
        <w:rPr>
          <w:rFonts w:ascii="宋体" w:hAnsi="宋体" w:cs="Arial"/>
          <w:color w:val="000000"/>
          <w:sz w:val="24"/>
          <w:szCs w:val="24"/>
          <w:u w:val="single"/>
        </w:rPr>
        <w:t xml:space="preserve">    </w:t>
      </w:r>
      <w:r>
        <w:rPr>
          <w:rFonts w:hint="eastAsia" w:ascii="宋体" w:hAnsi="宋体" w:cs="Arial"/>
          <w:color w:val="000000"/>
          <w:sz w:val="24"/>
          <w:szCs w:val="24"/>
        </w:rPr>
        <w:t>月</w:t>
      </w:r>
      <w:r>
        <w:rPr>
          <w:rFonts w:ascii="宋体" w:hAnsi="宋体" w:cs="Arial"/>
          <w:color w:val="000000"/>
          <w:sz w:val="24"/>
          <w:szCs w:val="24"/>
          <w:u w:val="single"/>
        </w:rPr>
        <w:t xml:space="preserve">    </w:t>
      </w:r>
      <w:r>
        <w:rPr>
          <w:rFonts w:hint="eastAsia" w:ascii="宋体" w:hAnsi="宋体" w:cs="Arial"/>
          <w:color w:val="000000"/>
          <w:sz w:val="24"/>
          <w:szCs w:val="24"/>
        </w:rPr>
        <w:t>日</w:t>
      </w:r>
    </w:p>
    <w:p>
      <w:pPr>
        <w:spacing w:line="360" w:lineRule="auto"/>
        <w:rPr>
          <w:rFonts w:ascii="宋体" w:hAnsi="宋体"/>
          <w:b/>
          <w:color w:val="000000"/>
          <w:kern w:val="12"/>
          <w:sz w:val="24"/>
          <w:szCs w:val="24"/>
        </w:rPr>
      </w:pPr>
    </w:p>
    <w:p>
      <w:pPr>
        <w:spacing w:line="320" w:lineRule="exact"/>
        <w:ind w:left="413" w:hanging="411" w:hangingChars="196"/>
        <w:rPr>
          <w:rFonts w:ascii="宋体" w:hAnsi="宋体"/>
          <w:b/>
          <w:color w:val="000000"/>
          <w:kern w:val="12"/>
          <w:szCs w:val="21"/>
        </w:rPr>
      </w:pPr>
      <w:r>
        <w:rPr>
          <w:rFonts w:hint="eastAsia"/>
          <w:b/>
          <w:color w:val="000000"/>
          <w:kern w:val="12"/>
          <w:szCs w:val="21"/>
        </w:rPr>
        <w:t>★</w:t>
      </w:r>
      <w:r>
        <w:rPr>
          <w:b/>
          <w:color w:val="000000"/>
          <w:kern w:val="12"/>
          <w:szCs w:val="21"/>
        </w:rPr>
        <w:t xml:space="preserve">  </w:t>
      </w:r>
      <w:r>
        <w:rPr>
          <w:rFonts w:hint="eastAsia"/>
          <w:b/>
          <w:color w:val="000000"/>
          <w:kern w:val="12"/>
          <w:szCs w:val="21"/>
        </w:rPr>
        <w:t>说明：</w:t>
      </w:r>
      <w:r>
        <w:rPr>
          <w:rFonts w:hint="eastAsia" w:ascii="宋体" w:hAnsi="宋体"/>
          <w:b/>
          <w:color w:val="000000"/>
          <w:kern w:val="12"/>
          <w:szCs w:val="21"/>
        </w:rPr>
        <w:t>法定代表人的授</w:t>
      </w:r>
      <w:r>
        <w:rPr>
          <w:rFonts w:ascii="宋体" w:hAnsi="宋体"/>
          <w:b/>
          <w:color w:val="000000"/>
          <w:kern w:val="12"/>
          <w:szCs w:val="21"/>
        </w:rPr>
        <w:t>权</w:t>
      </w:r>
      <w:r>
        <w:rPr>
          <w:rFonts w:hint="eastAsia" w:ascii="宋体" w:hAnsi="宋体"/>
          <w:b/>
          <w:color w:val="000000"/>
          <w:kern w:val="12"/>
          <w:szCs w:val="21"/>
        </w:rPr>
        <w:t>委托人</w:t>
      </w:r>
      <w:r>
        <w:rPr>
          <w:rFonts w:ascii="宋体" w:hAnsi="宋体"/>
          <w:b/>
          <w:color w:val="000000"/>
          <w:kern w:val="12"/>
          <w:szCs w:val="21"/>
        </w:rPr>
        <w:t>参</w:t>
      </w:r>
      <w:r>
        <w:rPr>
          <w:rFonts w:hint="eastAsia" w:ascii="宋体" w:hAnsi="宋体"/>
          <w:b/>
          <w:color w:val="000000"/>
          <w:kern w:val="12"/>
          <w:szCs w:val="21"/>
        </w:rPr>
        <w:t>加本招</w:t>
      </w:r>
      <w:r>
        <w:rPr>
          <w:rFonts w:ascii="宋体" w:hAnsi="宋体"/>
          <w:b/>
          <w:color w:val="000000"/>
          <w:kern w:val="12"/>
          <w:szCs w:val="21"/>
        </w:rPr>
        <w:t>标项目</w:t>
      </w:r>
      <w:r>
        <w:rPr>
          <w:rFonts w:hint="eastAsia" w:ascii="宋体" w:hAnsi="宋体"/>
          <w:b/>
          <w:color w:val="000000"/>
          <w:kern w:val="12"/>
          <w:szCs w:val="21"/>
        </w:rPr>
        <w:t>投</w:t>
      </w:r>
      <w:r>
        <w:rPr>
          <w:rFonts w:ascii="宋体" w:hAnsi="宋体"/>
          <w:b/>
          <w:color w:val="000000"/>
          <w:kern w:val="12"/>
          <w:szCs w:val="21"/>
        </w:rPr>
        <w:t>标</w:t>
      </w:r>
      <w:r>
        <w:rPr>
          <w:rFonts w:hint="eastAsia" w:ascii="宋体" w:hAnsi="宋体"/>
          <w:b/>
          <w:color w:val="000000"/>
          <w:kern w:val="12"/>
          <w:szCs w:val="21"/>
        </w:rPr>
        <w:t>的，</w:t>
      </w:r>
      <w:r>
        <w:rPr>
          <w:rFonts w:ascii="宋体" w:hAnsi="宋体"/>
          <w:b/>
          <w:color w:val="000000"/>
          <w:kern w:val="12"/>
          <w:szCs w:val="21"/>
        </w:rPr>
        <w:t>仅须</w:t>
      </w:r>
      <w:r>
        <w:rPr>
          <w:rFonts w:hint="eastAsia" w:ascii="宋体" w:hAnsi="宋体"/>
          <w:b/>
          <w:color w:val="000000"/>
          <w:kern w:val="12"/>
          <w:szCs w:val="21"/>
        </w:rPr>
        <w:t>出具此授</w:t>
      </w:r>
      <w:r>
        <w:rPr>
          <w:rFonts w:ascii="宋体" w:hAnsi="宋体"/>
          <w:b/>
          <w:color w:val="000000"/>
          <w:kern w:val="12"/>
          <w:szCs w:val="21"/>
        </w:rPr>
        <w:t>权</w:t>
      </w:r>
      <w:r>
        <w:rPr>
          <w:rFonts w:hint="eastAsia" w:ascii="宋体" w:hAnsi="宋体"/>
          <w:b/>
          <w:color w:val="000000"/>
          <w:kern w:val="12"/>
          <w:szCs w:val="21"/>
        </w:rPr>
        <w:t>委托</w:t>
      </w:r>
      <w:r>
        <w:rPr>
          <w:rFonts w:ascii="宋体" w:hAnsi="宋体"/>
          <w:b/>
          <w:color w:val="000000"/>
          <w:kern w:val="12"/>
          <w:szCs w:val="21"/>
        </w:rPr>
        <w:t>书</w:t>
      </w:r>
      <w:r>
        <w:rPr>
          <w:rFonts w:hint="eastAsia" w:ascii="宋体" w:hAnsi="宋体"/>
          <w:b/>
          <w:color w:val="000000"/>
          <w:kern w:val="12"/>
          <w:szCs w:val="21"/>
          <w:lang w:eastAsia="zh-CN"/>
        </w:rPr>
        <w:t>（</w:t>
      </w:r>
      <w:r>
        <w:rPr>
          <w:rFonts w:hint="eastAsia" w:hAnsi="宋体"/>
          <w:b/>
          <w:color w:val="000000"/>
          <w:szCs w:val="24"/>
        </w:rPr>
        <w:t>粘</w:t>
      </w:r>
      <w:r>
        <w:rPr>
          <w:rFonts w:hAnsi="宋体"/>
          <w:b/>
          <w:color w:val="000000"/>
          <w:szCs w:val="24"/>
        </w:rPr>
        <w:t>贴</w:t>
      </w:r>
      <w:r>
        <w:rPr>
          <w:rFonts w:hint="eastAsia" w:hAnsi="宋体"/>
          <w:b/>
          <w:color w:val="000000"/>
          <w:szCs w:val="24"/>
        </w:rPr>
        <w:t>法定代表人和被授</w:t>
      </w:r>
      <w:r>
        <w:rPr>
          <w:rFonts w:hAnsi="宋体"/>
          <w:b/>
          <w:color w:val="000000"/>
          <w:szCs w:val="24"/>
        </w:rPr>
        <w:t>权人</w:t>
      </w:r>
      <w:r>
        <w:rPr>
          <w:rFonts w:hint="eastAsia" w:hAnsi="宋体"/>
          <w:b/>
          <w:color w:val="000000"/>
          <w:szCs w:val="24"/>
        </w:rPr>
        <w:t>身份</w:t>
      </w:r>
      <w:r>
        <w:rPr>
          <w:rFonts w:hAnsi="宋体"/>
          <w:b/>
          <w:color w:val="000000"/>
          <w:szCs w:val="24"/>
        </w:rPr>
        <w:t>证复</w:t>
      </w:r>
      <w:r>
        <w:rPr>
          <w:rFonts w:hint="eastAsia" w:hAnsi="宋体"/>
          <w:b/>
          <w:color w:val="000000"/>
          <w:szCs w:val="24"/>
        </w:rPr>
        <w:t>印件，需清晰反映身份证有效期限</w:t>
      </w:r>
      <w:r>
        <w:rPr>
          <w:rFonts w:hint="eastAsia" w:ascii="宋体" w:hAnsi="宋体"/>
          <w:b/>
          <w:color w:val="000000"/>
          <w:kern w:val="12"/>
          <w:szCs w:val="21"/>
          <w:lang w:eastAsia="zh-CN"/>
        </w:rPr>
        <w:t>）</w:t>
      </w:r>
      <w:r>
        <w:rPr>
          <w:rFonts w:hint="eastAsia" w:ascii="宋体" w:hAnsi="宋体"/>
          <w:b/>
          <w:color w:val="000000"/>
          <w:kern w:val="12"/>
          <w:szCs w:val="21"/>
        </w:rPr>
        <w:t>。</w:t>
      </w: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r>
        <w:rPr>
          <w:rFonts w:hint="eastAsia" w:ascii="宋体" w:hAnsi="宋体"/>
          <w:b/>
          <w:color w:val="000000"/>
          <w:sz w:val="24"/>
          <w:szCs w:val="24"/>
        </w:rPr>
        <w:t>格式1-5</w:t>
      </w:r>
    </w:p>
    <w:p>
      <w:pPr>
        <w:spacing w:line="400" w:lineRule="exact"/>
        <w:jc w:val="center"/>
        <w:rPr>
          <w:rFonts w:hint="eastAsia" w:ascii="宋体" w:hAnsi="宋体"/>
          <w:b/>
          <w:bCs/>
          <w:iCs/>
          <w:sz w:val="36"/>
          <w:szCs w:val="36"/>
        </w:rPr>
      </w:pPr>
      <w:r>
        <w:rPr>
          <w:rFonts w:hint="eastAsia" w:ascii="宋体" w:hAnsi="宋体"/>
          <w:b/>
          <w:bCs/>
          <w:iCs/>
          <w:sz w:val="36"/>
          <w:szCs w:val="36"/>
        </w:rPr>
        <w:t>技术商务/服务条款偏离表</w:t>
      </w:r>
    </w:p>
    <w:p>
      <w:pPr>
        <w:spacing w:line="400" w:lineRule="exact"/>
        <w:rPr>
          <w:rFonts w:hint="eastAsia" w:ascii="宋体" w:hAnsi="宋体"/>
        </w:rPr>
      </w:pPr>
      <w:r>
        <w:rPr>
          <w:rFonts w:hint="eastAsia" w:ascii="宋体" w:hAnsi="宋体"/>
        </w:rPr>
        <w:t xml:space="preserve">招标项目名称：                   </w:t>
      </w:r>
      <w:r>
        <w:rPr>
          <w:rFonts w:hint="eastAsia" w:ascii="宋体" w:hAnsi="宋体"/>
          <w:szCs w:val="24"/>
        </w:rPr>
        <w:t>招标项目</w:t>
      </w:r>
      <w:r>
        <w:rPr>
          <w:rFonts w:hint="eastAsia" w:ascii="宋体" w:hAnsi="宋体"/>
        </w:rPr>
        <w:t>编号：                 标包号：</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161"/>
        <w:gridCol w:w="720"/>
        <w:gridCol w:w="2160"/>
        <w:gridCol w:w="2160"/>
        <w:gridCol w:w="1249"/>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9" w:hRule="atLeast"/>
        </w:trPr>
        <w:tc>
          <w:tcPr>
            <w:tcW w:w="747" w:type="dxa"/>
            <w:noWrap w:val="0"/>
            <w:vAlign w:val="center"/>
          </w:tcPr>
          <w:p>
            <w:pPr>
              <w:spacing w:line="500" w:lineRule="exact"/>
              <w:jc w:val="center"/>
              <w:rPr>
                <w:rFonts w:hint="eastAsia" w:ascii="宋体" w:hAnsi="宋体"/>
              </w:rPr>
            </w:pPr>
            <w:r>
              <w:rPr>
                <w:rFonts w:hint="eastAsia" w:ascii="宋体" w:hAnsi="宋体"/>
              </w:rPr>
              <w:t>序号</w:t>
            </w:r>
          </w:p>
        </w:tc>
        <w:tc>
          <w:tcPr>
            <w:tcW w:w="1161" w:type="dxa"/>
            <w:noWrap w:val="0"/>
            <w:vAlign w:val="center"/>
          </w:tcPr>
          <w:p>
            <w:pPr>
              <w:spacing w:line="500" w:lineRule="exact"/>
              <w:jc w:val="center"/>
              <w:rPr>
                <w:rFonts w:hint="eastAsia" w:ascii="宋体" w:hAnsi="宋体"/>
              </w:rPr>
            </w:pPr>
            <w:r>
              <w:rPr>
                <w:rFonts w:hint="eastAsia" w:ascii="宋体" w:hAnsi="宋体"/>
              </w:rPr>
              <w:t>产品名称</w:t>
            </w:r>
          </w:p>
        </w:tc>
        <w:tc>
          <w:tcPr>
            <w:tcW w:w="720" w:type="dxa"/>
            <w:noWrap w:val="0"/>
            <w:vAlign w:val="center"/>
          </w:tcPr>
          <w:p>
            <w:pPr>
              <w:spacing w:line="500" w:lineRule="exact"/>
              <w:jc w:val="center"/>
              <w:rPr>
                <w:rFonts w:hint="eastAsia" w:ascii="宋体" w:hAnsi="宋体"/>
              </w:rPr>
            </w:pPr>
            <w:r>
              <w:rPr>
                <w:rFonts w:hint="eastAsia" w:ascii="宋体" w:hAnsi="宋体"/>
              </w:rPr>
              <w:t>数量</w:t>
            </w:r>
          </w:p>
        </w:tc>
        <w:tc>
          <w:tcPr>
            <w:tcW w:w="2160" w:type="dxa"/>
            <w:noWrap w:val="0"/>
            <w:vAlign w:val="center"/>
          </w:tcPr>
          <w:p>
            <w:pPr>
              <w:spacing w:line="500" w:lineRule="exact"/>
              <w:jc w:val="center"/>
              <w:rPr>
                <w:rFonts w:hint="eastAsia" w:ascii="宋体" w:hAnsi="宋体"/>
              </w:rPr>
            </w:pPr>
            <w:r>
              <w:rPr>
                <w:rFonts w:hint="eastAsia" w:ascii="宋体" w:hAnsi="宋体"/>
              </w:rPr>
              <w:t>招标文件的指标</w:t>
            </w:r>
          </w:p>
        </w:tc>
        <w:tc>
          <w:tcPr>
            <w:tcW w:w="2160" w:type="dxa"/>
            <w:noWrap w:val="0"/>
            <w:vAlign w:val="center"/>
          </w:tcPr>
          <w:p>
            <w:pPr>
              <w:spacing w:line="500" w:lineRule="exact"/>
              <w:ind w:left="102" w:hanging="315"/>
              <w:jc w:val="center"/>
              <w:rPr>
                <w:rFonts w:hint="eastAsia" w:ascii="宋体" w:hAnsi="宋体"/>
              </w:rPr>
            </w:pPr>
            <w:r>
              <w:rPr>
                <w:rFonts w:hint="eastAsia" w:ascii="宋体" w:hAnsi="宋体"/>
              </w:rPr>
              <w:t xml:space="preserve">  投标文件的指标</w:t>
            </w:r>
          </w:p>
        </w:tc>
        <w:tc>
          <w:tcPr>
            <w:tcW w:w="1249" w:type="dxa"/>
            <w:noWrap w:val="0"/>
            <w:vAlign w:val="center"/>
          </w:tcPr>
          <w:p>
            <w:pPr>
              <w:spacing w:line="500" w:lineRule="exact"/>
              <w:rPr>
                <w:rFonts w:hint="eastAsia" w:ascii="宋体" w:hAnsi="宋体"/>
              </w:rPr>
            </w:pPr>
            <w:r>
              <w:rPr>
                <w:rFonts w:hint="eastAsia" w:ascii="宋体" w:hAnsi="宋体"/>
              </w:rPr>
              <w:t>偏离情况</w:t>
            </w:r>
          </w:p>
        </w:tc>
        <w:tc>
          <w:tcPr>
            <w:tcW w:w="1343" w:type="dxa"/>
            <w:noWrap w:val="0"/>
            <w:vAlign w:val="center"/>
          </w:tcPr>
          <w:p>
            <w:pPr>
              <w:spacing w:line="500" w:lineRule="exact"/>
              <w:rPr>
                <w:rFonts w:hint="eastAsia" w:ascii="宋体" w:hAnsi="宋体"/>
              </w:rPr>
            </w:pPr>
            <w:r>
              <w:rPr>
                <w:rFonts w:hint="eastAsia" w:ascii="宋体" w:hAnsi="宋体"/>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9" w:hRule="atLeast"/>
        </w:trPr>
        <w:tc>
          <w:tcPr>
            <w:tcW w:w="747" w:type="dxa"/>
            <w:noWrap w:val="0"/>
            <w:vAlign w:val="top"/>
          </w:tcPr>
          <w:p>
            <w:pPr>
              <w:spacing w:line="500" w:lineRule="exact"/>
              <w:rPr>
                <w:rFonts w:hint="eastAsia" w:ascii="宋体" w:hAnsi="宋体"/>
              </w:rPr>
            </w:pPr>
          </w:p>
        </w:tc>
        <w:tc>
          <w:tcPr>
            <w:tcW w:w="1161" w:type="dxa"/>
            <w:noWrap w:val="0"/>
            <w:vAlign w:val="top"/>
          </w:tcPr>
          <w:p>
            <w:pPr>
              <w:spacing w:line="500" w:lineRule="exact"/>
              <w:rPr>
                <w:rFonts w:hint="eastAsia" w:ascii="宋体" w:hAnsi="宋体"/>
              </w:rPr>
            </w:pPr>
          </w:p>
        </w:tc>
        <w:tc>
          <w:tcPr>
            <w:tcW w:w="72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9" w:hRule="atLeast"/>
        </w:trPr>
        <w:tc>
          <w:tcPr>
            <w:tcW w:w="747" w:type="dxa"/>
            <w:noWrap w:val="0"/>
            <w:vAlign w:val="top"/>
          </w:tcPr>
          <w:p>
            <w:pPr>
              <w:spacing w:line="500" w:lineRule="exact"/>
              <w:rPr>
                <w:rFonts w:hint="eastAsia" w:ascii="宋体" w:hAnsi="宋体"/>
              </w:rPr>
            </w:pPr>
          </w:p>
        </w:tc>
        <w:tc>
          <w:tcPr>
            <w:tcW w:w="1161" w:type="dxa"/>
            <w:noWrap w:val="0"/>
            <w:vAlign w:val="top"/>
          </w:tcPr>
          <w:p>
            <w:pPr>
              <w:spacing w:line="500" w:lineRule="exact"/>
              <w:rPr>
                <w:rFonts w:hint="eastAsia" w:ascii="宋体" w:hAnsi="宋体"/>
              </w:rPr>
            </w:pPr>
          </w:p>
        </w:tc>
        <w:tc>
          <w:tcPr>
            <w:tcW w:w="72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9" w:hRule="atLeast"/>
        </w:trPr>
        <w:tc>
          <w:tcPr>
            <w:tcW w:w="747" w:type="dxa"/>
            <w:noWrap w:val="0"/>
            <w:vAlign w:val="top"/>
          </w:tcPr>
          <w:p>
            <w:pPr>
              <w:spacing w:line="500" w:lineRule="exact"/>
              <w:rPr>
                <w:rFonts w:hint="eastAsia" w:ascii="宋体" w:hAnsi="宋体"/>
              </w:rPr>
            </w:pPr>
          </w:p>
        </w:tc>
        <w:tc>
          <w:tcPr>
            <w:tcW w:w="1161" w:type="dxa"/>
            <w:noWrap w:val="0"/>
            <w:vAlign w:val="top"/>
          </w:tcPr>
          <w:p>
            <w:pPr>
              <w:spacing w:line="500" w:lineRule="exact"/>
              <w:rPr>
                <w:rFonts w:hint="eastAsia" w:ascii="宋体" w:hAnsi="宋体"/>
              </w:rPr>
            </w:pPr>
          </w:p>
        </w:tc>
        <w:tc>
          <w:tcPr>
            <w:tcW w:w="72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9" w:hRule="atLeast"/>
        </w:trPr>
        <w:tc>
          <w:tcPr>
            <w:tcW w:w="747" w:type="dxa"/>
            <w:noWrap w:val="0"/>
            <w:vAlign w:val="top"/>
          </w:tcPr>
          <w:p>
            <w:pPr>
              <w:spacing w:line="500" w:lineRule="exact"/>
              <w:rPr>
                <w:rFonts w:hint="eastAsia" w:ascii="宋体" w:hAnsi="宋体"/>
              </w:rPr>
            </w:pPr>
          </w:p>
        </w:tc>
        <w:tc>
          <w:tcPr>
            <w:tcW w:w="1161" w:type="dxa"/>
            <w:noWrap w:val="0"/>
            <w:vAlign w:val="top"/>
          </w:tcPr>
          <w:p>
            <w:pPr>
              <w:spacing w:line="500" w:lineRule="exact"/>
              <w:rPr>
                <w:rFonts w:hint="eastAsia" w:ascii="宋体" w:hAnsi="宋体"/>
              </w:rPr>
            </w:pPr>
          </w:p>
        </w:tc>
        <w:tc>
          <w:tcPr>
            <w:tcW w:w="72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9" w:hRule="atLeast"/>
        </w:trPr>
        <w:tc>
          <w:tcPr>
            <w:tcW w:w="747" w:type="dxa"/>
            <w:noWrap w:val="0"/>
            <w:vAlign w:val="top"/>
          </w:tcPr>
          <w:p>
            <w:pPr>
              <w:spacing w:line="500" w:lineRule="exact"/>
              <w:rPr>
                <w:rFonts w:hint="eastAsia" w:ascii="宋体" w:hAnsi="宋体"/>
              </w:rPr>
            </w:pPr>
          </w:p>
        </w:tc>
        <w:tc>
          <w:tcPr>
            <w:tcW w:w="1161" w:type="dxa"/>
            <w:noWrap w:val="0"/>
            <w:vAlign w:val="top"/>
          </w:tcPr>
          <w:p>
            <w:pPr>
              <w:spacing w:line="500" w:lineRule="exact"/>
              <w:rPr>
                <w:rFonts w:hint="eastAsia" w:ascii="宋体" w:hAnsi="宋体"/>
              </w:rPr>
            </w:pPr>
          </w:p>
        </w:tc>
        <w:tc>
          <w:tcPr>
            <w:tcW w:w="72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9" w:hRule="atLeast"/>
        </w:trPr>
        <w:tc>
          <w:tcPr>
            <w:tcW w:w="747" w:type="dxa"/>
            <w:noWrap w:val="0"/>
            <w:vAlign w:val="top"/>
          </w:tcPr>
          <w:p>
            <w:pPr>
              <w:spacing w:line="500" w:lineRule="exact"/>
              <w:rPr>
                <w:rFonts w:hint="eastAsia" w:ascii="宋体" w:hAnsi="宋体"/>
              </w:rPr>
            </w:pPr>
          </w:p>
        </w:tc>
        <w:tc>
          <w:tcPr>
            <w:tcW w:w="1161" w:type="dxa"/>
            <w:noWrap w:val="0"/>
            <w:vAlign w:val="top"/>
          </w:tcPr>
          <w:p>
            <w:pPr>
              <w:spacing w:line="500" w:lineRule="exact"/>
              <w:rPr>
                <w:rFonts w:hint="eastAsia" w:ascii="宋体" w:hAnsi="宋体"/>
              </w:rPr>
            </w:pPr>
          </w:p>
        </w:tc>
        <w:tc>
          <w:tcPr>
            <w:tcW w:w="72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9" w:hRule="atLeast"/>
        </w:trPr>
        <w:tc>
          <w:tcPr>
            <w:tcW w:w="747" w:type="dxa"/>
            <w:noWrap w:val="0"/>
            <w:vAlign w:val="top"/>
          </w:tcPr>
          <w:p>
            <w:pPr>
              <w:spacing w:line="500" w:lineRule="exact"/>
              <w:rPr>
                <w:rFonts w:hint="eastAsia" w:ascii="宋体" w:hAnsi="宋体"/>
              </w:rPr>
            </w:pPr>
          </w:p>
        </w:tc>
        <w:tc>
          <w:tcPr>
            <w:tcW w:w="1161" w:type="dxa"/>
            <w:noWrap w:val="0"/>
            <w:vAlign w:val="top"/>
          </w:tcPr>
          <w:p>
            <w:pPr>
              <w:spacing w:line="500" w:lineRule="exact"/>
              <w:rPr>
                <w:rFonts w:hint="eastAsia" w:ascii="宋体" w:hAnsi="宋体"/>
              </w:rPr>
            </w:pPr>
          </w:p>
        </w:tc>
        <w:tc>
          <w:tcPr>
            <w:tcW w:w="72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9" w:hRule="atLeast"/>
        </w:trPr>
        <w:tc>
          <w:tcPr>
            <w:tcW w:w="747" w:type="dxa"/>
            <w:noWrap w:val="0"/>
            <w:vAlign w:val="top"/>
          </w:tcPr>
          <w:p>
            <w:pPr>
              <w:spacing w:line="500" w:lineRule="exact"/>
              <w:rPr>
                <w:rFonts w:hint="eastAsia" w:ascii="宋体" w:hAnsi="宋体"/>
              </w:rPr>
            </w:pPr>
          </w:p>
        </w:tc>
        <w:tc>
          <w:tcPr>
            <w:tcW w:w="1161" w:type="dxa"/>
            <w:noWrap w:val="0"/>
            <w:vAlign w:val="top"/>
          </w:tcPr>
          <w:p>
            <w:pPr>
              <w:spacing w:line="500" w:lineRule="exact"/>
              <w:rPr>
                <w:rFonts w:hint="eastAsia" w:ascii="宋体" w:hAnsi="宋体"/>
              </w:rPr>
            </w:pPr>
          </w:p>
        </w:tc>
        <w:tc>
          <w:tcPr>
            <w:tcW w:w="72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9" w:hRule="atLeast"/>
        </w:trPr>
        <w:tc>
          <w:tcPr>
            <w:tcW w:w="747" w:type="dxa"/>
            <w:noWrap w:val="0"/>
            <w:vAlign w:val="top"/>
          </w:tcPr>
          <w:p>
            <w:pPr>
              <w:spacing w:line="500" w:lineRule="exact"/>
              <w:rPr>
                <w:rFonts w:hint="eastAsia" w:ascii="宋体" w:hAnsi="宋体"/>
              </w:rPr>
            </w:pPr>
          </w:p>
        </w:tc>
        <w:tc>
          <w:tcPr>
            <w:tcW w:w="1161" w:type="dxa"/>
            <w:noWrap w:val="0"/>
            <w:vAlign w:val="top"/>
          </w:tcPr>
          <w:p>
            <w:pPr>
              <w:spacing w:line="500" w:lineRule="exact"/>
              <w:rPr>
                <w:rFonts w:hint="eastAsia" w:ascii="宋体" w:hAnsi="宋体"/>
              </w:rPr>
            </w:pPr>
          </w:p>
        </w:tc>
        <w:tc>
          <w:tcPr>
            <w:tcW w:w="72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42" w:hRule="atLeast"/>
        </w:trPr>
        <w:tc>
          <w:tcPr>
            <w:tcW w:w="747" w:type="dxa"/>
            <w:noWrap w:val="0"/>
            <w:vAlign w:val="top"/>
          </w:tcPr>
          <w:p>
            <w:pPr>
              <w:spacing w:line="500" w:lineRule="exact"/>
              <w:rPr>
                <w:rFonts w:hint="eastAsia" w:ascii="宋体" w:hAnsi="宋体"/>
              </w:rPr>
            </w:pPr>
          </w:p>
        </w:tc>
        <w:tc>
          <w:tcPr>
            <w:tcW w:w="1161" w:type="dxa"/>
            <w:noWrap w:val="0"/>
            <w:vAlign w:val="top"/>
          </w:tcPr>
          <w:p>
            <w:pPr>
              <w:spacing w:line="500" w:lineRule="exact"/>
              <w:rPr>
                <w:rFonts w:hint="eastAsia" w:ascii="宋体" w:hAnsi="宋体"/>
              </w:rPr>
            </w:pPr>
          </w:p>
        </w:tc>
        <w:tc>
          <w:tcPr>
            <w:tcW w:w="72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bl>
    <w:p>
      <w:pPr>
        <w:spacing w:line="500" w:lineRule="exact"/>
        <w:rPr>
          <w:rFonts w:hint="eastAsia" w:ascii="宋体" w:hAnsi="宋体"/>
          <w:szCs w:val="21"/>
        </w:rPr>
      </w:pPr>
      <w:r>
        <w:rPr>
          <w:rFonts w:ascii="宋体" w:hAnsi="宋体" w:cs="Arial"/>
          <w:color w:val="000000"/>
          <w:szCs w:val="21"/>
        </w:rPr>
        <w:t>我们</w:t>
      </w:r>
      <w:r>
        <w:rPr>
          <w:rFonts w:hint="eastAsia" w:ascii="宋体" w:hAnsi="宋体" w:cs="Arial"/>
          <w:color w:val="000000"/>
          <w:szCs w:val="21"/>
        </w:rPr>
        <w:t>承</w:t>
      </w:r>
      <w:r>
        <w:rPr>
          <w:rFonts w:ascii="宋体" w:hAnsi="宋体" w:cs="Arial"/>
          <w:color w:val="000000"/>
          <w:szCs w:val="21"/>
        </w:rPr>
        <w:t>诺</w:t>
      </w:r>
      <w:r>
        <w:rPr>
          <w:rFonts w:hint="eastAsia" w:ascii="宋体" w:hAnsi="宋体" w:cs="Arial"/>
          <w:color w:val="000000"/>
          <w:szCs w:val="21"/>
        </w:rPr>
        <w:t>本服务指标响应表的</w:t>
      </w:r>
      <w:r>
        <w:rPr>
          <w:rFonts w:ascii="宋体" w:hAnsi="宋体" w:cs="Arial"/>
          <w:color w:val="000000"/>
          <w:szCs w:val="21"/>
        </w:rPr>
        <w:t>内</w:t>
      </w:r>
      <w:r>
        <w:rPr>
          <w:rFonts w:hint="eastAsia" w:ascii="宋体" w:hAnsi="宋体" w:cs="Arial"/>
          <w:color w:val="000000"/>
          <w:szCs w:val="21"/>
        </w:rPr>
        <w:t>容真</w:t>
      </w:r>
      <w:r>
        <w:rPr>
          <w:rFonts w:ascii="宋体" w:hAnsi="宋体" w:cs="Arial"/>
          <w:color w:val="000000"/>
          <w:szCs w:val="21"/>
        </w:rPr>
        <w:t>实</w:t>
      </w:r>
      <w:r>
        <w:rPr>
          <w:rFonts w:hint="eastAsia" w:ascii="宋体" w:hAnsi="宋体" w:cs="Arial"/>
          <w:color w:val="000000"/>
          <w:szCs w:val="21"/>
        </w:rPr>
        <w:t>有效，</w:t>
      </w:r>
      <w:r>
        <w:rPr>
          <w:rFonts w:ascii="宋体" w:hAnsi="宋体" w:cs="Arial"/>
          <w:color w:val="000000"/>
          <w:szCs w:val="21"/>
        </w:rPr>
        <w:t>无</w:t>
      </w:r>
      <w:r>
        <w:rPr>
          <w:rFonts w:hint="eastAsia" w:ascii="宋体" w:hAnsi="宋体" w:cs="Arial"/>
          <w:color w:val="000000"/>
          <w:szCs w:val="21"/>
        </w:rPr>
        <w:t>任何</w:t>
      </w:r>
      <w:r>
        <w:rPr>
          <w:rFonts w:ascii="宋体" w:hAnsi="宋体" w:cs="Arial"/>
          <w:color w:val="000000"/>
          <w:szCs w:val="21"/>
        </w:rPr>
        <w:t>虚</w:t>
      </w:r>
      <w:r>
        <w:rPr>
          <w:rFonts w:hint="eastAsia" w:ascii="宋体" w:hAnsi="宋体" w:cs="Arial"/>
          <w:color w:val="000000"/>
          <w:szCs w:val="21"/>
        </w:rPr>
        <w:t>假之</w:t>
      </w:r>
      <w:r>
        <w:rPr>
          <w:rFonts w:ascii="宋体" w:hAnsi="宋体" w:cs="Arial"/>
          <w:color w:val="000000"/>
          <w:szCs w:val="21"/>
        </w:rPr>
        <w:t>处</w:t>
      </w:r>
      <w:r>
        <w:rPr>
          <w:rFonts w:hint="eastAsia" w:ascii="宋体" w:hAnsi="宋体" w:cs="Arial"/>
          <w:color w:val="000000"/>
          <w:szCs w:val="21"/>
        </w:rPr>
        <w:t>，并且愿意承</w:t>
      </w:r>
      <w:r>
        <w:rPr>
          <w:rFonts w:ascii="宋体" w:hAnsi="宋体" w:cs="Arial"/>
          <w:color w:val="000000"/>
          <w:szCs w:val="21"/>
        </w:rPr>
        <w:t>担</w:t>
      </w:r>
      <w:r>
        <w:rPr>
          <w:rFonts w:hint="eastAsia" w:ascii="宋体" w:hAnsi="宋体" w:cs="Arial"/>
          <w:color w:val="000000"/>
          <w:szCs w:val="21"/>
        </w:rPr>
        <w:t>因不</w:t>
      </w:r>
      <w:r>
        <w:rPr>
          <w:rFonts w:ascii="宋体" w:hAnsi="宋体" w:cs="Arial"/>
          <w:color w:val="000000"/>
          <w:szCs w:val="21"/>
        </w:rPr>
        <w:t>满</w:t>
      </w:r>
      <w:r>
        <w:rPr>
          <w:rFonts w:hint="eastAsia" w:ascii="宋体" w:hAnsi="宋体" w:cs="Arial"/>
          <w:color w:val="000000"/>
          <w:szCs w:val="21"/>
        </w:rPr>
        <w:t>足此承</w:t>
      </w:r>
      <w:r>
        <w:rPr>
          <w:rFonts w:ascii="宋体" w:hAnsi="宋体" w:cs="Arial"/>
          <w:color w:val="000000"/>
          <w:szCs w:val="21"/>
        </w:rPr>
        <w:t>诺</w:t>
      </w:r>
      <w:r>
        <w:rPr>
          <w:rFonts w:hint="eastAsia" w:ascii="宋体" w:hAnsi="宋体" w:cs="Arial"/>
          <w:color w:val="000000"/>
          <w:szCs w:val="21"/>
        </w:rPr>
        <w:t>而引起的相</w:t>
      </w:r>
      <w:r>
        <w:rPr>
          <w:rFonts w:ascii="宋体" w:hAnsi="宋体" w:cs="Arial"/>
          <w:color w:val="000000"/>
          <w:szCs w:val="21"/>
        </w:rPr>
        <w:t>应</w:t>
      </w:r>
      <w:r>
        <w:rPr>
          <w:rFonts w:hint="eastAsia" w:ascii="宋体" w:hAnsi="宋体" w:cs="Arial"/>
          <w:color w:val="000000"/>
          <w:szCs w:val="21"/>
        </w:rPr>
        <w:t>的法律</w:t>
      </w:r>
      <w:r>
        <w:rPr>
          <w:rFonts w:ascii="宋体" w:hAnsi="宋体" w:cs="Arial"/>
          <w:color w:val="000000"/>
          <w:szCs w:val="21"/>
        </w:rPr>
        <w:t>责</w:t>
      </w:r>
      <w:r>
        <w:rPr>
          <w:rFonts w:hint="eastAsia" w:ascii="宋体" w:hAnsi="宋体" w:cs="Arial"/>
          <w:color w:val="000000"/>
          <w:szCs w:val="21"/>
        </w:rPr>
        <w:t>任并接受相</w:t>
      </w:r>
      <w:r>
        <w:rPr>
          <w:rFonts w:ascii="宋体" w:hAnsi="宋体" w:cs="Arial"/>
          <w:color w:val="000000"/>
          <w:szCs w:val="21"/>
        </w:rPr>
        <w:t>关部门</w:t>
      </w:r>
      <w:r>
        <w:rPr>
          <w:rFonts w:hint="eastAsia" w:ascii="宋体" w:hAnsi="宋体" w:cs="Arial"/>
          <w:color w:val="000000"/>
          <w:szCs w:val="21"/>
        </w:rPr>
        <w:t>的</w:t>
      </w:r>
      <w:r>
        <w:rPr>
          <w:rFonts w:ascii="宋体" w:hAnsi="宋体" w:cs="Arial"/>
          <w:color w:val="000000"/>
          <w:szCs w:val="21"/>
        </w:rPr>
        <w:t>处罚</w:t>
      </w:r>
      <w:r>
        <w:rPr>
          <w:rFonts w:hint="eastAsia" w:ascii="宋体" w:hAnsi="宋体" w:cs="Arial"/>
          <w:color w:val="000000"/>
          <w:szCs w:val="21"/>
        </w:rPr>
        <w:t>。</w:t>
      </w:r>
    </w:p>
    <w:p>
      <w:pPr>
        <w:spacing w:line="500" w:lineRule="exact"/>
        <w:rPr>
          <w:rFonts w:hint="eastAsia" w:ascii="宋体" w:hAnsi="宋体"/>
          <w:sz w:val="24"/>
          <w:szCs w:val="24"/>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pPr>
      <w:r>
        <w:rPr>
          <w:rFonts w:hint="eastAsia" w:ascii="宋体" w:hAnsi="宋体"/>
          <w:szCs w:val="21"/>
        </w:rPr>
        <w:t xml:space="preserve">日期：    年  月   日 </w:t>
      </w:r>
    </w:p>
    <w:p>
      <w:pPr>
        <w:spacing w:line="500" w:lineRule="exact"/>
        <w:rPr>
          <w:rFonts w:hint="eastAsia" w:ascii="宋体" w:hAnsi="宋体"/>
          <w:sz w:val="28"/>
          <w:szCs w:val="28"/>
        </w:rPr>
      </w:pPr>
    </w:p>
    <w:p>
      <w:pPr>
        <w:pStyle w:val="5"/>
        <w:spacing w:line="360" w:lineRule="auto"/>
        <w:ind w:firstLine="0"/>
        <w:rPr>
          <w:rFonts w:hint="eastAsia" w:ascii="宋体" w:hAnsi="宋体"/>
          <w:color w:val="000000"/>
        </w:rPr>
      </w:pPr>
      <w:r>
        <w:rPr>
          <w:rFonts w:ascii="宋体" w:hAnsi="宋体" w:cs="Arial"/>
          <w:color w:val="000000"/>
          <w:kern w:val="2"/>
          <w:szCs w:val="24"/>
        </w:rPr>
        <w:t>填写说</w:t>
      </w:r>
      <w:r>
        <w:rPr>
          <w:rFonts w:hint="eastAsia" w:ascii="宋体" w:hAnsi="宋体" w:cs="Arial"/>
          <w:color w:val="000000"/>
          <w:kern w:val="2"/>
          <w:szCs w:val="24"/>
        </w:rPr>
        <w:t>明：</w:t>
      </w:r>
      <w:r>
        <w:rPr>
          <w:rFonts w:ascii="宋体" w:hAnsi="宋体" w:cs="Arial"/>
          <w:color w:val="000000"/>
          <w:kern w:val="2"/>
          <w:szCs w:val="24"/>
        </w:rPr>
        <w:t xml:space="preserve">1. </w:t>
      </w:r>
      <w:r>
        <w:rPr>
          <w:rFonts w:hint="eastAsia" w:ascii="宋体" w:hAnsi="宋体"/>
          <w:color w:val="000000"/>
        </w:rPr>
        <w:t>投</w:t>
      </w:r>
      <w:r>
        <w:rPr>
          <w:rFonts w:ascii="宋体" w:hAnsi="宋体"/>
          <w:color w:val="000000"/>
        </w:rPr>
        <w:t>标</w:t>
      </w:r>
      <w:r>
        <w:rPr>
          <w:rFonts w:hint="eastAsia" w:ascii="宋体" w:hAnsi="宋体"/>
          <w:color w:val="000000"/>
        </w:rPr>
        <w:t>人必须认真填写本表的每项内容，不得漏项。</w:t>
      </w:r>
    </w:p>
    <w:p>
      <w:pPr>
        <w:pStyle w:val="5"/>
        <w:spacing w:line="360" w:lineRule="auto"/>
        <w:ind w:firstLineChars="200"/>
        <w:rPr>
          <w:rFonts w:hint="eastAsia"/>
          <w:kern w:val="2"/>
        </w:rPr>
      </w:pPr>
      <w:r>
        <w:rPr>
          <w:rFonts w:hint="eastAsia"/>
        </w:rPr>
        <w:t xml:space="preserve">2. </w:t>
      </w:r>
      <w:r>
        <w:rPr>
          <w:rFonts w:hint="eastAsia"/>
          <w:kern w:val="2"/>
        </w:rPr>
        <w:t>偏离程度</w:t>
      </w:r>
      <w:r>
        <w:rPr>
          <w:kern w:val="2"/>
        </w:rPr>
        <w:t>请填写</w:t>
      </w:r>
      <w:r>
        <w:rPr>
          <w:rFonts w:hint="eastAsia"/>
          <w:kern w:val="2"/>
        </w:rPr>
        <w:t>“正偏离、</w:t>
      </w:r>
      <w:r>
        <w:rPr>
          <w:kern w:val="2"/>
        </w:rPr>
        <w:t>负</w:t>
      </w:r>
      <w:r>
        <w:rPr>
          <w:rFonts w:hint="eastAsia"/>
          <w:kern w:val="2"/>
        </w:rPr>
        <w:t>偏离或</w:t>
      </w:r>
      <w:r>
        <w:rPr>
          <w:kern w:val="2"/>
        </w:rPr>
        <w:t>无</w:t>
      </w:r>
      <w:r>
        <w:rPr>
          <w:rFonts w:hint="eastAsia"/>
          <w:kern w:val="2"/>
        </w:rPr>
        <w:t>偏离”字</w:t>
      </w:r>
      <w:r>
        <w:rPr>
          <w:kern w:val="2"/>
        </w:rPr>
        <w:t>样</w:t>
      </w:r>
      <w:r>
        <w:rPr>
          <w:rFonts w:hint="eastAsia"/>
          <w:kern w:val="2"/>
        </w:rPr>
        <w:t>，其中“正偏离”是指投标文件服务响应优于招标文件服务要求；“负偏离”是指投标文件服务响应劣于招标文件服务要求；“无偏离”是指投标文件服务响应与招标文件服务要求无差别。</w:t>
      </w:r>
    </w:p>
    <w:p>
      <w:pPr>
        <w:pStyle w:val="5"/>
        <w:spacing w:line="360" w:lineRule="auto"/>
        <w:ind w:firstLineChars="200"/>
        <w:rPr>
          <w:rFonts w:hint="eastAsia" w:ascii="宋体" w:hAnsi="宋体" w:cs="Arial"/>
          <w:color w:val="000000"/>
          <w:kern w:val="2"/>
          <w:szCs w:val="24"/>
        </w:rPr>
      </w:pPr>
      <w:r>
        <w:rPr>
          <w:rFonts w:hint="eastAsia"/>
          <w:kern w:val="2"/>
        </w:rPr>
        <w:t>3</w:t>
      </w:r>
      <w:r>
        <w:rPr>
          <w:kern w:val="2"/>
        </w:rPr>
        <w:t>. 证</w:t>
      </w:r>
      <w:r>
        <w:rPr>
          <w:rFonts w:hint="eastAsia"/>
          <w:kern w:val="2"/>
        </w:rPr>
        <w:t>明材料</w:t>
      </w:r>
      <w:r>
        <w:rPr>
          <w:kern w:val="2"/>
        </w:rPr>
        <w:t>请填写</w:t>
      </w:r>
      <w:r>
        <w:rPr>
          <w:rFonts w:hint="eastAsia"/>
          <w:kern w:val="2"/>
        </w:rPr>
        <w:t>“</w:t>
      </w:r>
      <w:r>
        <w:rPr>
          <w:kern w:val="2"/>
        </w:rPr>
        <w:t>见</w:t>
      </w:r>
      <w:r>
        <w:rPr>
          <w:rFonts w:hint="eastAsia"/>
          <w:kern w:val="2"/>
        </w:rPr>
        <w:t>本投</w:t>
      </w:r>
      <w:r>
        <w:rPr>
          <w:kern w:val="2"/>
        </w:rPr>
        <w:t>标</w:t>
      </w:r>
      <w:r>
        <w:rPr>
          <w:rFonts w:hint="eastAsia"/>
          <w:kern w:val="2"/>
        </w:rPr>
        <w:t>文件第</w:t>
      </w:r>
      <w:r>
        <w:rPr>
          <w:kern w:val="2"/>
          <w:u w:val="single"/>
        </w:rPr>
        <w:t xml:space="preserve">  </w:t>
      </w:r>
      <w:r>
        <w:rPr>
          <w:kern w:val="2"/>
        </w:rPr>
        <w:t>页</w:t>
      </w:r>
      <w:r>
        <w:rPr>
          <w:rFonts w:hint="eastAsia"/>
          <w:kern w:val="2"/>
        </w:rPr>
        <w:t>，第</w:t>
      </w:r>
      <w:r>
        <w:rPr>
          <w:kern w:val="2"/>
          <w:u w:val="single"/>
        </w:rPr>
        <w:t xml:space="preserve">  </w:t>
      </w:r>
      <w:r>
        <w:rPr>
          <w:rFonts w:hint="eastAsia"/>
          <w:kern w:val="2"/>
        </w:rPr>
        <w:t>行”字</w:t>
      </w:r>
      <w:r>
        <w:rPr>
          <w:kern w:val="2"/>
        </w:rPr>
        <w:t>样</w:t>
      </w:r>
      <w:r>
        <w:rPr>
          <w:rFonts w:hint="eastAsia"/>
          <w:kern w:val="2"/>
        </w:rPr>
        <w:t>。</w:t>
      </w:r>
    </w:p>
    <w:p>
      <w:pPr>
        <w:spacing w:line="400" w:lineRule="exact"/>
        <w:jc w:val="center"/>
        <w:rPr>
          <w:rFonts w:hint="eastAsia" w:ascii="宋体" w:hAnsi="宋体"/>
          <w:b/>
          <w:bCs/>
          <w:iCs/>
          <w:sz w:val="36"/>
          <w:szCs w:val="36"/>
        </w:rPr>
      </w:pPr>
    </w:p>
    <w:p>
      <w:pPr>
        <w:spacing w:line="400" w:lineRule="exact"/>
        <w:jc w:val="both"/>
        <w:rPr>
          <w:rFonts w:hint="eastAsia" w:ascii="宋体" w:hAnsi="宋体"/>
          <w:b/>
          <w:bCs/>
          <w:iCs/>
          <w:sz w:val="36"/>
          <w:szCs w:val="36"/>
        </w:rPr>
      </w:pPr>
      <w:r>
        <w:rPr>
          <w:rFonts w:hint="eastAsia" w:ascii="宋体" w:hAnsi="宋体"/>
          <w:b/>
          <w:color w:val="000000"/>
          <w:sz w:val="24"/>
          <w:szCs w:val="24"/>
        </w:rPr>
        <w:t>格式1-6</w:t>
      </w:r>
    </w:p>
    <w:p>
      <w:pPr>
        <w:spacing w:line="400" w:lineRule="exact"/>
        <w:jc w:val="center"/>
        <w:rPr>
          <w:rFonts w:hint="eastAsia" w:ascii="宋体" w:hAnsi="宋体"/>
          <w:b/>
          <w:bCs/>
          <w:iCs/>
          <w:sz w:val="36"/>
          <w:szCs w:val="36"/>
        </w:rPr>
      </w:pPr>
      <w:r>
        <w:rPr>
          <w:rFonts w:hint="eastAsia" w:ascii="宋体" w:hAnsi="宋体"/>
          <w:b/>
          <w:bCs/>
          <w:iCs/>
          <w:sz w:val="36"/>
          <w:szCs w:val="36"/>
        </w:rPr>
        <w:t>售后服务表</w:t>
      </w:r>
    </w:p>
    <w:p>
      <w:pPr>
        <w:spacing w:line="400" w:lineRule="exact"/>
        <w:jc w:val="center"/>
        <w:rPr>
          <w:rFonts w:hint="eastAsia" w:ascii="宋体" w:hAnsi="宋体"/>
          <w:b/>
          <w:bCs/>
          <w:i/>
          <w:iCs/>
          <w:sz w:val="28"/>
          <w:szCs w:val="28"/>
        </w:rPr>
      </w:pPr>
    </w:p>
    <w:p>
      <w:pPr>
        <w:spacing w:line="400" w:lineRule="exact"/>
        <w:rPr>
          <w:rFonts w:hint="eastAsia" w:ascii="宋体" w:hAnsi="宋体"/>
        </w:rPr>
      </w:pPr>
      <w:r>
        <w:rPr>
          <w:rFonts w:hint="eastAsia" w:ascii="宋体" w:hAnsi="宋体"/>
        </w:rPr>
        <w:t xml:space="preserve">招标项目名称：                   </w:t>
      </w:r>
      <w:r>
        <w:rPr>
          <w:rFonts w:hint="eastAsia" w:ascii="宋体" w:hAnsi="宋体"/>
          <w:szCs w:val="24"/>
        </w:rPr>
        <w:t>招标项目</w:t>
      </w:r>
      <w:r>
        <w:rPr>
          <w:rFonts w:hint="eastAsia" w:ascii="宋体" w:hAnsi="宋体"/>
        </w:rPr>
        <w:t>编号：                 标包号：</w:t>
      </w:r>
    </w:p>
    <w:tbl>
      <w:tblPr>
        <w:tblStyle w:val="1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71"/>
        <w:gridCol w:w="9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wBefore w:w="0" w:type="dxa"/>
        </w:trPr>
        <w:tc>
          <w:tcPr>
            <w:tcW w:w="571" w:type="dxa"/>
            <w:noWrap w:val="0"/>
            <w:vAlign w:val="top"/>
          </w:tcPr>
          <w:p>
            <w:pPr>
              <w:spacing w:line="320" w:lineRule="exact"/>
              <w:jc w:val="center"/>
              <w:rPr>
                <w:rFonts w:ascii="宋体" w:hAnsi="宋体"/>
                <w:spacing w:val="4"/>
                <w:szCs w:val="24"/>
              </w:rPr>
            </w:pPr>
          </w:p>
          <w:p>
            <w:pPr>
              <w:spacing w:line="320" w:lineRule="exact"/>
              <w:jc w:val="center"/>
              <w:rPr>
                <w:rFonts w:ascii="宋体" w:hAnsi="宋体"/>
                <w:spacing w:val="4"/>
                <w:szCs w:val="24"/>
              </w:rPr>
            </w:pPr>
          </w:p>
          <w:p>
            <w:pPr>
              <w:spacing w:line="320" w:lineRule="exact"/>
              <w:jc w:val="center"/>
              <w:rPr>
                <w:rFonts w:ascii="宋体" w:hAnsi="宋体"/>
                <w:spacing w:val="4"/>
                <w:szCs w:val="24"/>
              </w:rPr>
            </w:pPr>
            <w:r>
              <w:rPr>
                <w:rFonts w:hint="eastAsia" w:ascii="宋体" w:hAnsi="宋体"/>
                <w:spacing w:val="4"/>
                <w:szCs w:val="24"/>
              </w:rPr>
              <w:t>可</w:t>
            </w:r>
          </w:p>
          <w:p>
            <w:pPr>
              <w:spacing w:line="320" w:lineRule="exact"/>
              <w:jc w:val="center"/>
              <w:rPr>
                <w:rFonts w:ascii="宋体" w:hAnsi="宋体"/>
                <w:spacing w:val="4"/>
                <w:szCs w:val="24"/>
              </w:rPr>
            </w:pPr>
            <w:r>
              <w:rPr>
                <w:rFonts w:hint="eastAsia" w:ascii="宋体" w:hAnsi="宋体"/>
                <w:spacing w:val="4"/>
                <w:szCs w:val="24"/>
              </w:rPr>
              <w:t>提</w:t>
            </w:r>
          </w:p>
          <w:p>
            <w:pPr>
              <w:spacing w:line="320" w:lineRule="exact"/>
              <w:jc w:val="center"/>
              <w:rPr>
                <w:rFonts w:ascii="宋体" w:hAnsi="宋体"/>
                <w:spacing w:val="4"/>
                <w:szCs w:val="24"/>
              </w:rPr>
            </w:pPr>
            <w:r>
              <w:rPr>
                <w:rFonts w:hint="eastAsia" w:ascii="宋体" w:hAnsi="宋体"/>
                <w:spacing w:val="4"/>
                <w:szCs w:val="24"/>
              </w:rPr>
              <w:t>供</w:t>
            </w:r>
          </w:p>
          <w:p>
            <w:pPr>
              <w:spacing w:line="320" w:lineRule="exact"/>
              <w:jc w:val="center"/>
              <w:rPr>
                <w:rFonts w:ascii="宋体" w:hAnsi="宋体"/>
                <w:spacing w:val="4"/>
                <w:szCs w:val="24"/>
              </w:rPr>
            </w:pPr>
            <w:r>
              <w:rPr>
                <w:rFonts w:hint="eastAsia" w:ascii="宋体" w:hAnsi="宋体"/>
                <w:spacing w:val="4"/>
                <w:szCs w:val="24"/>
              </w:rPr>
              <w:t>的</w:t>
            </w:r>
          </w:p>
          <w:p>
            <w:pPr>
              <w:spacing w:line="320" w:lineRule="exact"/>
              <w:jc w:val="center"/>
              <w:rPr>
                <w:rFonts w:ascii="宋体" w:hAnsi="宋体"/>
                <w:spacing w:val="4"/>
                <w:szCs w:val="24"/>
              </w:rPr>
            </w:pPr>
            <w:r>
              <w:rPr>
                <w:rFonts w:hint="eastAsia" w:ascii="宋体" w:hAnsi="宋体"/>
                <w:spacing w:val="4"/>
                <w:szCs w:val="24"/>
              </w:rPr>
              <w:t>优</w:t>
            </w:r>
          </w:p>
          <w:p>
            <w:pPr>
              <w:spacing w:line="320" w:lineRule="exact"/>
              <w:jc w:val="center"/>
              <w:rPr>
                <w:rFonts w:ascii="宋体" w:hAnsi="宋体"/>
                <w:spacing w:val="4"/>
                <w:szCs w:val="24"/>
              </w:rPr>
            </w:pPr>
            <w:r>
              <w:rPr>
                <w:rFonts w:hint="eastAsia" w:ascii="宋体" w:hAnsi="宋体"/>
                <w:spacing w:val="4"/>
                <w:szCs w:val="24"/>
              </w:rPr>
              <w:t>惠</w:t>
            </w:r>
          </w:p>
          <w:p>
            <w:pPr>
              <w:spacing w:line="320" w:lineRule="exact"/>
              <w:jc w:val="center"/>
              <w:rPr>
                <w:rFonts w:ascii="宋体" w:hAnsi="宋体"/>
                <w:spacing w:val="4"/>
                <w:szCs w:val="24"/>
              </w:rPr>
            </w:pPr>
            <w:r>
              <w:rPr>
                <w:rFonts w:hint="eastAsia" w:ascii="宋体" w:hAnsi="宋体"/>
                <w:spacing w:val="4"/>
                <w:szCs w:val="24"/>
              </w:rPr>
              <w:t>条</w:t>
            </w:r>
          </w:p>
          <w:p>
            <w:pPr>
              <w:spacing w:line="320" w:lineRule="exact"/>
              <w:jc w:val="center"/>
              <w:rPr>
                <w:rFonts w:ascii="宋体" w:hAnsi="宋体"/>
                <w:spacing w:val="4"/>
                <w:szCs w:val="24"/>
              </w:rPr>
            </w:pPr>
            <w:r>
              <w:rPr>
                <w:rFonts w:hint="eastAsia" w:ascii="宋体" w:hAnsi="宋体"/>
                <w:spacing w:val="4"/>
                <w:szCs w:val="24"/>
              </w:rPr>
              <w:t>件</w:t>
            </w:r>
          </w:p>
          <w:p>
            <w:pPr>
              <w:spacing w:line="320" w:lineRule="exact"/>
              <w:jc w:val="center"/>
              <w:rPr>
                <w:rFonts w:ascii="宋体" w:hAnsi="宋体"/>
                <w:spacing w:val="4"/>
                <w:szCs w:val="24"/>
              </w:rPr>
            </w:pPr>
          </w:p>
          <w:p>
            <w:pPr>
              <w:spacing w:line="320" w:lineRule="exact"/>
              <w:jc w:val="center"/>
              <w:rPr>
                <w:rFonts w:ascii="宋体" w:hAnsi="宋体"/>
                <w:spacing w:val="4"/>
                <w:szCs w:val="24"/>
              </w:rPr>
            </w:pPr>
          </w:p>
        </w:tc>
        <w:tc>
          <w:tcPr>
            <w:tcW w:w="9205" w:type="dxa"/>
            <w:noWrap w:val="0"/>
            <w:vAlign w:val="top"/>
          </w:tcPr>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1.</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2.</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3.</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wBefore w:w="0" w:type="dxa"/>
        </w:trPr>
        <w:tc>
          <w:tcPr>
            <w:tcW w:w="571" w:type="dxa"/>
            <w:noWrap w:val="0"/>
            <w:vAlign w:val="top"/>
          </w:tcPr>
          <w:p>
            <w:pPr>
              <w:spacing w:line="320" w:lineRule="exact"/>
              <w:jc w:val="center"/>
              <w:rPr>
                <w:rFonts w:ascii="宋体" w:hAnsi="宋体"/>
                <w:spacing w:val="4"/>
                <w:szCs w:val="24"/>
              </w:rPr>
            </w:pPr>
          </w:p>
          <w:p>
            <w:pPr>
              <w:spacing w:line="320" w:lineRule="exact"/>
              <w:jc w:val="center"/>
              <w:rPr>
                <w:rFonts w:hint="eastAsia" w:ascii="宋体" w:hAnsi="宋体"/>
                <w:spacing w:val="4"/>
                <w:szCs w:val="24"/>
              </w:rPr>
            </w:pPr>
          </w:p>
          <w:p>
            <w:pPr>
              <w:spacing w:line="320" w:lineRule="exact"/>
              <w:jc w:val="center"/>
              <w:rPr>
                <w:rFonts w:hint="eastAsia" w:ascii="宋体" w:hAnsi="宋体"/>
                <w:spacing w:val="4"/>
                <w:szCs w:val="24"/>
              </w:rPr>
            </w:pPr>
            <w:r>
              <w:rPr>
                <w:rFonts w:hint="eastAsia" w:ascii="宋体" w:hAnsi="宋体"/>
                <w:spacing w:val="4"/>
                <w:szCs w:val="24"/>
              </w:rPr>
              <w:t>售</w:t>
            </w:r>
          </w:p>
          <w:p>
            <w:pPr>
              <w:spacing w:line="320" w:lineRule="exact"/>
              <w:jc w:val="center"/>
              <w:rPr>
                <w:rFonts w:hint="eastAsia" w:ascii="宋体" w:hAnsi="宋体"/>
                <w:spacing w:val="4"/>
                <w:szCs w:val="24"/>
              </w:rPr>
            </w:pPr>
            <w:r>
              <w:rPr>
                <w:rFonts w:hint="eastAsia" w:ascii="宋体" w:hAnsi="宋体"/>
                <w:spacing w:val="4"/>
                <w:szCs w:val="24"/>
              </w:rPr>
              <w:t>后</w:t>
            </w:r>
          </w:p>
          <w:p>
            <w:pPr>
              <w:spacing w:line="320" w:lineRule="exact"/>
              <w:jc w:val="center"/>
              <w:rPr>
                <w:rFonts w:ascii="宋体" w:hAnsi="宋体"/>
                <w:spacing w:val="4"/>
                <w:szCs w:val="24"/>
              </w:rPr>
            </w:pPr>
            <w:r>
              <w:rPr>
                <w:rFonts w:hint="eastAsia" w:ascii="宋体" w:hAnsi="宋体"/>
                <w:spacing w:val="4"/>
                <w:szCs w:val="24"/>
              </w:rPr>
              <w:t>服</w:t>
            </w:r>
          </w:p>
          <w:p>
            <w:pPr>
              <w:spacing w:line="320" w:lineRule="exact"/>
              <w:jc w:val="center"/>
              <w:rPr>
                <w:rFonts w:ascii="宋体" w:hAnsi="宋体"/>
                <w:spacing w:val="4"/>
                <w:szCs w:val="24"/>
              </w:rPr>
            </w:pPr>
            <w:r>
              <w:rPr>
                <w:rFonts w:hint="eastAsia" w:ascii="宋体" w:hAnsi="宋体"/>
                <w:spacing w:val="4"/>
                <w:szCs w:val="24"/>
              </w:rPr>
              <w:t>务</w:t>
            </w:r>
          </w:p>
          <w:p>
            <w:pPr>
              <w:spacing w:line="320" w:lineRule="exact"/>
              <w:jc w:val="center"/>
              <w:rPr>
                <w:rFonts w:ascii="宋体" w:hAnsi="宋体"/>
                <w:spacing w:val="4"/>
                <w:szCs w:val="24"/>
              </w:rPr>
            </w:pPr>
            <w:r>
              <w:rPr>
                <w:rFonts w:hint="eastAsia" w:ascii="宋体" w:hAnsi="宋体"/>
                <w:spacing w:val="4"/>
                <w:szCs w:val="24"/>
              </w:rPr>
              <w:t>体</w:t>
            </w:r>
          </w:p>
          <w:p>
            <w:pPr>
              <w:spacing w:line="320" w:lineRule="exact"/>
              <w:jc w:val="center"/>
              <w:rPr>
                <w:rFonts w:ascii="宋体" w:hAnsi="宋体"/>
                <w:spacing w:val="4"/>
                <w:szCs w:val="24"/>
              </w:rPr>
            </w:pPr>
            <w:r>
              <w:rPr>
                <w:rFonts w:hint="eastAsia" w:ascii="宋体" w:hAnsi="宋体"/>
                <w:spacing w:val="4"/>
                <w:szCs w:val="24"/>
              </w:rPr>
              <w:t>系</w:t>
            </w:r>
          </w:p>
          <w:p>
            <w:pPr>
              <w:spacing w:line="320" w:lineRule="exact"/>
              <w:jc w:val="center"/>
              <w:rPr>
                <w:rFonts w:ascii="宋体" w:hAnsi="宋体"/>
                <w:spacing w:val="4"/>
                <w:szCs w:val="24"/>
              </w:rPr>
            </w:pPr>
          </w:p>
          <w:p>
            <w:pPr>
              <w:spacing w:line="320" w:lineRule="exact"/>
              <w:rPr>
                <w:rFonts w:hint="eastAsia" w:ascii="宋体" w:hAnsi="宋体"/>
                <w:spacing w:val="4"/>
                <w:szCs w:val="24"/>
              </w:rPr>
            </w:pPr>
          </w:p>
        </w:tc>
        <w:tc>
          <w:tcPr>
            <w:tcW w:w="9205" w:type="dxa"/>
            <w:noWrap w:val="0"/>
            <w:vAlign w:val="top"/>
          </w:tcPr>
          <w:p>
            <w:pPr>
              <w:spacing w:line="320" w:lineRule="exact"/>
              <w:rPr>
                <w:rFonts w:ascii="宋体" w:hAnsi="宋体"/>
                <w:spacing w:val="4"/>
                <w:szCs w:val="24"/>
              </w:rPr>
            </w:pPr>
            <w:r>
              <w:rPr>
                <w:rFonts w:ascii="宋体" w:hAnsi="宋体"/>
                <w:spacing w:val="4"/>
                <w:szCs w:val="24"/>
              </w:rPr>
              <w:t xml:space="preserve"> </w:t>
            </w:r>
          </w:p>
          <w:p>
            <w:pPr>
              <w:spacing w:line="320" w:lineRule="exact"/>
              <w:rPr>
                <w:rFonts w:ascii="宋体" w:hAnsi="宋体"/>
                <w:spacing w:val="4"/>
                <w:szCs w:val="24"/>
              </w:rPr>
            </w:pPr>
            <w:r>
              <w:rPr>
                <w:rFonts w:ascii="宋体" w:hAnsi="宋体"/>
                <w:spacing w:val="4"/>
                <w:szCs w:val="24"/>
              </w:rPr>
              <w:t xml:space="preserve"> 1.</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2.</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3.</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4.</w:t>
            </w:r>
          </w:p>
        </w:tc>
      </w:tr>
    </w:tbl>
    <w:p>
      <w:pPr>
        <w:spacing w:line="240" w:lineRule="atLeast"/>
        <w:ind w:left="-720" w:leftChars="-343" w:right="-960" w:firstLine="486" w:firstLineChars="196"/>
        <w:rPr>
          <w:rFonts w:hint="eastAsia" w:ascii="宋体" w:hAnsi="宋体"/>
          <w:b/>
          <w:bCs/>
          <w:i/>
          <w:spacing w:val="4"/>
          <w:sz w:val="24"/>
          <w:szCs w:val="24"/>
        </w:rPr>
      </w:pPr>
      <w:r>
        <w:rPr>
          <w:rFonts w:hint="eastAsia" w:ascii="宋体" w:hAnsi="宋体"/>
          <w:b/>
          <w:bCs/>
          <w:i/>
          <w:spacing w:val="4"/>
          <w:sz w:val="24"/>
          <w:szCs w:val="24"/>
        </w:rPr>
        <w:t>（若不够填写可附页）</w:t>
      </w:r>
    </w:p>
    <w:p>
      <w:pPr>
        <w:spacing w:line="240" w:lineRule="atLeast"/>
        <w:ind w:left="-720" w:right="-960"/>
        <w:rPr>
          <w:rFonts w:hint="eastAsia" w:ascii="宋体" w:hAnsi="宋体"/>
          <w:spacing w:val="4"/>
          <w:sz w:val="24"/>
          <w:szCs w:val="24"/>
        </w:rPr>
      </w:pPr>
    </w:p>
    <w:p>
      <w:pPr>
        <w:spacing w:line="240" w:lineRule="atLeast"/>
        <w:ind w:left="-720" w:right="-960"/>
        <w:rPr>
          <w:rFonts w:hint="eastAsia" w:ascii="宋体" w:hAnsi="宋体"/>
          <w:sz w:val="24"/>
          <w:szCs w:val="24"/>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pPr>
      <w:r>
        <w:rPr>
          <w:rFonts w:hint="eastAsia" w:ascii="宋体" w:hAnsi="宋体"/>
          <w:szCs w:val="21"/>
        </w:rPr>
        <w:t xml:space="preserve">日期：    年  月   日 </w:t>
      </w:r>
    </w:p>
    <w:p>
      <w:pPr>
        <w:spacing w:line="400" w:lineRule="exact"/>
        <w:rPr>
          <w:rFonts w:hint="eastAsia" w:ascii="宋体" w:hAnsi="宋体"/>
          <w:b/>
          <w:bCs/>
          <w:i/>
          <w:iCs/>
          <w:sz w:val="28"/>
          <w:szCs w:val="28"/>
        </w:rPr>
      </w:pPr>
    </w:p>
    <w:p>
      <w:pPr>
        <w:spacing w:line="400" w:lineRule="exact"/>
        <w:jc w:val="center"/>
        <w:rPr>
          <w:rFonts w:hint="eastAsia" w:ascii="宋体" w:hAnsi="宋体"/>
          <w:b/>
          <w:color w:val="000000"/>
          <w:sz w:val="24"/>
        </w:rPr>
      </w:pPr>
    </w:p>
    <w:p>
      <w:pPr>
        <w:spacing w:line="400" w:lineRule="exact"/>
        <w:jc w:val="center"/>
        <w:rPr>
          <w:rFonts w:hint="eastAsia" w:ascii="宋体" w:hAnsi="宋体"/>
          <w:b/>
          <w:color w:val="000000"/>
          <w:sz w:val="24"/>
        </w:rPr>
      </w:pPr>
    </w:p>
    <w:p>
      <w:pPr>
        <w:spacing w:line="400" w:lineRule="exact"/>
        <w:jc w:val="center"/>
        <w:rPr>
          <w:rFonts w:hint="eastAsia" w:ascii="宋体" w:hAnsi="宋体"/>
          <w:b/>
          <w:bCs/>
          <w:iCs/>
          <w:sz w:val="36"/>
          <w:szCs w:val="36"/>
        </w:rPr>
      </w:pPr>
    </w:p>
    <w:p>
      <w:pPr>
        <w:spacing w:line="400" w:lineRule="exact"/>
        <w:jc w:val="center"/>
        <w:rPr>
          <w:rFonts w:hint="eastAsia" w:ascii="宋体" w:hAnsi="宋体"/>
          <w:b/>
          <w:bCs/>
          <w:iCs/>
          <w:sz w:val="36"/>
          <w:szCs w:val="36"/>
        </w:rPr>
      </w:pPr>
    </w:p>
    <w:p>
      <w:pPr>
        <w:spacing w:line="400" w:lineRule="exact"/>
        <w:jc w:val="both"/>
        <w:rPr>
          <w:rFonts w:hint="eastAsia" w:ascii="宋体" w:hAnsi="宋体"/>
          <w:b/>
          <w:color w:val="000000"/>
          <w:sz w:val="24"/>
          <w:szCs w:val="24"/>
        </w:rPr>
      </w:pPr>
      <w:r>
        <w:rPr>
          <w:rFonts w:hint="eastAsia" w:ascii="宋体" w:hAnsi="宋体"/>
          <w:b/>
          <w:color w:val="000000"/>
          <w:sz w:val="24"/>
          <w:szCs w:val="24"/>
        </w:rPr>
        <w:t>格式1-7</w:t>
      </w:r>
    </w:p>
    <w:p>
      <w:pPr>
        <w:spacing w:line="400" w:lineRule="exact"/>
        <w:jc w:val="center"/>
        <w:rPr>
          <w:rFonts w:ascii="宋体" w:hAnsi="宋体"/>
          <w:b/>
          <w:bCs/>
          <w:iCs/>
          <w:sz w:val="36"/>
          <w:szCs w:val="36"/>
        </w:rPr>
      </w:pPr>
      <w:r>
        <w:rPr>
          <w:rFonts w:hint="eastAsia" w:ascii="宋体" w:hAnsi="宋体"/>
          <w:b/>
          <w:bCs/>
          <w:iCs/>
          <w:sz w:val="36"/>
          <w:szCs w:val="36"/>
        </w:rPr>
        <w:t>完成的类似项目一览表</w:t>
      </w:r>
    </w:p>
    <w:p>
      <w:pPr>
        <w:spacing w:line="400" w:lineRule="exact"/>
        <w:jc w:val="center"/>
        <w:rPr>
          <w:rFonts w:ascii="宋体" w:hAnsi="宋体"/>
          <w:b/>
          <w:bCs/>
          <w:i/>
          <w:iCs/>
          <w:sz w:val="28"/>
          <w:szCs w:val="28"/>
        </w:rPr>
      </w:pPr>
    </w:p>
    <w:p>
      <w:pPr>
        <w:spacing w:line="400" w:lineRule="exact"/>
        <w:ind w:firstLine="840" w:firstLineChars="400"/>
        <w:rPr>
          <w:rFonts w:ascii="宋体" w:hAnsi="宋体"/>
          <w:b/>
          <w:bCs/>
          <w:color w:val="000000"/>
          <w:lang w:val="zh-CN"/>
        </w:rPr>
      </w:pPr>
      <w:r>
        <w:rPr>
          <w:rFonts w:hint="eastAsia" w:ascii="宋体" w:hAnsi="宋体"/>
        </w:rPr>
        <w:t xml:space="preserve">招标项目名称：                   </w:t>
      </w:r>
      <w:r>
        <w:rPr>
          <w:rFonts w:hint="eastAsia" w:ascii="宋体" w:hAnsi="宋体"/>
          <w:szCs w:val="24"/>
        </w:rPr>
        <w:t>招标项目</w:t>
      </w:r>
      <w:r>
        <w:rPr>
          <w:rFonts w:hint="eastAsia" w:ascii="宋体" w:hAnsi="宋体"/>
        </w:rPr>
        <w:t>编号：                 标包号：</w:t>
      </w:r>
    </w:p>
    <w:tbl>
      <w:tblPr>
        <w:tblStyle w:val="14"/>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序号</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项目名称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项目时间</w:t>
            </w:r>
          </w:p>
          <w:p>
            <w:pPr>
              <w:spacing w:line="360" w:lineRule="auto"/>
              <w:jc w:val="center"/>
              <w:rPr>
                <w:rFonts w:ascii="宋体" w:hAnsi="宋体"/>
                <w:color w:val="000000"/>
              </w:rPr>
            </w:pPr>
            <w:r>
              <w:rPr>
                <w:rFonts w:hint="eastAsia" w:ascii="宋体" w:hAnsi="宋体"/>
                <w:color w:val="000000"/>
                <w:lang w:val="zh-CN"/>
              </w:rPr>
              <w:t>年</w:t>
            </w:r>
            <w:r>
              <w:rPr>
                <w:rFonts w:ascii="宋体" w:hAnsi="宋体"/>
                <w:color w:val="000000"/>
                <w:lang w:val="zh-CN"/>
              </w:rPr>
              <w:t>/</w:t>
            </w:r>
            <w:r>
              <w:rPr>
                <w:rFonts w:hint="eastAsia" w:ascii="宋体" w:hAnsi="宋体"/>
                <w:color w:val="000000"/>
                <w:lang w:val="zh-CN"/>
              </w:rPr>
              <w:t>月</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20"/>
              <w:jc w:val="center"/>
              <w:rPr>
                <w:rFonts w:ascii="宋体" w:hAnsi="宋体"/>
                <w:color w:val="000000"/>
              </w:rPr>
            </w:pPr>
            <w:r>
              <w:rPr>
                <w:rFonts w:hint="eastAsia" w:ascii="宋体" w:hAnsi="宋体"/>
                <w:color w:val="000000"/>
                <w:lang w:val="zh-CN"/>
              </w:rPr>
              <w:t>备</w:t>
            </w:r>
            <w:r>
              <w:rPr>
                <w:rFonts w:ascii="宋体" w:hAnsi="宋体"/>
                <w:color w:val="000000"/>
                <w:lang w:val="zh-CN"/>
              </w:rPr>
              <w:t xml:space="preserve"> </w:t>
            </w:r>
            <w:r>
              <w:rPr>
                <w:rFonts w:hint="eastAsia" w:ascii="宋体" w:hAnsi="宋体"/>
                <w:color w:val="000000"/>
                <w:lang w:val="zh-CN"/>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1</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2</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3</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4</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5</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6</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7</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8</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9</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bl>
    <w:p>
      <w:pPr>
        <w:spacing w:line="360" w:lineRule="auto"/>
        <w:rPr>
          <w:rFonts w:ascii="宋体" w:hAnsi="宋体"/>
          <w:color w:val="000000"/>
          <w:szCs w:val="21"/>
        </w:rPr>
      </w:pPr>
    </w:p>
    <w:p>
      <w:pPr>
        <w:snapToGrid w:val="0"/>
        <w:spacing w:before="50" w:after="142" w:afterLines="50"/>
        <w:rPr>
          <w:rFonts w:ascii="宋体" w:hAnsi="宋体"/>
          <w:b/>
          <w:color w:val="000000"/>
          <w:sz w:val="24"/>
        </w:rPr>
      </w:pPr>
    </w:p>
    <w:p>
      <w:pPr>
        <w:snapToGrid w:val="0"/>
        <w:spacing w:before="50" w:after="142" w:afterLines="50"/>
        <w:rPr>
          <w:rFonts w:ascii="宋体" w:hAnsi="宋体"/>
          <w:b/>
          <w:color w:val="000000"/>
          <w:sz w:val="24"/>
        </w:rPr>
      </w:pPr>
    </w:p>
    <w:p>
      <w:pPr>
        <w:tabs>
          <w:tab w:val="left" w:pos="0"/>
        </w:tabs>
        <w:spacing w:line="400" w:lineRule="exact"/>
        <w:ind w:left="525"/>
        <w:rPr>
          <w:rFonts w:ascii="宋体" w:hAnsi="宋体"/>
          <w:szCs w:val="21"/>
        </w:rPr>
      </w:pPr>
      <w:r>
        <w:rPr>
          <w:rFonts w:hint="eastAsia" w:ascii="宋体" w:hAnsi="宋体"/>
          <w:szCs w:val="21"/>
        </w:rPr>
        <w:t xml:space="preserve">投标人(盖章)：          </w:t>
      </w:r>
    </w:p>
    <w:p>
      <w:pPr>
        <w:tabs>
          <w:tab w:val="left" w:pos="0"/>
        </w:tabs>
        <w:spacing w:line="400" w:lineRule="exact"/>
        <w:ind w:left="525"/>
        <w:rPr>
          <w:rFonts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ascii="宋体" w:hAnsi="宋体"/>
          <w:szCs w:val="21"/>
        </w:rPr>
      </w:pPr>
      <w:r>
        <w:rPr>
          <w:rFonts w:hint="eastAsia" w:ascii="宋体" w:hAnsi="宋体"/>
          <w:szCs w:val="21"/>
        </w:rPr>
        <w:t xml:space="preserve">日期：    年  月   日 </w:t>
      </w: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bookmarkStart w:id="171" w:name="_Toc68595300"/>
      <w:bookmarkStart w:id="172" w:name="_Toc60625831"/>
    </w:p>
    <w:p>
      <w:pPr>
        <w:spacing w:line="400" w:lineRule="exact"/>
        <w:rPr>
          <w:rFonts w:hint="eastAsia" w:ascii="宋体" w:hAnsi="宋体"/>
          <w:b/>
          <w:color w:val="000000"/>
          <w:sz w:val="24"/>
          <w:szCs w:val="24"/>
        </w:rPr>
      </w:pPr>
      <w:r>
        <w:rPr>
          <w:rFonts w:hint="eastAsia" w:ascii="宋体" w:hAnsi="宋体"/>
          <w:b/>
          <w:color w:val="000000"/>
          <w:sz w:val="24"/>
          <w:szCs w:val="24"/>
        </w:rPr>
        <w:t>格式1-8</w:t>
      </w:r>
    </w:p>
    <w:bookmarkEnd w:id="171"/>
    <w:bookmarkEnd w:id="172"/>
    <w:p>
      <w:pPr>
        <w:spacing w:line="400" w:lineRule="exact"/>
        <w:jc w:val="center"/>
        <w:rPr>
          <w:rFonts w:hint="eastAsia" w:ascii="宋体" w:hAnsi="宋体"/>
          <w:b/>
          <w:bCs/>
          <w:iCs/>
          <w:sz w:val="36"/>
          <w:szCs w:val="36"/>
        </w:rPr>
      </w:pPr>
      <w:r>
        <w:rPr>
          <w:rFonts w:hint="eastAsia" w:ascii="宋体" w:hAnsi="宋体"/>
          <w:b/>
          <w:bCs/>
          <w:iCs/>
          <w:sz w:val="36"/>
          <w:szCs w:val="36"/>
        </w:rPr>
        <w:t>项目实施工作人员一览表</w:t>
      </w:r>
    </w:p>
    <w:p>
      <w:pPr>
        <w:spacing w:line="400" w:lineRule="exact"/>
        <w:jc w:val="center"/>
        <w:rPr>
          <w:rFonts w:hint="eastAsia" w:ascii="宋体" w:hAnsi="宋体"/>
          <w:b/>
          <w:bCs/>
          <w:i/>
          <w:iCs/>
          <w:sz w:val="28"/>
          <w:szCs w:val="28"/>
        </w:rPr>
      </w:pPr>
    </w:p>
    <w:p>
      <w:pPr>
        <w:spacing w:line="400" w:lineRule="exact"/>
        <w:ind w:firstLine="840" w:firstLineChars="400"/>
        <w:rPr>
          <w:rFonts w:hint="eastAsia" w:ascii="宋体" w:hAnsi="宋体"/>
        </w:rPr>
      </w:pPr>
      <w:r>
        <w:rPr>
          <w:rFonts w:hint="eastAsia" w:ascii="宋体" w:hAnsi="宋体"/>
        </w:rPr>
        <w:t xml:space="preserve">招标项目名称：                   </w:t>
      </w:r>
      <w:r>
        <w:rPr>
          <w:rFonts w:hint="eastAsia" w:ascii="宋体" w:hAnsi="宋体"/>
          <w:szCs w:val="24"/>
        </w:rPr>
        <w:t>招标项目</w:t>
      </w:r>
      <w:r>
        <w:rPr>
          <w:rFonts w:hint="eastAsia" w:ascii="宋体" w:hAnsi="宋体"/>
        </w:rPr>
        <w:t>编号：                  标包号：</w:t>
      </w:r>
    </w:p>
    <w:tbl>
      <w:tblPr>
        <w:tblStyle w:val="14"/>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1440"/>
        <w:gridCol w:w="2520"/>
        <w:gridCol w:w="239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姓名</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职位</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负责工作任务</w:t>
            </w:r>
          </w:p>
        </w:tc>
        <w:tc>
          <w:tcPr>
            <w:tcW w:w="23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同类项目工作经历</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20"/>
              <w:jc w:val="center"/>
              <w:rPr>
                <w:rFonts w:ascii="宋体" w:hAnsi="宋体"/>
                <w:color w:val="000000"/>
              </w:rPr>
            </w:pPr>
            <w:r>
              <w:rPr>
                <w:rFonts w:hint="eastAsia" w:ascii="宋体" w:hAnsi="宋体"/>
                <w:color w:val="000000"/>
                <w:lang w:val="zh-CN"/>
              </w:rPr>
              <w:t>备</w:t>
            </w:r>
            <w:r>
              <w:rPr>
                <w:rFonts w:ascii="宋体" w:hAnsi="宋体"/>
                <w:color w:val="000000"/>
                <w:lang w:val="zh-CN"/>
              </w:rPr>
              <w:t xml:space="preserve"> </w:t>
            </w:r>
            <w:r>
              <w:rPr>
                <w:rFonts w:hint="eastAsia" w:ascii="宋体" w:hAnsi="宋体"/>
                <w:color w:val="000000"/>
                <w:lang w:val="zh-CN"/>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1</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2</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3</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4</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5</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6</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7</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8</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9</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bl>
    <w:p>
      <w:pPr>
        <w:spacing w:line="360" w:lineRule="auto"/>
        <w:rPr>
          <w:rFonts w:ascii="宋体" w:hAnsi="宋体"/>
          <w:color w:val="000000"/>
          <w:szCs w:val="21"/>
        </w:rPr>
      </w:pPr>
    </w:p>
    <w:p>
      <w:pPr>
        <w:spacing w:line="240" w:lineRule="atLeast"/>
        <w:ind w:left="-720" w:right="-960"/>
        <w:rPr>
          <w:rFonts w:hint="eastAsia" w:ascii="宋体" w:hAnsi="宋体"/>
          <w:spacing w:val="4"/>
        </w:rPr>
      </w:pPr>
    </w:p>
    <w:p>
      <w:pPr>
        <w:spacing w:line="240" w:lineRule="atLeast"/>
        <w:ind w:left="-720" w:leftChars="-343" w:right="-960" w:firstLine="420" w:firstLineChars="200"/>
        <w:rPr>
          <w:rFonts w:hint="eastAsia" w:ascii="宋体" w:hAnsi="宋体"/>
          <w:szCs w:val="24"/>
        </w:rPr>
      </w:pPr>
    </w:p>
    <w:p>
      <w:pPr>
        <w:snapToGrid w:val="0"/>
        <w:spacing w:before="50" w:after="142" w:afterLines="50"/>
        <w:rPr>
          <w:rFonts w:hint="eastAsia" w:ascii="宋体" w:hAnsi="宋体"/>
          <w:b/>
          <w:color w:val="000000"/>
          <w:sz w:val="24"/>
        </w:rPr>
      </w:pPr>
    </w:p>
    <w:p>
      <w:pPr>
        <w:snapToGrid w:val="0"/>
        <w:spacing w:before="50" w:after="142" w:afterLines="50"/>
        <w:rPr>
          <w:rFonts w:hint="eastAsia" w:ascii="宋体" w:hAnsi="宋体"/>
          <w:b/>
          <w:color w:val="000000"/>
          <w:sz w:val="24"/>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pPr>
      <w:r>
        <w:rPr>
          <w:rFonts w:hint="eastAsia" w:ascii="宋体" w:hAnsi="宋体"/>
          <w:szCs w:val="21"/>
        </w:rPr>
        <w:t xml:space="preserve">日期：    年  月   日 </w:t>
      </w: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r>
        <w:rPr>
          <w:rFonts w:hint="eastAsia" w:ascii="宋体" w:hAnsi="宋体"/>
          <w:b/>
          <w:color w:val="000000"/>
          <w:sz w:val="24"/>
          <w:szCs w:val="24"/>
        </w:rPr>
        <w:t>格式1-9</w:t>
      </w:r>
    </w:p>
    <w:p>
      <w:pPr>
        <w:spacing w:line="400" w:lineRule="exact"/>
        <w:jc w:val="center"/>
        <w:rPr>
          <w:rFonts w:hint="eastAsia" w:ascii="宋体" w:hAnsi="宋体"/>
          <w:b/>
          <w:bCs/>
          <w:iCs/>
          <w:sz w:val="36"/>
          <w:szCs w:val="36"/>
        </w:rPr>
      </w:pPr>
      <w:r>
        <w:rPr>
          <w:rFonts w:hint="eastAsia" w:ascii="宋体" w:hAnsi="宋体"/>
          <w:b/>
          <w:bCs/>
          <w:iCs/>
          <w:sz w:val="36"/>
          <w:szCs w:val="36"/>
        </w:rPr>
        <w:t>投标产品详情</w:t>
      </w:r>
    </w:p>
    <w:p>
      <w:pPr>
        <w:spacing w:line="400" w:lineRule="exact"/>
        <w:jc w:val="center"/>
        <w:rPr>
          <w:rFonts w:hint="eastAsia" w:ascii="宋体" w:hAnsi="宋体"/>
          <w:b/>
          <w:bCs/>
          <w:iCs/>
          <w:sz w:val="36"/>
          <w:szCs w:val="36"/>
        </w:rPr>
      </w:pPr>
      <w:r>
        <w:rPr>
          <w:rFonts w:hint="eastAsia" w:ascii="宋体" w:hAnsi="宋体"/>
          <w:b/>
          <w:bCs/>
          <w:iCs/>
          <w:sz w:val="36"/>
          <w:szCs w:val="36"/>
        </w:rPr>
        <w:t>合理化建议</w:t>
      </w:r>
    </w:p>
    <w:p>
      <w:pPr>
        <w:spacing w:line="400" w:lineRule="exact"/>
        <w:jc w:val="center"/>
        <w:rPr>
          <w:rFonts w:hint="eastAsia" w:ascii="宋体" w:hAnsi="宋体"/>
          <w:b/>
          <w:bCs/>
          <w:iCs/>
          <w:sz w:val="36"/>
          <w:szCs w:val="36"/>
        </w:rPr>
      </w:pPr>
      <w:r>
        <w:rPr>
          <w:rFonts w:hint="eastAsia" w:ascii="宋体" w:hAnsi="宋体"/>
          <w:b/>
          <w:bCs/>
          <w:iCs/>
          <w:sz w:val="36"/>
          <w:szCs w:val="36"/>
        </w:rPr>
        <w:t>其他与评分有关的证明材料</w:t>
      </w:r>
    </w:p>
    <w:p>
      <w:pPr>
        <w:spacing w:line="400" w:lineRule="exact"/>
        <w:jc w:val="center"/>
        <w:rPr>
          <w:rFonts w:hint="eastAsia" w:ascii="宋体" w:hAnsi="宋体"/>
          <w:b/>
          <w:bCs/>
          <w:iCs/>
          <w:sz w:val="36"/>
          <w:szCs w:val="36"/>
        </w:rPr>
      </w:pPr>
      <w:r>
        <w:rPr>
          <w:rFonts w:hint="eastAsia" w:ascii="宋体" w:hAnsi="宋体"/>
          <w:b/>
          <w:bCs/>
          <w:iCs/>
          <w:sz w:val="36"/>
          <w:szCs w:val="36"/>
        </w:rPr>
        <w:t>投标人认为有必要提供的资料等</w:t>
      </w:r>
    </w:p>
    <w:p>
      <w:pPr>
        <w:spacing w:line="400" w:lineRule="exact"/>
        <w:jc w:val="center"/>
        <w:rPr>
          <w:rFonts w:hint="eastAsia" w:ascii="宋体" w:hAnsi="宋体"/>
          <w:bCs/>
          <w:iCs/>
          <w:sz w:val="36"/>
          <w:szCs w:val="36"/>
        </w:rPr>
      </w:pPr>
      <w:r>
        <w:rPr>
          <w:rFonts w:hint="eastAsia" w:ascii="宋体" w:hAnsi="宋体"/>
          <w:bCs/>
          <w:iCs/>
          <w:sz w:val="36"/>
          <w:szCs w:val="36"/>
        </w:rPr>
        <w:t>（格式自拟）</w:t>
      </w: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80" w:lineRule="exact"/>
        <w:rPr>
          <w:rFonts w:hint="eastAsia" w:ascii="宋体" w:hAnsi="宋体"/>
          <w:b/>
          <w:color w:val="000000"/>
          <w:sz w:val="24"/>
          <w:szCs w:val="24"/>
        </w:rPr>
      </w:pPr>
      <w:r>
        <w:rPr>
          <w:rFonts w:hint="eastAsia" w:ascii="黑体" w:hAnsi="宋体" w:eastAsia="黑体" w:cs="Lucida Sans Unicode"/>
          <w:b/>
          <w:i/>
          <w:color w:val="000000"/>
          <w:sz w:val="28"/>
          <w:szCs w:val="28"/>
        </w:rPr>
        <w:t>投标报价部分（独立封包）</w:t>
      </w:r>
    </w:p>
    <w:p>
      <w:pPr>
        <w:spacing w:line="400" w:lineRule="exact"/>
        <w:rPr>
          <w:rFonts w:hint="eastAsia" w:ascii="宋体" w:hAnsi="宋体"/>
          <w:b/>
          <w:color w:val="000000"/>
          <w:sz w:val="24"/>
          <w:szCs w:val="24"/>
        </w:rPr>
      </w:pPr>
      <w:r>
        <w:rPr>
          <w:rFonts w:hint="eastAsia" w:ascii="宋体" w:hAnsi="宋体"/>
          <w:b/>
          <w:color w:val="000000"/>
          <w:sz w:val="24"/>
          <w:szCs w:val="24"/>
        </w:rPr>
        <w:t>格式2-1</w:t>
      </w:r>
    </w:p>
    <w:p>
      <w:pPr>
        <w:spacing w:line="400" w:lineRule="exact"/>
        <w:jc w:val="center"/>
        <w:rPr>
          <w:rFonts w:hint="eastAsia" w:ascii="宋体" w:hAnsi="宋体"/>
          <w:b/>
          <w:bCs/>
          <w:iCs/>
          <w:sz w:val="36"/>
          <w:szCs w:val="36"/>
        </w:rPr>
      </w:pPr>
      <w:r>
        <w:rPr>
          <w:rFonts w:hint="eastAsia" w:ascii="宋体" w:hAnsi="宋体"/>
          <w:b/>
          <w:bCs/>
          <w:iCs/>
          <w:sz w:val="36"/>
          <w:szCs w:val="36"/>
        </w:rPr>
        <w:t>投标函</w:t>
      </w:r>
    </w:p>
    <w:p>
      <w:pPr>
        <w:spacing w:line="400" w:lineRule="exact"/>
        <w:rPr>
          <w:rFonts w:hint="eastAsia" w:ascii="宋体" w:hAnsi="宋体"/>
          <w:b/>
          <w:bCs/>
          <w:i/>
          <w:iCs/>
          <w:sz w:val="44"/>
          <w:szCs w:val="32"/>
        </w:rPr>
      </w:pPr>
    </w:p>
    <w:p>
      <w:pPr>
        <w:spacing w:line="400" w:lineRule="exact"/>
        <w:jc w:val="center"/>
        <w:rPr>
          <w:rFonts w:hint="eastAsia" w:ascii="宋体" w:hAnsi="宋体"/>
          <w:b/>
          <w:bCs/>
          <w:i/>
          <w:iCs/>
          <w:sz w:val="44"/>
          <w:szCs w:val="32"/>
        </w:rPr>
      </w:pPr>
    </w:p>
    <w:p>
      <w:pPr>
        <w:spacing w:line="400" w:lineRule="exact"/>
        <w:rPr>
          <w:rFonts w:hint="eastAsia" w:ascii="宋体" w:hAnsi="宋体"/>
          <w:szCs w:val="21"/>
        </w:rPr>
      </w:pPr>
      <w:r>
        <w:rPr>
          <w:rFonts w:hint="eastAsia" w:ascii="宋体" w:hAnsi="宋体"/>
          <w:szCs w:val="21"/>
        </w:rPr>
        <w:t>致：</w:t>
      </w:r>
      <w:r>
        <w:rPr>
          <w:rFonts w:hint="eastAsia" w:ascii="宋体" w:hAnsi="宋体"/>
          <w:szCs w:val="21"/>
          <w:u w:val="single"/>
        </w:rPr>
        <w:t>宁波市海曙区公共资源交易中心</w:t>
      </w:r>
      <w:r>
        <w:rPr>
          <w:rFonts w:hint="eastAsia" w:ascii="宋体" w:hAnsi="宋体"/>
          <w:szCs w:val="21"/>
        </w:rPr>
        <w:t xml:space="preserve"> </w:t>
      </w:r>
    </w:p>
    <w:p>
      <w:pPr>
        <w:spacing w:line="400" w:lineRule="exact"/>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（投标人全称）授权 </w:t>
      </w:r>
      <w:r>
        <w:rPr>
          <w:rFonts w:hint="eastAsia" w:ascii="宋体" w:hAnsi="宋体"/>
          <w:szCs w:val="21"/>
          <w:u w:val="single"/>
        </w:rPr>
        <w:t xml:space="preserve">              </w:t>
      </w:r>
      <w:r>
        <w:rPr>
          <w:rFonts w:hint="eastAsia" w:ascii="宋体" w:hAnsi="宋体"/>
          <w:szCs w:val="21"/>
        </w:rPr>
        <w:t>（全权代表姓名）</w:t>
      </w:r>
      <w:r>
        <w:rPr>
          <w:rFonts w:hint="eastAsia" w:ascii="宋体" w:hAnsi="宋体"/>
          <w:szCs w:val="21"/>
          <w:u w:val="single"/>
        </w:rPr>
        <w:t xml:space="preserve">                  </w:t>
      </w:r>
      <w:r>
        <w:rPr>
          <w:rFonts w:hint="eastAsia" w:ascii="宋体" w:hAnsi="宋体"/>
          <w:szCs w:val="21"/>
        </w:rPr>
        <w:t>（职务、职称）为全权代表，参加贵方组织的</w:t>
      </w:r>
      <w:r>
        <w:rPr>
          <w:rFonts w:hint="eastAsia" w:ascii="宋体" w:hAnsi="宋体"/>
          <w:szCs w:val="21"/>
          <w:u w:val="single"/>
        </w:rPr>
        <w:t xml:space="preserve">        </w:t>
      </w:r>
    </w:p>
    <w:p>
      <w:pPr>
        <w:spacing w:line="400" w:lineRule="exact"/>
        <w:rPr>
          <w:rFonts w:hint="eastAsia" w:ascii="宋体" w:hAnsi="宋体"/>
          <w:szCs w:val="21"/>
          <w:u w:val="single"/>
        </w:rPr>
      </w:pPr>
      <w:r>
        <w:rPr>
          <w:rFonts w:hint="eastAsia" w:ascii="宋体" w:hAnsi="宋体"/>
          <w:szCs w:val="21"/>
          <w:u w:val="single"/>
        </w:rPr>
        <w:t xml:space="preserve">               </w:t>
      </w:r>
      <w:r>
        <w:rPr>
          <w:rFonts w:hint="eastAsia" w:ascii="宋体" w:hAnsi="宋体"/>
          <w:szCs w:val="21"/>
        </w:rPr>
        <w:t>（招标编号、招标项目名称）招标的有关活动，并对</w:t>
      </w:r>
      <w:r>
        <w:rPr>
          <w:rFonts w:hint="eastAsia" w:ascii="宋体" w:hAnsi="宋体"/>
          <w:szCs w:val="21"/>
          <w:u w:val="single"/>
        </w:rPr>
        <w:t xml:space="preserve">               </w:t>
      </w:r>
    </w:p>
    <w:p>
      <w:pPr>
        <w:spacing w:line="40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（标包号、标包名称）进行投标。据此函，全权代表宣布同意如下：</w:t>
      </w:r>
    </w:p>
    <w:p>
      <w:pPr>
        <w:numPr>
          <w:ilvl w:val="0"/>
          <w:numId w:val="14"/>
        </w:numPr>
        <w:tabs>
          <w:tab w:val="left" w:pos="540"/>
        </w:tabs>
        <w:spacing w:line="400" w:lineRule="exact"/>
        <w:rPr>
          <w:rFonts w:hint="eastAsia" w:ascii="宋体" w:hAnsi="宋体"/>
          <w:szCs w:val="21"/>
        </w:rPr>
      </w:pPr>
      <w:r>
        <w:rPr>
          <w:rFonts w:hint="eastAsia" w:ascii="宋体" w:hAnsi="宋体"/>
          <w:szCs w:val="21"/>
        </w:rPr>
        <w:t>提供投标须知规定的全部投标文件：</w:t>
      </w:r>
    </w:p>
    <w:p>
      <w:pPr>
        <w:tabs>
          <w:tab w:val="left" w:pos="945"/>
          <w:tab w:val="left" w:pos="1260"/>
        </w:tabs>
        <w:spacing w:line="400" w:lineRule="exact"/>
        <w:ind w:left="735" w:leftChars="350" w:firstLine="105" w:firstLineChars="50"/>
        <w:rPr>
          <w:rFonts w:hint="eastAsia" w:ascii="宋体" w:hAnsi="宋体"/>
          <w:szCs w:val="21"/>
        </w:rPr>
      </w:pPr>
      <w:r>
        <w:rPr>
          <w:rFonts w:hint="eastAsia" w:ascii="宋体" w:hAnsi="宋体"/>
          <w:szCs w:val="21"/>
        </w:rPr>
        <w:t>投标书（包括投标报价文件、资格技术文件等）正本1份，副本</w:t>
      </w:r>
      <w:r>
        <w:rPr>
          <w:rFonts w:hint="eastAsia" w:ascii="宋体" w:hAnsi="宋体"/>
          <w:szCs w:val="21"/>
          <w:lang w:val="en-US" w:eastAsia="zh-CN"/>
        </w:rPr>
        <w:t>7</w:t>
      </w:r>
      <w:r>
        <w:rPr>
          <w:rFonts w:hint="eastAsia" w:ascii="宋体" w:hAnsi="宋体"/>
          <w:szCs w:val="21"/>
        </w:rPr>
        <w:t>份；</w:t>
      </w:r>
    </w:p>
    <w:p>
      <w:pPr>
        <w:spacing w:line="440" w:lineRule="atLeast"/>
        <w:ind w:firstLine="525" w:firstLineChars="250"/>
        <w:rPr>
          <w:rFonts w:hint="eastAsia" w:ascii="宋体" w:hAnsi="宋体" w:cs="宋体"/>
          <w:lang w:val="zh-CN"/>
        </w:rPr>
      </w:pPr>
      <w:r>
        <w:rPr>
          <w:rFonts w:hint="eastAsia" w:ascii="宋体" w:hAnsi="宋体"/>
          <w:szCs w:val="21"/>
        </w:rPr>
        <w:t>2、投标项目标包的总价为：</w:t>
      </w:r>
      <w:r>
        <w:rPr>
          <w:rFonts w:hint="eastAsia" w:ascii="宋体" w:hAnsi="宋体"/>
          <w:szCs w:val="21"/>
          <w:u w:val="single"/>
        </w:rPr>
        <w:t xml:space="preserve">                 </w:t>
      </w:r>
      <w:r>
        <w:rPr>
          <w:rFonts w:hint="eastAsia" w:ascii="宋体" w:hAnsi="宋体"/>
          <w:szCs w:val="21"/>
        </w:rPr>
        <w:t>（人民币：元）。</w:t>
      </w:r>
    </w:p>
    <w:p>
      <w:pPr>
        <w:spacing w:line="400" w:lineRule="exact"/>
        <w:ind w:left="525"/>
        <w:rPr>
          <w:rFonts w:hint="eastAsia" w:ascii="宋体" w:hAnsi="宋体"/>
          <w:szCs w:val="21"/>
        </w:rPr>
      </w:pPr>
      <w:r>
        <w:rPr>
          <w:rFonts w:hint="eastAsia" w:ascii="宋体" w:hAnsi="宋体"/>
          <w:szCs w:val="21"/>
        </w:rPr>
        <w:t>3、</w:t>
      </w:r>
      <w:r>
        <w:rPr>
          <w:rFonts w:ascii="宋体" w:hAnsi="宋体"/>
          <w:szCs w:val="21"/>
        </w:rPr>
        <w:t>投标人已详细审查全部招标文件，包括修改文件（如需要修改）以及全部参考资料和有关附件。我们完全理解并同意放弃对这方面有不明及误解的权利</w:t>
      </w:r>
      <w:r>
        <w:rPr>
          <w:rFonts w:hint="eastAsia" w:ascii="宋体" w:hAnsi="宋体"/>
          <w:szCs w:val="21"/>
        </w:rPr>
        <w:t>，并将严格遵守《中华人民共和国政府采购法》第七十七条规定</w:t>
      </w:r>
      <w:r>
        <w:rPr>
          <w:rFonts w:ascii="宋体" w:hAnsi="宋体"/>
          <w:szCs w:val="21"/>
        </w:rPr>
        <w:t>。</w:t>
      </w:r>
    </w:p>
    <w:p>
      <w:pPr>
        <w:tabs>
          <w:tab w:val="left" w:pos="0"/>
        </w:tabs>
        <w:spacing w:line="400" w:lineRule="exact"/>
        <w:ind w:left="525"/>
        <w:rPr>
          <w:rFonts w:hint="eastAsia" w:ascii="宋体" w:hAnsi="宋体"/>
          <w:szCs w:val="21"/>
        </w:rPr>
      </w:pPr>
      <w:r>
        <w:rPr>
          <w:rFonts w:hint="eastAsia" w:ascii="宋体" w:hAnsi="宋体"/>
          <w:szCs w:val="21"/>
        </w:rPr>
        <w:t>4、</w:t>
      </w:r>
      <w:r>
        <w:rPr>
          <w:rFonts w:ascii="宋体" w:hAnsi="宋体"/>
          <w:szCs w:val="21"/>
        </w:rPr>
        <w:t>投标人将按招标文件的规定履行合同责任和义务。</w:t>
      </w:r>
    </w:p>
    <w:p>
      <w:pPr>
        <w:tabs>
          <w:tab w:val="left" w:pos="-315"/>
        </w:tabs>
        <w:spacing w:line="400" w:lineRule="exact"/>
        <w:ind w:left="525"/>
        <w:rPr>
          <w:rFonts w:hint="eastAsia" w:ascii="宋体" w:hAnsi="宋体"/>
          <w:szCs w:val="21"/>
        </w:rPr>
      </w:pPr>
      <w:r>
        <w:rPr>
          <w:rFonts w:hint="eastAsia" w:ascii="宋体" w:hAnsi="宋体"/>
          <w:szCs w:val="21"/>
        </w:rPr>
        <w:t>5、</w:t>
      </w:r>
      <w:r>
        <w:rPr>
          <w:rFonts w:ascii="宋体" w:hAnsi="宋体"/>
          <w:szCs w:val="21"/>
        </w:rPr>
        <w:t>投标人同意提供按照贵方可能要求的与其投标有关的一切数据或资料，完全理解不一定要接受最低价格的投标。</w:t>
      </w:r>
    </w:p>
    <w:p>
      <w:pPr>
        <w:tabs>
          <w:tab w:val="left" w:pos="720"/>
        </w:tabs>
        <w:spacing w:line="400" w:lineRule="exact"/>
        <w:ind w:left="525"/>
        <w:rPr>
          <w:rFonts w:hint="eastAsia" w:ascii="宋体" w:hAnsi="宋体"/>
          <w:szCs w:val="21"/>
        </w:rPr>
      </w:pPr>
      <w:r>
        <w:rPr>
          <w:rFonts w:hint="eastAsia" w:ascii="宋体" w:hAnsi="宋体"/>
          <w:szCs w:val="21"/>
        </w:rPr>
        <w:t>6、本投标自开标之日起</w:t>
      </w:r>
      <w:r>
        <w:rPr>
          <w:rFonts w:hint="eastAsia" w:ascii="宋体" w:hAnsi="宋体"/>
          <w:szCs w:val="21"/>
          <w:u w:val="single"/>
        </w:rPr>
        <w:t xml:space="preserve">       </w:t>
      </w:r>
      <w:r>
        <w:rPr>
          <w:rFonts w:hint="eastAsia" w:ascii="宋体" w:hAnsi="宋体"/>
          <w:szCs w:val="21"/>
        </w:rPr>
        <w:t>天内有效。</w:t>
      </w:r>
    </w:p>
    <w:p>
      <w:pPr>
        <w:spacing w:line="400" w:lineRule="exact"/>
        <w:ind w:left="525"/>
        <w:rPr>
          <w:rFonts w:hint="eastAsia" w:ascii="宋体" w:hAnsi="宋体"/>
          <w:szCs w:val="21"/>
        </w:rPr>
      </w:pPr>
      <w:r>
        <w:rPr>
          <w:rFonts w:hint="eastAsia" w:ascii="宋体" w:hAnsi="宋体"/>
          <w:szCs w:val="21"/>
        </w:rPr>
        <w:t>7、与本投标有关的一切往来通信请寄：</w:t>
      </w:r>
    </w:p>
    <w:p>
      <w:pPr>
        <w:spacing w:line="400" w:lineRule="exact"/>
        <w:ind w:left="525"/>
        <w:rPr>
          <w:rFonts w:hint="eastAsia" w:ascii="宋体" w:hAnsi="宋体"/>
          <w:szCs w:val="21"/>
        </w:rPr>
      </w:pPr>
    </w:p>
    <w:p>
      <w:pPr>
        <w:spacing w:line="400" w:lineRule="exact"/>
        <w:ind w:left="525"/>
        <w:rPr>
          <w:rFonts w:hint="eastAsia" w:ascii="宋体" w:hAnsi="宋体"/>
          <w:szCs w:val="21"/>
        </w:rPr>
      </w:pPr>
      <w:r>
        <w:rPr>
          <w:rFonts w:hint="eastAsia" w:ascii="宋体" w:hAnsi="宋体"/>
          <w:szCs w:val="21"/>
        </w:rPr>
        <w:t>名称：</w:t>
      </w:r>
      <w:r>
        <w:rPr>
          <w:rFonts w:hint="eastAsia" w:ascii="宋体" w:hAnsi="宋体"/>
          <w:szCs w:val="21"/>
          <w:u w:val="single"/>
        </w:rPr>
        <w:t xml:space="preserve">                                 </w:t>
      </w:r>
    </w:p>
    <w:p>
      <w:pPr>
        <w:spacing w:line="400" w:lineRule="exact"/>
        <w:ind w:left="525"/>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 xml:space="preserve">邮编： </w:t>
      </w:r>
      <w:r>
        <w:rPr>
          <w:rFonts w:hint="eastAsia" w:ascii="宋体" w:hAnsi="宋体"/>
          <w:szCs w:val="21"/>
          <w:u w:val="single"/>
        </w:rPr>
        <w:t xml:space="preserve">            </w:t>
      </w:r>
      <w:r>
        <w:rPr>
          <w:rFonts w:hint="eastAsia" w:ascii="宋体" w:hAnsi="宋体"/>
          <w:szCs w:val="21"/>
        </w:rPr>
        <w:t xml:space="preserve"> </w:t>
      </w:r>
    </w:p>
    <w:p>
      <w:pPr>
        <w:spacing w:line="400" w:lineRule="exact"/>
        <w:ind w:left="525"/>
        <w:rPr>
          <w:rFonts w:hint="eastAsia" w:ascii="宋体" w:hAnsi="宋体"/>
          <w:szCs w:val="21"/>
        </w:rPr>
      </w:pPr>
      <w:r>
        <w:rPr>
          <w:rFonts w:hint="eastAsia" w:ascii="宋体" w:hAnsi="宋体"/>
          <w:szCs w:val="21"/>
        </w:rPr>
        <w:t>联系人：</w:t>
      </w:r>
      <w:r>
        <w:rPr>
          <w:rFonts w:hint="eastAsia" w:ascii="宋体" w:hAnsi="宋体"/>
          <w:szCs w:val="21"/>
          <w:u w:val="single"/>
        </w:rPr>
        <w:t xml:space="preserve">            </w:t>
      </w:r>
      <w:r>
        <w:rPr>
          <w:rFonts w:hint="eastAsia" w:ascii="宋体" w:hAnsi="宋体"/>
          <w:szCs w:val="21"/>
        </w:rPr>
        <w:t xml:space="preserve">电话： </w:t>
      </w:r>
      <w:r>
        <w:rPr>
          <w:rFonts w:hint="eastAsia" w:ascii="宋体" w:hAnsi="宋体"/>
          <w:szCs w:val="21"/>
          <w:u w:val="single"/>
        </w:rPr>
        <w:t xml:space="preserve">           </w:t>
      </w:r>
      <w:r>
        <w:rPr>
          <w:rFonts w:hint="eastAsia" w:ascii="宋体" w:hAnsi="宋体"/>
          <w:szCs w:val="21"/>
        </w:rPr>
        <w:t xml:space="preserve">     传真：</w:t>
      </w:r>
      <w:r>
        <w:rPr>
          <w:rFonts w:hint="eastAsia" w:ascii="宋体" w:hAnsi="宋体"/>
          <w:szCs w:val="21"/>
          <w:u w:val="single"/>
        </w:rPr>
        <w:t xml:space="preserve">             </w:t>
      </w:r>
      <w:r>
        <w:rPr>
          <w:rFonts w:hint="eastAsia" w:ascii="宋体" w:hAnsi="宋体"/>
          <w:szCs w:val="21"/>
        </w:rPr>
        <w:t xml:space="preserve"> </w:t>
      </w:r>
    </w:p>
    <w:p>
      <w:pPr>
        <w:spacing w:line="400" w:lineRule="exact"/>
        <w:ind w:left="525"/>
        <w:rPr>
          <w:rFonts w:hint="eastAsia" w:ascii="宋体" w:hAnsi="宋体"/>
          <w:szCs w:val="21"/>
        </w:rPr>
      </w:pPr>
      <w:r>
        <w:rPr>
          <w:rFonts w:hint="eastAsia" w:ascii="宋体" w:hAnsi="宋体"/>
          <w:szCs w:val="21"/>
        </w:rPr>
        <w:t>移动电话：</w:t>
      </w:r>
      <w:r>
        <w:rPr>
          <w:rFonts w:hint="eastAsia" w:ascii="宋体" w:hAnsi="宋体"/>
          <w:szCs w:val="21"/>
          <w:u w:val="single"/>
        </w:rPr>
        <w:t xml:space="preserve">                 </w:t>
      </w:r>
      <w:r>
        <w:rPr>
          <w:rFonts w:hint="eastAsia" w:ascii="宋体" w:hAnsi="宋体"/>
          <w:szCs w:val="21"/>
        </w:rPr>
        <w:t>电子邮件：</w:t>
      </w:r>
      <w:r>
        <w:rPr>
          <w:rFonts w:hint="eastAsia" w:ascii="宋体" w:hAnsi="宋体"/>
          <w:szCs w:val="21"/>
          <w:u w:val="single"/>
        </w:rPr>
        <w:t xml:space="preserve">             </w:t>
      </w:r>
    </w:p>
    <w:p>
      <w:pPr>
        <w:spacing w:line="400" w:lineRule="exact"/>
        <w:ind w:left="525"/>
        <w:rPr>
          <w:rFonts w:hint="eastAsia" w:ascii="宋体" w:hAnsi="宋体"/>
          <w:szCs w:val="21"/>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pPr>
      <w:r>
        <w:rPr>
          <w:rFonts w:hint="eastAsia" w:ascii="宋体" w:hAnsi="宋体"/>
          <w:szCs w:val="21"/>
        </w:rPr>
        <w:t xml:space="preserve">日期：    年  月   日 </w:t>
      </w:r>
    </w:p>
    <w:p>
      <w:pPr>
        <w:spacing w:line="360" w:lineRule="auto"/>
        <w:rPr>
          <w:rFonts w:hint="eastAsia" w:ascii="宋体" w:hAnsi="宋体"/>
          <w:kern w:val="2"/>
        </w:rPr>
        <w:sectPr>
          <w:pgSz w:w="11907" w:h="16840"/>
          <w:pgMar w:top="1418" w:right="1077" w:bottom="1418" w:left="1106" w:header="720" w:footer="720" w:gutter="0"/>
          <w:pgBorders>
            <w:top w:val="none" w:sz="0" w:space="0"/>
            <w:left w:val="none" w:sz="0" w:space="0"/>
            <w:bottom w:val="none" w:sz="0" w:space="0"/>
            <w:right w:val="none" w:sz="0" w:space="0"/>
          </w:pgBorders>
          <w:pgNumType w:fmt="decimal"/>
          <w:cols w:space="720" w:num="1"/>
          <w:titlePg/>
          <w:docGrid w:type="linesAndChars" w:linePitch="285" w:charSpace="0"/>
        </w:sectPr>
      </w:pPr>
    </w:p>
    <w:p>
      <w:pPr>
        <w:spacing w:line="480" w:lineRule="exact"/>
        <w:rPr>
          <w:rFonts w:ascii="宋体" w:hAnsi="宋体"/>
          <w:b/>
          <w:color w:val="000000"/>
          <w:sz w:val="24"/>
          <w:szCs w:val="24"/>
        </w:rPr>
      </w:pPr>
      <w:r>
        <w:rPr>
          <w:rFonts w:hint="eastAsia" w:ascii="宋体" w:hAnsi="宋体"/>
          <w:b/>
          <w:color w:val="000000"/>
          <w:sz w:val="24"/>
          <w:szCs w:val="24"/>
        </w:rPr>
        <w:t>格式2-2</w:t>
      </w:r>
    </w:p>
    <w:p>
      <w:pPr>
        <w:spacing w:line="400" w:lineRule="exact"/>
        <w:jc w:val="center"/>
        <w:rPr>
          <w:rFonts w:hint="eastAsia" w:ascii="宋体" w:hAnsi="宋体"/>
          <w:b/>
          <w:bCs/>
          <w:iCs/>
          <w:sz w:val="36"/>
          <w:szCs w:val="36"/>
        </w:rPr>
      </w:pPr>
      <w:r>
        <w:rPr>
          <w:rFonts w:hint="eastAsia" w:ascii="宋体" w:hAnsi="宋体"/>
          <w:b/>
          <w:bCs/>
          <w:iCs/>
          <w:sz w:val="36"/>
          <w:szCs w:val="36"/>
        </w:rPr>
        <w:t>开标一览表（报价表）</w:t>
      </w:r>
    </w:p>
    <w:p>
      <w:pPr>
        <w:rPr>
          <w:rFonts w:hint="eastAsia" w:ascii="宋体" w:hAnsi="宋体"/>
        </w:rPr>
      </w:pPr>
    </w:p>
    <w:p>
      <w:pPr>
        <w:spacing w:line="400" w:lineRule="exact"/>
        <w:rPr>
          <w:rFonts w:hint="eastAsia" w:ascii="宋体" w:hAnsi="宋体"/>
          <w:u w:val="single"/>
        </w:rPr>
      </w:pPr>
      <w:r>
        <w:rPr>
          <w:rFonts w:hint="eastAsia" w:ascii="宋体" w:hAnsi="宋体"/>
        </w:rPr>
        <w:t xml:space="preserve">  招标项目名称：</w:t>
      </w:r>
      <w:r>
        <w:rPr>
          <w:rFonts w:hint="eastAsia" w:ascii="宋体" w:hAnsi="宋体"/>
          <w:u w:val="single"/>
        </w:rPr>
        <w:t xml:space="preserve">                           </w:t>
      </w:r>
      <w:r>
        <w:rPr>
          <w:rFonts w:hint="eastAsia" w:ascii="宋体" w:hAnsi="宋体"/>
        </w:rPr>
        <w:t>招标项目编号：</w:t>
      </w:r>
      <w:r>
        <w:rPr>
          <w:rFonts w:hint="eastAsia" w:ascii="宋体" w:hAnsi="宋体"/>
          <w:u w:val="single"/>
        </w:rPr>
        <w:t xml:space="preserve">                       </w:t>
      </w:r>
      <w:r>
        <w:rPr>
          <w:rFonts w:hint="eastAsia" w:ascii="宋体" w:hAnsi="宋体"/>
        </w:rPr>
        <w:t xml:space="preserve"> 标包号：</w:t>
      </w:r>
      <w:r>
        <w:rPr>
          <w:rFonts w:hint="eastAsia" w:ascii="宋体" w:hAnsi="宋体"/>
          <w:u w:val="single"/>
        </w:rPr>
        <w:t xml:space="preserve">         </w:t>
      </w:r>
    </w:p>
    <w:p>
      <w:pPr>
        <w:spacing w:line="400" w:lineRule="exact"/>
        <w:rPr>
          <w:rFonts w:hint="eastAsia" w:ascii="宋体" w:hAnsi="宋体"/>
          <w:u w:val="single"/>
        </w:rPr>
      </w:pPr>
    </w:p>
    <w:tbl>
      <w:tblPr>
        <w:tblStyle w:val="14"/>
        <w:tblW w:w="0" w:type="auto"/>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47"/>
        <w:gridCol w:w="3259"/>
        <w:gridCol w:w="1747"/>
        <w:gridCol w:w="1415"/>
        <w:gridCol w:w="1660"/>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3" w:hRule="atLeast"/>
        </w:trPr>
        <w:tc>
          <w:tcPr>
            <w:tcW w:w="706" w:type="dxa"/>
            <w:gridSpan w:val="2"/>
            <w:noWrap w:val="0"/>
            <w:vAlign w:val="center"/>
          </w:tcPr>
          <w:p>
            <w:pPr>
              <w:spacing w:line="400" w:lineRule="exact"/>
              <w:jc w:val="center"/>
              <w:rPr>
                <w:rFonts w:hint="eastAsia" w:ascii="宋体" w:hAnsi="宋体"/>
              </w:rPr>
            </w:pPr>
            <w:r>
              <w:rPr>
                <w:rFonts w:hint="eastAsia" w:ascii="宋体" w:hAnsi="宋体"/>
              </w:rPr>
              <w:t>序号</w:t>
            </w:r>
          </w:p>
        </w:tc>
        <w:tc>
          <w:tcPr>
            <w:tcW w:w="3259" w:type="dxa"/>
            <w:noWrap w:val="0"/>
            <w:vAlign w:val="center"/>
          </w:tcPr>
          <w:p>
            <w:pPr>
              <w:spacing w:line="400" w:lineRule="exact"/>
              <w:jc w:val="center"/>
              <w:rPr>
                <w:rFonts w:hint="eastAsia" w:ascii="宋体" w:hAnsi="宋体"/>
              </w:rPr>
            </w:pPr>
            <w:r>
              <w:rPr>
                <w:rFonts w:hint="eastAsia" w:ascii="宋体" w:hAnsi="宋体"/>
              </w:rPr>
              <w:t>货物或服务内容</w:t>
            </w:r>
          </w:p>
        </w:tc>
        <w:tc>
          <w:tcPr>
            <w:tcW w:w="1747" w:type="dxa"/>
            <w:noWrap w:val="0"/>
            <w:vAlign w:val="center"/>
          </w:tcPr>
          <w:p>
            <w:pPr>
              <w:spacing w:line="400" w:lineRule="exact"/>
              <w:jc w:val="center"/>
              <w:rPr>
                <w:rFonts w:hint="eastAsia" w:ascii="宋体" w:hAnsi="宋体"/>
              </w:rPr>
            </w:pPr>
            <w:r>
              <w:rPr>
                <w:rFonts w:hint="eastAsia" w:ascii="宋体" w:hAnsi="宋体"/>
              </w:rPr>
              <w:t>品牌及规格型号</w:t>
            </w:r>
          </w:p>
        </w:tc>
        <w:tc>
          <w:tcPr>
            <w:tcW w:w="1415" w:type="dxa"/>
            <w:noWrap w:val="0"/>
            <w:vAlign w:val="center"/>
          </w:tcPr>
          <w:p>
            <w:pPr>
              <w:spacing w:line="400" w:lineRule="exact"/>
              <w:jc w:val="center"/>
              <w:rPr>
                <w:rFonts w:hint="eastAsia" w:ascii="宋体" w:hAnsi="宋体"/>
              </w:rPr>
            </w:pPr>
            <w:r>
              <w:rPr>
                <w:rFonts w:hint="eastAsia" w:ascii="宋体" w:hAnsi="宋体"/>
              </w:rPr>
              <w:t>数量</w:t>
            </w:r>
          </w:p>
        </w:tc>
        <w:tc>
          <w:tcPr>
            <w:tcW w:w="1660" w:type="dxa"/>
            <w:noWrap w:val="0"/>
            <w:vAlign w:val="center"/>
          </w:tcPr>
          <w:p>
            <w:pPr>
              <w:spacing w:line="400" w:lineRule="exact"/>
              <w:jc w:val="center"/>
              <w:rPr>
                <w:rFonts w:hint="eastAsia" w:ascii="宋体" w:hAnsi="宋体"/>
              </w:rPr>
            </w:pPr>
            <w:r>
              <w:rPr>
                <w:rFonts w:hint="eastAsia" w:ascii="宋体" w:hAnsi="宋体"/>
              </w:rPr>
              <w:t>投标总价</w:t>
            </w:r>
          </w:p>
          <w:p>
            <w:pPr>
              <w:spacing w:line="400" w:lineRule="exact"/>
              <w:jc w:val="center"/>
              <w:rPr>
                <w:rFonts w:hint="eastAsia" w:ascii="宋体" w:hAnsi="宋体"/>
              </w:rPr>
            </w:pPr>
            <w:r>
              <w:rPr>
                <w:rFonts w:hint="eastAsia" w:ascii="宋体" w:hAnsi="宋体"/>
              </w:rPr>
              <w:t>（人民币：元）</w:t>
            </w:r>
          </w:p>
        </w:tc>
        <w:tc>
          <w:tcPr>
            <w:tcW w:w="1220" w:type="dxa"/>
            <w:noWrap w:val="0"/>
            <w:vAlign w:val="center"/>
          </w:tcPr>
          <w:p>
            <w:pPr>
              <w:spacing w:line="400" w:lineRule="exact"/>
              <w:jc w:val="center"/>
              <w:rPr>
                <w:rFonts w:hint="eastAsia" w:ascii="宋体" w:hAnsi="宋体"/>
              </w:rPr>
            </w:pPr>
            <w:r>
              <w:rPr>
                <w:rFonts w:hint="eastAsia" w:ascii="宋体" w:hAnsi="宋体" w:cs="Arial"/>
                <w:bCs/>
                <w:color w:val="000000"/>
                <w:szCs w:val="21"/>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6" w:type="dxa"/>
            <w:gridSpan w:val="2"/>
            <w:noWrap w:val="0"/>
            <w:vAlign w:val="top"/>
          </w:tcPr>
          <w:p>
            <w:pPr>
              <w:spacing w:line="400" w:lineRule="exact"/>
              <w:rPr>
                <w:rFonts w:hint="eastAsia" w:ascii="宋体" w:hAnsi="宋体"/>
              </w:rPr>
            </w:pPr>
            <w:r>
              <w:rPr>
                <w:rFonts w:hint="eastAsia" w:ascii="宋体" w:hAnsi="宋体"/>
              </w:rPr>
              <w:t>1</w:t>
            </w:r>
          </w:p>
        </w:tc>
        <w:tc>
          <w:tcPr>
            <w:tcW w:w="3259" w:type="dxa"/>
            <w:noWrap w:val="0"/>
            <w:vAlign w:val="center"/>
          </w:tcPr>
          <w:p>
            <w:pPr>
              <w:adjustRightInd w:val="0"/>
              <w:snapToGrid w:val="0"/>
              <w:spacing w:line="400" w:lineRule="exact"/>
              <w:jc w:val="center"/>
              <w:rPr>
                <w:rFonts w:hint="eastAsia" w:ascii="宋体" w:hAnsi="宋体" w:cs="Arial"/>
                <w:bCs/>
                <w:color w:val="000000"/>
                <w:szCs w:val="21"/>
              </w:rPr>
            </w:pPr>
          </w:p>
        </w:tc>
        <w:tc>
          <w:tcPr>
            <w:tcW w:w="1747" w:type="dxa"/>
            <w:noWrap w:val="0"/>
            <w:vAlign w:val="top"/>
          </w:tcPr>
          <w:p>
            <w:pPr>
              <w:spacing w:line="400" w:lineRule="exact"/>
              <w:rPr>
                <w:rFonts w:hint="eastAsia" w:ascii="宋体" w:hAnsi="宋体"/>
              </w:rPr>
            </w:pPr>
          </w:p>
        </w:tc>
        <w:tc>
          <w:tcPr>
            <w:tcW w:w="1415" w:type="dxa"/>
            <w:noWrap w:val="0"/>
            <w:vAlign w:val="top"/>
          </w:tcPr>
          <w:p>
            <w:pPr>
              <w:spacing w:line="400" w:lineRule="exact"/>
              <w:ind w:firstLine="210" w:firstLineChars="100"/>
              <w:rPr>
                <w:rFonts w:hint="eastAsia" w:ascii="宋体" w:hAnsi="宋体"/>
              </w:rPr>
            </w:pPr>
          </w:p>
        </w:tc>
        <w:tc>
          <w:tcPr>
            <w:tcW w:w="1660" w:type="dxa"/>
            <w:noWrap w:val="0"/>
            <w:vAlign w:val="top"/>
          </w:tcPr>
          <w:p>
            <w:pPr>
              <w:spacing w:line="400" w:lineRule="exact"/>
              <w:rPr>
                <w:rFonts w:hint="eastAsia" w:ascii="宋体" w:hAnsi="宋体"/>
              </w:rPr>
            </w:pPr>
          </w:p>
        </w:tc>
        <w:tc>
          <w:tcPr>
            <w:tcW w:w="1220" w:type="dxa"/>
            <w:noWrap w:val="0"/>
            <w:vAlign w:val="top"/>
          </w:tcPr>
          <w:p>
            <w:pPr>
              <w:spacing w:line="4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6" w:type="dxa"/>
            <w:gridSpan w:val="2"/>
            <w:noWrap w:val="0"/>
            <w:vAlign w:val="top"/>
          </w:tcPr>
          <w:p>
            <w:pPr>
              <w:spacing w:line="400" w:lineRule="exact"/>
              <w:rPr>
                <w:rFonts w:hint="eastAsia" w:ascii="宋体" w:hAnsi="宋体"/>
              </w:rPr>
            </w:pPr>
            <w:r>
              <w:rPr>
                <w:rFonts w:hint="eastAsia" w:ascii="宋体" w:hAnsi="宋体"/>
              </w:rPr>
              <w:t>2</w:t>
            </w:r>
          </w:p>
        </w:tc>
        <w:tc>
          <w:tcPr>
            <w:tcW w:w="3259" w:type="dxa"/>
            <w:noWrap w:val="0"/>
            <w:vAlign w:val="center"/>
          </w:tcPr>
          <w:p>
            <w:pPr>
              <w:adjustRightInd w:val="0"/>
              <w:snapToGrid w:val="0"/>
              <w:spacing w:line="400" w:lineRule="exact"/>
              <w:jc w:val="center"/>
              <w:rPr>
                <w:rFonts w:hint="eastAsia" w:ascii="宋体" w:hAnsi="宋体" w:cs="Arial"/>
                <w:bCs/>
                <w:color w:val="000000"/>
                <w:szCs w:val="21"/>
              </w:rPr>
            </w:pPr>
          </w:p>
        </w:tc>
        <w:tc>
          <w:tcPr>
            <w:tcW w:w="1747" w:type="dxa"/>
            <w:noWrap w:val="0"/>
            <w:vAlign w:val="top"/>
          </w:tcPr>
          <w:p>
            <w:pPr>
              <w:spacing w:line="400" w:lineRule="exact"/>
              <w:rPr>
                <w:rFonts w:hint="eastAsia" w:ascii="宋体" w:hAnsi="宋体"/>
              </w:rPr>
            </w:pPr>
          </w:p>
        </w:tc>
        <w:tc>
          <w:tcPr>
            <w:tcW w:w="1415" w:type="dxa"/>
            <w:noWrap w:val="0"/>
            <w:vAlign w:val="top"/>
          </w:tcPr>
          <w:p>
            <w:pPr>
              <w:spacing w:line="400" w:lineRule="exact"/>
              <w:ind w:firstLine="210" w:firstLineChars="100"/>
              <w:rPr>
                <w:rFonts w:hint="eastAsia" w:ascii="宋体" w:hAnsi="宋体"/>
              </w:rPr>
            </w:pPr>
          </w:p>
        </w:tc>
        <w:tc>
          <w:tcPr>
            <w:tcW w:w="1660" w:type="dxa"/>
            <w:noWrap w:val="0"/>
            <w:vAlign w:val="top"/>
          </w:tcPr>
          <w:p>
            <w:pPr>
              <w:spacing w:line="400" w:lineRule="exact"/>
              <w:rPr>
                <w:rFonts w:hint="eastAsia" w:ascii="宋体" w:hAnsi="宋体"/>
              </w:rPr>
            </w:pPr>
          </w:p>
        </w:tc>
        <w:tc>
          <w:tcPr>
            <w:tcW w:w="1220" w:type="dxa"/>
            <w:noWrap w:val="0"/>
            <w:vAlign w:val="top"/>
          </w:tcPr>
          <w:p>
            <w:pPr>
              <w:spacing w:line="4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6" w:type="dxa"/>
            <w:gridSpan w:val="2"/>
            <w:noWrap w:val="0"/>
            <w:vAlign w:val="top"/>
          </w:tcPr>
          <w:p>
            <w:pPr>
              <w:spacing w:line="400" w:lineRule="exact"/>
              <w:rPr>
                <w:rFonts w:hint="eastAsia" w:ascii="宋体" w:hAnsi="宋体"/>
              </w:rPr>
            </w:pPr>
            <w:r>
              <w:rPr>
                <w:rFonts w:ascii="宋体" w:hAnsi="宋体"/>
              </w:rPr>
              <w:t>…</w:t>
            </w:r>
          </w:p>
        </w:tc>
        <w:tc>
          <w:tcPr>
            <w:tcW w:w="3259" w:type="dxa"/>
            <w:noWrap w:val="0"/>
            <w:vAlign w:val="center"/>
          </w:tcPr>
          <w:p>
            <w:pPr>
              <w:adjustRightInd w:val="0"/>
              <w:snapToGrid w:val="0"/>
              <w:spacing w:line="400" w:lineRule="exact"/>
              <w:jc w:val="center"/>
              <w:rPr>
                <w:rFonts w:hint="eastAsia" w:ascii="宋体" w:hAnsi="宋体" w:cs="Arial"/>
                <w:bCs/>
                <w:color w:val="000000"/>
                <w:szCs w:val="21"/>
              </w:rPr>
            </w:pPr>
          </w:p>
        </w:tc>
        <w:tc>
          <w:tcPr>
            <w:tcW w:w="1747" w:type="dxa"/>
            <w:noWrap w:val="0"/>
            <w:vAlign w:val="top"/>
          </w:tcPr>
          <w:p>
            <w:pPr>
              <w:spacing w:line="400" w:lineRule="exact"/>
              <w:rPr>
                <w:rFonts w:hint="eastAsia" w:ascii="宋体" w:hAnsi="宋体"/>
              </w:rPr>
            </w:pPr>
          </w:p>
        </w:tc>
        <w:tc>
          <w:tcPr>
            <w:tcW w:w="1415" w:type="dxa"/>
            <w:noWrap w:val="0"/>
            <w:vAlign w:val="top"/>
          </w:tcPr>
          <w:p>
            <w:pPr>
              <w:spacing w:line="400" w:lineRule="exact"/>
              <w:ind w:firstLine="210" w:firstLineChars="100"/>
              <w:rPr>
                <w:rFonts w:hint="eastAsia" w:ascii="宋体" w:hAnsi="宋体"/>
              </w:rPr>
            </w:pPr>
          </w:p>
        </w:tc>
        <w:tc>
          <w:tcPr>
            <w:tcW w:w="1660" w:type="dxa"/>
            <w:noWrap w:val="0"/>
            <w:vAlign w:val="top"/>
          </w:tcPr>
          <w:p>
            <w:pPr>
              <w:spacing w:line="400" w:lineRule="exact"/>
              <w:rPr>
                <w:rFonts w:hint="eastAsia" w:ascii="宋体" w:hAnsi="宋体"/>
              </w:rPr>
            </w:pPr>
          </w:p>
        </w:tc>
        <w:tc>
          <w:tcPr>
            <w:tcW w:w="1220" w:type="dxa"/>
            <w:noWrap w:val="0"/>
            <w:vAlign w:val="top"/>
          </w:tcPr>
          <w:p>
            <w:pPr>
              <w:spacing w:line="4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706" w:type="dxa"/>
            <w:gridSpan w:val="2"/>
            <w:noWrap w:val="0"/>
            <w:vAlign w:val="top"/>
          </w:tcPr>
          <w:p>
            <w:pPr>
              <w:spacing w:line="400" w:lineRule="exact"/>
              <w:jc w:val="center"/>
              <w:rPr>
                <w:rFonts w:hint="eastAsia" w:ascii="宋体" w:hAnsi="宋体"/>
              </w:rPr>
            </w:pPr>
            <w:r>
              <w:rPr>
                <w:rFonts w:hint="eastAsia" w:ascii="宋体" w:hAnsi="宋体"/>
              </w:rPr>
              <w:t>合计</w:t>
            </w:r>
          </w:p>
        </w:tc>
        <w:tc>
          <w:tcPr>
            <w:tcW w:w="3259" w:type="dxa"/>
            <w:noWrap w:val="0"/>
            <w:vAlign w:val="top"/>
          </w:tcPr>
          <w:p>
            <w:pPr>
              <w:spacing w:line="400" w:lineRule="exact"/>
              <w:jc w:val="center"/>
              <w:rPr>
                <w:rFonts w:hint="eastAsia" w:ascii="宋体" w:hAnsi="宋体"/>
              </w:rPr>
            </w:pPr>
          </w:p>
        </w:tc>
        <w:tc>
          <w:tcPr>
            <w:tcW w:w="1747" w:type="dxa"/>
            <w:noWrap w:val="0"/>
            <w:vAlign w:val="top"/>
          </w:tcPr>
          <w:p>
            <w:pPr>
              <w:spacing w:line="400" w:lineRule="exact"/>
              <w:jc w:val="center"/>
              <w:rPr>
                <w:rFonts w:hint="eastAsia" w:ascii="宋体" w:hAnsi="宋体"/>
              </w:rPr>
            </w:pPr>
          </w:p>
        </w:tc>
        <w:tc>
          <w:tcPr>
            <w:tcW w:w="1415" w:type="dxa"/>
            <w:noWrap w:val="0"/>
            <w:vAlign w:val="top"/>
          </w:tcPr>
          <w:p>
            <w:pPr>
              <w:spacing w:line="400" w:lineRule="exact"/>
              <w:jc w:val="center"/>
              <w:rPr>
                <w:rFonts w:hint="eastAsia" w:ascii="宋体" w:hAnsi="宋体"/>
              </w:rPr>
            </w:pPr>
          </w:p>
        </w:tc>
        <w:tc>
          <w:tcPr>
            <w:tcW w:w="1660" w:type="dxa"/>
            <w:noWrap w:val="0"/>
            <w:vAlign w:val="top"/>
          </w:tcPr>
          <w:p>
            <w:pPr>
              <w:spacing w:line="400" w:lineRule="exact"/>
              <w:jc w:val="center"/>
              <w:rPr>
                <w:rFonts w:hint="eastAsia" w:ascii="宋体" w:hAnsi="宋体"/>
              </w:rPr>
            </w:pPr>
          </w:p>
        </w:tc>
        <w:tc>
          <w:tcPr>
            <w:tcW w:w="1220" w:type="dxa"/>
            <w:noWrap w:val="0"/>
            <w:vAlign w:val="top"/>
          </w:tcPr>
          <w:p>
            <w:pPr>
              <w:spacing w:line="40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49" w:hRule="atLeast"/>
        </w:trPr>
        <w:tc>
          <w:tcPr>
            <w:tcW w:w="10007" w:type="dxa"/>
            <w:gridSpan w:val="7"/>
            <w:noWrap w:val="0"/>
            <w:vAlign w:val="top"/>
          </w:tcPr>
          <w:p>
            <w:pPr>
              <w:spacing w:line="400" w:lineRule="exact"/>
              <w:rPr>
                <w:rFonts w:hint="eastAsia" w:ascii="宋体" w:hAnsi="宋体"/>
              </w:rPr>
            </w:pPr>
            <w:r>
              <w:rPr>
                <w:rFonts w:hint="eastAsia" w:ascii="宋体" w:hAnsi="宋体"/>
              </w:rPr>
              <w:t>投标总价合计（大写）：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559" w:type="dxa"/>
            <w:noWrap w:val="0"/>
            <w:vAlign w:val="top"/>
          </w:tcPr>
          <w:p>
            <w:pPr>
              <w:spacing w:line="400" w:lineRule="exact"/>
              <w:rPr>
                <w:rFonts w:hint="eastAsia" w:ascii="宋体" w:hAnsi="宋体"/>
                <w:szCs w:val="21"/>
              </w:rPr>
            </w:pPr>
            <w:r>
              <w:rPr>
                <w:rFonts w:hint="eastAsia" w:ascii="宋体" w:hAnsi="宋体"/>
                <w:szCs w:val="21"/>
              </w:rPr>
              <w:t>投</w:t>
            </w:r>
          </w:p>
          <w:p>
            <w:pPr>
              <w:spacing w:line="400" w:lineRule="exact"/>
              <w:rPr>
                <w:rFonts w:hint="eastAsia" w:ascii="宋体" w:hAnsi="宋体"/>
                <w:szCs w:val="21"/>
              </w:rPr>
            </w:pPr>
            <w:r>
              <w:rPr>
                <w:rFonts w:hint="eastAsia" w:ascii="宋体" w:hAnsi="宋体"/>
                <w:szCs w:val="21"/>
              </w:rPr>
              <w:t>标</w:t>
            </w:r>
          </w:p>
          <w:p>
            <w:pPr>
              <w:spacing w:line="400" w:lineRule="exact"/>
              <w:rPr>
                <w:rFonts w:hint="eastAsia" w:ascii="宋体" w:hAnsi="宋体"/>
                <w:szCs w:val="21"/>
              </w:rPr>
            </w:pPr>
            <w:r>
              <w:rPr>
                <w:rFonts w:hint="eastAsia" w:ascii="宋体" w:hAnsi="宋体"/>
                <w:szCs w:val="21"/>
              </w:rPr>
              <w:t>人</w:t>
            </w:r>
          </w:p>
          <w:p>
            <w:pPr>
              <w:spacing w:line="400" w:lineRule="exact"/>
              <w:rPr>
                <w:rFonts w:hint="eastAsia" w:ascii="宋体" w:hAnsi="宋体"/>
                <w:szCs w:val="21"/>
              </w:rPr>
            </w:pPr>
            <w:r>
              <w:rPr>
                <w:rFonts w:hint="eastAsia" w:ascii="宋体" w:hAnsi="宋体"/>
                <w:szCs w:val="21"/>
              </w:rPr>
              <w:t>申</w:t>
            </w:r>
          </w:p>
          <w:p>
            <w:pPr>
              <w:spacing w:line="400" w:lineRule="exact"/>
              <w:rPr>
                <w:rFonts w:hint="eastAsia" w:ascii="宋体" w:hAnsi="宋体"/>
              </w:rPr>
            </w:pPr>
            <w:r>
              <w:rPr>
                <w:rFonts w:hint="eastAsia" w:ascii="宋体" w:hAnsi="宋体"/>
                <w:szCs w:val="21"/>
              </w:rPr>
              <w:t>明</w:t>
            </w:r>
          </w:p>
        </w:tc>
        <w:tc>
          <w:tcPr>
            <w:tcW w:w="9448" w:type="dxa"/>
            <w:gridSpan w:val="6"/>
            <w:noWrap w:val="0"/>
            <w:vAlign w:val="top"/>
          </w:tcPr>
          <w:p>
            <w:pPr>
              <w:rPr>
                <w:rFonts w:ascii="宋体" w:hAnsi="宋体"/>
              </w:rPr>
            </w:pPr>
          </w:p>
          <w:p>
            <w:pPr>
              <w:rPr>
                <w:rFonts w:ascii="宋体" w:hAnsi="宋体"/>
              </w:rPr>
            </w:pPr>
          </w:p>
          <w:p>
            <w:pPr>
              <w:rPr>
                <w:rFonts w:ascii="宋体" w:hAnsi="宋体"/>
              </w:rPr>
            </w:pPr>
          </w:p>
          <w:p>
            <w:pPr>
              <w:rPr>
                <w:rFonts w:ascii="宋体" w:hAnsi="宋体"/>
              </w:rPr>
            </w:pPr>
          </w:p>
          <w:p>
            <w:pPr>
              <w:spacing w:line="400" w:lineRule="exact"/>
              <w:rPr>
                <w:rFonts w:hint="eastAsia" w:ascii="宋体" w:hAnsi="宋体"/>
              </w:rPr>
            </w:pPr>
          </w:p>
        </w:tc>
      </w:tr>
    </w:tbl>
    <w:p>
      <w:pPr>
        <w:rPr>
          <w:rFonts w:hint="eastAsia" w:ascii="宋体" w:hAnsi="宋体"/>
          <w:sz w:val="24"/>
          <w:szCs w:val="24"/>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pPr>
      <w:r>
        <w:rPr>
          <w:rFonts w:hint="eastAsia" w:ascii="宋体" w:hAnsi="宋体"/>
          <w:szCs w:val="21"/>
        </w:rPr>
        <w:t xml:space="preserve">日期：    年  月   日 </w:t>
      </w:r>
    </w:p>
    <w:p>
      <w:pPr>
        <w:rPr>
          <w:rFonts w:hint="eastAsia" w:ascii="宋体" w:hAnsi="宋体"/>
          <w:b/>
          <w:i/>
          <w:iCs/>
          <w:szCs w:val="21"/>
        </w:rPr>
      </w:pPr>
    </w:p>
    <w:p>
      <w:pPr>
        <w:rPr>
          <w:rFonts w:hint="eastAsia" w:ascii="宋体" w:hAnsi="宋体"/>
          <w:b/>
          <w:i/>
          <w:iCs/>
          <w:szCs w:val="21"/>
        </w:rPr>
      </w:pPr>
    </w:p>
    <w:p>
      <w:pPr>
        <w:rPr>
          <w:rFonts w:hint="eastAsia" w:ascii="宋体" w:hAnsi="宋体"/>
          <w:b/>
          <w:bCs/>
          <w:i/>
          <w:iCs/>
          <w:sz w:val="24"/>
          <w:szCs w:val="24"/>
        </w:rPr>
      </w:pPr>
      <w:r>
        <w:rPr>
          <w:rFonts w:hint="eastAsia" w:ascii="宋体" w:hAnsi="宋体"/>
          <w:b/>
          <w:bCs/>
          <w:i/>
          <w:iCs/>
          <w:sz w:val="24"/>
          <w:szCs w:val="24"/>
        </w:rPr>
        <w:t>注：1、本表应按标包号分别填制；2、投标总价含义同“格式2-3投标分项报价表”中“投标总价”栏，“投标总价合计”应与“格式2-1投标函”中第2项“投标项目的总投标价”一致；3、有关投标价优惠折扣、招标文件允许的备选方案均应在投标人申明中载明。</w:t>
      </w:r>
    </w:p>
    <w:p>
      <w:pPr>
        <w:snapToGrid w:val="0"/>
        <w:spacing w:before="50" w:after="142" w:afterLines="50"/>
        <w:jc w:val="center"/>
        <w:rPr>
          <w:rFonts w:hint="eastAsia" w:ascii="宋体" w:hAnsi="宋体"/>
          <w:b/>
          <w:bCs/>
          <w:iCs/>
          <w:sz w:val="36"/>
          <w:szCs w:val="36"/>
        </w:rPr>
      </w:pPr>
    </w:p>
    <w:p>
      <w:pPr>
        <w:snapToGrid w:val="0"/>
        <w:spacing w:before="50" w:after="142" w:afterLines="50"/>
        <w:jc w:val="center"/>
        <w:rPr>
          <w:rFonts w:hint="eastAsia" w:ascii="宋体" w:hAnsi="宋体"/>
          <w:b/>
          <w:bCs/>
          <w:iCs/>
          <w:sz w:val="36"/>
          <w:szCs w:val="36"/>
        </w:rPr>
      </w:pPr>
    </w:p>
    <w:p>
      <w:pPr>
        <w:snapToGrid w:val="0"/>
        <w:spacing w:before="50" w:after="142" w:afterLines="50"/>
        <w:jc w:val="center"/>
        <w:rPr>
          <w:rFonts w:hint="eastAsia" w:ascii="宋体" w:hAnsi="宋体"/>
          <w:b/>
          <w:bCs/>
          <w:iCs/>
          <w:sz w:val="36"/>
          <w:szCs w:val="36"/>
        </w:rPr>
      </w:pPr>
    </w:p>
    <w:p>
      <w:pPr>
        <w:snapToGrid w:val="0"/>
        <w:spacing w:before="50" w:after="142" w:afterLines="50"/>
        <w:jc w:val="center"/>
        <w:rPr>
          <w:rFonts w:hint="eastAsia" w:ascii="宋体" w:hAnsi="宋体"/>
          <w:b/>
          <w:bCs/>
          <w:iCs/>
          <w:sz w:val="36"/>
          <w:szCs w:val="36"/>
        </w:rPr>
      </w:pPr>
    </w:p>
    <w:p>
      <w:pPr>
        <w:rPr>
          <w:rFonts w:hint="eastAsia" w:ascii="宋体" w:hAnsi="宋体"/>
          <w:b/>
          <w:bCs/>
          <w:i/>
          <w:iCs/>
          <w:sz w:val="24"/>
          <w:szCs w:val="24"/>
        </w:rPr>
        <w:sectPr>
          <w:pgSz w:w="11907" w:h="16840"/>
          <w:pgMar w:top="1418" w:right="1077" w:bottom="1418" w:left="1106" w:header="720" w:footer="720" w:gutter="0"/>
          <w:pgBorders>
            <w:top w:val="none" w:sz="0" w:space="0"/>
            <w:left w:val="none" w:sz="0" w:space="0"/>
            <w:bottom w:val="none" w:sz="0" w:space="0"/>
            <w:right w:val="none" w:sz="0" w:space="0"/>
          </w:pgBorders>
          <w:pgNumType w:fmt="decimal"/>
          <w:cols w:space="720" w:num="1"/>
          <w:titlePg/>
          <w:docGrid w:type="lines" w:linePitch="285" w:charSpace="0"/>
        </w:sectPr>
      </w:pPr>
    </w:p>
    <w:p>
      <w:pPr>
        <w:spacing w:line="480" w:lineRule="exact"/>
        <w:rPr>
          <w:rFonts w:hint="eastAsia" w:ascii="宋体" w:hAnsi="宋体"/>
          <w:b/>
          <w:color w:val="000000"/>
          <w:sz w:val="24"/>
          <w:szCs w:val="24"/>
        </w:rPr>
      </w:pPr>
      <w:r>
        <w:rPr>
          <w:rFonts w:hint="eastAsia" w:ascii="宋体" w:hAnsi="宋体"/>
          <w:b/>
          <w:color w:val="000000"/>
          <w:sz w:val="24"/>
          <w:szCs w:val="24"/>
        </w:rPr>
        <w:t>格式2-3</w:t>
      </w:r>
    </w:p>
    <w:p>
      <w:pPr>
        <w:spacing w:line="400" w:lineRule="exact"/>
        <w:jc w:val="center"/>
        <w:rPr>
          <w:rFonts w:hint="eastAsia" w:ascii="宋体" w:hAnsi="宋体"/>
          <w:b/>
          <w:bCs/>
          <w:iCs/>
          <w:sz w:val="36"/>
          <w:szCs w:val="36"/>
        </w:rPr>
      </w:pPr>
      <w:r>
        <w:rPr>
          <w:rFonts w:hint="eastAsia" w:ascii="宋体" w:hAnsi="宋体"/>
          <w:b/>
          <w:bCs/>
          <w:iCs/>
          <w:sz w:val="36"/>
          <w:szCs w:val="36"/>
        </w:rPr>
        <w:t>投标分项报价表（明细报价表）</w:t>
      </w:r>
    </w:p>
    <w:p>
      <w:pPr>
        <w:spacing w:line="460" w:lineRule="exact"/>
        <w:rPr>
          <w:rFonts w:hint="eastAsia" w:ascii="宋体" w:hAnsi="宋体"/>
        </w:rPr>
      </w:pPr>
      <w:r>
        <w:rPr>
          <w:rFonts w:hint="eastAsia" w:ascii="宋体" w:hAnsi="宋体"/>
          <w:szCs w:val="24"/>
        </w:rPr>
        <w:t>招标项目名称：</w:t>
      </w:r>
      <w:r>
        <w:rPr>
          <w:rFonts w:ascii="宋体" w:hAnsi="宋体"/>
          <w:szCs w:val="24"/>
          <w:u w:val="single"/>
        </w:rPr>
        <w:t>_______</w:t>
      </w:r>
      <w:r>
        <w:rPr>
          <w:rFonts w:hint="eastAsia" w:ascii="宋体" w:hAnsi="宋体"/>
          <w:szCs w:val="24"/>
          <w:u w:val="single"/>
        </w:rPr>
        <w:t xml:space="preserve">                  </w:t>
      </w:r>
      <w:r>
        <w:rPr>
          <w:rFonts w:hint="eastAsia" w:ascii="宋体" w:hAnsi="宋体"/>
          <w:szCs w:val="24"/>
        </w:rPr>
        <w:t>招标项目</w:t>
      </w:r>
      <w:r>
        <w:rPr>
          <w:rFonts w:hint="eastAsia" w:ascii="宋体" w:hAnsi="宋体"/>
          <w:spacing w:val="14"/>
          <w:szCs w:val="24"/>
        </w:rPr>
        <w:t>编号</w:t>
      </w:r>
      <w:r>
        <w:rPr>
          <w:rFonts w:hint="eastAsia" w:ascii="宋体" w:hAnsi="宋体"/>
          <w:szCs w:val="24"/>
        </w:rPr>
        <w:t>：</w:t>
      </w:r>
      <w:r>
        <w:rPr>
          <w:rFonts w:ascii="宋体" w:hAnsi="宋体"/>
          <w:szCs w:val="24"/>
          <w:u w:val="single"/>
        </w:rPr>
        <w:t>_____</w:t>
      </w:r>
      <w:r>
        <w:rPr>
          <w:rFonts w:hint="eastAsia" w:ascii="宋体" w:hAnsi="宋体"/>
          <w:szCs w:val="24"/>
          <w:u w:val="single"/>
        </w:rPr>
        <w:t xml:space="preserve">                            </w:t>
      </w:r>
      <w:r>
        <w:rPr>
          <w:rFonts w:hint="eastAsia" w:ascii="宋体" w:hAnsi="宋体"/>
          <w:szCs w:val="24"/>
        </w:rPr>
        <w:t>标包号：</w:t>
      </w:r>
      <w:r>
        <w:rPr>
          <w:rFonts w:ascii="宋体" w:hAnsi="宋体"/>
          <w:szCs w:val="24"/>
          <w:u w:val="single"/>
        </w:rPr>
        <w:t xml:space="preserve">   </w:t>
      </w:r>
      <w:r>
        <w:rPr>
          <w:rFonts w:hint="eastAsia" w:ascii="宋体" w:hAnsi="宋体"/>
          <w:szCs w:val="24"/>
          <w:u w:val="single"/>
        </w:rPr>
        <w:t xml:space="preserve">   </w:t>
      </w:r>
      <w:r>
        <w:rPr>
          <w:rFonts w:ascii="宋体" w:hAnsi="宋体"/>
          <w:szCs w:val="24"/>
          <w:u w:val="single"/>
        </w:rPr>
        <w:t xml:space="preserve">      </w:t>
      </w:r>
      <w:r>
        <w:rPr>
          <w:rFonts w:hint="eastAsia" w:ascii="宋体" w:hAnsi="宋体"/>
          <w:szCs w:val="24"/>
          <w:u w:val="single"/>
        </w:rPr>
        <w:t xml:space="preserve"> </w:t>
      </w:r>
      <w:r>
        <w:rPr>
          <w:rFonts w:hint="eastAsia" w:ascii="宋体" w:hAnsi="宋体"/>
          <w:szCs w:val="24"/>
        </w:rPr>
        <w:t xml:space="preserve">           </w:t>
      </w:r>
      <w:r>
        <w:rPr>
          <w:rFonts w:ascii="宋体" w:hAnsi="宋体"/>
          <w:szCs w:val="24"/>
        </w:rPr>
        <w:t>（</w:t>
      </w:r>
      <w:r>
        <w:rPr>
          <w:rFonts w:hint="eastAsia" w:ascii="宋体" w:hAnsi="宋体"/>
          <w:szCs w:val="24"/>
        </w:rPr>
        <w:t>人民币：元）</w:t>
      </w:r>
    </w:p>
    <w:tbl>
      <w:tblPr>
        <w:tblStyle w:val="14"/>
        <w:tblW w:w="0" w:type="auto"/>
        <w:tblInd w:w="-10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2494"/>
        <w:gridCol w:w="1050"/>
        <w:gridCol w:w="840"/>
        <w:gridCol w:w="840"/>
        <w:gridCol w:w="1155"/>
        <w:gridCol w:w="1155"/>
        <w:gridCol w:w="1155"/>
        <w:gridCol w:w="1155"/>
        <w:gridCol w:w="1076"/>
        <w:gridCol w:w="1050"/>
        <w:gridCol w:w="12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15" w:hRule="atLeast"/>
        </w:trPr>
        <w:tc>
          <w:tcPr>
            <w:tcW w:w="735" w:type="dxa"/>
            <w:vMerge w:val="restart"/>
            <w:noWrap w:val="0"/>
            <w:vAlign w:val="center"/>
          </w:tcPr>
          <w:p>
            <w:pPr>
              <w:spacing w:line="460" w:lineRule="exact"/>
              <w:jc w:val="center"/>
              <w:rPr>
                <w:rFonts w:hint="eastAsia" w:ascii="宋体" w:hAnsi="宋体"/>
                <w:szCs w:val="21"/>
              </w:rPr>
            </w:pPr>
            <w:r>
              <w:rPr>
                <w:rFonts w:hint="eastAsia" w:ascii="宋体" w:hAnsi="宋体"/>
                <w:szCs w:val="21"/>
              </w:rPr>
              <w:t>序号</w:t>
            </w:r>
          </w:p>
        </w:tc>
        <w:tc>
          <w:tcPr>
            <w:tcW w:w="1260" w:type="dxa"/>
            <w:vMerge w:val="restart"/>
            <w:noWrap w:val="0"/>
            <w:vAlign w:val="center"/>
          </w:tcPr>
          <w:p>
            <w:pPr>
              <w:spacing w:line="460" w:lineRule="exact"/>
              <w:jc w:val="center"/>
              <w:rPr>
                <w:rFonts w:hint="eastAsia" w:ascii="宋体" w:hAnsi="宋体"/>
                <w:szCs w:val="21"/>
              </w:rPr>
            </w:pPr>
            <w:r>
              <w:rPr>
                <w:rFonts w:hint="eastAsia" w:ascii="宋体" w:hAnsi="宋体"/>
                <w:szCs w:val="21"/>
              </w:rPr>
              <w:t>产品名称</w:t>
            </w:r>
          </w:p>
        </w:tc>
        <w:tc>
          <w:tcPr>
            <w:tcW w:w="2494" w:type="dxa"/>
            <w:vMerge w:val="restart"/>
            <w:noWrap w:val="0"/>
            <w:vAlign w:val="center"/>
          </w:tcPr>
          <w:p>
            <w:pPr>
              <w:spacing w:line="460" w:lineRule="exact"/>
              <w:jc w:val="center"/>
              <w:rPr>
                <w:rFonts w:hint="eastAsia" w:ascii="宋体" w:hAnsi="宋体"/>
                <w:szCs w:val="21"/>
              </w:rPr>
            </w:pPr>
            <w:r>
              <w:rPr>
                <w:rFonts w:hint="eastAsia" w:ascii="宋体" w:hAnsi="宋体"/>
                <w:szCs w:val="21"/>
              </w:rPr>
              <w:t>品牌、规格及型号</w:t>
            </w:r>
          </w:p>
        </w:tc>
        <w:tc>
          <w:tcPr>
            <w:tcW w:w="1050" w:type="dxa"/>
            <w:vMerge w:val="restart"/>
            <w:noWrap w:val="0"/>
            <w:vAlign w:val="center"/>
          </w:tcPr>
          <w:p>
            <w:pPr>
              <w:spacing w:line="460" w:lineRule="exact"/>
              <w:jc w:val="center"/>
              <w:rPr>
                <w:rFonts w:hint="eastAsia" w:ascii="宋体" w:hAnsi="宋体"/>
                <w:szCs w:val="21"/>
              </w:rPr>
            </w:pPr>
            <w:r>
              <w:rPr>
                <w:rFonts w:hint="eastAsia" w:ascii="宋体" w:hAnsi="宋体"/>
                <w:szCs w:val="21"/>
              </w:rPr>
              <w:t>产地</w:t>
            </w:r>
          </w:p>
        </w:tc>
        <w:tc>
          <w:tcPr>
            <w:tcW w:w="840" w:type="dxa"/>
            <w:vMerge w:val="restart"/>
            <w:noWrap w:val="0"/>
            <w:vAlign w:val="center"/>
          </w:tcPr>
          <w:p>
            <w:pPr>
              <w:spacing w:line="460" w:lineRule="exact"/>
              <w:jc w:val="center"/>
              <w:rPr>
                <w:rFonts w:hint="eastAsia" w:ascii="宋体" w:hAnsi="宋体"/>
                <w:szCs w:val="21"/>
              </w:rPr>
            </w:pPr>
            <w:r>
              <w:rPr>
                <w:rFonts w:hint="eastAsia" w:ascii="宋体" w:hAnsi="宋体"/>
                <w:szCs w:val="21"/>
              </w:rPr>
              <w:t>数量单位</w:t>
            </w:r>
          </w:p>
        </w:tc>
        <w:tc>
          <w:tcPr>
            <w:tcW w:w="840" w:type="dxa"/>
            <w:vMerge w:val="restart"/>
            <w:noWrap w:val="0"/>
            <w:vAlign w:val="center"/>
          </w:tcPr>
          <w:p>
            <w:pPr>
              <w:spacing w:line="460" w:lineRule="exact"/>
              <w:jc w:val="center"/>
              <w:rPr>
                <w:rFonts w:hint="eastAsia" w:ascii="宋体" w:hAnsi="宋体"/>
                <w:szCs w:val="21"/>
              </w:rPr>
            </w:pPr>
            <w:r>
              <w:rPr>
                <w:rFonts w:hint="eastAsia" w:ascii="宋体" w:hAnsi="宋体"/>
                <w:szCs w:val="21"/>
              </w:rPr>
              <w:t>数量</w:t>
            </w:r>
          </w:p>
        </w:tc>
        <w:tc>
          <w:tcPr>
            <w:tcW w:w="1155" w:type="dxa"/>
            <w:vMerge w:val="restart"/>
            <w:noWrap w:val="0"/>
            <w:vAlign w:val="center"/>
          </w:tcPr>
          <w:p>
            <w:pPr>
              <w:spacing w:line="460" w:lineRule="exact"/>
              <w:jc w:val="center"/>
              <w:rPr>
                <w:rFonts w:hint="eastAsia" w:ascii="宋体" w:hAnsi="宋体"/>
                <w:szCs w:val="21"/>
              </w:rPr>
            </w:pPr>
            <w:r>
              <w:rPr>
                <w:rFonts w:hint="eastAsia" w:ascii="宋体" w:hAnsi="宋体"/>
                <w:szCs w:val="21"/>
              </w:rPr>
              <w:t>投标单价</w:t>
            </w:r>
          </w:p>
        </w:tc>
        <w:tc>
          <w:tcPr>
            <w:tcW w:w="1155" w:type="dxa"/>
            <w:vMerge w:val="restart"/>
            <w:noWrap w:val="0"/>
            <w:vAlign w:val="center"/>
          </w:tcPr>
          <w:p>
            <w:pPr>
              <w:spacing w:line="460" w:lineRule="exact"/>
              <w:jc w:val="center"/>
              <w:rPr>
                <w:rFonts w:hint="eastAsia" w:ascii="宋体" w:hAnsi="宋体"/>
                <w:szCs w:val="21"/>
              </w:rPr>
            </w:pPr>
            <w:r>
              <w:rPr>
                <w:rFonts w:hint="eastAsia" w:ascii="宋体" w:hAnsi="宋体"/>
                <w:szCs w:val="21"/>
              </w:rPr>
              <w:t>投标总价</w:t>
            </w:r>
          </w:p>
        </w:tc>
        <w:tc>
          <w:tcPr>
            <w:tcW w:w="6746" w:type="dxa"/>
            <w:gridSpan w:val="6"/>
            <w:noWrap w:val="0"/>
            <w:vAlign w:val="center"/>
          </w:tcPr>
          <w:p>
            <w:pPr>
              <w:spacing w:line="460" w:lineRule="exact"/>
              <w:jc w:val="center"/>
              <w:rPr>
                <w:rFonts w:hint="eastAsia" w:ascii="宋体" w:hAnsi="宋体"/>
                <w:szCs w:val="21"/>
              </w:rPr>
            </w:pPr>
            <w:r>
              <w:rPr>
                <w:rFonts w:hint="eastAsia" w:ascii="宋体" w:hAnsi="宋体"/>
                <w:szCs w:val="21"/>
              </w:rPr>
              <w:t>投标总价组成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19" w:hRule="atLeast"/>
        </w:trPr>
        <w:tc>
          <w:tcPr>
            <w:tcW w:w="735" w:type="dxa"/>
            <w:vMerge w:val="continue"/>
            <w:noWrap w:val="0"/>
            <w:vAlign w:val="center"/>
          </w:tcPr>
          <w:p>
            <w:pPr>
              <w:spacing w:line="460" w:lineRule="exact"/>
              <w:jc w:val="center"/>
              <w:rPr>
                <w:rFonts w:hint="eastAsia" w:ascii="宋体" w:hAnsi="宋体"/>
                <w:szCs w:val="21"/>
              </w:rPr>
            </w:pPr>
          </w:p>
        </w:tc>
        <w:tc>
          <w:tcPr>
            <w:tcW w:w="1260" w:type="dxa"/>
            <w:vMerge w:val="continue"/>
            <w:noWrap w:val="0"/>
            <w:vAlign w:val="center"/>
          </w:tcPr>
          <w:p>
            <w:pPr>
              <w:spacing w:line="460" w:lineRule="exact"/>
              <w:jc w:val="center"/>
              <w:rPr>
                <w:rFonts w:hint="eastAsia" w:ascii="宋体" w:hAnsi="宋体"/>
                <w:szCs w:val="21"/>
              </w:rPr>
            </w:pPr>
          </w:p>
        </w:tc>
        <w:tc>
          <w:tcPr>
            <w:tcW w:w="2494" w:type="dxa"/>
            <w:vMerge w:val="continue"/>
            <w:noWrap w:val="0"/>
            <w:vAlign w:val="center"/>
          </w:tcPr>
          <w:p>
            <w:pPr>
              <w:spacing w:line="460" w:lineRule="exact"/>
              <w:jc w:val="center"/>
              <w:rPr>
                <w:rFonts w:hint="eastAsia" w:ascii="宋体" w:hAnsi="宋体"/>
                <w:szCs w:val="21"/>
              </w:rPr>
            </w:pPr>
          </w:p>
        </w:tc>
        <w:tc>
          <w:tcPr>
            <w:tcW w:w="1050" w:type="dxa"/>
            <w:vMerge w:val="continue"/>
            <w:noWrap w:val="0"/>
            <w:vAlign w:val="top"/>
          </w:tcPr>
          <w:p>
            <w:pPr>
              <w:spacing w:line="460" w:lineRule="exact"/>
              <w:jc w:val="center"/>
              <w:rPr>
                <w:rFonts w:hint="eastAsia" w:ascii="宋体" w:hAnsi="宋体"/>
                <w:szCs w:val="21"/>
              </w:rPr>
            </w:pPr>
          </w:p>
        </w:tc>
        <w:tc>
          <w:tcPr>
            <w:tcW w:w="840" w:type="dxa"/>
            <w:vMerge w:val="continue"/>
            <w:noWrap w:val="0"/>
            <w:vAlign w:val="center"/>
          </w:tcPr>
          <w:p>
            <w:pPr>
              <w:spacing w:line="460" w:lineRule="exact"/>
              <w:jc w:val="center"/>
              <w:rPr>
                <w:rFonts w:hint="eastAsia" w:ascii="宋体" w:hAnsi="宋体"/>
                <w:szCs w:val="21"/>
              </w:rPr>
            </w:pPr>
          </w:p>
        </w:tc>
        <w:tc>
          <w:tcPr>
            <w:tcW w:w="840" w:type="dxa"/>
            <w:vMerge w:val="continue"/>
            <w:noWrap w:val="0"/>
            <w:vAlign w:val="center"/>
          </w:tcPr>
          <w:p>
            <w:pPr>
              <w:spacing w:line="460" w:lineRule="exact"/>
              <w:jc w:val="center"/>
              <w:rPr>
                <w:rFonts w:hint="eastAsia" w:ascii="宋体" w:hAnsi="宋体"/>
                <w:szCs w:val="21"/>
              </w:rPr>
            </w:pPr>
          </w:p>
        </w:tc>
        <w:tc>
          <w:tcPr>
            <w:tcW w:w="1155" w:type="dxa"/>
            <w:vMerge w:val="continue"/>
            <w:noWrap w:val="0"/>
            <w:vAlign w:val="top"/>
          </w:tcPr>
          <w:p>
            <w:pPr>
              <w:spacing w:line="460" w:lineRule="exact"/>
              <w:jc w:val="center"/>
              <w:rPr>
                <w:rFonts w:hint="eastAsia" w:ascii="宋体" w:hAnsi="宋体"/>
                <w:szCs w:val="21"/>
              </w:rPr>
            </w:pPr>
          </w:p>
        </w:tc>
        <w:tc>
          <w:tcPr>
            <w:tcW w:w="1155" w:type="dxa"/>
            <w:vMerge w:val="continue"/>
            <w:noWrap w:val="0"/>
            <w:vAlign w:val="center"/>
          </w:tcPr>
          <w:p>
            <w:pPr>
              <w:spacing w:line="460" w:lineRule="exact"/>
              <w:jc w:val="center"/>
              <w:rPr>
                <w:rFonts w:hint="eastAsia" w:ascii="宋体" w:hAnsi="宋体"/>
                <w:szCs w:val="21"/>
              </w:rPr>
            </w:pPr>
          </w:p>
        </w:tc>
        <w:tc>
          <w:tcPr>
            <w:tcW w:w="1155" w:type="dxa"/>
            <w:noWrap w:val="0"/>
            <w:vAlign w:val="center"/>
          </w:tcPr>
          <w:p>
            <w:pPr>
              <w:spacing w:line="460" w:lineRule="exact"/>
              <w:ind w:hanging="70"/>
              <w:jc w:val="center"/>
              <w:rPr>
                <w:rFonts w:hint="eastAsia" w:ascii="宋体" w:hAnsi="宋体"/>
                <w:szCs w:val="21"/>
              </w:rPr>
            </w:pPr>
            <w:r>
              <w:rPr>
                <w:rFonts w:hint="eastAsia" w:ascii="宋体" w:hAnsi="宋体"/>
                <w:szCs w:val="21"/>
              </w:rPr>
              <w:t>产品总价</w:t>
            </w:r>
          </w:p>
        </w:tc>
        <w:tc>
          <w:tcPr>
            <w:tcW w:w="1155" w:type="dxa"/>
            <w:noWrap w:val="0"/>
            <w:vAlign w:val="top"/>
          </w:tcPr>
          <w:p>
            <w:pPr>
              <w:spacing w:line="460" w:lineRule="exact"/>
              <w:ind w:hanging="70"/>
              <w:jc w:val="center"/>
              <w:rPr>
                <w:rFonts w:hint="eastAsia" w:ascii="宋体" w:hAnsi="宋体"/>
                <w:szCs w:val="21"/>
              </w:rPr>
            </w:pPr>
            <w:r>
              <w:rPr>
                <w:rFonts w:hint="eastAsia" w:ascii="宋体" w:hAnsi="宋体"/>
                <w:szCs w:val="21"/>
              </w:rPr>
              <w:t>备品备件费</w:t>
            </w:r>
          </w:p>
        </w:tc>
        <w:tc>
          <w:tcPr>
            <w:tcW w:w="1076" w:type="dxa"/>
            <w:noWrap w:val="0"/>
            <w:vAlign w:val="top"/>
          </w:tcPr>
          <w:p>
            <w:pPr>
              <w:spacing w:line="460" w:lineRule="exact"/>
              <w:ind w:hanging="70"/>
              <w:jc w:val="center"/>
              <w:rPr>
                <w:rFonts w:hint="eastAsia" w:ascii="宋体" w:hAnsi="宋体"/>
                <w:szCs w:val="21"/>
              </w:rPr>
            </w:pPr>
            <w:r>
              <w:rPr>
                <w:rFonts w:hint="eastAsia" w:ascii="宋体" w:hAnsi="宋体"/>
                <w:szCs w:val="21"/>
              </w:rPr>
              <w:t>专用工具费</w:t>
            </w:r>
          </w:p>
        </w:tc>
        <w:tc>
          <w:tcPr>
            <w:tcW w:w="1050" w:type="dxa"/>
            <w:noWrap w:val="0"/>
            <w:vAlign w:val="center"/>
          </w:tcPr>
          <w:p>
            <w:pPr>
              <w:spacing w:line="460" w:lineRule="exact"/>
              <w:ind w:hanging="70"/>
              <w:jc w:val="center"/>
              <w:rPr>
                <w:rFonts w:hint="eastAsia" w:ascii="宋体" w:hAnsi="宋体"/>
                <w:szCs w:val="21"/>
              </w:rPr>
            </w:pPr>
            <w:r>
              <w:rPr>
                <w:rFonts w:hint="eastAsia" w:ascii="宋体" w:hAnsi="宋体"/>
                <w:szCs w:val="21"/>
              </w:rPr>
              <w:t>安装调试费</w:t>
            </w:r>
          </w:p>
        </w:tc>
        <w:tc>
          <w:tcPr>
            <w:tcW w:w="1234" w:type="dxa"/>
            <w:noWrap w:val="0"/>
            <w:vAlign w:val="center"/>
          </w:tcPr>
          <w:p>
            <w:pPr>
              <w:spacing w:line="460" w:lineRule="exact"/>
              <w:jc w:val="center"/>
              <w:rPr>
                <w:rFonts w:hint="eastAsia" w:ascii="宋体" w:hAnsi="宋体"/>
                <w:szCs w:val="21"/>
              </w:rPr>
            </w:pPr>
            <w:r>
              <w:rPr>
                <w:rFonts w:hint="eastAsia" w:ascii="宋体" w:hAnsi="宋体"/>
                <w:szCs w:val="21"/>
              </w:rPr>
              <w:t>技术服务培训费</w:t>
            </w:r>
          </w:p>
        </w:tc>
        <w:tc>
          <w:tcPr>
            <w:tcW w:w="1076" w:type="dxa"/>
            <w:tcBorders>
              <w:bottom w:val="single" w:color="auto" w:sz="4" w:space="0"/>
            </w:tcBorders>
            <w:noWrap w:val="0"/>
            <w:vAlign w:val="center"/>
          </w:tcPr>
          <w:p>
            <w:pPr>
              <w:spacing w:line="460" w:lineRule="exact"/>
              <w:jc w:val="center"/>
              <w:rPr>
                <w:rFonts w:hint="eastAsia" w:ascii="宋体" w:hAnsi="宋体"/>
                <w:szCs w:val="21"/>
              </w:rPr>
            </w:pPr>
            <w:r>
              <w:rPr>
                <w:rFonts w:hint="eastAsia" w:ascii="宋体" w:hAnsi="宋体"/>
                <w:szCs w:val="21"/>
              </w:rPr>
              <w:t>运输保险费等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25" w:hRule="atLeast"/>
        </w:trPr>
        <w:tc>
          <w:tcPr>
            <w:tcW w:w="735" w:type="dxa"/>
            <w:noWrap w:val="0"/>
            <w:vAlign w:val="center"/>
          </w:tcPr>
          <w:p>
            <w:pPr>
              <w:spacing w:line="460" w:lineRule="exact"/>
              <w:jc w:val="center"/>
              <w:rPr>
                <w:rFonts w:hint="eastAsia" w:ascii="宋体" w:hAnsi="宋体"/>
                <w:szCs w:val="24"/>
              </w:rPr>
            </w:pPr>
          </w:p>
        </w:tc>
        <w:tc>
          <w:tcPr>
            <w:tcW w:w="1260" w:type="dxa"/>
            <w:noWrap w:val="0"/>
            <w:vAlign w:val="center"/>
          </w:tcPr>
          <w:p>
            <w:pPr>
              <w:spacing w:line="460" w:lineRule="exact"/>
              <w:jc w:val="center"/>
              <w:rPr>
                <w:rFonts w:hint="eastAsia" w:ascii="宋体" w:hAnsi="宋体"/>
                <w:szCs w:val="24"/>
              </w:rPr>
            </w:pPr>
            <w:r>
              <w:rPr>
                <w:rFonts w:hint="eastAsia" w:ascii="宋体" w:hAnsi="宋体"/>
                <w:szCs w:val="24"/>
              </w:rPr>
              <w:t>1</w:t>
            </w:r>
          </w:p>
        </w:tc>
        <w:tc>
          <w:tcPr>
            <w:tcW w:w="2494" w:type="dxa"/>
            <w:noWrap w:val="0"/>
            <w:vAlign w:val="center"/>
          </w:tcPr>
          <w:p>
            <w:pPr>
              <w:spacing w:line="460" w:lineRule="exact"/>
              <w:jc w:val="center"/>
              <w:rPr>
                <w:rFonts w:hint="eastAsia" w:ascii="宋体" w:hAnsi="宋体"/>
                <w:szCs w:val="24"/>
              </w:rPr>
            </w:pPr>
            <w:r>
              <w:rPr>
                <w:rFonts w:hint="eastAsia" w:ascii="宋体" w:hAnsi="宋体"/>
                <w:szCs w:val="24"/>
              </w:rPr>
              <w:t>2</w:t>
            </w:r>
          </w:p>
        </w:tc>
        <w:tc>
          <w:tcPr>
            <w:tcW w:w="1050" w:type="dxa"/>
            <w:noWrap w:val="0"/>
            <w:vAlign w:val="top"/>
          </w:tcPr>
          <w:p>
            <w:pPr>
              <w:spacing w:line="460" w:lineRule="exact"/>
              <w:jc w:val="center"/>
              <w:rPr>
                <w:rFonts w:hint="eastAsia" w:ascii="宋体" w:hAnsi="宋体"/>
                <w:szCs w:val="24"/>
              </w:rPr>
            </w:pPr>
            <w:r>
              <w:rPr>
                <w:rFonts w:hint="eastAsia" w:ascii="宋体" w:hAnsi="宋体"/>
                <w:szCs w:val="24"/>
              </w:rPr>
              <w:t>3</w:t>
            </w:r>
          </w:p>
        </w:tc>
        <w:tc>
          <w:tcPr>
            <w:tcW w:w="840" w:type="dxa"/>
            <w:noWrap w:val="0"/>
            <w:vAlign w:val="center"/>
          </w:tcPr>
          <w:p>
            <w:pPr>
              <w:spacing w:line="460" w:lineRule="exact"/>
              <w:jc w:val="center"/>
              <w:rPr>
                <w:rFonts w:hint="eastAsia" w:ascii="宋体" w:hAnsi="宋体"/>
                <w:szCs w:val="24"/>
              </w:rPr>
            </w:pPr>
            <w:r>
              <w:rPr>
                <w:rFonts w:hint="eastAsia" w:ascii="宋体" w:hAnsi="宋体"/>
                <w:szCs w:val="24"/>
              </w:rPr>
              <w:t>4</w:t>
            </w:r>
          </w:p>
        </w:tc>
        <w:tc>
          <w:tcPr>
            <w:tcW w:w="840" w:type="dxa"/>
            <w:noWrap w:val="0"/>
            <w:vAlign w:val="center"/>
          </w:tcPr>
          <w:p>
            <w:pPr>
              <w:spacing w:line="460" w:lineRule="exact"/>
              <w:jc w:val="center"/>
              <w:rPr>
                <w:rFonts w:hint="eastAsia" w:ascii="宋体" w:hAnsi="宋体"/>
                <w:szCs w:val="24"/>
              </w:rPr>
            </w:pPr>
            <w:r>
              <w:rPr>
                <w:rFonts w:hint="eastAsia" w:ascii="宋体" w:hAnsi="宋体"/>
                <w:szCs w:val="24"/>
              </w:rPr>
              <w:t>5</w:t>
            </w:r>
          </w:p>
        </w:tc>
        <w:tc>
          <w:tcPr>
            <w:tcW w:w="1155" w:type="dxa"/>
            <w:noWrap w:val="0"/>
            <w:vAlign w:val="top"/>
          </w:tcPr>
          <w:p>
            <w:pPr>
              <w:spacing w:line="460" w:lineRule="exact"/>
              <w:jc w:val="center"/>
              <w:rPr>
                <w:rFonts w:hint="eastAsia" w:ascii="宋体" w:hAnsi="宋体"/>
                <w:szCs w:val="24"/>
              </w:rPr>
            </w:pPr>
            <w:r>
              <w:rPr>
                <w:rFonts w:hint="eastAsia" w:ascii="宋体" w:hAnsi="宋体"/>
                <w:szCs w:val="24"/>
              </w:rPr>
              <w:t>6</w:t>
            </w:r>
          </w:p>
        </w:tc>
        <w:tc>
          <w:tcPr>
            <w:tcW w:w="1155" w:type="dxa"/>
            <w:noWrap w:val="0"/>
            <w:vAlign w:val="center"/>
          </w:tcPr>
          <w:p>
            <w:pPr>
              <w:spacing w:line="460" w:lineRule="exact"/>
              <w:jc w:val="center"/>
              <w:rPr>
                <w:rFonts w:hint="eastAsia" w:ascii="宋体" w:hAnsi="宋体"/>
                <w:szCs w:val="24"/>
              </w:rPr>
            </w:pPr>
            <w:r>
              <w:rPr>
                <w:rFonts w:hint="eastAsia" w:ascii="宋体" w:hAnsi="宋体"/>
                <w:szCs w:val="24"/>
              </w:rPr>
              <w:t>7</w:t>
            </w:r>
          </w:p>
        </w:tc>
        <w:tc>
          <w:tcPr>
            <w:tcW w:w="1155" w:type="dxa"/>
            <w:noWrap w:val="0"/>
            <w:vAlign w:val="center"/>
          </w:tcPr>
          <w:p>
            <w:pPr>
              <w:spacing w:line="460" w:lineRule="exact"/>
              <w:jc w:val="center"/>
              <w:rPr>
                <w:rFonts w:hint="eastAsia" w:ascii="宋体" w:hAnsi="宋体"/>
                <w:szCs w:val="24"/>
              </w:rPr>
            </w:pPr>
            <w:r>
              <w:rPr>
                <w:rFonts w:hint="eastAsia" w:ascii="宋体" w:hAnsi="宋体"/>
                <w:szCs w:val="24"/>
              </w:rPr>
              <w:t>8</w:t>
            </w:r>
          </w:p>
        </w:tc>
        <w:tc>
          <w:tcPr>
            <w:tcW w:w="1155" w:type="dxa"/>
            <w:noWrap w:val="0"/>
            <w:vAlign w:val="top"/>
          </w:tcPr>
          <w:p>
            <w:pPr>
              <w:spacing w:line="460" w:lineRule="exact"/>
              <w:jc w:val="center"/>
              <w:rPr>
                <w:rFonts w:hint="eastAsia" w:ascii="宋体" w:hAnsi="宋体"/>
                <w:szCs w:val="24"/>
              </w:rPr>
            </w:pPr>
            <w:r>
              <w:rPr>
                <w:rFonts w:hint="eastAsia" w:ascii="宋体" w:hAnsi="宋体"/>
                <w:szCs w:val="24"/>
              </w:rPr>
              <w:t>9</w:t>
            </w:r>
          </w:p>
        </w:tc>
        <w:tc>
          <w:tcPr>
            <w:tcW w:w="1076" w:type="dxa"/>
            <w:noWrap w:val="0"/>
            <w:vAlign w:val="top"/>
          </w:tcPr>
          <w:p>
            <w:pPr>
              <w:spacing w:line="460" w:lineRule="exact"/>
              <w:jc w:val="center"/>
              <w:rPr>
                <w:rFonts w:hint="eastAsia" w:ascii="宋体" w:hAnsi="宋体"/>
                <w:szCs w:val="24"/>
              </w:rPr>
            </w:pPr>
            <w:r>
              <w:rPr>
                <w:rFonts w:hint="eastAsia" w:ascii="宋体" w:hAnsi="宋体"/>
                <w:szCs w:val="24"/>
              </w:rPr>
              <w:t>10</w:t>
            </w:r>
          </w:p>
        </w:tc>
        <w:tc>
          <w:tcPr>
            <w:tcW w:w="1050" w:type="dxa"/>
            <w:noWrap w:val="0"/>
            <w:vAlign w:val="center"/>
          </w:tcPr>
          <w:p>
            <w:pPr>
              <w:spacing w:line="460" w:lineRule="exact"/>
              <w:jc w:val="center"/>
              <w:rPr>
                <w:rFonts w:hint="eastAsia" w:ascii="宋体" w:hAnsi="宋体"/>
                <w:szCs w:val="24"/>
              </w:rPr>
            </w:pPr>
            <w:r>
              <w:rPr>
                <w:rFonts w:hint="eastAsia" w:ascii="宋体" w:hAnsi="宋体"/>
                <w:szCs w:val="24"/>
              </w:rPr>
              <w:t>11</w:t>
            </w:r>
          </w:p>
        </w:tc>
        <w:tc>
          <w:tcPr>
            <w:tcW w:w="1234" w:type="dxa"/>
            <w:noWrap w:val="0"/>
            <w:vAlign w:val="center"/>
          </w:tcPr>
          <w:p>
            <w:pPr>
              <w:spacing w:line="460" w:lineRule="exact"/>
              <w:jc w:val="center"/>
              <w:rPr>
                <w:rFonts w:hint="eastAsia" w:ascii="宋体" w:hAnsi="宋体"/>
                <w:szCs w:val="24"/>
              </w:rPr>
            </w:pPr>
            <w:r>
              <w:rPr>
                <w:rFonts w:hint="eastAsia" w:ascii="宋体" w:hAnsi="宋体"/>
                <w:szCs w:val="24"/>
              </w:rPr>
              <w:t>12</w:t>
            </w:r>
          </w:p>
        </w:tc>
        <w:tc>
          <w:tcPr>
            <w:tcW w:w="1076" w:type="dxa"/>
            <w:noWrap w:val="0"/>
            <w:vAlign w:val="center"/>
          </w:tcPr>
          <w:p>
            <w:pPr>
              <w:spacing w:line="460" w:lineRule="exact"/>
              <w:jc w:val="center"/>
              <w:rPr>
                <w:rFonts w:hint="eastAsia" w:ascii="宋体" w:hAnsi="宋体"/>
                <w:szCs w:val="24"/>
              </w:rPr>
            </w:pPr>
            <w:r>
              <w:rPr>
                <w:rFonts w:hint="eastAsia" w:ascii="宋体" w:hAnsi="宋体"/>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35" w:type="dxa"/>
            <w:noWrap w:val="0"/>
            <w:vAlign w:val="top"/>
          </w:tcPr>
          <w:p>
            <w:pPr>
              <w:spacing w:line="460" w:lineRule="exact"/>
              <w:rPr>
                <w:rFonts w:hint="eastAsia" w:ascii="宋体" w:hAnsi="宋体"/>
              </w:rPr>
            </w:pPr>
          </w:p>
        </w:tc>
        <w:tc>
          <w:tcPr>
            <w:tcW w:w="1260" w:type="dxa"/>
            <w:noWrap w:val="0"/>
            <w:vAlign w:val="top"/>
          </w:tcPr>
          <w:p>
            <w:pPr>
              <w:spacing w:line="460" w:lineRule="exact"/>
              <w:rPr>
                <w:rFonts w:hint="eastAsia" w:ascii="宋体" w:hAnsi="宋体"/>
              </w:rPr>
            </w:pPr>
          </w:p>
        </w:tc>
        <w:tc>
          <w:tcPr>
            <w:tcW w:w="2494" w:type="dxa"/>
            <w:noWrap w:val="0"/>
            <w:vAlign w:val="top"/>
          </w:tcPr>
          <w:p>
            <w:pPr>
              <w:spacing w:line="460" w:lineRule="exact"/>
              <w:rPr>
                <w:rFonts w:hint="eastAsia" w:ascii="宋体" w:hAnsi="宋体"/>
              </w:rPr>
            </w:pPr>
          </w:p>
        </w:tc>
        <w:tc>
          <w:tcPr>
            <w:tcW w:w="1050" w:type="dxa"/>
            <w:noWrap w:val="0"/>
            <w:vAlign w:val="top"/>
          </w:tcPr>
          <w:p>
            <w:pPr>
              <w:spacing w:line="460" w:lineRule="exact"/>
              <w:rPr>
                <w:rFonts w:hint="eastAsia" w:ascii="宋体" w:hAnsi="宋体"/>
              </w:rPr>
            </w:pPr>
          </w:p>
        </w:tc>
        <w:tc>
          <w:tcPr>
            <w:tcW w:w="840" w:type="dxa"/>
            <w:noWrap w:val="0"/>
            <w:vAlign w:val="top"/>
          </w:tcPr>
          <w:p>
            <w:pPr>
              <w:spacing w:line="460" w:lineRule="exact"/>
              <w:rPr>
                <w:rFonts w:hint="eastAsia" w:ascii="宋体" w:hAnsi="宋体"/>
              </w:rPr>
            </w:pPr>
          </w:p>
        </w:tc>
        <w:tc>
          <w:tcPr>
            <w:tcW w:w="840"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076" w:type="dxa"/>
            <w:noWrap w:val="0"/>
            <w:vAlign w:val="top"/>
          </w:tcPr>
          <w:p>
            <w:pPr>
              <w:spacing w:line="460" w:lineRule="exact"/>
              <w:rPr>
                <w:rFonts w:hint="eastAsia" w:ascii="宋体" w:hAnsi="宋体"/>
              </w:rPr>
            </w:pPr>
          </w:p>
        </w:tc>
        <w:tc>
          <w:tcPr>
            <w:tcW w:w="1050" w:type="dxa"/>
            <w:noWrap w:val="0"/>
            <w:vAlign w:val="top"/>
          </w:tcPr>
          <w:p>
            <w:pPr>
              <w:spacing w:line="460" w:lineRule="exact"/>
              <w:rPr>
                <w:rFonts w:hint="eastAsia" w:ascii="宋体" w:hAnsi="宋体"/>
              </w:rPr>
            </w:pPr>
          </w:p>
        </w:tc>
        <w:tc>
          <w:tcPr>
            <w:tcW w:w="1234" w:type="dxa"/>
            <w:noWrap w:val="0"/>
            <w:vAlign w:val="top"/>
          </w:tcPr>
          <w:p>
            <w:pPr>
              <w:spacing w:line="460" w:lineRule="exact"/>
              <w:rPr>
                <w:rFonts w:hint="eastAsia" w:ascii="宋体" w:hAnsi="宋体"/>
              </w:rPr>
            </w:pPr>
          </w:p>
        </w:tc>
        <w:tc>
          <w:tcPr>
            <w:tcW w:w="1076" w:type="dxa"/>
            <w:noWrap w:val="0"/>
            <w:vAlign w:val="top"/>
          </w:tcPr>
          <w:p>
            <w:pPr>
              <w:spacing w:line="4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35" w:type="dxa"/>
            <w:noWrap w:val="0"/>
            <w:vAlign w:val="top"/>
          </w:tcPr>
          <w:p>
            <w:pPr>
              <w:spacing w:line="460" w:lineRule="exact"/>
              <w:rPr>
                <w:rFonts w:hint="eastAsia" w:ascii="宋体" w:hAnsi="宋体"/>
              </w:rPr>
            </w:pPr>
          </w:p>
        </w:tc>
        <w:tc>
          <w:tcPr>
            <w:tcW w:w="1260" w:type="dxa"/>
            <w:noWrap w:val="0"/>
            <w:vAlign w:val="top"/>
          </w:tcPr>
          <w:p>
            <w:pPr>
              <w:spacing w:line="460" w:lineRule="exact"/>
              <w:rPr>
                <w:rFonts w:hint="eastAsia" w:ascii="宋体" w:hAnsi="宋体"/>
              </w:rPr>
            </w:pPr>
          </w:p>
        </w:tc>
        <w:tc>
          <w:tcPr>
            <w:tcW w:w="2494" w:type="dxa"/>
            <w:noWrap w:val="0"/>
            <w:vAlign w:val="top"/>
          </w:tcPr>
          <w:p>
            <w:pPr>
              <w:spacing w:line="460" w:lineRule="exact"/>
              <w:rPr>
                <w:rFonts w:hint="eastAsia" w:ascii="宋体" w:hAnsi="宋体"/>
              </w:rPr>
            </w:pPr>
          </w:p>
        </w:tc>
        <w:tc>
          <w:tcPr>
            <w:tcW w:w="1050" w:type="dxa"/>
            <w:noWrap w:val="0"/>
            <w:vAlign w:val="top"/>
          </w:tcPr>
          <w:p>
            <w:pPr>
              <w:spacing w:line="460" w:lineRule="exact"/>
              <w:rPr>
                <w:rFonts w:hint="eastAsia" w:ascii="宋体" w:hAnsi="宋体"/>
              </w:rPr>
            </w:pPr>
          </w:p>
        </w:tc>
        <w:tc>
          <w:tcPr>
            <w:tcW w:w="840" w:type="dxa"/>
            <w:noWrap w:val="0"/>
            <w:vAlign w:val="top"/>
          </w:tcPr>
          <w:p>
            <w:pPr>
              <w:spacing w:line="460" w:lineRule="exact"/>
              <w:rPr>
                <w:rFonts w:hint="eastAsia" w:ascii="宋体" w:hAnsi="宋体"/>
              </w:rPr>
            </w:pPr>
          </w:p>
        </w:tc>
        <w:tc>
          <w:tcPr>
            <w:tcW w:w="840"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076" w:type="dxa"/>
            <w:noWrap w:val="0"/>
            <w:vAlign w:val="top"/>
          </w:tcPr>
          <w:p>
            <w:pPr>
              <w:spacing w:line="460" w:lineRule="exact"/>
              <w:rPr>
                <w:rFonts w:hint="eastAsia" w:ascii="宋体" w:hAnsi="宋体"/>
              </w:rPr>
            </w:pPr>
          </w:p>
        </w:tc>
        <w:tc>
          <w:tcPr>
            <w:tcW w:w="1050" w:type="dxa"/>
            <w:noWrap w:val="0"/>
            <w:vAlign w:val="top"/>
          </w:tcPr>
          <w:p>
            <w:pPr>
              <w:spacing w:line="460" w:lineRule="exact"/>
              <w:rPr>
                <w:rFonts w:hint="eastAsia" w:ascii="宋体" w:hAnsi="宋体"/>
              </w:rPr>
            </w:pPr>
          </w:p>
        </w:tc>
        <w:tc>
          <w:tcPr>
            <w:tcW w:w="1234" w:type="dxa"/>
            <w:noWrap w:val="0"/>
            <w:vAlign w:val="top"/>
          </w:tcPr>
          <w:p>
            <w:pPr>
              <w:spacing w:line="460" w:lineRule="exact"/>
              <w:rPr>
                <w:rFonts w:hint="eastAsia" w:ascii="宋体" w:hAnsi="宋体"/>
              </w:rPr>
            </w:pPr>
          </w:p>
        </w:tc>
        <w:tc>
          <w:tcPr>
            <w:tcW w:w="1076" w:type="dxa"/>
            <w:noWrap w:val="0"/>
            <w:vAlign w:val="top"/>
          </w:tcPr>
          <w:p>
            <w:pPr>
              <w:spacing w:line="4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35" w:type="dxa"/>
            <w:noWrap w:val="0"/>
            <w:vAlign w:val="top"/>
          </w:tcPr>
          <w:p>
            <w:pPr>
              <w:spacing w:line="460" w:lineRule="exact"/>
              <w:rPr>
                <w:rFonts w:hint="eastAsia" w:ascii="宋体" w:hAnsi="宋体"/>
              </w:rPr>
            </w:pPr>
            <w:r>
              <w:rPr>
                <w:rFonts w:hint="eastAsia" w:ascii="宋体" w:hAnsi="宋体"/>
              </w:rPr>
              <w:t>……</w:t>
            </w:r>
          </w:p>
        </w:tc>
        <w:tc>
          <w:tcPr>
            <w:tcW w:w="1260" w:type="dxa"/>
            <w:noWrap w:val="0"/>
            <w:vAlign w:val="top"/>
          </w:tcPr>
          <w:p>
            <w:pPr>
              <w:spacing w:line="460" w:lineRule="exact"/>
              <w:rPr>
                <w:rFonts w:hint="eastAsia" w:ascii="宋体" w:hAnsi="宋体"/>
              </w:rPr>
            </w:pPr>
            <w:r>
              <w:rPr>
                <w:rFonts w:hint="eastAsia" w:ascii="宋体" w:hAnsi="宋体"/>
              </w:rPr>
              <w:t>……</w:t>
            </w:r>
          </w:p>
        </w:tc>
        <w:tc>
          <w:tcPr>
            <w:tcW w:w="2494" w:type="dxa"/>
            <w:noWrap w:val="0"/>
            <w:vAlign w:val="top"/>
          </w:tcPr>
          <w:p>
            <w:pPr>
              <w:spacing w:line="460" w:lineRule="exact"/>
              <w:rPr>
                <w:rFonts w:hint="eastAsia" w:ascii="宋体" w:hAnsi="宋体"/>
              </w:rPr>
            </w:pPr>
          </w:p>
        </w:tc>
        <w:tc>
          <w:tcPr>
            <w:tcW w:w="1050" w:type="dxa"/>
            <w:noWrap w:val="0"/>
            <w:vAlign w:val="top"/>
          </w:tcPr>
          <w:p>
            <w:pPr>
              <w:spacing w:line="460" w:lineRule="exact"/>
              <w:rPr>
                <w:rFonts w:hint="eastAsia" w:ascii="宋体" w:hAnsi="宋体"/>
              </w:rPr>
            </w:pPr>
          </w:p>
        </w:tc>
        <w:tc>
          <w:tcPr>
            <w:tcW w:w="840" w:type="dxa"/>
            <w:noWrap w:val="0"/>
            <w:vAlign w:val="top"/>
          </w:tcPr>
          <w:p>
            <w:pPr>
              <w:spacing w:line="460" w:lineRule="exact"/>
              <w:rPr>
                <w:rFonts w:hint="eastAsia" w:ascii="宋体" w:hAnsi="宋体"/>
              </w:rPr>
            </w:pPr>
          </w:p>
        </w:tc>
        <w:tc>
          <w:tcPr>
            <w:tcW w:w="840"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076" w:type="dxa"/>
            <w:noWrap w:val="0"/>
            <w:vAlign w:val="top"/>
          </w:tcPr>
          <w:p>
            <w:pPr>
              <w:spacing w:line="460" w:lineRule="exact"/>
              <w:rPr>
                <w:rFonts w:hint="eastAsia" w:ascii="宋体" w:hAnsi="宋体"/>
              </w:rPr>
            </w:pPr>
          </w:p>
        </w:tc>
        <w:tc>
          <w:tcPr>
            <w:tcW w:w="1050" w:type="dxa"/>
            <w:noWrap w:val="0"/>
            <w:vAlign w:val="top"/>
          </w:tcPr>
          <w:p>
            <w:pPr>
              <w:spacing w:line="460" w:lineRule="exact"/>
              <w:rPr>
                <w:rFonts w:hint="eastAsia" w:ascii="宋体" w:hAnsi="宋体"/>
              </w:rPr>
            </w:pPr>
          </w:p>
        </w:tc>
        <w:tc>
          <w:tcPr>
            <w:tcW w:w="1234" w:type="dxa"/>
            <w:noWrap w:val="0"/>
            <w:vAlign w:val="top"/>
          </w:tcPr>
          <w:p>
            <w:pPr>
              <w:spacing w:line="460" w:lineRule="exact"/>
              <w:rPr>
                <w:rFonts w:hint="eastAsia" w:ascii="宋体" w:hAnsi="宋体"/>
              </w:rPr>
            </w:pPr>
          </w:p>
        </w:tc>
        <w:tc>
          <w:tcPr>
            <w:tcW w:w="1076" w:type="dxa"/>
            <w:noWrap w:val="0"/>
            <w:vAlign w:val="top"/>
          </w:tcPr>
          <w:p>
            <w:pPr>
              <w:spacing w:line="4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539" w:type="dxa"/>
            <w:gridSpan w:val="4"/>
            <w:noWrap w:val="0"/>
            <w:vAlign w:val="top"/>
          </w:tcPr>
          <w:p>
            <w:pPr>
              <w:spacing w:line="460" w:lineRule="exact"/>
              <w:rPr>
                <w:rFonts w:hint="eastAsia" w:ascii="宋体" w:hAnsi="宋体"/>
                <w:szCs w:val="21"/>
              </w:rPr>
            </w:pPr>
            <w:r>
              <w:rPr>
                <w:rFonts w:hint="eastAsia" w:ascii="宋体" w:hAnsi="宋体"/>
                <w:szCs w:val="21"/>
              </w:rPr>
              <w:t>投标总价合计：</w:t>
            </w:r>
          </w:p>
        </w:tc>
        <w:tc>
          <w:tcPr>
            <w:tcW w:w="10736" w:type="dxa"/>
            <w:gridSpan w:val="10"/>
            <w:noWrap w:val="0"/>
            <w:vAlign w:val="top"/>
          </w:tcPr>
          <w:p>
            <w:pPr>
              <w:spacing w:line="460" w:lineRule="exact"/>
              <w:rPr>
                <w:rFonts w:hint="eastAsia" w:ascii="宋体" w:hAnsi="宋体"/>
              </w:rPr>
            </w:pPr>
          </w:p>
        </w:tc>
      </w:tr>
    </w:tbl>
    <w:p>
      <w:pPr>
        <w:spacing w:line="440" w:lineRule="exact"/>
        <w:rPr>
          <w:rFonts w:hint="eastAsia" w:ascii="宋体" w:hAnsi="宋体"/>
          <w:i/>
          <w:iCs/>
          <w:szCs w:val="24"/>
        </w:rPr>
      </w:pPr>
    </w:p>
    <w:p>
      <w:pPr>
        <w:spacing w:line="440" w:lineRule="exact"/>
        <w:rPr>
          <w:rFonts w:hint="eastAsia" w:ascii="宋体" w:hAnsi="宋体"/>
          <w:b/>
          <w:bCs/>
          <w:i/>
          <w:iCs/>
          <w:szCs w:val="24"/>
        </w:rPr>
      </w:pPr>
      <w:r>
        <w:rPr>
          <w:rFonts w:hint="eastAsia" w:ascii="宋体" w:hAnsi="宋体"/>
          <w:b/>
          <w:bCs/>
          <w:i/>
          <w:iCs/>
          <w:szCs w:val="24"/>
        </w:rPr>
        <w:t>说明：1、项7=项8+项9+项10+项11+项12+项13；</w:t>
      </w:r>
    </w:p>
    <w:p>
      <w:pPr>
        <w:widowControl w:val="0"/>
        <w:tabs>
          <w:tab w:val="left" w:pos="1365"/>
        </w:tabs>
        <w:spacing w:line="440" w:lineRule="exact"/>
        <w:ind w:firstLine="615" w:firstLineChars="293"/>
        <w:jc w:val="both"/>
        <w:rPr>
          <w:rFonts w:hint="eastAsia" w:ascii="宋体" w:hAnsi="宋体"/>
          <w:b/>
          <w:bCs/>
          <w:i/>
          <w:iCs/>
          <w:szCs w:val="24"/>
        </w:rPr>
      </w:pPr>
      <w:r>
        <w:rPr>
          <w:rFonts w:hint="eastAsia" w:ascii="宋体" w:hAnsi="宋体"/>
          <w:b/>
          <w:bCs/>
          <w:i/>
          <w:iCs/>
          <w:szCs w:val="24"/>
        </w:rPr>
        <w:t>2、“投标总价合计”应与“格式2-1投标函”中第二项“投标项目的总投标价”一致；</w:t>
      </w:r>
    </w:p>
    <w:p>
      <w:pPr>
        <w:widowControl w:val="0"/>
        <w:tabs>
          <w:tab w:val="left" w:pos="1365"/>
        </w:tabs>
        <w:spacing w:line="440" w:lineRule="exact"/>
        <w:ind w:firstLine="617" w:firstLineChars="294"/>
        <w:jc w:val="both"/>
        <w:rPr>
          <w:rFonts w:hint="eastAsia" w:ascii="宋体" w:hAnsi="宋体"/>
          <w:b/>
          <w:bCs/>
          <w:i/>
          <w:iCs/>
          <w:szCs w:val="24"/>
        </w:rPr>
      </w:pPr>
      <w:r>
        <w:rPr>
          <w:rFonts w:hint="eastAsia" w:ascii="宋体" w:hAnsi="宋体"/>
          <w:b/>
          <w:bCs/>
          <w:i/>
          <w:iCs/>
          <w:szCs w:val="24"/>
        </w:rPr>
        <w:t>3、单价为含税金额，项目有模块或配件的须提供明细，投标总价须小计；</w:t>
      </w:r>
    </w:p>
    <w:p>
      <w:pPr>
        <w:tabs>
          <w:tab w:val="left" w:pos="0"/>
        </w:tabs>
        <w:spacing w:line="400" w:lineRule="exact"/>
        <w:ind w:left="525"/>
        <w:rPr>
          <w:rFonts w:hint="eastAsia" w:ascii="宋体" w:hAnsi="宋体"/>
          <w:b/>
          <w:bCs/>
          <w:i/>
          <w:iCs/>
          <w:szCs w:val="24"/>
        </w:rPr>
      </w:pPr>
      <w:r>
        <w:rPr>
          <w:rFonts w:hint="eastAsia" w:ascii="宋体" w:hAnsi="宋体"/>
          <w:b/>
          <w:bCs/>
          <w:i/>
          <w:iCs/>
          <w:szCs w:val="24"/>
        </w:rPr>
        <w:t>4、开标一览表分项报价后本表可不采用。</w:t>
      </w: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sectPr>
          <w:pgSz w:w="16840" w:h="11907" w:orient="landscape"/>
          <w:pgMar w:top="1106" w:right="1418" w:bottom="1077" w:left="1418" w:header="720" w:footer="720" w:gutter="0"/>
          <w:pgBorders>
            <w:top w:val="none" w:sz="0" w:space="0"/>
            <w:left w:val="none" w:sz="0" w:space="0"/>
            <w:bottom w:val="none" w:sz="0" w:space="0"/>
            <w:right w:val="none" w:sz="0" w:space="0"/>
          </w:pgBorders>
          <w:pgNumType w:fmt="decimal"/>
          <w:cols w:space="720" w:num="1"/>
          <w:titlePg/>
          <w:docGrid w:type="linesAndChars" w:linePitch="285" w:charSpace="0"/>
        </w:sectPr>
      </w:pPr>
      <w:r>
        <w:rPr>
          <w:rFonts w:hint="eastAsia" w:ascii="宋体" w:hAnsi="宋体"/>
          <w:szCs w:val="21"/>
        </w:rPr>
        <w:t xml:space="preserve">日期：    年  月   日 </w:t>
      </w:r>
    </w:p>
    <w:p>
      <w:pPr>
        <w:spacing w:line="400" w:lineRule="exact"/>
        <w:jc w:val="both"/>
        <w:rPr>
          <w:rFonts w:hint="eastAsia" w:ascii="宋体" w:hAnsi="宋体"/>
          <w:b/>
          <w:color w:val="000000"/>
          <w:sz w:val="24"/>
          <w:szCs w:val="24"/>
        </w:rPr>
      </w:pPr>
      <w:r>
        <w:rPr>
          <w:rFonts w:hint="eastAsia" w:ascii="宋体" w:hAnsi="宋体"/>
          <w:b/>
          <w:color w:val="000000"/>
          <w:sz w:val="24"/>
          <w:szCs w:val="24"/>
        </w:rPr>
        <w:t>格</w:t>
      </w:r>
      <w:r>
        <w:rPr>
          <w:rFonts w:hint="eastAsia" w:ascii="宋体" w:hAnsi="宋体" w:cs="Times New Roman"/>
          <w:b/>
          <w:color w:val="000000"/>
          <w:sz w:val="24"/>
          <w:szCs w:val="24"/>
        </w:rPr>
        <w:t>式2-4</w:t>
      </w:r>
      <w:r>
        <w:rPr>
          <w:rFonts w:hint="eastAsia" w:ascii="宋体" w:hAnsi="宋体" w:cs="Times New Roman"/>
          <w:b/>
          <w:color w:val="000000"/>
          <w:sz w:val="24"/>
          <w:szCs w:val="24"/>
          <w:lang w:eastAsia="zh-CN"/>
        </w:rPr>
        <w:t>（按照项目类型填报声明函）</w:t>
      </w:r>
    </w:p>
    <w:p>
      <w:pPr>
        <w:pStyle w:val="6"/>
        <w:spacing w:line="520" w:lineRule="exact"/>
        <w:jc w:val="center"/>
        <w:rPr>
          <w:rFonts w:hint="eastAsia" w:ascii="宋体" w:hAnsi="宋体" w:eastAsia="宋体" w:cs="宋体"/>
          <w:b/>
          <w:sz w:val="28"/>
          <w:highlight w:val="none"/>
          <w:lang w:eastAsia="zh-CN"/>
        </w:rPr>
      </w:pPr>
      <w:r>
        <w:rPr>
          <w:rFonts w:hint="eastAsia" w:ascii="宋体" w:hAnsi="宋体" w:cs="宋体"/>
          <w:b/>
          <w:sz w:val="28"/>
          <w:szCs w:val="28"/>
          <w:highlight w:val="none"/>
        </w:rPr>
        <w:t>中小企业声明函</w:t>
      </w:r>
      <w:r>
        <w:rPr>
          <w:rFonts w:hint="eastAsia" w:ascii="宋体" w:hAnsi="宋体" w:cs="宋体"/>
          <w:b/>
          <w:sz w:val="28"/>
          <w:szCs w:val="28"/>
          <w:highlight w:val="none"/>
          <w:lang w:eastAsia="zh-CN"/>
        </w:rPr>
        <w:t>（货物）</w:t>
      </w:r>
    </w:p>
    <w:p>
      <w:pPr>
        <w:spacing w:line="500" w:lineRule="exact"/>
        <w:ind w:firstLine="420" w:firstLineChars="200"/>
        <w:rPr>
          <w:rFonts w:hint="eastAsia" w:ascii="宋体" w:hAnsi="宋体" w:cs="宋体"/>
          <w:i w:val="0"/>
          <w:iCs w:val="0"/>
          <w:szCs w:val="21"/>
          <w:highlight w:val="none"/>
        </w:rPr>
      </w:pPr>
      <w:r>
        <w:rPr>
          <w:rFonts w:hint="eastAsia" w:ascii="宋体" w:hAnsi="宋体" w:cs="宋体"/>
          <w:i w:val="0"/>
          <w:iCs w:val="0"/>
          <w:szCs w:val="21"/>
          <w:highlight w:val="none"/>
        </w:rPr>
        <w:t>本公司（联合体）郑重声明，根据《政府采购促进中小企业发展管理办法》（财库﹝2020﹞46 号）的规定，本公司（联合体）参加</w:t>
      </w:r>
      <w:r>
        <w:rPr>
          <w:rFonts w:hint="eastAsia" w:ascii="宋体" w:hAnsi="宋体" w:cs="宋体"/>
          <w:i w:val="0"/>
          <w:iCs w:val="0"/>
          <w:szCs w:val="21"/>
          <w:highlight w:val="none"/>
          <w:u w:val="single"/>
        </w:rPr>
        <w:t>（单位名称）</w:t>
      </w:r>
      <w:r>
        <w:rPr>
          <w:rFonts w:hint="eastAsia" w:ascii="宋体" w:hAnsi="宋体" w:cs="宋体"/>
          <w:i w:val="0"/>
          <w:iCs w:val="0"/>
          <w:szCs w:val="21"/>
          <w:highlight w:val="none"/>
        </w:rPr>
        <w:t>的</w:t>
      </w:r>
      <w:r>
        <w:rPr>
          <w:rFonts w:hint="eastAsia" w:ascii="宋体" w:hAnsi="宋体" w:cs="宋体"/>
          <w:i w:val="0"/>
          <w:iCs w:val="0"/>
          <w:szCs w:val="21"/>
          <w:highlight w:val="none"/>
          <w:u w:val="single"/>
        </w:rPr>
        <w:t>（项目名称）</w:t>
      </w:r>
      <w:r>
        <w:rPr>
          <w:rFonts w:hint="eastAsia" w:ascii="宋体" w:hAnsi="宋体" w:cs="宋体"/>
          <w:i w:val="0"/>
          <w:iCs w:val="0"/>
          <w:szCs w:val="21"/>
          <w:highlight w:val="none"/>
        </w:rPr>
        <w:t>采购活动，</w:t>
      </w:r>
      <w:r>
        <w:rPr>
          <w:rFonts w:hint="eastAsia" w:ascii="宋体" w:hAnsi="宋体" w:cs="宋体"/>
          <w:i w:val="0"/>
          <w:iCs w:val="0"/>
          <w:szCs w:val="21"/>
          <w:highlight w:val="none"/>
          <w:lang w:eastAsia="zh-CN"/>
        </w:rPr>
        <w:t>提供的货物全部由符合政策要求的中小企业制造</w:t>
      </w:r>
      <w:r>
        <w:rPr>
          <w:rFonts w:hint="eastAsia" w:ascii="宋体" w:hAnsi="宋体" w:cs="宋体"/>
          <w:i w:val="0"/>
          <w:iCs w:val="0"/>
          <w:szCs w:val="21"/>
          <w:highlight w:val="none"/>
        </w:rPr>
        <w:t>。相关企业（含联合体中的中小企业、签订分包意向协议的中小企业）的具体情况如下：</w:t>
      </w:r>
    </w:p>
    <w:p>
      <w:pPr>
        <w:spacing w:line="500" w:lineRule="exact"/>
        <w:ind w:firstLine="420" w:firstLineChars="200"/>
        <w:rPr>
          <w:rFonts w:hint="eastAsia" w:ascii="宋体" w:hAnsi="宋体" w:cs="宋体"/>
          <w:i w:val="0"/>
          <w:iCs w:val="0"/>
          <w:szCs w:val="21"/>
          <w:highlight w:val="none"/>
        </w:rPr>
      </w:pPr>
      <w:r>
        <w:rPr>
          <w:rFonts w:hint="eastAsia" w:ascii="宋体" w:hAnsi="宋体" w:cs="宋体"/>
          <w:i w:val="0"/>
          <w:iCs w:val="0"/>
          <w:szCs w:val="21"/>
          <w:highlight w:val="none"/>
        </w:rPr>
        <w:t>1.</w:t>
      </w:r>
      <w:r>
        <w:rPr>
          <w:rFonts w:hint="eastAsia" w:ascii="宋体" w:hAnsi="宋体" w:cs="宋体"/>
          <w:i w:val="0"/>
          <w:iCs w:val="0"/>
          <w:szCs w:val="21"/>
          <w:highlight w:val="none"/>
          <w:u w:val="single"/>
        </w:rPr>
        <w:t xml:space="preserve"> （标的名称） </w:t>
      </w:r>
      <w:r>
        <w:rPr>
          <w:rFonts w:hint="eastAsia" w:ascii="宋体" w:hAnsi="宋体" w:cs="宋体"/>
          <w:i w:val="0"/>
          <w:iCs w:val="0"/>
          <w:szCs w:val="21"/>
          <w:highlight w:val="none"/>
        </w:rPr>
        <w:t>，属于</w:t>
      </w:r>
      <w:r>
        <w:rPr>
          <w:rFonts w:hint="eastAsia" w:ascii="宋体" w:hAnsi="宋体" w:cs="宋体"/>
          <w:i w:val="0"/>
          <w:iCs w:val="0"/>
          <w:szCs w:val="21"/>
          <w:highlight w:val="none"/>
          <w:u w:val="single"/>
        </w:rPr>
        <w:t>（采购文件中明确的所属行业）</w:t>
      </w:r>
      <w:r>
        <w:rPr>
          <w:rFonts w:hint="eastAsia" w:ascii="宋体" w:hAnsi="宋体" w:cs="宋体"/>
          <w:i w:val="0"/>
          <w:iCs w:val="0"/>
          <w:szCs w:val="21"/>
          <w:highlight w:val="none"/>
        </w:rPr>
        <w:t>；</w:t>
      </w:r>
      <w:r>
        <w:rPr>
          <w:rFonts w:hint="eastAsia" w:ascii="宋体" w:hAnsi="宋体" w:cs="宋体"/>
          <w:i w:val="0"/>
          <w:iCs w:val="0"/>
          <w:szCs w:val="21"/>
          <w:highlight w:val="none"/>
          <w:lang w:eastAsia="zh-CN"/>
        </w:rPr>
        <w:t>制造商</w:t>
      </w:r>
      <w:r>
        <w:rPr>
          <w:rFonts w:hint="eastAsia" w:ascii="宋体" w:hAnsi="宋体" w:cs="宋体"/>
          <w:i w:val="0"/>
          <w:iCs w:val="0"/>
          <w:szCs w:val="21"/>
          <w:highlight w:val="none"/>
        </w:rPr>
        <w:t>为</w:t>
      </w:r>
      <w:r>
        <w:rPr>
          <w:rFonts w:hint="eastAsia" w:ascii="宋体" w:hAnsi="宋体" w:cs="宋体"/>
          <w:i w:val="0"/>
          <w:iCs w:val="0"/>
          <w:szCs w:val="21"/>
          <w:highlight w:val="none"/>
          <w:u w:val="single"/>
        </w:rPr>
        <w:t>（企业名称）</w:t>
      </w:r>
      <w:r>
        <w:rPr>
          <w:rFonts w:hint="eastAsia" w:ascii="宋体" w:hAnsi="宋体" w:cs="宋体"/>
          <w:i w:val="0"/>
          <w:iCs w:val="0"/>
          <w:szCs w:val="21"/>
          <w:highlight w:val="none"/>
        </w:rPr>
        <w:t>，从业人员</w:t>
      </w:r>
      <w:r>
        <w:rPr>
          <w:rFonts w:hint="eastAsia" w:ascii="宋体" w:hAnsi="宋体" w:cs="宋体"/>
          <w:i w:val="0"/>
          <w:iCs w:val="0"/>
          <w:szCs w:val="21"/>
          <w:highlight w:val="none"/>
          <w:u w:val="single"/>
        </w:rPr>
        <w:t xml:space="preserve">      </w:t>
      </w:r>
      <w:r>
        <w:rPr>
          <w:rFonts w:hint="eastAsia" w:ascii="宋体" w:hAnsi="宋体" w:cs="宋体"/>
          <w:i w:val="0"/>
          <w:iCs w:val="0"/>
          <w:szCs w:val="21"/>
          <w:highlight w:val="none"/>
        </w:rPr>
        <w:t>人，营业收入为</w:t>
      </w:r>
      <w:r>
        <w:rPr>
          <w:rFonts w:hint="eastAsia" w:ascii="宋体" w:hAnsi="宋体" w:cs="宋体"/>
          <w:i w:val="0"/>
          <w:iCs w:val="0"/>
          <w:szCs w:val="21"/>
          <w:highlight w:val="none"/>
          <w:u w:val="single"/>
        </w:rPr>
        <w:t xml:space="preserve">      </w:t>
      </w:r>
      <w:r>
        <w:rPr>
          <w:rFonts w:hint="eastAsia" w:ascii="宋体" w:hAnsi="宋体" w:cs="宋体"/>
          <w:i w:val="0"/>
          <w:iCs w:val="0"/>
          <w:szCs w:val="21"/>
          <w:highlight w:val="none"/>
        </w:rPr>
        <w:t>万元，资产总额为</w:t>
      </w:r>
      <w:r>
        <w:rPr>
          <w:rFonts w:hint="eastAsia" w:ascii="宋体" w:hAnsi="宋体" w:cs="宋体"/>
          <w:i w:val="0"/>
          <w:iCs w:val="0"/>
          <w:szCs w:val="21"/>
          <w:highlight w:val="none"/>
          <w:u w:val="single"/>
        </w:rPr>
        <w:t xml:space="preserve">    </w:t>
      </w:r>
      <w:r>
        <w:rPr>
          <w:rFonts w:hint="eastAsia" w:ascii="宋体" w:hAnsi="宋体" w:cs="宋体"/>
          <w:i w:val="0"/>
          <w:iCs w:val="0"/>
          <w:szCs w:val="21"/>
          <w:highlight w:val="none"/>
        </w:rPr>
        <w:t>万元，属于</w:t>
      </w:r>
      <w:r>
        <w:rPr>
          <w:rFonts w:hint="eastAsia" w:ascii="宋体" w:hAnsi="宋体" w:cs="宋体"/>
          <w:i w:val="0"/>
          <w:iCs w:val="0"/>
          <w:szCs w:val="21"/>
          <w:highlight w:val="none"/>
          <w:u w:val="single"/>
        </w:rPr>
        <w:t>（中型企业、小型企业、微型企业）</w:t>
      </w:r>
      <w:r>
        <w:rPr>
          <w:rFonts w:hint="eastAsia" w:ascii="宋体" w:hAnsi="宋体" w:cs="宋体"/>
          <w:i w:val="0"/>
          <w:iCs w:val="0"/>
          <w:szCs w:val="21"/>
          <w:highlight w:val="none"/>
        </w:rPr>
        <w:t>；</w:t>
      </w:r>
    </w:p>
    <w:p>
      <w:pPr>
        <w:spacing w:line="500" w:lineRule="exact"/>
        <w:ind w:firstLine="420" w:firstLineChars="200"/>
        <w:rPr>
          <w:rFonts w:hint="eastAsia" w:ascii="宋体" w:hAnsi="宋体" w:cs="宋体"/>
          <w:i w:val="0"/>
          <w:iCs w:val="0"/>
          <w:szCs w:val="21"/>
          <w:highlight w:val="none"/>
        </w:rPr>
      </w:pPr>
      <w:r>
        <w:rPr>
          <w:rFonts w:hint="eastAsia" w:ascii="宋体" w:hAnsi="宋体" w:cs="宋体"/>
          <w:i w:val="0"/>
          <w:iCs w:val="0"/>
          <w:szCs w:val="21"/>
          <w:highlight w:val="none"/>
        </w:rPr>
        <w:t>2.</w:t>
      </w:r>
      <w:r>
        <w:rPr>
          <w:rFonts w:hint="eastAsia" w:ascii="宋体" w:hAnsi="宋体" w:cs="宋体"/>
          <w:i w:val="0"/>
          <w:iCs w:val="0"/>
          <w:szCs w:val="21"/>
          <w:highlight w:val="none"/>
          <w:u w:val="single"/>
        </w:rPr>
        <w:t xml:space="preserve"> （标的名称） </w:t>
      </w:r>
      <w:r>
        <w:rPr>
          <w:rFonts w:hint="eastAsia" w:ascii="宋体" w:hAnsi="宋体" w:cs="宋体"/>
          <w:i w:val="0"/>
          <w:iCs w:val="0"/>
          <w:szCs w:val="21"/>
          <w:highlight w:val="none"/>
        </w:rPr>
        <w:t>，属于</w:t>
      </w:r>
      <w:r>
        <w:rPr>
          <w:rFonts w:hint="eastAsia" w:ascii="宋体" w:hAnsi="宋体" w:cs="宋体"/>
          <w:i w:val="0"/>
          <w:iCs w:val="0"/>
          <w:szCs w:val="21"/>
          <w:highlight w:val="none"/>
          <w:u w:val="single"/>
        </w:rPr>
        <w:t>（采购文件中明确的所属行业）</w:t>
      </w:r>
      <w:r>
        <w:rPr>
          <w:rFonts w:hint="eastAsia" w:ascii="宋体" w:hAnsi="宋体" w:cs="宋体"/>
          <w:i w:val="0"/>
          <w:iCs w:val="0"/>
          <w:szCs w:val="21"/>
          <w:highlight w:val="none"/>
        </w:rPr>
        <w:t>；</w:t>
      </w:r>
      <w:r>
        <w:rPr>
          <w:rFonts w:hint="eastAsia" w:ascii="宋体" w:hAnsi="宋体" w:cs="宋体"/>
          <w:i w:val="0"/>
          <w:iCs w:val="0"/>
          <w:szCs w:val="21"/>
          <w:highlight w:val="none"/>
          <w:lang w:eastAsia="zh-CN"/>
        </w:rPr>
        <w:t>制造商</w:t>
      </w:r>
      <w:r>
        <w:rPr>
          <w:rFonts w:hint="eastAsia" w:ascii="宋体" w:hAnsi="宋体" w:cs="宋体"/>
          <w:i w:val="0"/>
          <w:iCs w:val="0"/>
          <w:szCs w:val="21"/>
          <w:highlight w:val="none"/>
        </w:rPr>
        <w:t>为</w:t>
      </w:r>
      <w:r>
        <w:rPr>
          <w:rFonts w:hint="eastAsia" w:ascii="宋体" w:hAnsi="宋体" w:cs="宋体"/>
          <w:i w:val="0"/>
          <w:iCs w:val="0"/>
          <w:szCs w:val="21"/>
          <w:highlight w:val="none"/>
          <w:u w:val="single"/>
        </w:rPr>
        <w:t>（企业名称）</w:t>
      </w:r>
      <w:r>
        <w:rPr>
          <w:rFonts w:hint="eastAsia" w:ascii="宋体" w:hAnsi="宋体" w:cs="宋体"/>
          <w:i w:val="0"/>
          <w:iCs w:val="0"/>
          <w:szCs w:val="21"/>
          <w:highlight w:val="none"/>
        </w:rPr>
        <w:t>，从业人员</w:t>
      </w:r>
      <w:r>
        <w:rPr>
          <w:rFonts w:hint="eastAsia" w:ascii="宋体" w:hAnsi="宋体" w:cs="宋体"/>
          <w:i w:val="0"/>
          <w:iCs w:val="0"/>
          <w:szCs w:val="21"/>
          <w:highlight w:val="none"/>
          <w:u w:val="single"/>
        </w:rPr>
        <w:t xml:space="preserve">     </w:t>
      </w:r>
      <w:r>
        <w:rPr>
          <w:rFonts w:hint="eastAsia" w:ascii="宋体" w:hAnsi="宋体" w:cs="宋体"/>
          <w:i w:val="0"/>
          <w:iCs w:val="0"/>
          <w:szCs w:val="21"/>
          <w:highlight w:val="none"/>
        </w:rPr>
        <w:t>人，营业收入为</w:t>
      </w:r>
      <w:r>
        <w:rPr>
          <w:rFonts w:hint="eastAsia" w:ascii="宋体" w:hAnsi="宋体" w:cs="宋体"/>
          <w:i w:val="0"/>
          <w:iCs w:val="0"/>
          <w:szCs w:val="21"/>
          <w:highlight w:val="none"/>
          <w:u w:val="single"/>
        </w:rPr>
        <w:t xml:space="preserve">    </w:t>
      </w:r>
      <w:r>
        <w:rPr>
          <w:rFonts w:hint="eastAsia" w:ascii="宋体" w:hAnsi="宋体" w:cs="宋体"/>
          <w:i w:val="0"/>
          <w:iCs w:val="0"/>
          <w:szCs w:val="21"/>
          <w:highlight w:val="none"/>
        </w:rPr>
        <w:t>万元，资产总额为</w:t>
      </w:r>
      <w:r>
        <w:rPr>
          <w:rFonts w:hint="eastAsia" w:ascii="宋体" w:hAnsi="宋体" w:cs="宋体"/>
          <w:i w:val="0"/>
          <w:iCs w:val="0"/>
          <w:szCs w:val="21"/>
          <w:highlight w:val="none"/>
          <w:u w:val="single"/>
        </w:rPr>
        <w:t xml:space="preserve">    </w:t>
      </w:r>
      <w:r>
        <w:rPr>
          <w:rFonts w:hint="eastAsia" w:ascii="宋体" w:hAnsi="宋体" w:cs="宋体"/>
          <w:i w:val="0"/>
          <w:iCs w:val="0"/>
          <w:szCs w:val="21"/>
          <w:highlight w:val="none"/>
        </w:rPr>
        <w:t>万元，属于</w:t>
      </w:r>
      <w:r>
        <w:rPr>
          <w:rFonts w:hint="eastAsia" w:ascii="宋体" w:hAnsi="宋体" w:cs="宋体"/>
          <w:i w:val="0"/>
          <w:iCs w:val="0"/>
          <w:szCs w:val="21"/>
          <w:highlight w:val="none"/>
          <w:u w:val="single"/>
        </w:rPr>
        <w:t>（中型企业、小型企业、微型企业）</w:t>
      </w:r>
      <w:r>
        <w:rPr>
          <w:rFonts w:hint="eastAsia" w:ascii="宋体" w:hAnsi="宋体" w:cs="宋体"/>
          <w:i w:val="0"/>
          <w:iCs w:val="0"/>
          <w:szCs w:val="21"/>
          <w:highlight w:val="none"/>
        </w:rPr>
        <w:t>；</w:t>
      </w:r>
    </w:p>
    <w:p>
      <w:pPr>
        <w:spacing w:line="500" w:lineRule="exact"/>
        <w:ind w:firstLine="420" w:firstLineChars="200"/>
        <w:rPr>
          <w:rFonts w:hint="eastAsia" w:ascii="宋体" w:hAnsi="宋体" w:cs="宋体"/>
          <w:i w:val="0"/>
          <w:iCs w:val="0"/>
          <w:szCs w:val="21"/>
          <w:highlight w:val="none"/>
        </w:rPr>
      </w:pPr>
      <w:r>
        <w:rPr>
          <w:rFonts w:hint="eastAsia" w:ascii="宋体" w:hAnsi="宋体" w:cs="宋体"/>
          <w:i w:val="0"/>
          <w:iCs w:val="0"/>
          <w:szCs w:val="21"/>
          <w:highlight w:val="none"/>
        </w:rPr>
        <w:t>……</w:t>
      </w:r>
    </w:p>
    <w:p>
      <w:pPr>
        <w:spacing w:line="500" w:lineRule="exact"/>
        <w:ind w:firstLine="420" w:firstLineChars="200"/>
        <w:rPr>
          <w:rFonts w:hint="eastAsia" w:ascii="宋体" w:hAnsi="宋体" w:cs="宋体"/>
          <w:i w:val="0"/>
          <w:iCs w:val="0"/>
          <w:szCs w:val="21"/>
          <w:highlight w:val="none"/>
        </w:rPr>
      </w:pPr>
      <w:r>
        <w:rPr>
          <w:rFonts w:hint="eastAsia" w:ascii="宋体" w:hAnsi="宋体" w:cs="宋体"/>
          <w:i w:val="0"/>
          <w:iCs w:val="0"/>
          <w:szCs w:val="21"/>
          <w:highlight w:val="none"/>
        </w:rPr>
        <w:t>以上企业，不属于大企业的分支机构，不存在控股股东为大企业的情形，也不存在与大企业的负责人为同一人的情形。</w:t>
      </w:r>
    </w:p>
    <w:p>
      <w:pPr>
        <w:spacing w:line="500" w:lineRule="exact"/>
        <w:ind w:firstLine="420" w:firstLineChars="200"/>
        <w:rPr>
          <w:rFonts w:hint="eastAsia" w:ascii="宋体" w:hAnsi="宋体" w:cs="宋体"/>
          <w:i w:val="0"/>
          <w:iCs w:val="0"/>
          <w:szCs w:val="21"/>
          <w:highlight w:val="none"/>
        </w:rPr>
      </w:pPr>
      <w:r>
        <w:rPr>
          <w:rFonts w:hint="eastAsia" w:ascii="宋体" w:hAnsi="宋体" w:cs="宋体"/>
          <w:i w:val="0"/>
          <w:iCs w:val="0"/>
          <w:szCs w:val="21"/>
          <w:highlight w:val="none"/>
        </w:rPr>
        <w:t>本企业对上述声明内容的真实性负责。如有虚假，将依法承担相应责任。</w:t>
      </w:r>
    </w:p>
    <w:p>
      <w:pPr>
        <w:spacing w:line="500" w:lineRule="exact"/>
        <w:rPr>
          <w:rFonts w:hint="eastAsia" w:ascii="宋体" w:hAnsi="宋体" w:cs="宋体"/>
          <w:i w:val="0"/>
          <w:iCs w:val="0"/>
          <w:szCs w:val="21"/>
          <w:highlight w:val="none"/>
        </w:rPr>
      </w:pPr>
      <w:r>
        <w:rPr>
          <w:rFonts w:hint="eastAsia" w:ascii="宋体" w:hAnsi="宋体" w:cs="宋体"/>
          <w:i w:val="0"/>
          <w:iCs w:val="0"/>
          <w:szCs w:val="21"/>
          <w:highlight w:val="none"/>
        </w:rPr>
        <w:t xml:space="preserve">                        企业名称（盖章）：</w:t>
      </w:r>
    </w:p>
    <w:p>
      <w:pPr>
        <w:spacing w:line="500" w:lineRule="exact"/>
        <w:rPr>
          <w:rFonts w:hint="eastAsia" w:ascii="宋体" w:hAnsi="宋体" w:cs="宋体"/>
          <w:szCs w:val="21"/>
          <w:highlight w:val="none"/>
        </w:rPr>
      </w:pPr>
      <w:r>
        <w:rPr>
          <w:rFonts w:hint="eastAsia" w:ascii="宋体" w:hAnsi="宋体" w:cs="宋体"/>
          <w:i w:val="0"/>
          <w:iCs w:val="0"/>
          <w:szCs w:val="21"/>
          <w:highlight w:val="none"/>
        </w:rPr>
        <w:t xml:space="preserve">                        日期：</w:t>
      </w:r>
    </w:p>
    <w:p>
      <w:pPr>
        <w:spacing w:line="500" w:lineRule="exact"/>
        <w:rPr>
          <w:rFonts w:hint="eastAsia" w:ascii="仿宋" w:hAnsi="仿宋" w:eastAsia="仿宋"/>
          <w:sz w:val="32"/>
          <w:szCs w:val="32"/>
          <w:highlight w:val="none"/>
          <w:u w:val="single"/>
        </w:rPr>
      </w:pPr>
      <w:r>
        <w:rPr>
          <w:rFonts w:hint="eastAsia" w:ascii="仿宋" w:hAnsi="仿宋" w:eastAsia="仿宋"/>
          <w:sz w:val="32"/>
          <w:szCs w:val="32"/>
          <w:highlight w:val="none"/>
          <w:u w:val="single"/>
        </w:rPr>
        <w:t xml:space="preserve">                  </w:t>
      </w:r>
    </w:p>
    <w:p>
      <w:pPr>
        <w:pStyle w:val="6"/>
        <w:spacing w:line="520" w:lineRule="exact"/>
        <w:ind w:left="0" w:leftChars="0"/>
        <w:rPr>
          <w:rFonts w:hint="eastAsia" w:ascii="宋体" w:hAnsi="宋体" w:cs="宋体"/>
          <w:szCs w:val="21"/>
          <w:highlight w:val="none"/>
        </w:rPr>
      </w:pPr>
      <w:r>
        <w:rPr>
          <w:rFonts w:hint="eastAsia" w:ascii="宋体" w:hAnsi="宋体" w:cs="宋体"/>
          <w:szCs w:val="21"/>
          <w:highlight w:val="none"/>
        </w:rPr>
        <w:t>说明：</w:t>
      </w:r>
    </w:p>
    <w:p>
      <w:pPr>
        <w:pStyle w:val="6"/>
        <w:spacing w:line="520" w:lineRule="exact"/>
        <w:ind w:left="0" w:leftChars="0"/>
        <w:rPr>
          <w:rFonts w:hint="eastAsia" w:ascii="宋体" w:hAnsi="宋体" w:cs="宋体"/>
          <w:szCs w:val="21"/>
          <w:highlight w:val="none"/>
        </w:rPr>
      </w:pPr>
      <w:r>
        <w:rPr>
          <w:rFonts w:hint="eastAsia" w:ascii="宋体" w:hAnsi="宋体" w:cs="宋体"/>
          <w:szCs w:val="21"/>
          <w:highlight w:val="none"/>
        </w:rPr>
        <w:t>1、从业人员、营业收入、资产总额填报上一年度数据，无上一年度数据的新成立企业可不填报。</w:t>
      </w:r>
    </w:p>
    <w:p>
      <w:pPr>
        <w:pStyle w:val="6"/>
        <w:spacing w:line="520" w:lineRule="exact"/>
        <w:rPr>
          <w:szCs w:val="21"/>
        </w:rPr>
      </w:pPr>
      <w:r>
        <w:rPr>
          <w:rFonts w:hint="eastAsia" w:ascii="宋体" w:hAnsi="宋体" w:cs="宋体"/>
          <w:szCs w:val="21"/>
          <w:highlight w:val="none"/>
        </w:rPr>
        <w:t>2、根据工信部联企业[2011]300号规定。其他未列明行业：从业人员300人以下的为中小微型企业。其中，从业人员100人及以上的为中型企业；从业人员10人及以上的为小型企业；从业人员10人以下的为微型企业。</w:t>
      </w:r>
    </w:p>
    <w:p>
      <w:pPr>
        <w:pStyle w:val="6"/>
        <w:spacing w:line="520" w:lineRule="exact"/>
        <w:rPr>
          <w:szCs w:val="21"/>
        </w:rPr>
      </w:pPr>
    </w:p>
    <w:p>
      <w:pPr>
        <w:pStyle w:val="6"/>
        <w:spacing w:line="520" w:lineRule="exact"/>
        <w:rPr>
          <w:szCs w:val="21"/>
        </w:rPr>
      </w:pPr>
    </w:p>
    <w:p>
      <w:pPr>
        <w:pStyle w:val="6"/>
        <w:spacing w:line="520" w:lineRule="exact"/>
        <w:rPr>
          <w:szCs w:val="21"/>
        </w:rPr>
      </w:pPr>
    </w:p>
    <w:p>
      <w:pPr>
        <w:pStyle w:val="6"/>
        <w:spacing w:line="520" w:lineRule="exact"/>
        <w:rPr>
          <w:szCs w:val="21"/>
        </w:rPr>
      </w:pPr>
    </w:p>
    <w:p>
      <w:pPr>
        <w:pStyle w:val="6"/>
        <w:spacing w:line="520" w:lineRule="exact"/>
        <w:jc w:val="center"/>
        <w:rPr>
          <w:rFonts w:hint="eastAsia" w:ascii="宋体" w:hAnsi="宋体" w:eastAsia="宋体" w:cs="宋体"/>
          <w:b/>
          <w:sz w:val="28"/>
          <w:highlight w:val="none"/>
          <w:lang w:eastAsia="zh-CN"/>
        </w:rPr>
      </w:pPr>
      <w:r>
        <w:rPr>
          <w:rFonts w:hint="eastAsia" w:ascii="宋体" w:hAnsi="宋体" w:cs="宋体"/>
          <w:b/>
          <w:sz w:val="28"/>
          <w:szCs w:val="28"/>
          <w:highlight w:val="none"/>
        </w:rPr>
        <w:t>中小企业声明函</w:t>
      </w:r>
      <w:r>
        <w:rPr>
          <w:rFonts w:hint="eastAsia" w:ascii="宋体" w:hAnsi="宋体" w:cs="宋体"/>
          <w:b/>
          <w:sz w:val="28"/>
          <w:szCs w:val="28"/>
          <w:highlight w:val="none"/>
          <w:lang w:eastAsia="zh-CN"/>
        </w:rPr>
        <w:t>（工程、服务）</w:t>
      </w:r>
    </w:p>
    <w:p>
      <w:pPr>
        <w:spacing w:line="500" w:lineRule="exact"/>
        <w:ind w:firstLine="420" w:firstLineChars="200"/>
        <w:rPr>
          <w:rFonts w:hint="eastAsia" w:ascii="宋体" w:hAnsi="宋体" w:cs="宋体"/>
          <w:i w:val="0"/>
          <w:iCs w:val="0"/>
          <w:szCs w:val="21"/>
          <w:highlight w:val="none"/>
        </w:rPr>
      </w:pPr>
      <w:r>
        <w:rPr>
          <w:rFonts w:hint="eastAsia" w:ascii="宋体" w:hAnsi="宋体" w:cs="宋体"/>
          <w:i w:val="0"/>
          <w:iCs w:val="0"/>
          <w:szCs w:val="21"/>
          <w:highlight w:val="none"/>
        </w:rPr>
        <w:t>本公司（联合体）郑重声明，根据《政府采购促进中小企业发展管理办法》（财库﹝2020﹞46 号）的规定，本公司（联合体）参加</w:t>
      </w:r>
      <w:r>
        <w:rPr>
          <w:rFonts w:hint="eastAsia" w:ascii="宋体" w:hAnsi="宋体" w:cs="宋体"/>
          <w:i w:val="0"/>
          <w:iCs w:val="0"/>
          <w:szCs w:val="21"/>
          <w:highlight w:val="none"/>
          <w:u w:val="single"/>
        </w:rPr>
        <w:t>（单位名称）</w:t>
      </w:r>
      <w:r>
        <w:rPr>
          <w:rFonts w:hint="eastAsia" w:ascii="宋体" w:hAnsi="宋体" w:cs="宋体"/>
          <w:i w:val="0"/>
          <w:iCs w:val="0"/>
          <w:szCs w:val="21"/>
          <w:highlight w:val="none"/>
        </w:rPr>
        <w:t>的</w:t>
      </w:r>
      <w:r>
        <w:rPr>
          <w:rFonts w:hint="eastAsia" w:ascii="宋体" w:hAnsi="宋体" w:cs="宋体"/>
          <w:i w:val="0"/>
          <w:iCs w:val="0"/>
          <w:szCs w:val="21"/>
          <w:highlight w:val="none"/>
          <w:u w:val="single"/>
        </w:rPr>
        <w:t>（项目名称）</w:t>
      </w:r>
      <w:r>
        <w:rPr>
          <w:rFonts w:hint="eastAsia" w:ascii="宋体" w:hAnsi="宋体" w:cs="宋体"/>
          <w:i w:val="0"/>
          <w:iCs w:val="0"/>
          <w:szCs w:val="21"/>
          <w:highlight w:val="none"/>
        </w:rPr>
        <w:t>采购活动，服务全部由符合政策要求的中小企业承接</w:t>
      </w:r>
      <w:r>
        <w:rPr>
          <w:rFonts w:hint="eastAsia" w:ascii="宋体" w:hAnsi="宋体" w:cs="宋体"/>
          <w:i w:val="0"/>
          <w:iCs w:val="0"/>
          <w:szCs w:val="21"/>
          <w:highlight w:val="none"/>
          <w:lang w:eastAsia="zh-CN"/>
        </w:rPr>
        <w:t>（或者：工程的施工单位全部为符合政策要求的中小企业）</w:t>
      </w:r>
      <w:r>
        <w:rPr>
          <w:rFonts w:hint="eastAsia" w:ascii="宋体" w:hAnsi="宋体" w:cs="宋体"/>
          <w:i w:val="0"/>
          <w:iCs w:val="0"/>
          <w:szCs w:val="21"/>
          <w:highlight w:val="none"/>
        </w:rPr>
        <w:t>。相关企业（含联合体中的中小企业、签订分包意向协议的中小企业）的具体情况如下：</w:t>
      </w:r>
    </w:p>
    <w:p>
      <w:pPr>
        <w:spacing w:line="500" w:lineRule="exact"/>
        <w:ind w:firstLine="420" w:firstLineChars="200"/>
        <w:rPr>
          <w:rFonts w:hint="eastAsia" w:ascii="宋体" w:hAnsi="宋体" w:cs="宋体"/>
          <w:i w:val="0"/>
          <w:iCs w:val="0"/>
          <w:szCs w:val="21"/>
          <w:highlight w:val="none"/>
        </w:rPr>
      </w:pPr>
      <w:r>
        <w:rPr>
          <w:rFonts w:hint="eastAsia" w:ascii="宋体" w:hAnsi="宋体" w:cs="宋体"/>
          <w:i w:val="0"/>
          <w:iCs w:val="0"/>
          <w:szCs w:val="21"/>
          <w:highlight w:val="none"/>
        </w:rPr>
        <w:t>1.</w:t>
      </w:r>
      <w:r>
        <w:rPr>
          <w:rFonts w:hint="eastAsia" w:ascii="宋体" w:hAnsi="宋体" w:cs="宋体"/>
          <w:i w:val="0"/>
          <w:iCs w:val="0"/>
          <w:szCs w:val="21"/>
          <w:highlight w:val="none"/>
          <w:u w:val="single"/>
        </w:rPr>
        <w:t xml:space="preserve"> （标的名称） </w:t>
      </w:r>
      <w:r>
        <w:rPr>
          <w:rFonts w:hint="eastAsia" w:ascii="宋体" w:hAnsi="宋体" w:cs="宋体"/>
          <w:i w:val="0"/>
          <w:iCs w:val="0"/>
          <w:szCs w:val="21"/>
          <w:highlight w:val="none"/>
        </w:rPr>
        <w:t>，属于</w:t>
      </w:r>
      <w:r>
        <w:rPr>
          <w:rFonts w:hint="eastAsia" w:ascii="宋体" w:hAnsi="宋体" w:cs="宋体"/>
          <w:i w:val="0"/>
          <w:iCs w:val="0"/>
          <w:szCs w:val="21"/>
          <w:highlight w:val="none"/>
          <w:u w:val="single"/>
        </w:rPr>
        <w:t>（采购文件中明确的所属行业）</w:t>
      </w:r>
      <w:r>
        <w:rPr>
          <w:rFonts w:hint="eastAsia" w:ascii="宋体" w:hAnsi="宋体" w:cs="宋体"/>
          <w:i w:val="0"/>
          <w:iCs w:val="0"/>
          <w:szCs w:val="21"/>
          <w:highlight w:val="none"/>
        </w:rPr>
        <w:t>；承接企业为</w:t>
      </w:r>
      <w:r>
        <w:rPr>
          <w:rFonts w:hint="eastAsia" w:ascii="宋体" w:hAnsi="宋体" w:cs="宋体"/>
          <w:i w:val="0"/>
          <w:iCs w:val="0"/>
          <w:szCs w:val="21"/>
          <w:highlight w:val="none"/>
          <w:u w:val="single"/>
        </w:rPr>
        <w:t>（企业名称）</w:t>
      </w:r>
      <w:r>
        <w:rPr>
          <w:rFonts w:hint="eastAsia" w:ascii="宋体" w:hAnsi="宋体" w:cs="宋体"/>
          <w:i w:val="0"/>
          <w:iCs w:val="0"/>
          <w:szCs w:val="21"/>
          <w:highlight w:val="none"/>
        </w:rPr>
        <w:t>，从业人员</w:t>
      </w:r>
      <w:r>
        <w:rPr>
          <w:rFonts w:hint="eastAsia" w:ascii="宋体" w:hAnsi="宋体" w:cs="宋体"/>
          <w:i w:val="0"/>
          <w:iCs w:val="0"/>
          <w:szCs w:val="21"/>
          <w:highlight w:val="none"/>
          <w:u w:val="single"/>
        </w:rPr>
        <w:t xml:space="preserve">      </w:t>
      </w:r>
      <w:r>
        <w:rPr>
          <w:rFonts w:hint="eastAsia" w:ascii="宋体" w:hAnsi="宋体" w:cs="宋体"/>
          <w:i w:val="0"/>
          <w:iCs w:val="0"/>
          <w:szCs w:val="21"/>
          <w:highlight w:val="none"/>
        </w:rPr>
        <w:t>人，营业收入为</w:t>
      </w:r>
      <w:r>
        <w:rPr>
          <w:rFonts w:hint="eastAsia" w:ascii="宋体" w:hAnsi="宋体" w:cs="宋体"/>
          <w:i w:val="0"/>
          <w:iCs w:val="0"/>
          <w:szCs w:val="21"/>
          <w:highlight w:val="none"/>
          <w:u w:val="single"/>
        </w:rPr>
        <w:t xml:space="preserve">      </w:t>
      </w:r>
      <w:r>
        <w:rPr>
          <w:rFonts w:hint="eastAsia" w:ascii="宋体" w:hAnsi="宋体" w:cs="宋体"/>
          <w:i w:val="0"/>
          <w:iCs w:val="0"/>
          <w:szCs w:val="21"/>
          <w:highlight w:val="none"/>
        </w:rPr>
        <w:t>万元，资产总额为</w:t>
      </w:r>
      <w:r>
        <w:rPr>
          <w:rFonts w:hint="eastAsia" w:ascii="宋体" w:hAnsi="宋体" w:cs="宋体"/>
          <w:i w:val="0"/>
          <w:iCs w:val="0"/>
          <w:szCs w:val="21"/>
          <w:highlight w:val="none"/>
          <w:u w:val="single"/>
        </w:rPr>
        <w:t xml:space="preserve">    </w:t>
      </w:r>
      <w:r>
        <w:rPr>
          <w:rFonts w:hint="eastAsia" w:ascii="宋体" w:hAnsi="宋体" w:cs="宋体"/>
          <w:i w:val="0"/>
          <w:iCs w:val="0"/>
          <w:szCs w:val="21"/>
          <w:highlight w:val="none"/>
        </w:rPr>
        <w:t>万元，属于</w:t>
      </w:r>
      <w:r>
        <w:rPr>
          <w:rFonts w:hint="eastAsia" w:ascii="宋体" w:hAnsi="宋体" w:cs="宋体"/>
          <w:i w:val="0"/>
          <w:iCs w:val="0"/>
          <w:szCs w:val="21"/>
          <w:highlight w:val="none"/>
          <w:u w:val="single"/>
        </w:rPr>
        <w:t>（中型企业、小型企业、微型企业）</w:t>
      </w:r>
      <w:r>
        <w:rPr>
          <w:rFonts w:hint="eastAsia" w:ascii="宋体" w:hAnsi="宋体" w:cs="宋体"/>
          <w:i w:val="0"/>
          <w:iCs w:val="0"/>
          <w:szCs w:val="21"/>
          <w:highlight w:val="none"/>
        </w:rPr>
        <w:t>；</w:t>
      </w:r>
    </w:p>
    <w:p>
      <w:pPr>
        <w:spacing w:line="500" w:lineRule="exact"/>
        <w:ind w:firstLine="420" w:firstLineChars="200"/>
        <w:rPr>
          <w:rFonts w:hint="eastAsia" w:ascii="宋体" w:hAnsi="宋体" w:cs="宋体"/>
          <w:i w:val="0"/>
          <w:iCs w:val="0"/>
          <w:szCs w:val="21"/>
          <w:highlight w:val="none"/>
        </w:rPr>
      </w:pPr>
      <w:r>
        <w:rPr>
          <w:rFonts w:hint="eastAsia" w:ascii="宋体" w:hAnsi="宋体" w:cs="宋体"/>
          <w:i w:val="0"/>
          <w:iCs w:val="0"/>
          <w:szCs w:val="21"/>
          <w:highlight w:val="none"/>
        </w:rPr>
        <w:t>2.</w:t>
      </w:r>
      <w:r>
        <w:rPr>
          <w:rFonts w:hint="eastAsia" w:ascii="宋体" w:hAnsi="宋体" w:cs="宋体"/>
          <w:i w:val="0"/>
          <w:iCs w:val="0"/>
          <w:szCs w:val="21"/>
          <w:highlight w:val="none"/>
          <w:u w:val="single"/>
        </w:rPr>
        <w:t xml:space="preserve"> （标的名称） </w:t>
      </w:r>
      <w:r>
        <w:rPr>
          <w:rFonts w:hint="eastAsia" w:ascii="宋体" w:hAnsi="宋体" w:cs="宋体"/>
          <w:i w:val="0"/>
          <w:iCs w:val="0"/>
          <w:szCs w:val="21"/>
          <w:highlight w:val="none"/>
        </w:rPr>
        <w:t>，属于</w:t>
      </w:r>
      <w:r>
        <w:rPr>
          <w:rFonts w:hint="eastAsia" w:ascii="宋体" w:hAnsi="宋体" w:cs="宋体"/>
          <w:i w:val="0"/>
          <w:iCs w:val="0"/>
          <w:szCs w:val="21"/>
          <w:highlight w:val="none"/>
          <w:u w:val="single"/>
        </w:rPr>
        <w:t>（采购文件中明确的所属行业）</w:t>
      </w:r>
      <w:r>
        <w:rPr>
          <w:rFonts w:hint="eastAsia" w:ascii="宋体" w:hAnsi="宋体" w:cs="宋体"/>
          <w:i w:val="0"/>
          <w:iCs w:val="0"/>
          <w:szCs w:val="21"/>
          <w:highlight w:val="none"/>
        </w:rPr>
        <w:t>；承接企业为</w:t>
      </w:r>
      <w:r>
        <w:rPr>
          <w:rFonts w:hint="eastAsia" w:ascii="宋体" w:hAnsi="宋体" w:cs="宋体"/>
          <w:i w:val="0"/>
          <w:iCs w:val="0"/>
          <w:szCs w:val="21"/>
          <w:highlight w:val="none"/>
          <w:u w:val="single"/>
        </w:rPr>
        <w:t>（企业名称）</w:t>
      </w:r>
      <w:r>
        <w:rPr>
          <w:rFonts w:hint="eastAsia" w:ascii="宋体" w:hAnsi="宋体" w:cs="宋体"/>
          <w:i w:val="0"/>
          <w:iCs w:val="0"/>
          <w:szCs w:val="21"/>
          <w:highlight w:val="none"/>
        </w:rPr>
        <w:t>，从业人员</w:t>
      </w:r>
      <w:r>
        <w:rPr>
          <w:rFonts w:hint="eastAsia" w:ascii="宋体" w:hAnsi="宋体" w:cs="宋体"/>
          <w:i w:val="0"/>
          <w:iCs w:val="0"/>
          <w:szCs w:val="21"/>
          <w:highlight w:val="none"/>
          <w:u w:val="single"/>
        </w:rPr>
        <w:t xml:space="preserve">     </w:t>
      </w:r>
      <w:r>
        <w:rPr>
          <w:rFonts w:hint="eastAsia" w:ascii="宋体" w:hAnsi="宋体" w:cs="宋体"/>
          <w:i w:val="0"/>
          <w:iCs w:val="0"/>
          <w:szCs w:val="21"/>
          <w:highlight w:val="none"/>
        </w:rPr>
        <w:t>人，营业收入为</w:t>
      </w:r>
      <w:r>
        <w:rPr>
          <w:rFonts w:hint="eastAsia" w:ascii="宋体" w:hAnsi="宋体" w:cs="宋体"/>
          <w:i w:val="0"/>
          <w:iCs w:val="0"/>
          <w:szCs w:val="21"/>
          <w:highlight w:val="none"/>
          <w:u w:val="single"/>
        </w:rPr>
        <w:t xml:space="preserve">    </w:t>
      </w:r>
      <w:r>
        <w:rPr>
          <w:rFonts w:hint="eastAsia" w:ascii="宋体" w:hAnsi="宋体" w:cs="宋体"/>
          <w:i w:val="0"/>
          <w:iCs w:val="0"/>
          <w:szCs w:val="21"/>
          <w:highlight w:val="none"/>
        </w:rPr>
        <w:t>万元，资产总额为</w:t>
      </w:r>
      <w:r>
        <w:rPr>
          <w:rFonts w:hint="eastAsia" w:ascii="宋体" w:hAnsi="宋体" w:cs="宋体"/>
          <w:i w:val="0"/>
          <w:iCs w:val="0"/>
          <w:szCs w:val="21"/>
          <w:highlight w:val="none"/>
          <w:u w:val="single"/>
        </w:rPr>
        <w:t xml:space="preserve">    </w:t>
      </w:r>
      <w:r>
        <w:rPr>
          <w:rFonts w:hint="eastAsia" w:ascii="宋体" w:hAnsi="宋体" w:cs="宋体"/>
          <w:i w:val="0"/>
          <w:iCs w:val="0"/>
          <w:szCs w:val="21"/>
          <w:highlight w:val="none"/>
        </w:rPr>
        <w:t>万元，属于</w:t>
      </w:r>
      <w:r>
        <w:rPr>
          <w:rFonts w:hint="eastAsia" w:ascii="宋体" w:hAnsi="宋体" w:cs="宋体"/>
          <w:i w:val="0"/>
          <w:iCs w:val="0"/>
          <w:szCs w:val="21"/>
          <w:highlight w:val="none"/>
          <w:u w:val="single"/>
        </w:rPr>
        <w:t>（中型企业、小型企业、微型企业）</w:t>
      </w:r>
      <w:r>
        <w:rPr>
          <w:rFonts w:hint="eastAsia" w:ascii="宋体" w:hAnsi="宋体" w:cs="宋体"/>
          <w:i w:val="0"/>
          <w:iCs w:val="0"/>
          <w:szCs w:val="21"/>
          <w:highlight w:val="none"/>
        </w:rPr>
        <w:t>；</w:t>
      </w:r>
    </w:p>
    <w:p>
      <w:pPr>
        <w:spacing w:line="500" w:lineRule="exact"/>
        <w:ind w:firstLine="420" w:firstLineChars="200"/>
        <w:rPr>
          <w:rFonts w:hint="eastAsia" w:ascii="宋体" w:hAnsi="宋体" w:cs="宋体"/>
          <w:i w:val="0"/>
          <w:iCs w:val="0"/>
          <w:szCs w:val="21"/>
          <w:highlight w:val="none"/>
        </w:rPr>
      </w:pPr>
      <w:r>
        <w:rPr>
          <w:rFonts w:hint="eastAsia" w:ascii="宋体" w:hAnsi="宋体" w:cs="宋体"/>
          <w:i w:val="0"/>
          <w:iCs w:val="0"/>
          <w:szCs w:val="21"/>
          <w:highlight w:val="none"/>
        </w:rPr>
        <w:t>……</w:t>
      </w:r>
    </w:p>
    <w:p>
      <w:pPr>
        <w:spacing w:line="500" w:lineRule="exact"/>
        <w:ind w:firstLine="420" w:firstLineChars="200"/>
        <w:rPr>
          <w:rFonts w:hint="eastAsia" w:ascii="宋体" w:hAnsi="宋体" w:cs="宋体"/>
          <w:i w:val="0"/>
          <w:iCs w:val="0"/>
          <w:szCs w:val="21"/>
          <w:highlight w:val="none"/>
        </w:rPr>
      </w:pPr>
      <w:r>
        <w:rPr>
          <w:rFonts w:hint="eastAsia" w:ascii="宋体" w:hAnsi="宋体" w:cs="宋体"/>
          <w:i w:val="0"/>
          <w:iCs w:val="0"/>
          <w:szCs w:val="21"/>
          <w:highlight w:val="none"/>
        </w:rPr>
        <w:t>以上企业，不属于大企业的分支机构，不存在控股股东为大企业的情形，也不存在与大企业的负责人为同一人的情形。</w:t>
      </w:r>
    </w:p>
    <w:p>
      <w:pPr>
        <w:spacing w:line="500" w:lineRule="exact"/>
        <w:ind w:firstLine="420" w:firstLineChars="200"/>
        <w:rPr>
          <w:rFonts w:hint="eastAsia" w:ascii="宋体" w:hAnsi="宋体" w:cs="宋体"/>
          <w:i w:val="0"/>
          <w:iCs w:val="0"/>
          <w:szCs w:val="21"/>
          <w:highlight w:val="none"/>
        </w:rPr>
      </w:pPr>
      <w:r>
        <w:rPr>
          <w:rFonts w:hint="eastAsia" w:ascii="宋体" w:hAnsi="宋体" w:cs="宋体"/>
          <w:i w:val="0"/>
          <w:iCs w:val="0"/>
          <w:szCs w:val="21"/>
          <w:highlight w:val="none"/>
        </w:rPr>
        <w:t>本企业对上述声明内容的真实性负责。如有虚假，将依法承担相应责任。</w:t>
      </w:r>
    </w:p>
    <w:p>
      <w:pPr>
        <w:spacing w:line="500" w:lineRule="exact"/>
        <w:rPr>
          <w:rFonts w:hint="eastAsia" w:ascii="宋体" w:hAnsi="宋体" w:cs="宋体"/>
          <w:i w:val="0"/>
          <w:iCs w:val="0"/>
          <w:szCs w:val="21"/>
          <w:highlight w:val="none"/>
        </w:rPr>
      </w:pPr>
      <w:r>
        <w:rPr>
          <w:rFonts w:hint="eastAsia" w:ascii="宋体" w:hAnsi="宋体" w:cs="宋体"/>
          <w:i w:val="0"/>
          <w:iCs w:val="0"/>
          <w:szCs w:val="21"/>
          <w:highlight w:val="none"/>
        </w:rPr>
        <w:t xml:space="preserve">                        企业名称（盖章）：</w:t>
      </w:r>
    </w:p>
    <w:p>
      <w:pPr>
        <w:spacing w:line="500" w:lineRule="exact"/>
        <w:rPr>
          <w:rFonts w:hint="eastAsia" w:ascii="宋体" w:hAnsi="宋体" w:cs="宋体"/>
          <w:szCs w:val="21"/>
          <w:highlight w:val="none"/>
        </w:rPr>
      </w:pPr>
      <w:r>
        <w:rPr>
          <w:rFonts w:hint="eastAsia" w:ascii="宋体" w:hAnsi="宋体" w:cs="宋体"/>
          <w:i w:val="0"/>
          <w:iCs w:val="0"/>
          <w:szCs w:val="21"/>
          <w:highlight w:val="none"/>
        </w:rPr>
        <w:t xml:space="preserve">                        日期：</w:t>
      </w:r>
    </w:p>
    <w:p>
      <w:pPr>
        <w:spacing w:line="500" w:lineRule="exact"/>
        <w:rPr>
          <w:rFonts w:hint="eastAsia" w:ascii="仿宋" w:hAnsi="仿宋" w:eastAsia="仿宋"/>
          <w:sz w:val="32"/>
          <w:szCs w:val="32"/>
          <w:highlight w:val="none"/>
          <w:u w:val="single"/>
        </w:rPr>
      </w:pPr>
      <w:r>
        <w:rPr>
          <w:rFonts w:hint="eastAsia" w:ascii="仿宋" w:hAnsi="仿宋" w:eastAsia="仿宋"/>
          <w:sz w:val="32"/>
          <w:szCs w:val="32"/>
          <w:highlight w:val="none"/>
          <w:u w:val="single"/>
        </w:rPr>
        <w:t xml:space="preserve">                  </w:t>
      </w:r>
    </w:p>
    <w:p>
      <w:pPr>
        <w:pStyle w:val="6"/>
        <w:spacing w:line="520" w:lineRule="exact"/>
        <w:ind w:left="0" w:leftChars="0"/>
        <w:rPr>
          <w:rFonts w:hint="eastAsia" w:ascii="宋体" w:hAnsi="宋体" w:cs="宋体"/>
          <w:szCs w:val="21"/>
          <w:highlight w:val="none"/>
        </w:rPr>
      </w:pPr>
      <w:r>
        <w:rPr>
          <w:rFonts w:hint="eastAsia" w:ascii="宋体" w:hAnsi="宋体" w:cs="宋体"/>
          <w:szCs w:val="21"/>
          <w:highlight w:val="none"/>
        </w:rPr>
        <w:t>说明：</w:t>
      </w:r>
    </w:p>
    <w:p>
      <w:pPr>
        <w:pStyle w:val="6"/>
        <w:spacing w:line="520" w:lineRule="exact"/>
        <w:ind w:left="0" w:leftChars="0"/>
        <w:rPr>
          <w:rFonts w:hint="eastAsia" w:ascii="宋体" w:hAnsi="宋体" w:cs="宋体"/>
          <w:szCs w:val="21"/>
          <w:highlight w:val="none"/>
        </w:rPr>
      </w:pPr>
      <w:r>
        <w:rPr>
          <w:rFonts w:hint="eastAsia" w:ascii="宋体" w:hAnsi="宋体" w:cs="宋体"/>
          <w:szCs w:val="21"/>
          <w:highlight w:val="none"/>
        </w:rPr>
        <w:t>1、从业人员、营业收入、资产总额填报上一年度数据，无上一年度数据的新成立企业可不填报。</w:t>
      </w:r>
    </w:p>
    <w:p>
      <w:pPr>
        <w:pStyle w:val="6"/>
        <w:spacing w:line="520" w:lineRule="exact"/>
        <w:ind w:left="0" w:leftChars="0"/>
        <w:rPr>
          <w:rFonts w:hint="eastAsia" w:ascii="宋体" w:hAnsi="宋体" w:cs="宋体"/>
          <w:szCs w:val="21"/>
          <w:highlight w:val="none"/>
        </w:rPr>
      </w:pPr>
      <w:r>
        <w:rPr>
          <w:rFonts w:hint="eastAsia" w:ascii="宋体" w:hAnsi="宋体" w:cs="宋体"/>
          <w:szCs w:val="21"/>
          <w:highlight w:val="none"/>
        </w:rPr>
        <w:t>2、根据工信部联企业[2011]300号规定。其他未列明行业：从业人员300人以下的为中小微型企业。其中，从业人员100人及以上的为中型企业；从业人员10人及以上的为小型企业；从业人员10人以下的为微型企业。</w:t>
      </w:r>
    </w:p>
    <w:p>
      <w:pPr>
        <w:spacing w:line="480" w:lineRule="exact"/>
        <w:rPr>
          <w:rFonts w:ascii="宋体" w:hAnsi="宋体"/>
          <w:b/>
          <w:color w:val="000000"/>
          <w:sz w:val="24"/>
          <w:szCs w:val="24"/>
        </w:rPr>
      </w:pPr>
    </w:p>
    <w:p>
      <w:pPr>
        <w:spacing w:line="480" w:lineRule="exact"/>
        <w:rPr>
          <w:rFonts w:hint="eastAsia" w:ascii="宋体" w:hAnsi="宋体"/>
          <w:b/>
          <w:color w:val="000000"/>
          <w:sz w:val="24"/>
          <w:szCs w:val="24"/>
        </w:rPr>
      </w:pPr>
    </w:p>
    <w:p>
      <w:pPr>
        <w:pStyle w:val="2"/>
        <w:rPr>
          <w:rFonts w:hint="eastAsia" w:ascii="宋体" w:hAnsi="宋体"/>
          <w:b/>
          <w:color w:val="000000"/>
          <w:sz w:val="24"/>
          <w:szCs w:val="24"/>
        </w:rPr>
      </w:pPr>
    </w:p>
    <w:p>
      <w:pPr>
        <w:pStyle w:val="2"/>
        <w:rPr>
          <w:rFonts w:hint="eastAsia" w:ascii="宋体" w:hAnsi="宋体"/>
          <w:b/>
          <w:color w:val="000000"/>
          <w:sz w:val="24"/>
          <w:szCs w:val="24"/>
        </w:rPr>
      </w:pPr>
    </w:p>
    <w:p>
      <w:pPr>
        <w:pStyle w:val="2"/>
        <w:rPr>
          <w:rFonts w:hint="eastAsia" w:ascii="宋体" w:hAnsi="宋体"/>
          <w:b/>
          <w:color w:val="000000"/>
          <w:sz w:val="24"/>
          <w:szCs w:val="24"/>
        </w:rPr>
      </w:pPr>
    </w:p>
    <w:p>
      <w:pPr>
        <w:spacing w:line="480" w:lineRule="exact"/>
        <w:rPr>
          <w:rFonts w:ascii="宋体" w:hAnsi="宋体"/>
          <w:b/>
          <w:color w:val="000000"/>
          <w:sz w:val="24"/>
          <w:szCs w:val="24"/>
        </w:rPr>
      </w:pPr>
      <w:r>
        <w:rPr>
          <w:rFonts w:hint="eastAsia" w:ascii="宋体" w:hAnsi="宋体"/>
          <w:b/>
          <w:color w:val="000000"/>
          <w:sz w:val="24"/>
          <w:szCs w:val="24"/>
        </w:rPr>
        <w:t>格式2-5</w:t>
      </w:r>
    </w:p>
    <w:p>
      <w:pPr>
        <w:spacing w:line="400" w:lineRule="exact"/>
        <w:jc w:val="center"/>
        <w:rPr>
          <w:rFonts w:hint="eastAsia" w:ascii="宋体" w:hAnsi="宋体"/>
          <w:b/>
          <w:bCs/>
          <w:iCs/>
          <w:sz w:val="36"/>
          <w:szCs w:val="36"/>
        </w:rPr>
      </w:pPr>
    </w:p>
    <w:p>
      <w:pPr>
        <w:spacing w:line="400" w:lineRule="exact"/>
        <w:jc w:val="center"/>
        <w:rPr>
          <w:rFonts w:hint="eastAsia" w:ascii="宋体" w:hAnsi="宋体"/>
          <w:b/>
          <w:bCs/>
          <w:iCs/>
          <w:sz w:val="36"/>
          <w:szCs w:val="36"/>
        </w:rPr>
      </w:pPr>
      <w:r>
        <w:rPr>
          <w:rFonts w:hint="eastAsia" w:ascii="宋体" w:hAnsi="宋体"/>
          <w:b/>
          <w:bCs/>
          <w:iCs/>
          <w:sz w:val="36"/>
          <w:szCs w:val="36"/>
        </w:rPr>
        <w:t>投标人认为有必要提供的其他相关数据和材料</w:t>
      </w:r>
    </w:p>
    <w:p>
      <w:pPr>
        <w:spacing w:line="400" w:lineRule="exact"/>
        <w:jc w:val="center"/>
        <w:rPr>
          <w:rFonts w:hint="eastAsia" w:ascii="宋体" w:hAnsi="宋体"/>
          <w:bCs/>
          <w:iCs/>
          <w:sz w:val="36"/>
          <w:szCs w:val="36"/>
        </w:rPr>
      </w:pPr>
      <w:r>
        <w:rPr>
          <w:rFonts w:hint="eastAsia" w:ascii="宋体" w:hAnsi="宋体"/>
          <w:bCs/>
          <w:iCs/>
          <w:sz w:val="36"/>
          <w:szCs w:val="36"/>
        </w:rPr>
        <w:t>（格式自拟）</w:t>
      </w:r>
    </w:p>
    <w:p>
      <w:pPr>
        <w:spacing w:line="480" w:lineRule="exact"/>
        <w:rPr>
          <w:rFonts w:hint="eastAsia"/>
        </w:rPr>
      </w:pPr>
    </w:p>
    <w:p/>
    <w:sectPr>
      <w:headerReference r:id="rId11" w:type="default"/>
      <w:footerReference r:id="rId12" w:type="default"/>
      <w:footerReference r:id="rId13" w:type="even"/>
      <w:pgSz w:w="11907" w:h="16840"/>
      <w:pgMar w:top="1418" w:right="1077" w:bottom="1418" w:left="1106" w:header="720" w:footer="720" w:gutter="0"/>
      <w:pgBorders>
        <w:top w:val="none" w:sz="0" w:space="0"/>
        <w:left w:val="none" w:sz="0" w:space="0"/>
        <w:bottom w:val="none" w:sz="0" w:space="0"/>
        <w:right w:val="none" w:sz="0" w:space="0"/>
      </w:pgBorders>
      <w:pgNumType w:fmt="decimal"/>
      <w:cols w:space="720" w:num="1"/>
      <w:docGrid w:type="line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 w:name="仿宋_GB2312">
    <w:altName w:val="仿宋"/>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Adobe 黑体 Std R">
    <w:altName w:val="黑体"/>
    <w:panose1 w:val="00000000000000000000"/>
    <w:charset w:val="00"/>
    <w:family w:val="auto"/>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Pr>
    </w:pPr>
    <w:r>
      <w:fldChar w:fldCharType="begin"/>
    </w:r>
    <w:r>
      <w:rPr>
        <w:rStyle w:val="17"/>
      </w:rPr>
      <w:instrText xml:space="preserve">PAGE  </w:instrText>
    </w:r>
    <w:r>
      <w:fldChar w:fldCharType="separate"/>
    </w:r>
    <w:r>
      <w:rPr>
        <w:rStyle w:val="17"/>
        <w:lang/>
      </w:rPr>
      <w:t>1</w:t>
    </w:r>
    <w:r>
      <w:fldChar w:fldCharType="end"/>
    </w:r>
  </w:p>
  <w:p>
    <w:pPr>
      <w:pStyle w:val="8"/>
      <w:ind w:firstLine="270" w:firstLineChars="150"/>
    </w:pPr>
    <w:r>
      <w:rPr>
        <w:rFonts w:hint="eastAsia"/>
      </w:rPr>
      <w:t>网址：</w:t>
    </w:r>
    <w:r>
      <w:t>http:/</w:t>
    </w:r>
    <w:r>
      <w:rPr>
        <w:rFonts w:hint="eastAsia"/>
      </w:rPr>
      <w:t>haishu.bidding.gov.cn</w:t>
    </w:r>
    <w:r>
      <w:t>/</w:t>
    </w:r>
    <w:r>
      <w:rPr>
        <w:rFonts w:hint="eastAsia"/>
      </w:rPr>
      <w:t xml:space="preserve">                                              宁波市海曙区公共资源交易中心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Pr>
    </w:pPr>
    <w:r>
      <w:fldChar w:fldCharType="begin"/>
    </w:r>
    <w:r>
      <w:rPr>
        <w:rStyle w:val="17"/>
      </w:rPr>
      <w:instrText xml:space="preserve">PAGE  </w:instrText>
    </w:r>
    <w:r>
      <w:fldChar w:fldCharType="separate"/>
    </w:r>
    <w:r>
      <w:rPr>
        <w:rStyle w:val="17"/>
        <w:lang/>
      </w:rPr>
      <w:t>38</w:t>
    </w:r>
    <w:r>
      <w:fldChar w:fldCharType="end"/>
    </w:r>
  </w:p>
  <w:p>
    <w:pPr>
      <w:pStyle w:val="8"/>
      <w:ind w:firstLine="90" w:firstLineChars="50"/>
    </w:pPr>
    <w:r>
      <w:rPr>
        <w:rFonts w:hint="eastAsia"/>
      </w:rPr>
      <w:t>网址：</w:t>
    </w:r>
    <w:r>
      <w:rPr>
        <w:rFonts w:hint="eastAsia" w:ascii="Times New Roman" w:hAnsi="Times New Roman" w:cs="Times New Roman"/>
        <w:lang w:eastAsia="zh-CN"/>
      </w:rPr>
      <w:t xml:space="preserve">bidding.ningbo.gov.cn/haishu/ </w:t>
    </w:r>
    <w:r>
      <w:rPr>
        <w:rFonts w:hint="eastAsia"/>
      </w:rPr>
      <w:t xml:space="preserve">                                             </w:t>
    </w:r>
    <w:r>
      <w:rPr>
        <w:rFonts w:hint="eastAsia"/>
        <w:lang w:val="en-US" w:eastAsia="zh-CN"/>
      </w:rPr>
      <w:t xml:space="preserve"> </w:t>
    </w:r>
    <w:r>
      <w:rPr>
        <w:rFonts w:hint="eastAsia"/>
      </w:rPr>
      <w:t xml:space="preserve"> 宁波市海曙区公共资源交易中心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70" w:firstLineChars="15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5</w:t>
                          </w:r>
                          <w:r>
                            <w:rPr>
                              <w:rFonts w:hint="eastAsia"/>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J/bWPMkBAACZAwAADgAAAGRycy9lMm9Eb2MueG1srVPNjtMwEL4j8Q6W 79TZSqyqqOlqUbUICQHSwgO4jt1Y8p88bpO+ALwBJy7cea4+B2Mn6S7LZQ97ccYz42/m+2ayvhms IUcZQXvX0KtFRYl0wrfa7Rv67evdmxUlkLhrufFONvQkgd5sXr9a96GWS99508pIEMRB3YeGdimF mjEQnbQcFj5Ih0Hlo+UJr3HP2sh7RLeGLavqmvU+tiF6IQHQux2DdEKMzwH0Smkht14crHRpRI3S 8ISUoNMB6KZ0q5QU6bNSIBMxDUWmqZxYBO1dPtlmzet95KHTYmqBP6eFJ5ws1w6LXqC2PHFyiPo/ KKtF9OBVWghv2UikKIIsrqon2tx3PMjCBaWGcBEdXg5WfDp+iUS3DX1LieMWB37++eP868/593dy neXpA9SYdR8wLw3v/IBLM/sBnZn1oKLNX+RDMI7ini7iyiERkR+tlqtVhSGBsfmC+OzheYiQ3ktv STYaGnF6RVR+/AhpTJ1TcjXn77QxZYLG/eNAzOxhufexx2ylYTdMhHa+PSGfHgffUId7Ton54FDX vCOzEWdjNxuHEPW+K0uU60G4PSRsovSWK4ywU2GcWGE3bVdeicf3kvXwR23+A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n9tY8yQEAAJkDAAAOAAAAAAAAAAEAIAAAAB4BAABkcnMvZTJvRG9j LnhtbFBLBQYAAAAABgAGAFkBAABZBQAAAAA= ">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5</w:t>
                    </w:r>
                    <w:r>
                      <w:rPr>
                        <w:rFonts w:hint="eastAsia"/>
                      </w:rPr>
                      <w:fldChar w:fldCharType="end"/>
                    </w:r>
                  </w:p>
                </w:txbxContent>
              </v:textbox>
            </v:shape>
          </w:pict>
        </mc:Fallback>
      </mc:AlternateContent>
    </w:r>
    <w:r>
      <w:rPr>
        <w:rFonts w:hint="eastAsia"/>
      </w:rPr>
      <w:t>网址：</w:t>
    </w:r>
    <w:r>
      <w:rPr>
        <w:rFonts w:hint="eastAsia" w:ascii="Times New Roman" w:hAnsi="Times New Roman" w:cs="Times New Roman"/>
        <w:lang w:eastAsia="zh-CN"/>
      </w:rPr>
      <w:t>bidding.ningbo.gov.cn/haishu/</w:t>
    </w:r>
    <w:r>
      <w:rPr>
        <w:rFonts w:hint="eastAsia" w:ascii="Times New Roman" w:hAnsi="Times New Roman" w:cs="Times New Roman"/>
      </w:rPr>
      <w:t xml:space="preserve">   </w:t>
    </w:r>
    <w:r>
      <w:rPr>
        <w:rFonts w:hint="eastAsia"/>
      </w:rPr>
      <w:t xml:space="preserve">                               </w:t>
    </w:r>
    <w:r>
      <w:rPr>
        <w:rFonts w:hint="eastAsia"/>
        <w:lang w:val="en-US" w:eastAsia="zh-CN"/>
      </w:rPr>
      <w:t xml:space="preserve">           </w:t>
    </w:r>
    <w:r>
      <w:rPr>
        <w:rFonts w:hint="eastAsia"/>
      </w:rPr>
      <w:t xml:space="preserve"> 宁波市海曙区公共资源交易中心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70" w:firstLineChars="15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75</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Vymcpt4BAAC/AwAADgAAAGRycy9lMm9Eb2MueG1srVNBrtMwEN0jcQfL e5q0C1Sipl9A9RESAqQPB3Adp7FkeyyP26QcAG7Aig17ztVzMHaSfvhs/oJNMp4Zv5n3Zry5Gaxh JxVQg6v5clFyppyERrtDzT9/un225gyjcI0w4FTNzwr5zfbpk03vK7WCDkyjAiMQh1Xva97F6Kui QNkpK3ABXjkKthCsiHQMh6IJoid0a4pVWT4vegiNDyAVInl3Y5BPiOExgNC2WqodyKNVLo6oQRkR iRJ22iPf5m7bVsn4oW1RRWZqTkxj/lIRsvfpW2w3ojoE4TstpxbEY1p4wMkK7ajoFWonomDHoP+B sloGQGjjQoItRiJZEWKxLB9oc9cJrzIXkhr9VXT8f7Dy/eljYLqp+QvOnLA08Mv3b5cfvy4/v7Ll MunTe6wo7c5TYhxewUBbM/uRnIn20Aab/kSIUZzUPV/VVUNkMl1ar9brkkKSYvOB8Iv76z5gfKPA smTUPND4sqri9A7jmDqnpGoObrUxeYTG/eUgzOQpUu9jj8mKw36YCO2hORMfegdUp4PwhbOetqDm jpaeM/PWkchpYWYjzMZ+NoSTdLHmkbPRfB3HxTr6oA9dXrXUFPqXx0idZgKpjbH21B3NNUsw7WBa nD/POev+3W1/A1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M6pebnPAAAABQEAAA8AAAAAAAAAAQAg AAAAIgAAAGRycy9kb3ducmV2LnhtbFBLAQIUABQAAAAIAIdO4kBXKZym3gEAAL8DAAAOAAAAAAAA AAEAIAAAAB4BAABkcnMvZTJvRG9jLnhtbFBLBQYAAAAABgAGAFkBAABuBQAAAAA= ">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75</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default" w:eastAsia="宋体"/>
                              <w:lang w:val="en-US" w:eastAsia="zh-CN"/>
                            </w:rPr>
                          </w:pP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1LDQhcgBAACZAwAADgAAAGRycy9lMm9Eb2MueG1srVPNjtMwEL4j7TtY vm+d7WFVoqYrULUrJARICw/gOnZjyX/yuE36AvAGnLhw57n6HIydpAvLZQ9cnPHM+Jv5vpms7wZr yFFG0N419GZRUSKd8K12+4Z++Xx/vaIEEnctN97Jhp4k0LvN1at1H2q59J03rYwEQRzUfWhol1Ko GQPRScth4YN0GFQ+Wp7wGvesjbxHdGvYsqpuWe9jG6IXEgC92zFIJ8T4EkCvlBZy68XBSpdG1CgN T0gJOh2Abkq3SkmRPioFMhHTUGSayolF0N7lk23WvN5HHjotphb4S1p4xsly7bDoBWrLEyeHqP+B slpED16lhfCWjUSKIsjipnqmzWPHgyxcUGoIF9Hh/8GKD8dPkei2oTh2xy0O/Pz92/nHr/PPr+R1 lqcPUGPWY8C8NLz1Ay7N7Ad0ZtaDijZ/kQ/BOIp7uogrh0REfrRarlYVhgTG5gvis6fnIUJ6kN6S bDQ04vSKqPz4HtKYOqfkas7fa2PKBI37y4GY2cNy72OP2UrDbpgI7Xx7Qj49Dr6hDvecEvPOoa55 R2YjzsZuNg4h6n1XlijXg/DmkLCJ0luuMMJOhXFihd20XXkl/ryXrKc/avMb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NSw0IXIAQAAmQMAAA4AAAAAAAAAAQAgAAAAHgEAAGRycy9lMm9Eb2Mu eG1sUEsFBgAAAAAGAAYAWQEAAFgFAAAAAA== ">
              <v:fill on="f" focussize="0,0"/>
              <v:stroke on="f"/>
              <v:imagedata o:title=""/>
              <o:lock v:ext="edit" aspectratio="f"/>
              <v:textbox inset="0mm,0mm,0mm,0mm" style="mso-fit-shape-to-text:t;">
                <w:txbxContent>
                  <w:p>
                    <w:pPr>
                      <w:pStyle w:val="8"/>
                      <w:rPr>
                        <w:rFonts w:hint="default" w:eastAsia="宋体"/>
                        <w:lang w:val="en-US" w:eastAsia="zh-CN"/>
                      </w:rPr>
                    </w:pPr>
                  </w:p>
                </w:txbxContent>
              </v:textbox>
            </v:shape>
          </w:pict>
        </mc:Fallback>
      </mc:AlternateContent>
    </w:r>
    <w:r>
      <w:rPr>
        <w:rFonts w:hint="eastAsia"/>
      </w:rPr>
      <w:t>网址：</w:t>
    </w:r>
    <w:r>
      <w:rPr>
        <w:rFonts w:hint="eastAsia" w:ascii="Times New Roman" w:hAnsi="Times New Roman" w:cs="Times New Roman"/>
        <w:lang w:eastAsia="zh-CN"/>
      </w:rPr>
      <w:t>bidding.ningbo.gov.cn/haishu/</w:t>
    </w:r>
    <w:r>
      <w:rPr>
        <w:rFonts w:hint="eastAsia" w:ascii="Times New Roman" w:hAnsi="Times New Roman" w:cs="Times New Roman"/>
      </w:rPr>
      <w:t xml:space="preserve">   </w:t>
    </w:r>
    <w:r>
      <w:rPr>
        <w:rFonts w:hint="eastAsia"/>
      </w:rPr>
      <w:t xml:space="preserve">                               </w:t>
    </w:r>
    <w:r>
      <w:rPr>
        <w:rFonts w:hint="eastAsia"/>
        <w:lang w:val="en-US" w:eastAsia="zh-CN"/>
      </w:rPr>
      <w:t xml:space="preserve">                        </w:t>
    </w:r>
    <w:r>
      <w:rPr>
        <w:rFonts w:hint="eastAsia"/>
      </w:rPr>
      <w:t>宁波市海曙区公共资源交易中心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1620" w:hanging="1620" w:hangingChars="900"/>
      <w:jc w:val="both"/>
    </w:pPr>
    <w:r>
      <w:rPr>
        <w:rFonts w:hint="eastAsia"/>
      </w:rPr>
      <w:t>网址</w:t>
    </w:r>
    <w:r>
      <w:rPr>
        <w:rFonts w:hint="eastAsia"/>
        <w:lang w:eastAsia="zh-CN"/>
      </w:rPr>
      <w:t>：</w:t>
    </w:r>
    <w:r>
      <w:rPr>
        <w:rFonts w:hint="eastAsia" w:ascii="Times New Roman" w:hAnsi="Times New Roman" w:cs="Times New Roman"/>
        <w:lang w:eastAsia="zh-CN"/>
      </w:rPr>
      <w:t>bidding.ningbo.gov.cn/haishu/</w:t>
    </w:r>
    <w:r>
      <w:rPr>
        <w:rFonts w:hint="eastAsia" w:ascii="Times New Roman" w:hAnsi="Times New Roman" w:cs="Times New Roman"/>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宁波市海曙区公共资源交易中心</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jc w:val="center"/>
                          </w:pPr>
                          <w:r>
                            <w:fldChar w:fldCharType="begin"/>
                          </w:r>
                          <w:r>
                            <w:rPr>
                              <w:rStyle w:val="17"/>
                            </w:rPr>
                            <w:instrText xml:space="preserve"> PAGE </w:instrText>
                          </w:r>
                          <w:r>
                            <w:fldChar w:fldCharType="separate"/>
                          </w:r>
                          <w:r>
                            <w:rPr>
                              <w:rStyle w:val="17"/>
                              <w:lang/>
                            </w:rPr>
                            <w:t>36</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NdepUsgBAACZAwAADgAAAGRycy9lMm9Eb2MueG1srVPNjtMwEL4j8Q6W 79TZHpYqarpaVC1CQoC08ACuYzeW/CeP26QvAG/AiQt3nqvPwdhJusty2cNenPHM+Jv5vpmsbwZr yFFG0N419GpRUSKd8K12+4Z++3r3ZkUJJO5abryTDT1JoDeb16/Wfajl0nfetDISBHFQ96GhXUqh ZgxEJy2HhQ/SYVD5aHnCa9yzNvIe0a1hy6q6Zr2PbYheSAD0bscgnRDjcwC9UlrIrRcHK10aUaM0 PCEl6HQAuindKiVF+qwUyERMQ5FpKicWQXuXT7ZZ83ofeei0mFrgz2nhCSfLtcOiF6gtT5wcov4P ymoRPXiVFsJbNhIpiiCLq+qJNvcdD7JwQakhXESHl4MVn45fItFtQ68pcdziwM8/f5x//Tn//k7e Znn6ADVm3QfMS8M7P+DSzH5AZ2Y9qGjzF/kQjKO4p4u4ckhE5Eer5WpVYUhgbL4gPnt4HiKk99Jb ko2GRpxeEZUfP0IaU+eUXM35O21MmaBx/zgQM3tY7n3sMVtp2A0ToZ1vT8inx8E31OGeU2I+ONQ1 78hsxNnYzcYhRL3vyhLlehBuDwmbKL3lCiPsVBgnVthN25VX4vG9ZD38UZu/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DXXqVLIAQAAmQMAAA4AAAAAAAAAAQAgAAAAHgEAAGRycy9lMm9Eb2Mu eG1sUEsFBgAAAAAGAAYAWQEAAFgFAAAAAA== ">
              <v:fill on="f" focussize="0,0"/>
              <v:stroke on="f"/>
              <v:imagedata o:title=""/>
              <o:lock v:ext="edit" aspectratio="f"/>
              <v:textbox inset="0mm,0mm,0mm,0mm" style="mso-fit-shape-to-text:t;">
                <w:txbxContent>
                  <w:p>
                    <w:pPr>
                      <w:pStyle w:val="8"/>
                      <w:jc w:val="center"/>
                    </w:pPr>
                    <w:r>
                      <w:fldChar w:fldCharType="begin"/>
                    </w:r>
                    <w:r>
                      <w:rPr>
                        <w:rStyle w:val="17"/>
                      </w:rPr>
                      <w:instrText xml:space="preserve"> PAGE </w:instrText>
                    </w:r>
                    <w:r>
                      <w:fldChar w:fldCharType="separate"/>
                    </w:r>
                    <w:r>
                      <w:rPr>
                        <w:rStyle w:val="17"/>
                        <w:lang/>
                      </w:rPr>
                      <w:t>36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90" w:firstLineChars="50"/>
    </w:pPr>
    <w:r>
      <w:rPr>
        <w:rFonts w:hint="eastAsia"/>
      </w:rPr>
      <w:t>网址：</w:t>
    </w:r>
    <w:r>
      <w:rPr>
        <w:rFonts w:hint="eastAsia" w:ascii="Times New Roman" w:hAnsi="Times New Roman" w:cs="Times New Roman"/>
        <w:lang w:eastAsia="zh-CN"/>
      </w:rPr>
      <w:t>bidding.ningbo.gov.cn/haishu/</w:t>
    </w:r>
    <w:r>
      <w:rPr>
        <w:rFonts w:hint="eastAsia"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XHUC3N0BAAC+AwAADgAAAGRycy9lMm9Eb2MueG1srVPBjtMwEL0j8Q+W 7zTZHpaoarqCrRYhIUBa+ADXcRpLtscau03KB8AfcOLCne/qdzB2ki4slz1wScYz4zfz3ozXN4M1 7KgwaHA1v1qUnCknodFuX/PPn+5eVJyFKFwjDDhV85MK/Gbz/Nm69yu1hA5Mo5ARiAur3te8i9Gv iiLITlkRFuCVo2ALaEWkI+6LBkVP6NYUy7K8LnrAxiNIFQJ5t2OQT4j4FEBoWy3VFuTBKhdHVFRG RKIUOu0D3+Ru21bJ+KFtg4rM1JyYxvylImTv0rfYrMVqj8J3Wk4tiKe08IiTFdpR0QvUVkTBDqj/ gbJaIgRo40KCLUYiWRFicVU+0ua+E15lLiR18BfRw/+Dle+PH5HppuYvOXPC0sDP37+df/w6//zK qiRP78OKsu495cXhNQy0NLM/kDOxHlq06U98GMVJ3NNFXDVEJtOlallVJYUkxeYD4RcP1z2G+EaB ZcmoOdL0sqji+C7EMXVOSdUc3Glj8gSN+8tBmMlTpN7HHpMVh90wEdpBcyI+9AyoTgf4hbOelqDm jnaeM/PWkcZpX2YDZ2M3G8JJuljzyNlo3sZxrw4e9b7Lm5aaCv7VIVKnmUBqY6w9dUdjzRJMK5j2 5s9zznp4dpvf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RQQAAFtDb250ZW50X1R5cGVzXS54bWxQSwECFAAKAAAAAACHTuJAAAAAAAAAAAAAAAAA BgAAAAAAAAAAABAAAAAnAwAAX3JlbHMvUEsBAhQAFAAAAAgAh07iQIoUZjzRAAAAlAEAAAsAAAAA AAAAAQAgAAAASwMAAF9yZWxzLy5yZWxzUEsBAhQACgAAAAAAh07iQAAAAAAAAAAAAAAAAAQAAAAA AAAAAAAQAAAAAAAAAGRycy9QSwECFAAUAAAACACHTuJAzql5uc8AAAAFAQAADwAAAAAAAAABACAA AAAiAAAAZHJzL2Rvd25yZXYueG1sUEsBAhQAFAAAAAgAh07iQFx1AtzdAQAAvgMAAA4AAAAAAAAA AQAgAAAAHgEAAGRycy9lMm9Eb2MueG1sUEsFBgAAAAAGAAYAWQEAAG0FAAAAAA== ">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p>
                </w:txbxContent>
              </v:textbox>
            </v:shape>
          </w:pict>
        </mc:Fallback>
      </mc:AlternateContent>
    </w:r>
    <w:r>
      <w:rPr>
        <w:rFonts w:hint="eastAsia" w:ascii="Times New Roman" w:hAnsi="Times New Roman" w:cs="Times New Roman"/>
      </w:rPr>
      <w:t xml:space="preserve">  </w:t>
    </w:r>
    <w:r>
      <w:rPr>
        <w:rFonts w:hint="eastAsia"/>
      </w:rPr>
      <w:t xml:space="preserve">                                </w:t>
    </w:r>
    <w:r>
      <w:rPr>
        <w:rFonts w:hint="eastAsia"/>
        <w:lang w:val="en-US" w:eastAsia="zh-CN"/>
      </w:rPr>
      <w:t xml:space="preserve">           </w:t>
    </w:r>
    <w:r>
      <w:rPr>
        <w:rFonts w:hint="eastAsia"/>
      </w:rPr>
      <w:t xml:space="preserve">   宁波市海曙区公共资源交易中心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Pr>
    </w:pPr>
    <w:r>
      <w:fldChar w:fldCharType="begin"/>
    </w:r>
    <w:r>
      <w:rPr>
        <w:rStyle w:val="17"/>
      </w:rPr>
      <w:instrText xml:space="preserve">PAGE  </w:instrText>
    </w:r>
    <w:r>
      <w:fldChar w:fldCharType="separate"/>
    </w:r>
    <w:r>
      <w:rPr>
        <w:rStyle w:val="17"/>
      </w:rPr>
      <w:t>29</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rPr>
        <w:rFonts w:hint="default" w:eastAsia="宋体"/>
        <w:u w:val="single"/>
        <w:lang w:val="en-US" w:eastAsia="zh-CN"/>
      </w:rPr>
    </w:pPr>
    <w:r>
      <w:rPr>
        <w:rFonts w:hint="eastAsia"/>
      </w:rPr>
      <w:t>项目名称</w:t>
    </w:r>
    <w:r>
      <w:rPr>
        <w:rFonts w:hint="eastAsia"/>
        <w:b w:val="0"/>
        <w:bCs w:val="0"/>
        <w:sz w:val="18"/>
        <w:szCs w:val="18"/>
      </w:rPr>
      <w:t>：</w:t>
    </w:r>
    <w:r>
      <w:rPr>
        <w:rFonts w:hint="eastAsia"/>
        <w:b w:val="0"/>
        <w:bCs w:val="0"/>
        <w:sz w:val="18"/>
        <w:szCs w:val="18"/>
        <w:lang w:eastAsia="zh-CN"/>
      </w:rPr>
      <w:t>2021年海曙区老旧小区智安前端系统建设项目</w:t>
    </w:r>
    <w:r>
      <w:rPr>
        <w:rFonts w:hint="eastAsia"/>
        <w:b w:val="0"/>
        <w:bCs w:val="0"/>
        <w:sz w:val="18"/>
        <w:szCs w:val="18"/>
        <w:lang w:val="en-US" w:eastAsia="zh-CN"/>
      </w:rPr>
      <w:t xml:space="preserve">   </w:t>
    </w:r>
    <w:r>
      <w:rPr>
        <w:rFonts w:hint="eastAsia"/>
        <w:u w:val="none"/>
      </w:rPr>
      <w:t xml:space="preserve">  </w:t>
    </w:r>
    <w:r>
      <w:rPr>
        <w:rFonts w:hint="eastAsia"/>
      </w:rPr>
      <w:t xml:space="preserve">       </w:t>
    </w:r>
    <w:r>
      <w:rPr>
        <w:rFonts w:hint="eastAsia"/>
        <w:lang w:val="en-US" w:eastAsia="zh-CN"/>
      </w:rPr>
      <w:t xml:space="preserve">                      </w:t>
    </w:r>
    <w:r>
      <w:rPr>
        <w:rFonts w:hint="eastAsia" w:ascii="宋体" w:hAnsi="宋体" w:cs="宋体"/>
      </w:rPr>
      <w:t>采购编号：</w:t>
    </w:r>
    <w:r>
      <w:rPr>
        <w:rFonts w:hint="eastAsia" w:ascii="宋体" w:hAnsi="宋体" w:cs="宋体"/>
        <w:u w:val="none"/>
      </w:rPr>
      <w:t>202</w:t>
    </w:r>
    <w:r>
      <w:rPr>
        <w:rFonts w:hint="eastAsia" w:ascii="宋体" w:hAnsi="宋体" w:cs="宋体"/>
        <w:u w:val="none"/>
        <w:lang w:val="en-US" w:eastAsia="zh-CN"/>
      </w:rPr>
      <w:t>1</w:t>
    </w:r>
    <w:r>
      <w:rPr>
        <w:rFonts w:hint="eastAsia" w:ascii="宋体" w:hAnsi="宋体" w:cs="宋体"/>
        <w:u w:val="none"/>
      </w:rPr>
      <w:t>NBHS</w:t>
    </w:r>
    <w:r>
      <w:rPr>
        <w:rFonts w:hint="eastAsia" w:ascii="宋体" w:hAnsi="宋体" w:cs="宋体"/>
        <w:u w:val="none"/>
        <w:lang w:val="en-US" w:eastAsia="zh-CN"/>
      </w:rPr>
      <w:t>J</w:t>
    </w:r>
    <w:r>
      <w:rPr>
        <w:rFonts w:hint="eastAsia" w:ascii="宋体" w:hAnsi="宋体" w:cs="宋体"/>
        <w:u w:val="none"/>
      </w:rPr>
      <w:t>C</w:t>
    </w:r>
    <w:r>
      <w:rPr>
        <w:rFonts w:hint="eastAsia" w:ascii="宋体" w:hAnsi="宋体" w:cs="宋体"/>
        <w:u w:val="none"/>
        <w:lang w:val="en-US" w:eastAsia="zh-CN"/>
      </w:rPr>
      <w:t>026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rPr>
      <w:t>项目名称</w:t>
    </w:r>
    <w:r>
      <w:rPr>
        <w:rFonts w:hint="eastAsia"/>
        <w:b w:val="0"/>
        <w:bCs w:val="0"/>
        <w:sz w:val="18"/>
        <w:szCs w:val="18"/>
      </w:rPr>
      <w:t>：</w:t>
    </w:r>
    <w:r>
      <w:rPr>
        <w:rFonts w:hint="eastAsia"/>
        <w:b w:val="0"/>
        <w:bCs w:val="0"/>
        <w:sz w:val="18"/>
        <w:szCs w:val="18"/>
        <w:lang w:eastAsia="zh-CN"/>
      </w:rPr>
      <w:t>2021年海曙区老旧小区智安前端系统建设项目</w:t>
    </w:r>
    <w:r>
      <w:rPr>
        <w:rFonts w:hint="eastAsia"/>
        <w:b w:val="0"/>
        <w:bCs w:val="0"/>
        <w:sz w:val="18"/>
        <w:szCs w:val="18"/>
        <w:lang w:val="en-US" w:eastAsia="zh-CN"/>
      </w:rPr>
      <w:t xml:space="preserve">   </w:t>
    </w:r>
    <w:r>
      <w:rPr>
        <w:rFonts w:hint="eastAsia"/>
        <w:u w:val="none"/>
      </w:rPr>
      <w:t xml:space="preserve">  </w:t>
    </w:r>
    <w:r>
      <w:rPr>
        <w:rFonts w:hint="eastAsia"/>
      </w:rPr>
      <w:t xml:space="preserve">       </w:t>
    </w:r>
    <w:r>
      <w:rPr>
        <w:rFonts w:hint="eastAsia"/>
        <w:lang w:val="en-US" w:eastAsia="zh-CN"/>
      </w:rPr>
      <w:t xml:space="preserve">                      </w:t>
    </w:r>
    <w:r>
      <w:rPr>
        <w:rFonts w:hint="eastAsia" w:ascii="宋体" w:hAnsi="宋体" w:cs="宋体"/>
      </w:rPr>
      <w:t>采购编号：</w:t>
    </w:r>
    <w:r>
      <w:rPr>
        <w:rFonts w:hint="eastAsia" w:ascii="宋体" w:hAnsi="宋体" w:cs="宋体"/>
        <w:u w:val="none"/>
      </w:rPr>
      <w:t>202</w:t>
    </w:r>
    <w:r>
      <w:rPr>
        <w:rFonts w:hint="eastAsia" w:ascii="宋体" w:hAnsi="宋体" w:cs="宋体"/>
        <w:u w:val="none"/>
        <w:lang w:val="en-US" w:eastAsia="zh-CN"/>
      </w:rPr>
      <w:t>1</w:t>
    </w:r>
    <w:r>
      <w:rPr>
        <w:rFonts w:hint="eastAsia" w:ascii="宋体" w:hAnsi="宋体" w:cs="宋体"/>
        <w:u w:val="none"/>
      </w:rPr>
      <w:t>NBHS</w:t>
    </w:r>
    <w:r>
      <w:rPr>
        <w:rFonts w:hint="eastAsia" w:ascii="宋体" w:hAnsi="宋体" w:cs="宋体"/>
        <w:u w:val="none"/>
        <w:lang w:val="en-US" w:eastAsia="zh-CN"/>
      </w:rPr>
      <w:t>J</w:t>
    </w:r>
    <w:r>
      <w:rPr>
        <w:rFonts w:hint="eastAsia" w:ascii="宋体" w:hAnsi="宋体" w:cs="宋体"/>
        <w:u w:val="none"/>
      </w:rPr>
      <w:t>C</w:t>
    </w:r>
    <w:r>
      <w:rPr>
        <w:rFonts w:hint="eastAsia" w:ascii="宋体" w:hAnsi="宋体" w:cs="宋体"/>
        <w:u w:val="none"/>
        <w:lang w:val="en-US" w:eastAsia="zh-CN"/>
      </w:rPr>
      <w:t>026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rPr>
        <w:rFonts w:hint="eastAsia"/>
      </w:rPr>
    </w:pPr>
    <w:r>
      <w:rPr>
        <w:rFonts w:hint="eastAsia"/>
      </w:rPr>
      <w:t>项目名称</w:t>
    </w:r>
    <w:r>
      <w:rPr>
        <w:rFonts w:hint="eastAsia"/>
        <w:b w:val="0"/>
        <w:bCs w:val="0"/>
        <w:sz w:val="18"/>
        <w:szCs w:val="18"/>
      </w:rPr>
      <w:t>：</w:t>
    </w:r>
    <w:r>
      <w:rPr>
        <w:rFonts w:hint="eastAsia"/>
        <w:b w:val="0"/>
        <w:bCs w:val="0"/>
        <w:sz w:val="18"/>
        <w:szCs w:val="18"/>
        <w:lang w:eastAsia="zh-CN"/>
      </w:rPr>
      <w:t>2021年海曙区老旧小区智安前端系统建设项目</w:t>
    </w:r>
    <w:r>
      <w:rPr>
        <w:rFonts w:hint="eastAsia"/>
        <w:b w:val="0"/>
        <w:bCs w:val="0"/>
        <w:sz w:val="18"/>
        <w:szCs w:val="18"/>
        <w:lang w:val="en-US" w:eastAsia="zh-CN"/>
      </w:rPr>
      <w:t xml:space="preserve">   </w:t>
    </w:r>
    <w:r>
      <w:rPr>
        <w:rFonts w:hint="eastAsia"/>
        <w:u w:val="none"/>
      </w:rPr>
      <w:t xml:space="preserve">  </w:t>
    </w:r>
    <w:r>
      <w:rPr>
        <w:rFonts w:hint="eastAsia"/>
      </w:rPr>
      <w:t xml:space="preserve">       </w:t>
    </w:r>
    <w:r>
      <w:rPr>
        <w:rFonts w:hint="eastAsia"/>
        <w:lang w:val="en-US" w:eastAsia="zh-CN"/>
      </w:rPr>
      <w:t xml:space="preserve">                      </w:t>
    </w:r>
    <w:r>
      <w:rPr>
        <w:rFonts w:hint="eastAsia" w:ascii="宋体" w:hAnsi="宋体" w:cs="宋体"/>
      </w:rPr>
      <w:t>采购编号：</w:t>
    </w:r>
    <w:r>
      <w:rPr>
        <w:rFonts w:hint="eastAsia" w:ascii="宋体" w:hAnsi="宋体" w:cs="宋体"/>
        <w:u w:val="none"/>
      </w:rPr>
      <w:t>202</w:t>
    </w:r>
    <w:r>
      <w:rPr>
        <w:rFonts w:hint="eastAsia" w:ascii="宋体" w:hAnsi="宋体" w:cs="宋体"/>
        <w:u w:val="none"/>
        <w:lang w:val="en-US" w:eastAsia="zh-CN"/>
      </w:rPr>
      <w:t>1</w:t>
    </w:r>
    <w:r>
      <w:rPr>
        <w:rFonts w:hint="eastAsia" w:ascii="宋体" w:hAnsi="宋体" w:cs="宋体"/>
        <w:u w:val="none"/>
      </w:rPr>
      <w:t>NBHS</w:t>
    </w:r>
    <w:r>
      <w:rPr>
        <w:rFonts w:hint="eastAsia" w:ascii="宋体" w:hAnsi="宋体" w:cs="宋体"/>
        <w:u w:val="none"/>
        <w:lang w:val="en-US" w:eastAsia="zh-CN"/>
      </w:rPr>
      <w:t>J</w:t>
    </w:r>
    <w:r>
      <w:rPr>
        <w:rFonts w:hint="eastAsia" w:ascii="宋体" w:hAnsi="宋体" w:cs="宋体"/>
        <w:u w:val="none"/>
      </w:rPr>
      <w:t>C</w:t>
    </w:r>
    <w:r>
      <w:rPr>
        <w:rFonts w:hint="eastAsia" w:ascii="宋体" w:hAnsi="宋体" w:cs="宋体"/>
        <w:u w:val="none"/>
        <w:lang w:val="en-US" w:eastAsia="zh-CN"/>
      </w:rPr>
      <w:t>026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09C84B"/>
    <w:multiLevelType w:val="singleLevel"/>
    <w:tmpl w:val="8C09C84B"/>
    <w:lvl w:ilvl="0" w:tentative="0">
      <w:start w:val="1"/>
      <w:numFmt w:val="decimal"/>
      <w:lvlText w:val="(%1)"/>
      <w:lvlJc w:val="left"/>
      <w:pPr>
        <w:tabs>
          <w:tab w:val="left" w:pos="312"/>
        </w:tabs>
      </w:pPr>
    </w:lvl>
  </w:abstractNum>
  <w:abstractNum w:abstractNumId="1">
    <w:nsid w:val="C85F62C2"/>
    <w:multiLevelType w:val="singleLevel"/>
    <w:tmpl w:val="C85F62C2"/>
    <w:lvl w:ilvl="0" w:tentative="0">
      <w:start w:val="1"/>
      <w:numFmt w:val="chineseCounting"/>
      <w:suff w:val="space"/>
      <w:lvlText w:val="第%1章"/>
      <w:lvlJc w:val="left"/>
      <w:rPr>
        <w:rFonts w:hint="eastAsia"/>
      </w:rPr>
    </w:lvl>
  </w:abstractNum>
  <w:abstractNum w:abstractNumId="2">
    <w:nsid w:val="00D67756"/>
    <w:multiLevelType w:val="multilevel"/>
    <w:tmpl w:val="00D67756"/>
    <w:lvl w:ilvl="0" w:tentative="0">
      <w:start w:val="1"/>
      <w:numFmt w:val="decimal"/>
      <w:suff w:val="space"/>
      <w:lvlText w:val="第%1章"/>
      <w:lvlJc w:val="center"/>
      <w:pPr>
        <w:ind w:left="0" w:firstLine="288"/>
      </w:pPr>
      <w:rPr>
        <w:rFonts w:hint="eastAsia" w:ascii="Arial" w:hAnsi="Arial" w:eastAsia="黑体"/>
        <w:sz w:val="36"/>
      </w:rPr>
    </w:lvl>
    <w:lvl w:ilvl="1" w:tentative="0">
      <w:start w:val="1"/>
      <w:numFmt w:val="decimal"/>
      <w:pStyle w:val="41"/>
      <w:suff w:val="space"/>
      <w:lvlText w:val="%1.%2"/>
      <w:lvlJc w:val="left"/>
      <w:pPr>
        <w:ind w:left="0" w:firstLine="0"/>
      </w:pPr>
      <w:rPr>
        <w:rFonts w:hint="eastAsia" w:ascii="Arial" w:hAnsi="Arial" w:eastAsia="黑体"/>
        <w:sz w:val="32"/>
      </w:rPr>
    </w:lvl>
    <w:lvl w:ilvl="2" w:tentative="0">
      <w:start w:val="1"/>
      <w:numFmt w:val="decimal"/>
      <w:pStyle w:val="39"/>
      <w:suff w:val="space"/>
      <w:lvlText w:val="%1.%2.%3"/>
      <w:lvlJc w:val="left"/>
      <w:pPr>
        <w:ind w:left="0" w:firstLine="0"/>
      </w:pPr>
      <w:rPr>
        <w:rFonts w:hint="eastAsia" w:ascii="Arial" w:hAnsi="Arial" w:eastAsia="黑体"/>
        <w:sz w:val="28"/>
      </w:rPr>
    </w:lvl>
    <w:lvl w:ilvl="3" w:tentative="0">
      <w:start w:val="1"/>
      <w:numFmt w:val="decimal"/>
      <w:suff w:val="space"/>
      <w:lvlText w:val="%1.%2.%3.%4"/>
      <w:lvlJc w:val="left"/>
      <w:pPr>
        <w:ind w:left="0" w:firstLine="0"/>
      </w:pPr>
      <w:rPr>
        <w:rFonts w:hint="eastAsia" w:ascii="Arial" w:hAnsi="Arial"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0A8675EE"/>
    <w:multiLevelType w:val="multilevel"/>
    <w:tmpl w:val="0A8675E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18D7D053"/>
    <w:multiLevelType w:val="singleLevel"/>
    <w:tmpl w:val="18D7D053"/>
    <w:lvl w:ilvl="0" w:tentative="0">
      <w:start w:val="6"/>
      <w:numFmt w:val="chineseCounting"/>
      <w:suff w:val="nothing"/>
      <w:lvlText w:val="%1、"/>
      <w:lvlJc w:val="left"/>
      <w:rPr>
        <w:rFonts w:hint="eastAsia"/>
      </w:rPr>
    </w:lvl>
  </w:abstractNum>
  <w:abstractNum w:abstractNumId="5">
    <w:nsid w:val="1D7A27DC"/>
    <w:multiLevelType w:val="singleLevel"/>
    <w:tmpl w:val="1D7A27DC"/>
    <w:lvl w:ilvl="0" w:tentative="0">
      <w:start w:val="1"/>
      <w:numFmt w:val="decimal"/>
      <w:lvlText w:val="%1."/>
      <w:lvlJc w:val="left"/>
      <w:pPr>
        <w:ind w:left="425" w:hanging="425"/>
      </w:pPr>
      <w:rPr>
        <w:rFonts w:hint="default"/>
      </w:rPr>
    </w:lvl>
  </w:abstractNum>
  <w:abstractNum w:abstractNumId="6">
    <w:nsid w:val="25277E27"/>
    <w:multiLevelType w:val="multilevel"/>
    <w:tmpl w:val="25277E27"/>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2C7F3BA2"/>
    <w:multiLevelType w:val="multilevel"/>
    <w:tmpl w:val="2C7F3BA2"/>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3E6615D1"/>
    <w:multiLevelType w:val="multilevel"/>
    <w:tmpl w:val="3E6615D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50062D96"/>
    <w:multiLevelType w:val="multilevel"/>
    <w:tmpl w:val="50062D96"/>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51976720"/>
    <w:multiLevelType w:val="multilevel"/>
    <w:tmpl w:val="51976720"/>
    <w:lvl w:ilvl="0" w:tentative="0">
      <w:start w:val="3"/>
      <w:numFmt w:val="japaneseCounting"/>
      <w:lvlText w:val="第%1章"/>
      <w:lvlJc w:val="left"/>
      <w:pPr>
        <w:tabs>
          <w:tab w:val="left" w:pos="1080"/>
        </w:tabs>
        <w:ind w:left="1080" w:hanging="108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87A0079"/>
    <w:multiLevelType w:val="multilevel"/>
    <w:tmpl w:val="587A0079"/>
    <w:lvl w:ilvl="0" w:tentative="0">
      <w:start w:val="1"/>
      <w:numFmt w:val="decimal"/>
      <w:lvlText w:val="%1、"/>
      <w:lvlJc w:val="left"/>
      <w:pPr>
        <w:tabs>
          <w:tab w:val="left" w:pos="885"/>
        </w:tabs>
        <w:ind w:left="885" w:hanging="360"/>
      </w:pPr>
      <w:rPr>
        <w:rFonts w:hint="default"/>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12">
    <w:nsid w:val="59ED8EC7"/>
    <w:multiLevelType w:val="singleLevel"/>
    <w:tmpl w:val="59ED8EC7"/>
    <w:lvl w:ilvl="0" w:tentative="0">
      <w:start w:val="3"/>
      <w:numFmt w:val="decimal"/>
      <w:suff w:val="nothing"/>
      <w:lvlText w:val="（%1）"/>
      <w:lvlJc w:val="left"/>
    </w:lvl>
  </w:abstractNum>
  <w:abstractNum w:abstractNumId="13">
    <w:nsid w:val="7B2964C8"/>
    <w:multiLevelType w:val="singleLevel"/>
    <w:tmpl w:val="7B2964C8"/>
    <w:lvl w:ilvl="0" w:tentative="0">
      <w:start w:val="1"/>
      <w:numFmt w:val="decimal"/>
      <w:lvlText w:val="(%1)"/>
      <w:lvlJc w:val="left"/>
      <w:pPr>
        <w:tabs>
          <w:tab w:val="left" w:pos="312"/>
        </w:tabs>
      </w:pPr>
    </w:lvl>
  </w:abstractNum>
  <w:num w:numId="1">
    <w:abstractNumId w:val="2"/>
  </w:num>
  <w:num w:numId="2">
    <w:abstractNumId w:val="1"/>
  </w:num>
  <w:num w:numId="3">
    <w:abstractNumId w:val="4"/>
  </w:num>
  <w:num w:numId="4">
    <w:abstractNumId w:val="12"/>
  </w:num>
  <w:num w:numId="5">
    <w:abstractNumId w:val="13"/>
  </w:num>
  <w:num w:numId="6">
    <w:abstractNumId w:val="0"/>
  </w:num>
  <w:num w:numId="7">
    <w:abstractNumId w:val="10"/>
  </w:num>
  <w:num w:numId="8">
    <w:abstractNumId w:val="9"/>
  </w:num>
  <w:num w:numId="9">
    <w:abstractNumId w:val="3"/>
  </w:num>
  <w:num w:numId="10">
    <w:abstractNumId w:val="8"/>
  </w:num>
  <w:num w:numId="11">
    <w:abstractNumId w:val="7"/>
  </w:num>
  <w:num w:numId="12">
    <w:abstractNumId w:val="6"/>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969"/>
    <w:rsid w:val="000B75D9"/>
    <w:rsid w:val="00160768"/>
    <w:rsid w:val="003131F0"/>
    <w:rsid w:val="003136ED"/>
    <w:rsid w:val="00391BC1"/>
    <w:rsid w:val="004072E6"/>
    <w:rsid w:val="004B1178"/>
    <w:rsid w:val="004B2816"/>
    <w:rsid w:val="0068281A"/>
    <w:rsid w:val="00700A9E"/>
    <w:rsid w:val="007476F6"/>
    <w:rsid w:val="007A3FB2"/>
    <w:rsid w:val="007F0339"/>
    <w:rsid w:val="0081483E"/>
    <w:rsid w:val="00846508"/>
    <w:rsid w:val="00956B09"/>
    <w:rsid w:val="009768B8"/>
    <w:rsid w:val="009D236A"/>
    <w:rsid w:val="00C02802"/>
    <w:rsid w:val="00C24C0F"/>
    <w:rsid w:val="00C341C2"/>
    <w:rsid w:val="00CE652F"/>
    <w:rsid w:val="00D57401"/>
    <w:rsid w:val="00D90969"/>
    <w:rsid w:val="00E431D7"/>
    <w:rsid w:val="00E72125"/>
    <w:rsid w:val="00F507E6"/>
    <w:rsid w:val="00F65179"/>
    <w:rsid w:val="01205D86"/>
    <w:rsid w:val="01BD5DA6"/>
    <w:rsid w:val="022E1A6E"/>
    <w:rsid w:val="02544D1F"/>
    <w:rsid w:val="028C01BD"/>
    <w:rsid w:val="02BD00E6"/>
    <w:rsid w:val="04044879"/>
    <w:rsid w:val="05FC326C"/>
    <w:rsid w:val="06250F4F"/>
    <w:rsid w:val="0631675B"/>
    <w:rsid w:val="065A63DF"/>
    <w:rsid w:val="06784A28"/>
    <w:rsid w:val="0682302D"/>
    <w:rsid w:val="09911C98"/>
    <w:rsid w:val="0A2B28FE"/>
    <w:rsid w:val="0BBB05ED"/>
    <w:rsid w:val="0C106B77"/>
    <w:rsid w:val="0C1B39E9"/>
    <w:rsid w:val="0C4B2EEE"/>
    <w:rsid w:val="0D403658"/>
    <w:rsid w:val="0DB17149"/>
    <w:rsid w:val="0E6B1F00"/>
    <w:rsid w:val="0EA768F9"/>
    <w:rsid w:val="0F807043"/>
    <w:rsid w:val="0FD35886"/>
    <w:rsid w:val="111538F1"/>
    <w:rsid w:val="1115740A"/>
    <w:rsid w:val="115A45D3"/>
    <w:rsid w:val="12794A23"/>
    <w:rsid w:val="12A44907"/>
    <w:rsid w:val="13DA4CD7"/>
    <w:rsid w:val="13DD2F54"/>
    <w:rsid w:val="146F1AB1"/>
    <w:rsid w:val="154416F3"/>
    <w:rsid w:val="164D788E"/>
    <w:rsid w:val="169F00A9"/>
    <w:rsid w:val="16FB589D"/>
    <w:rsid w:val="17C17743"/>
    <w:rsid w:val="17D4013F"/>
    <w:rsid w:val="18C93A55"/>
    <w:rsid w:val="19304927"/>
    <w:rsid w:val="19E9507D"/>
    <w:rsid w:val="1D1360D8"/>
    <w:rsid w:val="1E292357"/>
    <w:rsid w:val="1E6261DF"/>
    <w:rsid w:val="1F81299C"/>
    <w:rsid w:val="1F840D4A"/>
    <w:rsid w:val="21DF632C"/>
    <w:rsid w:val="22AC244B"/>
    <w:rsid w:val="22C21A66"/>
    <w:rsid w:val="24496DE3"/>
    <w:rsid w:val="252A6270"/>
    <w:rsid w:val="261A2D28"/>
    <w:rsid w:val="2651180E"/>
    <w:rsid w:val="26D6136E"/>
    <w:rsid w:val="274C7335"/>
    <w:rsid w:val="27885E82"/>
    <w:rsid w:val="28AB3FD9"/>
    <w:rsid w:val="29D269D6"/>
    <w:rsid w:val="2A6F3566"/>
    <w:rsid w:val="2AE33BB0"/>
    <w:rsid w:val="2B2055F3"/>
    <w:rsid w:val="2C507074"/>
    <w:rsid w:val="2C6A0F61"/>
    <w:rsid w:val="2D4C4A41"/>
    <w:rsid w:val="2D506749"/>
    <w:rsid w:val="2D5C69AD"/>
    <w:rsid w:val="2DD16BF2"/>
    <w:rsid w:val="2E025BB5"/>
    <w:rsid w:val="2EE44308"/>
    <w:rsid w:val="2FDB6F0B"/>
    <w:rsid w:val="300C7FC3"/>
    <w:rsid w:val="30EF20D0"/>
    <w:rsid w:val="319068C7"/>
    <w:rsid w:val="32383988"/>
    <w:rsid w:val="326A205B"/>
    <w:rsid w:val="326A2963"/>
    <w:rsid w:val="32791934"/>
    <w:rsid w:val="327B65DA"/>
    <w:rsid w:val="34D56BE2"/>
    <w:rsid w:val="378C2F6D"/>
    <w:rsid w:val="379F4EA1"/>
    <w:rsid w:val="37AB7612"/>
    <w:rsid w:val="37AC7318"/>
    <w:rsid w:val="399D39EC"/>
    <w:rsid w:val="39C04A29"/>
    <w:rsid w:val="3A044F73"/>
    <w:rsid w:val="3A292757"/>
    <w:rsid w:val="3D0C64A8"/>
    <w:rsid w:val="3D66309F"/>
    <w:rsid w:val="3DB833DC"/>
    <w:rsid w:val="3E955877"/>
    <w:rsid w:val="3F3C4036"/>
    <w:rsid w:val="40D234E1"/>
    <w:rsid w:val="41DC43A1"/>
    <w:rsid w:val="42E95E5B"/>
    <w:rsid w:val="430D77B2"/>
    <w:rsid w:val="43316150"/>
    <w:rsid w:val="457159AC"/>
    <w:rsid w:val="480402A9"/>
    <w:rsid w:val="488E5C9C"/>
    <w:rsid w:val="48FC4829"/>
    <w:rsid w:val="49BC20D3"/>
    <w:rsid w:val="4AFE3D99"/>
    <w:rsid w:val="4E150758"/>
    <w:rsid w:val="4E530C87"/>
    <w:rsid w:val="4F2C690F"/>
    <w:rsid w:val="4F720B5B"/>
    <w:rsid w:val="4F7D57C0"/>
    <w:rsid w:val="502E05B9"/>
    <w:rsid w:val="505D5CA2"/>
    <w:rsid w:val="5153078A"/>
    <w:rsid w:val="51D010B8"/>
    <w:rsid w:val="5261085E"/>
    <w:rsid w:val="52872F71"/>
    <w:rsid w:val="530C5128"/>
    <w:rsid w:val="53743B2D"/>
    <w:rsid w:val="55C015C9"/>
    <w:rsid w:val="561A30F6"/>
    <w:rsid w:val="564355FC"/>
    <w:rsid w:val="56A80C36"/>
    <w:rsid w:val="57140CF1"/>
    <w:rsid w:val="57B2753E"/>
    <w:rsid w:val="58CB2009"/>
    <w:rsid w:val="58EB51A5"/>
    <w:rsid w:val="5962082D"/>
    <w:rsid w:val="5A720DCF"/>
    <w:rsid w:val="5B2113B3"/>
    <w:rsid w:val="5B9E3095"/>
    <w:rsid w:val="5C687FAE"/>
    <w:rsid w:val="5CCE20A2"/>
    <w:rsid w:val="5EA642BC"/>
    <w:rsid w:val="5F9E0B00"/>
    <w:rsid w:val="5FA03022"/>
    <w:rsid w:val="5FD66A67"/>
    <w:rsid w:val="618A6438"/>
    <w:rsid w:val="623B7E21"/>
    <w:rsid w:val="624D1493"/>
    <w:rsid w:val="62552029"/>
    <w:rsid w:val="62C34204"/>
    <w:rsid w:val="63050AC3"/>
    <w:rsid w:val="634644F3"/>
    <w:rsid w:val="63EE69CA"/>
    <w:rsid w:val="6467207A"/>
    <w:rsid w:val="647A00C8"/>
    <w:rsid w:val="64E84C64"/>
    <w:rsid w:val="65443D04"/>
    <w:rsid w:val="65A87AAC"/>
    <w:rsid w:val="66433EC8"/>
    <w:rsid w:val="66BC7841"/>
    <w:rsid w:val="670910BB"/>
    <w:rsid w:val="671F13C1"/>
    <w:rsid w:val="676F291D"/>
    <w:rsid w:val="68194022"/>
    <w:rsid w:val="68F759DE"/>
    <w:rsid w:val="69683300"/>
    <w:rsid w:val="6AE222BA"/>
    <w:rsid w:val="6BEA5F9B"/>
    <w:rsid w:val="6D2F1838"/>
    <w:rsid w:val="6DE977C5"/>
    <w:rsid w:val="6E5F517A"/>
    <w:rsid w:val="6E930B15"/>
    <w:rsid w:val="6E971523"/>
    <w:rsid w:val="6E9747A2"/>
    <w:rsid w:val="6F144EEA"/>
    <w:rsid w:val="7173727C"/>
    <w:rsid w:val="71AC6938"/>
    <w:rsid w:val="73102038"/>
    <w:rsid w:val="74191A03"/>
    <w:rsid w:val="75E16C03"/>
    <w:rsid w:val="75F8048D"/>
    <w:rsid w:val="7613085E"/>
    <w:rsid w:val="77C36602"/>
    <w:rsid w:val="77E12540"/>
    <w:rsid w:val="796E7749"/>
    <w:rsid w:val="79EB203A"/>
    <w:rsid w:val="7A5B138B"/>
    <w:rsid w:val="7AEA16D4"/>
    <w:rsid w:val="7B7517CC"/>
    <w:rsid w:val="7BB74607"/>
    <w:rsid w:val="7C096F1B"/>
    <w:rsid w:val="7CC31534"/>
    <w:rsid w:val="7D983139"/>
    <w:rsid w:val="7DDA5F8E"/>
    <w:rsid w:val="7EF540E5"/>
    <w:rsid w:val="7F0804B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6">
    <w:name w:val="Default Paragraph Font"/>
    <w:semiHidden/>
    <w:qFormat/>
    <w:uiPriority w:val="0"/>
  </w:style>
  <w:style w:type="table" w:default="1" w:styleId="14">
    <w:name w:val="Normal Table"/>
    <w:semiHidden/>
    <w:uiPriority w:val="0"/>
    <w:tblPr>
      <w:tblStyle w:val="14"/>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qFormat/>
    <w:uiPriority w:val="0"/>
    <w:pPr>
      <w:ind w:firstLine="420"/>
    </w:p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kern w:val="2"/>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9628"/>
      </w:tabs>
      <w:spacing w:before="120" w:after="120"/>
    </w:pPr>
    <w:rPr>
      <w:b/>
      <w:bCs/>
      <w:caps/>
      <w:sz w:val="30"/>
    </w:rPr>
  </w:style>
  <w:style w:type="paragraph" w:styleId="11">
    <w:name w:val="Body Text Indent 3"/>
    <w:basedOn w:val="1"/>
    <w:qFormat/>
    <w:uiPriority w:val="0"/>
    <w:pPr>
      <w:spacing w:after="120"/>
      <w:ind w:left="420" w:leftChars="200"/>
    </w:pPr>
    <w:rPr>
      <w:sz w:val="16"/>
      <w:szCs w:val="16"/>
    </w:rPr>
  </w:style>
  <w:style w:type="paragraph" w:styleId="12">
    <w:name w:val="toc 2"/>
    <w:basedOn w:val="1"/>
    <w:next w:val="1"/>
    <w:qFormat/>
    <w:uiPriority w:val="39"/>
    <w:pPr>
      <w:ind w:left="210"/>
    </w:pPr>
    <w:rPr>
      <w:smallCaps/>
      <w:sz w:val="20"/>
    </w:rPr>
  </w:style>
  <w:style w:type="paragraph" w:styleId="13">
    <w:name w:val="Normal (Web)"/>
    <w:basedOn w:val="1"/>
    <w:uiPriority w:val="0"/>
    <w:pPr>
      <w:widowControl w:val="0"/>
      <w:jc w:val="both"/>
    </w:pPr>
    <w:rPr>
      <w:kern w:val="2"/>
      <w:sz w:val="24"/>
      <w:szCs w:val="24"/>
    </w:rPr>
  </w:style>
  <w:style w:type="table" w:styleId="15">
    <w:name w:val="Table Grid"/>
    <w:basedOn w:val="14"/>
    <w:qFormat/>
    <w:uiPriority w:val="59"/>
    <w:pPr>
      <w:widowControl w:val="0"/>
      <w:jc w:val="both"/>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qFormat/>
    <w:uiPriority w:val="99"/>
    <w:rPr>
      <w:color w:val="000000"/>
      <w:u w:val="none"/>
    </w:rPr>
  </w:style>
  <w:style w:type="character" w:customStyle="1" w:styleId="19">
    <w:name w:val="font131"/>
    <w:basedOn w:val="16"/>
    <w:qFormat/>
    <w:uiPriority w:val="0"/>
    <w:rPr>
      <w:rFonts w:hint="eastAsia" w:ascii="宋体" w:hAnsi="宋体" w:eastAsia="宋体" w:cs="宋体"/>
      <w:color w:val="000000"/>
      <w:sz w:val="18"/>
      <w:szCs w:val="18"/>
      <w:u w:val="none"/>
    </w:rPr>
  </w:style>
  <w:style w:type="character" w:customStyle="1" w:styleId="20">
    <w:name w:val="font31"/>
    <w:basedOn w:val="16"/>
    <w:qFormat/>
    <w:uiPriority w:val="0"/>
    <w:rPr>
      <w:rFonts w:hint="eastAsia" w:ascii="宋体" w:hAnsi="宋体" w:eastAsia="宋体" w:cs="宋体"/>
      <w:color w:val="000000"/>
      <w:sz w:val="20"/>
      <w:szCs w:val="20"/>
      <w:u w:val="none"/>
    </w:rPr>
  </w:style>
  <w:style w:type="character" w:customStyle="1" w:styleId="21">
    <w:name w:val="font161"/>
    <w:basedOn w:val="16"/>
    <w:uiPriority w:val="0"/>
    <w:rPr>
      <w:rFonts w:ascii="Arial" w:hAnsi="Arial" w:cs="Arial"/>
      <w:color w:val="000000"/>
      <w:sz w:val="20"/>
      <w:szCs w:val="20"/>
      <w:u w:val="none"/>
    </w:rPr>
  </w:style>
  <w:style w:type="character" w:customStyle="1" w:styleId="22">
    <w:name w:val="font81"/>
    <w:basedOn w:val="16"/>
    <w:qFormat/>
    <w:uiPriority w:val="0"/>
    <w:rPr>
      <w:rFonts w:hint="eastAsia" w:ascii="宋体" w:hAnsi="宋体" w:eastAsia="宋体" w:cs="宋体"/>
      <w:color w:val="000000"/>
      <w:sz w:val="20"/>
      <w:szCs w:val="20"/>
      <w:u w:val="none"/>
    </w:rPr>
  </w:style>
  <w:style w:type="character" w:customStyle="1" w:styleId="23">
    <w:name w:val="font71"/>
    <w:basedOn w:val="16"/>
    <w:qFormat/>
    <w:uiPriority w:val="0"/>
    <w:rPr>
      <w:rFonts w:hint="default" w:ascii="Arial" w:hAnsi="Arial" w:cs="Arial"/>
      <w:b/>
      <w:color w:val="000000"/>
      <w:sz w:val="20"/>
      <w:szCs w:val="20"/>
      <w:u w:val="none"/>
    </w:rPr>
  </w:style>
  <w:style w:type="character" w:customStyle="1" w:styleId="24">
    <w:name w:val="font41"/>
    <w:basedOn w:val="16"/>
    <w:qFormat/>
    <w:uiPriority w:val="0"/>
    <w:rPr>
      <w:rFonts w:hint="default" w:ascii="Arial" w:hAnsi="Arial" w:cs="Arial"/>
      <w:color w:val="000000"/>
      <w:sz w:val="20"/>
      <w:szCs w:val="20"/>
      <w:u w:val="none"/>
    </w:rPr>
  </w:style>
  <w:style w:type="character" w:customStyle="1" w:styleId="25">
    <w:name w:val="font51"/>
    <w:basedOn w:val="16"/>
    <w:qFormat/>
    <w:uiPriority w:val="0"/>
    <w:rPr>
      <w:rFonts w:ascii="Arial" w:hAnsi="Arial" w:cs="Arial"/>
      <w:color w:val="000000"/>
      <w:sz w:val="20"/>
      <w:szCs w:val="20"/>
      <w:u w:val="none"/>
    </w:rPr>
  </w:style>
  <w:style w:type="character" w:customStyle="1" w:styleId="26">
    <w:name w:val="font61"/>
    <w:basedOn w:val="16"/>
    <w:qFormat/>
    <w:uiPriority w:val="0"/>
    <w:rPr>
      <w:rFonts w:hint="eastAsia" w:ascii="宋体" w:hAnsi="宋体" w:eastAsia="宋体" w:cs="宋体"/>
      <w:color w:val="000000"/>
      <w:sz w:val="16"/>
      <w:szCs w:val="16"/>
      <w:u w:val="none"/>
    </w:rPr>
  </w:style>
  <w:style w:type="character" w:customStyle="1" w:styleId="27">
    <w:name w:val="font122"/>
    <w:basedOn w:val="16"/>
    <w:qFormat/>
    <w:uiPriority w:val="0"/>
    <w:rPr>
      <w:rFonts w:hint="eastAsia" w:ascii="宋体" w:hAnsi="宋体" w:eastAsia="宋体" w:cs="宋体"/>
      <w:color w:val="000000"/>
      <w:sz w:val="18"/>
      <w:szCs w:val="18"/>
      <w:u w:val="none"/>
    </w:rPr>
  </w:style>
  <w:style w:type="character" w:customStyle="1" w:styleId="28">
    <w:name w:val="font112"/>
    <w:basedOn w:val="16"/>
    <w:qFormat/>
    <w:uiPriority w:val="0"/>
    <w:rPr>
      <w:rFonts w:hint="eastAsia" w:ascii="宋体" w:hAnsi="宋体" w:eastAsia="宋体" w:cs="宋体"/>
      <w:color w:val="000000"/>
      <w:sz w:val="18"/>
      <w:szCs w:val="18"/>
      <w:u w:val="none"/>
    </w:rPr>
  </w:style>
  <w:style w:type="character" w:customStyle="1" w:styleId="29">
    <w:name w:val="font21"/>
    <w:basedOn w:val="16"/>
    <w:qFormat/>
    <w:uiPriority w:val="0"/>
    <w:rPr>
      <w:rFonts w:hint="eastAsia" w:ascii="宋体" w:hAnsi="宋体" w:eastAsia="宋体" w:cs="宋体"/>
      <w:color w:val="000000"/>
      <w:sz w:val="20"/>
      <w:szCs w:val="20"/>
      <w:u w:val="none"/>
    </w:rPr>
  </w:style>
  <w:style w:type="character" w:customStyle="1" w:styleId="30">
    <w:name w:val="mark"/>
    <w:basedOn w:val="16"/>
    <w:uiPriority w:val="0"/>
  </w:style>
  <w:style w:type="character" w:customStyle="1" w:styleId="31">
    <w:name w:val="font101"/>
    <w:basedOn w:val="16"/>
    <w:qFormat/>
    <w:uiPriority w:val="0"/>
    <w:rPr>
      <w:rFonts w:ascii="Arial" w:hAnsi="Arial" w:cs="Arial"/>
      <w:color w:val="000000"/>
      <w:sz w:val="20"/>
      <w:szCs w:val="20"/>
      <w:u w:val="none"/>
    </w:rPr>
  </w:style>
  <w:style w:type="character" w:customStyle="1" w:styleId="32">
    <w:name w:val="font141"/>
    <w:basedOn w:val="16"/>
    <w:qFormat/>
    <w:uiPriority w:val="0"/>
    <w:rPr>
      <w:rFonts w:ascii="Arial" w:hAnsi="Arial" w:cs="Arial"/>
      <w:color w:val="000000"/>
      <w:sz w:val="16"/>
      <w:szCs w:val="16"/>
      <w:u w:val="none"/>
    </w:rPr>
  </w:style>
  <w:style w:type="character" w:customStyle="1" w:styleId="33">
    <w:name w:val="font151"/>
    <w:basedOn w:val="16"/>
    <w:qFormat/>
    <w:uiPriority w:val="0"/>
    <w:rPr>
      <w:rFonts w:hint="eastAsia" w:ascii="宋体" w:hAnsi="宋体" w:eastAsia="宋体" w:cs="宋体"/>
      <w:color w:val="000000"/>
      <w:sz w:val="18"/>
      <w:szCs w:val="18"/>
      <w:u w:val="none"/>
    </w:rPr>
  </w:style>
  <w:style w:type="character" w:customStyle="1" w:styleId="34">
    <w:name w:val="font12"/>
    <w:basedOn w:val="16"/>
    <w:qFormat/>
    <w:uiPriority w:val="0"/>
    <w:rPr>
      <w:rFonts w:hint="eastAsia" w:ascii="宋体" w:hAnsi="宋体" w:eastAsia="宋体" w:cs="宋体"/>
      <w:color w:val="000000"/>
      <w:sz w:val="20"/>
      <w:szCs w:val="20"/>
      <w:u w:val="none"/>
    </w:rPr>
  </w:style>
  <w:style w:type="character" w:customStyle="1" w:styleId="35">
    <w:name w:val="font121"/>
    <w:basedOn w:val="16"/>
    <w:qFormat/>
    <w:uiPriority w:val="0"/>
    <w:rPr>
      <w:rFonts w:hint="eastAsia" w:ascii="宋体" w:hAnsi="宋体" w:eastAsia="宋体" w:cs="宋体"/>
      <w:color w:val="000000"/>
      <w:sz w:val="18"/>
      <w:szCs w:val="18"/>
      <w:u w:val="none"/>
    </w:rPr>
  </w:style>
  <w:style w:type="character" w:customStyle="1" w:styleId="36">
    <w:name w:val="font01"/>
    <w:basedOn w:val="16"/>
    <w:qFormat/>
    <w:uiPriority w:val="0"/>
    <w:rPr>
      <w:rFonts w:hint="eastAsia" w:ascii="宋体" w:hAnsi="宋体" w:eastAsia="宋体" w:cs="宋体"/>
      <w:color w:val="000000"/>
      <w:sz w:val="20"/>
      <w:szCs w:val="20"/>
      <w:u w:val="none"/>
    </w:rPr>
  </w:style>
  <w:style w:type="paragraph" w:customStyle="1" w:styleId="37">
    <w:name w:val="样式 首行缩进:  0 字符"/>
    <w:basedOn w:val="1"/>
    <w:qFormat/>
    <w:uiPriority w:val="0"/>
    <w:pPr>
      <w:ind w:firstLine="200" w:firstLineChars="200"/>
    </w:pPr>
    <w:rPr>
      <w:rFonts w:cs="宋体"/>
    </w:rPr>
  </w:style>
  <w:style w:type="paragraph" w:customStyle="1" w:styleId="38">
    <w:name w:val="Proposals body"/>
    <w:basedOn w:val="1"/>
    <w:next w:val="1"/>
    <w:qFormat/>
    <w:uiPriority w:val="0"/>
    <w:pPr>
      <w:spacing w:line="360" w:lineRule="auto"/>
    </w:pPr>
    <w:rPr>
      <w:rFonts w:ascii="宋体"/>
      <w:snapToGrid w:val="0"/>
      <w:color w:val="000000"/>
      <w:sz w:val="24"/>
    </w:rPr>
  </w:style>
  <w:style w:type="paragraph" w:customStyle="1" w:styleId="39">
    <w:name w:val="3级标题"/>
    <w:basedOn w:val="40"/>
    <w:qFormat/>
    <w:uiPriority w:val="0"/>
    <w:pPr>
      <w:keepLines/>
      <w:numPr>
        <w:ilvl w:val="2"/>
        <w:numId w:val="1"/>
      </w:numPr>
      <w:spacing w:before="120" w:after="120"/>
      <w:ind w:firstLineChars="0"/>
      <w:contextualSpacing/>
      <w:outlineLvl w:val="2"/>
    </w:pPr>
    <w:rPr>
      <w:rFonts w:ascii="黑体" w:hAnsi="黑体" w:eastAsia="黑体"/>
      <w:sz w:val="28"/>
      <w:szCs w:val="36"/>
      <w:lang w:eastAsia="en-US" w:bidi="en-US"/>
    </w:rPr>
  </w:style>
  <w:style w:type="paragraph" w:styleId="40">
    <w:name w:val="List Paragraph"/>
    <w:basedOn w:val="1"/>
    <w:qFormat/>
    <w:uiPriority w:val="99"/>
    <w:pPr>
      <w:ind w:firstLine="420" w:firstLineChars="200"/>
    </w:pPr>
  </w:style>
  <w:style w:type="paragraph" w:customStyle="1" w:styleId="41">
    <w:name w:val="2级标题"/>
    <w:basedOn w:val="40"/>
    <w:qFormat/>
    <w:uiPriority w:val="0"/>
    <w:pPr>
      <w:keepLines/>
      <w:numPr>
        <w:ilvl w:val="1"/>
        <w:numId w:val="1"/>
      </w:numPr>
      <w:spacing w:before="240" w:after="120"/>
      <w:ind w:firstLineChars="0"/>
      <w:contextualSpacing/>
      <w:outlineLvl w:val="1"/>
    </w:pPr>
    <w:rPr>
      <w:rFonts w:ascii="黑体" w:hAnsi="黑体" w:eastAsia="黑体"/>
      <w:sz w:val="32"/>
      <w:szCs w:val="36"/>
      <w:lang w:eastAsia="en-US" w:bidi="en-US"/>
    </w:rPr>
  </w:style>
  <w:style w:type="paragraph" w:customStyle="1" w:styleId="42">
    <w:name w:val="SP箇条書き"/>
    <w:basedOn w:val="1"/>
    <w:qFormat/>
    <w:uiPriority w:val="0"/>
    <w:pPr>
      <w:tabs>
        <w:tab w:val="left" w:pos="284"/>
        <w:tab w:val="left" w:pos="567"/>
        <w:tab w:val="left" w:pos="851"/>
        <w:tab w:val="left" w:pos="1134"/>
        <w:tab w:val="left" w:pos="1701"/>
        <w:tab w:val="left" w:pos="2835"/>
        <w:tab w:val="left" w:pos="3969"/>
      </w:tabs>
      <w:autoSpaceDE w:val="0"/>
      <w:autoSpaceDN w:val="0"/>
      <w:adjustRightInd w:val="0"/>
      <w:spacing w:line="300" w:lineRule="exact"/>
    </w:pPr>
    <w:rPr>
      <w:rFonts w:ascii="MS PGothic" w:hAnsi="Arial" w:eastAsia="MS PGothic"/>
      <w:color w:val="000000"/>
      <w:lang w:eastAsia="ja-JP"/>
    </w:rPr>
  </w:style>
  <w:style w:type="paragraph" w:customStyle="1" w:styleId="43">
    <w:name w:val="*正文"/>
    <w:basedOn w:val="5"/>
    <w:qFormat/>
    <w:uiPriority w:val="0"/>
    <w:pPr>
      <w:spacing w:line="480" w:lineRule="auto"/>
      <w:ind w:firstLine="200" w:firstLineChars="200"/>
    </w:pPr>
    <w:rPr>
      <w:rFonts w:ascii="Arial" w:hAnsi="Arial"/>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header3.xml" Type="http://schemas.openxmlformats.org/officeDocument/2006/relationships/header"/><Relationship Id="rId12" Target="footer7.xml" Type="http://schemas.openxmlformats.org/officeDocument/2006/relationships/footer"/><Relationship Id="rId13" Target="footer8.xml" Type="http://schemas.openxmlformats.org/officeDocument/2006/relationships/footer"/><Relationship Id="rId14" Target="theme/theme1.xml" Type="http://schemas.openxmlformats.org/officeDocument/2006/relationships/theme"/><Relationship Id="rId15" Target="media/image1.png" Type="http://schemas.openxmlformats.org/officeDocument/2006/relationships/image"/><Relationship Id="rId16" Target="media/image2.png" Type="http://schemas.openxmlformats.org/officeDocument/2006/relationships/image"/><Relationship Id="rId17" Target="media/image3.png" Type="http://schemas.openxmlformats.org/officeDocument/2006/relationships/image"/><Relationship Id="rId18" Target="media/image4.png" Type="http://schemas.openxmlformats.org/officeDocument/2006/relationships/image"/><Relationship Id="rId19" Target="../customXml/item1.xml" Type="http://schemas.openxmlformats.org/officeDocument/2006/relationships/customXml"/><Relationship Id="rId2" Target="settings.xml" Type="http://schemas.openxmlformats.org/officeDocument/2006/relationships/settings"/><Relationship Id="rId20" Target="numbering.xml" Type="http://schemas.openxmlformats.org/officeDocument/2006/relationships/numbering"/><Relationship Id="rId21"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4117</Words>
  <Characters>23467</Characters>
  <Lines>195</Lines>
  <Paragraphs>55</Paragraphs>
  <TotalTime>2</TotalTime>
  <ScaleCrop>false</ScaleCrop>
  <LinksUpToDate>false</LinksUpToDate>
  <CharactersWithSpaces>27529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2020-06-05T01:28:00Z</dcterms:created>
  <dc:creator>lenovo</dc:creator>
  <cp:lastModifiedBy>WPS_1701756769</cp:lastModifiedBy>
  <cp:lastPrinted>2021-04-30T08:47:03Z</cp:lastPrinted>
  <dcterms:modified xsi:type="dcterms:W3CDTF">2024-02-22T07:39:37Z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D9EC5014B73547F49252244342C47302_13</vt:lpwstr>
  </property>
</Properties>
</file>