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9"/>
        <w:rPr>
          <w:rFonts w:hint="eastAsia" w:ascii="宋体" w:hAnsi="宋体" w:eastAsia="宋体" w:cs="宋体"/>
          <w:b/>
          <w:sz w:val="24"/>
          <w:highlight w:val="none"/>
        </w:rPr>
      </w:pPr>
    </w:p>
    <w:p>
      <w:pPr>
        <w:kinsoku/>
        <w:wordWrap/>
        <w:overflowPunct/>
        <w:topLinePunct w:val="0"/>
        <w:bidi w:val="0"/>
        <w:spacing w:line="360" w:lineRule="auto"/>
        <w:jc w:val="center"/>
        <w:outlineLvl w:val="9"/>
        <w:rPr>
          <w:rFonts w:hint="eastAsia" w:ascii="宋体" w:hAnsi="宋体" w:eastAsia="宋体" w:cs="宋体"/>
          <w:b/>
          <w:sz w:val="24"/>
          <w:highlight w:val="none"/>
        </w:rPr>
      </w:pPr>
    </w:p>
    <w:p>
      <w:pPr>
        <w:kinsoku/>
        <w:wordWrap/>
        <w:overflowPunct/>
        <w:topLinePunct w:val="0"/>
        <w:bidi w:val="0"/>
        <w:adjustRightInd/>
        <w:spacing w:line="360" w:lineRule="auto"/>
        <w:jc w:val="center"/>
        <w:outlineLvl w:val="9"/>
        <w:rPr>
          <w:rFonts w:hint="eastAsia" w:ascii="宋体" w:hAnsi="宋体" w:eastAsia="宋体" w:cs="宋体"/>
          <w:b/>
          <w:sz w:val="44"/>
          <w:szCs w:val="44"/>
          <w:highlight w:val="none"/>
        </w:rPr>
      </w:pPr>
    </w:p>
    <w:p>
      <w:pPr>
        <w:kinsoku/>
        <w:wordWrap/>
        <w:overflowPunct/>
        <w:topLinePunct w:val="0"/>
        <w:bidi w:val="0"/>
        <w:adjustRightInd/>
        <w:spacing w:line="360" w:lineRule="auto"/>
        <w:jc w:val="center"/>
        <w:outlineLvl w:val="9"/>
        <w:rPr>
          <w:rFonts w:hint="eastAsia" w:ascii="宋体" w:hAnsi="宋体" w:eastAsia="宋体" w:cs="宋体"/>
          <w:b/>
          <w:sz w:val="44"/>
          <w:szCs w:val="44"/>
          <w:highlight w:val="none"/>
        </w:rPr>
      </w:pPr>
    </w:p>
    <w:p>
      <w:pPr>
        <w:kinsoku/>
        <w:wordWrap/>
        <w:overflowPunct/>
        <w:topLinePunct w:val="0"/>
        <w:bidi w:val="0"/>
        <w:adjustRightInd/>
        <w:spacing w:line="360" w:lineRule="auto"/>
        <w:jc w:val="center"/>
        <w:outlineLvl w:val="9"/>
        <w:rPr>
          <w:rFonts w:hint="eastAsia" w:ascii="宋体" w:hAnsi="宋体" w:eastAsia="宋体" w:cs="宋体"/>
          <w:b/>
          <w:sz w:val="72"/>
          <w:szCs w:val="72"/>
          <w:highlight w:val="none"/>
        </w:rPr>
      </w:pPr>
      <w:r>
        <w:rPr>
          <w:rFonts w:hint="eastAsia" w:ascii="宋体" w:hAnsi="宋体" w:eastAsia="宋体" w:cs="宋体"/>
          <w:b/>
          <w:bCs/>
          <w:w w:val="95"/>
          <w:sz w:val="72"/>
          <w:szCs w:val="72"/>
          <w:highlight w:val="none"/>
          <w:lang w:val="zh-CN"/>
        </w:rPr>
        <w:t>竞争性磋商</w:t>
      </w:r>
      <w:r>
        <w:rPr>
          <w:rFonts w:hint="eastAsia" w:ascii="宋体" w:hAnsi="宋体" w:eastAsia="宋体" w:cs="宋体"/>
          <w:b/>
          <w:sz w:val="72"/>
          <w:szCs w:val="72"/>
          <w:highlight w:val="none"/>
        </w:rPr>
        <w:t>文件</w:t>
      </w:r>
    </w:p>
    <w:p>
      <w:pPr>
        <w:kinsoku/>
        <w:wordWrap/>
        <w:overflowPunct/>
        <w:topLinePunct w:val="0"/>
        <w:bidi w:val="0"/>
        <w:adjustRightInd/>
        <w:spacing w:line="360" w:lineRule="auto"/>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（电子交易）</w:t>
      </w:r>
    </w:p>
    <w:p>
      <w:pPr>
        <w:kinsoku/>
        <w:wordWrap/>
        <w:overflowPunct/>
        <w:topLinePunct w:val="0"/>
        <w:bidi w:val="0"/>
        <w:snapToGrid w:val="0"/>
        <w:spacing w:line="360" w:lineRule="auto"/>
        <w:jc w:val="center"/>
        <w:outlineLvl w:val="9"/>
        <w:rPr>
          <w:rFonts w:hint="eastAsia" w:ascii="宋体" w:hAnsi="宋体" w:eastAsia="宋体" w:cs="宋体"/>
          <w:sz w:val="30"/>
          <w:szCs w:val="30"/>
          <w:highlight w:val="none"/>
        </w:rPr>
      </w:pPr>
    </w:p>
    <w:p>
      <w:pPr>
        <w:pStyle w:val="24"/>
        <w:kinsoku/>
        <w:wordWrap/>
        <w:overflowPunct/>
        <w:topLinePunct w:val="0"/>
        <w:bidi w:val="0"/>
        <w:outlineLvl w:val="9"/>
        <w:rPr>
          <w:rFonts w:hint="eastAsia" w:ascii="宋体" w:hAnsi="宋体" w:eastAsia="宋体" w:cs="宋体"/>
          <w:highlight w:val="none"/>
        </w:rPr>
      </w:pPr>
    </w:p>
    <w:p>
      <w:pPr>
        <w:kinsoku/>
        <w:wordWrap/>
        <w:overflowPunct/>
        <w:topLinePunct w:val="0"/>
        <w:bidi w:val="0"/>
        <w:snapToGrid w:val="0"/>
        <w:spacing w:line="360" w:lineRule="auto"/>
        <w:jc w:val="left"/>
        <w:outlineLvl w:val="9"/>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项目名称：</w:t>
      </w:r>
      <w:r>
        <w:rPr>
          <w:rFonts w:hint="eastAsia" w:ascii="宋体" w:hAnsi="宋体" w:cs="宋体"/>
          <w:sz w:val="30"/>
          <w:szCs w:val="30"/>
          <w:highlight w:val="none"/>
          <w:lang w:val="en-US" w:eastAsia="zh-CN"/>
        </w:rPr>
        <w:t>宁海县气象局风廓线雷达配套设施建设项目</w:t>
      </w:r>
    </w:p>
    <w:p>
      <w:pPr>
        <w:kinsoku/>
        <w:wordWrap/>
        <w:overflowPunct/>
        <w:topLinePunct w:val="0"/>
        <w:bidi w:val="0"/>
        <w:snapToGrid w:val="0"/>
        <w:spacing w:line="360" w:lineRule="auto"/>
        <w:jc w:val="left"/>
        <w:outlineLvl w:val="9"/>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项目编号：</w:t>
      </w:r>
      <w:r>
        <w:rPr>
          <w:rFonts w:hint="eastAsia" w:ascii="宋体" w:hAnsi="宋体" w:cs="宋体"/>
          <w:sz w:val="30"/>
          <w:szCs w:val="30"/>
          <w:highlight w:val="none"/>
          <w:lang w:val="en-US" w:eastAsia="zh-CN"/>
        </w:rPr>
        <w:t>CBNB-20246170G</w:t>
      </w:r>
    </w:p>
    <w:p>
      <w:pPr>
        <w:kinsoku/>
        <w:wordWrap/>
        <w:overflowPunct/>
        <w:topLinePunct w:val="0"/>
        <w:bidi w:val="0"/>
        <w:adjustRightInd/>
        <w:spacing w:line="360" w:lineRule="auto"/>
        <w:outlineLvl w:val="9"/>
        <w:rPr>
          <w:rFonts w:hint="eastAsia" w:ascii="宋体" w:hAnsi="宋体" w:eastAsia="宋体" w:cs="宋体"/>
          <w:sz w:val="28"/>
          <w:szCs w:val="20"/>
          <w:highlight w:val="none"/>
        </w:rPr>
      </w:pPr>
    </w:p>
    <w:p>
      <w:pPr>
        <w:kinsoku/>
        <w:wordWrap/>
        <w:overflowPunct/>
        <w:topLinePunct w:val="0"/>
        <w:bidi w:val="0"/>
        <w:spacing w:line="360" w:lineRule="auto"/>
        <w:jc w:val="center"/>
        <w:outlineLvl w:val="9"/>
        <w:rPr>
          <w:rFonts w:hint="eastAsia" w:ascii="宋体" w:hAnsi="宋体" w:eastAsia="宋体" w:cs="宋体"/>
          <w:sz w:val="24"/>
          <w:highlight w:val="none"/>
        </w:rPr>
      </w:pPr>
    </w:p>
    <w:p>
      <w:pPr>
        <w:kinsoku/>
        <w:wordWrap/>
        <w:overflowPunct/>
        <w:topLinePunct w:val="0"/>
        <w:bidi w:val="0"/>
        <w:spacing w:line="360" w:lineRule="auto"/>
        <w:jc w:val="center"/>
        <w:outlineLvl w:val="9"/>
        <w:rPr>
          <w:rFonts w:hint="eastAsia" w:ascii="宋体" w:hAnsi="宋体" w:eastAsia="宋体" w:cs="宋体"/>
          <w:sz w:val="24"/>
          <w:highlight w:val="none"/>
        </w:rPr>
      </w:pPr>
    </w:p>
    <w:p>
      <w:pPr>
        <w:pStyle w:val="184"/>
        <w:widowControl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kern w:val="2"/>
          <w:highlight w:val="none"/>
        </w:rPr>
      </w:pPr>
    </w:p>
    <w:p>
      <w:pPr>
        <w:pStyle w:val="184"/>
        <w:widowControl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kern w:val="2"/>
          <w:highlight w:val="none"/>
        </w:rPr>
      </w:pPr>
    </w:p>
    <w:p>
      <w:pPr>
        <w:pStyle w:val="184"/>
        <w:widowControl w:val="0"/>
        <w:kinsoku/>
        <w:wordWrap/>
        <w:overflowPunct/>
        <w:topLinePunct w:val="0"/>
        <w:bidi w:val="0"/>
        <w:spacing w:before="0" w:beforeAutospacing="0" w:after="0" w:afterAutospacing="0" w:line="360" w:lineRule="auto"/>
        <w:textAlignment w:val="auto"/>
        <w:outlineLvl w:val="9"/>
        <w:rPr>
          <w:rFonts w:hint="eastAsia" w:ascii="宋体" w:hAnsi="宋体" w:eastAsia="宋体" w:cs="宋体"/>
          <w:b/>
          <w:sz w:val="24"/>
          <w:highlight w:val="none"/>
        </w:rPr>
      </w:pPr>
    </w:p>
    <w:p>
      <w:pPr>
        <w:kinsoku/>
        <w:wordWrap/>
        <w:overflowPunct/>
        <w:topLinePunct w:val="0"/>
        <w:bidi w:val="0"/>
        <w:snapToGrid w:val="0"/>
        <w:spacing w:line="360" w:lineRule="auto"/>
        <w:jc w:val="center"/>
        <w:outlineLvl w:val="9"/>
        <w:rPr>
          <w:rFonts w:hint="eastAsia" w:ascii="宋体" w:hAnsi="宋体" w:eastAsia="宋体" w:cs="宋体"/>
          <w:sz w:val="32"/>
          <w:szCs w:val="32"/>
          <w:highlight w:val="none"/>
        </w:rPr>
      </w:pPr>
    </w:p>
    <w:p>
      <w:pPr>
        <w:kinsoku/>
        <w:wordWrap/>
        <w:overflowPunct/>
        <w:topLinePunct w:val="0"/>
        <w:bidi w:val="0"/>
        <w:spacing w:line="360" w:lineRule="auto"/>
        <w:jc w:val="center"/>
        <w:outlineLvl w:val="9"/>
        <w:rPr>
          <w:rFonts w:hint="eastAsia" w:ascii="宋体" w:hAnsi="宋体" w:cs="宋体"/>
          <w:sz w:val="32"/>
          <w:szCs w:val="32"/>
          <w:highlight w:val="none"/>
          <w:lang w:eastAsia="zh-CN"/>
        </w:rPr>
      </w:pPr>
      <w:r>
        <w:rPr>
          <w:rFonts w:hint="eastAsia" w:ascii="宋体" w:hAnsi="宋体" w:cs="宋体"/>
          <w:sz w:val="32"/>
          <w:szCs w:val="32"/>
          <w:highlight w:val="none"/>
          <w:lang w:eastAsia="zh-CN"/>
        </w:rPr>
        <w:t>采购人：宁海县气象局</w:t>
      </w:r>
    </w:p>
    <w:p>
      <w:pPr>
        <w:kinsoku/>
        <w:wordWrap/>
        <w:overflowPunct/>
        <w:topLinePunct w:val="0"/>
        <w:bidi w:val="0"/>
        <w:spacing w:line="360" w:lineRule="auto"/>
        <w:jc w:val="center"/>
        <w:outlineLvl w:val="9"/>
        <w:rPr>
          <w:rFonts w:hint="eastAsia" w:ascii="宋体" w:hAnsi="宋体" w:eastAsia="宋体" w:cs="宋体"/>
          <w:bCs/>
          <w:sz w:val="32"/>
          <w:szCs w:val="32"/>
          <w:highlight w:val="none"/>
          <w:lang w:eastAsia="zh-CN"/>
        </w:rPr>
      </w:pPr>
      <w:r>
        <w:rPr>
          <w:rFonts w:hint="eastAsia" w:ascii="宋体" w:hAnsi="宋体" w:cs="宋体"/>
          <w:sz w:val="32"/>
          <w:szCs w:val="32"/>
          <w:highlight w:val="none"/>
          <w:lang w:eastAsia="zh-CN"/>
        </w:rPr>
        <w:t>采购代理机构：宁波中基国际招标有限公司</w:t>
      </w:r>
    </w:p>
    <w:p>
      <w:pPr>
        <w:kinsoku/>
        <w:wordWrap/>
        <w:overflowPunct/>
        <w:topLinePunct w:val="0"/>
        <w:bidi w:val="0"/>
        <w:snapToGrid w:val="0"/>
        <w:spacing w:line="360" w:lineRule="auto"/>
        <w:jc w:val="center"/>
        <w:outlineLvl w:val="9"/>
        <w:rPr>
          <w:rFonts w:hint="eastAsia" w:ascii="宋体" w:hAnsi="宋体" w:eastAsia="宋体" w:cs="宋体"/>
          <w:bCs/>
          <w:sz w:val="32"/>
          <w:szCs w:val="32"/>
          <w:highlight w:val="none"/>
        </w:rPr>
      </w:pPr>
    </w:p>
    <w:p>
      <w:pPr>
        <w:kinsoku/>
        <w:wordWrap/>
        <w:overflowPunct/>
        <w:topLinePunct w:val="0"/>
        <w:bidi w:val="0"/>
        <w:snapToGrid w:val="0"/>
        <w:spacing w:line="360" w:lineRule="auto"/>
        <w:jc w:val="center"/>
        <w:outlineLvl w:val="9"/>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月</w:t>
      </w:r>
    </w:p>
    <w:p>
      <w:pPr>
        <w:tabs>
          <w:tab w:val="left" w:pos="2268"/>
        </w:tabs>
        <w:kinsoku/>
        <w:wordWrap/>
        <w:overflowPunct/>
        <w:topLinePunct w:val="0"/>
        <w:bidi w:val="0"/>
        <w:spacing w:line="360" w:lineRule="auto"/>
        <w:jc w:val="center"/>
        <w:outlineLvl w:val="9"/>
        <w:rPr>
          <w:rFonts w:hint="eastAsia" w:ascii="宋体" w:hAnsi="宋体" w:eastAsia="宋体" w:cs="宋体"/>
          <w:sz w:val="24"/>
          <w:highlight w:val="none"/>
        </w:rPr>
      </w:pPr>
    </w:p>
    <w:p>
      <w:pPr>
        <w:pStyle w:val="24"/>
        <w:kinsoku/>
        <w:wordWrap/>
        <w:overflowPunct/>
        <w:topLinePunct w:val="0"/>
        <w:bidi w:val="0"/>
        <w:outlineLvl w:val="9"/>
        <w:rPr>
          <w:rFonts w:hint="eastAsia" w:ascii="宋体" w:hAnsi="宋体" w:eastAsia="宋体" w:cs="宋体"/>
          <w:sz w:val="24"/>
          <w:highlight w:val="none"/>
        </w:rPr>
      </w:pPr>
    </w:p>
    <w:p>
      <w:pPr>
        <w:kinsoku/>
        <w:wordWrap/>
        <w:overflowPunct/>
        <w:topLinePunct w:val="0"/>
        <w:bidi w:val="0"/>
        <w:outlineLvl w:val="9"/>
        <w:rPr>
          <w:rFonts w:hint="eastAsia"/>
        </w:rPr>
        <w:sectPr>
          <w:footerReference r:id="rId3" w:type="even"/>
          <w:pgSz w:w="11906" w:h="16838"/>
          <w:pgMar w:top="1247" w:right="1418" w:bottom="1276" w:left="1418" w:header="851" w:footer="992" w:gutter="0"/>
          <w:cols w:space="720" w:num="1"/>
          <w:titlePg/>
          <w:docGrid w:linePitch="312" w:charSpace="0"/>
        </w:sectPr>
      </w:pPr>
    </w:p>
    <w:p>
      <w:pPr>
        <w:pStyle w:val="24"/>
        <w:kinsoku/>
        <w:wordWrap/>
        <w:overflowPunct/>
        <w:topLinePunct w:val="0"/>
        <w:bidi w:val="0"/>
        <w:outlineLvl w:val="9"/>
        <w:rPr>
          <w:rFonts w:hint="eastAsia"/>
          <w:highlight w:val="none"/>
        </w:rPr>
      </w:pPr>
    </w:p>
    <w:p>
      <w:pPr>
        <w:kinsoku/>
        <w:wordWrap/>
        <w:overflowPunct/>
        <w:topLinePunct w:val="0"/>
        <w:bidi w:val="0"/>
        <w:spacing w:line="360" w:lineRule="auto"/>
        <w:jc w:val="center"/>
        <w:outlineLvl w:val="9"/>
        <w:rPr>
          <w:rFonts w:hint="eastAsia" w:ascii="宋体" w:hAnsi="宋体" w:eastAsia="宋体" w:cs="宋体"/>
          <w:b/>
          <w:sz w:val="48"/>
          <w:szCs w:val="48"/>
          <w:highlight w:val="none"/>
        </w:rPr>
        <w:sectPr>
          <w:footerReference r:id="rId5" w:type="first"/>
          <w:footerReference r:id="rId4" w:type="default"/>
          <w:pgSz w:w="11906" w:h="16838"/>
          <w:pgMar w:top="1247" w:right="1418" w:bottom="1276" w:left="1418" w:header="851" w:footer="992" w:gutter="0"/>
          <w:cols w:space="720" w:num="1"/>
          <w:titlePg/>
          <w:docGrid w:linePitch="312" w:charSpace="0"/>
        </w:sectPr>
      </w:pPr>
    </w:p>
    <w:p>
      <w:pPr>
        <w:kinsoku/>
        <w:wordWrap/>
        <w:overflowPunct/>
        <w:topLinePunct w:val="0"/>
        <w:bidi w:val="0"/>
        <w:spacing w:line="360" w:lineRule="auto"/>
        <w:outlineLvl w:val="9"/>
        <w:rPr>
          <w:rFonts w:hint="eastAsia" w:ascii="宋体" w:hAnsi="宋体" w:eastAsia="宋体" w:cs="宋体"/>
          <w:sz w:val="32"/>
          <w:szCs w:val="32"/>
          <w:highlight w:val="none"/>
        </w:rPr>
      </w:pPr>
    </w:p>
    <w:sdt>
      <w:sdtPr>
        <w:rPr>
          <w:rFonts w:ascii="宋体" w:hAnsi="宋体" w:eastAsia="宋体" w:cs="Times New Roman"/>
          <w:kern w:val="2"/>
          <w:sz w:val="22"/>
          <w:szCs w:val="28"/>
          <w:lang w:val="en-US" w:eastAsia="zh-CN" w:bidi="ar-SA"/>
        </w:rPr>
        <w:id w:val="147477850"/>
        <w15:color w:val="DBDBDB"/>
        <w:docPartObj>
          <w:docPartGallery w:val="Table of Contents"/>
          <w:docPartUnique/>
        </w:docPartObj>
      </w:sdtPr>
      <w:sdtEndPr>
        <w:rPr>
          <w:rFonts w:hint="eastAsia" w:ascii="宋体" w:hAnsi="宋体" w:eastAsia="宋体" w:cs="宋体"/>
          <w:kern w:val="2"/>
          <w:sz w:val="21"/>
          <w:szCs w:val="3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left="0" w:leftChars="0" w:right="0" w:rightChars="0" w:firstLine="0" w:firstLineChars="0"/>
            <w:jc w:val="center"/>
            <w:textAlignment w:val="auto"/>
            <w:outlineLvl w:val="9"/>
            <w:rPr>
              <w:sz w:val="36"/>
              <w:szCs w:val="44"/>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48"/>
              <w:szCs w:val="48"/>
              <w:highlight w:val="none"/>
            </w:rPr>
            <w:fldChar w:fldCharType="begin"/>
          </w:r>
          <w:r>
            <w:rPr>
              <w:rFonts w:hint="eastAsia" w:ascii="宋体" w:hAnsi="宋体" w:eastAsia="宋体" w:cs="宋体"/>
              <w:sz w:val="48"/>
              <w:szCs w:val="48"/>
              <w:highlight w:val="none"/>
            </w:rPr>
            <w:instrText xml:space="preserve">TOC \o "1-1" \h \u </w:instrText>
          </w:r>
          <w:r>
            <w:rPr>
              <w:rFonts w:hint="eastAsia" w:ascii="宋体" w:hAnsi="宋体" w:eastAsia="宋体" w:cs="宋体"/>
              <w:sz w:val="48"/>
              <w:szCs w:val="48"/>
              <w:highlight w:val="none"/>
            </w:rPr>
            <w:fldChar w:fldCharType="separate"/>
          </w: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_Toc9770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28"/>
              <w:highlight w:val="none"/>
            </w:rPr>
            <w:t>第一部分  邀请供应商</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1</w:t>
          </w:r>
          <w:r>
            <w:rPr>
              <w:sz w:val="32"/>
              <w:szCs w:val="40"/>
            </w:rPr>
            <w:fldChar w:fldCharType="end"/>
          </w:r>
          <w:r>
            <w:rPr>
              <w:rFonts w:hint="eastAsia" w:ascii="宋体" w:hAnsi="宋体" w:eastAsia="宋体" w:cs="宋体"/>
              <w:sz w:val="32"/>
              <w:szCs w:val="48"/>
              <w:highlight w:val="none"/>
            </w:rPr>
            <w:fldChar w:fldCharType="end"/>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_Toc5867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28"/>
              <w:highlight w:val="none"/>
            </w:rPr>
            <w:t xml:space="preserve">第二部分 </w:t>
          </w:r>
          <w:r>
            <w:rPr>
              <w:rFonts w:hint="eastAsia" w:ascii="宋体" w:hAnsi="宋体" w:cs="宋体"/>
              <w:sz w:val="32"/>
              <w:szCs w:val="28"/>
              <w:highlight w:val="none"/>
              <w:lang w:val="en-US" w:eastAsia="zh-CN"/>
            </w:rPr>
            <w:t xml:space="preserve"> </w:t>
          </w:r>
          <w:r>
            <w:rPr>
              <w:rFonts w:hint="eastAsia" w:ascii="宋体" w:hAnsi="宋体" w:eastAsia="宋体" w:cs="宋体"/>
              <w:sz w:val="32"/>
              <w:szCs w:val="28"/>
              <w:highlight w:val="none"/>
            </w:rPr>
            <w:t>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6</w:t>
          </w:r>
          <w:r>
            <w:rPr>
              <w:sz w:val="32"/>
              <w:szCs w:val="40"/>
            </w:rPr>
            <w:fldChar w:fldCharType="end"/>
          </w:r>
          <w:r>
            <w:rPr>
              <w:rFonts w:hint="eastAsia" w:ascii="宋体" w:hAnsi="宋体" w:eastAsia="宋体" w:cs="宋体"/>
              <w:sz w:val="32"/>
              <w:szCs w:val="48"/>
              <w:highlight w:val="none"/>
            </w:rPr>
            <w:fldChar w:fldCharType="end"/>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_Toc15293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28"/>
              <w:highlight w:val="none"/>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9</w:t>
          </w:r>
          <w:r>
            <w:rPr>
              <w:sz w:val="32"/>
              <w:szCs w:val="40"/>
            </w:rPr>
            <w:fldChar w:fldCharType="end"/>
          </w:r>
          <w:r>
            <w:rPr>
              <w:rFonts w:hint="eastAsia" w:ascii="宋体" w:hAnsi="宋体" w:eastAsia="宋体" w:cs="宋体"/>
              <w:sz w:val="32"/>
              <w:szCs w:val="48"/>
              <w:highlight w:val="none"/>
            </w:rPr>
            <w:fldChar w:fldCharType="end"/>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_Toc7028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52"/>
              <w:highlight w:val="none"/>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25</w:t>
          </w:r>
          <w:r>
            <w:rPr>
              <w:sz w:val="32"/>
              <w:szCs w:val="40"/>
            </w:rPr>
            <w:fldChar w:fldCharType="end"/>
          </w:r>
          <w:r>
            <w:rPr>
              <w:rFonts w:hint="eastAsia" w:ascii="宋体" w:hAnsi="宋体" w:eastAsia="宋体" w:cs="宋体"/>
              <w:sz w:val="32"/>
              <w:szCs w:val="48"/>
              <w:highlight w:val="none"/>
            </w:rPr>
            <w:fldChar w:fldCharType="end"/>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_Toc14200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52"/>
              <w:highlight w:val="none"/>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35</w:t>
          </w:r>
          <w:r>
            <w:rPr>
              <w:sz w:val="32"/>
              <w:szCs w:val="40"/>
            </w:rPr>
            <w:fldChar w:fldCharType="end"/>
          </w:r>
          <w:r>
            <w:rPr>
              <w:rFonts w:hint="eastAsia" w:ascii="宋体" w:hAnsi="宋体" w:eastAsia="宋体" w:cs="宋体"/>
              <w:sz w:val="32"/>
              <w:szCs w:val="48"/>
              <w:highlight w:val="none"/>
            </w:rPr>
            <w:fldChar w:fldCharType="end"/>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_Toc230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52"/>
              <w:highlight w:val="none"/>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43</w:t>
          </w:r>
          <w:r>
            <w:rPr>
              <w:sz w:val="32"/>
              <w:szCs w:val="40"/>
            </w:rPr>
            <w:fldChar w:fldCharType="end"/>
          </w:r>
          <w:r>
            <w:rPr>
              <w:rFonts w:hint="eastAsia" w:ascii="宋体" w:hAnsi="宋体" w:eastAsia="宋体" w:cs="宋体"/>
              <w:sz w:val="32"/>
              <w:szCs w:val="48"/>
              <w:highlight w:val="none"/>
            </w:rPr>
            <w:fldChar w:fldCharType="end"/>
          </w:r>
        </w:p>
        <w:p>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360" w:lineRule="auto"/>
            <w:textAlignment w:val="auto"/>
            <w:rPr>
              <w:sz w:val="32"/>
              <w:szCs w:val="40"/>
            </w:rPr>
          </w:pPr>
          <w:r>
            <w:rPr>
              <w:rFonts w:hint="eastAsia" w:ascii="宋体" w:hAnsi="宋体" w:eastAsia="宋体" w:cs="宋体"/>
              <w:sz w:val="32"/>
              <w:szCs w:val="48"/>
              <w:highlight w:val="none"/>
            </w:rPr>
            <w:fldChar w:fldCharType="begin"/>
          </w:r>
          <w:r>
            <w:rPr>
              <w:rFonts w:hint="eastAsia" w:ascii="宋体" w:hAnsi="宋体" w:eastAsia="宋体" w:cs="宋体"/>
              <w:sz w:val="32"/>
              <w:szCs w:val="48"/>
              <w:highlight w:val="none"/>
            </w:rPr>
            <w:instrText xml:space="preserve"> HYPERLINK \l _Toc8026 </w:instrText>
          </w:r>
          <w:r>
            <w:rPr>
              <w:rFonts w:hint="eastAsia" w:ascii="宋体" w:hAnsi="宋体" w:eastAsia="宋体" w:cs="宋体"/>
              <w:sz w:val="32"/>
              <w:szCs w:val="48"/>
              <w:highlight w:val="none"/>
            </w:rPr>
            <w:fldChar w:fldCharType="separate"/>
          </w:r>
          <w:r>
            <w:rPr>
              <w:rFonts w:hint="eastAsia" w:ascii="宋体" w:hAnsi="宋体" w:eastAsia="宋体" w:cs="宋体"/>
              <w:sz w:val="32"/>
              <w:szCs w:val="28"/>
              <w:highlight w:val="none"/>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53</w:t>
          </w:r>
          <w:r>
            <w:rPr>
              <w:sz w:val="32"/>
              <w:szCs w:val="40"/>
            </w:rPr>
            <w:fldChar w:fldCharType="end"/>
          </w:r>
          <w:r>
            <w:rPr>
              <w:rFonts w:hint="eastAsia" w:ascii="宋体" w:hAnsi="宋体" w:eastAsia="宋体" w:cs="宋体"/>
              <w:sz w:val="32"/>
              <w:szCs w:val="48"/>
              <w:highlight w:val="none"/>
            </w:rPr>
            <w:fldChar w:fldCharType="end"/>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outlineLvl w:val="9"/>
            <w:rPr>
              <w:rFonts w:hint="eastAsia" w:ascii="宋体" w:hAnsi="宋体" w:eastAsia="宋体" w:cs="宋体"/>
              <w:sz w:val="32"/>
              <w:szCs w:val="32"/>
              <w:highlight w:val="none"/>
            </w:rPr>
          </w:pPr>
          <w:r>
            <w:rPr>
              <w:rFonts w:hint="eastAsia" w:ascii="宋体" w:hAnsi="宋体" w:eastAsia="宋体" w:cs="宋体"/>
              <w:sz w:val="32"/>
              <w:szCs w:val="48"/>
              <w:highlight w:val="none"/>
            </w:rPr>
            <w:fldChar w:fldCharType="end"/>
          </w:r>
        </w:p>
      </w:sdtContent>
    </w:sdt>
    <w:p>
      <w:pPr>
        <w:kinsoku/>
        <w:wordWrap/>
        <w:overflowPunct/>
        <w:topLinePunct w:val="0"/>
        <w:bidi w:val="0"/>
        <w:spacing w:line="360" w:lineRule="auto"/>
        <w:outlineLvl w:val="9"/>
        <w:rPr>
          <w:rFonts w:hint="eastAsia"/>
          <w:highlight w:val="none"/>
        </w:rPr>
      </w:pPr>
    </w:p>
    <w:p>
      <w:pPr>
        <w:pStyle w:val="71"/>
        <w:kinsoku/>
        <w:wordWrap/>
        <w:overflowPunct/>
        <w:topLinePunct w:val="0"/>
        <w:bidi w:val="0"/>
        <w:outlineLvl w:val="9"/>
        <w:rPr>
          <w:rFonts w:hint="eastAsia"/>
          <w:highlight w:val="none"/>
        </w:rPr>
      </w:pPr>
    </w:p>
    <w:p>
      <w:pPr>
        <w:pStyle w:val="71"/>
        <w:kinsoku/>
        <w:wordWrap/>
        <w:overflowPunct/>
        <w:topLinePunct w:val="0"/>
        <w:bidi w:val="0"/>
        <w:outlineLvl w:val="9"/>
        <w:rPr>
          <w:rFonts w:hint="eastAsia"/>
          <w:highlight w:val="none"/>
        </w:rPr>
      </w:pPr>
    </w:p>
    <w:p>
      <w:pPr>
        <w:pStyle w:val="71"/>
        <w:kinsoku/>
        <w:wordWrap/>
        <w:overflowPunct/>
        <w:topLinePunct w:val="0"/>
        <w:bidi w:val="0"/>
        <w:outlineLvl w:val="9"/>
        <w:rPr>
          <w:rFonts w:hint="eastAsia"/>
          <w:highlight w:val="none"/>
        </w:rPr>
      </w:pPr>
    </w:p>
    <w:p>
      <w:pPr>
        <w:pStyle w:val="71"/>
        <w:kinsoku/>
        <w:wordWrap/>
        <w:overflowPunct/>
        <w:topLinePunct w:val="0"/>
        <w:bidi w:val="0"/>
        <w:outlineLvl w:val="9"/>
        <w:rPr>
          <w:rFonts w:hint="eastAsia"/>
          <w:highlight w:val="none"/>
        </w:rPr>
        <w:sectPr>
          <w:footerReference r:id="rId7" w:type="first"/>
          <w:footerReference r:id="rId6" w:type="default"/>
          <w:pgSz w:w="11906" w:h="16838"/>
          <w:pgMar w:top="1247" w:right="1418" w:bottom="1276" w:left="1418" w:header="851" w:footer="992" w:gutter="0"/>
          <w:cols w:space="720" w:num="1"/>
          <w:titlePg/>
          <w:docGrid w:linePitch="312" w:charSpace="0"/>
        </w:sectPr>
      </w:pPr>
    </w:p>
    <w:p>
      <w:pPr>
        <w:kinsoku/>
        <w:wordWrap/>
        <w:overflowPunct/>
        <w:topLinePunct w:val="0"/>
        <w:bidi w:val="0"/>
        <w:spacing w:line="360" w:lineRule="auto"/>
        <w:outlineLvl w:val="9"/>
        <w:rPr>
          <w:rFonts w:hint="eastAsia" w:ascii="宋体" w:hAnsi="宋体" w:eastAsia="宋体" w:cs="宋体"/>
          <w:sz w:val="24"/>
          <w:highlight w:val="none"/>
        </w:rPr>
      </w:pPr>
      <w:bookmarkStart w:id="0" w:name="_Hlt91233176"/>
      <w:bookmarkEnd w:id="0"/>
      <w:bookmarkStart w:id="1" w:name="_Toc91899869"/>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ind w:firstLine="549" w:firstLineChars="229"/>
        <w:outlineLvl w:val="9"/>
        <w:rPr>
          <w:rFonts w:hint="eastAsia" w:ascii="宋体" w:hAnsi="宋体" w:eastAsia="宋体" w:cs="宋体"/>
          <w:sz w:val="24"/>
          <w:highlight w:val="none"/>
        </w:rPr>
      </w:pPr>
    </w:p>
    <w:p>
      <w:pPr>
        <w:kinsoku/>
        <w:wordWrap/>
        <w:overflowPunct/>
        <w:topLinePunct w:val="0"/>
        <w:bidi w:val="0"/>
        <w:spacing w:line="360" w:lineRule="auto"/>
        <w:outlineLvl w:val="9"/>
        <w:rPr>
          <w:rFonts w:hint="eastAsia" w:ascii="宋体" w:hAnsi="宋体" w:eastAsia="宋体" w:cs="宋体"/>
          <w:sz w:val="24"/>
          <w:highlight w:val="none"/>
        </w:rPr>
      </w:pPr>
    </w:p>
    <w:bookmarkEnd w:id="1"/>
    <w:p>
      <w:pPr>
        <w:kinsoku/>
        <w:wordWrap/>
        <w:overflowPunct/>
        <w:topLinePunct w:val="0"/>
        <w:bidi w:val="0"/>
        <w:adjustRightInd/>
        <w:spacing w:line="360" w:lineRule="auto"/>
        <w:jc w:val="center"/>
        <w:outlineLvl w:val="9"/>
        <w:rPr>
          <w:rFonts w:hint="eastAsia" w:ascii="宋体" w:hAnsi="宋体" w:eastAsia="宋体" w:cs="宋体"/>
          <w:b/>
          <w:sz w:val="36"/>
          <w:szCs w:val="20"/>
          <w:highlight w:val="none"/>
        </w:rPr>
        <w:sectPr>
          <w:footerReference r:id="rId9" w:type="first"/>
          <w:footerReference r:id="rId8" w:type="default"/>
          <w:pgSz w:w="11906" w:h="16838"/>
          <w:pgMar w:top="1247" w:right="1418" w:bottom="1276" w:left="1418" w:header="851" w:footer="992" w:gutter="0"/>
          <w:cols w:space="720" w:num="1"/>
          <w:titlePg/>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highlight w:val="none"/>
        </w:rPr>
      </w:pPr>
      <w:bookmarkStart w:id="9" w:name="_Toc9770"/>
      <w:r>
        <w:rPr>
          <w:rFonts w:hint="eastAsia" w:ascii="宋体" w:hAnsi="宋体" w:eastAsia="宋体" w:cs="宋体"/>
          <w:b/>
          <w:sz w:val="36"/>
          <w:szCs w:val="20"/>
          <w:highlight w:val="none"/>
        </w:rPr>
        <w:t>第一部分  邀请供应商</w:t>
      </w:r>
      <w:bookmarkEnd w:id="9"/>
    </w:p>
    <w:p>
      <w:pPr>
        <w:kinsoku/>
        <w:wordWrap/>
        <w:overflowPunct/>
        <w:topLinePunct w:val="0"/>
        <w:bidi w:val="0"/>
        <w:adjustRightInd/>
        <w:spacing w:line="360" w:lineRule="auto"/>
        <w:jc w:val="center"/>
        <w:outlineLvl w:val="9"/>
        <w:rPr>
          <w:rFonts w:hint="eastAsia" w:ascii="宋体" w:hAnsi="宋体" w:eastAsia="宋体" w:cs="宋体"/>
          <w:b/>
          <w:sz w:val="36"/>
          <w:szCs w:val="20"/>
          <w:highlight w:val="none"/>
        </w:rPr>
      </w:pPr>
      <w:r>
        <w:rPr>
          <w:rFonts w:hint="eastAsia" w:ascii="宋体" w:hAnsi="宋体" w:eastAsia="宋体" w:cs="宋体"/>
          <w:b/>
          <w:sz w:val="36"/>
          <w:szCs w:val="20"/>
          <w:highlight w:val="none"/>
        </w:rPr>
        <w:t>竞争性磋商邀请公告</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hint="eastAsia" w:ascii="宋体" w:hAnsi="宋体" w:eastAsia="宋体" w:cs="宋体"/>
          <w:sz w:val="24"/>
          <w:highlight w:val="none"/>
          <w:u w:val="single"/>
        </w:rPr>
      </w:pPr>
      <w:r>
        <w:rPr>
          <w:rFonts w:hint="eastAsia" w:ascii="宋体" w:hAnsi="宋体" w:cs="宋体"/>
          <w:sz w:val="24"/>
          <w:highlight w:val="none"/>
          <w:u w:val="single"/>
          <w:lang w:val="en-US" w:eastAsia="zh-CN"/>
        </w:rPr>
        <w:t>宁海县气象局风廓线雷达配套设施建设项目</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采购项目的潜在供应商应在</w:t>
      </w:r>
      <w:r>
        <w:rPr>
          <w:rFonts w:hint="eastAsia" w:ascii="宋体" w:hAnsi="宋体" w:eastAsia="宋体" w:cs="宋体"/>
          <w:sz w:val="24"/>
          <w:highlight w:val="none"/>
          <w:u w:val="single"/>
        </w:rPr>
        <w:t>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sz w:val="24"/>
          <w:highlight w:val="none"/>
          <w:u w:val="single"/>
        </w:rPr>
        <w:t>）</w:t>
      </w:r>
      <w:r>
        <w:rPr>
          <w:rFonts w:hint="eastAsia" w:ascii="宋体" w:hAnsi="宋体" w:eastAsia="宋体" w:cs="宋体"/>
          <w:sz w:val="24"/>
          <w:highlight w:val="none"/>
        </w:rPr>
        <w:t>获取采购文件，并于</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2024</w:t>
      </w:r>
      <w:r>
        <w:rPr>
          <w:rFonts w:hint="eastAsia" w:ascii="宋体" w:hAnsi="宋体" w:eastAsia="宋体" w:cs="宋体"/>
          <w:bCs/>
          <w:sz w:val="24"/>
          <w:highlight w:val="none"/>
          <w:u w:val="single"/>
        </w:rPr>
        <w:t>年</w:t>
      </w:r>
      <w:r>
        <w:rPr>
          <w:rFonts w:hint="eastAsia" w:ascii="宋体" w:hAnsi="宋体" w:cs="宋体"/>
          <w:bCs/>
          <w:sz w:val="24"/>
          <w:highlight w:val="none"/>
          <w:u w:val="single"/>
          <w:lang w:val="en-US" w:eastAsia="zh-CN"/>
        </w:rPr>
        <w:t>04</w:t>
      </w:r>
      <w:r>
        <w:rPr>
          <w:rFonts w:hint="eastAsia" w:ascii="宋体" w:hAnsi="宋体" w:eastAsia="宋体" w:cs="宋体"/>
          <w:bCs/>
          <w:sz w:val="24"/>
          <w:highlight w:val="none"/>
          <w:u w:val="single"/>
        </w:rPr>
        <w:t>月</w:t>
      </w:r>
      <w:r>
        <w:rPr>
          <w:rFonts w:hint="eastAsia" w:ascii="宋体" w:hAnsi="宋体" w:cs="宋体"/>
          <w:bCs/>
          <w:sz w:val="24"/>
          <w:highlight w:val="none"/>
          <w:u w:val="single"/>
          <w:lang w:val="en-US" w:eastAsia="zh-CN"/>
        </w:rPr>
        <w:t>24</w:t>
      </w:r>
      <w:r>
        <w:rPr>
          <w:rFonts w:hint="eastAsia" w:ascii="宋体" w:hAnsi="宋体" w:eastAsia="宋体" w:cs="宋体"/>
          <w:bCs/>
          <w:sz w:val="24"/>
          <w:highlight w:val="none"/>
          <w:u w:val="single"/>
        </w:rPr>
        <w:t>日</w:t>
      </w:r>
      <w:r>
        <w:rPr>
          <w:rFonts w:hint="eastAsia" w:ascii="宋体" w:hAnsi="宋体" w:cs="宋体"/>
          <w:bCs/>
          <w:sz w:val="24"/>
          <w:highlight w:val="none"/>
          <w:u w:val="single"/>
          <w:lang w:val="en-US" w:eastAsia="zh-CN"/>
        </w:rPr>
        <w:t>13</w:t>
      </w:r>
      <w:r>
        <w:rPr>
          <w:rFonts w:hint="eastAsia" w:ascii="宋体" w:hAnsi="宋体" w:eastAsia="宋体" w:cs="宋体"/>
          <w:bCs/>
          <w:sz w:val="24"/>
          <w:highlight w:val="none"/>
          <w:u w:val="single"/>
        </w:rPr>
        <w:t>点</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u w:val="single"/>
        </w:rPr>
        <w:t>分00秒</w:t>
      </w:r>
      <w:r>
        <w:rPr>
          <w:rFonts w:hint="eastAsia" w:ascii="宋体" w:hAnsi="宋体" w:eastAsia="宋体" w:cs="宋体"/>
          <w:bCs/>
          <w:sz w:val="24"/>
          <w:highlight w:val="none"/>
        </w:rPr>
        <w:t>（北京时间）前提交响应文件</w:t>
      </w:r>
      <w:r>
        <w:rPr>
          <w:rFonts w:hint="eastAsia" w:ascii="宋体" w:hAnsi="宋体" w:eastAsia="宋体" w:cs="宋体"/>
          <w:sz w:val="24"/>
          <w:highlight w:val="none"/>
        </w:rPr>
        <w:t>。</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10" w:name="_Toc35393798"/>
      <w:bookmarkStart w:id="11" w:name="_Toc35393629"/>
      <w:bookmarkStart w:id="12" w:name="_Toc28359012"/>
      <w:bookmarkStart w:id="13" w:name="_Toc28359089"/>
      <w:r>
        <w:rPr>
          <w:rFonts w:hint="eastAsia" w:ascii="宋体" w:hAnsi="宋体" w:eastAsia="宋体" w:cs="宋体"/>
          <w:sz w:val="24"/>
          <w:szCs w:val="24"/>
          <w:highlight w:val="none"/>
        </w:rPr>
        <w:t>一、项目基本情况</w:t>
      </w:r>
      <w:bookmarkEnd w:id="10"/>
      <w:bookmarkEnd w:id="11"/>
      <w:bookmarkEnd w:id="12"/>
      <w:bookmarkEnd w:id="13"/>
    </w:p>
    <w:p>
      <w:pPr>
        <w:kinsoku/>
        <w:wordWrap/>
        <w:overflowPunct/>
        <w:topLinePunct w:val="0"/>
        <w:bidi w:val="0"/>
        <w:spacing w:line="360" w:lineRule="auto"/>
        <w:ind w:firstLine="482" w:firstLineChars="200"/>
        <w:outlineLvl w:val="9"/>
        <w:rPr>
          <w:rFonts w:hint="eastAsia" w:ascii="宋体" w:hAnsi="宋体" w:eastAsia="宋体" w:cs="宋体"/>
          <w:sz w:val="24"/>
          <w:highlight w:val="none"/>
          <w:lang w:eastAsia="zh-CN"/>
        </w:rPr>
      </w:pPr>
      <w:r>
        <w:rPr>
          <w:rFonts w:hint="eastAsia" w:ascii="宋体" w:hAnsi="宋体" w:eastAsia="宋体" w:cs="宋体"/>
          <w:b/>
          <w:sz w:val="24"/>
          <w:highlight w:val="none"/>
        </w:rPr>
        <w:t>项目编号：</w:t>
      </w:r>
      <w:r>
        <w:rPr>
          <w:rFonts w:hint="eastAsia" w:ascii="宋体" w:hAnsi="宋体" w:cs="宋体"/>
          <w:sz w:val="24"/>
          <w:highlight w:val="none"/>
          <w:lang w:eastAsia="zh-CN"/>
        </w:rPr>
        <w:t>CBNB-20246170G</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u w:val="single"/>
          <w:lang w:eastAsia="zh-CN"/>
        </w:rPr>
      </w:pPr>
      <w:r>
        <w:rPr>
          <w:rFonts w:hint="eastAsia" w:ascii="宋体" w:hAnsi="宋体" w:eastAsia="宋体" w:cs="宋体"/>
          <w:b/>
          <w:sz w:val="24"/>
          <w:highlight w:val="none"/>
        </w:rPr>
        <w:t>项目名称：</w:t>
      </w:r>
      <w:r>
        <w:rPr>
          <w:rFonts w:hint="eastAsia" w:ascii="宋体" w:hAnsi="宋体" w:cs="宋体"/>
          <w:sz w:val="24"/>
          <w:highlight w:val="none"/>
          <w:lang w:eastAsia="zh-CN"/>
        </w:rPr>
        <w:t>宁海县气象局风廓线雷达配套设施建设项目</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sz w:val="24"/>
          <w:highlight w:val="none"/>
        </w:rPr>
        <w:t>采购方式：</w:t>
      </w:r>
      <w:r>
        <w:rPr>
          <w:rFonts w:hint="eastAsia" w:ascii="宋体" w:hAnsi="宋体" w:eastAsia="宋体" w:cs="宋体"/>
          <w:sz w:val="24"/>
          <w:highlight w:val="none"/>
        </w:rPr>
        <w:t>竞争性磋商</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eastAsia="宋体" w:cs="宋体"/>
          <w:b w:val="0"/>
          <w:bCs/>
          <w:sz w:val="24"/>
          <w:highlight w:val="none"/>
        </w:rPr>
        <w:t>700000</w:t>
      </w:r>
      <w:r>
        <w:rPr>
          <w:rFonts w:hint="eastAsia" w:ascii="宋体" w:hAnsi="宋体" w:eastAsia="宋体" w:cs="宋体"/>
          <w:sz w:val="24"/>
          <w:highlight w:val="none"/>
          <w:lang w:val="en-US" w:eastAsia="zh-CN"/>
        </w:rPr>
        <w:t>.00</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b w:val="0"/>
          <w:bCs/>
          <w:sz w:val="24"/>
          <w:highlight w:val="none"/>
        </w:rPr>
        <w:t>700000</w:t>
      </w:r>
      <w:r>
        <w:rPr>
          <w:rFonts w:hint="eastAsia" w:ascii="宋体" w:hAnsi="宋体" w:eastAsia="宋体" w:cs="宋体"/>
          <w:sz w:val="24"/>
          <w:highlight w:val="none"/>
          <w:lang w:val="en-US" w:eastAsia="zh-CN"/>
        </w:rPr>
        <w:t>.00</w:t>
      </w:r>
    </w:p>
    <w:p>
      <w:pPr>
        <w:kinsoku/>
        <w:wordWrap/>
        <w:overflowPunct/>
        <w:topLinePunct w:val="0"/>
        <w:bidi w:val="0"/>
        <w:spacing w:line="36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采购需求：</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标项</w:t>
      </w:r>
      <w:r>
        <w:rPr>
          <w:rFonts w:hint="eastAsia" w:ascii="宋体" w:hAnsi="宋体" w:eastAsia="宋体" w:cs="宋体"/>
          <w:b/>
          <w:sz w:val="24"/>
          <w:highlight w:val="none"/>
          <w:lang w:val="en-US" w:eastAsia="zh-CN"/>
        </w:rPr>
        <w:t>一</w:t>
      </w:r>
      <w:r>
        <w:rPr>
          <w:rFonts w:hint="eastAsia" w:ascii="宋体" w:hAnsi="宋体" w:eastAsia="宋体" w:cs="宋体"/>
          <w:b/>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outlineLvl w:val="9"/>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eastAsia="zh-CN"/>
        </w:rPr>
        <w:t>标项名称：</w:t>
      </w:r>
      <w:r>
        <w:rPr>
          <w:rFonts w:hint="eastAsia" w:ascii="宋体" w:hAnsi="宋体" w:cs="宋体"/>
          <w:bCs/>
          <w:sz w:val="24"/>
          <w:highlight w:val="none"/>
          <w:lang w:val="zh-TW" w:eastAsia="zh-CN"/>
        </w:rPr>
        <w:t>风廓线雷达配套设施建设</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outlineLvl w:val="9"/>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eastAsia="zh-CN"/>
        </w:rPr>
        <w:t>数量：</w:t>
      </w:r>
      <w:r>
        <w:rPr>
          <w:rFonts w:hint="eastAsia" w:ascii="宋体" w:hAnsi="宋体" w:eastAsia="宋体" w:cs="宋体"/>
          <w:bCs/>
          <w:sz w:val="24"/>
          <w:highlight w:val="none"/>
          <w:lang w:val="en-US" w:eastAsia="zh-CN"/>
        </w:rPr>
        <w:t>1批</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outlineLvl w:val="9"/>
        <w:rPr>
          <w:rFonts w:hint="eastAsia" w:ascii="宋体" w:hAnsi="宋体" w:eastAsia="宋体" w:cs="宋体"/>
          <w:sz w:val="24"/>
          <w:highlight w:val="none"/>
          <w:lang w:val="en-US" w:eastAsia="zh-CN"/>
        </w:rPr>
      </w:pPr>
      <w:r>
        <w:rPr>
          <w:rFonts w:hint="eastAsia" w:ascii="宋体" w:hAnsi="宋体" w:eastAsia="宋体" w:cs="宋体"/>
          <w:bCs/>
          <w:sz w:val="24"/>
          <w:highlight w:val="none"/>
          <w:lang w:eastAsia="zh-CN"/>
        </w:rPr>
        <w:t>预算金额（元）</w:t>
      </w:r>
      <w:r>
        <w:rPr>
          <w:rFonts w:hint="eastAsia" w:ascii="宋体" w:hAnsi="宋体" w:eastAsia="宋体" w:cs="宋体"/>
          <w:sz w:val="24"/>
          <w:highlight w:val="none"/>
          <w:lang w:val="en-US" w:eastAsia="zh-CN"/>
        </w:rPr>
        <w:t>:700000.00</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outlineLvl w:val="9"/>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简要规格描述或项目基本概况介绍、用途：</w:t>
      </w:r>
      <w:r>
        <w:rPr>
          <w:rFonts w:hint="eastAsia" w:ascii="宋体" w:hAnsi="宋体" w:eastAsia="宋体" w:cs="宋体"/>
          <w:bCs/>
          <w:sz w:val="24"/>
          <w:highlight w:val="none"/>
          <w:lang w:val="en-US" w:eastAsia="zh-CN"/>
        </w:rPr>
        <w:t>具体以</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lang w:val="en-US" w:eastAsia="zh-CN"/>
        </w:rPr>
        <w:t>第四部分采购需求为准，供应商可点击本公告下方“浏览采购文件”查看采购需求。</w:t>
      </w:r>
    </w:p>
    <w:p>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outlineLvl w:val="9"/>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备注：</w:t>
      </w:r>
      <w:r>
        <w:rPr>
          <w:rFonts w:hint="eastAsia" w:ascii="宋体" w:hAnsi="宋体" w:cs="宋体"/>
          <w:bCs/>
          <w:sz w:val="24"/>
          <w:highlight w:val="none"/>
          <w:lang w:val="en-US" w:eastAsia="zh-CN"/>
        </w:rPr>
        <w:t>如为联合体投标，组成联合体的成员数量不超过2个</w:t>
      </w:r>
      <w:r>
        <w:rPr>
          <w:rFonts w:hint="eastAsia" w:ascii="宋体" w:hAnsi="宋体" w:eastAsia="宋体" w:cs="宋体"/>
          <w:bCs/>
          <w:sz w:val="24"/>
          <w:highlight w:val="none"/>
          <w:lang w:eastAsia="zh-CN"/>
        </w:rPr>
        <w:t>。</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u w:val="single"/>
          <w:lang w:val="en-US"/>
        </w:rPr>
      </w:pPr>
      <w:r>
        <w:rPr>
          <w:rFonts w:hint="eastAsia" w:ascii="宋体" w:hAnsi="宋体" w:eastAsia="宋体" w:cs="宋体"/>
          <w:b/>
          <w:sz w:val="24"/>
          <w:highlight w:val="none"/>
          <w:lang w:eastAsia="zh-CN"/>
        </w:rPr>
        <w:t>合同履约期限</w:t>
      </w:r>
      <w:r>
        <w:rPr>
          <w:rFonts w:hint="eastAsia" w:ascii="宋体" w:hAnsi="宋体" w:eastAsia="宋体" w:cs="宋体"/>
          <w:sz w:val="24"/>
          <w:highlight w:val="none"/>
        </w:rPr>
        <w:t>：合同签订并生效之日起4个月内完成交货、进场安装、调试。满足采购人使用要求，并正常试运行1个月后通过验收。</w:t>
      </w:r>
    </w:p>
    <w:p>
      <w:pPr>
        <w:kinsoku/>
        <w:wordWrap/>
        <w:overflowPunct/>
        <w:topLinePunct w:val="0"/>
        <w:bidi w:val="0"/>
        <w:spacing w:line="36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本项目接受联合体投标：</w:t>
      </w:r>
      <w:sdt>
        <w:sdtPr>
          <w:rPr>
            <w:rFonts w:hint="eastAsia" w:ascii="宋体" w:hAnsi="宋体" w:eastAsia="宋体" w:cs="宋体"/>
            <w:b/>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sz w:val="24"/>
            <w:highlight w:val="none"/>
          </w:rPr>
        </w:sdtEndPr>
        <w:sdtContent>
          <w:r>
            <w:rPr>
              <w:rFonts w:hint="eastAsia" w:ascii="Wingdings" w:hAnsi="Wingdings" w:eastAsia="宋体" w:cs="宋体"/>
              <w:b/>
              <w:kern w:val="2"/>
              <w:sz w:val="24"/>
              <w:szCs w:val="24"/>
              <w:highlight w:val="none"/>
              <w:lang w:val="en-US" w:eastAsia="zh-CN" w:bidi="ar-SA"/>
            </w:rPr>
            <w:t>þ</w:t>
          </w:r>
        </w:sdtContent>
      </w:sdt>
      <w:r>
        <w:rPr>
          <w:rFonts w:hint="eastAsia" w:ascii="宋体" w:hAnsi="宋体" w:eastAsia="宋体" w:cs="宋体"/>
          <w:b/>
          <w:sz w:val="24"/>
          <w:highlight w:val="none"/>
        </w:rPr>
        <w:t>是，</w:t>
      </w:r>
      <w:sdt>
        <w:sdtPr>
          <w:rPr>
            <w:rFonts w:hint="eastAsia" w:ascii="宋体" w:hAnsi="宋体" w:eastAsia="宋体" w:cs="宋体"/>
            <w:b/>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sz w:val="24"/>
            <w:highlight w:val="none"/>
          </w:rPr>
        </w:sdtEndPr>
        <w:sdtContent>
          <w:r>
            <w:rPr>
              <w:rFonts w:hint="eastAsia" w:ascii="MS Gothic" w:hAnsi="MS Gothic" w:eastAsia="宋体" w:cs="宋体"/>
              <w:b/>
              <w:kern w:val="2"/>
              <w:sz w:val="24"/>
              <w:szCs w:val="24"/>
              <w:highlight w:val="none"/>
              <w:lang w:val="en-US" w:eastAsia="zh-CN" w:bidi="ar-SA"/>
            </w:rPr>
            <w:t>☐</w:t>
          </w:r>
        </w:sdtContent>
      </w:sdt>
      <w:r>
        <w:rPr>
          <w:rFonts w:hint="eastAsia" w:ascii="宋体" w:hAnsi="宋体" w:eastAsia="宋体" w:cs="宋体"/>
          <w:b/>
          <w:sz w:val="24"/>
          <w:highlight w:val="none"/>
        </w:rPr>
        <w:t>否。</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bookmarkStart w:id="14" w:name="_Toc28359090"/>
      <w:bookmarkStart w:id="15" w:name="_Toc35393630"/>
      <w:bookmarkStart w:id="16" w:name="_Toc28359013"/>
      <w:bookmarkStart w:id="17" w:name="_Toc35393799"/>
      <w:r>
        <w:rPr>
          <w:rFonts w:hint="eastAsia" w:ascii="宋体" w:hAnsi="宋体" w:eastAsia="宋体" w:cs="宋体"/>
          <w:sz w:val="24"/>
          <w:highlight w:val="none"/>
        </w:rPr>
        <w:t>二、申请人的资格要求：</w:t>
      </w:r>
      <w:bookmarkEnd w:id="14"/>
      <w:bookmarkEnd w:id="15"/>
      <w:bookmarkEnd w:id="16"/>
      <w:bookmarkEnd w:id="17"/>
    </w:p>
    <w:p>
      <w:pPr>
        <w:kinsoku/>
        <w:wordWrap/>
        <w:overflowPunct/>
        <w:topLinePunct w:val="0"/>
        <w:bidi w:val="0"/>
        <w:spacing w:line="360" w:lineRule="auto"/>
        <w:ind w:firstLine="480"/>
        <w:outlineLvl w:val="9"/>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wordWrap/>
        <w:overflowPunct/>
        <w:topLinePunct w:val="0"/>
        <w:bidi w:val="0"/>
        <w:spacing w:line="360" w:lineRule="auto"/>
        <w:ind w:firstLine="480"/>
        <w:outlineLvl w:val="9"/>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以联合体形式响应的，提供联合协议；</w:t>
      </w:r>
    </w:p>
    <w:p>
      <w:pPr>
        <w:kinsoku/>
        <w:wordWrap/>
        <w:overflowPunct/>
        <w:topLinePunct w:val="0"/>
        <w:bidi w:val="0"/>
        <w:spacing w:line="360" w:lineRule="auto"/>
        <w:ind w:firstLine="480" w:firstLineChars="200"/>
        <w:outlineLvl w:val="9"/>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无；</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kinsoku/>
        <w:wordWrap/>
        <w:overflowPunct/>
        <w:topLinePunct w:val="0"/>
        <w:bidi w:val="0"/>
        <w:spacing w:line="360" w:lineRule="auto"/>
        <w:ind w:firstLine="897" w:firstLineChars="374"/>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货物全部由符合政策要求的中小企业制造，提供中小企业声明函；</w:t>
      </w:r>
    </w:p>
    <w:p>
      <w:pPr>
        <w:kinsoku/>
        <w:wordWrap/>
        <w:overflowPunct/>
        <w:topLinePunct w:val="0"/>
        <w:bidi w:val="0"/>
        <w:spacing w:line="360" w:lineRule="auto"/>
        <w:ind w:firstLine="897" w:firstLineChars="374"/>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pPr>
        <w:kinsoku/>
        <w:wordWrap/>
        <w:overflowPunct/>
        <w:topLinePunct w:val="0"/>
        <w:bidi w:val="0"/>
        <w:spacing w:line="360" w:lineRule="auto"/>
        <w:ind w:firstLine="897" w:firstLineChars="374"/>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highlight w:val="none"/>
        </w:rPr>
        <w:t>；</w:t>
      </w:r>
    </w:p>
    <w:p>
      <w:pPr>
        <w:kinsoku/>
        <w:wordWrap/>
        <w:overflowPunct/>
        <w:topLinePunct w:val="0"/>
        <w:bidi w:val="0"/>
        <w:spacing w:line="360" w:lineRule="auto"/>
        <w:ind w:firstLine="897" w:firstLineChars="374"/>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要求合同分包，提供分包意向协议和中小企业声明函，分包意向协议中中小企业合同金额应当达到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4.本项目的特定资格要求：无；</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sz w:val="24"/>
          <w:highlight w:val="none"/>
          <w:lang w:val="en-US" w:eastAsia="zh-CN"/>
        </w:rPr>
        <w:t>人</w:t>
      </w:r>
      <w:r>
        <w:rPr>
          <w:rFonts w:hint="eastAsia" w:ascii="宋体" w:hAnsi="宋体" w:eastAsia="宋体" w:cs="宋体"/>
          <w:sz w:val="24"/>
          <w:highlight w:val="none"/>
        </w:rPr>
        <w:t>将依法取消其中标资格）</w:t>
      </w:r>
      <w:r>
        <w:rPr>
          <w:rFonts w:hint="eastAsia" w:ascii="宋体" w:hAnsi="宋体" w:eastAsia="宋体" w:cs="宋体"/>
          <w:sz w:val="24"/>
          <w:highlight w:val="none"/>
          <w:lang w:eastAsia="zh-CN"/>
        </w:rPr>
        <w:t>；</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bookmarkStart w:id="18" w:name="_Toc28359091"/>
      <w:bookmarkStart w:id="19" w:name="_Toc28359014"/>
      <w:bookmarkStart w:id="20" w:name="_Toc35393800"/>
      <w:bookmarkStart w:id="21" w:name="_Toc35393631"/>
      <w:r>
        <w:rPr>
          <w:rFonts w:hint="eastAsia" w:ascii="宋体" w:hAnsi="宋体" w:eastAsia="宋体" w:cs="宋体"/>
          <w:sz w:val="24"/>
          <w:highlight w:val="none"/>
        </w:rPr>
        <w:t>三、获取（下载）采购文件</w:t>
      </w:r>
      <w:bookmarkEnd w:id="18"/>
      <w:bookmarkEnd w:id="19"/>
      <w:bookmarkEnd w:id="20"/>
      <w:bookmarkEnd w:id="21"/>
    </w:p>
    <w:p>
      <w:pPr>
        <w:kinsoku/>
        <w:wordWrap/>
        <w:overflowPunct/>
        <w:topLinePunct w:val="0"/>
        <w:bidi w:val="0"/>
        <w:spacing w:line="360" w:lineRule="auto"/>
        <w:ind w:firstLine="540"/>
        <w:outlineLvl w:val="9"/>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cs="宋体"/>
          <w:sz w:val="24"/>
          <w:highlight w:val="none"/>
          <w:lang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04</w:t>
      </w:r>
      <w:r>
        <w:rPr>
          <w:rFonts w:hint="eastAsia" w:ascii="宋体" w:hAnsi="宋体" w:eastAsia="宋体" w:cs="宋体"/>
          <w:sz w:val="24"/>
          <w:highlight w:val="none"/>
        </w:rPr>
        <w:t>月</w:t>
      </w:r>
      <w:r>
        <w:rPr>
          <w:rFonts w:hint="eastAsia" w:ascii="宋体" w:hAnsi="宋体" w:cs="宋体"/>
          <w:sz w:val="24"/>
          <w:highlight w:val="none"/>
          <w:lang w:val="en-US" w:eastAsia="zh-CN"/>
        </w:rPr>
        <w:t>10</w:t>
      </w:r>
      <w:r>
        <w:rPr>
          <w:rFonts w:hint="eastAsia" w:ascii="宋体" w:hAnsi="宋体" w:eastAsia="宋体" w:cs="宋体"/>
          <w:sz w:val="24"/>
          <w:highlight w:val="none"/>
        </w:rPr>
        <w:t>日至</w:t>
      </w:r>
      <w:r>
        <w:rPr>
          <w:rFonts w:hint="eastAsia" w:ascii="宋体" w:hAnsi="宋体" w:cs="宋体"/>
          <w:sz w:val="24"/>
          <w:highlight w:val="none"/>
          <w:lang w:eastAsia="zh-CN"/>
        </w:rPr>
        <w:t>2024</w:t>
      </w:r>
      <w:r>
        <w:rPr>
          <w:rFonts w:hint="eastAsia" w:ascii="宋体" w:hAnsi="宋体" w:eastAsia="宋体" w:cs="宋体"/>
          <w:sz w:val="24"/>
          <w:highlight w:val="none"/>
        </w:rPr>
        <w:t>年</w:t>
      </w:r>
      <w:r>
        <w:rPr>
          <w:rFonts w:hint="eastAsia" w:ascii="宋体" w:hAnsi="宋体" w:cs="宋体"/>
          <w:sz w:val="24"/>
          <w:highlight w:val="none"/>
          <w:lang w:val="en-US" w:eastAsia="zh-CN"/>
        </w:rPr>
        <w:t>04</w:t>
      </w:r>
      <w:r>
        <w:rPr>
          <w:rFonts w:hint="eastAsia" w:ascii="宋体" w:hAnsi="宋体" w:eastAsia="宋体" w:cs="宋体"/>
          <w:sz w:val="24"/>
          <w:highlight w:val="none"/>
        </w:rPr>
        <w:t>月</w:t>
      </w:r>
      <w:r>
        <w:rPr>
          <w:rFonts w:hint="eastAsia" w:ascii="宋体" w:hAnsi="宋体" w:cs="宋体"/>
          <w:sz w:val="24"/>
          <w:highlight w:val="none"/>
          <w:lang w:val="en-US" w:eastAsia="zh-CN"/>
        </w:rPr>
        <w:t>18</w:t>
      </w:r>
      <w:r>
        <w:rPr>
          <w:rFonts w:hint="eastAsia" w:ascii="宋体" w:hAnsi="宋体" w:eastAsia="宋体" w:cs="宋体"/>
          <w:sz w:val="24"/>
          <w:highlight w:val="none"/>
        </w:rPr>
        <w:t>日，每天上午00:00至12:00 ，下午12:00至23:59（北京时间，线上获取法定节假日均可，线下获取文件法定节假日除外）</w:t>
      </w:r>
    </w:p>
    <w:p>
      <w:pPr>
        <w:kinsoku/>
        <w:wordWrap/>
        <w:overflowPunct/>
        <w:topLinePunct w:val="0"/>
        <w:bidi w:val="0"/>
        <w:spacing w:line="360" w:lineRule="auto"/>
        <w:ind w:firstLine="540"/>
        <w:outlineLvl w:val="9"/>
        <w:rPr>
          <w:rFonts w:hint="eastAsia" w:ascii="宋体" w:hAnsi="宋体" w:eastAsia="宋体" w:cs="宋体"/>
          <w:b w:val="0"/>
          <w:bCs/>
          <w:sz w:val="28"/>
          <w:szCs w:val="28"/>
          <w:highlight w:val="none"/>
          <w:u w:val="single"/>
        </w:rPr>
      </w:pPr>
      <w:r>
        <w:rPr>
          <w:rFonts w:hint="eastAsia" w:ascii="宋体" w:hAnsi="宋体" w:eastAsia="宋体" w:cs="宋体"/>
          <w:b/>
          <w:sz w:val="24"/>
          <w:highlight w:val="none"/>
        </w:rPr>
        <w:t>地点（网址）：</w:t>
      </w:r>
      <w:r>
        <w:rPr>
          <w:rFonts w:hint="eastAsia" w:ascii="宋体" w:hAnsi="宋体" w:eastAsia="宋体" w:cs="宋体"/>
          <w:b w:val="0"/>
          <w:bCs/>
          <w:sz w:val="24"/>
          <w:highlight w:val="none"/>
        </w:rPr>
        <w:t>政采云平台（</w:t>
      </w:r>
      <w:r>
        <w:rPr>
          <w:rFonts w:hint="eastAsia" w:ascii="宋体" w:hAnsi="宋体" w:eastAsia="宋体" w:cs="宋体"/>
          <w:b w:val="0"/>
          <w:bCs/>
          <w:highlight w:val="none"/>
        </w:rPr>
        <w:fldChar w:fldCharType="begin"/>
      </w:r>
      <w:r>
        <w:rPr>
          <w:rFonts w:hint="eastAsia" w:ascii="宋体" w:hAnsi="宋体" w:eastAsia="宋体" w:cs="宋体"/>
          <w:b w:val="0"/>
          <w:bCs/>
          <w:highlight w:val="none"/>
        </w:rPr>
        <w:instrText xml:space="preserve"> HYPERLINK "https://www.zcygov.cn/" </w:instrText>
      </w:r>
      <w:r>
        <w:rPr>
          <w:rFonts w:hint="eastAsia" w:ascii="宋体" w:hAnsi="宋体" w:eastAsia="宋体" w:cs="宋体"/>
          <w:b w:val="0"/>
          <w:bCs/>
          <w:highlight w:val="none"/>
        </w:rPr>
        <w:fldChar w:fldCharType="separate"/>
      </w:r>
      <w:r>
        <w:rPr>
          <w:rStyle w:val="68"/>
          <w:rFonts w:hint="eastAsia" w:ascii="宋体" w:hAnsi="宋体" w:eastAsia="宋体" w:cs="宋体"/>
          <w:b w:val="0"/>
          <w:bCs/>
          <w:color w:val="auto"/>
          <w:sz w:val="24"/>
          <w:highlight w:val="none"/>
        </w:rPr>
        <w:t>https://www.zcygov.cn/</w:t>
      </w:r>
      <w:r>
        <w:rPr>
          <w:rStyle w:val="68"/>
          <w:rFonts w:hint="eastAsia" w:ascii="宋体" w:hAnsi="宋体" w:eastAsia="宋体" w:cs="宋体"/>
          <w:b w:val="0"/>
          <w:bCs/>
          <w:color w:val="auto"/>
          <w:sz w:val="24"/>
          <w:highlight w:val="none"/>
        </w:rPr>
        <w:fldChar w:fldCharType="end"/>
      </w:r>
      <w:r>
        <w:rPr>
          <w:rFonts w:hint="eastAsia" w:ascii="宋体" w:hAnsi="宋体" w:eastAsia="宋体" w:cs="宋体"/>
          <w:b w:val="0"/>
          <w:bCs/>
          <w:sz w:val="24"/>
          <w:highlight w:val="none"/>
        </w:rPr>
        <w:t>）</w:t>
      </w:r>
    </w:p>
    <w:p>
      <w:pPr>
        <w:kinsoku/>
        <w:wordWrap/>
        <w:overflowPunct/>
        <w:topLinePunct w:val="0"/>
        <w:bidi w:val="0"/>
        <w:spacing w:line="360" w:lineRule="auto"/>
        <w:ind w:firstLine="540"/>
        <w:outlineLvl w:val="9"/>
        <w:rPr>
          <w:rFonts w:hint="eastAsia"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pPr>
        <w:kinsoku/>
        <w:wordWrap/>
        <w:overflowPunct/>
        <w:topLinePunct w:val="0"/>
        <w:bidi w:val="0"/>
        <w:spacing w:line="360" w:lineRule="auto"/>
        <w:ind w:firstLine="540"/>
        <w:outlineLvl w:val="9"/>
        <w:rPr>
          <w:rFonts w:hint="eastAsia"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eastAsia="宋体" w:cs="宋体"/>
          <w:sz w:val="24"/>
          <w:highlight w:val="none"/>
        </w:rPr>
        <w:t>免费。</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22" w:name="_Toc35393632"/>
      <w:bookmarkStart w:id="23" w:name="_Toc28359015"/>
      <w:bookmarkStart w:id="24" w:name="_Toc28359092"/>
      <w:bookmarkStart w:id="25" w:name="_Toc35393801"/>
      <w:r>
        <w:rPr>
          <w:rFonts w:hint="eastAsia" w:ascii="宋体" w:hAnsi="宋体" w:eastAsia="宋体" w:cs="宋体"/>
          <w:sz w:val="24"/>
          <w:szCs w:val="24"/>
          <w:highlight w:val="none"/>
        </w:rPr>
        <w:t>四、响应文件提交</w:t>
      </w:r>
      <w:bookmarkEnd w:id="22"/>
      <w:bookmarkEnd w:id="23"/>
      <w:bookmarkEnd w:id="24"/>
      <w:bookmarkEnd w:id="25"/>
      <w:r>
        <w:rPr>
          <w:rFonts w:hint="eastAsia" w:ascii="宋体" w:hAnsi="宋体" w:eastAsia="宋体" w:cs="宋体"/>
          <w:sz w:val="24"/>
          <w:szCs w:val="24"/>
          <w:highlight w:val="none"/>
        </w:rPr>
        <w:t>（上传）</w:t>
      </w:r>
    </w:p>
    <w:p>
      <w:pPr>
        <w:kinsoku/>
        <w:wordWrap/>
        <w:overflowPunct/>
        <w:topLinePunct w:val="0"/>
        <w:bidi w:val="0"/>
        <w:spacing w:line="360" w:lineRule="auto"/>
        <w:ind w:firstLine="480" w:firstLineChars="200"/>
        <w:outlineLvl w:val="9"/>
        <w:rPr>
          <w:rFonts w:hint="eastAsia" w:ascii="宋体" w:hAnsi="宋体" w:eastAsia="宋体" w:cs="宋体"/>
          <w:bCs/>
          <w:sz w:val="24"/>
          <w:highlight w:val="none"/>
          <w:u w:val="single"/>
        </w:rPr>
      </w:pPr>
      <w:r>
        <w:rPr>
          <w:rFonts w:hint="eastAsia" w:ascii="宋体" w:hAnsi="宋体" w:eastAsia="宋体" w:cs="宋体"/>
          <w:sz w:val="24"/>
          <w:highlight w:val="none"/>
        </w:rPr>
        <w:t>截止时间：</w:t>
      </w:r>
      <w:r>
        <w:rPr>
          <w:rFonts w:hint="eastAsia" w:ascii="宋体" w:hAnsi="宋体" w:cs="宋体"/>
          <w:sz w:val="24"/>
          <w:highlight w:val="none"/>
          <w:u w:val="single"/>
          <w:lang w:eastAsia="zh-CN"/>
        </w:rPr>
        <w:t>2024</w:t>
      </w:r>
      <w:r>
        <w:rPr>
          <w:rFonts w:hint="eastAsia" w:ascii="宋体" w:hAnsi="宋体" w:eastAsia="宋体" w:cs="宋体"/>
          <w:bCs/>
          <w:sz w:val="24"/>
          <w:highlight w:val="none"/>
          <w:u w:val="single"/>
        </w:rPr>
        <w:t>年</w:t>
      </w:r>
      <w:r>
        <w:rPr>
          <w:rFonts w:hint="eastAsia" w:ascii="宋体" w:hAnsi="宋体" w:cs="宋体"/>
          <w:bCs/>
          <w:sz w:val="24"/>
          <w:highlight w:val="none"/>
          <w:u w:val="single"/>
          <w:lang w:val="en-US" w:eastAsia="zh-CN"/>
        </w:rPr>
        <w:t>04</w:t>
      </w:r>
      <w:r>
        <w:rPr>
          <w:rFonts w:hint="eastAsia" w:ascii="宋体" w:hAnsi="宋体" w:eastAsia="宋体" w:cs="宋体"/>
          <w:bCs/>
          <w:sz w:val="24"/>
          <w:highlight w:val="none"/>
          <w:u w:val="single"/>
        </w:rPr>
        <w:t>月</w:t>
      </w:r>
      <w:r>
        <w:rPr>
          <w:rFonts w:hint="eastAsia" w:ascii="宋体" w:hAnsi="宋体" w:cs="宋体"/>
          <w:bCs/>
          <w:sz w:val="24"/>
          <w:highlight w:val="none"/>
          <w:u w:val="single"/>
          <w:lang w:val="en-US" w:eastAsia="zh-CN"/>
        </w:rPr>
        <w:t>24</w:t>
      </w:r>
      <w:r>
        <w:rPr>
          <w:rFonts w:hint="eastAsia" w:ascii="宋体" w:hAnsi="宋体" w:eastAsia="宋体" w:cs="宋体"/>
          <w:bCs/>
          <w:sz w:val="24"/>
          <w:highlight w:val="none"/>
          <w:u w:val="single"/>
        </w:rPr>
        <w:t>日</w:t>
      </w:r>
      <w:r>
        <w:rPr>
          <w:rFonts w:hint="eastAsia" w:ascii="宋体" w:hAnsi="宋体" w:eastAsia="宋体" w:cs="宋体"/>
          <w:bCs/>
          <w:sz w:val="24"/>
          <w:highlight w:val="none"/>
          <w:u w:val="single"/>
          <w:lang w:val="en-US" w:eastAsia="zh-CN"/>
        </w:rPr>
        <w:t>13</w:t>
      </w:r>
      <w:r>
        <w:rPr>
          <w:rFonts w:hint="eastAsia" w:ascii="宋体" w:hAnsi="宋体" w:eastAsia="宋体" w:cs="宋体"/>
          <w:bCs/>
          <w:sz w:val="24"/>
          <w:highlight w:val="none"/>
          <w:u w:val="single"/>
        </w:rPr>
        <w:t>点</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u w:val="single"/>
        </w:rPr>
        <w:t>分00秒</w:t>
      </w:r>
      <w:r>
        <w:rPr>
          <w:rFonts w:hint="eastAsia" w:ascii="宋体" w:hAnsi="宋体" w:eastAsia="宋体" w:cs="宋体"/>
          <w:bCs/>
          <w:sz w:val="24"/>
          <w:highlight w:val="none"/>
        </w:rPr>
        <w:t>（北京时间）</w:t>
      </w:r>
    </w:p>
    <w:p>
      <w:pPr>
        <w:kinsoku/>
        <w:wordWrap/>
        <w:overflowPunct/>
        <w:topLinePunct w:val="0"/>
        <w:bidi w:val="0"/>
        <w:spacing w:line="360" w:lineRule="auto"/>
        <w:ind w:firstLine="480" w:firstLineChars="200"/>
        <w:outlineLvl w:val="9"/>
        <w:rPr>
          <w:rFonts w:hint="eastAsia" w:ascii="宋体" w:hAnsi="宋体" w:eastAsia="宋体" w:cs="宋体"/>
          <w:bCs/>
          <w:sz w:val="24"/>
          <w:highlight w:val="none"/>
          <w:u w:val="single"/>
        </w:rPr>
      </w:pPr>
      <w:r>
        <w:rPr>
          <w:rFonts w:hint="eastAsia" w:ascii="宋体" w:hAnsi="宋体" w:eastAsia="宋体" w:cs="宋体"/>
          <w:sz w:val="24"/>
          <w:highlight w:val="none"/>
        </w:rPr>
        <w:t>地点：政府采购云平台（http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26" w:name="_Toc28359016"/>
      <w:bookmarkStart w:id="27" w:name="_Toc28359093"/>
      <w:bookmarkStart w:id="28" w:name="_Toc35393802"/>
      <w:bookmarkStart w:id="29" w:name="_Toc35393633"/>
      <w:r>
        <w:rPr>
          <w:rFonts w:hint="eastAsia" w:ascii="宋体" w:hAnsi="宋体" w:eastAsia="宋体" w:cs="宋体"/>
          <w:sz w:val="24"/>
          <w:szCs w:val="24"/>
          <w:highlight w:val="none"/>
        </w:rPr>
        <w:t>五、响应文件开启</w:t>
      </w:r>
      <w:bookmarkEnd w:id="26"/>
      <w:bookmarkEnd w:id="27"/>
      <w:bookmarkEnd w:id="28"/>
      <w:bookmarkEnd w:id="29"/>
    </w:p>
    <w:p>
      <w:pPr>
        <w:kinsoku/>
        <w:wordWrap/>
        <w:overflowPunct/>
        <w:topLinePunct w:val="0"/>
        <w:bidi w:val="0"/>
        <w:spacing w:line="360" w:lineRule="auto"/>
        <w:ind w:firstLine="480" w:firstLineChars="200"/>
        <w:outlineLvl w:val="9"/>
        <w:rPr>
          <w:rFonts w:hint="eastAsia" w:ascii="宋体" w:hAnsi="宋体" w:eastAsia="宋体" w:cs="宋体"/>
          <w:bCs/>
          <w:sz w:val="24"/>
          <w:highlight w:val="none"/>
          <w:u w:val="single"/>
        </w:rPr>
      </w:pPr>
      <w:r>
        <w:rPr>
          <w:rFonts w:hint="eastAsia" w:ascii="宋体" w:hAnsi="宋体" w:eastAsia="宋体" w:cs="宋体"/>
          <w:sz w:val="24"/>
          <w:highlight w:val="none"/>
        </w:rPr>
        <w:t>时间：</w:t>
      </w:r>
      <w:r>
        <w:rPr>
          <w:rFonts w:hint="eastAsia" w:ascii="宋体" w:hAnsi="宋体" w:cs="宋体"/>
          <w:sz w:val="24"/>
          <w:highlight w:val="none"/>
          <w:u w:val="single"/>
          <w:lang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04</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eastAsia="宋体" w:cs="宋体"/>
          <w:sz w:val="24"/>
          <w:highlight w:val="none"/>
          <w:u w:val="single"/>
        </w:rPr>
        <w:t>日</w:t>
      </w:r>
      <w:r>
        <w:rPr>
          <w:rFonts w:hint="eastAsia" w:ascii="宋体" w:hAnsi="宋体" w:eastAsia="宋体" w:cs="宋体"/>
          <w:sz w:val="24"/>
          <w:highlight w:val="none"/>
          <w:u w:val="single"/>
          <w:lang w:val="en-US" w:eastAsia="zh-CN"/>
        </w:rPr>
        <w:t>13</w:t>
      </w:r>
      <w:r>
        <w:rPr>
          <w:rFonts w:hint="eastAsia" w:ascii="宋体" w:hAnsi="宋体" w:eastAsia="宋体" w:cs="宋体"/>
          <w:sz w:val="24"/>
          <w:highlight w:val="none"/>
          <w:u w:val="single"/>
        </w:rPr>
        <w:t>点</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single"/>
        </w:rPr>
        <w:t>分00秒</w:t>
      </w:r>
      <w:r>
        <w:rPr>
          <w:rFonts w:hint="eastAsia" w:ascii="宋体" w:hAnsi="宋体" w:eastAsia="宋体" w:cs="宋体"/>
          <w:bCs/>
          <w:sz w:val="24"/>
          <w:highlight w:val="none"/>
        </w:rPr>
        <w:t>（北京时间）</w:t>
      </w:r>
    </w:p>
    <w:p>
      <w:pPr>
        <w:kinsoku/>
        <w:wordWrap/>
        <w:overflowPunct/>
        <w:topLinePunct w:val="0"/>
        <w:bidi w:val="0"/>
        <w:spacing w:line="360" w:lineRule="auto"/>
        <w:ind w:firstLine="480" w:firstLineChars="200"/>
        <w:outlineLvl w:val="9"/>
        <w:rPr>
          <w:rFonts w:hint="eastAsia" w:ascii="宋体" w:hAnsi="宋体" w:eastAsia="宋体" w:cs="宋体"/>
          <w:bCs/>
          <w:sz w:val="24"/>
          <w:highlight w:val="none"/>
          <w:u w:val="single"/>
        </w:rPr>
      </w:pPr>
      <w:r>
        <w:rPr>
          <w:rFonts w:hint="eastAsia" w:ascii="宋体" w:hAnsi="宋体" w:eastAsia="宋体" w:cs="宋体"/>
          <w:sz w:val="24"/>
          <w:highlight w:val="none"/>
        </w:rPr>
        <w:t>地点：政府采购云平台（http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30" w:name="_Toc28359017"/>
      <w:bookmarkStart w:id="31" w:name="_Toc28359094"/>
      <w:bookmarkStart w:id="32" w:name="_Toc35393634"/>
      <w:bookmarkStart w:id="33" w:name="_Toc35393803"/>
      <w:r>
        <w:rPr>
          <w:rFonts w:hint="eastAsia" w:ascii="宋体" w:hAnsi="宋体" w:eastAsia="宋体" w:cs="宋体"/>
          <w:sz w:val="24"/>
          <w:szCs w:val="24"/>
          <w:highlight w:val="none"/>
        </w:rPr>
        <w:t>六、公告期限</w:t>
      </w:r>
      <w:bookmarkEnd w:id="30"/>
      <w:bookmarkEnd w:id="31"/>
      <w:bookmarkEnd w:id="32"/>
      <w:bookmarkEnd w:id="33"/>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34" w:name="_Toc35393804"/>
      <w:bookmarkStart w:id="35" w:name="_Toc35393635"/>
      <w:r>
        <w:rPr>
          <w:rFonts w:hint="eastAsia" w:ascii="宋体" w:hAnsi="宋体" w:eastAsia="宋体" w:cs="宋体"/>
          <w:sz w:val="24"/>
          <w:szCs w:val="24"/>
          <w:highlight w:val="none"/>
        </w:rPr>
        <w:t>七、其他补充事宜</w:t>
      </w:r>
      <w:bookmarkEnd w:id="34"/>
      <w:bookmarkEnd w:id="35"/>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pacing w:line="360" w:lineRule="auto"/>
        <w:ind w:firstLine="482" w:firstLineChars="200"/>
        <w:outlineLvl w:val="9"/>
        <w:rPr>
          <w:rFonts w:hint="eastAsia" w:ascii="宋体" w:hAnsi="宋体" w:eastAsia="宋体" w:cs="宋体"/>
          <w:b/>
          <w:kern w:val="0"/>
          <w:sz w:val="24"/>
          <w:highlight w:val="none"/>
        </w:rPr>
      </w:pPr>
      <w:r>
        <w:rPr>
          <w:rFonts w:hint="eastAsia" w:ascii="宋体" w:hAnsi="宋体" w:eastAsia="宋体" w:cs="宋体"/>
          <w:b/>
          <w:kern w:val="0"/>
          <w:sz w:val="24"/>
          <w:highlight w:val="none"/>
        </w:rPr>
        <w:t>4. 其他事项：</w:t>
      </w:r>
    </w:p>
    <w:p>
      <w:pPr>
        <w:kinsoku/>
        <w:wordWrap/>
        <w:overflowPunct/>
        <w:topLinePunct w:val="0"/>
        <w:bidi w:val="0"/>
        <w:spacing w:line="360" w:lineRule="auto"/>
        <w:ind w:firstLine="482" w:firstLineChars="200"/>
        <w:outlineLvl w:val="9"/>
        <w:rPr>
          <w:rFonts w:hint="eastAsia" w:ascii="宋体" w:hAnsi="宋体" w:eastAsia="宋体" w:cs="宋体"/>
          <w:kern w:val="0"/>
          <w:sz w:val="24"/>
          <w:highlight w:val="none"/>
        </w:rPr>
      </w:pPr>
      <w:r>
        <w:rPr>
          <w:rFonts w:hint="eastAsia" w:ascii="宋体" w:hAnsi="宋体" w:eastAsia="宋体" w:cs="宋体"/>
          <w:b/>
          <w:kern w:val="0"/>
          <w:sz w:val="24"/>
          <w:highlight w:val="none"/>
        </w:rPr>
        <w:t>（1）需要落实的政府采购政策：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kern w:val="0"/>
          <w:sz w:val="24"/>
          <w:szCs w:val="20"/>
          <w:highlight w:val="none"/>
        </w:rPr>
        <w:t>（2）</w:t>
      </w:r>
      <w:r>
        <w:rPr>
          <w:rFonts w:hint="eastAsia" w:ascii="宋体" w:hAnsi="宋体" w:eastAsia="宋体" w:cs="宋体"/>
          <w:b/>
          <w:sz w:val="24"/>
          <w:highlight w:val="none"/>
        </w:rPr>
        <w:t>电子交易的说明: 1）电子交易：</w:t>
      </w:r>
      <w:r>
        <w:rPr>
          <w:rFonts w:hint="eastAsia" w:ascii="宋体" w:hAnsi="宋体" w:eastAsia="宋体" w:cs="宋体"/>
          <w:sz w:val="24"/>
          <w:highlight w:val="none"/>
        </w:rPr>
        <w:t>本项目以数据电文形式，依托“政府采购云平台（www.zcygov.cn）”进行采购活动，不接受纸质响应文件。</w:t>
      </w:r>
      <w:r>
        <w:rPr>
          <w:rFonts w:hint="eastAsia" w:ascii="宋体" w:hAnsi="宋体" w:eastAsia="宋体" w:cs="宋体"/>
          <w:b/>
          <w:sz w:val="24"/>
          <w:highlight w:val="none"/>
        </w:rPr>
        <w:t>2）响应准备：</w:t>
      </w:r>
      <w:r>
        <w:rPr>
          <w:rFonts w:hint="eastAsia" w:ascii="宋体" w:hAnsi="宋体" w:eastAsia="宋体" w:cs="宋体"/>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highlight w:val="none"/>
        </w:rPr>
        <w:t>3）磋商文件的获取：</w:t>
      </w:r>
      <w:r>
        <w:rPr>
          <w:rFonts w:hint="eastAsia" w:ascii="宋体" w:hAnsi="宋体" w:eastAsia="宋体" w:cs="宋体"/>
          <w:sz w:val="24"/>
          <w:highlight w:val="none"/>
        </w:rPr>
        <w:t>使用账号登录或者使用CA登录政采云平台；进入“项目采购”应用，在获取采购文件菜单中选择项目，获取磋商文件。</w:t>
      </w:r>
      <w:r>
        <w:rPr>
          <w:rFonts w:hint="eastAsia" w:ascii="宋体" w:hAnsi="宋体" w:eastAsia="宋体" w:cs="宋体"/>
          <w:b/>
          <w:sz w:val="24"/>
          <w:highlight w:val="none"/>
        </w:rPr>
        <w:t>4）响应文件的制作：</w:t>
      </w:r>
      <w:r>
        <w:rPr>
          <w:rFonts w:hint="eastAsia" w:ascii="宋体" w:hAnsi="宋体" w:eastAsia="宋体" w:cs="宋体"/>
          <w:sz w:val="24"/>
          <w:highlight w:val="none"/>
        </w:rPr>
        <w:t>在“政采云电子交易客户端”中完成“填写基本信息”、“导入投标文件”、“标书关联”、“标书检查”、“电子签名”、“生成电子标书”等操作。</w:t>
      </w:r>
      <w:r>
        <w:rPr>
          <w:rFonts w:hint="eastAsia" w:ascii="宋体" w:hAnsi="宋体" w:eastAsia="宋体" w:cs="宋体"/>
          <w:b/>
          <w:sz w:val="24"/>
          <w:highlight w:val="none"/>
        </w:rPr>
        <w:t>5）</w:t>
      </w:r>
      <w:r>
        <w:rPr>
          <w:rFonts w:hint="eastAsia" w:ascii="宋体" w:hAnsi="宋体" w:eastAsia="宋体" w:cs="宋体"/>
          <w:sz w:val="24"/>
          <w:highlight w:val="none"/>
        </w:rPr>
        <w:t>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sz w:val="24"/>
          <w:highlight w:val="none"/>
        </w:rPr>
        <w:t>6）</w:t>
      </w:r>
      <w:r>
        <w:rPr>
          <w:rFonts w:hint="eastAsia" w:ascii="宋体" w:hAnsi="宋体" w:eastAsia="宋体" w:cs="宋体"/>
          <w:sz w:val="24"/>
          <w:highlight w:val="none"/>
        </w:rPr>
        <w:t>对未按上述方式获取磋商文件的供应商对该文件提出的质疑，采购人或采购代理机构将不予处理</w:t>
      </w:r>
      <w:r>
        <w:rPr>
          <w:rFonts w:hint="eastAsia" w:ascii="宋体" w:hAnsi="宋体" w:eastAsia="宋体" w:cs="宋体"/>
          <w:b/>
          <w:sz w:val="24"/>
          <w:highlight w:val="none"/>
        </w:rPr>
        <w:t>；7）</w:t>
      </w:r>
      <w:r>
        <w:rPr>
          <w:rFonts w:hint="eastAsia" w:ascii="宋体" w:hAnsi="宋体" w:eastAsia="宋体" w:cs="宋体"/>
          <w:sz w:val="24"/>
          <w:highlight w:val="none"/>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highlight w:val="none"/>
        </w:rPr>
        <w:t>9）响应文件的解密：</w:t>
      </w:r>
      <w:r>
        <w:rPr>
          <w:rFonts w:hint="eastAsia" w:ascii="宋体" w:hAnsi="宋体" w:eastAsia="宋体" w:cs="宋体"/>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highlight w:val="none"/>
        </w:rPr>
        <w:t>）具体操作指南</w:t>
      </w:r>
      <w:r>
        <w:rPr>
          <w:rFonts w:hint="eastAsia" w:ascii="宋体" w:hAnsi="宋体" w:eastAsia="宋体" w:cs="宋体"/>
          <w:sz w:val="24"/>
          <w:highlight w:val="none"/>
        </w:rPr>
        <w:t>：详见政采云平台“服务中心-帮助文档-项目采购-操作流程-电子招投标-政府采购项目电子交易管理操作指南-供应商”。</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磋商文件公告期限与磋商公告的公告期限一致。</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《第一部分  招标公告》中二、申请人的资格要求：第一条中的“重大税收违法案件当事人名单”即为“重大税收违法失信主体”。</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36" w:name="_Toc28359095"/>
      <w:bookmarkStart w:id="37" w:name="_Toc35393805"/>
      <w:bookmarkStart w:id="38" w:name="_Toc28359018"/>
      <w:bookmarkStart w:id="39" w:name="_Toc35393636"/>
      <w:r>
        <w:rPr>
          <w:rFonts w:hint="eastAsia" w:ascii="宋体" w:hAnsi="宋体" w:eastAsia="宋体" w:cs="宋体"/>
          <w:sz w:val="24"/>
          <w:szCs w:val="24"/>
          <w:highlight w:val="none"/>
        </w:rPr>
        <w:t>八、凡对本次采购提出询问</w:t>
      </w:r>
      <w:r>
        <w:rPr>
          <w:rFonts w:hint="eastAsia" w:ascii="宋体" w:hAnsi="宋体" w:eastAsia="宋体" w:cs="宋体"/>
          <w:bCs w:val="0"/>
          <w:sz w:val="24"/>
          <w:szCs w:val="24"/>
          <w:highlight w:val="none"/>
        </w:rPr>
        <w:t>、质疑、投诉</w:t>
      </w:r>
      <w:r>
        <w:rPr>
          <w:rFonts w:hint="eastAsia" w:ascii="宋体" w:hAnsi="宋体" w:eastAsia="宋体" w:cs="宋体"/>
          <w:sz w:val="24"/>
          <w:szCs w:val="24"/>
          <w:highlight w:val="none"/>
        </w:rPr>
        <w:t>，请按以下方式联系</w:t>
      </w:r>
      <w:bookmarkEnd w:id="36"/>
      <w:bookmarkEnd w:id="37"/>
      <w:bookmarkEnd w:id="38"/>
      <w:bookmarkEnd w:id="39"/>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szCs w:val="24"/>
          <w:highlight w:val="none"/>
        </w:rPr>
      </w:pPr>
      <w:bookmarkStart w:id="40" w:name="_Toc28359096"/>
      <w:bookmarkStart w:id="41" w:name="_Toc35393637"/>
      <w:bookmarkStart w:id="42" w:name="_Toc35393806"/>
      <w:bookmarkStart w:id="43" w:name="_Toc28359019"/>
      <w:r>
        <w:rPr>
          <w:rFonts w:hint="eastAsia" w:ascii="宋体" w:hAnsi="宋体" w:eastAsia="宋体" w:cs="宋体"/>
          <w:sz w:val="24"/>
          <w:szCs w:val="24"/>
          <w:highlight w:val="none"/>
        </w:rPr>
        <w:t>1.采购人信息</w:t>
      </w:r>
      <w:bookmarkEnd w:id="40"/>
      <w:bookmarkEnd w:id="41"/>
      <w:bookmarkEnd w:id="42"/>
      <w:bookmarkEnd w:id="43"/>
      <w:r>
        <w:rPr>
          <w:rFonts w:hint="eastAsia" w:ascii="宋体" w:hAnsi="宋体" w:eastAsia="宋体" w:cs="宋体"/>
          <w:sz w:val="24"/>
          <w:szCs w:val="24"/>
          <w:highlight w:val="none"/>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cs="宋体"/>
          <w:sz w:val="24"/>
          <w:highlight w:val="none"/>
          <w:lang w:val="en-US" w:eastAsia="zh-CN"/>
        </w:rPr>
        <w:t>宁海县气象局</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地    址：宁海县金水东路2号</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传    真：</w:t>
      </w:r>
      <w:r>
        <w:rPr>
          <w:rFonts w:hint="eastAsia" w:ascii="宋体" w:hAnsi="宋体" w:eastAsia="宋体" w:cs="宋体"/>
          <w:sz w:val="24"/>
          <w:highlight w:val="none"/>
          <w:lang w:val="en-US" w:eastAsia="zh-CN"/>
        </w:rPr>
        <w:t>/</w:t>
      </w:r>
    </w:p>
    <w:p>
      <w:pPr>
        <w:kinsoku/>
        <w:wordWrap/>
        <w:overflowPunct/>
        <w:topLinePunct w:val="0"/>
        <w:bidi w:val="0"/>
        <w:spacing w:line="360" w:lineRule="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项目联系人（询问）：</w:t>
      </w:r>
      <w:r>
        <w:rPr>
          <w:rFonts w:hint="eastAsia" w:ascii="宋体" w:hAnsi="宋体" w:cs="宋体"/>
          <w:sz w:val="24"/>
          <w:highlight w:val="none"/>
          <w:lang w:val="en-US" w:eastAsia="zh-CN"/>
        </w:rPr>
        <w:t>郁</w:t>
      </w:r>
      <w:r>
        <w:rPr>
          <w:rFonts w:hint="eastAsia" w:ascii="宋体" w:hAnsi="宋体" w:eastAsia="宋体" w:cs="宋体"/>
          <w:sz w:val="24"/>
          <w:highlight w:val="none"/>
          <w:lang w:val="en-US" w:eastAsia="zh-CN"/>
        </w:rPr>
        <w:t>老师</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项目联系方式（询问）：0574-</w:t>
      </w:r>
      <w:r>
        <w:rPr>
          <w:rFonts w:hint="eastAsia" w:ascii="宋体" w:hAnsi="宋体" w:cs="宋体"/>
          <w:sz w:val="24"/>
          <w:highlight w:val="none"/>
        </w:rPr>
        <w:t>59973608</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质疑联系人：</w:t>
      </w:r>
      <w:r>
        <w:rPr>
          <w:rFonts w:hint="eastAsia" w:ascii="宋体" w:hAnsi="宋体" w:cs="宋体"/>
          <w:sz w:val="24"/>
          <w:highlight w:val="none"/>
          <w:lang w:val="en-US" w:eastAsia="zh-CN"/>
        </w:rPr>
        <w:t>周</w:t>
      </w:r>
      <w:r>
        <w:rPr>
          <w:rFonts w:hint="eastAsia" w:ascii="宋体" w:hAnsi="宋体" w:eastAsia="宋体" w:cs="宋体"/>
          <w:sz w:val="24"/>
          <w:highlight w:val="none"/>
          <w:lang w:val="en-US" w:eastAsia="zh-CN"/>
        </w:rPr>
        <w:t>老师</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质疑联系方式：0574-</w:t>
      </w:r>
      <w:r>
        <w:rPr>
          <w:rFonts w:hint="eastAsia" w:ascii="宋体" w:hAnsi="宋体" w:cs="宋体"/>
          <w:sz w:val="24"/>
          <w:highlight w:val="none"/>
          <w:lang w:val="en-US" w:eastAsia="zh-CN"/>
        </w:rPr>
        <w:t>59973605</w:t>
      </w:r>
    </w:p>
    <w:p>
      <w:pPr>
        <w:numPr>
          <w:ilvl w:val="0"/>
          <w:numId w:val="0"/>
        </w:numPr>
        <w:tabs>
          <w:tab w:val="left" w:pos="432"/>
        </w:tabs>
        <w:kinsoku/>
        <w:wordWrap/>
        <w:overflowPunct/>
        <w:topLinePunct w:val="0"/>
        <w:bidi w:val="0"/>
        <w:ind w:left="432" w:hanging="432"/>
        <w:outlineLvl w:val="9"/>
        <w:rPr>
          <w:rFonts w:hint="eastAsia" w:ascii="宋体" w:hAnsi="宋体" w:eastAsia="宋体" w:cs="宋体"/>
          <w:sz w:val="24"/>
          <w:highlight w:val="none"/>
        </w:rPr>
      </w:pPr>
      <w:bookmarkStart w:id="44" w:name="_Toc28359097"/>
      <w:bookmarkStart w:id="45" w:name="_Toc28359020"/>
      <w:bookmarkStart w:id="46" w:name="_Toc35393638"/>
      <w:bookmarkStart w:id="47" w:name="_Toc35393807"/>
      <w:r>
        <w:rPr>
          <w:rFonts w:hint="eastAsia" w:ascii="宋体" w:hAnsi="宋体" w:eastAsia="宋体" w:cs="宋体"/>
          <w:sz w:val="24"/>
          <w:szCs w:val="24"/>
          <w:highlight w:val="none"/>
        </w:rPr>
        <w:t>2.采购代理机构信息</w:t>
      </w:r>
      <w:bookmarkEnd w:id="44"/>
      <w:bookmarkEnd w:id="45"/>
      <w:bookmarkEnd w:id="46"/>
      <w:bookmarkEnd w:id="47"/>
      <w:r>
        <w:rPr>
          <w:rFonts w:hint="eastAsia" w:ascii="宋体" w:hAnsi="宋体" w:eastAsia="宋体" w:cs="宋体"/>
          <w:sz w:val="24"/>
          <w:szCs w:val="24"/>
          <w:highlight w:val="none"/>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宁波中基国际招标有限公司</w:t>
      </w:r>
      <w:r>
        <w:rPr>
          <w:rFonts w:hint="eastAsia" w:ascii="宋体" w:hAnsi="宋体" w:eastAsia="宋体" w:cs="宋体"/>
          <w:sz w:val="24"/>
          <w:highlight w:val="none"/>
        </w:rPr>
        <w:t xml:space="preserve">             </w:t>
      </w:r>
    </w:p>
    <w:p>
      <w:pPr>
        <w:kinsoku/>
        <w:wordWrap/>
        <w:overflowPunct/>
        <w:topLinePunct w:val="0"/>
        <w:bidi w:val="0"/>
        <w:spacing w:line="360" w:lineRule="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val="en-US" w:eastAsia="zh-CN"/>
        </w:rPr>
        <w:t>宁波市鄞州区天童南路666号中基大厦19楼</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eastAsia="宋体" w:cs="宋体"/>
          <w:sz w:val="24"/>
          <w:highlight w:val="none"/>
          <w:lang w:val="en-US" w:eastAsia="zh-CN"/>
        </w:rPr>
        <w:t>0574-87425373</w:t>
      </w:r>
      <w:r>
        <w:rPr>
          <w:rFonts w:hint="eastAsia" w:ascii="宋体" w:hAnsi="宋体" w:eastAsia="宋体" w:cs="宋体"/>
          <w:sz w:val="24"/>
          <w:highlight w:val="none"/>
        </w:rPr>
        <w:t xml:space="preserve">             </w:t>
      </w:r>
    </w:p>
    <w:p>
      <w:pPr>
        <w:kinsoku/>
        <w:wordWrap/>
        <w:overflowPunct/>
        <w:topLinePunct w:val="0"/>
        <w:bidi w:val="0"/>
        <w:spacing w:line="360" w:lineRule="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项目联系人（询问）：周旭坤</w:t>
      </w:r>
      <w:r>
        <w:rPr>
          <w:rFonts w:hint="eastAsia" w:ascii="宋体" w:hAnsi="宋体" w:cs="宋体"/>
          <w:sz w:val="24"/>
          <w:highlight w:val="none"/>
          <w:lang w:val="en-US" w:eastAsia="zh-CN"/>
        </w:rPr>
        <w:t>、葛思颂、孔晖</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项目联系方式（询问）：0574-87426203</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质疑联系人：</w:t>
      </w:r>
      <w:r>
        <w:rPr>
          <w:rFonts w:hint="eastAsia" w:ascii="宋体" w:hAnsi="宋体" w:cs="宋体"/>
          <w:sz w:val="24"/>
        </w:rPr>
        <w:t>王莹巧</w:t>
      </w:r>
    </w:p>
    <w:p>
      <w:pPr>
        <w:kinsoku/>
        <w:wordWrap/>
        <w:overflowPunct/>
        <w:topLinePunct w:val="0"/>
        <w:bidi w:val="0"/>
        <w:spacing w:line="360" w:lineRule="auto"/>
        <w:ind w:firstLine="480" w:firstLineChars="20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质疑联系方式：0574-87425583</w:t>
      </w:r>
    </w:p>
    <w:p>
      <w:pPr>
        <w:kinsoku/>
        <w:wordWrap/>
        <w:overflowPunct/>
        <w:topLinePunct w:val="0"/>
        <w:bidi w:val="0"/>
        <w:spacing w:line="360" w:lineRule="auto"/>
        <w:outlineLvl w:val="9"/>
        <w:rPr>
          <w:rFonts w:hint="eastAsia" w:ascii="宋体" w:hAnsi="宋体" w:eastAsia="宋体" w:cs="宋体"/>
          <w:b/>
          <w:sz w:val="24"/>
          <w:highlight w:val="none"/>
        </w:rPr>
      </w:pPr>
      <w:bookmarkStart w:id="48" w:name="_Toc35393639"/>
      <w:bookmarkStart w:id="49" w:name="_Toc28359021"/>
      <w:bookmarkStart w:id="50" w:name="_Toc28359098"/>
      <w:bookmarkStart w:id="51" w:name="_Toc35393808"/>
      <w:r>
        <w:rPr>
          <w:rFonts w:hint="eastAsia" w:ascii="宋体" w:hAnsi="宋体" w:eastAsia="宋体" w:cs="宋体"/>
          <w:b/>
          <w:bCs/>
          <w:sz w:val="24"/>
          <w:highlight w:val="none"/>
        </w:rPr>
        <w:t>3.</w:t>
      </w:r>
      <w:r>
        <w:rPr>
          <w:rFonts w:hint="eastAsia" w:ascii="宋体" w:hAnsi="宋体" w:eastAsia="宋体" w:cs="宋体"/>
          <w:b/>
          <w:sz w:val="24"/>
          <w:highlight w:val="none"/>
        </w:rPr>
        <w:t xml:space="preserve"> 同级政府采购监督管理部门：            </w:t>
      </w:r>
    </w:p>
    <w:bookmarkEnd w:id="48"/>
    <w:bookmarkEnd w:id="49"/>
    <w:bookmarkEnd w:id="50"/>
    <w:bookmarkEnd w:id="51"/>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名    称：宁海县政府采购管理办公室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地    址：宁海县跃龙街道桃源中路218号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传    真：0574-65265612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联系人 ：王老师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投诉电话：0574-65265668</w:t>
      </w:r>
    </w:p>
    <w:p>
      <w:pPr>
        <w:pStyle w:val="24"/>
        <w:kinsoku/>
        <w:wordWrap/>
        <w:overflowPunct/>
        <w:topLinePunct w:val="0"/>
        <w:bidi w:val="0"/>
        <w:outlineLvl w:val="9"/>
        <w:rPr>
          <w:rFonts w:hint="eastAsia"/>
          <w:highlight w:val="none"/>
        </w:rPr>
      </w:pP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p>
    <w:p>
      <w:pPr>
        <w:kinsoku/>
        <w:wordWrap/>
        <w:overflowPunct/>
        <w:topLinePunct w:val="0"/>
        <w:bidi w:val="0"/>
        <w:adjustRightInd/>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kinsoku/>
        <w:wordWrap/>
        <w:overflowPunct/>
        <w:topLinePunct w:val="0"/>
        <w:bidi w:val="0"/>
        <w:adjustRightInd/>
        <w:spacing w:line="360" w:lineRule="auto"/>
        <w:jc w:val="center"/>
        <w:outlineLvl w:val="9"/>
        <w:rPr>
          <w:rFonts w:hint="eastAsia" w:ascii="宋体" w:hAnsi="宋体" w:eastAsia="宋体" w:cs="宋体"/>
          <w:sz w:val="24"/>
          <w:highlight w:val="none"/>
        </w:rPr>
      </w:pPr>
    </w:p>
    <w:p>
      <w:pPr>
        <w:kinsoku/>
        <w:wordWrap/>
        <w:overflowPunct/>
        <w:topLinePunct w:val="0"/>
        <w:bidi w:val="0"/>
        <w:adjustRightInd/>
        <w:spacing w:line="360" w:lineRule="auto"/>
        <w:jc w:val="center"/>
        <w:outlineLvl w:val="9"/>
        <w:rPr>
          <w:rFonts w:hint="eastAsia" w:ascii="宋体" w:hAnsi="宋体" w:eastAsia="宋体" w:cs="宋体"/>
          <w:sz w:val="24"/>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2"/>
          <w:szCs w:val="20"/>
          <w:highlight w:val="none"/>
        </w:rPr>
      </w:pPr>
      <w:bookmarkStart w:id="52" w:name="_Toc5867"/>
      <w:r>
        <w:rPr>
          <w:rFonts w:hint="eastAsia" w:ascii="宋体" w:hAnsi="宋体" w:eastAsia="宋体" w:cs="宋体"/>
          <w:b/>
          <w:sz w:val="36"/>
          <w:szCs w:val="20"/>
          <w:highlight w:val="none"/>
        </w:rPr>
        <w:t>第二部分 竞争性磋商流程</w:t>
      </w:r>
      <w:bookmarkEnd w:id="52"/>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b/>
          <w:highlight w:val="none"/>
        </w:rPr>
      </w:pPr>
      <w:r>
        <w:rPr>
          <w:rFonts w:hint="eastAsia" w:ascii="宋体" w:hAnsi="宋体" w:eastAsia="宋体" w:cs="宋体"/>
          <w:b/>
          <w:szCs w:val="24"/>
          <w:highlight w:val="none"/>
        </w:rPr>
        <w:t>1.征集供应商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1.1邀请供应商。</w:t>
      </w:r>
    </w:p>
    <w:p>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hint="eastAsia" w:ascii="宋体" w:hAnsi="宋体" w:eastAsia="宋体" w:cs="宋体"/>
          <w:szCs w:val="24"/>
          <w:highlight w:val="none"/>
        </w:rPr>
      </w:pPr>
      <w:r>
        <w:rPr>
          <w:rFonts w:hint="eastAsia" w:ascii="宋体" w:hAnsi="宋体" w:eastAsia="宋体" w:cs="宋体"/>
          <w:b/>
          <w:szCs w:val="24"/>
          <w:highlight w:val="none"/>
        </w:rPr>
        <w:t>采用公告方式邀请供应商的，</w:t>
      </w:r>
      <w:r>
        <w:rPr>
          <w:rFonts w:hint="eastAsia" w:ascii="宋体" w:hAnsi="宋体" w:eastAsia="宋体" w:cs="宋体"/>
          <w:szCs w:val="24"/>
          <w:highlight w:val="none"/>
        </w:rPr>
        <w:t>由采购人、</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在省级以上人民政府财政部门指定的政府采购信息发布媒体上发布磋商公告，邀请符合相应资格条件的供应商参与竞争性磋商采购活动。</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1.2供应商获取磋商文件。</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1.3组织现场考察或召开答疑会（如果有）。</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1.4发布更正（延期）公告，澄清或修改磋商文件（如果有）。</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1.5供应商按磋商文件要求编制响应文件。</w:t>
      </w:r>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b/>
          <w:highlight w:val="none"/>
        </w:rPr>
      </w:pPr>
      <w:r>
        <w:rPr>
          <w:rFonts w:hint="eastAsia" w:ascii="宋体" w:hAnsi="宋体" w:eastAsia="宋体" w:cs="宋体"/>
          <w:b/>
          <w:highlight w:val="none"/>
        </w:rPr>
        <w:t>2.响应文件开启与信用信息查询</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2.1供应商依据“提交响应文件的截止时间与地点”通过政采云平台在线提交响应文件。供应商在提交响应文件的截止时间前，可以补充、修改或撤回响应文件。</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2.2</w:t>
      </w:r>
      <w:r>
        <w:rPr>
          <w:rFonts w:hint="eastAsia" w:ascii="宋体" w:hAnsi="宋体" w:eastAsia="宋体" w:cs="宋体"/>
          <w:kern w:val="0"/>
          <w:szCs w:val="24"/>
          <w:highlight w:val="none"/>
          <w:lang w:eastAsia="zh-CN"/>
        </w:rPr>
        <w:t>采购代理机构</w:t>
      </w:r>
      <w:r>
        <w:rPr>
          <w:rFonts w:hint="eastAsia" w:ascii="宋体" w:hAnsi="宋体" w:eastAsia="宋体" w:cs="宋体"/>
          <w:kern w:val="0"/>
          <w:szCs w:val="24"/>
          <w:highlight w:val="none"/>
        </w:rPr>
        <w:t>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kern w:val="0"/>
          <w:szCs w:val="24"/>
          <w:highlight w:val="none"/>
        </w:rPr>
        <w:t>)和中国政府采购网(www.ccgp.gov.cn)渠道查询供应商响应截止时间当日的信用记录。</w:t>
      </w:r>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b/>
          <w:highlight w:val="none"/>
        </w:rPr>
      </w:pPr>
      <w:r>
        <w:rPr>
          <w:rFonts w:hint="eastAsia" w:ascii="宋体" w:hAnsi="宋体" w:eastAsia="宋体" w:cs="宋体"/>
          <w:b/>
          <w:highlight w:val="none"/>
        </w:rPr>
        <w:t>3.磋商与评审</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3.1磋商小组签到。</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3.2</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宣布有关纪律以及磋商、评审工作程序。</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3.3磋商小组审查确认磋商文件。磋商文件内容违反国家有关强制性规定的，磋商小组应当停止评审并向</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说明情况。</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3.4磋商小组对供应商的资格进行审查。</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3.5磋商小组审查响应文件。</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3.6对于未实质性响应磋商文件的响应文件由磋商小组认定响应无效，并告知该供应商。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3.9经磋商确定磋商文件的变动情况。对磋商文件作出的实质性变动是磋商文件的有效组成部分，磋商小组应当及时以书面形式同时通知所有参加磋商的供应商。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3.11磋商小组按照下列方式确定提交最后报价的供应商，有特殊规定的从其规定：</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eastAsia="宋体" w:cs="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3.12确定进入最后报价的供应商在规定时间内提交最后报价。</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3.13</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唱价。</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b/>
          <w:highlight w:val="none"/>
        </w:rPr>
      </w:pPr>
      <w:r>
        <w:rPr>
          <w:rFonts w:hint="eastAsia" w:ascii="宋体" w:hAnsi="宋体" w:eastAsia="宋体" w:cs="宋体"/>
          <w:b/>
          <w:highlight w:val="none"/>
        </w:rPr>
        <w:t>4. 成交</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4.1政府采购项目实行全流程电子化，评审报告送交、采购结果确定和结果公告均在线完成。</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应当依法及时将评审报告在线送交采购人确认。采购人应当在收到评审报告后</w:t>
      </w:r>
      <w:r>
        <w:rPr>
          <w:rFonts w:hint="eastAsia" w:ascii="宋体" w:hAnsi="宋体" w:cs="宋体"/>
          <w:szCs w:val="24"/>
          <w:highlight w:val="none"/>
          <w:lang w:val="en-US" w:eastAsia="zh-CN"/>
        </w:rPr>
        <w:t>5</w:t>
      </w:r>
      <w:r>
        <w:rPr>
          <w:rFonts w:hint="eastAsia" w:ascii="宋体" w:hAnsi="宋体" w:eastAsia="宋体" w:cs="宋体"/>
          <w:szCs w:val="24"/>
          <w:highlight w:val="none"/>
        </w:rPr>
        <w:t>个工作日内，从评审报告提出的成交候选供应商中，按照排序由高到低的原则确定成交供应商，采购人也可以书面授权磋商小组直接确定成交供应商。</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4.2</w:t>
      </w:r>
      <w:r>
        <w:rPr>
          <w:rFonts w:hint="eastAsia" w:ascii="宋体" w:hAnsi="宋体" w:eastAsia="宋体" w:cs="宋体"/>
          <w:szCs w:val="24"/>
          <w:highlight w:val="none"/>
          <w:lang w:eastAsia="zh-CN"/>
        </w:rPr>
        <w:t>采购代理机构</w:t>
      </w:r>
      <w:r>
        <w:rPr>
          <w:rFonts w:hint="eastAsia" w:ascii="宋体" w:hAnsi="宋体" w:eastAsia="宋体" w:cs="宋体"/>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kern w:val="0"/>
          <w:szCs w:val="21"/>
          <w:highlight w:val="none"/>
        </w:rPr>
      </w:pPr>
      <w:r>
        <w:rPr>
          <w:rFonts w:hint="eastAsia" w:ascii="宋体" w:hAnsi="宋体" w:eastAsia="宋体" w:cs="宋体"/>
          <w:b/>
          <w:highlight w:val="none"/>
        </w:rPr>
        <w:t>5.合同及履约验收</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5.1采购人与成交供应商应当在成交通知书发出之日起</w:t>
      </w:r>
      <w:r>
        <w:rPr>
          <w:rFonts w:hint="eastAsia" w:ascii="宋体" w:hAnsi="宋体" w:eastAsia="宋体" w:cs="宋体"/>
          <w:szCs w:val="24"/>
          <w:highlight w:val="none"/>
          <w:lang w:val="en-US" w:eastAsia="zh-CN"/>
        </w:rPr>
        <w:t>30</w:t>
      </w:r>
      <w:r>
        <w:rPr>
          <w:rFonts w:hint="eastAsia" w:ascii="宋体" w:hAnsi="宋体" w:eastAsia="宋体" w:cs="宋体"/>
          <w:szCs w:val="24"/>
          <w:highlight w:val="none"/>
        </w:rPr>
        <w:t>日内签订政府采购合同。</w:t>
      </w:r>
    </w:p>
    <w:p>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5.2成交供应商按照政策要求及合同约定缴纳履约保证金。</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5.3合同履约。</w:t>
      </w:r>
    </w:p>
    <w:p>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5.4采购人组织验收。</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sz w:val="24"/>
          <w:szCs w:val="20"/>
          <w:highlight w:val="none"/>
        </w:rPr>
      </w:pPr>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sz w:val="24"/>
          <w:highlight w:val="none"/>
        </w:rPr>
      </w:pPr>
      <w:r>
        <w:rPr>
          <w:rFonts w:hint="eastAsia" w:ascii="宋体" w:hAnsi="宋体" w:eastAsia="宋体" w:cs="宋体"/>
          <w:b/>
          <w:highlight w:val="none"/>
        </w:rPr>
        <w:t>6.竞争性磋商流程图</w:t>
      </w:r>
    </w:p>
    <w:p>
      <w:pPr>
        <w:widowControl/>
        <w:kinsoku/>
        <w:wordWrap/>
        <w:overflowPunct/>
        <w:topLinePunct w:val="0"/>
        <w:bidi w:val="0"/>
        <w:adjustRightInd/>
        <w:jc w:val="left"/>
        <w:outlineLvl w:val="9"/>
        <w:rPr>
          <w:rFonts w:hint="eastAsia" w:ascii="宋体" w:hAnsi="宋体" w:eastAsia="宋体" w:cs="宋体"/>
          <w:b/>
          <w:sz w:val="36"/>
          <w:szCs w:val="20"/>
          <w:highlight w:val="none"/>
        </w:rPr>
      </w:pPr>
      <w:r>
        <w:rPr>
          <w:rFonts w:hint="eastAsia" w:ascii="宋体" w:hAnsi="宋体" w:eastAsia="宋体" w:cs="宋体"/>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highlight w:val="none"/>
        </w:rPr>
      </w:pPr>
      <w:bookmarkStart w:id="53" w:name="_Toc15293"/>
      <w:r>
        <w:rPr>
          <w:rFonts w:hint="eastAsia" w:ascii="宋体" w:hAnsi="宋体" w:eastAsia="宋体" w:cs="宋体"/>
          <w:b/>
          <w:sz w:val="36"/>
          <w:szCs w:val="20"/>
          <w:highlight w:val="none"/>
        </w:rPr>
        <w:t>第三部分</w:t>
      </w:r>
      <w:bookmarkEnd w:id="6"/>
      <w:r>
        <w:rPr>
          <w:rFonts w:hint="eastAsia" w:ascii="宋体" w:hAnsi="宋体" w:eastAsia="宋体" w:cs="宋体"/>
          <w:b/>
          <w:sz w:val="36"/>
          <w:szCs w:val="20"/>
          <w:highlight w:val="none"/>
        </w:rPr>
        <w:t xml:space="preserve">  供应商须知</w:t>
      </w:r>
      <w:bookmarkEnd w:id="7"/>
      <w:bookmarkEnd w:id="53"/>
    </w:p>
    <w:p>
      <w:pPr>
        <w:kinsoku/>
        <w:wordWrap/>
        <w:overflowPunct/>
        <w:topLinePunct w:val="0"/>
        <w:bidi w:val="0"/>
        <w:adjustRightInd/>
        <w:spacing w:line="360" w:lineRule="auto"/>
        <w:jc w:val="center"/>
        <w:outlineLvl w:val="9"/>
        <w:rPr>
          <w:rFonts w:hint="eastAsia" w:ascii="宋体" w:hAnsi="宋体" w:eastAsia="宋体" w:cs="宋体"/>
          <w:b/>
          <w:sz w:val="36"/>
          <w:szCs w:val="20"/>
          <w:highlight w:val="none"/>
        </w:rPr>
      </w:pPr>
      <w:r>
        <w:rPr>
          <w:rFonts w:hint="eastAsia" w:ascii="宋体" w:hAnsi="宋体" w:eastAsia="宋体" w:cs="宋体"/>
          <w:b/>
          <w:sz w:val="36"/>
          <w:szCs w:val="20"/>
          <w:highlight w:val="none"/>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eastAsia="宋体" w:cs="宋体"/>
                <w:kern w:val="0"/>
                <w:sz w:val="24"/>
                <w:highlight w:val="none"/>
                <w:u w:val="single"/>
              </w:rPr>
              <w:t>自动日照仪</w:t>
            </w:r>
            <w:r>
              <w:rPr>
                <w:rFonts w:hint="eastAsia" w:ascii="宋体" w:hAnsi="宋体" w:eastAsia="宋体" w:cs="宋体"/>
                <w:sz w:val="24"/>
                <w:highlight w:val="none"/>
              </w:rPr>
              <w:t>，核心产品相关内容</w:t>
            </w:r>
            <w:r>
              <w:rPr>
                <w:rFonts w:hint="eastAsia" w:ascii="宋体" w:hAnsi="宋体" w:eastAsia="宋体" w:cs="宋体"/>
                <w:kern w:val="0"/>
                <w:sz w:val="24"/>
                <w:highlight w:val="none"/>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b/>
                <w:kern w:val="0"/>
                <w:sz w:val="24"/>
                <w:highlight w:val="none"/>
              </w:rPr>
            </w:pPr>
            <w:r>
              <w:rPr>
                <w:rFonts w:hint="eastAsia" w:ascii="宋体" w:hAnsi="宋体" w:eastAsia="宋体" w:cs="宋体"/>
                <w:b/>
                <w:kern w:val="0"/>
                <w:sz w:val="24"/>
                <w:highlight w:val="none"/>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numPr>
                <w:ilvl w:val="0"/>
                <w:numId w:val="8"/>
              </w:numPr>
              <w:kinsoku/>
              <w:wordWrap/>
              <w:overflowPunct/>
              <w:topLinePunct w:val="0"/>
              <w:autoSpaceDE/>
              <w:autoSpaceDN/>
              <w:bidi w:val="0"/>
              <w:snapToGrid w:val="0"/>
              <w:spacing w:line="240" w:lineRule="auto"/>
              <w:textAlignment w:val="auto"/>
              <w:outlineLvl w:val="9"/>
              <w:rPr>
                <w:rFonts w:hint="eastAsia" w:ascii="宋体" w:hAnsi="宋体" w:cs="宋体"/>
                <w:kern w:val="0"/>
                <w:sz w:val="24"/>
                <w:highlight w:val="none"/>
                <w:lang w:eastAsia="zh-CN"/>
              </w:rPr>
            </w:pP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rPr>
              <w:t>数据采集系统</w:t>
            </w:r>
            <w:r>
              <w:rPr>
                <w:rFonts w:hint="eastAsia" w:ascii="宋体" w:hAnsi="宋体" w:cs="宋体"/>
                <w:kern w:val="0"/>
                <w:sz w:val="24"/>
                <w:highlight w:val="none"/>
                <w:u w:val="single"/>
                <w:lang w:eastAsia="zh-CN"/>
              </w:rPr>
              <w:t>（</w:t>
            </w:r>
            <w:r>
              <w:rPr>
                <w:rFonts w:hint="eastAsia" w:ascii="宋体" w:hAnsi="宋体" w:eastAsia="宋体" w:cs="宋体"/>
                <w:kern w:val="0"/>
                <w:sz w:val="24"/>
                <w:highlight w:val="none"/>
                <w:u w:val="single"/>
              </w:rPr>
              <w:t>主采集器</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rPr>
              <w:t>地温分采集系统</w:t>
            </w:r>
            <w:r>
              <w:rPr>
                <w:rFonts w:hint="eastAsia" w:ascii="宋体" w:hAnsi="宋体" w:cs="宋体"/>
                <w:kern w:val="0"/>
                <w:sz w:val="24"/>
                <w:highlight w:val="none"/>
                <w:u w:val="single"/>
                <w:lang w:eastAsia="zh-CN"/>
              </w:rPr>
              <w:t>）</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工业</w:t>
            </w:r>
            <w:r>
              <w:rPr>
                <w:rFonts w:hint="eastAsia" w:ascii="宋体" w:hAnsi="宋体" w:eastAsia="宋体" w:cs="宋体"/>
                <w:kern w:val="0"/>
                <w:sz w:val="24"/>
                <w:highlight w:val="none"/>
              </w:rPr>
              <w:t>行业</w:t>
            </w:r>
            <w:r>
              <w:rPr>
                <w:rFonts w:hint="eastAsia" w:ascii="宋体" w:hAnsi="宋体" w:cs="宋体"/>
                <w:kern w:val="0"/>
                <w:sz w:val="24"/>
                <w:highlight w:val="none"/>
                <w:lang w:eastAsia="zh-CN"/>
              </w:rPr>
              <w:t>；</w:t>
            </w:r>
          </w:p>
          <w:p>
            <w:pPr>
              <w:keepNext w:val="0"/>
              <w:keepLines w:val="0"/>
              <w:pageBreakBefore w:val="0"/>
              <w:numPr>
                <w:ilvl w:val="0"/>
                <w:numId w:val="8"/>
              </w:numPr>
              <w:kinsoku/>
              <w:wordWrap/>
              <w:overflowPunct/>
              <w:topLinePunct w:val="0"/>
              <w:autoSpaceDE/>
              <w:autoSpaceDN/>
              <w:bidi w:val="0"/>
              <w:snapToGrid w:val="0"/>
              <w:spacing w:line="240" w:lineRule="auto"/>
              <w:textAlignment w:val="auto"/>
              <w:outlineLvl w:val="9"/>
              <w:rPr>
                <w:rFonts w:hint="eastAsia" w:ascii="宋体" w:hAnsi="宋体" w:eastAsia="宋体" w:cs="宋体"/>
                <w:b w:val="0"/>
                <w:bCs w:val="0"/>
                <w:kern w:val="0"/>
                <w:sz w:val="24"/>
                <w:szCs w:val="24"/>
                <w:highlight w:val="none"/>
                <w:lang w:val="en-US" w:eastAsia="zh-CN"/>
              </w:rPr>
            </w:pP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rPr>
              <w:t>串口服务器</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工业</w:t>
            </w:r>
            <w:r>
              <w:rPr>
                <w:rFonts w:hint="eastAsia" w:ascii="宋体" w:hAnsi="宋体" w:eastAsia="宋体" w:cs="宋体"/>
                <w:kern w:val="0"/>
                <w:sz w:val="24"/>
                <w:highlight w:val="none"/>
              </w:rPr>
              <w:t>行业</w:t>
            </w:r>
            <w:r>
              <w:rPr>
                <w:rFonts w:hint="eastAsia" w:ascii="宋体" w:hAnsi="宋体" w:cs="宋体"/>
                <w:kern w:val="0"/>
                <w:sz w:val="24"/>
                <w:highlight w:val="none"/>
                <w:lang w:eastAsia="zh-CN"/>
              </w:rPr>
              <w:t>；</w:t>
            </w:r>
          </w:p>
          <w:p>
            <w:pPr>
              <w:keepNext w:val="0"/>
              <w:keepLines w:val="0"/>
              <w:pageBreakBefore w:val="0"/>
              <w:numPr>
                <w:ilvl w:val="0"/>
                <w:numId w:val="8"/>
              </w:numPr>
              <w:kinsoku/>
              <w:wordWrap/>
              <w:overflowPunct/>
              <w:topLinePunct w:val="0"/>
              <w:autoSpaceDE/>
              <w:autoSpaceDN/>
              <w:bidi w:val="0"/>
              <w:snapToGrid w:val="0"/>
              <w:spacing w:line="240" w:lineRule="auto"/>
              <w:textAlignment w:val="auto"/>
              <w:outlineLvl w:val="9"/>
              <w:rPr>
                <w:rFonts w:hint="eastAsia" w:ascii="宋体" w:hAnsi="宋体" w:eastAsia="宋体" w:cs="宋体"/>
                <w:b w:val="0"/>
                <w:bCs w:val="0"/>
                <w:kern w:val="0"/>
                <w:sz w:val="24"/>
                <w:szCs w:val="24"/>
                <w:highlight w:val="none"/>
                <w:lang w:val="en-US" w:eastAsia="zh-CN"/>
              </w:rPr>
            </w:pP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rPr>
              <w:t>操作实训平台</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工业</w:t>
            </w:r>
            <w:r>
              <w:rPr>
                <w:rFonts w:hint="eastAsia" w:ascii="宋体" w:hAnsi="宋体" w:eastAsia="宋体" w:cs="宋体"/>
                <w:kern w:val="0"/>
                <w:sz w:val="24"/>
                <w:highlight w:val="none"/>
              </w:rPr>
              <w:t>行业</w:t>
            </w:r>
            <w:r>
              <w:rPr>
                <w:rFonts w:hint="eastAsia" w:ascii="宋体" w:hAnsi="宋体" w:cs="宋体"/>
                <w:kern w:val="0"/>
                <w:sz w:val="24"/>
                <w:highlight w:val="none"/>
                <w:lang w:eastAsia="zh-CN"/>
              </w:rPr>
              <w:t>；</w:t>
            </w:r>
          </w:p>
          <w:p>
            <w:pPr>
              <w:keepNext w:val="0"/>
              <w:keepLines w:val="0"/>
              <w:pageBreakBefore w:val="0"/>
              <w:numPr>
                <w:ilvl w:val="0"/>
                <w:numId w:val="8"/>
              </w:numPr>
              <w:kinsoku/>
              <w:wordWrap/>
              <w:overflowPunct/>
              <w:topLinePunct w:val="0"/>
              <w:autoSpaceDE/>
              <w:autoSpaceDN/>
              <w:bidi w:val="0"/>
              <w:snapToGrid w:val="0"/>
              <w:spacing w:line="240" w:lineRule="auto"/>
              <w:textAlignment w:val="auto"/>
              <w:outlineLvl w:val="9"/>
              <w:rPr>
                <w:rFonts w:hint="eastAsia" w:ascii="宋体" w:hAnsi="宋体" w:eastAsia="宋体" w:cs="宋体"/>
                <w:b w:val="0"/>
                <w:bCs w:val="0"/>
                <w:kern w:val="0"/>
                <w:sz w:val="24"/>
                <w:szCs w:val="24"/>
                <w:highlight w:val="none"/>
                <w:lang w:val="en-US" w:eastAsia="zh-CN"/>
              </w:rPr>
            </w:pP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rPr>
              <w:t>自动日照仪</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工业</w:t>
            </w:r>
            <w:r>
              <w:rPr>
                <w:rFonts w:hint="eastAsia" w:ascii="宋体" w:hAnsi="宋体" w:eastAsia="宋体" w:cs="宋体"/>
                <w:kern w:val="0"/>
                <w:sz w:val="24"/>
                <w:highlight w:val="none"/>
              </w:rPr>
              <w:t>行业</w:t>
            </w:r>
            <w:r>
              <w:rPr>
                <w:rFonts w:hint="eastAsia" w:ascii="宋体" w:hAnsi="宋体" w:cs="宋体"/>
                <w:kern w:val="0"/>
                <w:sz w:val="24"/>
                <w:highlight w:val="none"/>
                <w:lang w:eastAsia="zh-CN"/>
              </w:rPr>
              <w:t>；</w:t>
            </w:r>
          </w:p>
          <w:p>
            <w:pPr>
              <w:keepNext w:val="0"/>
              <w:keepLines w:val="0"/>
              <w:pageBreakBefore w:val="0"/>
              <w:numPr>
                <w:ilvl w:val="0"/>
                <w:numId w:val="8"/>
              </w:numPr>
              <w:kinsoku/>
              <w:wordWrap/>
              <w:overflowPunct/>
              <w:topLinePunct w:val="0"/>
              <w:autoSpaceDE/>
              <w:autoSpaceDN/>
              <w:bidi w:val="0"/>
              <w:snapToGrid w:val="0"/>
              <w:spacing w:line="240" w:lineRule="auto"/>
              <w:textAlignment w:val="auto"/>
              <w:outlineLvl w:val="9"/>
              <w:rPr>
                <w:rFonts w:hint="eastAsia" w:ascii="宋体" w:hAnsi="宋体" w:eastAsia="宋体" w:cs="宋体"/>
                <w:b w:val="0"/>
                <w:bCs w:val="0"/>
                <w:kern w:val="0"/>
                <w:sz w:val="24"/>
                <w:szCs w:val="24"/>
                <w:highlight w:val="none"/>
                <w:lang w:val="en-US" w:eastAsia="zh-CN"/>
              </w:rPr>
            </w:pPr>
            <w:r>
              <w:rPr>
                <w:rFonts w:hint="eastAsia" w:ascii="宋体" w:hAnsi="宋体" w:eastAsia="宋体" w:cs="宋体"/>
                <w:kern w:val="0"/>
                <w:sz w:val="24"/>
                <w:highlight w:val="none"/>
              </w:rPr>
              <w:t>标的：</w:t>
            </w:r>
            <w:r>
              <w:rPr>
                <w:rFonts w:hint="eastAsia" w:ascii="宋体" w:hAnsi="宋体" w:eastAsia="宋体" w:cs="宋体"/>
                <w:kern w:val="0"/>
                <w:sz w:val="24"/>
                <w:highlight w:val="none"/>
                <w:u w:val="single"/>
              </w:rPr>
              <w:t>降水现象仪</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工业</w:t>
            </w:r>
            <w:r>
              <w:rPr>
                <w:rFonts w:hint="eastAsia" w:ascii="宋体" w:hAnsi="宋体" w:eastAsia="宋体" w:cs="宋体"/>
                <w:kern w:val="0"/>
                <w:sz w:val="24"/>
                <w:highlight w:val="none"/>
              </w:rPr>
              <w:t>行业</w:t>
            </w:r>
            <w:r>
              <w:rPr>
                <w:rFonts w:hint="eastAsia" w:ascii="宋体" w:hAnsi="宋体" w:eastAsia="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本项目不允许采购进口产品。</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highlight w:val="none"/>
              </w:rPr>
            </w:pPr>
            <w:sdt>
              <w:sdtPr>
                <w:rPr>
                  <w:rFonts w:hint="eastAsia" w:ascii="宋体" w:hAnsi="宋体" w:eastAsia="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 </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ind w:firstLine="482" w:firstLineChars="200"/>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评审标准</w:t>
            </w:r>
            <w:r>
              <w:rPr>
                <w:rFonts w:hint="eastAsia" w:ascii="宋体" w:hAnsi="宋体" w:eastAsia="宋体" w:cs="宋体"/>
                <w:kern w:val="0"/>
                <w:sz w:val="24"/>
                <w:highlight w:val="none"/>
              </w:rPr>
              <w:t>；</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。请供应商在上述时间内提供样品并按规定位置安装完毕。超过截止时间的，采购人或采购代理机构将不予接收，并将清场并封闭样品现场。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(6)采购活动结束后，对于未成交人提供的样品，采购人、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将通知未成交人在规定的时间内取回，逾期未取回的，采购人、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不负保管义务；对于成交人提供的样品，采购人将进行保管、封存，并作为履约验收的参考。</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B组织。</w:t>
            </w:r>
          </w:p>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（1）在评审时安排每个供应商进行方案讲解演示。每个供应商时间不超过</w:t>
            </w:r>
            <w:r>
              <w:rPr>
                <w:rFonts w:hint="eastAsia" w:ascii="宋体" w:hAnsi="宋体" w:eastAsia="宋体" w:cs="宋体"/>
                <w:kern w:val="0"/>
                <w:sz w:val="24"/>
                <w:highlight w:val="none"/>
                <w:u w:val="single"/>
              </w:rPr>
              <w:t>20</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lang w:val="en-US" w:eastAsia="zh-CN"/>
              </w:rPr>
              <w:t>编制时可根据项目情况进行调整</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rPr>
              <w:t>分钟，讲解次序以响应文件解密时间先后次序为准，讲解演示人员不超过</w:t>
            </w:r>
            <w:r>
              <w:rPr>
                <w:rFonts w:hint="eastAsia" w:ascii="宋体" w:hAnsi="宋体" w:eastAsia="宋体" w:cs="宋体"/>
                <w:kern w:val="0"/>
                <w:sz w:val="24"/>
                <w:highlight w:val="none"/>
                <w:u w:val="single"/>
              </w:rPr>
              <w:t>3</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lang w:val="en-US" w:eastAsia="zh-CN"/>
              </w:rPr>
              <w:t>编制时可根据项目情况进行调整</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rPr>
              <w:t>人。讲解演示结束后按要求解答评标委员会提问。</w:t>
            </w:r>
          </w:p>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方式一：政采云平台在线讲解演示。政采云平台在线讲解需供应商根据政采云平台操作要求做好准备工作，提前完善软硬件配置环境。</w:t>
            </w:r>
          </w:p>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，讲解演示所用电脑等设备由供应商自备。现场讲解演示人员进场时提供讲解人员名单（加盖公章或授权代表签名）及身份证明，否则不得讲解演示。</w:t>
            </w:r>
          </w:p>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（1）资格证明文件：见磋商文件第</w:t>
            </w: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部分</w:t>
            </w:r>
            <w:r>
              <w:rPr>
                <w:rFonts w:hint="eastAsia" w:ascii="宋体" w:hAnsi="宋体" w:eastAsia="宋体" w:cs="宋体"/>
                <w:sz w:val="24"/>
                <w:highlight w:val="none"/>
                <w:lang w:val="en-US" w:eastAsia="zh-CN"/>
              </w:rPr>
              <w:t>“六、响应文件的编制”</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p>
        </w:tc>
        <w:tc>
          <w:tcPr>
            <w:tcW w:w="675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textAlignment w:val="auto"/>
              <w:outlineLvl w:val="9"/>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lang w:val="en-US" w:eastAsia="zh-CN"/>
              </w:rPr>
              <w:t>投标</w:t>
            </w:r>
            <w:r>
              <w:rPr>
                <w:rFonts w:hint="eastAsia" w:ascii="宋体" w:hAnsi="宋体" w:eastAsia="宋体" w:cs="宋体"/>
                <w:b/>
                <w:sz w:val="24"/>
                <w:highlight w:val="none"/>
              </w:rPr>
              <w:t>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有关本项目实施所需的所有费用（含税费）均计入</w:t>
            </w:r>
            <w:r>
              <w:rPr>
                <w:rFonts w:hint="eastAsia" w:ascii="宋体" w:hAnsi="宋体" w:eastAsia="宋体" w:cs="宋体"/>
                <w:kern w:val="0"/>
                <w:sz w:val="24"/>
                <w:highlight w:val="none"/>
                <w:lang w:val="zh-CN" w:eastAsia="zh-CN"/>
              </w:rPr>
              <w:t>投标</w:t>
            </w:r>
            <w:r>
              <w:rPr>
                <w:rFonts w:hint="eastAsia" w:ascii="宋体" w:hAnsi="宋体" w:eastAsia="宋体" w:cs="宋体"/>
                <w:kern w:val="0"/>
                <w:sz w:val="24"/>
                <w:highlight w:val="none"/>
                <w:lang w:val="zh-CN"/>
              </w:rPr>
              <w:t>报价。《报价</w:t>
            </w:r>
            <w:r>
              <w:rPr>
                <w:rFonts w:hint="eastAsia" w:ascii="宋体" w:hAnsi="宋体" w:eastAsia="宋体" w:cs="宋体"/>
                <w:sz w:val="24"/>
                <w:highlight w:val="none"/>
              </w:rPr>
              <w:t>一览表（报价表）</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是最后报价的唯一载体</w:t>
            </w:r>
            <w:r>
              <w:rPr>
                <w:rFonts w:hint="eastAsia" w:ascii="宋体" w:hAnsi="宋体" w:eastAsia="宋体" w:cs="宋体"/>
                <w:kern w:val="0"/>
                <w:sz w:val="24"/>
                <w:highlight w:val="none"/>
                <w:lang w:val="zh-CN"/>
              </w:rPr>
              <w:t>。磋商文件中价格全部采用人民币报价。招标文件未列明，而投标人认为必需的费用也需列入报价。</w:t>
            </w:r>
          </w:p>
          <w:p>
            <w:pPr>
              <w:keepNext w:val="0"/>
              <w:keepLines w:val="0"/>
              <w:pageBreakBefore w:val="0"/>
              <w:kinsoku/>
              <w:wordWrap/>
              <w:overflowPunct/>
              <w:topLinePunct w:val="0"/>
              <w:autoSpaceDE/>
              <w:autoSpaceDN/>
              <w:bidi w:val="0"/>
              <w:snapToGrid w:val="0"/>
              <w:spacing w:line="240" w:lineRule="auto"/>
              <w:jc w:val="left"/>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投标报价应包括但不限于本项目的设备制造、供货、运输、装卸、安装、调试、检验、技术培训及服务、税费、利润、质保服务等全部费用。</w:t>
            </w:r>
          </w:p>
          <w:p>
            <w:pPr>
              <w:keepNext w:val="0"/>
              <w:keepLines w:val="0"/>
              <w:pageBreakBefore w:val="0"/>
              <w:kinsoku/>
              <w:wordWrap/>
              <w:overflowPunct/>
              <w:topLinePunct w:val="0"/>
              <w:autoSpaceDE/>
              <w:autoSpaceDN/>
              <w:bidi w:val="0"/>
              <w:snapToGrid w:val="0"/>
              <w:spacing w:line="240" w:lineRule="auto"/>
              <w:jc w:val="left"/>
              <w:textAlignment w:val="auto"/>
              <w:outlineLvl w:val="9"/>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最后报价出现下列情形的，响应无效：</w:t>
            </w:r>
          </w:p>
          <w:p>
            <w:pPr>
              <w:keepNext w:val="0"/>
              <w:keepLines w:val="0"/>
              <w:pageBreakBefore w:val="0"/>
              <w:kinsoku/>
              <w:wordWrap/>
              <w:overflowPunct/>
              <w:topLinePunct w:val="0"/>
              <w:autoSpaceDE/>
              <w:autoSpaceDN/>
              <w:bidi w:val="0"/>
              <w:snapToGrid w:val="0"/>
              <w:spacing w:line="240" w:lineRule="auto"/>
              <w:ind w:firstLine="241" w:firstLineChars="100"/>
              <w:jc w:val="left"/>
              <w:textAlignment w:val="auto"/>
              <w:outlineLvl w:val="9"/>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响应文件出现不是唯一的、有选择性的最后报价的；</w:t>
            </w:r>
          </w:p>
          <w:p>
            <w:pPr>
              <w:keepNext w:val="0"/>
              <w:keepLines w:val="0"/>
              <w:pageBreakBefore w:val="0"/>
              <w:kinsoku/>
              <w:wordWrap/>
              <w:overflowPunct/>
              <w:topLinePunct w:val="0"/>
              <w:autoSpaceDE/>
              <w:autoSpaceDN/>
              <w:bidi w:val="0"/>
              <w:snapToGrid w:val="0"/>
              <w:spacing w:line="240" w:lineRule="auto"/>
              <w:ind w:firstLine="241" w:firstLineChars="100"/>
              <w:jc w:val="left"/>
              <w:textAlignment w:val="auto"/>
              <w:outlineLvl w:val="9"/>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最后报价超过磋商文件中规定的预算金额或者最高限价的</w:t>
            </w:r>
            <w:r>
              <w:rPr>
                <w:rFonts w:hint="eastAsia" w:ascii="宋体" w:hAnsi="宋体" w:cs="宋体"/>
                <w:b/>
                <w:kern w:val="0"/>
                <w:sz w:val="24"/>
                <w:highlight w:val="none"/>
                <w:lang w:val="zh-CN"/>
              </w:rPr>
              <w:t>；</w:t>
            </w:r>
          </w:p>
          <w:p>
            <w:pPr>
              <w:keepNext w:val="0"/>
              <w:keepLines w:val="0"/>
              <w:pageBreakBefore w:val="0"/>
              <w:kinsoku/>
              <w:wordWrap/>
              <w:overflowPunct/>
              <w:topLinePunct w:val="0"/>
              <w:autoSpaceDE/>
              <w:autoSpaceDN/>
              <w:bidi w:val="0"/>
              <w:spacing w:line="240" w:lineRule="auto"/>
              <w:ind w:firstLine="241" w:firstLineChars="100"/>
              <w:textAlignment w:val="auto"/>
              <w:outlineLvl w:val="9"/>
              <w:rPr>
                <w:rFonts w:hint="eastAsia" w:ascii="宋体" w:hAnsi="宋体" w:eastAsia="宋体" w:cs="宋体"/>
                <w:b/>
                <w:sz w:val="24"/>
                <w:highlight w:val="none"/>
                <w:lang w:eastAsia="zh-CN"/>
              </w:rPr>
            </w:pPr>
            <w:r>
              <w:rPr>
                <w:rFonts w:hint="eastAsia" w:ascii="宋体" w:hAnsi="宋体" w:eastAsia="宋体" w:cs="宋体"/>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pPr>
              <w:keepNext w:val="0"/>
              <w:keepLines w:val="0"/>
              <w:pageBreakBefore w:val="0"/>
              <w:kinsoku/>
              <w:wordWrap/>
              <w:overflowPunct/>
              <w:topLinePunct w:val="0"/>
              <w:autoSpaceDE/>
              <w:autoSpaceDN/>
              <w:bidi w:val="0"/>
              <w:spacing w:line="240" w:lineRule="auto"/>
              <w:ind w:firstLine="241" w:firstLineChars="100"/>
              <w:textAlignment w:val="auto"/>
              <w:outlineLvl w:val="9"/>
              <w:rPr>
                <w:rFonts w:hint="eastAsia" w:ascii="宋体" w:hAnsi="宋体" w:eastAsia="宋体" w:cs="宋体"/>
                <w:sz w:val="24"/>
                <w:highlight w:val="none"/>
              </w:rPr>
            </w:pPr>
            <w:r>
              <w:rPr>
                <w:rFonts w:hint="eastAsia" w:ascii="宋体" w:hAnsi="宋体" w:eastAsia="宋体" w:cs="宋体"/>
                <w:b/>
                <w:kern w:val="0"/>
                <w:sz w:val="24"/>
                <w:highlight w:val="none"/>
              </w:rPr>
              <w:t>供应商对根据修正原则修正后的报价不确认的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755" w:type="dxa"/>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pacing w:line="240"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直接提交</w:t>
            </w:r>
            <w:r>
              <w:rPr>
                <w:rFonts w:hint="eastAsia" w:ascii="宋体" w:hAnsi="宋体" w:eastAsia="宋体" w:cs="宋体"/>
                <w:color w:val="auto"/>
                <w:kern w:val="28"/>
                <w:sz w:val="24"/>
                <w:szCs w:val="24"/>
                <w:highlight w:val="none"/>
              </w:rPr>
              <w:t>备份响应文件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pPr>
              <w:pStyle w:val="32"/>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kern w:val="28"/>
                <w:sz w:val="24"/>
                <w:szCs w:val="24"/>
                <w:highlight w:val="none"/>
                <w:u w:val="single"/>
                <w:lang w:val="en-US" w:eastAsia="zh-CN"/>
              </w:rPr>
              <w:t>宁海县公共资源交易中心（宁海县桃源街道金水东路5号五楼）</w:t>
            </w:r>
            <w:r>
              <w:rPr>
                <w:rFonts w:hint="eastAsia" w:ascii="宋体" w:hAnsi="宋体" w:eastAsia="宋体" w:cs="宋体"/>
                <w:color w:val="auto"/>
                <w:kern w:val="28"/>
                <w:sz w:val="24"/>
                <w:szCs w:val="24"/>
                <w:highlight w:val="none"/>
                <w:u w:val="single"/>
              </w:rPr>
              <w:t>。</w:t>
            </w:r>
          </w:p>
          <w:p>
            <w:pPr>
              <w:pStyle w:val="32"/>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2</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sz w:val="24"/>
                <w:szCs w:val="24"/>
                <w:highlight w:val="none"/>
              </w:rPr>
              <w:t>以快递方式递交</w:t>
            </w:r>
            <w:r>
              <w:rPr>
                <w:rFonts w:hint="eastAsia" w:ascii="宋体" w:hAnsi="宋体" w:eastAsia="宋体" w:cs="宋体"/>
                <w:color w:val="auto"/>
                <w:kern w:val="28"/>
                <w:sz w:val="24"/>
                <w:szCs w:val="24"/>
                <w:highlight w:val="none"/>
              </w:rPr>
              <w:t>备份响应文件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pPr>
              <w:pStyle w:val="32"/>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备份响应文件</w:t>
            </w:r>
            <w:r>
              <w:rPr>
                <w:rFonts w:hint="eastAsia" w:ascii="宋体" w:hAnsi="宋体" w:eastAsia="宋体" w:cs="宋体"/>
                <w:snapToGrid/>
                <w:color w:val="auto"/>
                <w:sz w:val="24"/>
                <w:szCs w:val="24"/>
                <w:highlight w:val="none"/>
              </w:rPr>
              <w:t>送达</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u w:val="single"/>
                <w:lang w:val="en-US" w:eastAsia="zh-CN" w:bidi="ar-SA"/>
              </w:rPr>
              <w:t>响应文件开启时间前一个工作日的16:00止。</w:t>
            </w:r>
          </w:p>
          <w:p>
            <w:pPr>
              <w:pStyle w:val="32"/>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sz w:val="24"/>
                <w:highlight w:val="none"/>
                <w:u w:val="single"/>
              </w:rPr>
              <w:t xml:space="preserve"> 宁波市鄞州区天童南路666号中基大厦19楼业务六部 </w:t>
            </w: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周旭坤</w:t>
            </w:r>
            <w:r>
              <w:rPr>
                <w:rFonts w:hint="eastAsia" w:ascii="宋体" w:hAnsi="宋体" w:eastAsia="宋体" w:cs="宋体"/>
                <w:color w:val="auto"/>
                <w:sz w:val="24"/>
                <w:highlight w:val="none"/>
                <w:u w:val="single"/>
              </w:rPr>
              <w:t>0574-</w:t>
            </w:r>
            <w:r>
              <w:rPr>
                <w:rFonts w:hint="eastAsia" w:ascii="宋体" w:hAnsi="宋体" w:eastAsia="宋体" w:cs="宋体"/>
                <w:color w:val="auto"/>
                <w:sz w:val="24"/>
                <w:highlight w:val="none"/>
                <w:u w:val="single"/>
                <w:lang w:val="en-US" w:eastAsia="zh-CN"/>
              </w:rPr>
              <w:t>8742</w:t>
            </w:r>
            <w:r>
              <w:rPr>
                <w:rFonts w:hint="eastAsia" w:hAnsi="宋体" w:cs="宋体"/>
                <w:color w:val="auto"/>
                <w:sz w:val="24"/>
                <w:highlight w:val="none"/>
                <w:u w:val="single"/>
                <w:lang w:val="en-US" w:eastAsia="zh-CN"/>
              </w:rPr>
              <w:t>6203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75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sz w:val="24"/>
                <w:highlight w:val="none"/>
              </w:rPr>
            </w:pPr>
          </w:p>
        </w:tc>
        <w:tc>
          <w:tcPr>
            <w:tcW w:w="675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联合体响应的，联合体各方均需按磋商文件第五部分评审标准要求提供资信证明文件，否则视为不符合相关要求。</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napToGrid w:val="0"/>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9"/>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招标代理服务费的收取标准：</w:t>
            </w:r>
            <w:r>
              <w:rPr>
                <w:rFonts w:hint="eastAsia" w:cs="Arial" w:asciiTheme="minorEastAsia" w:hAnsiTheme="minorEastAsia" w:eastAsiaTheme="minorEastAsia"/>
                <w:color w:val="auto"/>
                <w:kern w:val="0"/>
                <w:sz w:val="24"/>
                <w:szCs w:val="24"/>
                <w:highlight w:val="none"/>
                <w:lang w:val="en-US" w:eastAsia="zh-CN" w:bidi="ar-SA"/>
              </w:rPr>
              <w:t>代理机构按下表中货物招标的标准的（按差额定率累进法计算），根据预算金额，向成交人收取招标代理服务费。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类型</w:t>
                  </w:r>
                </w:p>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工程招标</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0.7%</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0.55%</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0.35%</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w:t>
                  </w:r>
                </w:p>
              </w:tc>
            </w:tr>
          </w:tbl>
          <w:p>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pPr>
              <w:kinsoku/>
              <w:wordWrap/>
              <w:overflowPunct/>
              <w:topLinePunct w:val="0"/>
              <w:bidi w:val="0"/>
              <w:outlineLvl w:val="9"/>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 宁波银行科技支行</w:t>
            </w:r>
          </w:p>
          <w:p>
            <w:pPr>
              <w:kinsoku/>
              <w:wordWrap/>
              <w:overflowPunct/>
              <w:topLinePunct w:val="0"/>
              <w:bidi w:val="0"/>
              <w:outlineLvl w:val="9"/>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账    号： 31010122000005488</w:t>
            </w:r>
          </w:p>
          <w:p>
            <w:pPr>
              <w:kinsoku/>
              <w:wordWrap/>
              <w:overflowPunct/>
              <w:topLinePunct w:val="0"/>
              <w:bidi w:val="0"/>
              <w:outlineLvl w:val="9"/>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户    名： 宁波中基国际招标有限公司</w:t>
            </w:r>
          </w:p>
          <w:p>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eastAsia="宋体" w:cs="宋体"/>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注：成交人</w:t>
            </w:r>
            <w:r>
              <w:rPr>
                <w:rFonts w:hint="eastAsia" w:cs="Arial" w:asciiTheme="minorEastAsia" w:hAnsiTheme="minorEastAsia" w:eastAsiaTheme="minorEastAsia"/>
                <w:color w:val="auto"/>
                <w:kern w:val="0"/>
                <w:sz w:val="24"/>
                <w:highlight w:val="none"/>
              </w:rPr>
              <w:t>接到本公司通知后5个工作日内向本采购代理机构领取成交通知书（根据</w:t>
            </w:r>
            <w:r>
              <w:rPr>
                <w:rFonts w:hint="eastAsia" w:cs="Arial" w:asciiTheme="minorEastAsia" w:hAnsiTheme="minorEastAsia" w:eastAsiaTheme="minorEastAsia"/>
                <w:color w:val="auto"/>
                <w:kern w:val="0"/>
                <w:sz w:val="24"/>
                <w:highlight w:val="none"/>
                <w:lang w:val="en-US" w:eastAsia="zh-CN"/>
              </w:rPr>
              <w:t>成交人</w:t>
            </w:r>
            <w:r>
              <w:rPr>
                <w:rFonts w:hint="eastAsia" w:cs="Arial" w:asciiTheme="minorEastAsia" w:hAnsiTheme="minorEastAsia" w:eastAsiaTheme="minorEastAsia"/>
                <w:color w:val="auto"/>
                <w:kern w:val="0"/>
                <w:sz w:val="24"/>
                <w:highlight w:val="none"/>
              </w:rPr>
              <w:t>需求可采用邮寄或到采购代理机构现场领取）。</w:t>
            </w:r>
          </w:p>
        </w:tc>
      </w:tr>
    </w:tbl>
    <w:p>
      <w:pPr>
        <w:kinsoku/>
        <w:wordWrap/>
        <w:overflowPunct/>
        <w:topLinePunct w:val="0"/>
        <w:bidi w:val="0"/>
        <w:adjustRightInd/>
        <w:spacing w:line="360" w:lineRule="auto"/>
        <w:ind w:firstLine="3845" w:firstLineChars="1197"/>
        <w:outlineLvl w:val="9"/>
        <w:rPr>
          <w:rFonts w:hint="eastAsia" w:ascii="宋体" w:hAnsi="宋体" w:eastAsia="宋体" w:cs="宋体"/>
          <w:b/>
          <w:sz w:val="32"/>
          <w:szCs w:val="20"/>
          <w:highlight w:val="none"/>
        </w:rPr>
      </w:pPr>
    </w:p>
    <w:p>
      <w:pPr>
        <w:kinsoku/>
        <w:wordWrap/>
        <w:overflowPunct/>
        <w:topLinePunct w:val="0"/>
        <w:bidi w:val="0"/>
        <w:adjustRightInd/>
        <w:spacing w:line="360" w:lineRule="auto"/>
        <w:ind w:firstLine="3845" w:firstLineChars="1197"/>
        <w:outlineLvl w:val="9"/>
        <w:rPr>
          <w:rFonts w:hint="eastAsia" w:ascii="宋体" w:hAnsi="宋体" w:eastAsia="宋体" w:cs="宋体"/>
          <w:b/>
          <w:sz w:val="32"/>
          <w:szCs w:val="20"/>
          <w:highlight w:val="none"/>
        </w:rPr>
      </w:pPr>
    </w:p>
    <w:p>
      <w:pPr>
        <w:kinsoku/>
        <w:wordWrap/>
        <w:overflowPunct/>
        <w:topLinePunct w:val="0"/>
        <w:bidi w:val="0"/>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br w:type="page"/>
      </w:r>
    </w:p>
    <w:p>
      <w:pPr>
        <w:kinsoku/>
        <w:wordWrap/>
        <w:overflowPunct/>
        <w:topLinePunct w:val="0"/>
        <w:bidi w:val="0"/>
        <w:adjustRightInd/>
        <w:spacing w:line="360" w:lineRule="auto"/>
        <w:ind w:firstLine="3845" w:firstLineChars="1197"/>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二、总则</w:t>
      </w:r>
    </w:p>
    <w:p>
      <w:pPr>
        <w:keepNext w:val="0"/>
        <w:keepLines w:val="0"/>
        <w:pageBreakBefore w:val="0"/>
        <w:widowControl w:val="0"/>
        <w:kinsoku/>
        <w:wordWrap/>
        <w:overflowPunct/>
        <w:topLinePunct w:val="0"/>
        <w:autoSpaceDE/>
        <w:autoSpaceDN/>
        <w:bidi w:val="0"/>
        <w:snapToGrid w:val="0"/>
        <w:spacing w:line="336" w:lineRule="auto"/>
        <w:jc w:val="left"/>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1. 适用范围</w:t>
      </w:r>
    </w:p>
    <w:p>
      <w:pPr>
        <w:keepNext w:val="0"/>
        <w:keepLines w:val="0"/>
        <w:pageBreakBefore w:val="0"/>
        <w:widowControl w:val="0"/>
        <w:kinsoku/>
        <w:wordWrap/>
        <w:overflowPunct/>
        <w:topLinePunct w:val="0"/>
        <w:autoSpaceDE/>
        <w:autoSpaceDN/>
        <w:bidi w:val="0"/>
        <w:snapToGrid w:val="0"/>
        <w:spacing w:line="336" w:lineRule="auto"/>
        <w:ind w:firstLine="480" w:firstLineChars="2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本磋商文件适用于该项目的邀请、响应、开启响应文件、信用信息查询、资格性审查、评审、成交、合同、验收等行为（法律、法规另有规定的，从其规定）。</w:t>
      </w:r>
    </w:p>
    <w:p>
      <w:pPr>
        <w:keepNext w:val="0"/>
        <w:keepLines w:val="0"/>
        <w:pageBreakBefore w:val="0"/>
        <w:widowControl w:val="0"/>
        <w:kinsoku/>
        <w:wordWrap/>
        <w:overflowPunct/>
        <w:topLinePunct w:val="0"/>
        <w:autoSpaceDE/>
        <w:autoSpaceDN/>
        <w:bidi w:val="0"/>
        <w:adjustRightInd/>
        <w:spacing w:line="336" w:lineRule="auto"/>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2.定义</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2.1 “采购人”系指磋商邀请公告中载明的本项目的采购人。</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2.2 “</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”系指磋商邀请公告中载明的本项目的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2.3 “供应商”系指响应磋商、参加本次竞争的法人、其他组织或自然人。</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2.5 “成交人”系指经评审确定的成交供应商。</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2.6“响应文件”系指供应商提交的商务技术文件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含初次报价文件</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。供应商提交最后报价后，最后报价是供应商响应文件的有效组成部分。</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2.7“电子交易平台”</w:t>
      </w:r>
      <w:r>
        <w:rPr>
          <w:rFonts w:hint="eastAsia" w:ascii="宋体" w:hAnsi="宋体" w:eastAsia="宋体" w:cs="宋体"/>
          <w:sz w:val="24"/>
          <w:highlight w:val="none"/>
          <w:lang w:val="en-US" w:eastAsia="zh-CN"/>
        </w:rPr>
        <w:t>系</w:t>
      </w:r>
      <w:r>
        <w:rPr>
          <w:rFonts w:hint="eastAsia" w:ascii="宋体" w:hAnsi="宋体" w:eastAsia="宋体" w:cs="宋体"/>
          <w:sz w:val="24"/>
          <w:highlight w:val="none"/>
        </w:rPr>
        <w:t>指本项目政府采购活动所依托的政府采购云平台（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2.9 </w:t>
      </w:r>
      <w:r>
        <w:rPr>
          <w:rFonts w:hint="eastAsia" w:ascii="宋体" w:hAnsi="宋体" w:eastAsia="宋体" w:cs="宋体"/>
          <w:sz w:val="24"/>
          <w:highlight w:val="none"/>
          <w:u w:val="single"/>
        </w:rPr>
        <w:t>“书面形式”包括数据电文形式与纸质形式。数据电文形式与纸质形式的采购活动具有同等法律效力。</w:t>
      </w:r>
    </w:p>
    <w:p>
      <w:pPr>
        <w:keepNext w:val="0"/>
        <w:keepLines w:val="0"/>
        <w:pageBreakBefore w:val="0"/>
        <w:widowControl w:val="0"/>
        <w:kinsoku/>
        <w:wordWrap/>
        <w:overflowPunct/>
        <w:topLinePunct w:val="0"/>
        <w:autoSpaceDE/>
        <w:autoSpaceDN/>
        <w:bidi w:val="0"/>
        <w:snapToGrid w:val="0"/>
        <w:spacing w:line="336" w:lineRule="auto"/>
        <w:ind w:firstLine="480" w:firstLineChars="200"/>
        <w:jc w:val="left"/>
        <w:textAlignment w:val="auto"/>
        <w:outlineLvl w:val="9"/>
        <w:rPr>
          <w:rFonts w:hint="eastAsia" w:ascii="宋体" w:hAnsi="宋体" w:eastAsia="宋体" w:cs="宋体"/>
          <w:b/>
          <w:sz w:val="24"/>
          <w:highlight w:val="none"/>
        </w:rPr>
      </w:pPr>
      <w:r>
        <w:rPr>
          <w:rFonts w:hint="eastAsia" w:ascii="宋体" w:hAnsi="宋体" w:eastAsia="宋体" w:cs="宋体"/>
          <w:sz w:val="24"/>
          <w:highlight w:val="none"/>
        </w:rPr>
        <w:t>2.10 “</w:t>
      </w:r>
      <w:r>
        <w:rPr>
          <w:rFonts w:hint="eastAsia" w:ascii="宋体" w:hAnsi="宋体" w:cs="宋体"/>
          <w:sz w:val="24"/>
          <w:highlight w:val="none"/>
          <w:lang w:eastAsia="zh-CN"/>
        </w:rPr>
        <w:t>▲</w:t>
      </w:r>
      <w:r>
        <w:rPr>
          <w:rFonts w:hint="eastAsia" w:ascii="宋体" w:hAnsi="宋体" w:eastAsia="宋体" w:cs="宋体"/>
          <w:sz w:val="24"/>
          <w:highlight w:val="none"/>
        </w:rPr>
        <w:t>”系指实质性要求条款，“※”系指磋商过程中可能实质性变动的内容， “</w:t>
      </w:r>
      <w:sdt>
        <w:sdtPr>
          <w:rPr>
            <w:rFonts w:hint="eastAsia" w:ascii="宋体" w:hAnsi="宋体" w:eastAsia="宋体" w:cs="宋体"/>
            <w:sz w:val="24"/>
            <w:highlight w:val="none"/>
          </w:rPr>
          <w:id w:val="404888855"/>
          <w14:checkbox>
            <w14:checked w14:val="1"/>
            <w14:checkedState w14:val="00FE" w14:font="Wingdings"/>
            <w14:uncheckedState w14:val="2610" w14:font="MS Gothic"/>
          </w14:checkbox>
        </w:sdtPr>
        <w:sdtEndPr>
          <w:rPr>
            <w:rFonts w:hint="eastAsia" w:ascii="宋体" w:hAnsi="宋体" w:eastAsia="宋体" w:cs="宋体"/>
            <w:sz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eastAsia="宋体" w:cs="宋体"/>
          <w:sz w:val="24"/>
          <w:highlight w:val="none"/>
        </w:rPr>
        <w:t>”系指适用本项目的要求，“</w:t>
      </w:r>
      <w:sdt>
        <w:sdtPr>
          <w:rPr>
            <w:rFonts w:hint="eastAsia" w:ascii="宋体" w:hAnsi="宋体" w:eastAsia="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”系指不适用本项目的要求。</w:t>
      </w:r>
    </w:p>
    <w:p>
      <w:pPr>
        <w:keepNext w:val="0"/>
        <w:keepLines w:val="0"/>
        <w:pageBreakBefore w:val="0"/>
        <w:widowControl w:val="0"/>
        <w:kinsoku/>
        <w:wordWrap/>
        <w:overflowPunct/>
        <w:topLinePunct w:val="0"/>
        <w:autoSpaceDE/>
        <w:autoSpaceDN/>
        <w:bidi w:val="0"/>
        <w:adjustRightInd/>
        <w:spacing w:line="336" w:lineRule="auto"/>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3. 响应有效期</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b/>
          <w:sz w:val="24"/>
          <w:szCs w:val="21"/>
          <w:highlight w:val="none"/>
        </w:rPr>
      </w:pPr>
      <w:r>
        <w:rPr>
          <w:rFonts w:hint="eastAsia" w:ascii="宋体" w:hAnsi="宋体" w:cs="宋体"/>
          <w:sz w:val="24"/>
          <w:szCs w:val="20"/>
          <w:highlight w:val="none"/>
          <w:lang w:eastAsia="zh-CN"/>
        </w:rPr>
        <w:t>▲</w:t>
      </w:r>
      <w:r>
        <w:rPr>
          <w:rFonts w:hint="eastAsia" w:ascii="宋体" w:hAnsi="宋体" w:eastAsia="宋体" w:cs="宋体"/>
          <w:sz w:val="24"/>
          <w:szCs w:val="20"/>
          <w:highlight w:val="none"/>
        </w:rPr>
        <w:t>3.1</w:t>
      </w:r>
      <w:r>
        <w:rPr>
          <w:rFonts w:hint="eastAsia" w:ascii="宋体" w:hAnsi="宋体" w:eastAsia="宋体" w:cs="宋体"/>
          <w:b/>
          <w:sz w:val="24"/>
          <w:szCs w:val="20"/>
          <w:highlight w:val="none"/>
        </w:rPr>
        <w:t>响应有效期为从提交响应文件的截止之日起90天。供应商的响应文件中承</w:t>
      </w:r>
      <w:r>
        <w:rPr>
          <w:rFonts w:hint="eastAsia" w:ascii="宋体" w:hAnsi="宋体" w:eastAsia="宋体" w:cs="宋体"/>
          <w:b/>
          <w:sz w:val="24"/>
          <w:szCs w:val="21"/>
          <w:highlight w:val="none"/>
        </w:rPr>
        <w:t>诺的响应有效期少于磋商文件中载明的磋商有效期的，响应无效。</w:t>
      </w:r>
    </w:p>
    <w:p>
      <w:pPr>
        <w:pStyle w:val="394"/>
        <w:keepNext w:val="0"/>
        <w:keepLines w:val="0"/>
        <w:pageBreakBefore w:val="0"/>
        <w:widowControl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highlight w:val="none"/>
        </w:rPr>
      </w:pPr>
      <w:r>
        <w:rPr>
          <w:rFonts w:hint="eastAsia" w:ascii="宋体" w:hAnsi="宋体" w:eastAsia="宋体" w:cs="宋体"/>
          <w:highlight w:val="none"/>
        </w:rPr>
        <w:t>3.2响应文件合格提交后，自响应截止日期起，在响应有效期内有效。</w:t>
      </w:r>
    </w:p>
    <w:p>
      <w:pPr>
        <w:pStyle w:val="394"/>
        <w:keepNext w:val="0"/>
        <w:keepLines w:val="0"/>
        <w:pageBreakBefore w:val="0"/>
        <w:widowControl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highlight w:val="none"/>
        </w:rPr>
      </w:pPr>
      <w:r>
        <w:rPr>
          <w:rFonts w:hint="eastAsia" w:ascii="宋体" w:hAnsi="宋体" w:eastAsia="宋体" w:cs="宋体"/>
          <w:highlight w:val="none"/>
        </w:rPr>
        <w:t>3.3在原定响应有效期满之前，如果出现特殊情况，</w:t>
      </w:r>
      <w:r>
        <w:rPr>
          <w:rFonts w:hint="eastAsia" w:ascii="宋体" w:hAnsi="宋体" w:eastAsia="宋体" w:cs="宋体"/>
          <w:highlight w:val="none"/>
          <w:lang w:eastAsia="zh-CN"/>
        </w:rPr>
        <w:t>采购代理机构</w:t>
      </w:r>
      <w:r>
        <w:rPr>
          <w:rFonts w:hint="eastAsia" w:ascii="宋体" w:hAnsi="宋体" w:eastAsia="宋体" w:cs="宋体"/>
          <w:highlight w:val="none"/>
        </w:rPr>
        <w:t>可以以书面形式通知供应商延长响应有效期。供应商同意延长的，不得要求或被允许修改其响应文件</w:t>
      </w:r>
      <w:r>
        <w:rPr>
          <w:rFonts w:hint="eastAsia" w:ascii="宋体" w:hAnsi="宋体" w:cs="宋体"/>
          <w:highlight w:val="none"/>
          <w:lang w:eastAsia="zh-CN"/>
        </w:rPr>
        <w:t>；</w:t>
      </w:r>
      <w:r>
        <w:rPr>
          <w:rFonts w:hint="eastAsia" w:ascii="宋体" w:hAnsi="宋体" w:eastAsia="宋体" w:cs="宋体"/>
          <w:highlight w:val="none"/>
        </w:rPr>
        <w:t>供应商拒绝延长的，其响应无效。</w:t>
      </w:r>
      <w:r>
        <w:rPr>
          <w:rFonts w:hint="eastAsia" w:ascii="宋体" w:hAnsi="宋体" w:eastAsia="宋体" w:cs="宋体"/>
          <w:szCs w:val="24"/>
          <w:highlight w:val="none"/>
        </w:rPr>
        <w:t>拒绝延长磋商有效期的供应商不得再参与该项目后续采购活动。</w:t>
      </w:r>
    </w:p>
    <w:p>
      <w:pPr>
        <w:keepNext w:val="0"/>
        <w:keepLines w:val="0"/>
        <w:pageBreakBefore w:val="0"/>
        <w:widowControl w:val="0"/>
        <w:tabs>
          <w:tab w:val="left" w:pos="3780"/>
        </w:tabs>
        <w:kinsoku/>
        <w:wordWrap/>
        <w:overflowPunct/>
        <w:topLinePunct w:val="0"/>
        <w:autoSpaceDE/>
        <w:autoSpaceDN/>
        <w:bidi w:val="0"/>
        <w:spacing w:line="336" w:lineRule="auto"/>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4．响应费用</w:t>
      </w:r>
    </w:p>
    <w:p>
      <w:pPr>
        <w:pStyle w:val="32"/>
        <w:keepNext w:val="0"/>
        <w:keepLines w:val="0"/>
        <w:pageBreakBefore w:val="0"/>
        <w:widowControl w:val="0"/>
        <w:kinsoku/>
        <w:wordWrap/>
        <w:overflowPunct/>
        <w:topLinePunct w:val="0"/>
        <w:autoSpaceDE/>
        <w:autoSpaceDN/>
        <w:bidi w:val="0"/>
        <w:spacing w:line="336" w:lineRule="auto"/>
        <w:ind w:firstLine="360" w:firstLineChars="150"/>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rPr>
        <w:t>供应商需自行承担涉及响应的一切费用</w:t>
      </w:r>
      <w:r>
        <w:rPr>
          <w:rFonts w:hint="eastAsia" w:ascii="宋体" w:hAnsi="宋体" w:eastAsia="宋体" w:cs="宋体"/>
          <w:sz w:val="24"/>
          <w:highlight w:val="none"/>
          <w:lang w:val="zh-CN"/>
        </w:rPr>
        <w:t>。</w:t>
      </w:r>
    </w:p>
    <w:p>
      <w:pPr>
        <w:kinsoku/>
        <w:wordWrap/>
        <w:overflowPunct/>
        <w:topLinePunct w:val="0"/>
        <w:bidi w:val="0"/>
        <w:spacing w:line="360" w:lineRule="auto"/>
        <w:jc w:val="center"/>
        <w:outlineLvl w:val="9"/>
        <w:rPr>
          <w:rFonts w:hint="eastAsia" w:ascii="宋体" w:hAnsi="宋体" w:eastAsia="宋体" w:cs="宋体"/>
          <w:b/>
          <w:sz w:val="24"/>
          <w:highlight w:val="none"/>
        </w:rPr>
      </w:pPr>
    </w:p>
    <w:p>
      <w:pPr>
        <w:keepNext w:val="0"/>
        <w:keepLines w:val="0"/>
        <w:pageBreakBefore w:val="0"/>
        <w:kinsoku/>
        <w:wordWrap/>
        <w:overflowPunct/>
        <w:topLinePunct w:val="0"/>
        <w:autoSpaceDE/>
        <w:autoSpaceDN/>
        <w:bidi w:val="0"/>
        <w:adjustRightInd/>
        <w:snapToGrid/>
        <w:spacing w:line="336" w:lineRule="auto"/>
        <w:jc w:val="center"/>
        <w:textAlignment w:val="auto"/>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三、需要落实的政府采购政策</w:t>
      </w:r>
    </w:p>
    <w:p>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hint="eastAsia" w:ascii="宋体" w:hAnsi="宋体" w:eastAsia="宋体" w:cs="宋体"/>
          <w:b/>
          <w:szCs w:val="24"/>
          <w:highlight w:val="none"/>
        </w:rPr>
      </w:pPr>
      <w:r>
        <w:rPr>
          <w:rFonts w:hint="eastAsia" w:ascii="宋体" w:hAnsi="宋体" w:eastAsia="宋体" w:cs="宋体"/>
          <w:b/>
          <w:szCs w:val="24"/>
          <w:highlight w:val="none"/>
        </w:rPr>
        <w:t>1.是否允许采购进口产品要求</w:t>
      </w:r>
    </w:p>
    <w:p>
      <w:pPr>
        <w:pStyle w:val="32"/>
        <w:keepNext w:val="0"/>
        <w:keepLines w:val="0"/>
        <w:pageBreakBefore w:val="0"/>
        <w:kinsoku/>
        <w:wordWrap/>
        <w:overflowPunct/>
        <w:topLinePunct w:val="0"/>
        <w:autoSpaceDE/>
        <w:autoSpaceDN/>
        <w:bidi w:val="0"/>
        <w:snapToGrid/>
        <w:spacing w:line="336" w:lineRule="auto"/>
        <w:ind w:firstLine="360" w:firstLineChars="15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snapToGrid/>
        <w:spacing w:line="336" w:lineRule="auto"/>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2.支持绿色发展</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b/>
          <w:sz w:val="24"/>
          <w:highlight w:val="none"/>
        </w:rPr>
      </w:pPr>
      <w:r>
        <w:rPr>
          <w:rFonts w:hint="eastAsia" w:ascii="宋体" w:hAnsi="宋体" w:eastAsia="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lang w:eastAsia="zh-CN"/>
        </w:rPr>
        <w:t>▲</w:t>
      </w:r>
      <w:r>
        <w:rPr>
          <w:rFonts w:hint="eastAsia" w:ascii="宋体" w:hAnsi="宋体" w:eastAsia="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keepNext w:val="0"/>
        <w:keepLines w:val="0"/>
        <w:pageBreakBefore w:val="0"/>
        <w:kinsoku/>
        <w:wordWrap/>
        <w:overflowPunct/>
        <w:topLinePunct w:val="0"/>
        <w:autoSpaceDE/>
        <w:autoSpaceDN/>
        <w:bidi w:val="0"/>
        <w:snapToGrid/>
        <w:spacing w:line="336" w:lineRule="auto"/>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3.支持中小企业发展。</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snapToGrid/>
        <w:spacing w:line="336"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bCs/>
          <w:sz w:val="24"/>
          <w:highlight w:val="none"/>
        </w:rPr>
        <w:t>3.2</w:t>
      </w:r>
      <w:r>
        <w:rPr>
          <w:rFonts w:hint="eastAsia" w:ascii="宋体" w:hAnsi="宋体" w:eastAsia="宋体" w:cs="宋体"/>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w:t>
      </w:r>
      <w:r>
        <w:rPr>
          <w:rFonts w:hint="eastAsia" w:ascii="宋体" w:hAnsi="宋体" w:eastAsia="宋体" w:cs="宋体"/>
          <w:color w:val="auto"/>
          <w:kern w:val="0"/>
          <w:sz w:val="24"/>
          <w:highlight w:val="none"/>
        </w:rPr>
        <w:t>不享受中小企业扶持政策。</w:t>
      </w:r>
    </w:p>
    <w:p>
      <w:pPr>
        <w:keepNext w:val="0"/>
        <w:keepLines w:val="0"/>
        <w:pageBreakBefore w:val="0"/>
        <w:widowControl/>
        <w:kinsoku/>
        <w:wordWrap/>
        <w:overflowPunct/>
        <w:topLinePunct w:val="0"/>
        <w:autoSpaceDE/>
        <w:autoSpaceDN/>
        <w:bidi w:val="0"/>
        <w:snapToGrid/>
        <w:spacing w:line="336" w:lineRule="auto"/>
        <w:ind w:firstLine="480" w:firstLineChars="200"/>
        <w:jc w:val="left"/>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货物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snapToGrid/>
        <w:spacing w:line="336" w:lineRule="auto"/>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autoSpaceDE/>
        <w:autoSpaceDN/>
        <w:bidi w:val="0"/>
        <w:snapToGrid/>
        <w:spacing w:line="336" w:lineRule="auto"/>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pPr>
        <w:keepNext w:val="0"/>
        <w:keepLines w:val="0"/>
        <w:pageBreakBefore w:val="0"/>
        <w:kinsoku/>
        <w:wordWrap/>
        <w:overflowPunct/>
        <w:topLinePunct w:val="0"/>
        <w:autoSpaceDE/>
        <w:autoSpaceDN/>
        <w:bidi w:val="0"/>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pPr>
        <w:kinsoku/>
        <w:wordWrap/>
        <w:overflowPunct/>
        <w:topLinePunct w:val="0"/>
        <w:bidi w:val="0"/>
        <w:adjustRightInd/>
        <w:spacing w:line="360" w:lineRule="auto"/>
        <w:jc w:val="center"/>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pPr>
        <w:pStyle w:val="32"/>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pPr>
        <w:kinsoku/>
        <w:wordWrap/>
        <w:overflowPunct/>
        <w:topLinePunct w:val="0"/>
        <w:autoSpaceDE w:val="0"/>
        <w:autoSpaceDN w:val="0"/>
        <w:bidi w:val="0"/>
        <w:spacing w:line="360" w:lineRule="auto"/>
        <w:ind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pPr>
        <w:pStyle w:val="32"/>
        <w:kinsoku/>
        <w:wordWrap/>
        <w:overflowPunct/>
        <w:topLinePunct w:val="0"/>
        <w:bidi w:val="0"/>
        <w:spacing w:line="360" w:lineRule="auto"/>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7"/>
        <w:kinsoku/>
        <w:wordWrap/>
        <w:overflowPunct/>
        <w:topLinePunct w:val="0"/>
        <w:bidi w:val="0"/>
        <w:spacing w:line="360" w:lineRule="auto"/>
        <w:ind w:firstLine="434" w:firstLineChars="181"/>
        <w:outlineLvl w:val="9"/>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pPr>
        <w:pStyle w:val="32"/>
        <w:kinsoku/>
        <w:wordWrap/>
        <w:overflowPunct/>
        <w:topLinePunct w:val="0"/>
        <w:bidi w:val="0"/>
        <w:spacing w:line="360" w:lineRule="auto"/>
        <w:ind w:firstLine="482" w:firstLineChars="200"/>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pPr>
        <w:widowControl/>
        <w:kinsoku/>
        <w:wordWrap/>
        <w:overflowPunct/>
        <w:topLinePunct w:val="0"/>
        <w:bidi w:val="0"/>
        <w:adjustRightInd/>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pPr>
              <w:pStyle w:val="32"/>
              <w:kinsoku/>
              <w:wordWrap/>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4536" w:type="dxa"/>
            <w:vAlign w:val="center"/>
          </w:tcPr>
          <w:p>
            <w:pPr>
              <w:pStyle w:val="32"/>
              <w:kinsoku/>
              <w:wordWrap/>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pPr>
              <w:pStyle w:val="32"/>
              <w:kinsoku/>
              <w:wordWrap/>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4536" w:type="dxa"/>
            <w:vAlign w:val="center"/>
          </w:tcPr>
          <w:p>
            <w:pPr>
              <w:pStyle w:val="32"/>
              <w:kinsoku/>
              <w:wordWrap/>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pPr>
              <w:pStyle w:val="32"/>
              <w:kinsoku/>
              <w:wordWrap/>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pPr>
              <w:pStyle w:val="32"/>
              <w:kinsoku/>
              <w:wordWrap/>
              <w:overflowPunct/>
              <w:topLinePunct w:val="0"/>
              <w:bidi w:val="0"/>
              <w:spacing w:line="360" w:lineRule="auto"/>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pPr>
        <w:pStyle w:val="32"/>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auto"/>
          <w:sz w:val="24"/>
          <w:highlight w:val="none"/>
          <w:lang w:val="en-US" w:eastAsia="zh-CN"/>
        </w:rPr>
        <w:t>浙江省财政厅</w:t>
      </w:r>
      <w:r>
        <w:rPr>
          <w:rFonts w:hint="eastAsia" w:ascii="宋体" w:hAnsi="宋体" w:eastAsia="宋体" w:cs="宋体"/>
          <w:color w:val="auto"/>
          <w:sz w:val="24"/>
          <w:highlight w:val="none"/>
        </w:rPr>
        <w:t>关于进一步加强政府采购公</w:t>
      </w:r>
      <w:r>
        <w:rPr>
          <w:rFonts w:hint="eastAsia" w:ascii="宋体" w:hAnsi="宋体" w:eastAsia="宋体" w:cs="宋体"/>
          <w:color w:val="auto"/>
          <w:sz w:val="24"/>
          <w:highlight w:val="none"/>
          <w:lang w:val="en-US" w:eastAsia="zh-CN"/>
        </w:rPr>
        <w:t>平竞争打造最</w:t>
      </w:r>
      <w:r>
        <w:rPr>
          <w:rFonts w:hint="eastAsia" w:ascii="宋体" w:hAnsi="宋体" w:eastAsia="宋体" w:cs="宋体"/>
          <w:color w:val="auto"/>
          <w:sz w:val="24"/>
          <w:highlight w:val="none"/>
        </w:rPr>
        <w:t>优营商环境的通知》（</w:t>
      </w:r>
      <w:r>
        <w:rPr>
          <w:rFonts w:hint="eastAsia" w:ascii="宋体" w:hAnsi="宋体" w:eastAsia="宋体" w:cs="宋体"/>
          <w:color w:val="auto"/>
          <w:sz w:val="24"/>
          <w:highlight w:val="none"/>
          <w:lang w:val="en-US" w:eastAsia="zh-CN"/>
        </w:rPr>
        <w:t>浙</w:t>
      </w:r>
      <w:r>
        <w:rPr>
          <w:rFonts w:hint="eastAsia" w:ascii="宋体" w:hAnsi="宋体" w:eastAsia="宋体" w:cs="宋体"/>
          <w:color w:val="auto"/>
          <w:sz w:val="24"/>
          <w:highlight w:val="none"/>
        </w:rPr>
        <w:t>财采监〔2021〕</w:t>
      </w:r>
      <w:r>
        <w:rPr>
          <w:rFonts w:hint="eastAsia" w:ascii="宋体" w:hAnsi="宋体" w:eastAsia="宋体" w:cs="宋体"/>
          <w:color w:val="auto"/>
          <w:sz w:val="24"/>
          <w:highlight w:val="none"/>
          <w:lang w:val="en-US" w:eastAsia="zh-CN"/>
        </w:rPr>
        <w:t>2</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3.2.3询问或者质疑事项可能影响采购结果的，采购人应当暂停签订合同，已经签订合同的，应当中止履行合同。</w:t>
      </w:r>
    </w:p>
    <w:p>
      <w:pPr>
        <w:pStyle w:val="32"/>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kern w:val="0"/>
          <w:sz w:val="24"/>
          <w:highlight w:val="none"/>
          <w:lang w:val="zh-CN"/>
        </w:rPr>
        <w:t>3.3质疑函</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3.3.1供应商提出质疑应当提交质疑函和必要的证明材料。质疑函应当包括下列内容：</w:t>
      </w:r>
    </w:p>
    <w:p>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kinsoku/>
        <w:wordWrap/>
        <w:overflowPunct/>
        <w:topLinePunct w:val="0"/>
        <w:bidi w:val="0"/>
        <w:spacing w:line="36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质疑函范本及制作说明详见附件1。</w:t>
      </w:r>
    </w:p>
    <w:p>
      <w:pPr>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4.供应商投诉</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4.1质疑供应商对采购人、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的答复不满意或者采购人、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未在规定的时间内作出答复的，可以在答复期满后十五个工作日内向同级政府采购监督管理部门提出投诉。</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4.2供应商投诉的事项不得超出已质疑事项的范围，基于质疑答复内容提出的投诉事项除外。</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4.3供应商投诉应当有明确的请求和必要的证明材料。</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4.4以联合体形式参加政府采购活动的，其投诉应当由组成联合体的所有供应商共同提出。</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4.5</w:t>
      </w:r>
      <w:r>
        <w:rPr>
          <w:rFonts w:hint="eastAsia" w:ascii="宋体" w:hAnsi="宋体" w:eastAsia="宋体" w:cs="宋体"/>
          <w:sz w:val="24"/>
          <w:szCs w:val="24"/>
          <w:highlight w:val="none"/>
        </w:rPr>
        <w:t>投诉材料可寄送至</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详见“第一部分  邀请供应商”。</w:t>
      </w:r>
    </w:p>
    <w:p>
      <w:pPr>
        <w:pStyle w:val="32"/>
        <w:kinsoku/>
        <w:wordWrap/>
        <w:overflowPunct/>
        <w:topLinePunct w:val="0"/>
        <w:bidi w:val="0"/>
        <w:spacing w:line="360" w:lineRule="auto"/>
        <w:ind w:firstLine="482" w:firstLineChars="200"/>
        <w:outlineLvl w:val="9"/>
        <w:rPr>
          <w:rFonts w:hint="eastAsia" w:ascii="宋体" w:hAnsi="宋体" w:eastAsia="宋体" w:cs="宋体"/>
          <w:b/>
          <w:sz w:val="24"/>
          <w:highlight w:val="none"/>
        </w:rPr>
      </w:pPr>
      <w:r>
        <w:rPr>
          <w:rFonts w:hint="eastAsia" w:ascii="宋体" w:hAnsi="宋体" w:eastAsia="宋体" w:cs="宋体"/>
          <w:b/>
          <w:sz w:val="24"/>
          <w:highlight w:val="none"/>
        </w:rPr>
        <w:t>投诉书范本及制作说明详见附件2。</w:t>
      </w: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五、磋商文件构成、修改、解释</w:t>
      </w:r>
    </w:p>
    <w:p>
      <w:pPr>
        <w:kinsoku/>
        <w:wordWrap/>
        <w:overflowPunct/>
        <w:topLinePunct w:val="0"/>
        <w:autoSpaceDE w:val="0"/>
        <w:autoSpaceDN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1．磋商文件的构成</w:t>
      </w:r>
    </w:p>
    <w:p>
      <w:pPr>
        <w:pStyle w:val="32"/>
        <w:kinsoku/>
        <w:wordWrap/>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 磋商文件包括下列文件及附件</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邀请供应商</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竞争性磋商流程</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供应商须知</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采购需求</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评审方法及评审标准</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拟签订的合同文本</w:t>
      </w:r>
    </w:p>
    <w:p>
      <w:pPr>
        <w:pStyle w:val="32"/>
        <w:numPr>
          <w:ilvl w:val="0"/>
          <w:numId w:val="4"/>
        </w:numPr>
        <w:kinsoku/>
        <w:wordWrap/>
        <w:overflowPunct/>
        <w:topLinePunct w:val="0"/>
        <w:bidi w:val="0"/>
        <w:spacing w:line="360" w:lineRule="auto"/>
        <w:ind w:left="839"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第七部分  应提交的有关格式范例</w:t>
      </w:r>
    </w:p>
    <w:p>
      <w:pPr>
        <w:pStyle w:val="32"/>
        <w:kinsoku/>
        <w:wordWrap/>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 </w:t>
      </w:r>
      <w:r>
        <w:rPr>
          <w:rFonts w:hint="eastAsia" w:ascii="宋体" w:hAnsi="宋体" w:eastAsia="宋体" w:cs="宋体"/>
          <w:sz w:val="24"/>
          <w:highlight w:val="none"/>
        </w:rPr>
        <w:t>与本项目有关的</w:t>
      </w:r>
      <w:r>
        <w:rPr>
          <w:rFonts w:hint="eastAsia" w:ascii="宋体" w:hAnsi="宋体" w:eastAsia="宋体" w:cs="宋体"/>
          <w:bCs/>
          <w:sz w:val="24"/>
          <w:highlight w:val="none"/>
        </w:rPr>
        <w:t>澄清或者修改的内容为磋商文件的组成部分</w:t>
      </w:r>
      <w:r>
        <w:rPr>
          <w:rFonts w:hint="eastAsia" w:ascii="宋体" w:hAnsi="宋体" w:eastAsia="宋体" w:cs="宋体"/>
          <w:sz w:val="24"/>
          <w:highlight w:val="none"/>
        </w:rPr>
        <w:t>。</w:t>
      </w:r>
    </w:p>
    <w:p>
      <w:pPr>
        <w:pStyle w:val="32"/>
        <w:kinsoku/>
        <w:wordWrap/>
        <w:overflowPunct/>
        <w:topLinePunct w:val="0"/>
        <w:bidi w:val="0"/>
        <w:spacing w:line="360" w:lineRule="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 磋商文件的澄清、修改</w:t>
      </w:r>
    </w:p>
    <w:p>
      <w:pPr>
        <w:pStyle w:val="394"/>
        <w:kinsoku/>
        <w:wordWrap/>
        <w:overflowPunct/>
        <w:topLinePunct w:val="0"/>
        <w:bidi w:val="0"/>
        <w:snapToGrid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2.1已获取磋商文件的潜在供应商，若有问题需要澄清，应于提交首次响应文件截止时间前，以书面形式向</w:t>
      </w:r>
      <w:r>
        <w:rPr>
          <w:rFonts w:hint="eastAsia" w:ascii="宋体" w:hAnsi="宋体" w:eastAsia="宋体" w:cs="宋体"/>
          <w:highlight w:val="none"/>
          <w:lang w:eastAsia="zh-CN"/>
        </w:rPr>
        <w:t>采购代理机构</w:t>
      </w:r>
      <w:r>
        <w:rPr>
          <w:rFonts w:hint="eastAsia" w:ascii="宋体" w:hAnsi="宋体" w:eastAsia="宋体" w:cs="宋体"/>
          <w:highlight w:val="none"/>
        </w:rPr>
        <w:t>提出。</w:t>
      </w:r>
    </w:p>
    <w:p>
      <w:pPr>
        <w:pStyle w:val="394"/>
        <w:kinsoku/>
        <w:wordWrap/>
        <w:overflowPunct/>
        <w:topLinePunct w:val="0"/>
        <w:bidi w:val="0"/>
        <w:snapToGrid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2.2</w:t>
      </w:r>
      <w:r>
        <w:rPr>
          <w:rFonts w:hint="eastAsia" w:ascii="宋体" w:hAnsi="宋体" w:eastAsia="宋体" w:cs="宋体"/>
          <w:highlight w:val="none"/>
          <w:lang w:eastAsia="zh-CN"/>
        </w:rPr>
        <w:t>采购代理机构</w:t>
      </w:r>
      <w:r>
        <w:rPr>
          <w:rFonts w:hint="eastAsia" w:ascii="宋体" w:hAnsi="宋体" w:eastAsia="宋体" w:cs="宋体"/>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4"/>
        <w:kinsoku/>
        <w:wordWrap/>
        <w:overflowPunct/>
        <w:topLinePunct w:val="0"/>
        <w:bidi w:val="0"/>
        <w:snapToGrid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2.3澄清或者修改的内容可能影响响应文件编制的，采购人、</w:t>
      </w:r>
      <w:r>
        <w:rPr>
          <w:rFonts w:hint="eastAsia" w:ascii="宋体" w:hAnsi="宋体" w:eastAsia="宋体" w:cs="宋体"/>
          <w:highlight w:val="none"/>
          <w:lang w:eastAsia="zh-CN"/>
        </w:rPr>
        <w:t>采购代理机构</w:t>
      </w:r>
      <w:r>
        <w:rPr>
          <w:rFonts w:hint="eastAsia" w:ascii="宋体" w:hAnsi="宋体" w:eastAsia="宋体" w:cs="宋体"/>
          <w:highlight w:val="none"/>
        </w:rPr>
        <w:t>应当在提交首次响应文件截止时间至少5日前，通过电子交易平台通知所有获取磋商文件的供应商；不足5日的，采购人、</w:t>
      </w:r>
      <w:r>
        <w:rPr>
          <w:rFonts w:hint="eastAsia" w:ascii="宋体" w:hAnsi="宋体" w:eastAsia="宋体" w:cs="宋体"/>
          <w:highlight w:val="none"/>
          <w:lang w:eastAsia="zh-CN"/>
        </w:rPr>
        <w:t>采购代理机构</w:t>
      </w:r>
      <w:r>
        <w:rPr>
          <w:rFonts w:hint="eastAsia" w:ascii="宋体" w:hAnsi="宋体" w:eastAsia="宋体" w:cs="宋体"/>
          <w:highlight w:val="none"/>
        </w:rPr>
        <w:t>应当顺延提交首次响应文件截止时间。</w:t>
      </w:r>
    </w:p>
    <w:p>
      <w:pPr>
        <w:pStyle w:val="394"/>
        <w:kinsoku/>
        <w:wordWrap/>
        <w:overflowPunct/>
        <w:topLinePunct w:val="0"/>
        <w:bidi w:val="0"/>
        <w:snapToGrid w:val="0"/>
        <w:spacing w:before="0"/>
        <w:ind w:firstLine="482"/>
        <w:outlineLvl w:val="9"/>
        <w:rPr>
          <w:rFonts w:hint="eastAsia" w:ascii="宋体" w:hAnsi="宋体" w:eastAsia="宋体" w:cs="宋体"/>
          <w:sz w:val="18"/>
          <w:szCs w:val="18"/>
          <w:highlight w:val="none"/>
          <w:lang w:val="en-US"/>
        </w:rPr>
      </w:pPr>
      <w:r>
        <w:rPr>
          <w:rFonts w:hint="eastAsia" w:ascii="宋体" w:hAnsi="宋体" w:cs="宋体"/>
          <w:b/>
          <w:highlight w:val="none"/>
          <w:lang w:eastAsia="zh-CN"/>
        </w:rPr>
        <w:t>▲</w:t>
      </w:r>
      <w:r>
        <w:rPr>
          <w:rFonts w:hint="eastAsia" w:ascii="宋体" w:hAnsi="宋体" w:eastAsia="宋体" w:cs="宋体"/>
          <w:b/>
          <w:szCs w:val="21"/>
          <w:highlight w:val="none"/>
        </w:rPr>
        <w:t>响应文件未按磋商文件的澄清、修改的内容编制，又不符合实质性要求的，响应无效。</w:t>
      </w: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六、响应文件的编制</w:t>
      </w:r>
    </w:p>
    <w:p>
      <w:pPr>
        <w:pStyle w:val="32"/>
        <w:kinsoku/>
        <w:wordWrap/>
        <w:overflowPunct/>
        <w:topLinePunct w:val="0"/>
        <w:bidi w:val="0"/>
        <w:spacing w:line="360" w:lineRule="auto"/>
        <w:outlineLvl w:val="9"/>
        <w:rPr>
          <w:rFonts w:hint="eastAsia" w:ascii="宋体" w:hAnsi="宋体" w:eastAsia="宋体" w:cs="宋体"/>
          <w:b/>
          <w:sz w:val="24"/>
          <w:szCs w:val="24"/>
          <w:highlight w:val="none"/>
        </w:rPr>
      </w:pPr>
      <w:r>
        <w:rPr>
          <w:rFonts w:hint="eastAsia" w:ascii="宋体" w:hAnsi="宋体" w:eastAsia="宋体" w:cs="宋体"/>
          <w:b/>
          <w:sz w:val="24"/>
          <w:highlight w:val="none"/>
        </w:rPr>
        <w:t>1. 响应文件的语言</w:t>
      </w:r>
    </w:p>
    <w:p>
      <w:pPr>
        <w:pStyle w:val="32"/>
        <w:kinsoku/>
        <w:wordWrap/>
        <w:overflowPunct/>
        <w:topLinePunct w:val="0"/>
        <w:bidi w:val="0"/>
        <w:spacing w:line="360" w:lineRule="auto"/>
        <w:ind w:firstLine="480" w:firstLineChars="200"/>
        <w:outlineLvl w:val="9"/>
        <w:rPr>
          <w:rFonts w:hint="eastAsia" w:ascii="宋体" w:hAnsi="宋体" w:eastAsia="宋体" w:cs="宋体"/>
          <w:b/>
          <w:sz w:val="24"/>
          <w:szCs w:val="24"/>
          <w:highlight w:val="none"/>
        </w:rPr>
      </w:pPr>
      <w:r>
        <w:rPr>
          <w:rFonts w:hint="eastAsia" w:ascii="宋体" w:hAnsi="宋体" w:eastAsia="宋体" w:cs="宋体"/>
          <w:sz w:val="24"/>
          <w:highlight w:val="none"/>
        </w:rPr>
        <w:t>响应文件及供应商与采购有关的来往通知、函件和文件均应使用中文。</w:t>
      </w:r>
    </w:p>
    <w:p>
      <w:pPr>
        <w:pStyle w:val="32"/>
        <w:kinsoku/>
        <w:wordWrap/>
        <w:overflowPunct/>
        <w:topLinePunct w:val="0"/>
        <w:bidi w:val="0"/>
        <w:spacing w:line="360" w:lineRule="auto"/>
        <w:outlineLvl w:val="9"/>
        <w:rPr>
          <w:rFonts w:hint="eastAsia" w:ascii="宋体" w:hAnsi="宋体" w:eastAsia="宋体" w:cs="宋体"/>
          <w:b/>
          <w:sz w:val="24"/>
          <w:szCs w:val="24"/>
          <w:highlight w:val="none"/>
        </w:rPr>
      </w:pPr>
      <w:r>
        <w:rPr>
          <w:rFonts w:hint="eastAsia" w:ascii="宋体" w:hAnsi="宋体" w:eastAsia="宋体" w:cs="宋体"/>
          <w:b/>
          <w:sz w:val="24"/>
          <w:highlight w:val="none"/>
        </w:rPr>
        <w:t>2. 响应文件的组成</w:t>
      </w:r>
    </w:p>
    <w:p>
      <w:pPr>
        <w:pStyle w:val="32"/>
        <w:kinsoku/>
        <w:wordWrap/>
        <w:overflowPunct/>
        <w:topLinePunct w:val="0"/>
        <w:bidi w:val="0"/>
        <w:spacing w:line="360" w:lineRule="auto"/>
        <w:ind w:firstLine="480" w:firstLineChars="200"/>
        <w:outlineLvl w:val="9"/>
        <w:rPr>
          <w:rFonts w:hint="eastAsia" w:ascii="宋体" w:hAnsi="宋体" w:eastAsia="宋体" w:cs="宋体"/>
          <w:b/>
          <w:sz w:val="24"/>
          <w:szCs w:val="24"/>
          <w:highlight w:val="none"/>
        </w:rPr>
      </w:pPr>
      <w:r>
        <w:rPr>
          <w:rFonts w:hint="eastAsia" w:ascii="宋体" w:hAnsi="宋体" w:eastAsia="宋体" w:cs="宋体"/>
          <w:sz w:val="24"/>
          <w:highlight w:val="none"/>
        </w:rPr>
        <w:t>响应文件应当包括以下主要内容：</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（1）响应函</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（2）资格文件</w:t>
      </w:r>
    </w:p>
    <w:p>
      <w:pPr>
        <w:pStyle w:val="32"/>
        <w:kinsoku/>
        <w:wordWrap/>
        <w:overflowPunct/>
        <w:topLinePunct w:val="0"/>
        <w:bidi w:val="0"/>
        <w:spacing w:line="360" w:lineRule="auto"/>
        <w:ind w:firstLine="480" w:firstLineChars="200"/>
        <w:outlineLvl w:val="9"/>
        <w:rPr>
          <w:rFonts w:hint="eastAsia" w:ascii="宋体" w:hAnsi="宋体" w:eastAsia="宋体" w:cs="宋体"/>
          <w:b/>
          <w:sz w:val="24"/>
          <w:szCs w:val="24"/>
          <w:highlight w:val="none"/>
        </w:rPr>
      </w:pPr>
      <w:r>
        <w:rPr>
          <w:rFonts w:hint="eastAsia" w:ascii="宋体" w:hAnsi="宋体" w:eastAsia="宋体" w:cs="宋体"/>
          <w:sz w:val="24"/>
          <w:highlight w:val="none"/>
        </w:rPr>
        <w:t>A、符合参加政府采购活动应当具备的一般条件的承诺函（如以联合体形式参加政府采购活动的，联合体各方均应提交该承诺函）；</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B、联合协议（如果有）；</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C、落实政府采购政策需满足的资格要求</w:t>
      </w:r>
      <w:r>
        <w:rPr>
          <w:rFonts w:hint="eastAsia" w:ascii="宋体" w:hAnsi="宋体" w:eastAsia="宋体" w:cs="宋体"/>
          <w:snapToGrid w:val="0"/>
          <w:kern w:val="28"/>
          <w:sz w:val="24"/>
          <w:highlight w:val="none"/>
        </w:rPr>
        <w:t>（如果有)；</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D、符合特定资格条件的有关证明材料（如果有）。 </w:t>
      </w:r>
    </w:p>
    <w:p>
      <w:pPr>
        <w:pStyle w:val="32"/>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zh-CN"/>
        </w:rPr>
        <w:t>法人授权书</w:t>
      </w:r>
      <w:r>
        <w:rPr>
          <w:rFonts w:hint="eastAsia" w:ascii="宋体" w:hAnsi="宋体" w:eastAsia="宋体" w:cs="宋体"/>
          <w:sz w:val="24"/>
          <w:highlight w:val="none"/>
        </w:rPr>
        <w:t>；</w:t>
      </w:r>
    </w:p>
    <w:p>
      <w:pPr>
        <w:pStyle w:val="32"/>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highlight w:val="none"/>
        </w:rPr>
        <w:t>分包意向协议</w:t>
      </w:r>
      <w:r>
        <w:rPr>
          <w:rFonts w:hint="eastAsia" w:ascii="宋体" w:hAnsi="宋体" w:eastAsia="宋体" w:cs="宋体"/>
          <w:snapToGrid w:val="0"/>
          <w:kern w:val="28"/>
          <w:sz w:val="24"/>
          <w:highlight w:val="none"/>
        </w:rPr>
        <w:t>（如果有)</w:t>
      </w:r>
      <w:r>
        <w:rPr>
          <w:rFonts w:hint="eastAsia" w:ascii="宋体" w:hAnsi="宋体" w:eastAsia="宋体" w:cs="宋体"/>
          <w:kern w:val="0"/>
          <w:sz w:val="24"/>
          <w:highlight w:val="none"/>
          <w:lang w:val="zh-CN"/>
        </w:rPr>
        <w:t>；</w:t>
      </w:r>
    </w:p>
    <w:p>
      <w:pPr>
        <w:pStyle w:val="32"/>
        <w:kinsoku/>
        <w:wordWrap/>
        <w:overflowPunct/>
        <w:topLinePunct w:val="0"/>
        <w:bidi w:val="0"/>
        <w:spacing w:line="360" w:lineRule="auto"/>
        <w:ind w:firstLine="480" w:firstLineChars="200"/>
        <w:jc w:val="left"/>
        <w:outlineLvl w:val="9"/>
        <w:rPr>
          <w:rFonts w:hint="eastAsia" w:ascii="宋体" w:hAnsi="宋体" w:eastAsia="宋体" w:cs="宋体"/>
          <w:b/>
          <w:sz w:val="24"/>
          <w:szCs w:val="24"/>
          <w:highlight w:val="none"/>
        </w:rPr>
      </w:pPr>
      <w:r>
        <w:rPr>
          <w:rFonts w:hint="eastAsia" w:ascii="宋体" w:hAnsi="宋体" w:eastAsia="宋体" w:cs="宋体"/>
          <w:sz w:val="24"/>
          <w:highlight w:val="none"/>
        </w:rPr>
        <w:t>（5）所有资信文件</w:t>
      </w:r>
      <w:r>
        <w:rPr>
          <w:rFonts w:hint="eastAsia" w:ascii="宋体" w:hAnsi="宋体" w:eastAsia="宋体" w:cs="宋体"/>
          <w:kern w:val="0"/>
          <w:sz w:val="24"/>
          <w:highlight w:val="none"/>
        </w:rPr>
        <w:t>（如果有）；</w:t>
      </w:r>
    </w:p>
    <w:p>
      <w:pPr>
        <w:pStyle w:val="32"/>
        <w:kinsoku/>
        <w:wordWrap/>
        <w:overflowPunct/>
        <w:topLinePunct w:val="0"/>
        <w:bidi w:val="0"/>
        <w:spacing w:line="360" w:lineRule="auto"/>
        <w:ind w:firstLine="480" w:firstLineChars="200"/>
        <w:jc w:val="left"/>
        <w:outlineLvl w:val="9"/>
        <w:rPr>
          <w:rFonts w:hint="eastAsia" w:ascii="宋体" w:hAnsi="宋体" w:eastAsia="宋体" w:cs="宋体"/>
          <w:b/>
          <w:sz w:val="24"/>
          <w:szCs w:val="24"/>
          <w:highlight w:val="none"/>
        </w:rPr>
      </w:pPr>
      <w:r>
        <w:rPr>
          <w:rFonts w:hint="eastAsia" w:ascii="宋体" w:hAnsi="宋体" w:eastAsia="宋体" w:cs="宋体"/>
          <w:kern w:val="0"/>
          <w:sz w:val="24"/>
          <w:highlight w:val="none"/>
        </w:rPr>
        <w:t>（6）</w:t>
      </w:r>
      <w:r>
        <w:rPr>
          <w:rFonts w:hint="eastAsia" w:ascii="宋体" w:hAnsi="宋体" w:eastAsia="宋体" w:cs="宋体"/>
          <w:sz w:val="24"/>
          <w:highlight w:val="none"/>
        </w:rPr>
        <w:t>主要业绩证明（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kinsoku/>
        <w:wordWrap/>
        <w:overflowPunct/>
        <w:topLinePunct w:val="0"/>
        <w:bidi w:val="0"/>
        <w:spacing w:line="360" w:lineRule="auto"/>
        <w:ind w:firstLine="480" w:firstLineChars="200"/>
        <w:jc w:val="left"/>
        <w:outlineLvl w:val="9"/>
        <w:rPr>
          <w:rFonts w:hint="eastAsia" w:ascii="宋体" w:hAnsi="宋体" w:eastAsia="宋体" w:cs="宋体"/>
          <w:b/>
          <w:sz w:val="24"/>
          <w:szCs w:val="24"/>
          <w:highlight w:val="none"/>
        </w:rPr>
      </w:pPr>
      <w:r>
        <w:rPr>
          <w:rFonts w:hint="eastAsia" w:ascii="宋体" w:hAnsi="宋体" w:eastAsia="宋体" w:cs="宋体"/>
          <w:snapToGrid w:val="0"/>
          <w:sz w:val="24"/>
          <w:highlight w:val="none"/>
        </w:rPr>
        <w:t>（7）</w:t>
      </w:r>
      <w:r>
        <w:rPr>
          <w:rFonts w:hint="eastAsia" w:ascii="宋体" w:hAnsi="宋体" w:eastAsia="宋体" w:cs="宋体"/>
          <w:kern w:val="0"/>
          <w:sz w:val="24"/>
          <w:highlight w:val="none"/>
          <w:lang w:val="zh-CN"/>
        </w:rPr>
        <w:t>关于对磋商文件中有关条款的拒绝声明(如果有)</w:t>
      </w:r>
      <w:r>
        <w:rPr>
          <w:rFonts w:hint="eastAsia" w:ascii="宋体" w:hAnsi="宋体" w:eastAsia="宋体" w:cs="宋体"/>
          <w:sz w:val="24"/>
          <w:highlight w:val="none"/>
          <w:lang w:val="zh-CN"/>
        </w:rPr>
        <w:t xml:space="preserve"> ；</w:t>
      </w:r>
    </w:p>
    <w:p>
      <w:pPr>
        <w:pStyle w:val="32"/>
        <w:kinsoku/>
        <w:wordWrap/>
        <w:overflowPunct/>
        <w:topLinePunct w:val="0"/>
        <w:bidi w:val="0"/>
        <w:spacing w:line="360" w:lineRule="auto"/>
        <w:ind w:firstLine="480" w:firstLineChars="200"/>
        <w:jc w:val="left"/>
        <w:outlineLvl w:val="9"/>
        <w:rPr>
          <w:rFonts w:hint="eastAsia" w:ascii="宋体" w:hAnsi="宋体" w:eastAsia="宋体" w:cs="宋体"/>
          <w:b/>
          <w:sz w:val="24"/>
          <w:szCs w:val="24"/>
          <w:highlight w:val="none"/>
        </w:rPr>
      </w:pPr>
      <w:r>
        <w:rPr>
          <w:rFonts w:hint="eastAsia" w:ascii="宋体" w:hAnsi="宋体" w:eastAsia="宋体" w:cs="宋体"/>
          <w:sz w:val="24"/>
          <w:highlight w:val="none"/>
        </w:rPr>
        <w:t>（8）</w:t>
      </w:r>
      <w:r>
        <w:rPr>
          <w:rFonts w:hint="eastAsia" w:ascii="宋体" w:hAnsi="宋体" w:eastAsia="宋体" w:cs="宋体"/>
          <w:kern w:val="0"/>
          <w:sz w:val="24"/>
          <w:highlight w:val="none"/>
          <w:lang w:val="zh-CN"/>
        </w:rPr>
        <w:t>认为需要的其他商务文件或说明 (如果有) ；</w:t>
      </w:r>
    </w:p>
    <w:p>
      <w:pPr>
        <w:pStyle w:val="32"/>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w:t>
      </w:r>
      <w:r>
        <w:rPr>
          <w:rFonts w:hint="eastAsia" w:ascii="宋体" w:hAnsi="宋体" w:eastAsia="宋体" w:cs="宋体"/>
          <w:sz w:val="24"/>
          <w:highlight w:val="none"/>
          <w:lang w:val="zh-CN"/>
        </w:rPr>
        <w:t>针对本项目《第四部分  采购需求》和“第五部分  评审方法及评审标准  评审方法前附表”中的条款拟定完整方案，格式自拟；</w:t>
      </w:r>
    </w:p>
    <w:p>
      <w:pPr>
        <w:pStyle w:val="32"/>
        <w:kinsoku/>
        <w:wordWrap/>
        <w:overflowPunct/>
        <w:topLinePunct w:val="0"/>
        <w:bidi w:val="0"/>
        <w:spacing w:line="360" w:lineRule="auto"/>
        <w:ind w:firstLine="480" w:firstLineChars="200"/>
        <w:jc w:val="left"/>
        <w:outlineLvl w:val="9"/>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供应商认为需要的其他技术文件或说明（如果有）；</w:t>
      </w:r>
    </w:p>
    <w:p>
      <w:pPr>
        <w:pStyle w:val="32"/>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kern w:val="0"/>
          <w:sz w:val="24"/>
          <w:highlight w:val="none"/>
          <w:lang w:val="zh-CN"/>
        </w:rPr>
        <w:t>政府采购供应商廉洁自律承诺书。</w:t>
      </w:r>
    </w:p>
    <w:p>
      <w:pPr>
        <w:pStyle w:val="32"/>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12</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初次报价文件</w:t>
      </w:r>
      <w:r>
        <w:rPr>
          <w:rFonts w:hint="eastAsia" w:ascii="宋体" w:hAnsi="宋体" w:eastAsia="宋体" w:cs="宋体"/>
          <w:kern w:val="0"/>
          <w:sz w:val="24"/>
          <w:highlight w:val="none"/>
          <w:lang w:val="en-US" w:eastAsia="zh-CN"/>
        </w:rPr>
        <w:t>。</w:t>
      </w:r>
    </w:p>
    <w:p>
      <w:pPr>
        <w:pStyle w:val="32"/>
        <w:kinsoku/>
        <w:wordWrap/>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 响应文件的编制和签署</w:t>
      </w:r>
    </w:p>
    <w:p>
      <w:pPr>
        <w:kinsoku/>
        <w:wordWrap/>
        <w:overflowPunct/>
        <w:topLinePunct w:val="0"/>
        <w:bidi w:val="0"/>
        <w:spacing w:line="360" w:lineRule="auto"/>
        <w:ind w:firstLine="480" w:firstLineChars="200"/>
        <w:outlineLvl w:val="9"/>
        <w:rPr>
          <w:rFonts w:hint="eastAsia" w:ascii="宋体" w:hAnsi="宋体" w:eastAsia="宋体" w:cs="宋体"/>
          <w:b/>
          <w:sz w:val="24"/>
          <w:highlight w:val="none"/>
        </w:rPr>
      </w:pPr>
      <w:r>
        <w:rPr>
          <w:rFonts w:hint="eastAsia" w:ascii="宋体" w:hAnsi="宋体" w:eastAsia="宋体" w:cs="宋体"/>
          <w:kern w:val="0"/>
          <w:sz w:val="24"/>
          <w:highlight w:val="none"/>
          <w:lang w:val="zh-CN"/>
        </w:rPr>
        <w:t>3.1各供应商在编制响应文件时请按照磋商文件第七部分规定的格式进行，混乱的编排导致响应文件被误读或磋商小组查找不到有效文件是供应商的风险。</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4"/>
        <w:kinsoku/>
        <w:wordWrap/>
        <w:overflowPunct/>
        <w:topLinePunct w:val="0"/>
        <w:bidi w:val="0"/>
        <w:snapToGrid w:val="0"/>
        <w:spacing w:before="0"/>
        <w:ind w:firstLine="480"/>
        <w:outlineLvl w:val="9"/>
        <w:rPr>
          <w:rFonts w:hint="eastAsia" w:ascii="宋体" w:hAnsi="宋体" w:eastAsia="宋体" w:cs="宋体"/>
          <w:b/>
          <w:highlight w:val="none"/>
        </w:rPr>
      </w:pPr>
      <w:r>
        <w:rPr>
          <w:rFonts w:hint="eastAsia" w:ascii="宋体" w:hAnsi="宋体" w:eastAsia="宋体" w:cs="宋体"/>
          <w:szCs w:val="24"/>
          <w:highlight w:val="none"/>
        </w:rPr>
        <w:t>3.4响应文件按照磋商文件第七部分格式要</w:t>
      </w:r>
      <w:r>
        <w:rPr>
          <w:rFonts w:hint="eastAsia" w:ascii="宋体" w:hAnsi="宋体" w:eastAsia="宋体" w:cs="宋体"/>
          <w:highlight w:val="none"/>
        </w:rPr>
        <w:t>求进行签署、盖章。</w:t>
      </w:r>
      <w:r>
        <w:rPr>
          <w:rFonts w:hint="eastAsia" w:ascii="宋体" w:hAnsi="宋体" w:cs="宋体"/>
          <w:b/>
          <w:highlight w:val="none"/>
          <w:lang w:eastAsia="zh-CN"/>
        </w:rPr>
        <w:t>▲</w:t>
      </w:r>
      <w:r>
        <w:rPr>
          <w:rFonts w:hint="eastAsia" w:ascii="宋体" w:hAnsi="宋体" w:eastAsia="宋体" w:cs="宋体"/>
          <w:b/>
          <w:highlight w:val="none"/>
        </w:rPr>
        <w:t>供应商的响应文件未按照磋商文件要求签署、盖章的，其响应无效</w:t>
      </w:r>
      <w:r>
        <w:rPr>
          <w:rFonts w:hint="eastAsia" w:ascii="宋体" w:hAnsi="宋体" w:eastAsia="宋体" w:cs="宋体"/>
          <w:szCs w:val="24"/>
          <w:highlight w:val="none"/>
        </w:rPr>
        <w:t>。</w:t>
      </w:r>
    </w:p>
    <w:p>
      <w:pPr>
        <w:pStyle w:val="394"/>
        <w:kinsoku/>
        <w:wordWrap/>
        <w:overflowPunct/>
        <w:topLinePunct w:val="0"/>
        <w:bidi w:val="0"/>
        <w:snapToGrid w:val="0"/>
        <w:spacing w:before="0"/>
        <w:ind w:firstLine="480"/>
        <w:outlineLvl w:val="9"/>
        <w:rPr>
          <w:rFonts w:hint="eastAsia" w:ascii="宋体" w:hAnsi="宋体" w:eastAsia="宋体" w:cs="宋体"/>
          <w:highlight w:val="none"/>
        </w:rPr>
      </w:pPr>
      <w:r>
        <w:rPr>
          <w:rFonts w:hint="eastAsia" w:ascii="宋体" w:hAnsi="宋体" w:eastAsia="宋体" w:cs="宋体"/>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4"/>
        <w:kinsoku/>
        <w:wordWrap/>
        <w:overflowPunct/>
        <w:topLinePunct w:val="0"/>
        <w:bidi w:val="0"/>
        <w:snapToGrid w:val="0"/>
        <w:spacing w:before="0"/>
        <w:ind w:firstLine="480"/>
        <w:outlineLvl w:val="9"/>
        <w:rPr>
          <w:rFonts w:hint="eastAsia" w:ascii="宋体" w:hAnsi="宋体" w:eastAsia="宋体" w:cs="宋体"/>
          <w:szCs w:val="24"/>
          <w:highlight w:val="none"/>
        </w:rPr>
      </w:pPr>
      <w:r>
        <w:rPr>
          <w:rFonts w:hint="eastAsia" w:ascii="宋体" w:hAnsi="宋体" w:eastAsia="宋体" w:cs="宋体"/>
          <w:highlight w:val="none"/>
        </w:rPr>
        <w:t>3.6磋商文件对响应文件签署、盖章的要求适用于电子签名。</w:t>
      </w: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七、</w:t>
      </w:r>
      <w:r>
        <w:rPr>
          <w:rFonts w:hint="eastAsia" w:ascii="宋体" w:hAnsi="宋体" w:eastAsia="宋体" w:cs="宋体"/>
          <w:b/>
          <w:sz w:val="32"/>
          <w:szCs w:val="32"/>
          <w:highlight w:val="none"/>
        </w:rPr>
        <w:t>响应</w:t>
      </w:r>
      <w:r>
        <w:rPr>
          <w:rFonts w:hint="eastAsia" w:ascii="宋体" w:hAnsi="宋体" w:eastAsia="宋体" w:cs="宋体"/>
          <w:b/>
          <w:sz w:val="32"/>
          <w:szCs w:val="20"/>
          <w:highlight w:val="none"/>
        </w:rPr>
        <w:t>文件的提交和备份</w:t>
      </w:r>
    </w:p>
    <w:p>
      <w:pPr>
        <w:pStyle w:val="394"/>
        <w:keepNext w:val="0"/>
        <w:keepLines w:val="0"/>
        <w:pageBreakBefore w:val="0"/>
        <w:widowControl w:val="0"/>
        <w:kinsoku/>
        <w:wordWrap/>
        <w:overflowPunct/>
        <w:topLinePunct w:val="0"/>
        <w:autoSpaceDE/>
        <w:autoSpaceDN/>
        <w:bidi w:val="0"/>
        <w:adjustRightInd w:val="0"/>
        <w:snapToGrid/>
        <w:spacing w:before="0" w:line="312" w:lineRule="auto"/>
        <w:ind w:firstLine="0" w:firstLineChars="0"/>
        <w:textAlignment w:val="auto"/>
        <w:outlineLvl w:val="9"/>
        <w:rPr>
          <w:rFonts w:hint="eastAsia" w:ascii="宋体" w:hAnsi="宋体" w:eastAsia="宋体" w:cs="宋体"/>
          <w:b/>
          <w:szCs w:val="24"/>
          <w:highlight w:val="none"/>
        </w:rPr>
      </w:pPr>
      <w:r>
        <w:rPr>
          <w:rFonts w:hint="eastAsia" w:ascii="宋体" w:hAnsi="宋体" w:eastAsia="宋体" w:cs="宋体"/>
          <w:b/>
          <w:szCs w:val="24"/>
          <w:highlight w:val="none"/>
        </w:rPr>
        <w:t>1.响应文件的提交、补充、修改、撤回</w:t>
      </w:r>
    </w:p>
    <w:p>
      <w:pPr>
        <w:pStyle w:val="394"/>
        <w:keepNext w:val="0"/>
        <w:keepLines w:val="0"/>
        <w:pageBreakBefore w:val="0"/>
        <w:widowControl w:val="0"/>
        <w:kinsoku/>
        <w:wordWrap/>
        <w:overflowPunct/>
        <w:topLinePunct w:val="0"/>
        <w:autoSpaceDE/>
        <w:autoSpaceDN/>
        <w:bidi w:val="0"/>
        <w:adjustRightInd w:val="0"/>
        <w:snapToGrid/>
        <w:spacing w:line="312" w:lineRule="auto"/>
        <w:ind w:firstLine="480"/>
        <w:textAlignment w:val="auto"/>
        <w:outlineLvl w:val="9"/>
        <w:rPr>
          <w:rFonts w:hint="eastAsia" w:ascii="宋体" w:hAnsi="宋体" w:eastAsia="宋体" w:cs="宋体"/>
          <w:szCs w:val="24"/>
          <w:highlight w:val="none"/>
        </w:rPr>
      </w:pPr>
      <w:r>
        <w:rPr>
          <w:rFonts w:hint="eastAsia" w:ascii="宋体" w:hAnsi="宋体" w:eastAsia="宋体" w:cs="宋体"/>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1.2 在响应截止时间以后，不能补充、修改响应文件。</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1.3 在提交“最后报价”后，供应商不能退出磋商。</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1.5 </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可以视情况延长提交响应文件的截止时间。在上述情况下，</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与供应商以前在响应截止期方面的全部权利、责任和义务，将适用于延长至新的响应截止期。</w:t>
      </w:r>
    </w:p>
    <w:p>
      <w:pPr>
        <w:pStyle w:val="32"/>
        <w:keepNext w:val="0"/>
        <w:keepLines w:val="0"/>
        <w:pageBreakBefore w:val="0"/>
        <w:widowControl w:val="0"/>
        <w:kinsoku/>
        <w:wordWrap/>
        <w:overflowPunct/>
        <w:topLinePunct w:val="0"/>
        <w:autoSpaceDE/>
        <w:autoSpaceDN/>
        <w:bidi w:val="0"/>
        <w:adjustRightInd w:val="0"/>
        <w:snapToGrid/>
        <w:spacing w:line="312" w:lineRule="auto"/>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2.备份响应文件</w:t>
      </w:r>
    </w:p>
    <w:p>
      <w:pPr>
        <w:pStyle w:val="32"/>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outlineLvl w:val="9"/>
        <w:rPr>
          <w:rFonts w:hint="eastAsia" w:ascii="宋体" w:hAnsi="宋体" w:eastAsia="宋体" w:cs="宋体"/>
          <w:b/>
          <w:sz w:val="24"/>
          <w:szCs w:val="24"/>
          <w:highlight w:val="none"/>
        </w:rPr>
      </w:pPr>
      <w:r>
        <w:rPr>
          <w:rFonts w:hint="eastAsia" w:ascii="宋体" w:hAnsi="宋体" w:eastAsia="宋体" w:cs="宋体"/>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sz w:val="24"/>
          <w:szCs w:val="24"/>
          <w:highlight w:val="none"/>
        </w:rPr>
        <w:t>但采购人、</w:t>
      </w:r>
      <w:r>
        <w:rPr>
          <w:rFonts w:hint="eastAsia" w:ascii="宋体" w:hAnsi="宋体" w:eastAsia="宋体" w:cs="宋体"/>
          <w:b/>
          <w:sz w:val="24"/>
          <w:szCs w:val="24"/>
          <w:highlight w:val="none"/>
          <w:lang w:eastAsia="zh-CN"/>
        </w:rPr>
        <w:t>采购代理机构</w:t>
      </w:r>
      <w:r>
        <w:rPr>
          <w:rFonts w:hint="eastAsia" w:ascii="宋体" w:hAnsi="宋体" w:eastAsia="宋体" w:cs="宋体"/>
          <w:b/>
          <w:sz w:val="24"/>
          <w:szCs w:val="24"/>
          <w:highlight w:val="none"/>
        </w:rPr>
        <w:t>不强制或变相强制供应商提交备份响应文件。</w:t>
      </w:r>
    </w:p>
    <w:p>
      <w:pPr>
        <w:pStyle w:val="32"/>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outlineLvl w:val="9"/>
        <w:rPr>
          <w:rFonts w:hint="eastAsia" w:ascii="宋体" w:hAnsi="宋体" w:eastAsia="宋体" w:cs="宋体"/>
          <w:b/>
          <w:sz w:val="24"/>
          <w:szCs w:val="24"/>
          <w:highlight w:val="none"/>
        </w:rPr>
      </w:pPr>
      <w:r>
        <w:rPr>
          <w:rFonts w:hint="eastAsia" w:ascii="宋体" w:hAnsi="宋体" w:eastAsia="宋体" w:cs="宋体"/>
          <w:sz w:val="24"/>
          <w:szCs w:val="24"/>
          <w:highlight w:val="none"/>
        </w:rPr>
        <w:t>2.2 备份响应文件须在“政采云投标客户端”制作生成，并储存在</w:t>
      </w:r>
      <w:r>
        <w:rPr>
          <w:rFonts w:hint="eastAsia" w:ascii="宋体" w:hAnsi="宋体" w:eastAsia="宋体" w:cs="宋体"/>
          <w:b/>
          <w:bCs/>
          <w:sz w:val="24"/>
          <w:szCs w:val="24"/>
          <w:highlight w:val="none"/>
          <w:u w:val="single"/>
          <w:lang w:val="en-US" w:eastAsia="zh-CN"/>
        </w:rPr>
        <w:t>U盘</w:t>
      </w:r>
      <w:r>
        <w:rPr>
          <w:rFonts w:hint="eastAsia" w:ascii="宋体" w:hAnsi="宋体" w:eastAsia="宋体" w:cs="宋体"/>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cs="宋体"/>
          <w:b/>
          <w:sz w:val="24"/>
          <w:highlight w:val="none"/>
          <w:lang w:eastAsia="zh-CN"/>
        </w:rPr>
        <w:t>▲</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存储、密封规定的备份响应文件将被视为无效或者被拒绝接收。</w:t>
      </w:r>
    </w:p>
    <w:p>
      <w:pPr>
        <w:pStyle w:val="32"/>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2.3 直接提交备份响应文件的，供应商应于响应截止时间前在</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ascii="宋体" w:hAnsi="宋体" w:eastAsia="宋体" w:cs="宋体"/>
          <w:sz w:val="24"/>
          <w:szCs w:val="24"/>
          <w:highlight w:val="none"/>
        </w:rPr>
        <w:t>将备份响应文件提交给</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将拒绝接受逾期送达的备份响应文件。</w:t>
      </w:r>
    </w:p>
    <w:p>
      <w:pPr>
        <w:pStyle w:val="32"/>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2.4 以邮政快递方式递交备份响应文件的，供应商应先将备份响应文件按要求密封和标记，再进行邮政快递包装后邮寄。备份响应文件须在</w:t>
      </w:r>
      <w:r>
        <w:rPr>
          <w:rFonts w:hint="eastAsia" w:ascii="宋体" w:hAnsi="宋体" w:eastAsia="宋体" w:cs="宋体"/>
          <w:snapToGrid/>
          <w:color w:val="auto"/>
          <w:kern w:val="2"/>
          <w:sz w:val="24"/>
          <w:szCs w:val="24"/>
          <w:highlight w:val="none"/>
          <w:lang w:val="en-US" w:eastAsia="zh-CN" w:bidi="ar-SA"/>
        </w:rPr>
        <w:t>第三部分供应商须知前附表规定的备份响应文件送达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ascii="宋体" w:hAnsi="宋体" w:eastAsia="宋体" w:cs="宋体"/>
          <w:sz w:val="24"/>
          <w:szCs w:val="24"/>
          <w:highlight w:val="none"/>
        </w:rPr>
        <w:t>；送达时间以签收人签收时间为准。</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将拒绝接受逾期送达的备份响应文件。邮寄过程中，电子备份响应文件发生泄露、遗失、损坏或延期送达等情况的，由供应商自行负责。</w:t>
      </w:r>
    </w:p>
    <w:p>
      <w:pPr>
        <w:pStyle w:val="32"/>
        <w:keepNext w:val="0"/>
        <w:keepLines w:val="0"/>
        <w:pageBreakBefore w:val="0"/>
        <w:widowControl w:val="0"/>
        <w:kinsoku/>
        <w:wordWrap/>
        <w:overflowPunct/>
        <w:topLinePunct w:val="0"/>
        <w:autoSpaceDE/>
        <w:autoSpaceDN/>
        <w:bidi w:val="0"/>
        <w:adjustRightInd w:val="0"/>
        <w:snapToGrid/>
        <w:spacing w:line="312" w:lineRule="auto"/>
        <w:ind w:firstLine="361" w:firstLineChars="15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2.5 </w:t>
      </w:r>
      <w:r>
        <w:rPr>
          <w:rFonts w:hint="eastAsia" w:hAnsi="宋体" w:cs="宋体"/>
          <w:b/>
          <w:sz w:val="24"/>
          <w:highlight w:val="none"/>
          <w:lang w:eastAsia="zh-CN"/>
        </w:rPr>
        <w:t>▲</w:t>
      </w:r>
      <w:r>
        <w:rPr>
          <w:rFonts w:hint="eastAsia" w:ascii="宋体" w:hAnsi="宋体" w:eastAsia="宋体" w:cs="宋体"/>
          <w:b/>
          <w:sz w:val="24"/>
          <w:szCs w:val="24"/>
          <w:highlight w:val="none"/>
        </w:rPr>
        <w:t>供应商仅提交备份响应文件，未在电子交易平台传输提交响应文件的，响应无效。</w:t>
      </w: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八、</w:t>
      </w:r>
      <w:r>
        <w:rPr>
          <w:rFonts w:hint="eastAsia" w:ascii="宋体" w:hAnsi="宋体" w:eastAsia="宋体" w:cs="宋体"/>
          <w:b/>
          <w:sz w:val="32"/>
          <w:szCs w:val="32"/>
          <w:highlight w:val="none"/>
        </w:rPr>
        <w:t>开启响应文件与信用信息查询</w:t>
      </w:r>
    </w:p>
    <w:p>
      <w:pPr>
        <w:pStyle w:val="32"/>
        <w:kinsoku/>
        <w:wordWrap/>
        <w:overflowPunct/>
        <w:topLinePunct w:val="0"/>
        <w:bidi w:val="0"/>
        <w:spacing w:line="360" w:lineRule="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 开启响应文件</w:t>
      </w:r>
    </w:p>
    <w:p>
      <w:pPr>
        <w:pStyle w:val="32"/>
        <w:kinsoku/>
        <w:wordWrap/>
        <w:overflowPunct/>
        <w:topLinePunct w:val="0"/>
        <w:bidi w:val="0"/>
        <w:spacing w:line="360" w:lineRule="auto"/>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按照磋商文件规定的时间通过电子交易平台组织响应文件开启，所有供应商均应当准时在线参加。</w:t>
      </w:r>
      <w:r>
        <w:rPr>
          <w:rFonts w:hint="eastAsia" w:ascii="宋体" w:hAnsi="宋体" w:eastAsia="宋体" w:cs="宋体"/>
          <w:b/>
          <w:sz w:val="24"/>
          <w:szCs w:val="24"/>
          <w:highlight w:val="none"/>
        </w:rPr>
        <w:t>供应商数量不符合规定的，不得开启响应文件。</w:t>
      </w:r>
    </w:p>
    <w:p>
      <w:pPr>
        <w:pStyle w:val="32"/>
        <w:kinsoku/>
        <w:wordWrap/>
        <w:overflowPunct/>
        <w:topLinePunct w:val="0"/>
        <w:bidi w:val="0"/>
        <w:spacing w:line="360" w:lineRule="auto"/>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1.2开启响应文件时，电子交易平台按开启响应文件时间自动提取所有响应文件。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依托电子交易平台发起开始解密指令，供应商按照平台提示和磋商文件的规定在半小时内完成在线解密。</w:t>
      </w:r>
    </w:p>
    <w:p>
      <w:pPr>
        <w:pStyle w:val="32"/>
        <w:kinsoku/>
        <w:wordWrap/>
        <w:overflowPunct/>
        <w:topLinePunct w:val="0"/>
        <w:bidi w:val="0"/>
        <w:spacing w:line="360" w:lineRule="auto"/>
        <w:ind w:firstLine="361" w:firstLineChars="15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4"/>
        <w:kinsoku/>
        <w:wordWrap/>
        <w:overflowPunct/>
        <w:topLinePunct w:val="0"/>
        <w:bidi w:val="0"/>
        <w:spacing w:before="0"/>
        <w:ind w:firstLine="0" w:firstLineChars="0"/>
        <w:outlineLvl w:val="9"/>
        <w:rPr>
          <w:rFonts w:hint="eastAsia" w:ascii="宋体" w:hAnsi="宋体" w:eastAsia="宋体" w:cs="宋体"/>
          <w:b/>
          <w:szCs w:val="24"/>
          <w:highlight w:val="none"/>
        </w:rPr>
      </w:pPr>
      <w:r>
        <w:rPr>
          <w:rFonts w:hint="eastAsia" w:ascii="宋体" w:hAnsi="宋体" w:eastAsia="宋体" w:cs="宋体"/>
          <w:b/>
          <w:szCs w:val="24"/>
          <w:highlight w:val="none"/>
        </w:rPr>
        <w:t>2.信用信息查询</w:t>
      </w:r>
    </w:p>
    <w:p>
      <w:pPr>
        <w:pStyle w:val="394"/>
        <w:kinsoku/>
        <w:wordWrap/>
        <w:overflowPunct/>
        <w:topLinePunct w:val="0"/>
        <w:bidi w:val="0"/>
        <w:spacing w:before="0"/>
        <w:ind w:firstLine="495" w:firstLineChars="0"/>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2.1信用信息查询渠道及截止时间：</w:t>
      </w:r>
      <w:r>
        <w:rPr>
          <w:rFonts w:hint="eastAsia" w:ascii="宋体" w:hAnsi="宋体" w:eastAsia="宋体" w:cs="宋体"/>
          <w:kern w:val="0"/>
          <w:szCs w:val="24"/>
          <w:highlight w:val="none"/>
          <w:lang w:eastAsia="zh-CN"/>
        </w:rPr>
        <w:t>采购代理机构</w:t>
      </w:r>
      <w:r>
        <w:rPr>
          <w:rFonts w:hint="eastAsia" w:ascii="宋体" w:hAnsi="宋体" w:eastAsia="宋体" w:cs="宋体"/>
          <w:kern w:val="0"/>
          <w:szCs w:val="24"/>
          <w:highlight w:val="none"/>
        </w:rPr>
        <w:t>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kern w:val="0"/>
          <w:szCs w:val="24"/>
          <w:highlight w:val="none"/>
        </w:rPr>
        <w:t>)、中国政府采购网(www.ccgp.gov.cn)渠道查询供应商响应截止时间前的信用记录。</w:t>
      </w:r>
    </w:p>
    <w:p>
      <w:pPr>
        <w:pStyle w:val="394"/>
        <w:kinsoku/>
        <w:wordWrap/>
        <w:overflowPunct/>
        <w:topLinePunct w:val="0"/>
        <w:bidi w:val="0"/>
        <w:spacing w:before="0"/>
        <w:ind w:firstLine="495" w:firstLineChars="0"/>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2.2信用信息查询记录和证据留存的具体方式：现场查询的供应商的信用记录、查询结果经确认后存档。</w:t>
      </w:r>
    </w:p>
    <w:p>
      <w:pPr>
        <w:pStyle w:val="394"/>
        <w:kinsoku/>
        <w:wordWrap/>
        <w:overflowPunct/>
        <w:topLinePunct w:val="0"/>
        <w:bidi w:val="0"/>
        <w:spacing w:before="0"/>
        <w:ind w:firstLine="495" w:firstLineChars="0"/>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2.3信用信息的使用规则：经查询列入失信被执行人名单、重大税收违法案件当事人名单</w:t>
      </w:r>
      <w:r>
        <w:rPr>
          <w:rFonts w:hint="eastAsia" w:ascii="宋体" w:hAnsi="宋体" w:eastAsia="宋体" w:cs="宋体"/>
          <w:kern w:val="0"/>
          <w:szCs w:val="24"/>
          <w:highlight w:val="none"/>
          <w:lang w:eastAsia="zh-CN"/>
        </w:rPr>
        <w:t>（</w:t>
      </w:r>
      <w:r>
        <w:rPr>
          <w:rFonts w:hint="eastAsia" w:ascii="宋体" w:hAnsi="宋体" w:eastAsia="宋体" w:cs="宋体"/>
          <w:sz w:val="24"/>
          <w:highlight w:val="none"/>
          <w:lang w:val="en-US" w:eastAsia="zh-CN"/>
        </w:rPr>
        <w:t>重大税收违法失信主体</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、政府采购严重违法失信行为记录名单的供应商将被拒绝参与政府采购活动。</w:t>
      </w:r>
    </w:p>
    <w:p>
      <w:pPr>
        <w:pStyle w:val="394"/>
        <w:kinsoku/>
        <w:wordWrap/>
        <w:overflowPunct/>
        <w:topLinePunct w:val="0"/>
        <w:bidi w:val="0"/>
        <w:spacing w:before="0"/>
        <w:ind w:firstLine="495" w:firstLineChars="0"/>
        <w:outlineLvl w:val="9"/>
        <w:rPr>
          <w:rFonts w:hint="eastAsia" w:ascii="宋体" w:hAnsi="宋体" w:eastAsia="宋体" w:cs="宋体"/>
          <w:kern w:val="0"/>
          <w:szCs w:val="24"/>
          <w:highlight w:val="none"/>
        </w:rPr>
      </w:pPr>
      <w:r>
        <w:rPr>
          <w:rFonts w:hint="eastAsia" w:ascii="宋体" w:hAnsi="宋体" w:eastAsia="宋体" w:cs="宋体"/>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insoku/>
        <w:wordWrap/>
        <w:overflowPunct/>
        <w:topLinePunct w:val="0"/>
        <w:bidi w:val="0"/>
        <w:adjustRightInd/>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highlight w:val="none"/>
        </w:rPr>
        <w:t>九</w:t>
      </w:r>
      <w:r>
        <w:rPr>
          <w:rFonts w:hint="eastAsia" w:ascii="宋体" w:hAnsi="宋体" w:eastAsia="宋体" w:cs="宋体"/>
          <w:b/>
          <w:sz w:val="32"/>
          <w:szCs w:val="20"/>
          <w:highlight w:val="none"/>
        </w:rPr>
        <w:t>、提交</w:t>
      </w:r>
      <w:r>
        <w:rPr>
          <w:rFonts w:hint="eastAsia" w:ascii="宋体" w:hAnsi="宋体" w:eastAsia="宋体" w:cs="宋体"/>
          <w:b/>
          <w:sz w:val="32"/>
          <w:szCs w:val="32"/>
          <w:highlight w:val="none"/>
        </w:rPr>
        <w:t>最后报价</w:t>
      </w:r>
    </w:p>
    <w:p>
      <w:pPr>
        <w:kinsoku/>
        <w:wordWrap/>
        <w:overflowPunct/>
        <w:topLinePunct w:val="0"/>
        <w:bidi w:val="0"/>
        <w:snapToGrid w:val="0"/>
        <w:spacing w:line="360" w:lineRule="auto"/>
        <w:outlineLvl w:val="9"/>
        <w:rPr>
          <w:rFonts w:hint="eastAsia" w:ascii="宋体" w:hAnsi="宋体" w:eastAsia="宋体" w:cs="宋体"/>
          <w:sz w:val="24"/>
          <w:highlight w:val="none"/>
          <w:u w:val="single"/>
          <w:lang w:val="zh-CN"/>
        </w:rPr>
      </w:pPr>
      <w:r>
        <w:rPr>
          <w:rFonts w:hint="eastAsia" w:ascii="宋体" w:hAnsi="宋体" w:eastAsia="宋体" w:cs="宋体"/>
          <w:b/>
          <w:sz w:val="24"/>
          <w:highlight w:val="none"/>
        </w:rPr>
        <w:t>1.</w:t>
      </w:r>
      <w:r>
        <w:rPr>
          <w:rFonts w:hint="eastAsia" w:ascii="宋体" w:hAnsi="宋体" w:eastAsia="宋体" w:cs="宋体"/>
          <w:sz w:val="24"/>
          <w:highlight w:val="none"/>
        </w:rPr>
        <w:t>供应商的</w:t>
      </w:r>
      <w:r>
        <w:rPr>
          <w:rFonts w:hint="eastAsia" w:ascii="宋体" w:hAnsi="宋体" w:eastAsia="宋体" w:cs="宋体"/>
          <w:b/>
          <w:sz w:val="24"/>
          <w:highlight w:val="none"/>
        </w:rPr>
        <w:t>最后报价文件</w:t>
      </w:r>
      <w:r>
        <w:rPr>
          <w:rFonts w:hint="eastAsia" w:ascii="宋体" w:hAnsi="宋体" w:eastAsia="宋体" w:cs="宋体"/>
          <w:sz w:val="24"/>
          <w:highlight w:val="none"/>
        </w:rPr>
        <w:t>应包括以下内容（均需使用电子签名）：</w:t>
      </w:r>
    </w:p>
    <w:p>
      <w:pPr>
        <w:pStyle w:val="32"/>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1.1最后报价一览表（</w:t>
      </w:r>
      <w:r>
        <w:rPr>
          <w:rFonts w:hint="eastAsia" w:ascii="宋体" w:hAnsi="宋体" w:eastAsia="宋体" w:cs="宋体"/>
          <w:sz w:val="24"/>
          <w:szCs w:val="24"/>
          <w:highlight w:val="none"/>
          <w:lang w:val="en-US" w:eastAsia="zh-CN"/>
        </w:rPr>
        <w:t>格式自拟</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2"/>
          <w:highlight w:val="none"/>
        </w:rPr>
      </w:pPr>
      <w:r>
        <w:rPr>
          <w:rFonts w:hint="eastAsia" w:ascii="宋体" w:hAnsi="宋体" w:eastAsia="宋体" w:cs="宋体"/>
          <w:b/>
          <w:sz w:val="32"/>
          <w:szCs w:val="20"/>
          <w:highlight w:val="none"/>
        </w:rPr>
        <w:t>十、</w:t>
      </w:r>
      <w:r>
        <w:rPr>
          <w:rFonts w:hint="eastAsia" w:ascii="宋体" w:hAnsi="宋体" w:eastAsia="宋体" w:cs="宋体"/>
          <w:b/>
          <w:sz w:val="32"/>
          <w:szCs w:val="32"/>
          <w:highlight w:val="none"/>
        </w:rPr>
        <w:t>评审</w:t>
      </w:r>
    </w:p>
    <w:p>
      <w:pPr>
        <w:pStyle w:val="394"/>
        <w:kinsoku/>
        <w:wordWrap/>
        <w:overflowPunct/>
        <w:topLinePunct w:val="0"/>
        <w:bidi w:val="0"/>
        <w:spacing w:before="0"/>
        <w:ind w:firstLine="0" w:firstLineChars="0"/>
        <w:outlineLvl w:val="9"/>
        <w:rPr>
          <w:rFonts w:hint="eastAsia" w:ascii="宋体" w:hAnsi="宋体" w:eastAsia="宋体" w:cs="宋体"/>
          <w:b/>
          <w:highlight w:val="none"/>
        </w:rPr>
      </w:pPr>
      <w:r>
        <w:rPr>
          <w:rFonts w:hint="eastAsia" w:ascii="宋体" w:hAnsi="宋体" w:eastAsia="宋体" w:cs="宋体"/>
          <w:b/>
          <w:szCs w:val="24"/>
          <w:highlight w:val="none"/>
        </w:rPr>
        <w:t>1.</w:t>
      </w:r>
      <w:r>
        <w:rPr>
          <w:rFonts w:hint="eastAsia" w:ascii="宋体" w:hAnsi="宋体" w:eastAsia="宋体" w:cs="宋体"/>
          <w:b/>
          <w:highlight w:val="none"/>
        </w:rPr>
        <w:t xml:space="preserve"> 评审方法：</w:t>
      </w:r>
      <w:r>
        <w:rPr>
          <w:rFonts w:hint="eastAsia" w:ascii="宋体" w:hAnsi="宋体" w:eastAsia="宋体" w:cs="宋体"/>
          <w:highlight w:val="none"/>
        </w:rPr>
        <w:t>综合评分法。</w:t>
      </w:r>
    </w:p>
    <w:p>
      <w:pPr>
        <w:pStyle w:val="394"/>
        <w:kinsoku/>
        <w:wordWrap/>
        <w:overflowPunct/>
        <w:topLinePunct w:val="0"/>
        <w:bidi w:val="0"/>
        <w:spacing w:before="0"/>
        <w:ind w:firstLine="0" w:firstLineChars="0"/>
        <w:outlineLvl w:val="9"/>
        <w:rPr>
          <w:rFonts w:hint="eastAsia" w:ascii="宋体" w:hAnsi="宋体" w:eastAsia="宋体" w:cs="宋体"/>
          <w:b/>
          <w:highlight w:val="none"/>
        </w:rPr>
      </w:pPr>
      <w:r>
        <w:rPr>
          <w:rFonts w:hint="eastAsia" w:ascii="宋体" w:hAnsi="宋体" w:eastAsia="宋体" w:cs="宋体"/>
          <w:b/>
          <w:highlight w:val="none"/>
        </w:rPr>
        <w:t>2. 价格分计算方法：</w:t>
      </w:r>
      <w:r>
        <w:rPr>
          <w:rFonts w:hint="eastAsia" w:ascii="宋体" w:hAnsi="宋体" w:eastAsia="宋体" w:cs="宋体"/>
          <w:highlight w:val="none"/>
        </w:rPr>
        <w:t>低价优先法。</w:t>
      </w:r>
    </w:p>
    <w:p>
      <w:pPr>
        <w:pStyle w:val="394"/>
        <w:kinsoku/>
        <w:wordWrap/>
        <w:overflowPunct/>
        <w:topLinePunct w:val="0"/>
        <w:bidi w:val="0"/>
        <w:spacing w:before="0"/>
        <w:ind w:firstLine="0" w:firstLineChars="0"/>
        <w:outlineLvl w:val="9"/>
        <w:rPr>
          <w:rFonts w:hint="eastAsia" w:ascii="宋体" w:hAnsi="宋体" w:eastAsia="宋体" w:cs="宋体"/>
          <w:szCs w:val="24"/>
          <w:highlight w:val="none"/>
        </w:rPr>
      </w:pPr>
      <w:r>
        <w:rPr>
          <w:rFonts w:hint="eastAsia" w:ascii="宋体" w:hAnsi="宋体" w:eastAsia="宋体" w:cs="宋体"/>
          <w:b/>
          <w:highlight w:val="none"/>
        </w:rPr>
        <w:t>3. 评审要求：</w:t>
      </w:r>
      <w:r>
        <w:rPr>
          <w:rFonts w:hint="eastAsia" w:ascii="宋体" w:hAnsi="宋体" w:eastAsia="宋体" w:cs="宋体"/>
          <w:highlight w:val="none"/>
        </w:rPr>
        <w:t>详见磋商文件第五部分“评审方法及评审标准”。</w:t>
      </w:r>
    </w:p>
    <w:p>
      <w:pPr>
        <w:kinsoku/>
        <w:wordWrap/>
        <w:overflowPunct/>
        <w:topLinePunct w:val="0"/>
        <w:bidi w:val="0"/>
        <w:adjustRightInd/>
        <w:spacing w:line="360" w:lineRule="auto"/>
        <w:jc w:val="center"/>
        <w:outlineLvl w:val="9"/>
        <w:rPr>
          <w:rFonts w:hint="eastAsia" w:ascii="宋体" w:hAnsi="宋体" w:eastAsia="宋体" w:cs="宋体"/>
          <w:sz w:val="24"/>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2"/>
          <w:szCs w:val="20"/>
          <w:highlight w:val="none"/>
        </w:rPr>
      </w:pPr>
      <w:r>
        <w:rPr>
          <w:rFonts w:hint="eastAsia" w:ascii="宋体" w:hAnsi="宋体" w:eastAsia="宋体" w:cs="宋体"/>
          <w:b/>
          <w:sz w:val="32"/>
          <w:szCs w:val="20"/>
          <w:highlight w:val="none"/>
        </w:rPr>
        <w:t>十一、</w:t>
      </w:r>
      <w:r>
        <w:rPr>
          <w:rFonts w:hint="eastAsia" w:ascii="宋体" w:hAnsi="宋体" w:eastAsia="宋体" w:cs="宋体"/>
          <w:b/>
          <w:sz w:val="32"/>
          <w:szCs w:val="32"/>
          <w:highlight w:val="none"/>
        </w:rPr>
        <w:t>成交</w:t>
      </w:r>
    </w:p>
    <w:p>
      <w:pPr>
        <w:pStyle w:val="32"/>
        <w:kinsoku/>
        <w:wordWrap/>
        <w:overflowPunct/>
        <w:topLinePunct w:val="0"/>
        <w:bidi w:val="0"/>
        <w:spacing w:line="360" w:lineRule="auto"/>
        <w:outlineLvl w:val="9"/>
        <w:rPr>
          <w:rFonts w:hint="eastAsia" w:ascii="宋体" w:hAnsi="宋体" w:eastAsia="宋体" w:cs="宋体"/>
          <w:b/>
          <w:sz w:val="24"/>
          <w:szCs w:val="24"/>
          <w:highlight w:val="none"/>
        </w:rPr>
      </w:pPr>
      <w:r>
        <w:rPr>
          <w:rFonts w:hint="eastAsia" w:ascii="宋体" w:hAnsi="宋体" w:eastAsia="宋体" w:cs="宋体"/>
          <w:b/>
          <w:sz w:val="24"/>
          <w:highlight w:val="none"/>
        </w:rPr>
        <w:t>1. 推荐成交候选供应商</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2. 确定成交供应商</w:t>
      </w:r>
    </w:p>
    <w:p>
      <w:pPr>
        <w:kinsoku/>
        <w:wordWrap/>
        <w:overflowPunct/>
        <w:topLinePunct w:val="0"/>
        <w:bidi w:val="0"/>
        <w:spacing w:line="360" w:lineRule="auto"/>
        <w:ind w:firstLine="360" w:firstLineChars="150"/>
        <w:outlineLvl w:val="9"/>
        <w:rPr>
          <w:rFonts w:hint="eastAsia"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ascii="宋体" w:hAnsi="宋体" w:cs="宋体"/>
          <w:sz w:val="24"/>
          <w:highlight w:val="none"/>
          <w:lang w:val="en-US" w:eastAsia="zh-CN"/>
        </w:rPr>
        <w:t>5</w:t>
      </w:r>
      <w:r>
        <w:rPr>
          <w:rFonts w:hint="eastAsia" w:ascii="宋体" w:hAnsi="宋体" w:eastAsia="宋体" w:cs="宋体"/>
          <w:sz w:val="24"/>
          <w:highlight w:val="none"/>
        </w:rPr>
        <w:t>个工作日内在线确定成交供应商。成交通知书和成交结果公告应当在规定时间内同时发出。</w:t>
      </w:r>
    </w:p>
    <w:p>
      <w:pPr>
        <w:tabs>
          <w:tab w:val="left" w:pos="0"/>
        </w:tabs>
        <w:kinsoku/>
        <w:wordWrap/>
        <w:overflowPunct/>
        <w:topLinePunct w:val="0"/>
        <w:bidi w:val="0"/>
        <w:spacing w:line="360" w:lineRule="auto"/>
        <w:outlineLvl w:val="9"/>
        <w:rPr>
          <w:rFonts w:hint="eastAsia" w:ascii="宋体" w:hAnsi="宋体" w:eastAsia="宋体" w:cs="宋体"/>
          <w:kern w:val="0"/>
          <w:sz w:val="24"/>
          <w:highlight w:val="none"/>
        </w:rPr>
      </w:pPr>
      <w:r>
        <w:rPr>
          <w:rFonts w:hint="eastAsia" w:ascii="宋体" w:hAnsi="宋体" w:eastAsia="宋体" w:cs="宋体"/>
          <w:b/>
          <w:sz w:val="24"/>
          <w:highlight w:val="none"/>
        </w:rPr>
        <w:t>3．成交通知及成交结果公告</w:t>
      </w:r>
    </w:p>
    <w:p>
      <w:pPr>
        <w:kinsoku/>
        <w:wordWrap/>
        <w:overflowPunct/>
        <w:topLinePunct w:val="0"/>
        <w:bidi w:val="0"/>
        <w:spacing w:line="360" w:lineRule="auto"/>
        <w:ind w:firstLine="360" w:firstLineChars="150"/>
        <w:outlineLvl w:val="9"/>
        <w:rPr>
          <w:rFonts w:hint="eastAsia" w:ascii="宋体" w:hAnsi="宋体" w:eastAsia="宋体" w:cs="宋体"/>
          <w:sz w:val="24"/>
          <w:highlight w:val="none"/>
        </w:rPr>
      </w:pPr>
      <w:r>
        <w:rPr>
          <w:rFonts w:hint="eastAsia" w:ascii="宋体" w:hAnsi="宋体" w:eastAsia="宋体" w:cs="宋体"/>
          <w:sz w:val="24"/>
          <w:szCs w:val="21"/>
          <w:highlight w:val="none"/>
        </w:rPr>
        <w:t>3.1自成交人确定之日起2个工作日内，</w:t>
      </w:r>
      <w:r>
        <w:rPr>
          <w:rFonts w:hint="eastAsia" w:ascii="宋体" w:hAnsi="宋体" w:eastAsia="宋体" w:cs="宋体"/>
          <w:sz w:val="24"/>
          <w:szCs w:val="21"/>
          <w:highlight w:val="none"/>
          <w:lang w:eastAsia="zh-CN"/>
        </w:rPr>
        <w:t>采购代理机构</w:t>
      </w:r>
      <w:r>
        <w:rPr>
          <w:rFonts w:hint="eastAsia" w:ascii="宋体" w:hAnsi="宋体" w:eastAsia="宋体" w:cs="宋体"/>
          <w:sz w:val="24"/>
          <w:szCs w:val="21"/>
          <w:highlight w:val="none"/>
        </w:rPr>
        <w:t>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cs="宋体"/>
          <w:sz w:val="24"/>
          <w:szCs w:val="21"/>
          <w:highlight w:val="none"/>
        </w:rPr>
        <w:t>成交结果公告。</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也可以以纸质形式进行成交通知。</w:t>
      </w:r>
    </w:p>
    <w:p>
      <w:pPr>
        <w:kinsoku/>
        <w:wordWrap/>
        <w:overflowPunct/>
        <w:topLinePunct w:val="0"/>
        <w:bidi w:val="0"/>
        <w:spacing w:line="360" w:lineRule="auto"/>
        <w:ind w:firstLine="360" w:firstLineChars="150"/>
        <w:outlineLvl w:val="9"/>
        <w:rPr>
          <w:rFonts w:hint="eastAsia" w:ascii="宋体" w:hAnsi="宋体" w:eastAsia="宋体" w:cs="宋体"/>
          <w:sz w:val="24"/>
          <w:szCs w:val="21"/>
          <w:highlight w:val="none"/>
        </w:rPr>
      </w:pPr>
      <w:r>
        <w:rPr>
          <w:rFonts w:hint="eastAsia" w:ascii="宋体" w:hAnsi="宋体" w:eastAsia="宋体" w:cs="宋体"/>
          <w:sz w:val="24"/>
          <w:highlight w:val="none"/>
        </w:rPr>
        <w:t>3.2</w:t>
      </w:r>
      <w:r>
        <w:rPr>
          <w:rFonts w:hint="eastAsia" w:ascii="宋体" w:hAnsi="宋体" w:eastAsia="宋体" w:cs="宋体"/>
          <w:sz w:val="24"/>
          <w:szCs w:val="21"/>
          <w:highlight w:val="none"/>
        </w:rPr>
        <w:t>成交</w:t>
      </w:r>
      <w:r>
        <w:rPr>
          <w:rFonts w:hint="eastAsia" w:ascii="宋体" w:hAnsi="宋体" w:eastAsia="宋体" w:cs="宋体"/>
          <w:sz w:val="24"/>
          <w:highlight w:val="none"/>
        </w:rPr>
        <w:t>结果公告内容包括采购人及其委托的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的名称、地址、联系方式，项目名称和项目编号，成交人名称、地址和成交金额，主要中标标的的名称、规格型号、数量、单价、服务要求，开标记录、</w:t>
      </w:r>
      <w:bookmarkStart w:id="54" w:name="_Hlk101184471"/>
      <w:r>
        <w:rPr>
          <w:rFonts w:hint="eastAsia" w:ascii="宋体" w:hAnsi="宋体" w:eastAsia="宋体" w:cs="宋体"/>
          <w:sz w:val="24"/>
          <w:highlight w:val="none"/>
        </w:rPr>
        <w:t>资格审查情况、评审专家抽取规则、符合性审查情况、</w:t>
      </w:r>
      <w:bookmarkEnd w:id="54"/>
      <w:r>
        <w:rPr>
          <w:rFonts w:hint="eastAsia" w:ascii="宋体" w:hAnsi="宋体" w:eastAsia="宋体" w:cs="宋体"/>
          <w:sz w:val="24"/>
          <w:highlight w:val="none"/>
        </w:rPr>
        <w:t>未成交情况说明、成交公告期限以及评审专家名单、评分汇总及明细。</w:t>
      </w:r>
    </w:p>
    <w:p>
      <w:pPr>
        <w:kinsoku/>
        <w:wordWrap/>
        <w:overflowPunct/>
        <w:topLinePunct w:val="0"/>
        <w:bidi w:val="0"/>
        <w:spacing w:line="360" w:lineRule="auto"/>
        <w:ind w:firstLine="360" w:firstLineChars="150"/>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3.3公告期限为1个工作日。</w:t>
      </w:r>
    </w:p>
    <w:p>
      <w:pPr>
        <w:kinsoku/>
        <w:wordWrap/>
        <w:overflowPunct/>
        <w:topLinePunct w:val="0"/>
        <w:bidi w:val="0"/>
        <w:snapToGrid w:val="0"/>
        <w:spacing w:line="360" w:lineRule="auto"/>
        <w:jc w:val="center"/>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t>十二、合同</w:t>
      </w:r>
    </w:p>
    <w:p>
      <w:pPr>
        <w:tabs>
          <w:tab w:val="left" w:pos="0"/>
        </w:tabs>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1.合同主要条款：</w:t>
      </w:r>
      <w:r>
        <w:rPr>
          <w:rFonts w:hint="eastAsia" w:ascii="宋体" w:hAnsi="宋体" w:eastAsia="宋体" w:cs="宋体"/>
          <w:sz w:val="24"/>
          <w:highlight w:val="none"/>
        </w:rPr>
        <w:t>详见“第六部分拟签订的合同文本”。</w:t>
      </w:r>
    </w:p>
    <w:p>
      <w:pPr>
        <w:tabs>
          <w:tab w:val="left" w:pos="0"/>
        </w:tabs>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2.合同的签订</w:t>
      </w:r>
    </w:p>
    <w:p>
      <w:pPr>
        <w:widowControl/>
        <w:shd w:val="clear" w:color="auto"/>
        <w:kinsoku/>
        <w:wordWrap/>
        <w:overflowPunct/>
        <w:topLinePunct w:val="0"/>
        <w:bidi w:val="0"/>
        <w:spacing w:line="360" w:lineRule="auto"/>
        <w:ind w:firstLine="480"/>
        <w:jc w:val="left"/>
        <w:outlineLvl w:val="9"/>
        <w:rPr>
          <w:rFonts w:hint="eastAsia" w:ascii="宋体" w:hAnsi="宋体" w:eastAsia="宋体" w:cs="宋体"/>
          <w:kern w:val="0"/>
          <w:sz w:val="24"/>
          <w:highlight w:val="none"/>
        </w:rPr>
      </w:pPr>
      <w:r>
        <w:rPr>
          <w:rFonts w:hint="eastAsia" w:ascii="宋体" w:hAnsi="宋体" w:eastAsia="宋体" w:cs="宋体"/>
          <w:szCs w:val="21"/>
          <w:highlight w:val="none"/>
        </w:rPr>
        <w:t>2.1</w:t>
      </w:r>
      <w:r>
        <w:rPr>
          <w:rFonts w:hint="eastAsia" w:ascii="宋体" w:hAnsi="宋体" w:eastAsia="宋体" w:cs="宋体"/>
          <w:kern w:val="0"/>
          <w:sz w:val="24"/>
          <w:highlight w:val="none"/>
        </w:rPr>
        <w:t>除不可抗力等特殊情况外，原则上采购人应当在成交通知书发出之日起</w:t>
      </w:r>
      <w:r>
        <w:rPr>
          <w:rFonts w:hint="eastAsia" w:ascii="宋体" w:hAnsi="宋体" w:eastAsia="宋体" w:cs="宋体"/>
          <w:kern w:val="0"/>
          <w:sz w:val="24"/>
          <w:highlight w:val="none"/>
          <w:lang w:val="en-US" w:eastAsia="zh-CN"/>
        </w:rPr>
        <w:t>30</w:t>
      </w:r>
      <w:r>
        <w:rPr>
          <w:rFonts w:hint="eastAsia" w:ascii="宋体" w:hAnsi="宋体" w:eastAsia="宋体" w:cs="宋体"/>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kinsoku/>
        <w:wordWrap/>
        <w:overflowPunct/>
        <w:topLinePunct w:val="0"/>
        <w:bidi w:val="0"/>
        <w:snapToGrid w:val="0"/>
        <w:spacing w:before="0"/>
        <w:ind w:firstLine="480"/>
        <w:outlineLvl w:val="9"/>
        <w:rPr>
          <w:rFonts w:hint="eastAsia" w:ascii="宋体" w:hAnsi="宋体" w:eastAsia="宋体" w:cs="宋体"/>
          <w:kern w:val="0"/>
          <w:highlight w:val="none"/>
        </w:rPr>
      </w:pPr>
      <w:r>
        <w:rPr>
          <w:rFonts w:hint="eastAsia" w:ascii="宋体" w:hAnsi="宋体" w:eastAsia="宋体" w:cs="宋体"/>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2.5如签订合同并生效后，供应商无故拒绝或延期，除按照合同条款处理外，列入不良行为记录一次，并给予通报。</w:t>
      </w:r>
    </w:p>
    <w:p>
      <w:pPr>
        <w:pStyle w:val="394"/>
        <w:kinsoku/>
        <w:wordWrap/>
        <w:overflowPunct/>
        <w:topLinePunct w:val="0"/>
        <w:bidi w:val="0"/>
        <w:snapToGrid w:val="0"/>
        <w:spacing w:before="0" w:after="120"/>
        <w:ind w:firstLine="480"/>
        <w:outlineLvl w:val="9"/>
        <w:rPr>
          <w:rFonts w:hint="eastAsia" w:ascii="宋体" w:hAnsi="宋体" w:eastAsia="宋体" w:cs="宋体"/>
          <w:highlight w:val="none"/>
        </w:rPr>
      </w:pPr>
      <w:r>
        <w:rPr>
          <w:rFonts w:hint="eastAsia" w:ascii="宋体" w:hAnsi="宋体" w:eastAsia="宋体" w:cs="宋体"/>
          <w:highlight w:val="none"/>
        </w:rPr>
        <w:t>2.6采购合同由采购人与成交供应商根据磋商文件、响应文件等内容通过政府采购电子交易平台在线签订，自动备案。（由采购人自行选择线上签订或线下签订）</w:t>
      </w:r>
    </w:p>
    <w:p>
      <w:pPr>
        <w:tabs>
          <w:tab w:val="left" w:pos="0"/>
        </w:tabs>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3．履约保证金</w:t>
      </w:r>
    </w:p>
    <w:p>
      <w:pPr>
        <w:tabs>
          <w:tab w:val="left" w:pos="0"/>
        </w:tabs>
        <w:kinsoku/>
        <w:wordWrap/>
        <w:overflowPunct/>
        <w:topLinePunct w:val="0"/>
        <w:bidi w:val="0"/>
        <w:spacing w:line="360" w:lineRule="auto"/>
        <w:ind w:firstLine="482"/>
        <w:outlineLvl w:val="9"/>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kinsoku/>
        <w:wordWrap/>
        <w:overflowPunct/>
        <w:topLinePunct w:val="0"/>
        <w:bidi w:val="0"/>
        <w:spacing w:line="360" w:lineRule="auto"/>
        <w:ind w:firstLine="482"/>
        <w:outlineLvl w:val="9"/>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0"/>
          <w:numId w:val="9"/>
        </w:numPr>
        <w:tabs>
          <w:tab w:val="left" w:pos="432"/>
        </w:tabs>
        <w:kinsoku/>
        <w:wordWrap/>
        <w:overflowPunct/>
        <w:topLinePunct w:val="0"/>
        <w:bidi w:val="0"/>
        <w:ind w:left="0" w:firstLine="0"/>
        <w:outlineLvl w:val="9"/>
        <w:rPr>
          <w:rFonts w:hint="eastAsia" w:ascii="宋体" w:hAnsi="宋体" w:eastAsia="宋体" w:cs="宋体"/>
          <w:snapToGrid w:val="0"/>
          <w:kern w:val="28"/>
          <w:sz w:val="24"/>
          <w:highlight w:val="none"/>
          <w:lang w:val="en-US"/>
        </w:rPr>
      </w:pPr>
      <w:r>
        <w:rPr>
          <w:rFonts w:hint="eastAsia" w:ascii="宋体" w:hAnsi="宋体" w:eastAsia="宋体" w:cs="宋体"/>
          <w:snapToGrid w:val="0"/>
          <w:kern w:val="28"/>
          <w:sz w:val="24"/>
          <w:highlight w:val="none"/>
          <w:lang w:val="en-US"/>
        </w:rPr>
        <w:t>预付款</w:t>
      </w:r>
    </w:p>
    <w:p>
      <w:pPr>
        <w:kinsoku/>
        <w:wordWrap/>
        <w:overflowPunct/>
        <w:topLinePunct w:val="0"/>
        <w:bidi w:val="0"/>
        <w:adjustRightInd/>
        <w:spacing w:line="360" w:lineRule="auto"/>
        <w:ind w:firstLine="480" w:firstLineChars="200"/>
        <w:outlineLvl w:val="9"/>
        <w:rPr>
          <w:rFonts w:hint="eastAsia" w:ascii="宋体" w:hAnsi="宋体" w:eastAsia="宋体" w:cs="宋体"/>
          <w:highlight w:val="none"/>
        </w:rPr>
      </w:pPr>
      <w:r>
        <w:rPr>
          <w:rFonts w:hint="eastAsia" w:ascii="宋体" w:hAnsi="宋体" w:eastAsia="宋体" w:cs="宋体"/>
          <w:b w:val="0"/>
          <w:bCs w:val="0"/>
          <w:sz w:val="24"/>
          <w:szCs w:val="24"/>
          <w:highlight w:val="none"/>
        </w:rPr>
        <w:t>采购单位应当在政府采购合同中约定预付款，对中小企业合同</w:t>
      </w:r>
      <w:r>
        <w:rPr>
          <w:rFonts w:hint="eastAsia" w:ascii="宋体" w:hAnsi="宋体" w:eastAsia="宋体" w:cs="宋体"/>
          <w:b w:val="0"/>
          <w:bCs w:val="0"/>
          <w:sz w:val="24"/>
          <w:szCs w:val="24"/>
          <w:highlight w:val="none"/>
          <w:lang w:val="en-US"/>
        </w:rPr>
        <w:t>预付款比例</w:t>
      </w:r>
      <w:r>
        <w:rPr>
          <w:rFonts w:hint="eastAsia" w:ascii="宋体" w:hAnsi="宋体" w:eastAsia="宋体" w:cs="宋体"/>
          <w:b w:val="0"/>
          <w:bCs w:val="0"/>
          <w:sz w:val="24"/>
          <w:szCs w:val="24"/>
          <w:highlight w:val="none"/>
        </w:rPr>
        <w:t>原则上不低于</w:t>
      </w:r>
      <w:r>
        <w:rPr>
          <w:rFonts w:hint="eastAsia" w:ascii="宋体" w:hAnsi="宋体" w:eastAsia="宋体" w:cs="宋体"/>
          <w:b w:val="0"/>
          <w:bCs w:val="0"/>
          <w:sz w:val="24"/>
          <w:szCs w:val="24"/>
          <w:highlight w:val="none"/>
          <w:lang w:val="en-US"/>
        </w:rPr>
        <w:t>合同金额的40</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rPr>
        <w:t>，</w:t>
      </w:r>
      <w:r>
        <w:rPr>
          <w:rFonts w:hint="eastAsia" w:ascii="宋体" w:hAnsi="宋体" w:eastAsia="宋体" w:cs="宋体"/>
          <w:b w:val="0"/>
          <w:bCs w:val="0"/>
          <w:sz w:val="24"/>
          <w:szCs w:val="24"/>
          <w:highlight w:val="none"/>
        </w:rPr>
        <w:t>不高于合同金额的70%</w:t>
      </w:r>
      <w:r>
        <w:rPr>
          <w:rFonts w:hint="eastAsia" w:ascii="宋体" w:hAnsi="宋体" w:eastAsia="宋体" w:cs="宋体"/>
          <w:b w:val="0"/>
          <w:bCs w:val="0"/>
          <w:sz w:val="24"/>
          <w:szCs w:val="24"/>
          <w:highlight w:val="none"/>
          <w:lang w:val="en-US"/>
        </w:rPr>
        <w:t>；项目分年安排预算的，每年预付款比例</w:t>
      </w:r>
      <w:r>
        <w:rPr>
          <w:rFonts w:hint="eastAsia" w:ascii="宋体" w:hAnsi="宋体" w:eastAsia="宋体" w:cs="宋体"/>
          <w:sz w:val="24"/>
          <w:highlight w:val="none"/>
        </w:rPr>
        <w:t>不低于</w:t>
      </w:r>
      <w:r>
        <w:rPr>
          <w:rFonts w:hint="eastAsia" w:ascii="宋体" w:hAnsi="宋体" w:eastAsia="宋体" w:cs="宋体"/>
          <w:b w:val="0"/>
          <w:bCs w:val="0"/>
          <w:sz w:val="24"/>
          <w:szCs w:val="24"/>
          <w:highlight w:val="none"/>
          <w:lang w:val="en-US"/>
        </w:rPr>
        <w:t>项目年度计划支付资金额的40</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rPr>
        <w:t>，</w:t>
      </w:r>
      <w:r>
        <w:rPr>
          <w:rFonts w:hint="eastAsia" w:ascii="宋体" w:hAnsi="宋体" w:eastAsia="宋体" w:cs="宋体"/>
          <w:b w:val="0"/>
          <w:bCs w:val="0"/>
          <w:sz w:val="24"/>
          <w:szCs w:val="24"/>
          <w:highlight w:val="none"/>
        </w:rPr>
        <w:t>不高于合同金额的70%</w:t>
      </w:r>
      <w:r>
        <w:rPr>
          <w:rFonts w:hint="eastAsia" w:ascii="宋体" w:hAnsi="宋体" w:eastAsia="宋体" w:cs="宋体"/>
          <w:b w:val="0"/>
          <w:bCs w:val="0"/>
          <w:sz w:val="24"/>
          <w:szCs w:val="24"/>
          <w:highlight w:val="none"/>
          <w:lang w:val="en-US"/>
        </w:rPr>
        <w:t>；采购项目实施以人工投入为主的，</w:t>
      </w:r>
      <w:r>
        <w:rPr>
          <w:rFonts w:hint="eastAsia" w:ascii="宋体" w:hAnsi="宋体" w:eastAsia="宋体" w:cs="宋体"/>
          <w:b w:val="0"/>
          <w:bCs w:val="0"/>
          <w:sz w:val="24"/>
          <w:szCs w:val="24"/>
          <w:highlight w:val="none"/>
        </w:rPr>
        <w:t>可适当降低预付款比例，但不得低于</w:t>
      </w:r>
      <w:r>
        <w:rPr>
          <w:rFonts w:hint="eastAsia" w:ascii="宋体" w:hAnsi="宋体" w:eastAsia="宋体" w:cs="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cs="宋体"/>
          <w:b w:val="0"/>
          <w:bCs w:val="0"/>
          <w:sz w:val="24"/>
          <w:szCs w:val="24"/>
          <w:highlight w:val="none"/>
        </w:rPr>
        <w:t>供应商</w:t>
      </w:r>
      <w:r>
        <w:rPr>
          <w:rFonts w:hint="eastAsia" w:ascii="宋体" w:hAnsi="宋体" w:eastAsia="宋体" w:cs="宋体"/>
          <w:b w:val="0"/>
          <w:bCs w:val="0"/>
          <w:sz w:val="24"/>
          <w:szCs w:val="24"/>
          <w:highlight w:val="none"/>
          <w:lang w:val="en-US"/>
        </w:rPr>
        <w:t>明确表示无需预付款或者主动要求降低预付款比例的，</w:t>
      </w:r>
      <w:r>
        <w:rPr>
          <w:rFonts w:hint="eastAsia" w:ascii="宋体" w:hAnsi="宋体" w:eastAsia="宋体" w:cs="宋体"/>
          <w:b w:val="0"/>
          <w:bCs w:val="0"/>
          <w:sz w:val="24"/>
          <w:szCs w:val="24"/>
          <w:highlight w:val="none"/>
        </w:rPr>
        <w:t>采购单位</w:t>
      </w:r>
      <w:r>
        <w:rPr>
          <w:rFonts w:hint="eastAsia" w:ascii="宋体" w:hAnsi="宋体" w:eastAsia="宋体" w:cs="宋体"/>
          <w:b w:val="0"/>
          <w:bCs w:val="0"/>
          <w:sz w:val="24"/>
          <w:szCs w:val="24"/>
          <w:highlight w:val="none"/>
          <w:lang w:val="en-US"/>
        </w:rPr>
        <w:t>可不适用前述规定。</w:t>
      </w:r>
      <w:r>
        <w:rPr>
          <w:rFonts w:hint="eastAsia" w:ascii="宋体" w:hAnsi="宋体" w:eastAsia="宋体" w:cs="宋体"/>
          <w:b w:val="0"/>
          <w:bCs w:val="0"/>
          <w:sz w:val="24"/>
          <w:szCs w:val="24"/>
          <w:highlight w:val="none"/>
        </w:rPr>
        <w:t>采购单位</w:t>
      </w:r>
      <w:r>
        <w:rPr>
          <w:rFonts w:hint="eastAsia" w:ascii="宋体" w:hAnsi="宋体" w:eastAsia="宋体" w:cs="宋体"/>
          <w:b w:val="0"/>
          <w:bCs w:val="0"/>
          <w:sz w:val="24"/>
          <w:szCs w:val="24"/>
          <w:highlight w:val="none"/>
          <w:lang w:val="en-US"/>
        </w:rPr>
        <w:t>根据项目特点、供应商诚信等因素，可以要求</w:t>
      </w:r>
      <w:r>
        <w:rPr>
          <w:rFonts w:hint="eastAsia" w:ascii="宋体" w:hAnsi="宋体" w:eastAsia="宋体" w:cs="宋体"/>
          <w:b w:val="0"/>
          <w:bCs w:val="0"/>
          <w:sz w:val="24"/>
          <w:szCs w:val="24"/>
          <w:highlight w:val="none"/>
        </w:rPr>
        <w:t>供应商</w:t>
      </w:r>
      <w:r>
        <w:rPr>
          <w:rFonts w:hint="eastAsia" w:ascii="宋体" w:hAnsi="宋体" w:eastAsia="宋体" w:cs="宋体"/>
          <w:b w:val="0"/>
          <w:bCs w:val="0"/>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rPr>
        <w:t>个工作日内支付。政府采购工程以及与工程建设有关的货物、服务，采用招标方式采购的，预付款从其相关规定。</w:t>
      </w:r>
      <w:r>
        <w:rPr>
          <w:rFonts w:hint="eastAsia" w:ascii="宋体" w:hAnsi="宋体" w:eastAsia="宋体" w:cs="宋体"/>
          <w:b w:val="0"/>
          <w:bCs w:val="0"/>
          <w:sz w:val="24"/>
          <w:szCs w:val="24"/>
          <w:highlight w:val="none"/>
        </w:rPr>
        <w:t>供应商</w:t>
      </w:r>
      <w:r>
        <w:rPr>
          <w:rFonts w:hint="eastAsia" w:ascii="宋体" w:hAnsi="宋体" w:eastAsia="宋体" w:cs="宋体"/>
          <w:b w:val="0"/>
          <w:bCs w:val="0"/>
          <w:sz w:val="24"/>
          <w:szCs w:val="24"/>
          <w:highlight w:val="none"/>
          <w:lang w:val="en-US"/>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kinsoku/>
        <w:wordWrap/>
        <w:overflowPunct/>
        <w:topLinePunct w:val="0"/>
        <w:bidi w:val="0"/>
        <w:snapToGrid w:val="0"/>
        <w:spacing w:line="360" w:lineRule="auto"/>
        <w:jc w:val="center"/>
        <w:outlineLvl w:val="9"/>
        <w:rPr>
          <w:rFonts w:hint="eastAsia" w:ascii="宋体" w:hAnsi="宋体" w:eastAsia="宋体" w:cs="宋体"/>
          <w:b/>
          <w:sz w:val="36"/>
          <w:szCs w:val="36"/>
          <w:highlight w:val="none"/>
        </w:rPr>
      </w:pPr>
    </w:p>
    <w:p>
      <w:pPr>
        <w:kinsoku/>
        <w:wordWrap/>
        <w:overflowPunct/>
        <w:topLinePunct w:val="0"/>
        <w:bidi w:val="0"/>
        <w:snapToGrid w:val="0"/>
        <w:spacing w:line="360" w:lineRule="auto"/>
        <w:jc w:val="center"/>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t>十三、验收</w:t>
      </w:r>
    </w:p>
    <w:p>
      <w:pPr>
        <w:pStyle w:val="3"/>
        <w:kinsoku/>
        <w:wordWrap/>
        <w:overflowPunct/>
        <w:topLinePunct w:val="0"/>
        <w:bidi w:val="0"/>
        <w:spacing w:line="360" w:lineRule="auto"/>
        <w:ind w:firstLine="0" w:firstLineChars="0"/>
        <w:outlineLvl w:val="9"/>
        <w:rPr>
          <w:rFonts w:hint="eastAsia" w:ascii="宋体" w:hAnsi="宋体" w:eastAsia="宋体" w:cs="宋体"/>
          <w:b/>
          <w:highlight w:val="none"/>
        </w:rPr>
      </w:pPr>
      <w:r>
        <w:rPr>
          <w:rFonts w:hint="eastAsia" w:ascii="宋体" w:hAnsi="宋体" w:eastAsia="宋体" w:cs="宋体"/>
          <w:b/>
          <w:highlight w:val="none"/>
        </w:rPr>
        <w:t>1.验收</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insoku/>
        <w:wordWrap/>
        <w:overflowPunct/>
        <w:topLinePunct w:val="0"/>
        <w:bidi w:val="0"/>
        <w:snapToGrid w:val="0"/>
        <w:spacing w:line="360" w:lineRule="auto"/>
        <w:jc w:val="center"/>
        <w:outlineLvl w:val="9"/>
        <w:rPr>
          <w:rFonts w:hint="eastAsia" w:ascii="宋体" w:hAnsi="宋体" w:eastAsia="宋体" w:cs="宋体"/>
          <w:b/>
          <w:sz w:val="36"/>
          <w:szCs w:val="36"/>
          <w:highlight w:val="none"/>
        </w:rPr>
      </w:pPr>
    </w:p>
    <w:p>
      <w:pPr>
        <w:kinsoku/>
        <w:wordWrap/>
        <w:overflowPunct/>
        <w:topLinePunct w:val="0"/>
        <w:bidi w:val="0"/>
        <w:snapToGrid w:val="0"/>
        <w:spacing w:line="360" w:lineRule="auto"/>
        <w:jc w:val="center"/>
        <w:outlineLvl w:val="9"/>
        <w:rPr>
          <w:rFonts w:hint="eastAsia" w:ascii="宋体" w:hAnsi="宋体" w:eastAsia="宋体" w:cs="宋体"/>
          <w:b/>
          <w:sz w:val="24"/>
          <w:highlight w:val="none"/>
        </w:rPr>
      </w:pPr>
      <w:r>
        <w:rPr>
          <w:rFonts w:hint="eastAsia" w:ascii="宋体" w:hAnsi="宋体" w:eastAsia="宋体" w:cs="宋体"/>
          <w:b/>
          <w:sz w:val="36"/>
          <w:szCs w:val="36"/>
          <w:highlight w:val="none"/>
        </w:rPr>
        <w:t>十四、电子交易活动的中止</w:t>
      </w:r>
    </w:p>
    <w:p>
      <w:pPr>
        <w:tabs>
          <w:tab w:val="left" w:pos="0"/>
        </w:tabs>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1. 电子交易活动的中止</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采购过程中出现以下情形，导致电子交易平台无法正常运行，或者无法保证电子交易的公平、公正和安全时，</w:t>
      </w:r>
      <w:r>
        <w:rPr>
          <w:rFonts w:hint="eastAsia" w:ascii="宋体" w:hAnsi="宋体" w:eastAsia="宋体" w:cs="宋体"/>
          <w:kern w:val="0"/>
          <w:sz w:val="24"/>
          <w:highlight w:val="none"/>
          <w:lang w:eastAsia="zh-CN"/>
        </w:rPr>
        <w:t>采购代理机构</w:t>
      </w:r>
      <w:r>
        <w:rPr>
          <w:rFonts w:hint="eastAsia" w:ascii="宋体" w:hAnsi="宋体" w:eastAsia="宋体" w:cs="宋体"/>
          <w:kern w:val="0"/>
          <w:sz w:val="24"/>
          <w:highlight w:val="none"/>
        </w:rPr>
        <w:t>可中止电子交易活动：</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1.1电子交易平台发生故障而无法登录访问的； </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1.2电子交易平台应用或数据库出现错误，不能进行正常操作的；</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1.3电子交易平台发现严重安全漏洞，有潜在泄密危险的；</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1.4病毒发作导致不能进行正常操作的； </w:t>
      </w:r>
    </w:p>
    <w:p>
      <w:pPr>
        <w:tabs>
          <w:tab w:val="left" w:pos="0"/>
        </w:tabs>
        <w:kinsoku/>
        <w:wordWrap/>
        <w:overflowPunct/>
        <w:topLinePunct w:val="0"/>
        <w:bidi w:val="0"/>
        <w:spacing w:line="360" w:lineRule="auto"/>
        <w:ind w:firstLine="48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1.5其他无法保证电子交易的公平、公正和安全的情况。</w:t>
      </w:r>
    </w:p>
    <w:p>
      <w:pPr>
        <w:tabs>
          <w:tab w:val="left" w:pos="0"/>
        </w:tabs>
        <w:kinsoku/>
        <w:wordWrap/>
        <w:overflowPunct/>
        <w:topLinePunct w:val="0"/>
        <w:bidi w:val="0"/>
        <w:spacing w:line="360" w:lineRule="auto"/>
        <w:outlineLvl w:val="9"/>
        <w:rPr>
          <w:rFonts w:hint="eastAsia" w:ascii="宋体" w:hAnsi="宋体" w:eastAsia="宋体" w:cs="宋体"/>
          <w:kern w:val="0"/>
          <w:sz w:val="24"/>
          <w:highlight w:val="none"/>
        </w:rPr>
      </w:pPr>
      <w:r>
        <w:rPr>
          <w:rFonts w:hint="eastAsia" w:ascii="宋体" w:hAnsi="宋体" w:eastAsia="宋体" w:cs="宋体"/>
          <w:b/>
          <w:kern w:val="0"/>
          <w:sz w:val="24"/>
          <w:highlight w:val="none"/>
        </w:rPr>
        <w:t>2.</w:t>
      </w:r>
      <w:r>
        <w:rPr>
          <w:rFonts w:hint="eastAsia" w:ascii="宋体" w:hAnsi="宋体" w:eastAsia="宋体" w:cs="宋体"/>
          <w:kern w:val="0"/>
          <w:sz w:val="24"/>
          <w:highlight w:val="none"/>
        </w:rPr>
        <w:t>出现以上情形，不影响采购公平、公正性的，采购组织机构可以待上述情形消除后继续组织电子交易活动；影响或可能影响采购公平、公正性的，应当重新采购。</w:t>
      </w:r>
      <w:bookmarkEnd w:id="8"/>
      <w:bookmarkStart w:id="55" w:name="_Hlt75236101"/>
      <w:bookmarkEnd w:id="55"/>
      <w:bookmarkStart w:id="56" w:name="_Hlt68072990"/>
      <w:bookmarkEnd w:id="56"/>
      <w:bookmarkStart w:id="57" w:name="_Hlt75236011"/>
      <w:bookmarkEnd w:id="57"/>
      <w:bookmarkStart w:id="58" w:name="_Hlt75236290"/>
      <w:bookmarkEnd w:id="58"/>
      <w:bookmarkStart w:id="59" w:name="_Hlt74707468"/>
      <w:bookmarkEnd w:id="59"/>
      <w:bookmarkStart w:id="60" w:name="_Hlt74714665"/>
      <w:bookmarkEnd w:id="60"/>
      <w:bookmarkStart w:id="61" w:name="_Hlt68057669"/>
      <w:bookmarkEnd w:id="61"/>
      <w:bookmarkStart w:id="62" w:name="_Hlt74729768"/>
      <w:bookmarkEnd w:id="62"/>
      <w:bookmarkStart w:id="63" w:name="_Hlt74730295"/>
      <w:bookmarkEnd w:id="63"/>
      <w:bookmarkStart w:id="64" w:name="_Toc164416483"/>
      <w:bookmarkStart w:id="65" w:name="第三部分"/>
    </w:p>
    <w:p>
      <w:pPr>
        <w:tabs>
          <w:tab w:val="left" w:pos="0"/>
        </w:tabs>
        <w:kinsoku/>
        <w:wordWrap/>
        <w:overflowPunct/>
        <w:topLinePunct w:val="0"/>
        <w:bidi w:val="0"/>
        <w:spacing w:line="360" w:lineRule="auto"/>
        <w:outlineLvl w:val="9"/>
        <w:rPr>
          <w:rFonts w:hint="eastAsia" w:ascii="宋体" w:hAnsi="宋体" w:eastAsia="宋体" w:cs="宋体"/>
          <w:b/>
          <w:sz w:val="36"/>
          <w:szCs w:val="36"/>
          <w:highlight w:val="none"/>
        </w:rPr>
      </w:pPr>
    </w:p>
    <w:p>
      <w:pPr>
        <w:tabs>
          <w:tab w:val="left" w:pos="0"/>
        </w:tabs>
        <w:kinsoku/>
        <w:wordWrap/>
        <w:overflowPunct/>
        <w:topLinePunct w:val="0"/>
        <w:bidi w:val="0"/>
        <w:spacing w:line="360" w:lineRule="auto"/>
        <w:outlineLvl w:val="9"/>
        <w:rPr>
          <w:rFonts w:hint="eastAsia" w:ascii="宋体" w:hAnsi="宋体" w:eastAsia="宋体" w:cs="宋体"/>
          <w:b/>
          <w:sz w:val="36"/>
          <w:szCs w:val="36"/>
          <w:highlight w:val="none"/>
        </w:rPr>
      </w:pPr>
    </w:p>
    <w:p>
      <w:pPr>
        <w:tabs>
          <w:tab w:val="left" w:pos="0"/>
        </w:tabs>
        <w:kinsoku/>
        <w:wordWrap/>
        <w:overflowPunct/>
        <w:topLinePunct w:val="0"/>
        <w:bidi w:val="0"/>
        <w:spacing w:line="360" w:lineRule="auto"/>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36"/>
          <w:highlight w:val="none"/>
        </w:rPr>
      </w:pPr>
      <w:bookmarkStart w:id="66" w:name="_Toc7028"/>
      <w:r>
        <w:rPr>
          <w:rFonts w:hint="eastAsia" w:ascii="宋体" w:hAnsi="宋体" w:eastAsia="宋体" w:cs="宋体"/>
          <w:b/>
          <w:sz w:val="36"/>
          <w:szCs w:val="36"/>
          <w:highlight w:val="none"/>
        </w:rPr>
        <w:t>第四部分  采购需求</w:t>
      </w:r>
      <w:bookmarkEnd w:id="66"/>
    </w:p>
    <w:p>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tbl>
      <w:tblPr>
        <w:tblStyle w:val="60"/>
        <w:tblW w:w="89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7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center"/>
              <w:textAlignment w:val="baseline"/>
              <w:outlineLvl w:val="9"/>
              <w:rPr>
                <w:rFonts w:ascii="宋体" w:hAnsi="宋体" w:cs="宋体"/>
                <w:b/>
                <w:bCs/>
                <w:sz w:val="24"/>
              </w:rPr>
            </w:pPr>
            <w:r>
              <w:rPr>
                <w:rFonts w:hint="eastAsia" w:ascii="宋体" w:hAnsi="宋体" w:cs="宋体"/>
                <w:b/>
                <w:bCs/>
                <w:sz w:val="24"/>
              </w:rPr>
              <w:t>类别</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center"/>
              <w:textAlignment w:val="baseline"/>
              <w:outlineLvl w:val="9"/>
              <w:rPr>
                <w:rFonts w:ascii="宋体" w:hAnsi="宋体" w:cs="宋体"/>
                <w:b/>
                <w:bCs/>
                <w:sz w:val="24"/>
              </w:rPr>
            </w:pPr>
            <w:r>
              <w:rPr>
                <w:rFonts w:hint="eastAsia" w:ascii="宋体" w:hAnsi="宋体" w:cs="宋体"/>
                <w:b/>
                <w:bCs/>
                <w:sz w:val="24"/>
              </w:rPr>
              <w:t>具体商务要求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sz w:val="24"/>
              </w:rPr>
              <w:t>▲</w:t>
            </w:r>
            <w:r>
              <w:rPr>
                <w:rFonts w:hint="eastAsia" w:ascii="宋体" w:hAnsi="宋体" w:cs="宋体"/>
                <w:b/>
                <w:bCs/>
                <w:sz w:val="24"/>
              </w:rPr>
              <w:t>1、合同履约期限（工期）</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outlineLvl w:val="9"/>
              <w:rPr>
                <w:rFonts w:ascii="宋体" w:hAnsi="宋体" w:cs="宋体"/>
                <w:sz w:val="24"/>
                <w:highlight w:val="none"/>
              </w:rPr>
            </w:pPr>
            <w:r>
              <w:rPr>
                <w:rFonts w:hint="eastAsia" w:ascii="宋体" w:hAnsi="宋体" w:cs="宋体"/>
                <w:sz w:val="24"/>
                <w:highlight w:val="none"/>
              </w:rPr>
              <w:t>合同签订并生效之日起</w:t>
            </w:r>
            <w:r>
              <w:rPr>
                <w:rFonts w:hint="eastAsia" w:ascii="宋体" w:hAnsi="宋体" w:cs="宋体"/>
                <w:sz w:val="24"/>
                <w:highlight w:val="none"/>
                <w:lang w:val="en-US" w:eastAsia="zh-CN"/>
              </w:rPr>
              <w:t>4</w:t>
            </w:r>
            <w:r>
              <w:rPr>
                <w:rFonts w:hint="eastAsia" w:ascii="宋体" w:hAnsi="宋体" w:cs="宋体"/>
                <w:sz w:val="24"/>
                <w:highlight w:val="none"/>
              </w:rPr>
              <w:t>个月内完成交货、进场安装、调试。满足采购人使用要求，并正常试运行1个月后通过验收。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sz w:val="24"/>
              </w:rPr>
              <w:t>▲</w:t>
            </w:r>
            <w:r>
              <w:rPr>
                <w:rFonts w:hint="eastAsia" w:ascii="宋体" w:hAnsi="宋体" w:cs="宋体"/>
                <w:b/>
                <w:bCs/>
                <w:sz w:val="24"/>
              </w:rPr>
              <w:t>2、交货地点</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outlineLvl w:val="9"/>
              <w:rPr>
                <w:rFonts w:ascii="宋体" w:hAnsi="宋体" w:cs="宋体"/>
                <w:sz w:val="24"/>
              </w:rPr>
            </w:pPr>
            <w:r>
              <w:rPr>
                <w:rFonts w:hint="eastAsia" w:ascii="宋体" w:hAnsi="宋体" w:cs="宋体"/>
                <w:sz w:val="24"/>
              </w:rPr>
              <w:t>采购人指定地点</w:t>
            </w:r>
            <w:r>
              <w:rPr>
                <w:rFonts w:hint="eastAsia" w:ascii="宋体" w:hAnsi="宋体" w:cs="宋体"/>
                <w:sz w:val="24"/>
                <w:lang w:eastAsia="zh-CN"/>
              </w:rPr>
              <w:t>（</w:t>
            </w:r>
            <w:r>
              <w:rPr>
                <w:rFonts w:hint="eastAsia" w:ascii="宋体" w:hAnsi="宋体" w:cs="宋体"/>
                <w:sz w:val="24"/>
                <w:lang w:val="en-US" w:eastAsia="zh-CN"/>
              </w:rPr>
              <w:t>宁海县范围内</w:t>
            </w:r>
            <w:r>
              <w:rPr>
                <w:rFonts w:hint="eastAsia" w:ascii="宋体" w:hAnsi="宋体" w:cs="宋体"/>
                <w:sz w:val="24"/>
                <w:lang w:eastAsia="zh-CN"/>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3、履约保证金</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outlineLvl w:val="9"/>
              <w:rPr>
                <w:rFonts w:ascii="宋体" w:hAnsi="宋体" w:cs="宋体"/>
                <w:sz w:val="24"/>
                <w:highlight w:val="none"/>
              </w:rPr>
            </w:pPr>
            <w:r>
              <w:rPr>
                <w:rFonts w:hint="eastAsia" w:ascii="宋体" w:hAnsi="宋体" w:cs="宋体"/>
                <w:sz w:val="24"/>
                <w:highlight w:val="none"/>
              </w:rPr>
              <w:t>1、履约保证金金额：合同金额的1%；</w:t>
            </w:r>
          </w:p>
          <w:p>
            <w:pPr>
              <w:keepNext w:val="0"/>
              <w:keepLines w:val="0"/>
              <w:pageBreakBefore w:val="0"/>
              <w:kinsoku/>
              <w:wordWrap/>
              <w:overflowPunct/>
              <w:topLinePunct w:val="0"/>
              <w:bidi w:val="0"/>
              <w:adjustRightInd/>
              <w:snapToGrid/>
              <w:spacing w:line="360" w:lineRule="auto"/>
              <w:outlineLvl w:val="9"/>
              <w:rPr>
                <w:rFonts w:ascii="宋体" w:hAnsi="宋体" w:cs="宋体"/>
                <w:sz w:val="24"/>
              </w:rPr>
            </w:pPr>
            <w:r>
              <w:rPr>
                <w:rFonts w:hint="eastAsia" w:ascii="宋体" w:hAnsi="宋体" w:cs="宋体"/>
                <w:sz w:val="24"/>
              </w:rPr>
              <w:t>2、履约保证金形式：银行汇票（电汇）、银行保函、保险保单或支票（仅限于使用宁波大市区范围内的银行开具的支票）等非现金形式；</w:t>
            </w:r>
          </w:p>
          <w:p>
            <w:pPr>
              <w:keepNext w:val="0"/>
              <w:keepLines w:val="0"/>
              <w:pageBreakBefore w:val="0"/>
              <w:kinsoku/>
              <w:wordWrap/>
              <w:overflowPunct/>
              <w:topLinePunct w:val="0"/>
              <w:bidi w:val="0"/>
              <w:adjustRightInd/>
              <w:snapToGrid/>
              <w:spacing w:line="360" w:lineRule="auto"/>
              <w:outlineLvl w:val="9"/>
              <w:rPr>
                <w:rFonts w:ascii="宋体" w:hAnsi="宋体" w:cs="宋体"/>
                <w:sz w:val="24"/>
              </w:rPr>
            </w:pPr>
            <w:r>
              <w:rPr>
                <w:rFonts w:hint="eastAsia" w:ascii="宋体" w:hAnsi="宋体" w:cs="宋体"/>
                <w:sz w:val="24"/>
              </w:rPr>
              <w:t>3、履约保证金提交时间：合同签订并生效之日起7个工作日内，预付款支付前。</w:t>
            </w:r>
          </w:p>
          <w:p>
            <w:pPr>
              <w:keepNext w:val="0"/>
              <w:keepLines w:val="0"/>
              <w:pageBreakBefore w:val="0"/>
              <w:kinsoku/>
              <w:wordWrap/>
              <w:overflowPunct/>
              <w:topLinePunct w:val="0"/>
              <w:bidi w:val="0"/>
              <w:adjustRightInd/>
              <w:snapToGrid/>
              <w:spacing w:line="360" w:lineRule="auto"/>
              <w:outlineLvl w:val="9"/>
              <w:rPr>
                <w:rFonts w:ascii="宋体" w:hAnsi="宋体" w:cs="宋体"/>
                <w:sz w:val="24"/>
              </w:rPr>
            </w:pPr>
            <w:r>
              <w:rPr>
                <w:rFonts w:hint="eastAsia" w:ascii="宋体" w:hAnsi="宋体" w:cs="宋体"/>
                <w:sz w:val="24"/>
              </w:rPr>
              <w:t>4、担保收件人：采购人；</w:t>
            </w:r>
          </w:p>
          <w:p>
            <w:pPr>
              <w:keepNext w:val="0"/>
              <w:keepLines w:val="0"/>
              <w:pageBreakBefore w:val="0"/>
              <w:kinsoku/>
              <w:wordWrap/>
              <w:overflowPunct/>
              <w:topLinePunct w:val="0"/>
              <w:bidi w:val="0"/>
              <w:adjustRightInd/>
              <w:snapToGrid/>
              <w:spacing w:line="360" w:lineRule="auto"/>
              <w:textAlignment w:val="baseline"/>
              <w:outlineLvl w:val="9"/>
              <w:rPr>
                <w:rFonts w:ascii="宋体" w:hAnsi="宋体" w:cs="宋体"/>
                <w:sz w:val="24"/>
              </w:rPr>
            </w:pPr>
            <w:r>
              <w:rPr>
                <w:rFonts w:hint="eastAsia" w:ascii="宋体" w:hAnsi="宋体" w:cs="宋体"/>
                <w:sz w:val="24"/>
              </w:rPr>
              <w:t>5、履约保证金的退取：项目验收合格后，根据实际履约情况扣除相应违约金后</w:t>
            </w:r>
            <w:bookmarkStart w:id="343" w:name="_GoBack"/>
            <w:bookmarkEnd w:id="343"/>
            <w:r>
              <w:rPr>
                <w:rFonts w:hint="eastAsia" w:ascii="宋体" w:hAnsi="宋体" w:cs="宋体"/>
                <w:sz w:val="24"/>
              </w:rPr>
              <w:t>退还履约保证金（但如供应商未能履行合同规定的任何义务，采购人有权从履约保证金中得到补偿）。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4"/>
                <w:highlight w:val="none"/>
              </w:rPr>
              <w:t>4、付款方式</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360" w:lineRule="auto"/>
              <w:outlineLvl w:val="9"/>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合同生效并具备实施条件，且收到发票后7个工作日内支付合同总额的40%作为预付款；</w:t>
            </w:r>
          </w:p>
          <w:p>
            <w:pPr>
              <w:keepNext w:val="0"/>
              <w:keepLines w:val="0"/>
              <w:pageBreakBefore w:val="0"/>
              <w:widowControl/>
              <w:kinsoku/>
              <w:wordWrap/>
              <w:overflowPunct/>
              <w:topLinePunct w:val="0"/>
              <w:bidi w:val="0"/>
              <w:adjustRightInd/>
              <w:snapToGrid/>
              <w:spacing w:line="360" w:lineRule="auto"/>
              <w:outlineLvl w:val="9"/>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设备到货安装完成，且收到发票后7个工作日支付合同总额的40%；</w:t>
            </w:r>
          </w:p>
          <w:p>
            <w:pPr>
              <w:keepNext w:val="0"/>
              <w:keepLines w:val="0"/>
              <w:pageBreakBefore w:val="0"/>
              <w:widowControl/>
              <w:kinsoku/>
              <w:wordWrap/>
              <w:overflowPunct/>
              <w:topLinePunct w:val="0"/>
              <w:bidi w:val="0"/>
              <w:adjustRightInd/>
              <w:snapToGrid/>
              <w:spacing w:line="360" w:lineRule="auto"/>
              <w:outlineLvl w:val="9"/>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调试完成后1个月试运行期使用正常，经验收合格交付，且收到发票后7个工作日支付至结算价的100%。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b/>
                <w:bCs/>
                <w:sz w:val="24"/>
              </w:rPr>
              <w:t>5、质保期</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outlineLvl w:val="9"/>
              <w:rPr>
                <w:rFonts w:ascii="宋体" w:hAnsi="宋体" w:cs="宋体"/>
                <w:sz w:val="24"/>
                <w:highlight w:val="none"/>
              </w:rPr>
            </w:pPr>
            <w:r>
              <w:rPr>
                <w:rFonts w:hint="eastAsia" w:ascii="宋体" w:hAnsi="宋体" w:cs="宋体"/>
                <w:sz w:val="24"/>
                <w:highlight w:val="none"/>
              </w:rPr>
              <w:t>1、质保期</w:t>
            </w:r>
            <w:r>
              <w:rPr>
                <w:rFonts w:hint="eastAsia" w:ascii="宋体" w:hAnsi="宋体" w:cs="宋体"/>
                <w:sz w:val="24"/>
                <w:highlight w:val="none"/>
                <w:lang w:val="en-US" w:eastAsia="zh-CN"/>
              </w:rPr>
              <w:t>为项目验收之日起2</w:t>
            </w:r>
            <w:r>
              <w:rPr>
                <w:rFonts w:hint="eastAsia" w:ascii="宋体" w:hAnsi="宋体" w:cs="宋体"/>
                <w:sz w:val="24"/>
                <w:highlight w:val="none"/>
              </w:rPr>
              <w:t>年（若有部分设备原厂商提供更长质保期，则按最长的质保期执行），时间从采购人验收（终验）合格之日起计算。</w:t>
            </w:r>
          </w:p>
          <w:p>
            <w:pPr>
              <w:keepNext w:val="0"/>
              <w:keepLines w:val="0"/>
              <w:pageBreakBefore w:val="0"/>
              <w:kinsoku/>
              <w:wordWrap/>
              <w:overflowPunct/>
              <w:topLinePunct w:val="0"/>
              <w:bidi w:val="0"/>
              <w:adjustRightInd/>
              <w:snapToGrid/>
              <w:spacing w:line="360" w:lineRule="auto"/>
              <w:jc w:val="left"/>
              <w:outlineLvl w:val="9"/>
              <w:rPr>
                <w:rFonts w:ascii="宋体" w:hAnsi="宋体" w:cs="宋体"/>
                <w:sz w:val="24"/>
                <w:highlight w:val="none"/>
              </w:rPr>
            </w:pPr>
            <w:r>
              <w:rPr>
                <w:rFonts w:hint="eastAsia" w:ascii="宋体" w:hAnsi="宋体" w:cs="宋体"/>
                <w:sz w:val="24"/>
                <w:highlight w:val="none"/>
              </w:rPr>
              <w:t>2、质保期内供应商须免费负责修理和替换任何由于配件自身的质量问题造成的损坏。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b/>
                <w:bCs/>
                <w:sz w:val="24"/>
              </w:rPr>
              <w:t>6、免费维修的响应期限</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outlineLvl w:val="9"/>
              <w:rPr>
                <w:rFonts w:ascii="宋体" w:hAnsi="宋体" w:cs="宋体"/>
                <w:sz w:val="24"/>
                <w:highlight w:val="none"/>
              </w:rPr>
            </w:pPr>
            <w:r>
              <w:rPr>
                <w:rFonts w:hint="eastAsia" w:ascii="宋体" w:hAnsi="宋体" w:cs="宋体"/>
                <w:sz w:val="24"/>
                <w:highlight w:val="none"/>
              </w:rPr>
              <w:t>在产品保修期内，一旦发生质量问题，供应商保证在接到通知后30分钟内作出响应，电话或网络服务不能解决问题时，</w:t>
            </w:r>
            <w:r>
              <w:rPr>
                <w:rFonts w:hint="eastAsia" w:ascii="宋体" w:hAnsi="宋体" w:cs="宋体"/>
                <w:sz w:val="24"/>
                <w:highlight w:val="none"/>
                <w:lang w:val="en-US" w:eastAsia="zh-CN"/>
              </w:rPr>
              <w:t>48</w:t>
            </w:r>
            <w:r>
              <w:rPr>
                <w:rFonts w:hint="eastAsia" w:ascii="宋体" w:hAnsi="宋体" w:cs="宋体"/>
                <w:sz w:val="24"/>
                <w:highlight w:val="none"/>
              </w:rPr>
              <w:t>小时内到现场进行维修、更换或退货，费用由供应商负责。如供应商在接到通知的</w:t>
            </w:r>
            <w:r>
              <w:rPr>
                <w:rFonts w:hint="eastAsia" w:ascii="宋体" w:hAnsi="宋体" w:cs="宋体"/>
                <w:sz w:val="24"/>
                <w:highlight w:val="none"/>
                <w:lang w:val="en-US" w:eastAsia="zh-CN"/>
              </w:rPr>
              <w:t>48</w:t>
            </w:r>
            <w:r>
              <w:rPr>
                <w:rFonts w:hint="eastAsia" w:ascii="宋体" w:hAnsi="宋体" w:cs="宋体"/>
                <w:sz w:val="24"/>
                <w:highlight w:val="none"/>
              </w:rPr>
              <w:t>小时内没有答复或处理问题，则视为供应商承认质量问题并承担由此而发生的一切费用。保修期间产品的一切质量问题，更换部件及产品本身质量原因造成的直接经济损失应全部由供应商自行负责，更换时间不得超过</w:t>
            </w:r>
            <w:r>
              <w:rPr>
                <w:rFonts w:hint="eastAsia" w:ascii="宋体" w:hAnsi="宋体" w:cs="宋体"/>
                <w:sz w:val="24"/>
                <w:highlight w:val="none"/>
                <w:lang w:val="en-US" w:eastAsia="zh-CN"/>
              </w:rPr>
              <w:t>72</w:t>
            </w:r>
            <w:r>
              <w:rPr>
                <w:rFonts w:hint="eastAsia" w:ascii="宋体" w:hAnsi="宋体" w:cs="宋体"/>
                <w:sz w:val="24"/>
                <w:highlight w:val="none"/>
              </w:rPr>
              <w:t>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sz w:val="24"/>
              </w:rPr>
              <w:t>▲</w:t>
            </w:r>
            <w:r>
              <w:rPr>
                <w:rFonts w:hint="eastAsia" w:ascii="宋体" w:hAnsi="宋体" w:cs="宋体"/>
                <w:b/>
                <w:bCs/>
                <w:sz w:val="24"/>
              </w:rPr>
              <w:t>7、产品及质量保证</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outlineLvl w:val="9"/>
              <w:rPr>
                <w:rFonts w:ascii="宋体" w:hAnsi="宋体" w:cs="宋体"/>
                <w:sz w:val="24"/>
              </w:rPr>
            </w:pPr>
            <w:r>
              <w:rPr>
                <w:rFonts w:hint="eastAsia" w:ascii="宋体" w:hAnsi="宋体" w:cs="宋体"/>
                <w:sz w:val="24"/>
              </w:rPr>
              <w:t>1、供应商保证所供的商品必须是出厂原装合格产品,如发生所供的商品与合同不符，采购人有权拒收或退货，由此产生的一切责任和后果由供应商承担。质保期自全部货物验收合格之日起计。</w:t>
            </w:r>
          </w:p>
          <w:p>
            <w:pPr>
              <w:keepNext w:val="0"/>
              <w:keepLines w:val="0"/>
              <w:pageBreakBefore w:val="0"/>
              <w:kinsoku/>
              <w:wordWrap/>
              <w:overflowPunct/>
              <w:topLinePunct w:val="0"/>
              <w:bidi w:val="0"/>
              <w:adjustRightInd/>
              <w:snapToGrid/>
              <w:spacing w:line="360" w:lineRule="auto"/>
              <w:outlineLvl w:val="9"/>
              <w:rPr>
                <w:rFonts w:hint="eastAsia" w:ascii="宋体" w:hAnsi="宋体" w:cs="宋体"/>
                <w:sz w:val="24"/>
              </w:rPr>
            </w:pPr>
            <w:r>
              <w:rPr>
                <w:rFonts w:hint="eastAsia" w:ascii="宋体" w:hAnsi="宋体" w:cs="宋体"/>
                <w:sz w:val="24"/>
              </w:rPr>
              <w:t>2、在所供商品交付时，供应商必须向采购人提供产品说明书、质量保证书、保修卡等必须具备的相关资料和必备附件。</w:t>
            </w:r>
          </w:p>
          <w:p>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kern w:val="0"/>
                <w:sz w:val="24"/>
                <w:lang w:val="en-US" w:eastAsia="zh-CN"/>
              </w:rPr>
              <w:t>符合现行国家、地方和行业标准、规范要求。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b/>
                <w:bCs/>
                <w:sz w:val="24"/>
              </w:rPr>
              <w:t>8、备品备件及材料等要求</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textAlignment w:val="baseline"/>
              <w:outlineLvl w:val="9"/>
              <w:rPr>
                <w:rFonts w:ascii="宋体" w:hAnsi="宋体" w:cs="宋体"/>
                <w:sz w:val="24"/>
              </w:rPr>
            </w:pPr>
            <w:r>
              <w:rPr>
                <w:rFonts w:hint="eastAsia" w:ascii="宋体" w:hAnsi="宋体" w:cs="宋体"/>
                <w:sz w:val="24"/>
              </w:rPr>
              <w:t>免费提供质保期内备品备件；供应商对主要设备须提供足够的备品备件、附件和耗材并保证是原厂生产，以满足设备正常运行的需要。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b/>
                <w:bCs/>
                <w:sz w:val="24"/>
              </w:rPr>
              <w:t>9、售后技术服务要求</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textAlignment w:val="baseline"/>
              <w:outlineLvl w:val="9"/>
              <w:rPr>
                <w:rFonts w:ascii="宋体" w:hAnsi="宋体" w:cs="宋体"/>
                <w:sz w:val="24"/>
              </w:rPr>
            </w:pPr>
            <w:r>
              <w:rPr>
                <w:rFonts w:hint="eastAsia" w:ascii="宋体" w:hAnsi="宋体" w:cs="宋体"/>
                <w:sz w:val="24"/>
              </w:rPr>
              <w:t>供应商应根据采购人的需求，对所提供的设备保证全面、有效、及时的售后维护服务。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jc w:val="left"/>
              <w:textAlignment w:val="baseline"/>
              <w:outlineLvl w:val="9"/>
              <w:rPr>
                <w:rFonts w:ascii="宋体" w:hAnsi="宋体" w:cs="宋体"/>
                <w:b/>
                <w:bCs/>
                <w:sz w:val="24"/>
              </w:rPr>
            </w:pPr>
            <w:r>
              <w:rPr>
                <w:rFonts w:hint="eastAsia" w:ascii="宋体" w:hAnsi="宋体" w:cs="宋体"/>
                <w:sz w:val="24"/>
              </w:rPr>
              <w:t>▲</w:t>
            </w:r>
            <w:r>
              <w:rPr>
                <w:rFonts w:hint="eastAsia" w:ascii="宋体" w:hAnsi="宋体" w:cs="宋体"/>
                <w:b/>
                <w:bCs/>
                <w:sz w:val="24"/>
              </w:rPr>
              <w:t>10、其他说明</w:t>
            </w:r>
          </w:p>
        </w:tc>
        <w:tc>
          <w:tcPr>
            <w:tcW w:w="70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360" w:lineRule="auto"/>
              <w:textAlignment w:val="baseline"/>
              <w:outlineLvl w:val="9"/>
              <w:rPr>
                <w:rFonts w:ascii="宋体" w:hAnsi="宋体" w:cs="宋体"/>
                <w:sz w:val="24"/>
              </w:rPr>
            </w:pPr>
            <w:r>
              <w:rPr>
                <w:rFonts w:hint="eastAsia" w:ascii="宋体" w:hAnsi="宋体" w:cs="宋体"/>
                <w:sz w:val="24"/>
              </w:rPr>
              <w:t>1、本招标所提的要求仅为主要要求，不应作为完整的详细的要求；</w:t>
            </w:r>
          </w:p>
          <w:p>
            <w:pPr>
              <w:keepNext w:val="0"/>
              <w:keepLines w:val="0"/>
              <w:pageBreakBefore w:val="0"/>
              <w:kinsoku/>
              <w:wordWrap/>
              <w:overflowPunct/>
              <w:topLinePunct w:val="0"/>
              <w:bidi w:val="0"/>
              <w:adjustRightInd/>
              <w:snapToGrid/>
              <w:spacing w:line="360" w:lineRule="auto"/>
              <w:textAlignment w:val="baseline"/>
              <w:outlineLvl w:val="9"/>
              <w:rPr>
                <w:rFonts w:ascii="宋体" w:hAnsi="宋体" w:cs="宋体"/>
                <w:sz w:val="24"/>
              </w:rPr>
            </w:pPr>
            <w:r>
              <w:rPr>
                <w:rFonts w:hint="eastAsia" w:ascii="宋体" w:hAnsi="宋体" w:cs="宋体"/>
                <w:sz w:val="24"/>
              </w:rPr>
              <w:t>2、供应商应对投标材料的一切专利承担责任，并负责保护采购人的利益不受损害；一切由于文字、商标和技术专利侵权引起的法律裁决、诉讼及其费用均与采购人无关。</w:t>
            </w:r>
          </w:p>
        </w:tc>
      </w:tr>
    </w:tbl>
    <w:p>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pPr>
        <w:kinsoku/>
        <w:wordWrap/>
        <w:overflowPunct/>
        <w:topLinePunct w:val="0"/>
        <w:bidi w:val="0"/>
        <w:outlineLvl w:val="9"/>
        <w:rPr>
          <w:rFonts w:hint="eastAsia" w:ascii="宋体" w:hAnsi="宋体" w:eastAsia="宋体" w:cs="宋体"/>
          <w:b/>
          <w:bCs/>
          <w:color w:val="auto"/>
          <w:kern w:val="0"/>
          <w:sz w:val="24"/>
          <w:szCs w:val="24"/>
          <w:highlight w:val="none"/>
        </w:rPr>
      </w:pPr>
    </w:p>
    <w:p>
      <w:pPr>
        <w:pStyle w:val="24"/>
        <w:kinsoku/>
        <w:wordWrap/>
        <w:overflowPunct/>
        <w:topLinePunct w:val="0"/>
        <w:bidi w:val="0"/>
        <w:outlineLvl w:val="9"/>
        <w:rPr>
          <w:rFonts w:hint="eastAsia"/>
        </w:rPr>
        <w:sectPr>
          <w:footerReference r:id="rId10" w:type="default"/>
          <w:pgSz w:w="11907" w:h="16840"/>
          <w:pgMar w:top="1134" w:right="1417" w:bottom="1134" w:left="1417" w:header="851" w:footer="851" w:gutter="0"/>
          <w:pgNumType w:fmt="decimal" w:start="1"/>
          <w:cols w:space="720" w:num="1"/>
        </w:sect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cs="宋体"/>
          <w:b/>
          <w:color w:val="auto"/>
          <w:kern w:val="0"/>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lang w:val="en-US" w:eastAsia="zh-CN"/>
        </w:rPr>
        <w:t>为满足</w:t>
      </w:r>
      <w:r>
        <w:rPr>
          <w:rFonts w:hint="eastAsia" w:ascii="宋体" w:hAnsi="宋体" w:eastAsia="宋体" w:cs="宋体"/>
          <w:color w:val="auto"/>
          <w:sz w:val="24"/>
          <w:szCs w:val="24"/>
        </w:rPr>
        <w:t>风廓线雷达</w:t>
      </w:r>
      <w:r>
        <w:rPr>
          <w:rFonts w:hint="eastAsia" w:ascii="宋体" w:hAnsi="宋体" w:eastAsia="宋体" w:cs="宋体"/>
          <w:color w:val="auto"/>
          <w:sz w:val="24"/>
          <w:szCs w:val="24"/>
          <w:lang w:val="en-US" w:eastAsia="zh-CN"/>
        </w:rPr>
        <w:t>设备建设的标准化与信息化，实现雷达数据应用的规范化和高效性，现采购配套实训室，</w:t>
      </w:r>
      <w:r>
        <w:rPr>
          <w:rFonts w:hint="eastAsia" w:ascii="宋体" w:hAnsi="宋体" w:eastAsia="宋体" w:cs="宋体"/>
          <w:color w:val="auto"/>
          <w:sz w:val="24"/>
          <w:szCs w:val="24"/>
        </w:rPr>
        <w:t>以满足</w:t>
      </w:r>
      <w:r>
        <w:rPr>
          <w:rFonts w:hint="eastAsia" w:ascii="宋体" w:hAnsi="宋体" w:eastAsia="宋体" w:cs="宋体"/>
          <w:color w:val="auto"/>
          <w:sz w:val="24"/>
          <w:szCs w:val="24"/>
          <w:lang w:val="en-US" w:eastAsia="zh-CN"/>
        </w:rPr>
        <w:t>实训业务</w:t>
      </w:r>
      <w:r>
        <w:rPr>
          <w:rFonts w:hint="eastAsia" w:ascii="宋体" w:hAnsi="宋体" w:eastAsia="宋体" w:cs="宋体"/>
          <w:color w:val="auto"/>
          <w:sz w:val="24"/>
          <w:szCs w:val="24"/>
        </w:rPr>
        <w:t>工作。</w:t>
      </w:r>
    </w:p>
    <w:p>
      <w:pPr>
        <w:keepNext w:val="0"/>
        <w:keepLines w:val="0"/>
        <w:pageBreakBefore w:val="0"/>
        <w:kinsoku/>
        <w:wordWrap/>
        <w:overflowPunct/>
        <w:topLinePunct w:val="0"/>
        <w:autoSpaceDE/>
        <w:autoSpaceDN/>
        <w:bidi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三、</w:t>
      </w:r>
      <w:r>
        <w:rPr>
          <w:rFonts w:hint="eastAsia" w:ascii="宋体" w:hAnsi="宋体" w:cs="宋体"/>
          <w:b/>
          <w:bCs/>
          <w:sz w:val="24"/>
          <w:lang w:val="en-US" w:eastAsia="zh-CN"/>
        </w:rPr>
        <w:t>采购清单及详细技术参数要求</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1、数据采集系统</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（1）主采集器（1台）</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33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详细技术参数要求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要求基于ARM9平台和嵌入式 LINUX 实时多任务操作系统设计，是自动气象站的核心。主采集器负责采集本身以及分采集器上挂接的所有传感器的数据，按统一的规范进行处理、存储、传输。能满足符合中国气象局2003《地面气象观测规范》要求。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cs="宋体"/>
                <w:b/>
                <w:bCs/>
                <w:sz w:val="21"/>
                <w:szCs w:val="21"/>
                <w:lang w:val="en-US" w:eastAsia="zh-CN"/>
              </w:rPr>
            </w:pPr>
            <w:r>
              <w:rPr>
                <w:rFonts w:hint="eastAsia" w:ascii="宋体" w:hAnsi="宋体" w:cs="宋体"/>
                <w:b/>
                <w:bCs/>
                <w:sz w:val="21"/>
                <w:szCs w:val="21"/>
                <w:lang w:val="en-US" w:eastAsia="zh-CN"/>
              </w:rPr>
              <w:t>★2</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具有中国气象局颁发的气象专用技术装备使用许可证。</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主采集器要求具有以下特点：</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3.1</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具有常规六要素、蒸发、总辐射、能见度传感器接口，支持本身挂接的气温、湿度、气压、雨量、风向、风速、蒸发、总辐射、称重雨量、能见度要素的数据采集和处理。</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3.2</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具有 CAN 总线接口，可接入温湿度智能传感器、地温分采集器、辐射分采集器，也可接入其他特殊的分采集器，支持各种分采集器挂接的气温、湿度、地温、辐射等各种要素的数据采集和处理；</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3.3</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完善支持 WMO 规定的基本数据质量控制功能；</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3.4</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支持运行状态监控，包括传感器工作状态、主采集器和分采集器工作状态等；</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3.5</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内置高精度的 A/D 电路、实时时钟电路；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3.6</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内置大容量数据存储器，存储气象要素数据、运行状态信息、系统日志信息等；</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3.7</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具有 CF 卡接口，可以存储符合《功能规格书》要求的各类数据文件；</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3.8</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具有 GPS 接口，支持 GPS 授时；</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3.9</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具有 RS-232 通信接口，可扩展 GPRS、光纤等通信设备，实现远距离的无线、有线通信，支持《功能规格书》规定的终端操作命令；</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3.10</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具有以太网接口，支持 web、telnet、ftp 等网络访问能力。</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主采集器有两个指示灯，标有RUN的为采集器运行指示灯，CF卡插口旁的是CF卡操作指示灯。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4.1</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RUN 指示灯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用于指示各种工作状态，如下表所示。</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4.1.1</w:t>
            </w:r>
          </w:p>
        </w:tc>
        <w:tc>
          <w:tcPr>
            <w:tcW w:w="7330" w:type="dxa"/>
            <w:noWrap w:val="0"/>
            <w:vAlign w:val="center"/>
          </w:tcPr>
          <w:tbl>
            <w:tblPr>
              <w:tblStyle w:val="60"/>
              <w:tblW w:w="7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334"/>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指示灯状态</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常亮</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系统正在启动中。此过程持续时间约为 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1/4秒闪</w:t>
                  </w:r>
                </w:p>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(0.25秒亮、0.25秒暗)</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应用程序正在启动中。此过程持续时间约为 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秒闪(1秒亮、1秒暗)</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表示应用程序运行正常。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快闪</w:t>
                  </w:r>
                </w:p>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(0.1秒亮、0.1秒暗)</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表示应用程序已停止运行。一般在维护过程中出现。若在非维护过程中出现，说明系统出现故障。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2次快闪</w:t>
                  </w:r>
                </w:p>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(闪2次，停1秒)</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CF卡加载成功，等待操作。此过程持续时间可达2分钟。若长时间处于此状态，说明CF卡未插好或有故障，请拔下后重新插入再试一次。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3次快闪</w:t>
                  </w:r>
                </w:p>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(闪3次，停1秒)</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已检测到插入CF卡，正在进行加载。此过程持续时间约为2秒。若长时间处于此状态，说明CF卡未插好或有故障，请拔下后重新插入再试一次。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pStyle w:val="315"/>
                    <w:keepNext w:val="0"/>
                    <w:keepLines w:val="0"/>
                    <w:pageBreakBefore w:val="0"/>
                    <w:widowControl w:val="0"/>
                    <w:numPr>
                      <w:ilvl w:val="0"/>
                      <w:numId w:val="0"/>
                    </w:numPr>
                    <w:tabs>
                      <w:tab w:val="left" w:pos="0"/>
                      <w:tab w:val="left" w:pos="337"/>
                      <w:tab w:val="clear" w:pos="780"/>
                    </w:tabs>
                    <w:kinsoku/>
                    <w:wordWrap/>
                    <w:overflowPunct/>
                    <w:topLinePunct w:val="0"/>
                    <w:autoSpaceDE/>
                    <w:autoSpaceDN/>
                    <w:bidi w:val="0"/>
                    <w:adjustRightInd/>
                    <w:snapToGrid/>
                    <w:spacing w:line="240" w:lineRule="auto"/>
                    <w:ind w:lef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334"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4次快闪</w:t>
                  </w:r>
                </w:p>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(闪4次，停1秒)</w:t>
                  </w:r>
                </w:p>
              </w:tc>
              <w:tc>
                <w:tcPr>
                  <w:tcW w:w="4132" w:type="dxa"/>
                  <w:noWrap w:val="0"/>
                  <w:vAlign w:val="center"/>
                </w:tcPr>
                <w:p>
                  <w:pPr>
                    <w:pStyle w:val="3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CF卡故障。说明CF卡未插好或有故障，请拔下后重新插入再试一次。</w:t>
                  </w:r>
                </w:p>
              </w:tc>
            </w:tr>
          </w:tbl>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4.2</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CF 卡指示灯</w:t>
            </w:r>
            <w:r>
              <w:rPr>
                <w:rFonts w:hint="eastAsia" w:ascii="宋体" w:hAnsi="宋体" w:eastAsia="宋体" w:cs="宋体"/>
                <w:b w:val="0"/>
                <w:bCs w:val="0"/>
                <w:sz w:val="21"/>
                <w:szCs w:val="21"/>
                <w:lang w:eastAsia="zh-CN"/>
              </w:rPr>
              <w:t>，CF指示灯平时不亮，只有在采集器对CF卡进行读写操作时，才会点亮。在该指示灯点亮期间，不应当拔下CF卡，以免丢失数据。</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vMerge w:val="restart"/>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4.2.1</w:t>
            </w:r>
          </w:p>
        </w:tc>
        <w:tc>
          <w:tcPr>
            <w:tcW w:w="7330" w:type="dxa"/>
            <w:tcBorders>
              <w:bottom w:val="single" w:color="auto" w:sz="4" w:space="0"/>
            </w:tcBorders>
            <w:noWrap w:val="0"/>
            <w:vAlign w:val="center"/>
          </w:tcPr>
          <w:tbl>
            <w:tblPr>
              <w:tblStyle w:val="60"/>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2"/>
              <w:gridCol w:w="1800"/>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229"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color w:val="auto"/>
                      <w:kern w:val="2"/>
                      <w:sz w:val="21"/>
                      <w:szCs w:val="21"/>
                      <w:lang w:val="en-US" w:eastAsia="zh-CN" w:bidi="ar-SA"/>
                    </w:rPr>
                    <w:t>主采集器</w:t>
                  </w:r>
                </w:p>
              </w:tc>
              <w:tc>
                <w:tcPr>
                  <w:tcW w:w="3229"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both"/>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自动气象站的测量性能遵循《功能规格书》的要求。气象要素观测性能要求见</w:t>
                  </w:r>
                  <w:r>
                    <w:rPr>
                      <w:rFonts w:hint="eastAsia" w:ascii="宋体" w:hAnsi="宋体" w:eastAsia="宋体" w:cs="宋体"/>
                      <w:b w:val="0"/>
                      <w:bCs/>
                      <w:color w:val="auto"/>
                      <w:sz w:val="21"/>
                      <w:szCs w:val="21"/>
                    </w:rPr>
                    <w:fldChar w:fldCharType="begin"/>
                  </w:r>
                  <w:r>
                    <w:rPr>
                      <w:rFonts w:hint="eastAsia" w:ascii="宋体" w:hAnsi="宋体" w:eastAsia="宋体" w:cs="宋体"/>
                      <w:b w:val="0"/>
                      <w:bCs/>
                      <w:color w:val="auto"/>
                      <w:sz w:val="21"/>
                      <w:szCs w:val="21"/>
                    </w:rPr>
                    <w:instrText xml:space="preserve"> REF _Ref288750229 \h  \* MERGEFORMAT </w:instrText>
                  </w:r>
                  <w:r>
                    <w:rPr>
                      <w:rFonts w:hint="eastAsia" w:ascii="宋体" w:hAnsi="宋体" w:eastAsia="宋体" w:cs="宋体"/>
                      <w:b w:val="0"/>
                      <w:bCs/>
                      <w:color w:val="auto"/>
                      <w:sz w:val="21"/>
                      <w:szCs w:val="21"/>
                    </w:rPr>
                    <w:fldChar w:fldCharType="separate"/>
                  </w:r>
                  <w:r>
                    <w:rPr>
                      <w:rFonts w:hint="eastAsia" w:ascii="宋体" w:hAnsi="宋体" w:eastAsia="宋体" w:cs="宋体"/>
                      <w:b w:val="0"/>
                      <w:bCs/>
                      <w:color w:val="auto"/>
                      <w:sz w:val="21"/>
                      <w:szCs w:val="21"/>
                    </w:rPr>
                    <w:t>表</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fldChar w:fldCharType="end"/>
                  </w:r>
                  <w:r>
                    <w:rPr>
                      <w:rFonts w:hint="eastAsia" w:ascii="宋体" w:hAnsi="宋体" w:eastAsia="宋体" w:cs="宋体"/>
                      <w:b w:val="0"/>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67" w:name="_Toc12647"/>
                  <w:bookmarkStart w:id="68" w:name="_Toc26026"/>
                  <w:bookmarkStart w:id="69" w:name="_Toc18874"/>
                  <w:bookmarkStart w:id="70" w:name="_Toc39925128"/>
                  <w:bookmarkStart w:id="71" w:name="_Toc6146"/>
                  <w:bookmarkStart w:id="72" w:name="_Toc17797"/>
                  <w:bookmarkStart w:id="73" w:name="_Toc22587"/>
                  <w:bookmarkStart w:id="74" w:name="_Toc27627"/>
                  <w:bookmarkStart w:id="75" w:name="_Toc14699"/>
                  <w:bookmarkStart w:id="76" w:name="_Toc3596"/>
                  <w:bookmarkStart w:id="77" w:name="_Toc18279"/>
                  <w:bookmarkStart w:id="78" w:name="_Toc290"/>
                  <w:r>
                    <w:rPr>
                      <w:rFonts w:hint="eastAsia" w:ascii="宋体" w:hAnsi="宋体" w:eastAsia="宋体" w:cs="宋体"/>
                      <w:b w:val="0"/>
                      <w:bCs/>
                      <w:color w:val="auto"/>
                      <w:sz w:val="21"/>
                      <w:szCs w:val="21"/>
                      <w:lang w:val="en-US" w:eastAsia="zh-CN"/>
                    </w:rPr>
                    <w:t>2</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观测时制</w:t>
                  </w:r>
                  <w:bookmarkEnd w:id="67"/>
                  <w:bookmarkEnd w:id="68"/>
                  <w:bookmarkEnd w:id="69"/>
                  <w:bookmarkEnd w:id="70"/>
                  <w:bookmarkEnd w:id="71"/>
                  <w:bookmarkEnd w:id="72"/>
                  <w:bookmarkEnd w:id="73"/>
                  <w:bookmarkEnd w:id="74"/>
                  <w:bookmarkEnd w:id="75"/>
                  <w:bookmarkEnd w:id="76"/>
                  <w:bookmarkEnd w:id="77"/>
                  <w:bookmarkEnd w:id="78"/>
                </w:p>
              </w:tc>
              <w:tc>
                <w:tcPr>
                  <w:tcW w:w="3229" w:type="pct"/>
                  <w:shd w:val="clear" w:color="auto" w:fill="auto"/>
                  <w:vAlign w:val="center"/>
                </w:tcPr>
                <w:p>
                  <w:pPr>
                    <w:pageBreakBefore w:val="0"/>
                    <w:numPr>
                      <w:ilvl w:val="1"/>
                      <w:numId w:val="0"/>
                    </w:numPr>
                    <w:tabs>
                      <w:tab w:val="left" w:pos="432"/>
                    </w:tabs>
                    <w:kinsoku/>
                    <w:wordWrap/>
                    <w:overflowPunct/>
                    <w:topLinePunct w:val="0"/>
                    <w:autoSpaceDE/>
                    <w:autoSpaceDN/>
                    <w:bidi w:val="0"/>
                    <w:snapToGrid/>
                    <w:spacing w:line="240" w:lineRule="auto"/>
                    <w:ind w:leftChars="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除辐射要素采用地平时观测外，其他要素均采用北京时观测。采用北京时观测的要素，日界为北京时 20:00；采用地平时观测的要素，其日界为地平时 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79" w:name="_Toc27050"/>
                  <w:bookmarkStart w:id="80" w:name="_Toc15768"/>
                  <w:bookmarkStart w:id="81" w:name="_Toc39925129"/>
                  <w:bookmarkStart w:id="82" w:name="_Toc7889"/>
                  <w:bookmarkStart w:id="83" w:name="_Toc22763"/>
                  <w:bookmarkStart w:id="84" w:name="_Toc26592"/>
                  <w:bookmarkStart w:id="85" w:name="_Toc23015"/>
                  <w:bookmarkStart w:id="86" w:name="_Toc14710"/>
                  <w:bookmarkStart w:id="87" w:name="_Toc10952"/>
                  <w:bookmarkStart w:id="88" w:name="_Toc2993"/>
                  <w:bookmarkStart w:id="89" w:name="_Toc1879"/>
                  <w:bookmarkStart w:id="90" w:name="_Toc20146"/>
                  <w:r>
                    <w:rPr>
                      <w:rFonts w:hint="eastAsia" w:ascii="宋体" w:hAnsi="宋体" w:eastAsia="宋体" w:cs="宋体"/>
                      <w:b w:val="0"/>
                      <w:bCs/>
                      <w:color w:val="auto"/>
                      <w:sz w:val="21"/>
                      <w:szCs w:val="21"/>
                      <w:lang w:val="en-US" w:eastAsia="zh-CN"/>
                    </w:rPr>
                    <w:t>3</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系统时钟准确度</w:t>
                  </w:r>
                  <w:bookmarkEnd w:id="79"/>
                  <w:bookmarkEnd w:id="80"/>
                  <w:bookmarkEnd w:id="81"/>
                  <w:bookmarkEnd w:id="82"/>
                  <w:bookmarkEnd w:id="83"/>
                  <w:bookmarkEnd w:id="84"/>
                  <w:bookmarkEnd w:id="85"/>
                  <w:bookmarkEnd w:id="86"/>
                  <w:bookmarkEnd w:id="87"/>
                  <w:bookmarkEnd w:id="88"/>
                  <w:bookmarkEnd w:id="89"/>
                  <w:bookmarkEnd w:id="90"/>
                </w:p>
              </w:tc>
              <w:tc>
                <w:tcPr>
                  <w:tcW w:w="3229" w:type="pct"/>
                  <w:shd w:val="clear" w:color="auto" w:fill="auto"/>
                  <w:vAlign w:val="center"/>
                </w:tcPr>
                <w:p>
                  <w:pPr>
                    <w:pageBreakBefore w:val="0"/>
                    <w:kinsoku/>
                    <w:wordWrap/>
                    <w:overflowPunct/>
                    <w:topLinePunct w:val="0"/>
                    <w:autoSpaceDE/>
                    <w:autoSpaceDN/>
                    <w:bidi w:val="0"/>
                    <w:snapToGrid/>
                    <w:spacing w:line="240" w:lineRule="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±0.5s/d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91" w:name="_Toc21424"/>
                  <w:bookmarkStart w:id="92" w:name="_Toc22678"/>
                  <w:bookmarkStart w:id="93" w:name="_Toc3726"/>
                  <w:bookmarkStart w:id="94" w:name="_Toc26187"/>
                  <w:bookmarkStart w:id="95" w:name="_Toc21225"/>
                  <w:bookmarkStart w:id="96" w:name="_Toc288652167"/>
                  <w:bookmarkStart w:id="97" w:name="_Toc15276"/>
                  <w:bookmarkStart w:id="98" w:name="_Toc39925130"/>
                  <w:bookmarkStart w:id="99" w:name="_Toc1117"/>
                  <w:bookmarkStart w:id="100" w:name="_Toc19387"/>
                  <w:bookmarkStart w:id="101" w:name="_Toc18892"/>
                  <w:bookmarkStart w:id="102" w:name="_Toc10963"/>
                  <w:bookmarkStart w:id="103" w:name="_Toc23158"/>
                  <w:r>
                    <w:rPr>
                      <w:rFonts w:hint="eastAsia" w:ascii="宋体" w:hAnsi="宋体" w:eastAsia="宋体" w:cs="宋体"/>
                      <w:b w:val="0"/>
                      <w:bCs/>
                      <w:color w:val="auto"/>
                      <w:sz w:val="21"/>
                      <w:szCs w:val="21"/>
                      <w:lang w:val="en-US" w:eastAsia="zh-CN"/>
                    </w:rPr>
                    <w:t>4</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数据存储量</w:t>
                  </w:r>
                </w:p>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(分钟数据)</w:t>
                  </w:r>
                  <w:bookmarkEnd w:id="91"/>
                  <w:bookmarkEnd w:id="92"/>
                  <w:bookmarkEnd w:id="93"/>
                  <w:bookmarkEnd w:id="94"/>
                  <w:bookmarkEnd w:id="95"/>
                  <w:bookmarkEnd w:id="96"/>
                  <w:bookmarkEnd w:id="97"/>
                  <w:bookmarkEnd w:id="98"/>
                  <w:bookmarkEnd w:id="99"/>
                  <w:bookmarkEnd w:id="100"/>
                  <w:bookmarkEnd w:id="101"/>
                  <w:bookmarkEnd w:id="102"/>
                  <w:bookmarkEnd w:id="103"/>
                </w:p>
              </w:tc>
              <w:tc>
                <w:tcPr>
                  <w:tcW w:w="3229" w:type="pct"/>
                  <w:shd w:val="clear" w:color="auto" w:fill="auto"/>
                  <w:vAlign w:val="center"/>
                </w:tcPr>
                <w:p>
                  <w:pPr>
                    <w:pageBreakBefore w:val="0"/>
                    <w:numPr>
                      <w:ilvl w:val="1"/>
                      <w:numId w:val="0"/>
                    </w:numPr>
                    <w:tabs>
                      <w:tab w:val="left" w:pos="432"/>
                    </w:tabs>
                    <w:kinsoku/>
                    <w:wordWrap/>
                    <w:overflowPunct/>
                    <w:topLinePunct w:val="0"/>
                    <w:autoSpaceDE/>
                    <w:autoSpaceDN/>
                    <w:bidi w:val="0"/>
                    <w:snapToGrid/>
                    <w:spacing w:line="240" w:lineRule="auto"/>
                    <w:ind w:leftChars="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内部存储器：30d；外部存储器：取决于 CF 卡容量，1G 的 CF 卡可存储 1 年多的分钟数据。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104" w:name="_Toc8651"/>
                  <w:bookmarkStart w:id="105" w:name="_Toc13797"/>
                  <w:bookmarkStart w:id="106" w:name="_Toc39925131"/>
                  <w:bookmarkStart w:id="107" w:name="_Toc12444"/>
                  <w:bookmarkStart w:id="108" w:name="_Toc13419"/>
                  <w:bookmarkStart w:id="109" w:name="_Toc22800"/>
                  <w:bookmarkStart w:id="110" w:name="_Toc14137"/>
                  <w:bookmarkStart w:id="111" w:name="_Toc18452"/>
                  <w:bookmarkStart w:id="112" w:name="_Toc21698"/>
                  <w:bookmarkStart w:id="113" w:name="_Toc25072"/>
                  <w:bookmarkStart w:id="114" w:name="_Toc288652168"/>
                  <w:bookmarkStart w:id="115" w:name="_Toc5949"/>
                  <w:bookmarkStart w:id="116" w:name="_Toc24845"/>
                  <w:r>
                    <w:rPr>
                      <w:rFonts w:hint="eastAsia" w:ascii="宋体" w:hAnsi="宋体" w:eastAsia="宋体" w:cs="宋体"/>
                      <w:b w:val="0"/>
                      <w:bCs/>
                      <w:color w:val="auto"/>
                      <w:sz w:val="21"/>
                      <w:szCs w:val="21"/>
                      <w:lang w:val="en-US" w:eastAsia="zh-CN"/>
                    </w:rPr>
                    <w:t>5</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通信接口</w:t>
                  </w:r>
                  <w:bookmarkEnd w:id="104"/>
                  <w:bookmarkEnd w:id="105"/>
                  <w:bookmarkEnd w:id="106"/>
                  <w:bookmarkEnd w:id="107"/>
                  <w:bookmarkEnd w:id="108"/>
                  <w:bookmarkEnd w:id="109"/>
                  <w:bookmarkEnd w:id="110"/>
                  <w:bookmarkEnd w:id="111"/>
                  <w:bookmarkEnd w:id="112"/>
                  <w:bookmarkEnd w:id="113"/>
                  <w:bookmarkEnd w:id="114"/>
                  <w:bookmarkEnd w:id="115"/>
                  <w:bookmarkEnd w:id="116"/>
                </w:p>
              </w:tc>
              <w:tc>
                <w:tcPr>
                  <w:tcW w:w="3229" w:type="pct"/>
                  <w:shd w:val="clear" w:color="auto" w:fill="auto"/>
                  <w:vAlign w:val="center"/>
                </w:tcPr>
                <w:p>
                  <w:pPr>
                    <w:pageBreakBefore w:val="0"/>
                    <w:numPr>
                      <w:ilvl w:val="1"/>
                      <w:numId w:val="0"/>
                    </w:numPr>
                    <w:tabs>
                      <w:tab w:val="left" w:pos="432"/>
                    </w:tabs>
                    <w:kinsoku/>
                    <w:wordWrap/>
                    <w:overflowPunct/>
                    <w:topLinePunct w:val="0"/>
                    <w:autoSpaceDE/>
                    <w:autoSpaceDN/>
                    <w:bidi w:val="0"/>
                    <w:snapToGrid/>
                    <w:spacing w:line="240" w:lineRule="auto"/>
                    <w:ind w:leftChars="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RS-232、RS-485。通信参数可配置。默认通信参数：波特率 9600bps,8位数据位，1 位停止位，无校验，无流控。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117" w:name="_Toc23717"/>
                  <w:bookmarkStart w:id="118" w:name="_Toc7818"/>
                  <w:bookmarkStart w:id="119" w:name="_Toc14400"/>
                  <w:bookmarkStart w:id="120" w:name="_Toc6835"/>
                  <w:bookmarkStart w:id="121" w:name="_Toc288652169"/>
                  <w:bookmarkStart w:id="122" w:name="_Toc23617"/>
                  <w:bookmarkStart w:id="123" w:name="_Toc20075"/>
                  <w:bookmarkStart w:id="124" w:name="_Toc28682"/>
                  <w:bookmarkStart w:id="125" w:name="_Toc39925132"/>
                  <w:bookmarkStart w:id="126" w:name="_Toc17350"/>
                  <w:bookmarkStart w:id="127" w:name="_Toc20929"/>
                  <w:bookmarkStart w:id="128" w:name="_Toc10581"/>
                  <w:bookmarkStart w:id="129" w:name="_Toc29047"/>
                  <w:r>
                    <w:rPr>
                      <w:rFonts w:hint="eastAsia" w:ascii="宋体" w:hAnsi="宋体" w:eastAsia="宋体" w:cs="宋体"/>
                      <w:b w:val="0"/>
                      <w:bCs/>
                      <w:color w:val="auto"/>
                      <w:sz w:val="21"/>
                      <w:szCs w:val="21"/>
                      <w:lang w:val="en-US" w:eastAsia="zh-CN"/>
                    </w:rPr>
                    <w:t>6</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电源</w:t>
                  </w:r>
                  <w:bookmarkEnd w:id="117"/>
                  <w:bookmarkEnd w:id="118"/>
                  <w:bookmarkEnd w:id="119"/>
                  <w:bookmarkEnd w:id="120"/>
                  <w:bookmarkEnd w:id="121"/>
                  <w:bookmarkEnd w:id="122"/>
                  <w:bookmarkEnd w:id="123"/>
                  <w:bookmarkEnd w:id="124"/>
                  <w:bookmarkEnd w:id="125"/>
                  <w:bookmarkEnd w:id="126"/>
                  <w:bookmarkEnd w:id="127"/>
                  <w:bookmarkEnd w:id="128"/>
                  <w:bookmarkEnd w:id="129"/>
                </w:p>
              </w:tc>
              <w:tc>
                <w:tcPr>
                  <w:tcW w:w="3229" w:type="pct"/>
                  <w:shd w:val="clear" w:color="auto" w:fill="auto"/>
                  <w:vAlign w:val="center"/>
                </w:tcPr>
                <w:p>
                  <w:pPr>
                    <w:pageBreakBefore w:val="0"/>
                    <w:numPr>
                      <w:ilvl w:val="1"/>
                      <w:numId w:val="0"/>
                    </w:numPr>
                    <w:tabs>
                      <w:tab w:val="left" w:pos="432"/>
                    </w:tabs>
                    <w:kinsoku/>
                    <w:wordWrap/>
                    <w:overflowPunct/>
                    <w:topLinePunct w:val="0"/>
                    <w:autoSpaceDE/>
                    <w:autoSpaceDN/>
                    <w:bidi w:val="0"/>
                    <w:snapToGrid/>
                    <w:spacing w:line="240" w:lineRule="auto"/>
                    <w:ind w:leftChars="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主电源：DC，9V～15V；辅助电源：AC，154V～286V；功耗：主采集器：&lt;2W；分采集器：&lt;0.5W；温湿度智能传感器：&lt;0.25W。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130" w:name="_Toc12165"/>
                  <w:bookmarkStart w:id="131" w:name="_Toc288652170"/>
                  <w:bookmarkStart w:id="132" w:name="_Toc39925133"/>
                  <w:bookmarkStart w:id="133" w:name="_Toc2400"/>
                  <w:bookmarkStart w:id="134" w:name="_Toc6096"/>
                  <w:bookmarkStart w:id="135" w:name="_Toc17018"/>
                  <w:bookmarkStart w:id="136" w:name="_Toc352"/>
                  <w:bookmarkStart w:id="137" w:name="_Toc29861"/>
                  <w:bookmarkStart w:id="138" w:name="_Toc6915"/>
                  <w:bookmarkStart w:id="139" w:name="_Toc14919"/>
                  <w:bookmarkStart w:id="140" w:name="_Toc11818"/>
                  <w:bookmarkStart w:id="141" w:name="_Toc22806"/>
                  <w:bookmarkStart w:id="142" w:name="_Toc23921"/>
                  <w:r>
                    <w:rPr>
                      <w:rFonts w:hint="eastAsia" w:ascii="宋体" w:hAnsi="宋体" w:eastAsia="宋体" w:cs="宋体"/>
                      <w:b w:val="0"/>
                      <w:bCs/>
                      <w:color w:val="auto"/>
                      <w:sz w:val="21"/>
                      <w:szCs w:val="21"/>
                      <w:lang w:val="en-US" w:eastAsia="zh-CN"/>
                    </w:rPr>
                    <w:t>7</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环境适应性</w:t>
                  </w:r>
                  <w:bookmarkEnd w:id="130"/>
                  <w:bookmarkEnd w:id="131"/>
                  <w:bookmarkEnd w:id="132"/>
                  <w:bookmarkEnd w:id="133"/>
                  <w:bookmarkEnd w:id="134"/>
                  <w:bookmarkEnd w:id="135"/>
                  <w:bookmarkEnd w:id="136"/>
                  <w:bookmarkEnd w:id="137"/>
                  <w:bookmarkEnd w:id="138"/>
                  <w:bookmarkEnd w:id="139"/>
                  <w:bookmarkEnd w:id="140"/>
                  <w:bookmarkEnd w:id="141"/>
                  <w:bookmarkEnd w:id="142"/>
                </w:p>
              </w:tc>
              <w:tc>
                <w:tcPr>
                  <w:tcW w:w="3229" w:type="pct"/>
                  <w:shd w:val="clear" w:color="auto" w:fill="auto"/>
                  <w:vAlign w:val="center"/>
                </w:tcPr>
                <w:p>
                  <w:pPr>
                    <w:pageBreakBefore w:val="0"/>
                    <w:numPr>
                      <w:ilvl w:val="1"/>
                      <w:numId w:val="0"/>
                    </w:numPr>
                    <w:tabs>
                      <w:tab w:val="left" w:pos="432"/>
                    </w:tabs>
                    <w:kinsoku/>
                    <w:wordWrap/>
                    <w:overflowPunct/>
                    <w:topLinePunct w:val="0"/>
                    <w:autoSpaceDE/>
                    <w:autoSpaceDN/>
                    <w:bidi w:val="0"/>
                    <w:snapToGrid/>
                    <w:spacing w:line="240" w:lineRule="auto"/>
                    <w:ind w:leftChars="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气温：-40℃～+50℃；地面温度：-40℃～+80℃；相对湿度：10%～100%；大气压力：450hPa～1060hPa；太阳辐射：1120W/m</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；抗风能力：≤75m/s；降水强度：6mm/min。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91"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b w:val="0"/>
                      <w:bCs/>
                      <w:color w:val="auto"/>
                      <w:sz w:val="21"/>
                      <w:szCs w:val="21"/>
                      <w:lang w:val="en-US" w:eastAsia="zh-CN"/>
                    </w:rPr>
                  </w:pPr>
                  <w:bookmarkStart w:id="143" w:name="_Toc21899"/>
                  <w:bookmarkStart w:id="144" w:name="_Toc39925134"/>
                  <w:bookmarkStart w:id="145" w:name="_Toc8834"/>
                  <w:bookmarkStart w:id="146" w:name="_Toc9330"/>
                  <w:bookmarkStart w:id="147" w:name="_Toc4518"/>
                  <w:bookmarkStart w:id="148" w:name="_Toc8108"/>
                  <w:bookmarkStart w:id="149" w:name="_Toc288652171"/>
                  <w:bookmarkStart w:id="150" w:name="_Toc26958"/>
                  <w:bookmarkStart w:id="151" w:name="_Toc4844"/>
                  <w:bookmarkStart w:id="152" w:name="_Toc10020"/>
                  <w:bookmarkStart w:id="153" w:name="_Toc27657"/>
                  <w:bookmarkStart w:id="154" w:name="_Toc7033"/>
                  <w:bookmarkStart w:id="155" w:name="_Toc14983"/>
                  <w:r>
                    <w:rPr>
                      <w:rFonts w:hint="eastAsia" w:ascii="宋体" w:hAnsi="宋体" w:eastAsia="宋体" w:cs="宋体"/>
                      <w:b w:val="0"/>
                      <w:bCs/>
                      <w:color w:val="auto"/>
                      <w:sz w:val="21"/>
                      <w:szCs w:val="21"/>
                      <w:lang w:val="en-US" w:eastAsia="zh-CN"/>
                    </w:rPr>
                    <w:t>8</w:t>
                  </w:r>
                </w:p>
              </w:tc>
              <w:tc>
                <w:tcPr>
                  <w:tcW w:w="1278" w:type="pct"/>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rPr>
                    <w:t>电磁兼容性</w:t>
                  </w:r>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3229" w:type="pct"/>
                  <w:shd w:val="clear" w:color="auto" w:fill="auto"/>
                  <w:vAlign w:val="center"/>
                </w:tcPr>
                <w:p>
                  <w:pPr>
                    <w:pageBreakBefore w:val="0"/>
                    <w:numPr>
                      <w:ilvl w:val="1"/>
                      <w:numId w:val="0"/>
                    </w:numPr>
                    <w:tabs>
                      <w:tab w:val="left" w:pos="432"/>
                    </w:tabs>
                    <w:kinsoku/>
                    <w:wordWrap/>
                    <w:overflowPunct/>
                    <w:topLinePunct w:val="0"/>
                    <w:autoSpaceDE/>
                    <w:autoSpaceDN/>
                    <w:bidi w:val="0"/>
                    <w:snapToGrid/>
                    <w:spacing w:line="240" w:lineRule="auto"/>
                    <w:ind w:leftChars="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静电放电抗扰度：接触放电 4kV；空气放电 8kV；电快速瞬变脉冲群抗扰度：2kV，5kHz；浪涌(冲击)抗扰度：1kA，8/20μs；射频场感应的传导骚扰抗扰度：0.15～80MHz，3V，80% AMk（1kHz）。</w:t>
                  </w:r>
                </w:p>
              </w:tc>
            </w:tr>
          </w:tbl>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p>
        </w:tc>
        <w:tc>
          <w:tcPr>
            <w:tcW w:w="740" w:type="dxa"/>
            <w:vMerge w:val="restart"/>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vMerge w:val="continue"/>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eastAsia" w:ascii="宋体" w:hAnsi="宋体" w:cs="宋体"/>
                <w:b w:val="0"/>
                <w:bCs w:val="0"/>
                <w:sz w:val="21"/>
                <w:szCs w:val="21"/>
                <w:lang w:val="en-US" w:eastAsia="zh-CN"/>
              </w:rPr>
            </w:pPr>
          </w:p>
        </w:tc>
        <w:tc>
          <w:tcPr>
            <w:tcW w:w="7330" w:type="dxa"/>
            <w:tcBorders>
              <w:top w:val="single" w:color="auto" w:sz="4" w:space="0"/>
              <w:left w:val="single" w:color="auto" w:sz="4" w:space="0"/>
              <w:bottom w:val="single" w:color="auto" w:sz="4" w:space="0"/>
              <w:right w:val="single" w:color="auto" w:sz="4" w:space="0"/>
            </w:tcBorders>
            <w:noWrap w:val="0"/>
            <w:vAlign w:val="center"/>
          </w:tcPr>
          <w:p>
            <w:pPr>
              <w:pStyle w:val="632"/>
              <w:keepNext w:val="0"/>
              <w:keepLines w:val="0"/>
              <w:pageBreakBefore w:val="0"/>
              <w:kinsoku/>
              <w:wordWrap/>
              <w:overflowPunct/>
              <w:topLinePunct w:val="0"/>
              <w:bidi w:val="0"/>
              <w:adjustRightInd w:val="0"/>
              <w:spacing w:before="0" w:beforeLines="0" w:after="0" w:afterLines="0" w:line="240" w:lineRule="auto"/>
              <w:textAlignment w:val="auto"/>
              <w:outlineLvl w:val="9"/>
              <w:rPr>
                <w:rFonts w:hint="eastAsia" w:ascii="宋体" w:hAnsi="宋体" w:eastAsia="宋体" w:cs="宋体"/>
                <w:b w:val="0"/>
                <w:bCs/>
                <w:color w:val="auto"/>
                <w:sz w:val="21"/>
                <w:szCs w:val="21"/>
              </w:rPr>
            </w:pPr>
            <w:bookmarkStart w:id="156" w:name="_Ref288750229"/>
            <w:r>
              <w:rPr>
                <w:rFonts w:hint="eastAsia" w:ascii="宋体" w:hAnsi="宋体" w:eastAsia="宋体" w:cs="宋体"/>
                <w:b w:val="0"/>
                <w:bCs/>
                <w:color w:val="auto"/>
                <w:sz w:val="21"/>
                <w:szCs w:val="21"/>
              </w:rPr>
              <w:t>表</w:t>
            </w:r>
            <w:bookmarkEnd w:id="156"/>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 xml:space="preserve"> 自动气象站测量性能指标</w:t>
            </w:r>
          </w:p>
          <w:tbl>
            <w:tblPr>
              <w:tblStyle w:val="6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727"/>
              <w:gridCol w:w="1275"/>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测量要素</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范围</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分辨力</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气压</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(500～1100)hPa</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0.1hPa</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气温</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(-50～50)℃</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相对湿度</w:t>
                  </w:r>
                </w:p>
              </w:tc>
              <w:tc>
                <w:tcPr>
                  <w:tcW w:w="1727"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(5%～100%)RH</w:t>
                  </w:r>
                </w:p>
              </w:tc>
              <w:tc>
                <w:tcPr>
                  <w:tcW w:w="1275"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727"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露点温度</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(-60～50)℃</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风向</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(0～360)°</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风速</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(0～60)m/s</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0.1m/s</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降水量</w:t>
                  </w:r>
                </w:p>
              </w:tc>
              <w:tc>
                <w:tcPr>
                  <w:tcW w:w="1727"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翻斗：雨强</w:t>
                  </w:r>
                </w:p>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(0～4)mm/min</w:t>
                  </w:r>
                </w:p>
              </w:tc>
              <w:tc>
                <w:tcPr>
                  <w:tcW w:w="1275"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0.1mm</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727"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地表温度</w:t>
                  </w:r>
                </w:p>
              </w:tc>
              <w:tc>
                <w:tcPr>
                  <w:tcW w:w="1727"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(-50～80)℃</w:t>
                  </w:r>
                </w:p>
              </w:tc>
              <w:tc>
                <w:tcPr>
                  <w:tcW w:w="1275"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±0.2℃(-50℃～50℃)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727"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±0.5℃(50℃～80℃)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浅层地温</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(-40～60)℃</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深层地温</w:t>
                  </w:r>
                </w:p>
              </w:tc>
              <w:tc>
                <w:tcPr>
                  <w:tcW w:w="172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(-30～40)℃</w:t>
                  </w:r>
                </w:p>
              </w:tc>
              <w:tc>
                <w:tcPr>
                  <w:tcW w:w="1275"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蒸发量</w:t>
                  </w:r>
                </w:p>
              </w:tc>
              <w:tc>
                <w:tcPr>
                  <w:tcW w:w="1727"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(0～100)mm</w:t>
                  </w:r>
                </w:p>
              </w:tc>
              <w:tc>
                <w:tcPr>
                  <w:tcW w:w="1275"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0.1mm</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bookmarkStart w:id="157" w:name="OLE_LINK6"/>
                  <w:bookmarkStart w:id="158" w:name="OLE_LINK7"/>
                  <w:r>
                    <w:rPr>
                      <w:rFonts w:hint="eastAsia" w:ascii="宋体" w:hAnsi="宋体" w:eastAsia="宋体" w:cs="宋体"/>
                      <w:b w:val="0"/>
                      <w:bCs/>
                      <w:color w:val="auto"/>
                      <w:kern w:val="0"/>
                      <w:sz w:val="21"/>
                      <w:szCs w:val="21"/>
                    </w:rPr>
                    <w:t>±</w:t>
                  </w:r>
                  <w:bookmarkEnd w:id="157"/>
                  <w:bookmarkEnd w:id="158"/>
                  <w:r>
                    <w:rPr>
                      <w:rFonts w:hint="eastAsia" w:ascii="宋体" w:hAnsi="宋体" w:eastAsia="宋体" w:cs="宋体"/>
                      <w:b w:val="0"/>
                      <w:bCs/>
                      <w:color w:val="auto"/>
                      <w:kern w:val="0"/>
                      <w:sz w:val="21"/>
                      <w:szCs w:val="21"/>
                    </w:rPr>
                    <w:t>0.2mm（≤10mm）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727"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能见度</w:t>
                  </w:r>
                </w:p>
              </w:tc>
              <w:tc>
                <w:tcPr>
                  <w:tcW w:w="1727"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（10-35000）m</w:t>
                  </w:r>
                </w:p>
              </w:tc>
              <w:tc>
                <w:tcPr>
                  <w:tcW w:w="1275"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10m</w:t>
                  </w: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±10%（10-10km）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727"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1275"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p>
              </w:tc>
              <w:tc>
                <w:tcPr>
                  <w:tcW w:w="2597" w:type="dxa"/>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±20%（10km-35km）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称重雨量</w:t>
                  </w:r>
                </w:p>
              </w:tc>
              <w:tc>
                <w:tcPr>
                  <w:tcW w:w="1727"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sz w:val="21"/>
                      <w:szCs w:val="21"/>
                    </w:rPr>
                    <w:t>（0～200）mm</w:t>
                  </w:r>
                </w:p>
              </w:tc>
              <w:tc>
                <w:tcPr>
                  <w:tcW w:w="1275" w:type="dxa"/>
                  <w:vMerge w:val="restart"/>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sz w:val="21"/>
                      <w:szCs w:val="21"/>
                    </w:rPr>
                    <w:t>0.1mm</w:t>
                  </w:r>
                </w:p>
              </w:tc>
              <w:tc>
                <w:tcPr>
                  <w:tcW w:w="259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±0.3mm（≤10mm）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9"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textAlignment w:val="auto"/>
                    <w:outlineLvl w:val="9"/>
                    <w:rPr>
                      <w:rFonts w:hint="eastAsia" w:ascii="宋体" w:hAnsi="宋体" w:eastAsia="宋体" w:cs="宋体"/>
                      <w:b w:val="0"/>
                      <w:bCs/>
                      <w:color w:val="auto"/>
                      <w:kern w:val="0"/>
                      <w:sz w:val="21"/>
                      <w:szCs w:val="21"/>
                    </w:rPr>
                  </w:pPr>
                </w:p>
              </w:tc>
              <w:tc>
                <w:tcPr>
                  <w:tcW w:w="1727"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sz w:val="21"/>
                      <w:szCs w:val="21"/>
                    </w:rPr>
                  </w:pPr>
                </w:p>
              </w:tc>
              <w:tc>
                <w:tcPr>
                  <w:tcW w:w="1275" w:type="dxa"/>
                  <w:vMerge w:val="continue"/>
                  <w:noWrap w:val="0"/>
                  <w:vAlign w:val="center"/>
                </w:tcPr>
                <w:p>
                  <w:pPr>
                    <w:keepNext w:val="0"/>
                    <w:keepLines w:val="0"/>
                    <w:pageBreakBefore w:val="0"/>
                    <w:widowControl/>
                    <w:kinsoku/>
                    <w:wordWrap/>
                    <w:overflowPunct/>
                    <w:topLinePunct w:val="0"/>
                    <w:bidi w:val="0"/>
                    <w:adjustRightInd w:val="0"/>
                    <w:spacing w:line="240" w:lineRule="auto"/>
                    <w:ind w:firstLine="0" w:firstLineChars="0"/>
                    <w:jc w:val="center"/>
                    <w:textAlignment w:val="auto"/>
                    <w:outlineLvl w:val="9"/>
                    <w:rPr>
                      <w:rFonts w:hint="eastAsia" w:ascii="宋体" w:hAnsi="宋体" w:eastAsia="宋体" w:cs="宋体"/>
                      <w:b w:val="0"/>
                      <w:bCs/>
                      <w:color w:val="auto"/>
                      <w:sz w:val="21"/>
                      <w:szCs w:val="21"/>
                    </w:rPr>
                  </w:pPr>
                </w:p>
              </w:tc>
              <w:tc>
                <w:tcPr>
                  <w:tcW w:w="259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±3%（&gt;10mm）</w:t>
                  </w:r>
                </w:p>
              </w:tc>
            </w:tr>
          </w:tbl>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p>
        </w:tc>
        <w:tc>
          <w:tcPr>
            <w:tcW w:w="740" w:type="dxa"/>
            <w:vMerge w:val="continue"/>
            <w:tcBorders>
              <w:bottom w:val="single" w:color="auto" w:sz="4" w:space="0"/>
            </w:tcBorders>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（2）地温分采集系统（1台）</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33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详细技术参数要求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地温分采集箱内部安装了地温分采集器、防雷组件等部件，机箱底部提供电源、传感器、通信的接口。地温分采集器是与主采集器配套使用的数据采器，用于采集草温、地表温、浅层地温、深层地温，并将采样值通过 CAN 通信网络实时提交给主采集器。能满足符合中国气象局2003《地面气象观测规范》要求。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地温分采集器有四个指示灯，标有 RUN 的为采集器运行指示灯，标有 CANE 的为 CAN 通信错误指示灯，标有 CANR 的为 CAN 通信运行指示灯（绿色），标有 COM 的为串口通信指示灯。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RUN 指示灯：上电后，该指示灯约每 2 秒闪一次（亮 1 秒，灭 1 秒），表示采集器正在正常运行。</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CANR 指示灯：采集器初始化完成后，开始连接 CAN 总线。采集器在连接总线期间，CANR 指示灯将每秒闪烁一次。连接总线可能要花几秒时间，连接成功后，该指示灯保持保持常亮。如果 CANR 指示灯长时间闪烁，则表明 CAN 总线有问题，需要检查接线。</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CANE 指示灯：当 CAN 通信正常时，此灯不亮。如果通信出现故障时，CANE 指示灯将闪烁，需要进行检查。</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9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c>
          <w:tcPr>
            <w:tcW w:w="733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COM 指示灯：当进行串口通信时，此灯点亮。</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2、串口服务器（1台）</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20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详细技术参数要求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产品特征</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集成度高：将多串口通信、信号转换、光电隔离、数据转换和光电转换（光猫）等功能高度集成在一起，设备安装方便、连接简单。 </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通信方式设置灵活：具有 8 路可插拔 RS-232/485/422 接口模块，用户可根据实际需求灵活设置每路接口的通信方式。 </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支持数据转换功能：可根据台站非数据字典格式的设备开发数据转换模块，完成观测设备固定数据格式到数据字典格式的转换，以便设备快速接入ISOS软件。</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高可靠性：军工级的元器件筛选及生产工艺，保证仪器稳定运行。</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通信波特率：115200、57600、38400、19200、9600、4800、2400（初始默认 9600）。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通信接口</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8个可插拔RS-232/485/422接口（采用5位接线端子，初始默认RS-232）；</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4个RJ45接口（其中1个为8串口转以太网接口， 3个为以太网转光纤接口）；</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1组ST光纤收发接口(支持1300nm 多模光纤)；</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1个RS-232 DB9母口（调试口）；</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2.2.5</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1个USB母口（B型）（调试口）；</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2.2.6</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1个USB母口（A型）（预留）；</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2.2.7</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SD卡插槽（数据存储）。</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指示灯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2个电源指示灯；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7个状态指示灯；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8个RS-232/485/422接口通信指示灯；</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2组ST光纤收发接口通信指示灯（通信控制模块和光电转换模块）。</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按键</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1个系统复位按键；</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1个恢复出厂设置按键。</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通信距离：内部集成了光纤接口，室内配备以太网光纤转换器实现100Base-TX（RJ45）和100Base-FX（光纤信号)的转换；最大有线传输距离： ≥500m。</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通信防雷：内部采用光电隔离和浪涌保护，可抑制电磁干扰。</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供电电源：单向交流220V（50Hz）±10%。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蓄电池：12V38AH，保证综合集成硬件控制器在无外电情况下可正常工作24小时以上。</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2.9</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整机功耗＜8W。</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2.10</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设备可靠性和可维护性：平均故障间隔时间（MTBF）≥8000h；平均修复时间（MTTR）≤0.5h。</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环境适应性</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工作环境温度： －40℃~+60℃;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相对湿度： 10％～95%;</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抗降水：≤300mm/h，抗风：风速≤30m/s；</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防尘防水： IP65。</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val="en-US" w:eastAsia="zh-CN"/>
        </w:rPr>
        <w:t>、操作实训平台（1</w:t>
      </w:r>
      <w:r>
        <w:rPr>
          <w:rFonts w:hint="eastAsia" w:ascii="宋体" w:hAnsi="宋体" w:cs="宋体"/>
          <w:b/>
          <w:color w:val="auto"/>
          <w:kern w:val="0"/>
          <w:sz w:val="24"/>
          <w:szCs w:val="24"/>
          <w:highlight w:val="none"/>
          <w:lang w:val="en-US" w:eastAsia="zh-CN"/>
        </w:rPr>
        <w:t>套</w:t>
      </w:r>
      <w:r>
        <w:rPr>
          <w:rFonts w:hint="eastAsia" w:ascii="宋体" w:hAnsi="宋体" w:eastAsia="宋体" w:cs="宋体"/>
          <w:b/>
          <w:color w:val="auto"/>
          <w:kern w:val="0"/>
          <w:sz w:val="24"/>
          <w:szCs w:val="24"/>
          <w:highlight w:val="none"/>
          <w:lang w:val="en-US" w:eastAsia="zh-CN"/>
        </w:rPr>
        <w:t>）</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20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详细技术参数要求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光纤转换器（1台）</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通过光纤转换器，实现自动气象站与运行业务软件的终端微机之间的一对一的高质量、高可靠的光纤通信，传输数据、状态和控制信息。光纤转换器成对使用，自动气象站和业务计算机各需选配一个光纤转换器。能满足国家基准气候站、国家基本气象站、国家一般气象站、或其他具备光纤通信条件的气象台站，均可选用光纤转换器实现光纤通信。</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业务显示终端（1台）</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部署“地面综合观测业务软件ISOS ”，其主要功能有数据收集显示、质量控制、综合判别、数据传输功能、业务监控功能、工作管理功能等。</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14英寸显示器/高性能轻薄配置/R7</w:t>
            </w:r>
            <w:r>
              <w:rPr>
                <w:rFonts w:hint="eastAsia" w:ascii="宋体" w:hAnsi="宋体" w:cs="宋体"/>
                <w:b w:val="0"/>
                <w:bCs w:val="0"/>
                <w:sz w:val="21"/>
                <w:szCs w:val="21"/>
                <w:lang w:val="en-US" w:eastAsia="zh-CN"/>
              </w:rPr>
              <w:t>或以上</w:t>
            </w:r>
            <w:r>
              <w:rPr>
                <w:rFonts w:hint="eastAsia" w:ascii="宋体" w:hAnsi="宋体" w:eastAsia="宋体" w:cs="宋体"/>
                <w:b w:val="0"/>
                <w:bCs w:val="0"/>
                <w:sz w:val="21"/>
                <w:szCs w:val="21"/>
              </w:rPr>
              <w:t>处理器/16G内存/PCI-E高速固态512G硬盘/</w:t>
            </w:r>
            <w:r>
              <w:rPr>
                <w:rFonts w:hint="eastAsia" w:ascii="宋体" w:hAnsi="宋体" w:cs="宋体"/>
                <w:b w:val="0"/>
                <w:bCs w:val="0"/>
                <w:sz w:val="21"/>
                <w:szCs w:val="21"/>
                <w:lang w:val="en-US" w:eastAsia="zh-CN"/>
              </w:rPr>
              <w:t>含操作系统</w:t>
            </w:r>
            <w:r>
              <w:rPr>
                <w:rFonts w:hint="eastAsia" w:ascii="宋体" w:hAnsi="宋体" w:eastAsia="宋体" w:cs="宋体"/>
                <w:b w:val="0"/>
                <w:bCs w:val="0"/>
                <w:sz w:val="21"/>
                <w:szCs w:val="21"/>
              </w:rPr>
              <w:t>带Office。</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操作台（1套）</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通过该操作维修可以实现调试、检测，硬件设备日常维修等操作。设备采用立柱模式安装，机箱、传感器安装尺寸、安装方式与观测场安装保持一致，更贴合实际业务观测应用；整体高度按照人体高度进行设计，方便后续学习、培训，业务人员直立就能安装、操作；预留各种电源接口（交流220V、直流12V电源、USB等接口），接口采用快插免接线形式，方便后期维修应用；按照工业化、模块化设计，能够快速进行扩展、拼接、搬运等，可以根据用户场地情况随意进行一字排列或组合排列安装。 </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操作台：7200（L）* 900（W）* 1600（H）mm</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(1)维修台：1800（L）* 900（W）* 1600（H）mm；</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(2)气象设备台:1800（L）* 900（W）* 1600（H）mm；</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配套主控软件（1套）</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4.1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配套主控软件需具有中国气象局规定的数据和图形产品以及文件格式。</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需由数据采集、数据加工、数据建模、综合显示、后台管理等基本模块组成。</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功能包括：1、宁海所建雷达设备及结合气象天擎大数据应用显示、查询、提醒、报警、统计、产品自动编辑推送、后台管理等功能；2、能实现和多部门的数据共享，同平台显示，多用户管理等。3、需同步配套微信端基于统计的数据显示、报警推送等功能。</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其他配件（1批）</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4颗(2.1GHz/8-Core/11MB/85W)处理器 </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2套256G内存</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12块6T SATA企业级硬盘</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outlineLvl w:val="9"/>
              <w:rPr>
                <w:rFonts w:hint="eastAsia" w:ascii="宋体" w:hAnsi="宋体" w:eastAsia="宋体" w:cs="宋体"/>
                <w:b/>
                <w:bCs/>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highlight w:val="none"/>
        </w:rPr>
      </w:pPr>
      <w:r>
        <w:rPr>
          <w:rFonts w:hint="eastAsia" w:ascii="宋体" w:hAnsi="宋体" w:eastAsia="宋体" w:cs="宋体"/>
          <w:b/>
          <w:color w:val="auto"/>
          <w:kern w:val="0"/>
          <w:sz w:val="24"/>
          <w:szCs w:val="24"/>
          <w:highlight w:val="none"/>
          <w:lang w:val="en-US" w:eastAsia="zh-CN"/>
        </w:rPr>
        <w:t>4、自动日照仪（1套）</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20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详细技术参数要求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产品特征</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 xml:space="preserve">高精度、高可靠性，且配有两级加热功能； </w:t>
            </w:r>
            <w:r>
              <w:rPr>
                <w:rFonts w:hint="eastAsia" w:asciiTheme="minorEastAsia" w:hAnsiTheme="minorEastAsia" w:eastAsiaTheme="minorEastAsia" w:cstheme="minorEastAsia"/>
                <w:b w:val="0"/>
                <w:bCs w:val="0"/>
                <w:sz w:val="21"/>
                <w:szCs w:val="21"/>
              </w:rPr>
              <w:t xml:space="preserve"> </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可以在任何纬度、经度操作，无需校准；</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color w:val="000000"/>
                <w:sz w:val="21"/>
                <w:szCs w:val="21"/>
              </w:rPr>
              <w:t>结构紧凑，重量轻，架设方便；</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无移动部件，无日常维护需求。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6" w:leftChars="0" w:hanging="56" w:hangingChars="27"/>
              <w:jc w:val="center"/>
              <w:textAlignment w:val="auto"/>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2.1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宋体" w:hAnsi="宋体" w:eastAsia="宋体" w:cs="宋体"/>
                <w:b/>
                <w:bCs/>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光谱范围：400nm～1100nm；</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直接辐照度阈值：120 W/</w:t>
            </w: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color w:val="000000"/>
                <w:sz w:val="21"/>
                <w:szCs w:val="21"/>
                <w:lang w:val="en-US" w:eastAsia="zh-CN"/>
              </w:rPr>
              <w:t>+24W/</w:t>
            </w: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color w:val="000000"/>
                <w:sz w:val="21"/>
                <w:szCs w:val="21"/>
                <w:lang w:eastAsia="zh-CN"/>
              </w:rPr>
              <w:t>；</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月累计误差：±10%；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2.4</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响应时间（95%响应）：≤1s；</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2.5</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温度响应误差（感应器件）：±0.1%/℃；</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2.6</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年稳定性误差（感应器件）：≤2%；</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工作电源电压：DC,9V～15V；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加热器电源电压：DC,9V～15V；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2.9</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绝缘电阻：≥10</w:t>
            </w:r>
            <w:r>
              <w:rPr>
                <w:rFonts w:hint="eastAsia" w:asciiTheme="minorEastAsia" w:hAnsiTheme="minorEastAsia" w:eastAsiaTheme="minorEastAsia" w:cstheme="minorEastAsia"/>
                <w:b w:val="0"/>
                <w:bCs w:val="0"/>
                <w:color w:val="000000"/>
                <w:sz w:val="21"/>
                <w:szCs w:val="21"/>
              </w:rPr>
              <w:t>MΩ</w:t>
            </w:r>
            <w:r>
              <w:rPr>
                <w:rFonts w:hint="eastAsia" w:asciiTheme="minorEastAsia" w:hAnsiTheme="minorEastAsia" w:eastAsiaTheme="minorEastAsia" w:cstheme="minorEastAsia"/>
                <w:b w:val="0"/>
                <w:bCs w:val="0"/>
                <w:color w:val="000000"/>
                <w:sz w:val="21"/>
                <w:szCs w:val="21"/>
                <w:lang w:eastAsia="zh-CN"/>
              </w:rPr>
              <w:t>；</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2.10</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日照电平信号</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2.10.1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1V±0.1V（有日照）；</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2.10.2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0V±0.1V（无日照）；</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功耗</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2.11.1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工作电路：&lt;0.1W；</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2.11.2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一级加热器：1.5±0.2W@12V；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2.11.3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二级加热器：10±1W@12V；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环境适应性</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2.12.1</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工作温度：-40～+65℃；</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2.12.2</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工作湿度：0～100%；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2.12.3</w:t>
            </w:r>
          </w:p>
        </w:tc>
        <w:tc>
          <w:tcPr>
            <w:tcW w:w="72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防护等级：IP67。</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highlight w:val="none"/>
        </w:rPr>
      </w:pPr>
      <w:r>
        <w:rPr>
          <w:rFonts w:hint="eastAsia" w:ascii="宋体" w:hAnsi="宋体" w:eastAsia="宋体" w:cs="宋体"/>
          <w:b/>
          <w:color w:val="auto"/>
          <w:kern w:val="0"/>
          <w:sz w:val="24"/>
          <w:szCs w:val="24"/>
          <w:highlight w:val="none"/>
          <w:lang w:val="en-US" w:eastAsia="zh-CN"/>
        </w:rPr>
        <w:t>5、降水现象仪（1套）</w:t>
      </w:r>
    </w:p>
    <w:tbl>
      <w:tblPr>
        <w:tblStyle w:val="6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12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详细技术参数要求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产品特征</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识别类型全面、准确度高；</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可同时报出降水强度和降雨量；</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1.3</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内部有加热功能；</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1.4</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高可靠性；</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1.5</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易使用、易维护、环境适应性强。</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参数要求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59" w:name="_Toc434503131"/>
            <w:bookmarkStart w:id="160" w:name="_Toc384426572"/>
            <w:bookmarkStart w:id="161" w:name="_Toc38535533"/>
            <w:r>
              <w:rPr>
                <w:rFonts w:hint="eastAsia" w:asciiTheme="minorEastAsia" w:hAnsiTheme="minorEastAsia" w:eastAsiaTheme="minorEastAsia" w:cstheme="minorEastAsia"/>
                <w:b w:val="0"/>
                <w:bCs w:val="0"/>
                <w:color w:val="000000"/>
                <w:sz w:val="21"/>
                <w:szCs w:val="21"/>
                <w:lang w:val="en-US" w:eastAsia="zh-CN"/>
              </w:rPr>
              <w:t>测量性能</w:t>
            </w:r>
            <w:bookmarkEnd w:id="159"/>
            <w:bookmarkEnd w:id="160"/>
            <w:bookmarkEnd w:id="161"/>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识别降水类型：毛毛雨、雨、阵雨、雪、阵雪、雨夹雪、阵性雨夹雪、冰雹；</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2.1.2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识别准确率：≥90％；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气候条件</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工作温度：－40 ℃～＋50 ℃；</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相对湿度：10％～100％；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2.2.3</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大气压力：450 hPa～1060 hPa；</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2.2.4</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太阳辐射：1120 W/m2；</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2.2.5</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降水强度：0 mm/min～6 mm/min。</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2.3</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62" w:name="_Toc38535536"/>
            <w:bookmarkStart w:id="163" w:name="_Toc434503134"/>
            <w:bookmarkStart w:id="164" w:name="_Toc427311918"/>
            <w:r>
              <w:rPr>
                <w:rFonts w:hint="eastAsia" w:asciiTheme="minorEastAsia" w:hAnsiTheme="minorEastAsia" w:eastAsiaTheme="minorEastAsia" w:cstheme="minorEastAsia"/>
                <w:b w:val="0"/>
                <w:bCs w:val="0"/>
                <w:color w:val="000000"/>
                <w:sz w:val="21"/>
                <w:szCs w:val="21"/>
                <w:lang w:val="en-US" w:eastAsia="zh-CN"/>
              </w:rPr>
              <w:t>外壳防护等级</w:t>
            </w:r>
            <w:bookmarkEnd w:id="162"/>
            <w:bookmarkEnd w:id="163"/>
            <w:bookmarkEnd w:id="164"/>
            <w:r>
              <w:rPr>
                <w:rFonts w:hint="eastAsia" w:asciiTheme="minorEastAsia" w:hAnsiTheme="minorEastAsia" w:eastAsiaTheme="minorEastAsia" w:cstheme="minorEastAsia"/>
                <w:b w:val="0"/>
                <w:bCs w:val="0"/>
                <w:color w:val="000000"/>
                <w:sz w:val="21"/>
                <w:szCs w:val="21"/>
                <w:lang w:val="en-US" w:eastAsia="zh-CN"/>
              </w:rPr>
              <w:t>：IP65。</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2.4</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65" w:name="_Toc427311919"/>
            <w:bookmarkStart w:id="166" w:name="_Toc434503135"/>
            <w:bookmarkStart w:id="167" w:name="_Toc38535537"/>
            <w:r>
              <w:rPr>
                <w:rFonts w:hint="eastAsia" w:asciiTheme="minorEastAsia" w:hAnsiTheme="minorEastAsia" w:eastAsiaTheme="minorEastAsia" w:cstheme="minorEastAsia"/>
                <w:b w:val="0"/>
                <w:bCs w:val="0"/>
                <w:color w:val="000000"/>
                <w:sz w:val="21"/>
                <w:szCs w:val="21"/>
                <w:lang w:val="en-US" w:eastAsia="zh-CN"/>
              </w:rPr>
              <w:t>抗盐雾能力</w:t>
            </w:r>
            <w:bookmarkEnd w:id="165"/>
            <w:bookmarkEnd w:id="166"/>
            <w:bookmarkEnd w:id="167"/>
            <w:r>
              <w:rPr>
                <w:rFonts w:hint="eastAsia" w:asciiTheme="minorEastAsia" w:hAnsiTheme="minorEastAsia" w:eastAsiaTheme="minorEastAsia" w:cstheme="minorEastAsia"/>
                <w:b w:val="0"/>
                <w:bCs w:val="0"/>
                <w:color w:val="000000"/>
                <w:sz w:val="21"/>
                <w:szCs w:val="21"/>
                <w:lang w:val="en-US" w:eastAsia="zh-CN"/>
              </w:rPr>
              <w:t>：</w:t>
            </w:r>
            <w:bookmarkStart w:id="168" w:name="_Ref388629266"/>
            <w:r>
              <w:rPr>
                <w:rFonts w:hint="eastAsia" w:asciiTheme="minorEastAsia" w:hAnsiTheme="minorEastAsia" w:eastAsiaTheme="minorEastAsia" w:cstheme="minorEastAsia"/>
                <w:b w:val="0"/>
                <w:bCs w:val="0"/>
                <w:color w:val="000000"/>
                <w:sz w:val="21"/>
                <w:szCs w:val="21"/>
                <w:lang w:val="en-US" w:eastAsia="zh-CN"/>
              </w:rPr>
              <w:t>符合 GB/T 2423.17—2008 规定的盐雾试验</w:t>
            </w:r>
            <w:bookmarkEnd w:id="168"/>
            <w:r>
              <w:rPr>
                <w:rFonts w:hint="eastAsia" w:asciiTheme="minorEastAsia" w:hAnsiTheme="minorEastAsia" w:eastAsiaTheme="minorEastAsia" w:cstheme="minorEastAsia"/>
                <w:b w:val="0"/>
                <w:bCs w:val="0"/>
                <w:color w:val="000000"/>
                <w:sz w:val="21"/>
                <w:szCs w:val="21"/>
                <w:lang w:val="en-US" w:eastAsia="zh-CN"/>
              </w:rPr>
              <w:t>要求。</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2.5</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69" w:name="_Toc434503136"/>
            <w:bookmarkStart w:id="170" w:name="_Toc38535538"/>
            <w:bookmarkStart w:id="171" w:name="_Toc384426582"/>
            <w:r>
              <w:rPr>
                <w:rFonts w:hint="eastAsia" w:asciiTheme="minorEastAsia" w:hAnsiTheme="minorEastAsia" w:eastAsiaTheme="minorEastAsia" w:cstheme="minorEastAsia"/>
                <w:b w:val="0"/>
                <w:bCs w:val="0"/>
                <w:color w:val="000000"/>
                <w:sz w:val="21"/>
                <w:szCs w:val="21"/>
                <w:lang w:val="en-US" w:eastAsia="zh-CN"/>
              </w:rPr>
              <w:t>机械条件</w:t>
            </w:r>
            <w:bookmarkEnd w:id="169"/>
            <w:bookmarkEnd w:id="170"/>
            <w:bookmarkEnd w:id="171"/>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2.5.1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正弦稳态振动：位移：1.5 mm；</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加速度：5 m/s2；</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频率：2 Hz～9 Hz；9 Hz～200 Hz。</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2.5.2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非稳态振动（冲击）： 峰值加速度：40 m/s2；</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自由跌落高度：0.25 m；</w:t>
            </w:r>
          </w:p>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倾跌角度：30°。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2.6</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72" w:name="_Toc38535539"/>
            <w:bookmarkStart w:id="173" w:name="_Toc434503137"/>
            <w:bookmarkStart w:id="174" w:name="_Toc427311921"/>
            <w:r>
              <w:rPr>
                <w:rFonts w:hint="eastAsia" w:asciiTheme="minorEastAsia" w:hAnsiTheme="minorEastAsia" w:eastAsiaTheme="minorEastAsia" w:cstheme="minorEastAsia"/>
                <w:b w:val="0"/>
                <w:bCs w:val="0"/>
                <w:color w:val="000000"/>
                <w:sz w:val="21"/>
                <w:szCs w:val="21"/>
                <w:lang w:val="en-US" w:eastAsia="zh-CN"/>
              </w:rPr>
              <w:t>运输条件</w:t>
            </w:r>
            <w:bookmarkEnd w:id="172"/>
            <w:bookmarkEnd w:id="173"/>
            <w:bookmarkEnd w:id="174"/>
            <w:r>
              <w:rPr>
                <w:rFonts w:hint="eastAsia" w:asciiTheme="minorEastAsia" w:hAnsiTheme="minorEastAsia" w:eastAsiaTheme="minorEastAsia" w:cstheme="minorEastAsia"/>
                <w:b w:val="0"/>
                <w:bCs w:val="0"/>
                <w:color w:val="000000"/>
                <w:sz w:val="21"/>
                <w:szCs w:val="21"/>
                <w:lang w:val="en-US" w:eastAsia="zh-CN"/>
              </w:rPr>
              <w:t>：GB/T 6587—2012 规定的 2 级流通条件。</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电源</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75" w:name="_Toc384426577"/>
            <w:bookmarkStart w:id="176" w:name="_Toc38535544"/>
            <w:bookmarkStart w:id="177" w:name="_Toc434503142"/>
            <w:r>
              <w:rPr>
                <w:rFonts w:hint="eastAsia" w:asciiTheme="minorEastAsia" w:hAnsiTheme="minorEastAsia" w:eastAsiaTheme="minorEastAsia" w:cstheme="minorEastAsia"/>
                <w:b w:val="0"/>
                <w:bCs w:val="0"/>
                <w:color w:val="000000"/>
                <w:sz w:val="21"/>
                <w:szCs w:val="21"/>
                <w:lang w:val="en-US" w:eastAsia="zh-CN"/>
              </w:rPr>
              <w:t>交流部分</w:t>
            </w:r>
            <w:bookmarkEnd w:id="175"/>
            <w:bookmarkEnd w:id="176"/>
            <w:bookmarkEnd w:id="177"/>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2.7.1.1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电源电压：220×(1±20％) 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2.7.1.2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频率：50 Hz±2.5 Hz。</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78" w:name="_Toc434503143"/>
            <w:bookmarkStart w:id="179" w:name="_Toc384426578"/>
            <w:bookmarkStart w:id="180" w:name="_Toc38535545"/>
            <w:r>
              <w:rPr>
                <w:rFonts w:hint="eastAsia" w:asciiTheme="minorEastAsia" w:hAnsiTheme="minorEastAsia" w:eastAsiaTheme="minorEastAsia" w:cstheme="minorEastAsia"/>
                <w:b w:val="0"/>
                <w:bCs w:val="0"/>
                <w:color w:val="000000"/>
                <w:sz w:val="21"/>
                <w:szCs w:val="21"/>
                <w:lang w:val="en-US" w:eastAsia="zh-CN"/>
              </w:rPr>
              <w:t>直流工作电源</w:t>
            </w:r>
            <w:bookmarkEnd w:id="178"/>
            <w:bookmarkEnd w:id="179"/>
            <w:bookmarkEnd w:id="180"/>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2.7.2.1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电源电压：DC，10 V～16 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2.7.2.2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平均功耗：＜2 W@12 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2.7.3</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bookmarkStart w:id="181" w:name="_Toc434503144"/>
            <w:bookmarkStart w:id="182" w:name="_Toc38535546"/>
            <w:bookmarkStart w:id="183" w:name="_Toc384426579"/>
            <w:r>
              <w:rPr>
                <w:rFonts w:hint="eastAsia" w:asciiTheme="minorEastAsia" w:hAnsiTheme="minorEastAsia" w:eastAsiaTheme="minorEastAsia" w:cstheme="minorEastAsia"/>
                <w:b w:val="0"/>
                <w:bCs w:val="0"/>
                <w:color w:val="000000"/>
                <w:sz w:val="21"/>
                <w:szCs w:val="21"/>
                <w:lang w:val="en-US" w:eastAsia="zh-CN"/>
              </w:rPr>
              <w:t>直流加热电源</w:t>
            </w:r>
            <w:bookmarkEnd w:id="181"/>
            <w:bookmarkEnd w:id="182"/>
            <w:bookmarkEnd w:id="183"/>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2.7.3.1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电源电压：DC，10 V～28 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2.7.3.2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最大加热功率：＜50 W@24 V。</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环境适应性</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2.8.1</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工作温度：-45～+50℃；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2.8.2</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工作湿度：0～100%；</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2.8.3</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降水强度：≤100mm/min</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2.8.4</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环境适应性：抗震动、抗盐雾腐蚀；</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2.8.5</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大气压力：450～1060hPa</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0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2.8.6</w:t>
            </w:r>
          </w:p>
        </w:tc>
        <w:tc>
          <w:tcPr>
            <w:tcW w:w="7128"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0" w:leftChars="0" w:firstLine="0" w:firstLineChars="0"/>
              <w:jc w:val="left"/>
              <w:textAlignment w:val="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抗风能力：≤75m/s</w:t>
            </w:r>
          </w:p>
        </w:tc>
        <w:tc>
          <w:tcPr>
            <w:tcW w:w="740" w:type="dxa"/>
            <w:noWrap w:val="0"/>
            <w:vAlign w:val="center"/>
          </w:tcPr>
          <w:p>
            <w:pPr>
              <w:keepNext w:val="0"/>
              <w:keepLines w:val="0"/>
              <w:pageBreakBefore w:val="0"/>
              <w:widowControl/>
              <w:tabs>
                <w:tab w:val="decimal" w:pos="315"/>
                <w:tab w:val="left" w:pos="630"/>
              </w:tabs>
              <w:kinsoku/>
              <w:wordWrap/>
              <w:overflowPunct/>
              <w:topLinePunct w:val="0"/>
              <w:autoSpaceDE w:val="0"/>
              <w:autoSpaceDN w:val="0"/>
              <w:bidi w:val="0"/>
              <w:adjustRightInd w:val="0"/>
              <w:snapToGrid/>
              <w:spacing w:line="240" w:lineRule="auto"/>
              <w:ind w:left="57" w:leftChars="0" w:hanging="57" w:hangingChars="27"/>
              <w:jc w:val="center"/>
              <w:textAlignment w:val="auto"/>
              <w:rPr>
                <w:rFonts w:hint="eastAsia" w:ascii="宋体" w:hAnsi="宋体" w:eastAsia="宋体" w:cs="宋体"/>
                <w:b/>
                <w:bCs/>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36" w:lineRule="auto"/>
        <w:ind w:left="0" w:firstLine="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四、其他要求</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1、设备安装、调试和验收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（1）供应商</w:t>
      </w:r>
      <w:r>
        <w:rPr>
          <w:rFonts w:hint="eastAsia" w:ascii="宋体" w:hAnsi="宋体" w:eastAsia="宋体" w:cs="宋体"/>
          <w:color w:val="auto"/>
          <w:kern w:val="2"/>
          <w:sz w:val="24"/>
          <w:szCs w:val="24"/>
          <w:highlight w:val="none"/>
        </w:rPr>
        <w:t>须负责完成本项目涉及的整体规划、安装调试、服务实施等相关工作，须详细确认和理解用户原有的情况、本次项目的建设目标和服务要求，并严格根据用户方项目进度安排完成实施工作，如有偏差由</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应负责将所有投标产品运到用户指定地点和位置，并承担运输费用和运输中发生的其它一切费用。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）货物到达</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指定的现场后，将由中标人和</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共同开箱清点，并进行签字确认。若有差异，应由中标人承担责任。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）中标人须提供满足招标文件要求且符合国家或行业标准的原厂产品，并列出全部设备及辅材的详细清单，并标明其品牌、型号、单位、单价、数量、总价，所有设备参数应在投标文件中详细阐述（格式自拟）。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）如在设备清单中有</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认为有必要的设备或材料，请</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自行增加并自行列入投标总价。无论本</w:t>
      </w:r>
      <w:r>
        <w:rPr>
          <w:rFonts w:hint="eastAsia" w:ascii="宋体" w:hAnsi="宋体" w:eastAsia="宋体" w:cs="宋体"/>
          <w:color w:val="auto"/>
          <w:kern w:val="2"/>
          <w:sz w:val="24"/>
          <w:szCs w:val="24"/>
          <w:highlight w:val="none"/>
          <w:lang w:val="en-US" w:eastAsia="zh-CN"/>
        </w:rPr>
        <w:t>招标文件</w:t>
      </w:r>
      <w:r>
        <w:rPr>
          <w:rFonts w:hint="eastAsia" w:ascii="宋体" w:hAnsi="宋体" w:eastAsia="宋体" w:cs="宋体"/>
          <w:color w:val="auto"/>
          <w:kern w:val="2"/>
          <w:sz w:val="24"/>
          <w:szCs w:val="24"/>
          <w:highlight w:val="none"/>
        </w:rPr>
        <w:t>指定与否，设备正常运转所需的一切备品备件，</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必须</w:t>
      </w:r>
      <w:r>
        <w:rPr>
          <w:rFonts w:hint="eastAsia" w:ascii="宋体" w:hAnsi="宋体" w:eastAsia="宋体" w:cs="宋体"/>
          <w:color w:val="auto"/>
          <w:kern w:val="2"/>
          <w:sz w:val="24"/>
          <w:szCs w:val="24"/>
          <w:highlight w:val="none"/>
          <w:lang w:val="en-US" w:eastAsia="zh-CN"/>
        </w:rPr>
        <w:t>配备</w:t>
      </w:r>
      <w:r>
        <w:rPr>
          <w:rFonts w:hint="eastAsia" w:ascii="宋体" w:hAnsi="宋体" w:eastAsia="宋体" w:cs="宋体"/>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设备到货时中标人提供原厂商对本次提供设备的序列号所对应的最终用户为采购</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的书面确认。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）中标人应保证其提供的货物在正确安装、正常使用和保养条件下，在使用寿命期内应具有满意的性能。</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应对由于设计、工艺或材料的缺陷而产生的故障负完全责任。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）中标人须保证所配置的产品有合法的使用权，并有相应的使用许可证。</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采购人有权对中标人提供的货物委托有资质有能力的监督检验中心进行事前检测，并具有供货期间抽检的权利，一旦检测结果不合格，一切损失由中标人承担。采购人可以委托第三方对质保期内出现的质量问题进行鉴定，如为中标人原因导致货物质量出现问题的，中标人需承担相关鉴定费用并赔偿采购人因此造成的损失，还需及时解决处理好质量问题并承担一切因更换、维修等所涉及的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中标人应承担投标产品的安装、调试和配置工作，同时应提供安装的系统配置文件和相关技术文档。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）施工垃圾外运等均由中标人自行解决，费用自理并考虑在本</w:t>
      </w:r>
      <w:r>
        <w:rPr>
          <w:rFonts w:hint="eastAsia" w:ascii="宋体" w:hAnsi="宋体" w:eastAsia="宋体" w:cs="宋体"/>
          <w:color w:val="auto"/>
          <w:kern w:val="2"/>
          <w:sz w:val="24"/>
          <w:szCs w:val="24"/>
          <w:highlight w:val="none"/>
          <w:lang w:val="en-US" w:eastAsia="zh-CN"/>
        </w:rPr>
        <w:t>项目投标</w:t>
      </w:r>
      <w:r>
        <w:rPr>
          <w:rFonts w:hint="eastAsia" w:ascii="宋体" w:hAnsi="宋体" w:eastAsia="宋体" w:cs="宋体"/>
          <w:color w:val="auto"/>
          <w:kern w:val="2"/>
          <w:sz w:val="24"/>
          <w:szCs w:val="24"/>
          <w:highlight w:val="none"/>
        </w:rPr>
        <w:t>报价内。</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）验收：设备安装调试完毕</w:t>
      </w:r>
      <w:r>
        <w:rPr>
          <w:rFonts w:hint="eastAsia" w:ascii="宋体" w:hAnsi="宋体" w:eastAsia="宋体" w:cs="宋体"/>
          <w:color w:val="auto"/>
          <w:kern w:val="2"/>
          <w:sz w:val="24"/>
          <w:szCs w:val="24"/>
          <w:highlight w:val="none"/>
          <w:lang w:val="en-US" w:eastAsia="zh-CN"/>
        </w:rPr>
        <w:t>无</w:t>
      </w:r>
      <w:r>
        <w:rPr>
          <w:rFonts w:hint="eastAsia" w:ascii="宋体" w:hAnsi="宋体" w:eastAsia="宋体" w:cs="宋体"/>
          <w:color w:val="auto"/>
          <w:kern w:val="2"/>
          <w:sz w:val="24"/>
          <w:szCs w:val="24"/>
          <w:highlight w:val="none"/>
        </w:rPr>
        <w:t>质量问题后</w:t>
      </w:r>
      <w:r>
        <w:rPr>
          <w:rFonts w:hint="eastAsia" w:ascii="宋体" w:hAnsi="宋体" w:eastAsia="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rPr>
        <w:t>本项</w:t>
      </w:r>
      <w:r>
        <w:rPr>
          <w:rFonts w:hint="eastAsia" w:ascii="宋体" w:hAnsi="宋体" w:eastAsia="宋体" w:cs="宋体"/>
          <w:color w:val="auto"/>
          <w:kern w:val="2"/>
          <w:sz w:val="24"/>
          <w:szCs w:val="24"/>
          <w:highlight w:val="none"/>
          <w:lang w:val="en-US" w:eastAsia="zh-CN"/>
        </w:rPr>
        <w:t>目</w:t>
      </w:r>
      <w:r>
        <w:rPr>
          <w:rFonts w:hint="eastAsia" w:ascii="宋体" w:hAnsi="宋体" w:eastAsia="宋体" w:cs="宋体"/>
          <w:color w:val="auto"/>
          <w:kern w:val="2"/>
          <w:sz w:val="24"/>
          <w:szCs w:val="24"/>
          <w:highlight w:val="none"/>
        </w:rPr>
        <w:t>的设备验收。全部</w:t>
      </w:r>
      <w:r>
        <w:rPr>
          <w:rFonts w:hint="eastAsia" w:ascii="宋体" w:hAnsi="宋体" w:eastAsia="宋体" w:cs="宋体"/>
          <w:color w:val="auto"/>
          <w:kern w:val="2"/>
          <w:sz w:val="24"/>
          <w:szCs w:val="24"/>
          <w:highlight w:val="none"/>
          <w:lang w:val="en-US" w:eastAsia="zh-CN"/>
        </w:rPr>
        <w:t>工</w:t>
      </w:r>
      <w:r>
        <w:rPr>
          <w:rFonts w:hint="eastAsia" w:ascii="宋体" w:hAnsi="宋体" w:eastAsia="宋体" w:cs="宋体"/>
          <w:color w:val="auto"/>
          <w:kern w:val="2"/>
          <w:sz w:val="24"/>
          <w:szCs w:val="24"/>
          <w:highlight w:val="none"/>
        </w:rPr>
        <w:t>作内容完毕，进</w:t>
      </w:r>
      <w:r>
        <w:rPr>
          <w:rFonts w:hint="eastAsia" w:ascii="宋体" w:hAnsi="宋体" w:eastAsia="宋体" w:cs="宋体"/>
          <w:color w:val="auto"/>
          <w:kern w:val="2"/>
          <w:sz w:val="24"/>
          <w:szCs w:val="24"/>
          <w:highlight w:val="none"/>
          <w:lang w:eastAsia="zh-CN"/>
        </w:rPr>
        <w:t>行</w:t>
      </w:r>
      <w:r>
        <w:rPr>
          <w:rFonts w:hint="eastAsia" w:ascii="宋体" w:hAnsi="宋体" w:eastAsia="宋体" w:cs="宋体"/>
          <w:color w:val="auto"/>
          <w:kern w:val="2"/>
          <w:sz w:val="24"/>
          <w:szCs w:val="24"/>
          <w:highlight w:val="none"/>
        </w:rPr>
        <w:t>本项</w:t>
      </w:r>
      <w:r>
        <w:rPr>
          <w:rFonts w:hint="eastAsia" w:ascii="宋体" w:hAnsi="宋体" w:eastAsia="宋体" w:cs="宋体"/>
          <w:color w:val="auto"/>
          <w:kern w:val="2"/>
          <w:sz w:val="24"/>
          <w:szCs w:val="24"/>
          <w:highlight w:val="none"/>
          <w:lang w:val="en-US" w:eastAsia="zh-CN"/>
        </w:rPr>
        <w:t>目</w:t>
      </w:r>
      <w:r>
        <w:rPr>
          <w:rFonts w:hint="eastAsia" w:ascii="宋体" w:hAnsi="宋体" w:eastAsia="宋体" w:cs="宋体"/>
          <w:color w:val="auto"/>
          <w:kern w:val="2"/>
          <w:sz w:val="24"/>
          <w:szCs w:val="24"/>
          <w:highlight w:val="none"/>
        </w:rPr>
        <w:t>最终验收。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以上所有与（多次）安装、调试和验收相关的费用均需计入投标总价。</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、作业要求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安全生产要求：中标人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中标人全权负责。</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文明施工要求：在施工过程中，必须做到文明施工。工序衔接交叉合理，交接责任明确，施工场地整洁、卫生、道路畅通，有必要的围护和遮挡措施等。</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中标人必须为全体作业员工购买社会和人身意外保险、公众责任保险费等其他保险，必须重视安全生产工作，确保不出</w:t>
      </w:r>
      <w:r>
        <w:rPr>
          <w:rFonts w:hint="eastAsia" w:ascii="宋体" w:hAnsi="宋体" w:eastAsia="宋体" w:cs="宋体"/>
          <w:color w:val="auto"/>
          <w:kern w:val="2"/>
          <w:sz w:val="24"/>
          <w:szCs w:val="24"/>
          <w:highlight w:val="none"/>
          <w:lang w:eastAsia="zh-CN"/>
        </w:rPr>
        <w:t>安全</w:t>
      </w:r>
      <w:r>
        <w:rPr>
          <w:rFonts w:hint="eastAsia" w:ascii="宋体" w:hAnsi="宋体" w:eastAsia="宋体" w:cs="宋体"/>
          <w:color w:val="auto"/>
          <w:kern w:val="2"/>
          <w:sz w:val="24"/>
          <w:szCs w:val="24"/>
          <w:highlight w:val="none"/>
        </w:rPr>
        <w:t>生产责任事故。如发生安全生产责任事故或公众安全事故（含交通事故），一切责任及损失由中标人承担。</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lang w:val="en-US" w:eastAsia="zh-CN"/>
        </w:rPr>
        <w:t>投标要求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cs="宋体"/>
          <w:b w:val="0"/>
          <w:bCs/>
          <w:strike w:val="0"/>
          <w:dstrike w:val="0"/>
          <w:color w:val="auto"/>
          <w:kern w:val="0"/>
          <w:sz w:val="24"/>
          <w:szCs w:val="24"/>
          <w:highlight w:val="none"/>
          <w:lang w:val="en-US" w:eastAsia="zh-CN"/>
        </w:rPr>
      </w:pPr>
      <w:r>
        <w:rPr>
          <w:rFonts w:hint="eastAsia" w:ascii="宋体" w:hAnsi="宋体" w:eastAsia="宋体" w:cs="宋体"/>
          <w:b w:val="0"/>
          <w:bCs/>
          <w:strike w:val="0"/>
          <w:dstrike w:val="0"/>
          <w:color w:val="auto"/>
          <w:kern w:val="0"/>
          <w:sz w:val="24"/>
          <w:szCs w:val="24"/>
          <w:highlight w:val="none"/>
          <w:lang w:val="en-US" w:eastAsia="zh-CN"/>
        </w:rPr>
        <w:t>供应商需在</w:t>
      </w:r>
      <w:r>
        <w:rPr>
          <w:rFonts w:hint="eastAsia" w:ascii="宋体" w:hAnsi="宋体" w:cs="宋体"/>
          <w:b w:val="0"/>
          <w:bCs/>
          <w:strike w:val="0"/>
          <w:dstrike w:val="0"/>
          <w:color w:val="auto"/>
          <w:kern w:val="0"/>
          <w:sz w:val="24"/>
          <w:szCs w:val="24"/>
          <w:highlight w:val="none"/>
          <w:lang w:val="en-US" w:eastAsia="zh-CN"/>
        </w:rPr>
        <w:t>投标</w:t>
      </w:r>
      <w:r>
        <w:rPr>
          <w:rFonts w:hint="eastAsia" w:ascii="宋体" w:hAnsi="宋体" w:eastAsia="宋体" w:cs="宋体"/>
          <w:b w:val="0"/>
          <w:bCs/>
          <w:strike w:val="0"/>
          <w:dstrike w:val="0"/>
          <w:color w:val="auto"/>
          <w:kern w:val="0"/>
          <w:sz w:val="24"/>
          <w:szCs w:val="24"/>
          <w:highlight w:val="none"/>
          <w:lang w:val="en-US" w:eastAsia="zh-CN"/>
        </w:rPr>
        <w:t>文件</w:t>
      </w:r>
      <w:r>
        <w:rPr>
          <w:rFonts w:hint="eastAsia" w:ascii="宋体" w:hAnsi="宋体" w:cs="宋体"/>
          <w:b w:val="0"/>
          <w:bCs/>
          <w:strike w:val="0"/>
          <w:dstrike w:val="0"/>
          <w:color w:val="auto"/>
          <w:kern w:val="0"/>
          <w:sz w:val="24"/>
          <w:szCs w:val="24"/>
          <w:highlight w:val="none"/>
          <w:lang w:val="en-US" w:eastAsia="zh-CN"/>
        </w:rPr>
        <w:t>提供技术响应的相关说明及证明材料，提供业绩的证明材料，提供项目现状及需求分析，提供技术方案（主采集器的面板接口布局图、地温分采系统的面板接口布局图、操作台设计图纸和平台线缆连接图），提供关键技术实施方案、培训方案、售后及应急保障服务方案，履约能力、拟投入人员配备和政策加分的相关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kern w:val="0"/>
          <w:sz w:val="24"/>
          <w:szCs w:val="24"/>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723" w:firstLineChars="200"/>
        <w:jc w:val="left"/>
        <w:textAlignment w:val="auto"/>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36"/>
          <w:highlight w:val="none"/>
        </w:rPr>
      </w:pPr>
      <w:bookmarkStart w:id="184" w:name="_Toc14200"/>
      <w:r>
        <w:rPr>
          <w:rFonts w:hint="eastAsia" w:ascii="宋体" w:hAnsi="宋体" w:eastAsia="宋体" w:cs="宋体"/>
          <w:b/>
          <w:sz w:val="36"/>
          <w:szCs w:val="36"/>
          <w:highlight w:val="none"/>
        </w:rPr>
        <w:t xml:space="preserve">第五部分  </w:t>
      </w:r>
      <w:bookmarkEnd w:id="64"/>
      <w:bookmarkEnd w:id="65"/>
      <w:bookmarkStart w:id="185" w:name="第四部分"/>
      <w:r>
        <w:rPr>
          <w:rFonts w:hint="eastAsia" w:ascii="宋体" w:hAnsi="宋体" w:eastAsia="宋体" w:cs="宋体"/>
          <w:b/>
          <w:sz w:val="36"/>
          <w:szCs w:val="36"/>
          <w:highlight w:val="none"/>
        </w:rPr>
        <w:t>评审方法及评审标准</w:t>
      </w:r>
      <w:bookmarkEnd w:id="184"/>
    </w:p>
    <w:p>
      <w:pPr>
        <w:pStyle w:val="394"/>
        <w:kinsoku/>
        <w:wordWrap/>
        <w:overflowPunct/>
        <w:topLinePunct w:val="0"/>
        <w:bidi w:val="0"/>
        <w:spacing w:before="0"/>
        <w:ind w:firstLine="643"/>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评审方法前附表</w:t>
      </w:r>
    </w:p>
    <w:tbl>
      <w:tblPr>
        <w:tblStyle w:val="6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342"/>
        <w:gridCol w:w="5714"/>
        <w:gridCol w:w="735"/>
        <w:gridCol w:w="708"/>
      </w:tblGrid>
      <w:tr>
        <w:tblPrEx>
          <w:tblCellMar>
            <w:top w:w="0" w:type="dxa"/>
            <w:left w:w="108" w:type="dxa"/>
            <w:bottom w:w="0" w:type="dxa"/>
            <w:right w:w="108" w:type="dxa"/>
          </w:tblCellMar>
        </w:tblPrEx>
        <w:trPr>
          <w:trHeight w:val="23" w:hRule="atLeast"/>
          <w:jc w:val="center"/>
        </w:trPr>
        <w:tc>
          <w:tcPr>
            <w:tcW w:w="19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00" w:leftChars="0" w:hanging="500" w:hangingChars="237"/>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商务技术分</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分</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1、技术响应</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供应商所投产品的技术参数完全符合</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en-US" w:eastAsia="zh-CN"/>
              </w:rPr>
              <w:t xml:space="preserve">文件的“第三部分   采购需求  </w:t>
            </w:r>
            <w:r>
              <w:rPr>
                <w:rFonts w:hint="eastAsia" w:ascii="宋体" w:hAnsi="宋体" w:cs="宋体"/>
                <w:color w:val="auto"/>
                <w:sz w:val="21"/>
                <w:szCs w:val="21"/>
                <w:highlight w:val="none"/>
                <w:lang w:val="en-US" w:eastAsia="zh-CN"/>
              </w:rPr>
              <w:t xml:space="preserve"> 三、采购清单及详细技术参数要求</w:t>
            </w:r>
            <w:r>
              <w:rPr>
                <w:rFonts w:hint="eastAsia" w:ascii="宋体" w:hAnsi="宋体" w:eastAsia="宋体" w:cs="宋体"/>
                <w:color w:val="auto"/>
                <w:sz w:val="21"/>
                <w:szCs w:val="21"/>
                <w:highlight w:val="none"/>
                <w:lang w:val="en-US" w:eastAsia="zh-CN"/>
              </w:rPr>
              <w:t>”中所有指标要求的得</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分，每负偏离一条“</w:t>
            </w:r>
            <w:r>
              <w:rPr>
                <w:rFonts w:hint="eastAsia" w:ascii="宋体" w:hAnsi="宋体" w:eastAsia="宋体" w:cs="宋体"/>
                <w:color w:val="auto"/>
                <w:sz w:val="24"/>
                <w:szCs w:val="24"/>
              </w:rPr>
              <w:t>★</w:t>
            </w:r>
            <w:r>
              <w:rPr>
                <w:rFonts w:hint="eastAsia" w:ascii="宋体" w:hAnsi="宋体" w:eastAsia="宋体" w:cs="宋体"/>
                <w:color w:val="auto"/>
                <w:sz w:val="21"/>
                <w:szCs w:val="21"/>
                <w:highlight w:val="none"/>
                <w:lang w:val="en-US" w:eastAsia="zh-CN"/>
              </w:rPr>
              <w:t>”指标扣2分，每负偏离一条未标注“</w:t>
            </w:r>
            <w:r>
              <w:rPr>
                <w:rFonts w:hint="eastAsia" w:ascii="宋体" w:hAnsi="宋体" w:eastAsia="宋体" w:cs="宋体"/>
                <w:color w:val="auto"/>
                <w:sz w:val="24"/>
                <w:szCs w:val="24"/>
              </w:rPr>
              <w:t>★</w:t>
            </w:r>
            <w:r>
              <w:rPr>
                <w:rFonts w:hint="eastAsia" w:ascii="宋体" w:hAnsi="宋体" w:eastAsia="宋体" w:cs="宋体"/>
                <w:color w:val="auto"/>
                <w:sz w:val="21"/>
                <w:szCs w:val="21"/>
                <w:highlight w:val="none"/>
                <w:lang w:val="en-US" w:eastAsia="zh-CN"/>
              </w:rPr>
              <w:t>”的指标扣1分。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注：当有供应商此项分值扣减至0分时，该供应商投标将被拒绝，其</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作无效标处理，不再进行评审。</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年1月1日以来（</w:t>
            </w:r>
            <w:r>
              <w:rPr>
                <w:rFonts w:hint="eastAsia" w:ascii="宋体" w:hAnsi="宋体" w:eastAsia="宋体" w:cs="宋体"/>
                <w:color w:val="auto"/>
                <w:sz w:val="21"/>
                <w:szCs w:val="21"/>
                <w:highlight w:val="none"/>
                <w:lang w:val="en-US" w:eastAsia="zh-CN"/>
              </w:rPr>
              <w:t>以合同签订日期为准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lang w:val="zh-CN" w:eastAsia="zh-CN"/>
              </w:rPr>
              <w:t>有同类项目案例建设经验且项目已验收合格的</w:t>
            </w:r>
            <w:r>
              <w:rPr>
                <w:rFonts w:hint="eastAsia" w:ascii="宋体" w:hAnsi="宋体" w:cs="宋体"/>
                <w:color w:val="auto"/>
                <w:sz w:val="21"/>
                <w:szCs w:val="21"/>
                <w:highlight w:val="none"/>
                <w:lang w:val="en-US" w:eastAsia="zh-CN"/>
              </w:rPr>
              <w:t>业绩</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每</w:t>
            </w:r>
            <w:r>
              <w:rPr>
                <w:rFonts w:hint="eastAsia" w:ascii="宋体" w:hAnsi="宋体" w:eastAsia="宋体" w:cs="宋体"/>
                <w:color w:val="auto"/>
                <w:sz w:val="21"/>
                <w:szCs w:val="21"/>
                <w:highlight w:val="none"/>
                <w:lang w:val="en-US" w:eastAsia="zh-CN"/>
              </w:rPr>
              <w:t>提供1个</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val="zh-CN"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注：投标文件中须同时提供合同复印件</w:t>
            </w:r>
            <w:r>
              <w:rPr>
                <w:rFonts w:hint="eastAsia" w:ascii="宋体" w:hAnsi="宋体" w:cs="宋体"/>
                <w:color w:val="auto"/>
                <w:sz w:val="21"/>
                <w:szCs w:val="21"/>
                <w:highlight w:val="none"/>
                <w:lang w:val="en-US" w:eastAsia="zh-CN"/>
              </w:rPr>
              <w:t>和项目验收合格证明材料复印件</w:t>
            </w:r>
            <w:r>
              <w:rPr>
                <w:rFonts w:hint="eastAsia" w:ascii="宋体" w:hAnsi="宋体" w:eastAsia="宋体" w:cs="宋体"/>
                <w:color w:val="auto"/>
                <w:sz w:val="21"/>
                <w:szCs w:val="21"/>
                <w:highlight w:val="none"/>
                <w:lang w:val="en-US" w:eastAsia="zh-CN"/>
              </w:rPr>
              <w:t>，未提供或提供不全的不得分。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3、项目现状及需求分析（5分）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根据供应商对项目现状及项目背景的认识、需求理解分析的了解程度进行评议：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项目现状及项目背景认识清晰、需求理解分析到位、具有前瞻性的得5分；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项目现状及项目背景认识较清晰、需求理解分析较到位、较具有前瞻性的得3分；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项目现状及项目背景认识欠清晰、需求理解分析欠到位、欠具有前瞻性的得1分；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4、技术方案（9分）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（1）根据供应商针对本项目制定的</w:t>
            </w:r>
            <w:r>
              <w:rPr>
                <w:rFonts w:hint="eastAsia" w:ascii="宋体" w:hAnsi="宋体" w:eastAsia="宋体" w:cs="宋体"/>
                <w:color w:val="auto"/>
                <w:sz w:val="21"/>
                <w:szCs w:val="21"/>
                <w:highlight w:val="none"/>
                <w:lang w:val="en-US" w:eastAsia="zh-CN"/>
              </w:rPr>
              <w:t>主采集器的面板接口布局图</w:t>
            </w:r>
            <w:r>
              <w:rPr>
                <w:rFonts w:hint="eastAsia" w:ascii="宋体" w:hAnsi="宋体" w:cs="宋体"/>
                <w:color w:val="auto"/>
                <w:sz w:val="21"/>
                <w:szCs w:val="21"/>
                <w:highlight w:val="none"/>
                <w:lang w:val="en-US" w:eastAsia="zh-CN"/>
              </w:rPr>
              <w:t>进行评议：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摆放位置合理、布局简洁美观、接口摆放便于插拔的得3分；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摆放位置较合理、布局较简洁美观、接口摆放较便于插拔的得2分；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摆放位置欠合理、布局欠简洁美观、接口摆放欠便于插拔的得1分；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cs="宋体"/>
                <w:color w:val="auto"/>
                <w:sz w:val="21"/>
                <w:szCs w:val="21"/>
                <w:highlight w:val="none"/>
                <w:lang w:val="en-US" w:eastAsia="zh-CN"/>
              </w:rPr>
            </w:pP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（2）根据供应商针对本项目制定的地温分采系统的面板接口布局图进行评议：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摆放位置合理、布局简洁美观、接口摆放便于插拔的得3分；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摆放位置较合理、布局较简洁美观、接口摆放较便于插拔的得2分；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摆放位置欠合理、布局欠简洁美观、接口摆放欠便于插拔的得1分；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eastAsia" w:ascii="宋体" w:hAnsi="宋体" w:cs="宋体"/>
                <w:color w:val="auto"/>
                <w:sz w:val="21"/>
                <w:szCs w:val="21"/>
                <w:highlight w:val="none"/>
                <w:lang w:val="en-US" w:eastAsia="zh-CN"/>
              </w:rPr>
            </w:pP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（3）根据供应商针对本项目制定的操作台设计图纸和平台线缆连接图进行评议：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摆放位置合理、布局简洁美观、接口摆放便于插拔的得3分；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摆放位置较合理、布局较简洁美观、接口摆放较便于插拔的得2分；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摆放位置欠合理、布局欠简洁美观、接口摆放欠便于插拔的得1分；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5、关键技术实施方案（15分）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（1）根据供应商结合天擎大数据、气象数据本地化应用，针对数据标准应用、格点、转化、插值、输出、数据支持等内容提供的技术实施方案进行评议（5分）：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方案详实周密、条理清晰、重点突出，具有很强的针对性和可行性，关键技术描述非常清晰的得5分；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方案较完整、条理较为清晰、有重点，具有较强的针对性和可行性，关键技术描述较为清晰的得3分；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方案存在瑕疵，只能基本实现招标人要求的功能，关键技术描述不够清晰的得1分</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（2）根据供应商针对微服务化业务技术体系，提供数据模型微服务、接口服务微服务、气象业务流程监控微服务、系统管理微服务的技术实施方案进行评议（5分）：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方案详实周密、条理清晰、重点突出，具有很强的针对性和可行性，关键技术描述非常清晰的得5分；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方案较完整、条理较为清晰、有重点，具有较强的针对性和可行性，关键技术描述较为清晰的得3分；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方案存在瑕疵，只能基本实现招标人要求的功能，关键技术描述不够清晰的得1分</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（3）根据供应商针对本项目雷达数据应用（包括天擎数据、模式文件、雷达图云图、雷达探测数据等）制定的具体技术实现及设计方案进行评议（5分）：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方案详实周密、条理清晰、重点突出，具有很强的针对性和可行性，关键技术描述非常清晰的得5分；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方案较完整、条理较为清晰、有重点，具有较强的针对性和可行性，关键技术描述较为清晰的得3分；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方案存在瑕疵，只能基本实现招标人要求的功能，关键技术描述不够清晰的得1分</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6、培训方案（5分）</w:t>
            </w:r>
          </w:p>
        </w:tc>
        <w:tc>
          <w:tcPr>
            <w:tcW w:w="5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根据供应商针对本项目提供的技术培训方案，包括培训时间、培训地点、培训方式、培训目标及对象、培训内容、培训课时等进行评议。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内容详实全面、完整有序；具有可行性；培训目标、内容、对象明确；培训方式得当，课时及学员容量安排合理，贴合项目需求的得5分；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内容欠详实、内容与项目贴合度一般，基本满足采购需求的得3分；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内容笼统、简单、欠可行的得1分；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7、售后及应急保障服务方案（5分）</w:t>
            </w:r>
          </w:p>
        </w:tc>
        <w:tc>
          <w:tcPr>
            <w:tcW w:w="5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根据供应商提供的售后服务方案（包括售后服务体系、售后服务措施、内容和方式，维护及响应时限）进行评议：</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内容详实全面、条理非常清晰合理可行、承诺服务响应时间及时的得5分；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内容较详实、基本满足采购需求、承诺服务响应时间较及时的得3分；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内容笼统、简单、欠可行的得1分；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szCs w:val="21"/>
                <w:highlight w:val="none"/>
                <w:lang w:val="en-US" w:eastAsia="zh-CN"/>
              </w:rPr>
              <w:t>无相关内容不得分。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8、履约能力（7分）</w:t>
            </w:r>
          </w:p>
        </w:tc>
        <w:tc>
          <w:tcPr>
            <w:tcW w:w="5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（1）供应商具有信息技术服务管理体系认证证书的得2分。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注：投标文件中须同时提供证书复印件和“国家市场监督管理总局全国认证认可信息公共服务平台”查询结果截图加盖公章，未提供或提供不全的不得分。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p>
        </w:tc>
        <w:tc>
          <w:tcPr>
            <w:tcW w:w="5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（2）供应商具有信息安全管理体系认证证书的得2分。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注：投标文件中须同时提供证书复印件和“国家市场监督管理总局全国认证认可信息公共服务平台”查询结果截图加盖公章，未提供或提供不全的不得分。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cs="宋体"/>
                <w:color w:val="auto"/>
                <w:sz w:val="21"/>
                <w:szCs w:val="21"/>
                <w:highlight w:val="none"/>
                <w:lang w:val="en-US" w:eastAsia="zh-CN"/>
              </w:rPr>
            </w:pPr>
          </w:p>
        </w:tc>
        <w:tc>
          <w:tcPr>
            <w:tcW w:w="5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（3）供应商提供的配套主控软件产品原厂商具有气象</w:t>
            </w:r>
            <w:r>
              <w:rPr>
                <w:rFonts w:hint="eastAsia" w:ascii="宋体" w:hAnsi="宋体" w:cs="宋体"/>
                <w:szCs w:val="21"/>
                <w:highlight w:val="none"/>
                <w:lang w:val="en-US" w:eastAsia="zh-CN"/>
              </w:rPr>
              <w:t>数据治理</w:t>
            </w:r>
            <w:r>
              <w:rPr>
                <w:rFonts w:hint="eastAsia" w:ascii="宋体" w:hAnsi="宋体" w:eastAsia="宋体" w:cs="宋体"/>
                <w:szCs w:val="21"/>
                <w:highlight w:val="none"/>
                <w:lang w:val="en-US" w:eastAsia="zh-CN"/>
              </w:rPr>
              <w:t>、气象微服务、气象数据</w:t>
            </w:r>
            <w:r>
              <w:rPr>
                <w:rFonts w:hint="eastAsia" w:ascii="宋体" w:hAnsi="宋体" w:cs="宋体"/>
                <w:szCs w:val="21"/>
                <w:highlight w:val="none"/>
                <w:lang w:val="en-US" w:eastAsia="zh-CN"/>
              </w:rPr>
              <w:t>任务调度</w:t>
            </w:r>
            <w:r>
              <w:rPr>
                <w:rFonts w:hint="eastAsia" w:ascii="宋体" w:hAnsi="宋体" w:eastAsia="宋体" w:cs="宋体"/>
                <w:szCs w:val="21"/>
                <w:highlight w:val="none"/>
                <w:lang w:val="en-US" w:eastAsia="zh-CN"/>
              </w:rPr>
              <w:t>等</w:t>
            </w:r>
            <w:r>
              <w:rPr>
                <w:rFonts w:hint="eastAsia" w:ascii="宋体" w:hAnsi="宋体" w:cs="宋体"/>
                <w:szCs w:val="21"/>
                <w:highlight w:val="none"/>
                <w:lang w:val="en-US" w:eastAsia="zh-CN"/>
              </w:rPr>
              <w:t>类别</w:t>
            </w:r>
            <w:r>
              <w:rPr>
                <w:rFonts w:hint="eastAsia" w:ascii="宋体" w:hAnsi="宋体" w:eastAsia="宋体" w:cs="宋体"/>
                <w:szCs w:val="21"/>
                <w:highlight w:val="none"/>
                <w:lang w:val="en-US" w:eastAsia="zh-CN"/>
              </w:rPr>
              <w:t>软件著作权证书，每个得1分，最高得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注：投标文件中须提供证书复印件，未提供不得分。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9、拟投入人员配备（2分）</w:t>
            </w:r>
          </w:p>
        </w:tc>
        <w:tc>
          <w:tcPr>
            <w:tcW w:w="5714" w:type="dxa"/>
            <w:noWrap w:val="0"/>
            <w:vAlign w:val="center"/>
          </w:tcPr>
          <w:p>
            <w:pPr>
              <w:spacing w:line="300" w:lineRule="exact"/>
              <w:rPr>
                <w:rFonts w:hint="eastAsia" w:ascii="宋体" w:hAnsi="宋体" w:eastAsia="宋体" w:cs="宋体"/>
                <w:sz w:val="21"/>
                <w:szCs w:val="21"/>
                <w:lang w:bidi="ar"/>
              </w:rPr>
            </w:pPr>
            <w:r>
              <w:rPr>
                <w:rFonts w:hint="eastAsia" w:ascii="宋体" w:hAnsi="宋体" w:eastAsia="宋体" w:cs="宋体"/>
                <w:sz w:val="21"/>
                <w:szCs w:val="21"/>
                <w:lang w:val="en-US" w:eastAsia="zh-CN"/>
              </w:rPr>
              <w:t>拟投入本项目的人员中</w:t>
            </w:r>
            <w:r>
              <w:rPr>
                <w:rFonts w:hint="eastAsia" w:ascii="宋体" w:hAnsi="宋体" w:eastAsia="宋体" w:cs="宋体"/>
                <w:sz w:val="21"/>
                <w:szCs w:val="21"/>
              </w:rPr>
              <w:t>具有</w:t>
            </w:r>
            <w:r>
              <w:rPr>
                <w:rFonts w:hint="eastAsia" w:ascii="宋体" w:hAnsi="宋体" w:eastAsia="宋体" w:cs="宋体"/>
                <w:sz w:val="21"/>
                <w:szCs w:val="21"/>
                <w:lang w:bidi="ar"/>
              </w:rPr>
              <w:t>信息系统项目管理师证书的得2分。</w:t>
            </w:r>
          </w:p>
          <w:p>
            <w:pPr>
              <w:adjustRightInd/>
              <w:contextualSpacing/>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注：投标文件中需同时提供人员证书复印件</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以上证书为人社部门颁发的“中国计算机技术职业资格证书”</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和在职证明</w:t>
            </w:r>
            <w:r>
              <w:rPr>
                <w:rFonts w:hint="eastAsia" w:ascii="宋体" w:hAnsi="宋体" w:eastAsia="宋体" w:cs="宋体"/>
                <w:sz w:val="21"/>
                <w:szCs w:val="21"/>
                <w:lang w:val="en-US" w:eastAsia="zh-CN" w:bidi="ar"/>
              </w:rPr>
              <w:t>[</w:t>
            </w:r>
            <w:r>
              <w:rPr>
                <w:rFonts w:hint="eastAsia" w:ascii="宋体" w:hAnsi="宋体" w:eastAsia="宋体" w:cs="宋体"/>
                <w:sz w:val="21"/>
                <w:szCs w:val="21"/>
                <w:lang w:bidi="ar"/>
              </w:rPr>
              <w:t>如：供应商为其缴纳的距开标日近三个月（其中1个月即可）的社保证明</w:t>
            </w:r>
            <w:r>
              <w:rPr>
                <w:rFonts w:hint="eastAsia" w:ascii="宋体" w:hAnsi="宋体" w:eastAsia="宋体" w:cs="宋体"/>
                <w:sz w:val="21"/>
                <w:szCs w:val="21"/>
                <w:lang w:val="en-US" w:eastAsia="zh-CN" w:bidi="ar"/>
              </w:rPr>
              <w:t>]</w:t>
            </w:r>
            <w:r>
              <w:rPr>
                <w:rFonts w:hint="eastAsia" w:ascii="宋体" w:hAnsi="宋体" w:eastAsia="宋体" w:cs="宋体"/>
                <w:sz w:val="21"/>
                <w:szCs w:val="21"/>
                <w:lang w:bidi="ar"/>
              </w:rPr>
              <w:t>，未提供或提供不全的不得分。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Cs w:val="21"/>
                <w:highlight w:val="none"/>
              </w:rPr>
            </w:pP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政策加分（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投标产品全部属于《节能产品政府采购品目清单》范围的且具有国家确定的认证机构出具的、处于有效期之内的节能产品认证证书的得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分；投标产品全部属于《环境标志产品政府采购品目清单》范围的且具有国家确定的认证机构出具的、处于有效期之内的环境标志产品认证证书的得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注：投标文件中必须同时提供以下资料：</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评标基准价指的是满足磋商文件要求且最低的参与评审的价格。</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参与评审的价格=投标报价。</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参与评审的价格为评标基准价的其价格得分得满分30分。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其他供应商价格得分按照下列公式计算：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价格得分=（评标基准价/参与评审的价格）×30%×100。</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注：投标报价是指磋商结束后，磋商小组要求所有实质性响应的供应商在规定时间内提交的最后报价。</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bl>
    <w:p>
      <w:pPr>
        <w:kinsoku/>
        <w:wordWrap/>
        <w:overflowPunct/>
        <w:topLinePunct w:val="0"/>
        <w:bidi w:val="0"/>
        <w:adjustRightInd/>
        <w:spacing w:line="360" w:lineRule="auto"/>
        <w:ind w:firstLine="480" w:firstLineChars="200"/>
        <w:outlineLvl w:val="9"/>
        <w:rPr>
          <w:rFonts w:hint="eastAsia" w:ascii="宋体" w:hAnsi="宋体" w:eastAsia="宋体" w:cs="宋体"/>
          <w:b/>
          <w:kern w:val="0"/>
          <w:sz w:val="24"/>
          <w:highlight w:val="none"/>
          <w:lang w:val="en-US" w:eastAsia="zh-CN"/>
        </w:rPr>
      </w:pPr>
      <w:r>
        <w:rPr>
          <w:rFonts w:hint="eastAsia" w:ascii="宋体" w:hAnsi="宋体" w:cs="宋体"/>
          <w:b w:val="0"/>
          <w:bCs/>
          <w:sz w:val="24"/>
        </w:rPr>
        <w:t>备注：</w:t>
      </w:r>
      <w:r>
        <w:rPr>
          <w:rFonts w:hint="eastAsia" w:ascii="宋体" w:hAnsi="宋体" w:cs="宋体"/>
          <w:b w:val="0"/>
          <w:bCs/>
          <w:sz w:val="24"/>
          <w:lang w:val="en-US" w:eastAsia="zh-CN"/>
        </w:rPr>
        <w:t>1、</w:t>
      </w:r>
      <w:r>
        <w:rPr>
          <w:rFonts w:hint="eastAsia" w:ascii="宋体" w:hAnsi="宋体" w:cs="宋体"/>
          <w:b w:val="0"/>
          <w:bCs/>
          <w:sz w:val="24"/>
        </w:rPr>
        <w:t>投标人编制投标文件（商务技术文件部分）时，建议按此目录（序号和内容）提供评标标准相应的商务技术资料</w:t>
      </w:r>
      <w:r>
        <w:rPr>
          <w:rFonts w:hint="eastAsia" w:ascii="宋体" w:hAnsi="宋体" w:eastAsia="宋体" w:cs="宋体"/>
          <w:b w:val="0"/>
          <w:bCs/>
          <w:sz w:val="24"/>
        </w:rPr>
        <w:t>。</w:t>
      </w:r>
      <w:r>
        <w:rPr>
          <w:rFonts w:hint="eastAsia" w:ascii="宋体" w:hAnsi="宋体" w:eastAsia="宋体" w:cs="宋体"/>
          <w:b w:val="0"/>
          <w:bCs/>
          <w:sz w:val="24"/>
          <w:lang w:val="en-US" w:eastAsia="zh-CN"/>
        </w:rPr>
        <w:t>2</w:t>
      </w:r>
      <w:r>
        <w:rPr>
          <w:rFonts w:hint="eastAsia" w:ascii="宋体" w:hAnsi="宋体" w:eastAsia="宋体" w:cs="宋体"/>
          <w:b w:val="0"/>
          <w:bCs/>
          <w:sz w:val="24"/>
        </w:rPr>
        <w:t>、小数点后保留</w:t>
      </w:r>
      <w:r>
        <w:rPr>
          <w:rFonts w:hint="eastAsia" w:ascii="宋体" w:hAnsi="宋体" w:cs="宋体"/>
          <w:b w:val="0"/>
          <w:bCs/>
          <w:sz w:val="24"/>
          <w:lang w:val="en-US" w:eastAsia="zh-CN"/>
        </w:rPr>
        <w:t>二</w:t>
      </w:r>
      <w:r>
        <w:rPr>
          <w:rFonts w:hint="eastAsia" w:ascii="宋体" w:hAnsi="宋体" w:eastAsia="宋体" w:cs="宋体"/>
          <w:b w:val="0"/>
          <w:bCs/>
          <w:sz w:val="24"/>
        </w:rPr>
        <w:t>位数。</w:t>
      </w:r>
      <w:r>
        <w:rPr>
          <w:rFonts w:hint="eastAsia" w:ascii="宋体" w:hAnsi="宋体" w:eastAsia="宋体" w:cs="宋体"/>
          <w:b w:val="0"/>
          <w:bCs/>
          <w:sz w:val="24"/>
          <w:lang w:val="en-US" w:eastAsia="zh-CN"/>
        </w:rPr>
        <w:t>3</w:t>
      </w:r>
      <w:r>
        <w:rPr>
          <w:rFonts w:hint="eastAsia" w:ascii="宋体" w:hAnsi="宋体" w:eastAsia="宋体" w:cs="宋体"/>
          <w:b w:val="0"/>
          <w:bCs/>
          <w:sz w:val="24"/>
        </w:rPr>
        <w:t>、各评标委员会成员自行按以上参考分值评分。</w:t>
      </w:r>
      <w:r>
        <w:rPr>
          <w:rFonts w:hint="eastAsia" w:ascii="宋体" w:hAnsi="宋体" w:eastAsia="宋体" w:cs="宋体"/>
          <w:b w:val="0"/>
          <w:bCs/>
          <w:sz w:val="24"/>
          <w:lang w:val="en-US" w:eastAsia="zh-CN"/>
        </w:rPr>
        <w:t>4</w:t>
      </w:r>
      <w:r>
        <w:rPr>
          <w:rFonts w:hint="eastAsia" w:ascii="宋体" w:hAnsi="宋体" w:eastAsia="宋体" w:cs="宋体"/>
          <w:b w:val="0"/>
          <w:bCs/>
          <w:sz w:val="24"/>
        </w:rPr>
        <w:t>、重大事件由评标委员会集体讨论，应当按照少数服从多数的原则作出结论。</w:t>
      </w:r>
    </w:p>
    <w:p>
      <w:pPr>
        <w:pStyle w:val="394"/>
        <w:kinsoku/>
        <w:wordWrap/>
        <w:overflowPunct/>
        <w:topLinePunct w:val="0"/>
        <w:bidi w:val="0"/>
        <w:spacing w:before="0"/>
        <w:ind w:firstLine="643"/>
        <w:jc w:val="center"/>
        <w:outlineLvl w:val="9"/>
        <w:rPr>
          <w:rFonts w:hint="eastAsia" w:ascii="宋体" w:hAnsi="宋体" w:eastAsia="宋体" w:cs="宋体"/>
          <w:b/>
          <w:sz w:val="32"/>
          <w:highlight w:val="none"/>
        </w:rPr>
      </w:pPr>
    </w:p>
    <w:p>
      <w:pPr>
        <w:rPr>
          <w:rFonts w:hint="eastAsia" w:ascii="宋体" w:hAnsi="宋体" w:eastAsia="宋体" w:cs="宋体"/>
          <w:b/>
          <w:sz w:val="32"/>
          <w:highlight w:val="none"/>
        </w:rPr>
      </w:pPr>
      <w:r>
        <w:rPr>
          <w:rFonts w:hint="eastAsia" w:ascii="宋体" w:hAnsi="宋体" w:eastAsia="宋体" w:cs="宋体"/>
          <w:b/>
          <w:sz w:val="32"/>
          <w:highlight w:val="none"/>
        </w:rPr>
        <w:br w:type="page"/>
      </w:r>
    </w:p>
    <w:p>
      <w:pPr>
        <w:pStyle w:val="394"/>
        <w:kinsoku/>
        <w:wordWrap/>
        <w:overflowPunct/>
        <w:topLinePunct w:val="0"/>
        <w:bidi w:val="0"/>
        <w:spacing w:before="0"/>
        <w:ind w:firstLine="643"/>
        <w:jc w:val="center"/>
        <w:outlineLvl w:val="9"/>
        <w:rPr>
          <w:rFonts w:hint="eastAsia" w:ascii="宋体" w:hAnsi="宋体" w:eastAsia="宋体" w:cs="宋体"/>
          <w:b/>
          <w:highlight w:val="none"/>
        </w:rPr>
      </w:pPr>
      <w:r>
        <w:rPr>
          <w:rFonts w:hint="eastAsia" w:ascii="宋体" w:hAnsi="宋体" w:eastAsia="宋体" w:cs="宋体"/>
          <w:b/>
          <w:sz w:val="32"/>
          <w:highlight w:val="none"/>
        </w:rPr>
        <w:t>一、评审方法</w:t>
      </w:r>
    </w:p>
    <w:p>
      <w:pPr>
        <w:kinsoku/>
        <w:wordWrap/>
        <w:overflowPunct/>
        <w:topLinePunct w:val="0"/>
        <w:bidi w:val="0"/>
        <w:adjustRightInd/>
        <w:spacing w:line="360" w:lineRule="auto"/>
        <w:outlineLvl w:val="9"/>
        <w:rPr>
          <w:rFonts w:hint="eastAsia" w:ascii="宋体" w:hAnsi="宋体" w:eastAsia="宋体" w:cs="宋体"/>
          <w:kern w:val="0"/>
          <w:sz w:val="24"/>
          <w:highlight w:val="none"/>
        </w:rPr>
      </w:pPr>
      <w:r>
        <w:rPr>
          <w:rFonts w:hint="eastAsia" w:ascii="宋体" w:hAnsi="宋体" w:eastAsia="宋体" w:cs="宋体"/>
          <w:b/>
          <w:kern w:val="0"/>
          <w:sz w:val="24"/>
          <w:highlight w:val="none"/>
        </w:rPr>
        <w:t>1.综合评分法。</w:t>
      </w:r>
      <w:r>
        <w:rPr>
          <w:rFonts w:hint="eastAsia" w:ascii="宋体" w:hAnsi="宋体" w:eastAsia="宋体" w:cs="宋体"/>
          <w:kern w:val="0"/>
          <w:sz w:val="24"/>
          <w:highlight w:val="none"/>
        </w:rPr>
        <w:t>综合评分法，是指响应文件满足磋商文件全部实质性要求，且按照评审因素的量化指标评审得分最高的供应商为成交候选人的评审方法。</w:t>
      </w:r>
    </w:p>
    <w:p>
      <w:pPr>
        <w:kinsoku/>
        <w:wordWrap/>
        <w:overflowPunct/>
        <w:topLinePunct w:val="0"/>
        <w:bidi w:val="0"/>
        <w:adjustRightInd/>
        <w:spacing w:line="360" w:lineRule="auto"/>
        <w:outlineLvl w:val="9"/>
        <w:rPr>
          <w:rFonts w:hint="eastAsia" w:ascii="宋体" w:hAnsi="宋体" w:eastAsia="宋体" w:cs="宋体"/>
          <w:kern w:val="0"/>
          <w:sz w:val="24"/>
          <w:highlight w:val="none"/>
        </w:rPr>
      </w:pPr>
    </w:p>
    <w:p>
      <w:pPr>
        <w:kinsoku/>
        <w:wordWrap/>
        <w:overflowPunct/>
        <w:topLinePunct w:val="0"/>
        <w:bidi w:val="0"/>
        <w:snapToGrid w:val="0"/>
        <w:spacing w:line="360" w:lineRule="auto"/>
        <w:ind w:left="120" w:leftChars="57" w:firstLine="482" w:firstLineChars="15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二、磋商小组的组成</w:t>
      </w:r>
    </w:p>
    <w:p>
      <w:pPr>
        <w:pStyle w:val="394"/>
        <w:kinsoku/>
        <w:wordWrap/>
        <w:overflowPunct/>
        <w:topLinePunct w:val="0"/>
        <w:bidi w:val="0"/>
        <w:spacing w:before="0"/>
        <w:ind w:firstLine="0" w:firstLineChars="0"/>
        <w:outlineLvl w:val="9"/>
        <w:rPr>
          <w:rFonts w:hint="eastAsia" w:ascii="宋体" w:hAnsi="宋体" w:eastAsia="宋体" w:cs="宋体"/>
          <w:b/>
          <w:kern w:val="0"/>
          <w:highlight w:val="none"/>
        </w:rPr>
      </w:pPr>
      <w:r>
        <w:rPr>
          <w:rFonts w:hint="eastAsia" w:ascii="宋体" w:hAnsi="宋体" w:eastAsia="宋体" w:cs="宋体"/>
          <w:b/>
          <w:kern w:val="0"/>
          <w:highlight w:val="none"/>
        </w:rPr>
        <w:t>1.磋商小组的组成。</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highlight w:val="none"/>
          <w:lang w:eastAsia="zh-CN"/>
        </w:rPr>
        <w:t>采购代理机构</w:t>
      </w:r>
      <w:r>
        <w:rPr>
          <w:rFonts w:hint="eastAsia" w:ascii="宋体" w:hAnsi="宋体" w:eastAsia="宋体" w:cs="宋体"/>
          <w:highlight w:val="none"/>
        </w:rPr>
        <w:t>人员不得参加本机构代理的采购项目的评审。</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insoku/>
        <w:wordWrap/>
        <w:overflowPunct/>
        <w:topLinePunct w:val="0"/>
        <w:bidi w:val="0"/>
        <w:snapToGrid w:val="0"/>
        <w:spacing w:line="360" w:lineRule="auto"/>
        <w:outlineLvl w:val="9"/>
        <w:rPr>
          <w:rFonts w:hint="eastAsia" w:ascii="宋体" w:hAnsi="宋体" w:eastAsia="宋体" w:cs="宋体"/>
          <w:b/>
          <w:kern w:val="0"/>
          <w:sz w:val="24"/>
          <w:szCs w:val="20"/>
          <w:highlight w:val="none"/>
        </w:rPr>
      </w:pPr>
      <w:r>
        <w:rPr>
          <w:rFonts w:hint="eastAsia" w:ascii="宋体" w:hAnsi="宋体" w:eastAsia="宋体" w:cs="宋体"/>
          <w:b/>
          <w:kern w:val="0"/>
          <w:sz w:val="24"/>
          <w:szCs w:val="20"/>
          <w:highlight w:val="none"/>
        </w:rPr>
        <w:t>2.磋商小组的组成人员的回避。</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在政府采购活动中，磋商小组的组成人员与供应商有下列利害关系之一的，应当回避：</w:t>
      </w:r>
    </w:p>
    <w:p>
      <w:pPr>
        <w:pStyle w:val="394"/>
        <w:kinsoku/>
        <w:wordWrap/>
        <w:overflowPunct/>
        <w:topLinePunct w:val="0"/>
        <w:bidi w:val="0"/>
        <w:spacing w:before="0"/>
        <w:ind w:firstLine="0" w:firstLineChars="0"/>
        <w:outlineLvl w:val="9"/>
        <w:rPr>
          <w:rFonts w:hint="eastAsia" w:ascii="宋体" w:hAnsi="宋体" w:eastAsia="宋体" w:cs="宋体"/>
          <w:kern w:val="0"/>
          <w:highlight w:val="none"/>
        </w:rPr>
      </w:pPr>
      <w:r>
        <w:rPr>
          <w:rFonts w:hint="eastAsia" w:ascii="宋体" w:hAnsi="宋体" w:eastAsia="宋体" w:cs="宋体"/>
          <w:kern w:val="0"/>
          <w:highlight w:val="none"/>
        </w:rPr>
        <w:t>　　2.1参加采购活动前3年内与供应商存在劳动关系；</w:t>
      </w:r>
    </w:p>
    <w:p>
      <w:pPr>
        <w:pStyle w:val="394"/>
        <w:kinsoku/>
        <w:wordWrap/>
        <w:overflowPunct/>
        <w:topLinePunct w:val="0"/>
        <w:bidi w:val="0"/>
        <w:spacing w:before="0"/>
        <w:ind w:firstLine="0" w:firstLineChars="0"/>
        <w:outlineLvl w:val="9"/>
        <w:rPr>
          <w:rFonts w:hint="eastAsia" w:ascii="宋体" w:hAnsi="宋体" w:eastAsia="宋体" w:cs="宋体"/>
          <w:kern w:val="0"/>
          <w:highlight w:val="none"/>
        </w:rPr>
      </w:pPr>
      <w:r>
        <w:rPr>
          <w:rFonts w:hint="eastAsia" w:ascii="宋体" w:hAnsi="宋体" w:eastAsia="宋体" w:cs="宋体"/>
          <w:kern w:val="0"/>
          <w:highlight w:val="none"/>
        </w:rPr>
        <w:t>　　2.2参加采购活动前3年内担任供应商的董事、监事；</w:t>
      </w:r>
    </w:p>
    <w:p>
      <w:pPr>
        <w:pStyle w:val="394"/>
        <w:kinsoku/>
        <w:wordWrap/>
        <w:overflowPunct/>
        <w:topLinePunct w:val="0"/>
        <w:bidi w:val="0"/>
        <w:spacing w:before="0"/>
        <w:ind w:firstLine="0" w:firstLineChars="0"/>
        <w:outlineLvl w:val="9"/>
        <w:rPr>
          <w:rFonts w:hint="eastAsia" w:ascii="宋体" w:hAnsi="宋体" w:eastAsia="宋体" w:cs="宋体"/>
          <w:kern w:val="0"/>
          <w:highlight w:val="none"/>
        </w:rPr>
      </w:pPr>
      <w:r>
        <w:rPr>
          <w:rFonts w:hint="eastAsia" w:ascii="宋体" w:hAnsi="宋体" w:eastAsia="宋体" w:cs="宋体"/>
          <w:kern w:val="0"/>
          <w:highlight w:val="none"/>
        </w:rPr>
        <w:t>　　2.3参加采购活动前3年内是供应商的控股股东或者实际控制人；</w:t>
      </w:r>
    </w:p>
    <w:p>
      <w:pPr>
        <w:pStyle w:val="394"/>
        <w:kinsoku/>
        <w:wordWrap/>
        <w:overflowPunct/>
        <w:topLinePunct w:val="0"/>
        <w:bidi w:val="0"/>
        <w:spacing w:before="0"/>
        <w:ind w:firstLine="480" w:firstLineChars="0"/>
        <w:outlineLvl w:val="9"/>
        <w:rPr>
          <w:rFonts w:hint="eastAsia" w:ascii="宋体" w:hAnsi="宋体" w:eastAsia="宋体" w:cs="宋体"/>
          <w:kern w:val="0"/>
          <w:highlight w:val="none"/>
        </w:rPr>
      </w:pPr>
      <w:r>
        <w:rPr>
          <w:rFonts w:hint="eastAsia" w:ascii="宋体" w:hAnsi="宋体" w:eastAsia="宋体" w:cs="宋体"/>
          <w:kern w:val="0"/>
          <w:highlight w:val="none"/>
        </w:rPr>
        <w:t>2.4与供应商的法定代表人或者负责人有夫妻、直系血亲、三代以内旁系血亲或者近姻亲关系；</w:t>
      </w:r>
    </w:p>
    <w:p>
      <w:pPr>
        <w:pStyle w:val="394"/>
        <w:kinsoku/>
        <w:wordWrap/>
        <w:overflowPunct/>
        <w:topLinePunct w:val="0"/>
        <w:bidi w:val="0"/>
        <w:spacing w:before="0"/>
        <w:ind w:firstLine="480" w:firstLineChars="0"/>
        <w:outlineLvl w:val="9"/>
        <w:rPr>
          <w:rFonts w:hint="eastAsia" w:ascii="宋体" w:hAnsi="宋体" w:eastAsia="宋体" w:cs="宋体"/>
          <w:kern w:val="0"/>
          <w:highlight w:val="none"/>
        </w:rPr>
      </w:pPr>
      <w:r>
        <w:rPr>
          <w:rFonts w:hint="eastAsia" w:ascii="宋体" w:hAnsi="宋体" w:eastAsia="宋体" w:cs="宋体"/>
          <w:kern w:val="0"/>
          <w:highlight w:val="none"/>
        </w:rPr>
        <w:t>2.5与供应商有其他可能影响政府采购活动公平、公正进行的关系。</w:t>
      </w:r>
    </w:p>
    <w:p>
      <w:pPr>
        <w:kinsoku/>
        <w:wordWrap/>
        <w:overflowPunct/>
        <w:topLinePunct w:val="0"/>
        <w:bidi w:val="0"/>
        <w:snapToGrid w:val="0"/>
        <w:spacing w:line="360" w:lineRule="auto"/>
        <w:ind w:left="120" w:leftChars="57" w:firstLine="482" w:firstLineChars="150"/>
        <w:jc w:val="center"/>
        <w:outlineLvl w:val="9"/>
        <w:rPr>
          <w:rFonts w:hint="eastAsia" w:ascii="宋体" w:hAnsi="宋体" w:eastAsia="宋体" w:cs="宋体"/>
          <w:b/>
          <w:sz w:val="32"/>
          <w:highlight w:val="none"/>
        </w:rPr>
      </w:pPr>
    </w:p>
    <w:p>
      <w:pPr>
        <w:kinsoku/>
        <w:wordWrap/>
        <w:overflowPunct/>
        <w:topLinePunct w:val="0"/>
        <w:bidi w:val="0"/>
        <w:snapToGrid w:val="0"/>
        <w:spacing w:line="360" w:lineRule="auto"/>
        <w:ind w:left="120" w:leftChars="57" w:firstLine="482" w:firstLineChars="150"/>
        <w:jc w:val="center"/>
        <w:outlineLvl w:val="9"/>
        <w:rPr>
          <w:rFonts w:hint="eastAsia" w:ascii="宋体" w:hAnsi="宋体" w:eastAsia="宋体" w:cs="宋体"/>
          <w:b/>
          <w:sz w:val="32"/>
          <w:szCs w:val="32"/>
          <w:highlight w:val="none"/>
        </w:rPr>
      </w:pPr>
      <w:r>
        <w:rPr>
          <w:rFonts w:hint="eastAsia" w:ascii="宋体" w:hAnsi="宋体" w:eastAsia="宋体" w:cs="宋体"/>
          <w:b/>
          <w:sz w:val="32"/>
          <w:highlight w:val="none"/>
        </w:rPr>
        <w:t>三、磋商小组的职责</w:t>
      </w:r>
    </w:p>
    <w:p>
      <w:pPr>
        <w:pStyle w:val="394"/>
        <w:kinsoku/>
        <w:wordWrap/>
        <w:overflowPunct/>
        <w:topLinePunct w:val="0"/>
        <w:bidi w:val="0"/>
        <w:spacing w:before="0"/>
        <w:ind w:firstLine="0" w:firstLineChars="0"/>
        <w:outlineLvl w:val="9"/>
        <w:rPr>
          <w:rFonts w:hint="eastAsia" w:ascii="宋体" w:hAnsi="宋体" w:eastAsia="宋体" w:cs="宋体"/>
          <w:b/>
          <w:kern w:val="0"/>
          <w:szCs w:val="24"/>
          <w:highlight w:val="none"/>
        </w:rPr>
      </w:pPr>
      <w:r>
        <w:rPr>
          <w:rFonts w:hint="eastAsia" w:ascii="宋体" w:hAnsi="宋体" w:eastAsia="宋体" w:cs="宋体"/>
          <w:b/>
          <w:kern w:val="0"/>
          <w:szCs w:val="24"/>
          <w:highlight w:val="none"/>
        </w:rPr>
        <w:t>1.磋商小组负责具体评审事务，并独立履行下列职责：</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szCs w:val="24"/>
          <w:highlight w:val="none"/>
        </w:rPr>
        <w:t>对供应商的资格进行审查；</w:t>
      </w:r>
      <w:r>
        <w:rPr>
          <w:rFonts w:hint="eastAsia" w:ascii="宋体" w:hAnsi="宋体" w:eastAsia="宋体" w:cs="宋体"/>
          <w:highlight w:val="none"/>
        </w:rPr>
        <w:t>对响应文件的有效性、完整性和响应程度进行审查；</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1.2审查、评价响应文件是否符合磋商文件的商务、技术等实质性要求；</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1.3要求供应商对响应文件有关事项作出澄清、说明或者更正；</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1.4磋商小组集中与单一供应商分别进行磋商；</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1.5确定磋商文件的变动情况，并确定提交最后报价的供应商；</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1.6根据磋商文件确定的评审办法及评审标准对提交最后报价的供应商的响应文件和最后报价采用综合评分法进行综合评分；</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1.7编制评审报告，确定成交候选人名单，以及根据采购人委托直接确定成交人；</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1.8向采购人、</w:t>
      </w:r>
      <w:r>
        <w:rPr>
          <w:rFonts w:hint="eastAsia" w:ascii="宋体" w:hAnsi="宋体" w:eastAsia="宋体" w:cs="宋体"/>
          <w:highlight w:val="none"/>
          <w:lang w:eastAsia="zh-CN"/>
        </w:rPr>
        <w:t>采购代理机构</w:t>
      </w:r>
      <w:r>
        <w:rPr>
          <w:rFonts w:hint="eastAsia" w:ascii="宋体" w:hAnsi="宋体" w:eastAsia="宋体" w:cs="宋体"/>
          <w:highlight w:val="none"/>
        </w:rPr>
        <w:t>或者有关部门报告评审中发现的违法行为；</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1.9法律、法规、规章、磋商文件等规定的其它事项。</w:t>
      </w:r>
    </w:p>
    <w:p>
      <w:pPr>
        <w:pStyle w:val="394"/>
        <w:kinsoku/>
        <w:wordWrap/>
        <w:overflowPunct/>
        <w:topLinePunct w:val="0"/>
        <w:bidi w:val="0"/>
        <w:spacing w:before="0"/>
        <w:ind w:firstLine="0" w:firstLineChars="0"/>
        <w:outlineLvl w:val="9"/>
        <w:rPr>
          <w:rFonts w:hint="eastAsia" w:ascii="宋体" w:hAnsi="宋体" w:eastAsia="宋体" w:cs="宋体"/>
          <w:b/>
          <w:kern w:val="0"/>
          <w:szCs w:val="24"/>
          <w:highlight w:val="none"/>
        </w:rPr>
      </w:pPr>
      <w:r>
        <w:rPr>
          <w:rFonts w:hint="eastAsia" w:ascii="宋体" w:hAnsi="宋体" w:eastAsia="宋体" w:cs="宋体"/>
          <w:b/>
          <w:kern w:val="0"/>
          <w:szCs w:val="24"/>
          <w:highlight w:val="none"/>
        </w:rPr>
        <w:t>2.磋商小组及其成员不得有下列行为：</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2.1确定参与本项目至评审结束前私自接触供应商；</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 xml:space="preserve">2.2接受供应商提出的“超出响应文件的范围或者改变响应文件的实质性内容”的澄清、说明或者更正； </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2.3违反评审纪律发表倾向性意见或者征询采购人的倾向性意见；</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2.4对需要专业判断的主观评审因素协商评分；</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2.5在评审过程中擅离职守，影响评审程序正常进行的；</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2.6记录、复制或者带走任何评审资料；</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2.7其他不遵守评审纪律的行为。</w:t>
      </w:r>
    </w:p>
    <w:p>
      <w:pPr>
        <w:pStyle w:val="394"/>
        <w:kinsoku/>
        <w:wordWrap/>
        <w:overflowPunct/>
        <w:topLinePunct w:val="0"/>
        <w:bidi w:val="0"/>
        <w:spacing w:before="0"/>
        <w:ind w:firstLine="480"/>
        <w:outlineLvl w:val="9"/>
        <w:rPr>
          <w:rFonts w:hint="eastAsia" w:ascii="宋体" w:hAnsi="宋体" w:eastAsia="宋体" w:cs="宋体"/>
          <w:highlight w:val="none"/>
        </w:rPr>
      </w:pPr>
      <w:r>
        <w:rPr>
          <w:rFonts w:hint="eastAsia" w:ascii="宋体" w:hAnsi="宋体" w:eastAsia="宋体" w:cs="宋体"/>
          <w:highlight w:val="none"/>
        </w:rPr>
        <w:t>磋商小组成员有2.1-2.5行为之一的，其评审意见无效，并不得获取评审劳务报酬和报销异地评审差旅费。</w:t>
      </w:r>
    </w:p>
    <w:p>
      <w:pPr>
        <w:pStyle w:val="394"/>
        <w:kinsoku/>
        <w:wordWrap/>
        <w:overflowPunct/>
        <w:topLinePunct w:val="0"/>
        <w:bidi w:val="0"/>
        <w:spacing w:before="0"/>
        <w:ind w:firstLine="0" w:firstLineChars="0"/>
        <w:outlineLvl w:val="9"/>
        <w:rPr>
          <w:rFonts w:hint="eastAsia" w:ascii="宋体" w:hAnsi="宋体" w:eastAsia="宋体" w:cs="宋体"/>
          <w:b/>
          <w:highlight w:val="none"/>
        </w:rPr>
      </w:pPr>
    </w:p>
    <w:p>
      <w:pPr>
        <w:pStyle w:val="394"/>
        <w:kinsoku/>
        <w:wordWrap/>
        <w:overflowPunct/>
        <w:topLinePunct w:val="0"/>
        <w:bidi w:val="0"/>
        <w:spacing w:before="0"/>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四、评审程序</w:t>
      </w:r>
    </w:p>
    <w:p>
      <w:pPr>
        <w:pStyle w:val="394"/>
        <w:kinsoku/>
        <w:wordWrap/>
        <w:overflowPunct/>
        <w:topLinePunct w:val="0"/>
        <w:bidi w:val="0"/>
        <w:spacing w:before="0"/>
        <w:ind w:firstLine="472" w:firstLineChars="196"/>
        <w:outlineLvl w:val="9"/>
        <w:rPr>
          <w:rFonts w:hint="eastAsia" w:ascii="宋体" w:hAnsi="宋体" w:eastAsia="宋体" w:cs="宋体"/>
          <w:b/>
          <w:highlight w:val="none"/>
        </w:rPr>
      </w:pPr>
      <w:r>
        <w:rPr>
          <w:rFonts w:hint="eastAsia" w:ascii="宋体" w:hAnsi="宋体" w:eastAsia="宋体" w:cs="宋体"/>
          <w:b/>
          <w:highlight w:val="none"/>
        </w:rPr>
        <w:t>详见磋商文件“第二部分 竞争性磋商流程”。</w:t>
      </w:r>
    </w:p>
    <w:p>
      <w:pPr>
        <w:pStyle w:val="394"/>
        <w:kinsoku/>
        <w:wordWrap/>
        <w:overflowPunct/>
        <w:topLinePunct w:val="0"/>
        <w:bidi w:val="0"/>
        <w:spacing w:before="0"/>
        <w:ind w:firstLine="0" w:firstLineChars="0"/>
        <w:outlineLvl w:val="9"/>
        <w:rPr>
          <w:rFonts w:hint="eastAsia" w:ascii="宋体" w:hAnsi="宋体" w:eastAsia="宋体" w:cs="宋体"/>
          <w:b/>
          <w:highlight w:val="none"/>
        </w:rPr>
      </w:pPr>
    </w:p>
    <w:p>
      <w:pPr>
        <w:pStyle w:val="394"/>
        <w:kinsoku/>
        <w:wordWrap/>
        <w:overflowPunct/>
        <w:topLinePunct w:val="0"/>
        <w:bidi w:val="0"/>
        <w:spacing w:before="0"/>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五、评审须知</w:t>
      </w:r>
    </w:p>
    <w:p>
      <w:pPr>
        <w:pStyle w:val="394"/>
        <w:kinsoku/>
        <w:wordWrap/>
        <w:overflowPunct/>
        <w:topLinePunct w:val="0"/>
        <w:bidi w:val="0"/>
        <w:spacing w:before="0"/>
        <w:ind w:firstLine="0" w:firstLineChars="0"/>
        <w:outlineLvl w:val="9"/>
        <w:rPr>
          <w:rFonts w:hint="eastAsia" w:ascii="宋体" w:hAnsi="宋体" w:eastAsia="宋体" w:cs="宋体"/>
          <w:b/>
          <w:szCs w:val="24"/>
          <w:highlight w:val="none"/>
        </w:rPr>
      </w:pPr>
      <w:r>
        <w:rPr>
          <w:rFonts w:hint="eastAsia" w:ascii="宋体" w:hAnsi="宋体" w:eastAsia="宋体" w:cs="宋体"/>
          <w:b/>
          <w:szCs w:val="24"/>
          <w:highlight w:val="none"/>
        </w:rPr>
        <w:t>1. 响应文件的澄清</w:t>
      </w:r>
    </w:p>
    <w:p>
      <w:pPr>
        <w:kinsoku/>
        <w:wordWrap/>
        <w:overflowPunct/>
        <w:topLinePunct w:val="0"/>
        <w:bidi w:val="0"/>
        <w:spacing w:line="360" w:lineRule="auto"/>
        <w:ind w:firstLine="480"/>
        <w:outlineLvl w:val="9"/>
        <w:rPr>
          <w:rFonts w:hint="eastAsia" w:ascii="宋体" w:hAnsi="宋体" w:eastAsia="宋体" w:cs="宋体"/>
          <w:sz w:val="24"/>
          <w:highlight w:val="none"/>
        </w:rPr>
      </w:pPr>
      <w:r>
        <w:rPr>
          <w:rFonts w:hint="eastAsia" w:ascii="宋体" w:hAnsi="宋体" w:eastAsia="宋体" w:cs="宋体"/>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kinsoku/>
        <w:wordWrap/>
        <w:overflowPunct/>
        <w:topLinePunct w:val="0"/>
        <w:bidi w:val="0"/>
        <w:spacing w:before="0"/>
        <w:ind w:firstLine="0" w:firstLineChars="0"/>
        <w:outlineLvl w:val="9"/>
        <w:rPr>
          <w:rFonts w:hint="eastAsia" w:ascii="宋体" w:hAnsi="宋体" w:eastAsia="宋体" w:cs="宋体"/>
          <w:b/>
          <w:szCs w:val="24"/>
          <w:highlight w:val="none"/>
        </w:rPr>
      </w:pPr>
      <w:r>
        <w:rPr>
          <w:rFonts w:hint="eastAsia" w:ascii="宋体" w:hAnsi="宋体" w:eastAsia="宋体" w:cs="宋体"/>
          <w:b/>
          <w:highlight w:val="none"/>
        </w:rPr>
        <w:t>2.最后报价的修正原则</w:t>
      </w:r>
    </w:p>
    <w:p>
      <w:pPr>
        <w:kinsoku/>
        <w:wordWrap/>
        <w:overflowPunct/>
        <w:topLinePunct w:val="0"/>
        <w:bidi w:val="0"/>
        <w:spacing w:line="360" w:lineRule="auto"/>
        <w:ind w:firstLine="480"/>
        <w:outlineLvl w:val="9"/>
        <w:rPr>
          <w:rFonts w:hint="eastAsia" w:ascii="宋体" w:hAnsi="宋体" w:eastAsia="宋体" w:cs="宋体"/>
          <w:sz w:val="24"/>
          <w:highlight w:val="none"/>
        </w:rPr>
      </w:pPr>
      <w:r>
        <w:rPr>
          <w:rFonts w:hint="eastAsia" w:ascii="宋体" w:hAnsi="宋体" w:eastAsia="宋体" w:cs="宋体"/>
          <w:sz w:val="24"/>
          <w:highlight w:val="none"/>
        </w:rPr>
        <w:t>磋商小组对响应文件的最后报价进行审核，对发现计算、书写等错误的，按以下原则进行修正：</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2.1《最后报价一览表》内容与响应文件中响应内容不一致的，以《最后报价一览表》为准</w:t>
      </w:r>
      <w:r>
        <w:rPr>
          <w:rFonts w:hint="eastAsia" w:ascii="宋体" w:hAnsi="宋体" w:cs="宋体"/>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2.2大写金额和小写金额不一致的，以大写金额为准</w:t>
      </w:r>
      <w:r>
        <w:rPr>
          <w:rFonts w:hint="eastAsia" w:ascii="宋体" w:hAnsi="宋体" w:cs="宋体"/>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2.3单价金额小数点或者百分比有明显错位的，以《最后报价一览表》的总价为准，并修改单价</w:t>
      </w:r>
      <w:r>
        <w:rPr>
          <w:rFonts w:hint="eastAsia" w:ascii="宋体" w:hAnsi="宋体" w:cs="宋体"/>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2.4总价金额与按单价汇总金额不一致的，以单价金额计算结果为准。</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2.5同时出现两种以上不一致的，按照前款规定的顺序修正。</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2.6以修正后的总价作为最后报价。</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cs="宋体"/>
          <w:bCs/>
          <w:sz w:val="24"/>
          <w:highlight w:val="none"/>
          <w:lang w:eastAsia="zh-CN"/>
        </w:rPr>
        <w:t>▲</w:t>
      </w:r>
      <w:r>
        <w:rPr>
          <w:rFonts w:hint="eastAsia" w:ascii="宋体" w:hAnsi="宋体" w:eastAsia="宋体" w:cs="宋体"/>
          <w:b/>
          <w:bCs/>
          <w:sz w:val="24"/>
          <w:highlight w:val="none"/>
        </w:rPr>
        <w:t>供应商对根据修正原则修正后的最后报价不确认的，响应无效。</w:t>
      </w:r>
    </w:p>
    <w:p>
      <w:pPr>
        <w:pStyle w:val="394"/>
        <w:kinsoku/>
        <w:wordWrap/>
        <w:overflowPunct/>
        <w:topLinePunct w:val="0"/>
        <w:bidi w:val="0"/>
        <w:spacing w:before="0"/>
        <w:ind w:firstLine="0" w:firstLineChars="0"/>
        <w:outlineLvl w:val="9"/>
        <w:rPr>
          <w:rFonts w:hint="eastAsia" w:ascii="宋体" w:hAnsi="宋体" w:eastAsia="宋体" w:cs="宋体"/>
          <w:b/>
          <w:szCs w:val="24"/>
          <w:highlight w:val="none"/>
        </w:rPr>
      </w:pPr>
      <w:r>
        <w:rPr>
          <w:rFonts w:hint="eastAsia" w:ascii="宋体" w:hAnsi="宋体" w:eastAsia="宋体" w:cs="宋体"/>
          <w:b/>
          <w:highlight w:val="none"/>
        </w:rPr>
        <w:t>3.</w:t>
      </w:r>
      <w:r>
        <w:rPr>
          <w:rFonts w:hint="eastAsia" w:ascii="宋体" w:hAnsi="宋体" w:eastAsia="宋体" w:cs="宋体"/>
          <w:b/>
          <w:spacing w:val="20"/>
          <w:highlight w:val="none"/>
        </w:rPr>
        <w:t>响应无效</w:t>
      </w:r>
    </w:p>
    <w:p>
      <w:pPr>
        <w:pStyle w:val="3"/>
        <w:kinsoku/>
        <w:wordWrap/>
        <w:overflowPunct/>
        <w:topLinePunct w:val="0"/>
        <w:bidi w:val="0"/>
        <w:spacing w:line="360" w:lineRule="auto"/>
        <w:ind w:firstLine="600" w:firstLineChars="250"/>
        <w:outlineLvl w:val="9"/>
        <w:rPr>
          <w:rFonts w:hint="eastAsia" w:ascii="宋体" w:hAnsi="宋体" w:eastAsia="宋体" w:cs="宋体"/>
          <w:szCs w:val="21"/>
          <w:highlight w:val="none"/>
        </w:rPr>
      </w:pPr>
      <w:r>
        <w:rPr>
          <w:rFonts w:hint="eastAsia" w:ascii="宋体" w:hAnsi="宋体" w:eastAsia="宋体" w:cs="宋体"/>
          <w:szCs w:val="21"/>
          <w:highlight w:val="none"/>
        </w:rPr>
        <w:t>有下列情况之一的，响应无效：</w:t>
      </w:r>
    </w:p>
    <w:p>
      <w:pPr>
        <w:kinsoku/>
        <w:wordWrap/>
        <w:overflowPunct/>
        <w:topLinePunct w:val="0"/>
        <w:bidi w:val="0"/>
        <w:spacing w:line="360" w:lineRule="auto"/>
        <w:ind w:firstLine="480" w:firstLineChars="200"/>
        <w:outlineLvl w:val="9"/>
        <w:rPr>
          <w:rFonts w:hint="eastAsia" w:ascii="宋体" w:hAnsi="宋体" w:eastAsia="宋体" w:cs="宋体"/>
          <w:sz w:val="24"/>
          <w:szCs w:val="21"/>
          <w:highlight w:val="none"/>
        </w:rPr>
      </w:pPr>
      <w:r>
        <w:rPr>
          <w:rFonts w:hint="eastAsia" w:ascii="宋体" w:hAnsi="宋体" w:eastAsia="宋体" w:cs="宋体"/>
          <w:sz w:val="24"/>
          <w:highlight w:val="none"/>
        </w:rPr>
        <w:t>3.1</w:t>
      </w:r>
      <w:r>
        <w:rPr>
          <w:rFonts w:hint="eastAsia" w:ascii="宋体" w:hAnsi="宋体" w:eastAsia="宋体" w:cs="宋体"/>
          <w:sz w:val="24"/>
          <w:szCs w:val="21"/>
          <w:highlight w:val="none"/>
        </w:rPr>
        <w:t>单位负责人为同一人或者存在直接控股、管理关系的不同供应商参加同一合同项下的政府采购活动的（均无效）；</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3.2为采购项目提供整体设计、规范编制或者项目管理、监理、检测等服务的供应商再参加该采购项目的其他采购活动的；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3.3供应商不具备磋商文件中规定的资格要求的（供应商未提供有效的资格证明文件的，视为供应商不具备磋商文件中规定的资格要求）；</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3.4如以联合体形式参加政府采购活动的，联合协议不符合磋商文件规定的联合协议要求的；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3.5响应文件未按磋商文件的澄清、修改的内容编制，又不符合实质性要求的；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3.6响应文件组成漏项，内容不全或内容字迹模糊辨认不清的；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3.7响应文件中法人授权书所载内容与本项目内容有异的；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3.8响应文件未按照磋商文件要求签署、盖章的；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3.9</w:t>
      </w:r>
      <w:r>
        <w:rPr>
          <w:rFonts w:hint="eastAsia" w:ascii="宋体" w:hAnsi="宋体" w:eastAsia="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sz w:val="24"/>
          <w:highlight w:val="none"/>
        </w:rPr>
        <w:t xml:space="preserve">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3.10响应文件含有采购人不能接受的附加条件的；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3.11响应文件中承诺的响应有效期少于磋商文件中载明的响应有效期的；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3.12供应商所投内容不符合磋商文件中实质性要求的；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3.13所提交的《最后报价一览表》中出现不是唯一的、有选择性的报价的</w:t>
      </w:r>
      <w:r>
        <w:rPr>
          <w:rFonts w:hint="eastAsia" w:ascii="宋体" w:hAnsi="宋体" w:cs="宋体"/>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3.14最后报价高于本项目采购预算或者最高限价的</w:t>
      </w:r>
      <w:r>
        <w:rPr>
          <w:rFonts w:hint="eastAsia" w:ascii="宋体" w:hAnsi="宋体" w:cs="宋体"/>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宋体" w:hAnsi="宋体" w:cs="宋体"/>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3.16《最后报价一览表》填写不完整或字迹不能辨认或有漏项的；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3.17供应商对根据修正原则修正后的最后报价不确认的；</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3.18供应商提供虚假材料响应的（包括但不限于以下情节）；</w:t>
      </w:r>
    </w:p>
    <w:p>
      <w:pPr>
        <w:pStyle w:val="106"/>
        <w:numPr>
          <w:ilvl w:val="0"/>
          <w:numId w:val="12"/>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使用伪造、变造的许可证件；</w:t>
      </w:r>
    </w:p>
    <w:p>
      <w:pPr>
        <w:pStyle w:val="106"/>
        <w:numPr>
          <w:ilvl w:val="0"/>
          <w:numId w:val="12"/>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提供虚假的财务状况或者业绩；</w:t>
      </w:r>
    </w:p>
    <w:p>
      <w:pPr>
        <w:pStyle w:val="106"/>
        <w:numPr>
          <w:ilvl w:val="0"/>
          <w:numId w:val="12"/>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提供虚假的项目负责人或者主要技术人员简历、劳动关系证明；</w:t>
      </w:r>
    </w:p>
    <w:p>
      <w:pPr>
        <w:pStyle w:val="106"/>
        <w:numPr>
          <w:ilvl w:val="0"/>
          <w:numId w:val="12"/>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提供虚假的信用状况；</w:t>
      </w:r>
    </w:p>
    <w:p>
      <w:pPr>
        <w:pStyle w:val="106"/>
        <w:numPr>
          <w:ilvl w:val="0"/>
          <w:numId w:val="12"/>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其他弄虚作假的行为。</w:t>
      </w:r>
    </w:p>
    <w:p>
      <w:pPr>
        <w:kinsoku/>
        <w:wordWrap/>
        <w:overflowPunct/>
        <w:topLinePunct w:val="0"/>
        <w:bidi w:val="0"/>
        <w:spacing w:line="360" w:lineRule="auto"/>
        <w:ind w:firstLine="480"/>
        <w:outlineLvl w:val="9"/>
        <w:rPr>
          <w:rFonts w:hint="eastAsia" w:ascii="宋体" w:hAnsi="宋体" w:eastAsia="宋体" w:cs="宋体"/>
          <w:sz w:val="24"/>
          <w:highlight w:val="none"/>
        </w:rPr>
      </w:pPr>
      <w:r>
        <w:rPr>
          <w:rFonts w:hint="eastAsia" w:ascii="宋体" w:hAnsi="宋体" w:eastAsia="宋体" w:cs="宋体"/>
          <w:sz w:val="24"/>
          <w:highlight w:val="none"/>
        </w:rPr>
        <w:t>3.19供应商有恶意串通、妨碍其他供应商的竞争行为、损害采购人或者其他供应商的合法权益情形的。</w:t>
      </w:r>
    </w:p>
    <w:p>
      <w:pPr>
        <w:kinsoku/>
        <w:wordWrap/>
        <w:overflowPunct/>
        <w:topLinePunct w:val="0"/>
        <w:bidi w:val="0"/>
        <w:spacing w:line="360" w:lineRule="auto"/>
        <w:ind w:firstLine="480"/>
        <w:outlineLvl w:val="9"/>
        <w:rPr>
          <w:rFonts w:hint="eastAsia" w:ascii="宋体" w:hAnsi="宋体" w:eastAsia="宋体" w:cs="宋体"/>
          <w:sz w:val="24"/>
          <w:highlight w:val="none"/>
        </w:rPr>
      </w:pPr>
      <w:r>
        <w:rPr>
          <w:rFonts w:hint="eastAsia" w:ascii="宋体" w:hAnsi="宋体" w:eastAsia="宋体" w:cs="宋体"/>
          <w:sz w:val="24"/>
          <w:highlight w:val="none"/>
        </w:rPr>
        <w:t>有下列情形之一的，属于或视为恶意串通，其响应无效：</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供应商直接或者间接从采购人或者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处获得其他供应商的相关情况并修改其响应文件；</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供应商按照采购人或者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的授意撤换、修改投标文件或者响应文件；</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供应商之间协商报价、技术方案等投标文件或者响应文件的实质性内容；</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属于同一集团、协会、商会等组织成员的供应商按照该组织要求协同参加政府采购活动；</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供应商之间事先约定由某一特定供应商中标、成交；</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供应商之间商定部分供应商放弃参加政府采购活动或者放弃中标、成交；</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供应商与采购人或者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之间、供应商相互之间，为谋求特定供应商中标、成交或者排斥其他供应商的其他串通行为。</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不同供应商的响应文件由同一单位或者个人编制；</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不同供应商委托同一单位或者个人办理响应事宜；</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不同供应商的响应文件载明的项目管理成员或者联系人员为同一人；</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不同供应商的响应文件异常一致或者最后报价呈规律性差异；</w:t>
      </w:r>
    </w:p>
    <w:p>
      <w:pPr>
        <w:pStyle w:val="106"/>
        <w:numPr>
          <w:ilvl w:val="0"/>
          <w:numId w:val="13"/>
        </w:numPr>
        <w:kinsoku/>
        <w:wordWrap/>
        <w:overflowPunct/>
        <w:topLinePunct w:val="0"/>
        <w:bidi w:val="0"/>
        <w:ind w:firstLineChars="0"/>
        <w:outlineLvl w:val="9"/>
        <w:rPr>
          <w:rFonts w:hint="eastAsia" w:ascii="宋体" w:hAnsi="宋体" w:eastAsia="宋体" w:cs="宋体"/>
          <w:highlight w:val="none"/>
        </w:rPr>
      </w:pPr>
      <w:r>
        <w:rPr>
          <w:rFonts w:hint="eastAsia" w:ascii="宋体" w:hAnsi="宋体" w:eastAsia="宋体" w:cs="宋体"/>
          <w:highlight w:val="none"/>
        </w:rPr>
        <w:t>不同供应商的响应文件相互混装。</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3.20供应商仅提交备份响应文件，没有在电子交易平台传输提交响应文件的，响应无效；</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3.21法律、法规、规章（适用本市的）及省级以上规范性文件（适用本市的）规定的其他无效情形。</w:t>
      </w:r>
    </w:p>
    <w:p>
      <w:pPr>
        <w:pStyle w:val="394"/>
        <w:kinsoku/>
        <w:wordWrap/>
        <w:overflowPunct/>
        <w:topLinePunct w:val="0"/>
        <w:bidi w:val="0"/>
        <w:spacing w:before="0"/>
        <w:ind w:firstLine="0" w:firstLineChars="0"/>
        <w:outlineLvl w:val="9"/>
        <w:rPr>
          <w:rFonts w:hint="eastAsia" w:ascii="宋体" w:hAnsi="宋体" w:eastAsia="宋体" w:cs="宋体"/>
          <w:b/>
          <w:szCs w:val="24"/>
          <w:highlight w:val="none"/>
        </w:rPr>
      </w:pPr>
      <w:r>
        <w:rPr>
          <w:rFonts w:hint="eastAsia" w:ascii="宋体" w:hAnsi="宋体" w:eastAsia="宋体" w:cs="宋体"/>
          <w:b/>
          <w:szCs w:val="24"/>
          <w:highlight w:val="none"/>
        </w:rPr>
        <w:t>4. 重新开展采购活动</w:t>
      </w:r>
    </w:p>
    <w:p>
      <w:pPr>
        <w:kinsoku/>
        <w:wordWrap/>
        <w:overflowPunct/>
        <w:topLinePunct w:val="0"/>
        <w:bidi w:val="0"/>
        <w:spacing w:line="360" w:lineRule="auto"/>
        <w:ind w:firstLine="407" w:firstLineChars="194"/>
        <w:outlineLvl w:val="9"/>
        <w:rPr>
          <w:rFonts w:hint="eastAsia" w:ascii="宋体" w:hAnsi="宋体" w:eastAsia="宋体" w:cs="宋体"/>
          <w:sz w:val="24"/>
          <w:szCs w:val="21"/>
          <w:highlight w:val="none"/>
        </w:rPr>
      </w:pPr>
      <w:r>
        <w:rPr>
          <w:rFonts w:hint="eastAsia" w:ascii="宋体" w:hAnsi="宋体" w:eastAsia="宋体" w:cs="宋体"/>
          <w:szCs w:val="21"/>
          <w:highlight w:val="none"/>
        </w:rPr>
        <w:t xml:space="preserve"> </w:t>
      </w:r>
      <w:r>
        <w:rPr>
          <w:rFonts w:hint="eastAsia" w:ascii="宋体" w:hAnsi="宋体" w:eastAsia="宋体" w:cs="宋体"/>
          <w:sz w:val="24"/>
          <w:szCs w:val="21"/>
          <w:highlight w:val="none"/>
        </w:rPr>
        <w:t>出现下列情形之一的，</w:t>
      </w:r>
      <w:r>
        <w:rPr>
          <w:rFonts w:hint="eastAsia" w:ascii="宋体" w:hAnsi="宋体" w:eastAsia="宋体" w:cs="宋体"/>
          <w:sz w:val="24"/>
          <w:szCs w:val="21"/>
          <w:highlight w:val="none"/>
          <w:lang w:eastAsia="zh-CN"/>
        </w:rPr>
        <w:t>采购代理机构</w:t>
      </w:r>
      <w:r>
        <w:rPr>
          <w:rFonts w:hint="eastAsia" w:ascii="宋体" w:hAnsi="宋体" w:eastAsia="宋体" w:cs="宋体"/>
          <w:sz w:val="24"/>
          <w:szCs w:val="21"/>
          <w:highlight w:val="none"/>
        </w:rPr>
        <w:t>应当终止竞争性磋商采购活动，通过电子交易平台发布项目终止公告并说明原因，重新开展采购活动：</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（1）因情况变化，不再符合规定的竞争性磋商采购方式适用情形的；</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（2）出现影响采购公正的违法、违规行为的；</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（3）在采购过程中符合要求的供应商或者最后报价未超过采购预算的供应商不足3家的（有特殊规定的从其规定）。</w:t>
      </w:r>
    </w:p>
    <w:p>
      <w:pPr>
        <w:pStyle w:val="394"/>
        <w:kinsoku/>
        <w:wordWrap/>
        <w:overflowPunct/>
        <w:topLinePunct w:val="0"/>
        <w:bidi w:val="0"/>
        <w:spacing w:before="0"/>
        <w:ind w:firstLine="0" w:firstLineChars="0"/>
        <w:outlineLvl w:val="9"/>
        <w:rPr>
          <w:rFonts w:hint="eastAsia" w:ascii="宋体" w:hAnsi="宋体" w:eastAsia="宋体" w:cs="宋体"/>
          <w:b/>
          <w:szCs w:val="24"/>
          <w:highlight w:val="none"/>
        </w:rPr>
      </w:pPr>
      <w:r>
        <w:rPr>
          <w:rFonts w:hint="eastAsia" w:ascii="宋体" w:hAnsi="宋体" w:eastAsia="宋体" w:cs="宋体"/>
          <w:b/>
          <w:szCs w:val="24"/>
          <w:highlight w:val="none"/>
        </w:rPr>
        <w:t>5. 终止采购活动</w:t>
      </w:r>
    </w:p>
    <w:p>
      <w:pPr>
        <w:kinsoku/>
        <w:wordWrap/>
        <w:overflowPunct/>
        <w:topLinePunct w:val="0"/>
        <w:bidi w:val="0"/>
        <w:spacing w:line="360" w:lineRule="auto"/>
        <w:ind w:firstLine="465" w:firstLineChars="194"/>
        <w:outlineLvl w:val="9"/>
        <w:rPr>
          <w:rFonts w:hint="eastAsia" w:ascii="宋体" w:hAnsi="宋体" w:eastAsia="宋体" w:cs="宋体"/>
          <w:sz w:val="24"/>
          <w:szCs w:val="21"/>
          <w:highlight w:val="none"/>
        </w:rPr>
      </w:pPr>
      <w:r>
        <w:rPr>
          <w:rFonts w:hint="eastAsia" w:ascii="宋体" w:hAnsi="宋体" w:eastAsia="宋体" w:cs="宋体"/>
          <w:sz w:val="24"/>
          <w:szCs w:val="21"/>
          <w:highlight w:val="none"/>
        </w:rPr>
        <w:t>在采购活动中因重大变故，采购任务取消的，</w:t>
      </w:r>
      <w:r>
        <w:rPr>
          <w:rFonts w:hint="eastAsia" w:ascii="宋体" w:hAnsi="宋体" w:eastAsia="宋体" w:cs="宋体"/>
          <w:sz w:val="24"/>
          <w:szCs w:val="21"/>
          <w:highlight w:val="none"/>
          <w:lang w:eastAsia="zh-CN"/>
        </w:rPr>
        <w:t>采购代理机构</w:t>
      </w:r>
      <w:r>
        <w:rPr>
          <w:rFonts w:hint="eastAsia" w:ascii="宋体" w:hAnsi="宋体" w:eastAsia="宋体" w:cs="宋体"/>
          <w:sz w:val="24"/>
          <w:szCs w:val="21"/>
          <w:highlight w:val="none"/>
        </w:rPr>
        <w:t>将终止采购活动，通过电子交易平台通知所有参加采购活动的供应商，并将项目实施情况和采购任务取消原因报送本级财政部门。</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b/>
          <w:sz w:val="24"/>
          <w:highlight w:val="none"/>
        </w:rPr>
        <w:t xml:space="preserve">6. </w:t>
      </w:r>
      <w:r>
        <w:rPr>
          <w:rFonts w:hint="eastAsia" w:ascii="宋体" w:hAnsi="宋体" w:eastAsia="宋体" w:cs="宋体"/>
          <w:b/>
          <w:sz w:val="24"/>
          <w:highlight w:val="none"/>
          <w:lang w:eastAsia="zh-CN"/>
        </w:rPr>
        <w:t>采购代理机构</w:t>
      </w:r>
      <w:r>
        <w:rPr>
          <w:rFonts w:hint="eastAsia" w:ascii="宋体" w:hAnsi="宋体" w:eastAsia="宋体" w:cs="宋体"/>
          <w:b/>
          <w:sz w:val="24"/>
          <w:highlight w:val="none"/>
        </w:rPr>
        <w:t>有权对磋商小组各成员的评分情况和评审意见进行合理性和合规性审查</w:t>
      </w:r>
      <w:r>
        <w:rPr>
          <w:rFonts w:hint="eastAsia" w:ascii="宋体" w:hAnsi="宋体" w:eastAsia="宋体" w:cs="宋体"/>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审查的，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将向同级政府采购监督管理部门报告并予以处理。</w:t>
      </w:r>
    </w:p>
    <w:p>
      <w:pPr>
        <w:pStyle w:val="394"/>
        <w:kinsoku/>
        <w:wordWrap/>
        <w:overflowPunct/>
        <w:topLinePunct w:val="0"/>
        <w:bidi w:val="0"/>
        <w:spacing w:before="0"/>
        <w:ind w:firstLine="0" w:firstLineChars="0"/>
        <w:outlineLvl w:val="9"/>
        <w:rPr>
          <w:rFonts w:hint="eastAsia" w:ascii="宋体" w:hAnsi="宋体" w:eastAsia="宋体" w:cs="宋体"/>
          <w:b/>
          <w:highlight w:val="none"/>
        </w:rPr>
      </w:pPr>
    </w:p>
    <w:p>
      <w:pPr>
        <w:kinsoku/>
        <w:wordWrap/>
        <w:overflowPunct/>
        <w:topLinePunct w:val="0"/>
        <w:bidi w:val="0"/>
        <w:snapToGrid w:val="0"/>
        <w:spacing w:line="360" w:lineRule="auto"/>
        <w:ind w:left="120" w:leftChars="57" w:firstLine="482" w:firstLineChars="15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六、评审过程的保密与录像</w:t>
      </w:r>
    </w:p>
    <w:p>
      <w:pPr>
        <w:widowControl/>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sz w:val="24"/>
          <w:highlight w:val="none"/>
        </w:rPr>
        <w:t>1.保密。</w:t>
      </w:r>
      <w:r>
        <w:rPr>
          <w:rFonts w:hint="eastAsia" w:ascii="宋体" w:hAnsi="宋体" w:eastAsia="宋体" w:cs="宋体"/>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工作人员、相关监督人员等与评审有关的人员应当予以保密。</w:t>
      </w:r>
    </w:p>
    <w:p>
      <w:pPr>
        <w:widowControl/>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sz w:val="24"/>
          <w:highlight w:val="none"/>
        </w:rPr>
        <w:t>2.录音录像。</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对评审工作现场进行全过程录音录像，录音录像资料作为采购项目文件随其他文件一并存档。</w:t>
      </w:r>
    </w:p>
    <w:p>
      <w:pPr>
        <w:widowControl/>
        <w:kinsoku/>
        <w:wordWrap/>
        <w:overflowPunct/>
        <w:topLinePunct w:val="0"/>
        <w:bidi w:val="0"/>
        <w:adjustRightInd/>
        <w:jc w:val="left"/>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highlight w:val="none"/>
        </w:rPr>
      </w:pPr>
      <w:bookmarkStart w:id="186" w:name="_Toc230"/>
      <w:r>
        <w:rPr>
          <w:rFonts w:hint="eastAsia" w:ascii="宋体" w:hAnsi="宋体" w:eastAsia="宋体" w:cs="宋体"/>
          <w:b/>
          <w:sz w:val="36"/>
          <w:szCs w:val="36"/>
          <w:highlight w:val="none"/>
        </w:rPr>
        <w:t>第六部分</w:t>
      </w:r>
      <w:bookmarkEnd w:id="185"/>
      <w:r>
        <w:rPr>
          <w:rFonts w:hint="eastAsia" w:ascii="宋体" w:hAnsi="宋体" w:eastAsia="宋体" w:cs="宋体"/>
          <w:b/>
          <w:sz w:val="36"/>
          <w:szCs w:val="36"/>
          <w:highlight w:val="none"/>
        </w:rPr>
        <w:t xml:space="preserve">  拟签订的合同文本</w:t>
      </w:r>
      <w:bookmarkEnd w:id="186"/>
    </w:p>
    <w:p>
      <w:pPr>
        <w:kinsoku/>
        <w:wordWrap/>
        <w:overflowPunct/>
        <w:topLinePunct w:val="0"/>
        <w:bidi w:val="0"/>
        <w:spacing w:line="360" w:lineRule="auto"/>
        <w:outlineLvl w:val="9"/>
        <w:rPr>
          <w:rFonts w:hint="eastAsia" w:ascii="宋体" w:hAnsi="宋体" w:eastAsia="宋体" w:cs="宋体"/>
          <w:sz w:val="24"/>
          <w:highlight w:val="none"/>
        </w:rPr>
      </w:pPr>
      <w:bookmarkStart w:id="187" w:name="第五部分"/>
      <w:bookmarkStart w:id="188" w:name="_Toc86217003"/>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p>
    <w:p>
      <w:pPr>
        <w:pStyle w:val="283"/>
        <w:kinsoku/>
        <w:wordWrap/>
        <w:overflowPunct/>
        <w:topLinePunct w:val="0"/>
        <w:bidi w:val="0"/>
        <w:ind w:leftChars="0" w:firstLine="2465" w:firstLineChars="682"/>
        <w:jc w:val="left"/>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政府采购合同书</w:t>
      </w:r>
    </w:p>
    <w:p>
      <w:pPr>
        <w:pStyle w:val="283"/>
        <w:kinsoku/>
        <w:wordWrap/>
        <w:overflowPunct/>
        <w:topLinePunct w:val="0"/>
        <w:bidi w:val="0"/>
        <w:outlineLvl w:val="9"/>
        <w:rPr>
          <w:rFonts w:hint="eastAsia" w:ascii="宋体" w:hAnsi="宋体" w:eastAsia="宋体" w:cs="宋体"/>
          <w:szCs w:val="24"/>
          <w:highlight w:val="none"/>
        </w:rPr>
      </w:pPr>
    </w:p>
    <w:p>
      <w:pPr>
        <w:pStyle w:val="283"/>
        <w:kinsoku/>
        <w:wordWrap/>
        <w:overflowPunct/>
        <w:topLinePunct w:val="0"/>
        <w:bidi w:val="0"/>
        <w:outlineLvl w:val="9"/>
        <w:rPr>
          <w:rFonts w:hint="eastAsia" w:ascii="宋体" w:hAnsi="宋体" w:eastAsia="宋体" w:cs="宋体"/>
          <w:szCs w:val="24"/>
          <w:highlight w:val="none"/>
        </w:rPr>
      </w:pPr>
    </w:p>
    <w:p>
      <w:pPr>
        <w:kinsoku/>
        <w:wordWrap/>
        <w:overflowPunct/>
        <w:topLinePunct w:val="0"/>
        <w:bidi w:val="0"/>
        <w:spacing w:before="120" w:line="360" w:lineRule="auto"/>
        <w:outlineLvl w:val="9"/>
        <w:rPr>
          <w:rFonts w:hint="eastAsia" w:ascii="宋体" w:hAnsi="宋体" w:eastAsia="宋体" w:cs="宋体"/>
          <w:sz w:val="24"/>
          <w:highlight w:val="none"/>
        </w:rPr>
      </w:pPr>
    </w:p>
    <w:p>
      <w:pPr>
        <w:kinsoku/>
        <w:wordWrap/>
        <w:overflowPunct/>
        <w:topLinePunct w:val="0"/>
        <w:bidi w:val="0"/>
        <w:spacing w:before="120" w:line="360" w:lineRule="auto"/>
        <w:ind w:left="960"/>
        <w:outlineLvl w:val="9"/>
        <w:rPr>
          <w:rFonts w:hint="eastAsia" w:ascii="宋体" w:hAnsi="宋体" w:eastAsia="宋体" w:cs="宋体"/>
          <w:color w:val="auto"/>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宁海县气象局风廓线雷达配套设施建设项目</w:t>
      </w:r>
      <w:r>
        <w:rPr>
          <w:rFonts w:hint="eastAsia" w:ascii="宋体" w:hAnsi="宋体" w:eastAsia="宋体" w:cs="宋体"/>
          <w:color w:val="auto"/>
          <w:sz w:val="24"/>
          <w:highlight w:val="none"/>
          <w:u w:val="single"/>
        </w:rPr>
        <w:t xml:space="preserve">  </w:t>
      </w:r>
    </w:p>
    <w:p>
      <w:pPr>
        <w:pStyle w:val="618"/>
        <w:kinsoku/>
        <w:wordWrap/>
        <w:overflowPunct/>
        <w:topLinePunct w:val="0"/>
        <w:bidi w:val="0"/>
        <w:spacing w:before="120"/>
        <w:outlineLvl w:val="9"/>
        <w:rPr>
          <w:rFonts w:hint="eastAsia" w:ascii="宋体" w:hAnsi="宋体" w:eastAsia="宋体" w:cs="宋体"/>
          <w:color w:val="auto"/>
          <w:szCs w:val="24"/>
          <w:highlight w:val="none"/>
        </w:rPr>
      </w:pPr>
    </w:p>
    <w:p>
      <w:pPr>
        <w:kinsoku/>
        <w:wordWrap/>
        <w:overflowPunct/>
        <w:topLinePunct w:val="0"/>
        <w:bidi w:val="0"/>
        <w:spacing w:line="360" w:lineRule="auto"/>
        <w:outlineLvl w:val="9"/>
        <w:rPr>
          <w:rFonts w:hint="eastAsia" w:ascii="宋体" w:hAnsi="宋体" w:eastAsia="宋体" w:cs="宋体"/>
          <w:color w:val="auto"/>
          <w:sz w:val="24"/>
          <w:highlight w:val="none"/>
        </w:rPr>
      </w:pPr>
    </w:p>
    <w:p>
      <w:pPr>
        <w:kinsoku/>
        <w:wordWrap/>
        <w:overflowPunct/>
        <w:topLinePunct w:val="0"/>
        <w:bidi w:val="0"/>
        <w:spacing w:before="120" w:line="360" w:lineRule="auto"/>
        <w:ind w:left="96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宁海县气象局</w:t>
      </w:r>
      <w:r>
        <w:rPr>
          <w:rFonts w:hint="eastAsia" w:ascii="宋体" w:hAnsi="宋体" w:eastAsia="宋体" w:cs="宋体"/>
          <w:color w:val="auto"/>
          <w:sz w:val="24"/>
          <w:highlight w:val="none"/>
          <w:u w:val="single"/>
        </w:rPr>
        <w:t xml:space="preserve">       </w:t>
      </w:r>
    </w:p>
    <w:p>
      <w:pPr>
        <w:kinsoku/>
        <w:wordWrap/>
        <w:overflowPunct/>
        <w:topLinePunct w:val="0"/>
        <w:bidi w:val="0"/>
        <w:spacing w:before="120" w:line="360" w:lineRule="auto"/>
        <w:outlineLvl w:val="9"/>
        <w:rPr>
          <w:rFonts w:hint="eastAsia" w:ascii="宋体" w:hAnsi="宋体" w:eastAsia="宋体" w:cs="宋体"/>
          <w:color w:val="auto"/>
          <w:sz w:val="24"/>
          <w:highlight w:val="none"/>
        </w:rPr>
      </w:pPr>
    </w:p>
    <w:p>
      <w:pPr>
        <w:kinsoku/>
        <w:wordWrap/>
        <w:overflowPunct/>
        <w:topLinePunct w:val="0"/>
        <w:bidi w:val="0"/>
        <w:spacing w:before="120" w:line="360" w:lineRule="auto"/>
        <w:ind w:left="960"/>
        <w:outlineLvl w:val="9"/>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pPr>
        <w:kinsoku/>
        <w:wordWrap/>
        <w:overflowPunct/>
        <w:topLinePunct w:val="0"/>
        <w:bidi w:val="0"/>
        <w:spacing w:before="120" w:line="360" w:lineRule="auto"/>
        <w:outlineLvl w:val="9"/>
        <w:rPr>
          <w:rFonts w:hint="eastAsia" w:ascii="宋体" w:hAnsi="宋体" w:eastAsia="宋体" w:cs="宋体"/>
          <w:sz w:val="24"/>
          <w:highlight w:val="none"/>
        </w:rPr>
      </w:pPr>
    </w:p>
    <w:p>
      <w:pPr>
        <w:kinsoku/>
        <w:wordWrap/>
        <w:overflowPunct/>
        <w:topLinePunct w:val="0"/>
        <w:bidi w:val="0"/>
        <w:spacing w:before="120" w:line="360" w:lineRule="auto"/>
        <w:ind w:firstLine="960" w:firstLineChars="400"/>
        <w:outlineLvl w:val="9"/>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宁海县</w:t>
      </w:r>
      <w:r>
        <w:rPr>
          <w:rFonts w:hint="eastAsia" w:ascii="宋体" w:hAnsi="宋体" w:eastAsia="宋体" w:cs="宋体"/>
          <w:sz w:val="24"/>
          <w:highlight w:val="none"/>
          <w:u w:val="single"/>
        </w:rPr>
        <w:t xml:space="preserve">          </w:t>
      </w:r>
    </w:p>
    <w:p>
      <w:pPr>
        <w:kinsoku/>
        <w:wordWrap/>
        <w:overflowPunct/>
        <w:topLinePunct w:val="0"/>
        <w:bidi w:val="0"/>
        <w:spacing w:before="120" w:line="360" w:lineRule="auto"/>
        <w:outlineLvl w:val="9"/>
        <w:rPr>
          <w:rFonts w:hint="eastAsia" w:ascii="宋体" w:hAnsi="宋体" w:eastAsia="宋体" w:cs="宋体"/>
          <w:sz w:val="24"/>
          <w:highlight w:val="none"/>
        </w:rPr>
      </w:pPr>
    </w:p>
    <w:p>
      <w:pPr>
        <w:kinsoku/>
        <w:wordWrap/>
        <w:overflowPunct/>
        <w:topLinePunct w:val="0"/>
        <w:bidi w:val="0"/>
        <w:spacing w:before="120" w:line="360" w:lineRule="auto"/>
        <w:ind w:firstLine="960" w:firstLineChars="400"/>
        <w:outlineLvl w:val="9"/>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2024</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widowControl/>
        <w:kinsoku/>
        <w:wordWrap/>
        <w:overflowPunct/>
        <w:topLinePunct w:val="0"/>
        <w:bidi w:val="0"/>
        <w:adjustRightInd/>
        <w:jc w:val="left"/>
        <w:outlineLvl w:val="9"/>
        <w:rPr>
          <w:rFonts w:hint="eastAsia" w:ascii="宋体" w:hAnsi="宋体" w:eastAsia="宋体" w:cs="宋体"/>
          <w:b/>
          <w:sz w:val="24"/>
          <w:highlight w:val="none"/>
        </w:rPr>
      </w:pPr>
      <w:r>
        <w:rPr>
          <w:rFonts w:hint="eastAsia" w:ascii="宋体" w:hAnsi="宋体" w:eastAsia="宋体" w:cs="宋体"/>
          <w:b/>
          <w:sz w:val="24"/>
          <w:highlight w:val="none"/>
        </w:rPr>
        <w:br w:type="page"/>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cs="宋体"/>
          <w:sz w:val="24"/>
          <w:highlight w:val="none"/>
          <w:u w:val="single"/>
          <w:lang w:val="en-US" w:eastAsia="zh-CN"/>
        </w:rPr>
        <w:t>2024</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宁海县气象局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竞争性磋商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宁海县气象局风廓线雷达配套设施建设项目</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磋商小组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sz w:val="24"/>
          <w:highlight w:val="none"/>
          <w:u w:val="single"/>
        </w:rPr>
        <w:t>）</w:t>
      </w:r>
      <w:r>
        <w:rPr>
          <w:rFonts w:hint="eastAsia" w:ascii="宋体" w:hAnsi="宋体" w:eastAsia="宋体" w:cs="宋体"/>
          <w:sz w:val="24"/>
          <w:highlight w:val="none"/>
        </w:rPr>
        <w:t>为该项目中标或者成交供应商。</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宁海县气象局</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sz w:val="24"/>
          <w:highlight w:val="none"/>
        </w:rPr>
      </w:pPr>
      <w:bookmarkStart w:id="189" w:name="_Toc3029"/>
      <w:bookmarkStart w:id="190" w:name="_Toc2232"/>
      <w:bookmarkStart w:id="191" w:name="_Toc24059"/>
      <w:r>
        <w:rPr>
          <w:rFonts w:hint="eastAsia" w:ascii="宋体" w:hAnsi="宋体" w:eastAsia="宋体" w:cs="宋体"/>
          <w:b/>
          <w:sz w:val="24"/>
          <w:highlight w:val="none"/>
        </w:rPr>
        <w:t>1.1 合同组成部分</w:t>
      </w:r>
      <w:bookmarkEnd w:id="189"/>
      <w:bookmarkEnd w:id="190"/>
      <w:bookmarkEnd w:id="191"/>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sz w:val="24"/>
          <w:highlight w:val="none"/>
        </w:rPr>
      </w:pPr>
      <w:bookmarkStart w:id="192" w:name="_Toc21295"/>
      <w:bookmarkStart w:id="193" w:name="_Toc24300"/>
      <w:bookmarkStart w:id="194" w:name="_Toc27126"/>
      <w:r>
        <w:rPr>
          <w:rFonts w:hint="eastAsia" w:ascii="宋体" w:hAnsi="宋体" w:eastAsia="宋体" w:cs="宋体"/>
          <w:b/>
          <w:sz w:val="24"/>
          <w:highlight w:val="none"/>
        </w:rPr>
        <w:t>1.2 货物</w:t>
      </w:r>
      <w:bookmarkEnd w:id="192"/>
      <w:bookmarkEnd w:id="193"/>
      <w:bookmarkEnd w:id="194"/>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u w:val="single"/>
        </w:rPr>
      </w:pPr>
      <w:r>
        <w:rPr>
          <w:rFonts w:hint="eastAsia" w:ascii="宋体" w:hAnsi="宋体" w:eastAsia="宋体" w:cs="宋体"/>
          <w:sz w:val="24"/>
          <w:highlight w:val="none"/>
        </w:rPr>
        <w:t>1.2.1 货物名称、品牌、规格型号、花色：</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sz w:val="24"/>
          <w:highlight w:val="none"/>
          <w:u w:val="singl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sz w:val="24"/>
          <w:highlight w:val="none"/>
        </w:rPr>
      </w:pPr>
      <w:bookmarkStart w:id="195" w:name="_Toc21631"/>
      <w:bookmarkStart w:id="196" w:name="_Toc21551"/>
      <w:bookmarkStart w:id="197" w:name="_Toc23292"/>
      <w:r>
        <w:rPr>
          <w:rFonts w:hint="eastAsia" w:ascii="宋体" w:hAnsi="宋体" w:eastAsia="宋体" w:cs="宋体"/>
          <w:b/>
          <w:sz w:val="24"/>
          <w:highlight w:val="none"/>
        </w:rPr>
        <w:t>1.3 价款</w:t>
      </w:r>
      <w:bookmarkEnd w:id="195"/>
      <w:bookmarkEnd w:id="196"/>
      <w:bookmarkEnd w:id="197"/>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sz w:val="24"/>
          <w:highlight w:val="none"/>
          <w:u w:val="single"/>
          <w:lang w:val="en-US" w:eastAsia="zh-CN"/>
        </w:rPr>
      </w:pPr>
      <w:r>
        <w:rPr>
          <w:rFonts w:hint="eastAsia" w:ascii="宋体" w:hAnsi="宋体" w:eastAsia="宋体" w:cs="宋体"/>
          <w:sz w:val="24"/>
          <w:highlight w:val="none"/>
        </w:rPr>
        <w:t>本合同</w:t>
      </w:r>
      <w:r>
        <w:rPr>
          <w:rFonts w:hint="eastAsia" w:ascii="宋体" w:hAnsi="宋体" w:eastAsia="宋体" w:cs="宋体"/>
          <w:sz w:val="24"/>
          <w:highlight w:val="none"/>
          <w:lang w:val="en-US" w:eastAsia="zh-CN"/>
        </w:rPr>
        <w:t>暂定</w:t>
      </w:r>
      <w:r>
        <w:rPr>
          <w:rFonts w:hint="eastAsia" w:ascii="宋体" w:hAnsi="宋体" w:eastAsia="宋体" w:cs="宋体"/>
          <w:sz w:val="24"/>
          <w:highlight w:val="none"/>
        </w:rPr>
        <w:t>总价（含税）为：￥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r>
        <w:rPr>
          <w:rFonts w:hint="eastAsia" w:ascii="宋体" w:hAnsi="宋体" w:eastAsia="宋体" w:cs="宋体"/>
          <w:i w:val="0"/>
          <w:iCs w:val="0"/>
          <w:sz w:val="24"/>
          <w:highlight w:val="none"/>
          <w:u w:val="none"/>
          <w:lang w:val="en-US" w:eastAsia="zh-CN"/>
        </w:rPr>
        <w:t>。</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b/>
          <w:highlight w:val="none"/>
        </w:rPr>
      </w:pPr>
      <w:bookmarkStart w:id="198" w:name="_Toc22618"/>
      <w:bookmarkStart w:id="199" w:name="_Toc1814"/>
      <w:bookmarkStart w:id="200" w:name="_Toc10340"/>
      <w:r>
        <w:rPr>
          <w:rFonts w:hint="eastAsia" w:ascii="宋体" w:hAnsi="宋体" w:eastAsia="宋体" w:cs="宋体"/>
          <w:b/>
          <w:highlight w:val="none"/>
        </w:rPr>
        <w:t>1.4履约保证金</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highlight w:val="none"/>
        </w:rPr>
      </w:pPr>
      <w:r>
        <w:rPr>
          <w:rFonts w:hint="eastAsia" w:ascii="宋体" w:hAnsi="宋体" w:eastAsia="宋体" w:cs="宋体"/>
          <w:highlight w:val="none"/>
        </w:rPr>
        <w:t>乙方</w:t>
      </w:r>
      <w:r>
        <w:rPr>
          <w:rFonts w:hint="eastAsia" w:ascii="宋体" w:hAnsi="宋体" w:eastAsia="宋体" w:cs="宋体"/>
          <w:highlight w:val="none"/>
          <w:u w:val="single"/>
        </w:rPr>
        <w:t xml:space="preserve"> </w:t>
      </w:r>
      <w:r>
        <w:rPr>
          <w:rFonts w:hint="eastAsia"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需要支付履约保证金。若需要支付履约保证金的，则：</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1.4.1履约保证金的比例为合同金额的</w:t>
      </w:r>
      <w:r>
        <w:rPr>
          <w:rFonts w:hint="eastAsia" w:ascii="宋体" w:hAnsi="宋体" w:eastAsia="宋体" w:cs="宋体"/>
          <w:i w:val="0"/>
          <w:iCs w:val="0"/>
          <w:kern w:val="0"/>
          <w:sz w:val="24"/>
          <w:highlight w:val="none"/>
          <w:u w:val="single"/>
        </w:rPr>
        <w:t xml:space="preserve"> </w:t>
      </w:r>
      <w:r>
        <w:rPr>
          <w:rFonts w:hint="eastAsia" w:ascii="宋体" w:hAnsi="宋体" w:cs="宋体"/>
          <w:i w:val="0"/>
          <w:iCs w:val="0"/>
          <w:kern w:val="0"/>
          <w:sz w:val="24"/>
          <w:highlight w:val="none"/>
          <w:u w:val="single"/>
          <w:lang w:val="en-US" w:eastAsia="zh-CN"/>
        </w:rPr>
        <w:t xml:space="preserve"> </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1.4.2履约保证金支付方式详见</w:t>
      </w:r>
      <w:r>
        <w:rPr>
          <w:rFonts w:hint="eastAsia" w:ascii="宋体" w:hAnsi="宋体" w:eastAsia="宋体" w:cs="宋体"/>
          <w:i w:val="0"/>
          <w:iCs w:val="0"/>
          <w:kern w:val="0"/>
          <w:sz w:val="24"/>
          <w:highlight w:val="none"/>
          <w:u w:val="single"/>
        </w:rPr>
        <w:t xml:space="preserve">    </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pPr>
        <w:pageBreakBefore w:val="0"/>
        <w:numPr>
          <w:ilvl w:val="0"/>
          <w:numId w:val="0"/>
        </w:numPr>
        <w:tabs>
          <w:tab w:val="left" w:pos="0"/>
        </w:tabs>
        <w:kinsoku/>
        <w:wordWrap/>
        <w:overflowPunct/>
        <w:topLinePunct w:val="0"/>
        <w:bidi w:val="0"/>
        <w:snapToGrid/>
        <w:spacing w:line="336" w:lineRule="auto"/>
        <w:ind w:left="420" w:leftChars="200"/>
        <w:textAlignment w:val="auto"/>
        <w:outlineLvl w:val="9"/>
        <w:rPr>
          <w:rFonts w:hint="eastAsia" w:ascii="宋体" w:hAnsi="宋体" w:eastAsia="宋体" w:cs="宋体"/>
          <w:i w:val="0"/>
          <w:iCs w:val="0"/>
          <w:highlight w:val="none"/>
          <w:lang w:val="en-US"/>
        </w:rPr>
      </w:pPr>
      <w:r>
        <w:rPr>
          <w:rFonts w:hint="eastAsia" w:ascii="宋体" w:hAnsi="宋体" w:eastAsia="宋体" w:cs="宋体"/>
          <w:b w:val="0"/>
          <w:bCs w:val="0"/>
          <w:i w:val="0"/>
          <w:i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highlight w:val="none"/>
        </w:rPr>
      </w:pPr>
      <w:r>
        <w:rPr>
          <w:rFonts w:hint="eastAsia" w:ascii="宋体" w:hAnsi="宋体" w:eastAsia="宋体" w:cs="宋体"/>
          <w:i w:val="0"/>
          <w:iCs w:val="0"/>
          <w:kern w:val="0"/>
          <w:sz w:val="24"/>
          <w:highlight w:val="none"/>
        </w:rPr>
        <w:t xml:space="preserve">1.4.4 </w:t>
      </w:r>
      <w:r>
        <w:rPr>
          <w:rFonts w:hint="eastAsia" w:ascii="宋体" w:hAnsi="宋体" w:eastAsia="宋体" w:cs="宋体"/>
          <w:i w:val="0"/>
          <w:iCs w:val="0"/>
          <w:kern w:val="0"/>
          <w:sz w:val="24"/>
          <w:highlight w:val="none"/>
          <w:lang w:val="en-US" w:eastAsia="zh-CN"/>
        </w:rPr>
        <w:t>履约保证金在乙方完成合同履约后在7个工作日内无息退还（但如乙方未能履行合同规定的任何义务，甲方有权扣除相应履约保证金）。</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i w:val="0"/>
          <w:iCs w:val="0"/>
          <w:sz w:val="24"/>
          <w:highlight w:val="none"/>
        </w:rPr>
      </w:pPr>
      <w:r>
        <w:rPr>
          <w:rFonts w:hint="eastAsia" w:ascii="宋体" w:hAnsi="宋体" w:eastAsia="宋体" w:cs="宋体"/>
          <w:b/>
          <w:i w:val="0"/>
          <w:iCs w:val="0"/>
          <w:sz w:val="24"/>
          <w:highlight w:val="none"/>
        </w:rPr>
        <w:t>1.5</w:t>
      </w:r>
      <w:bookmarkEnd w:id="198"/>
      <w:bookmarkEnd w:id="199"/>
      <w:bookmarkEnd w:id="200"/>
      <w:r>
        <w:rPr>
          <w:rFonts w:hint="eastAsia" w:ascii="宋体" w:hAnsi="宋体" w:eastAsia="宋体" w:cs="宋体"/>
          <w:b/>
          <w:i w:val="0"/>
          <w:iCs w:val="0"/>
          <w:sz w:val="24"/>
          <w:highlight w:val="none"/>
        </w:rPr>
        <w:t>预付款</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i w:val="0"/>
          <w:iCs w:val="0"/>
          <w:highlight w:val="none"/>
        </w:rPr>
      </w:pPr>
      <w:r>
        <w:rPr>
          <w:rFonts w:hint="eastAsia" w:ascii="宋体" w:hAnsi="宋体" w:eastAsia="宋体" w:cs="宋体"/>
          <w:i w:val="0"/>
          <w:iCs w:val="0"/>
          <w:highlight w:val="none"/>
        </w:rPr>
        <w:t>甲方</w:t>
      </w:r>
      <w:r>
        <w:rPr>
          <w:rFonts w:hint="eastAsia" w:ascii="宋体" w:hAnsi="宋体" w:eastAsia="宋体" w:cs="宋体"/>
          <w:i w:val="0"/>
          <w:iCs w:val="0"/>
          <w:highlight w:val="none"/>
          <w:u w:val="single"/>
        </w:rPr>
        <w:t xml:space="preserve"> 是  </w:t>
      </w:r>
      <w:r>
        <w:rPr>
          <w:rFonts w:hint="eastAsia" w:ascii="宋体" w:hAnsi="宋体" w:eastAsia="宋体" w:cs="宋体"/>
          <w:i w:val="0"/>
          <w:iCs w:val="0"/>
          <w:highlight w:val="none"/>
        </w:rPr>
        <w:t>需要支付预付款。若需要支付预付款的，则：</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1.5.1预付款比例、支付方式、时间详见</w:t>
      </w:r>
      <w:r>
        <w:rPr>
          <w:rFonts w:hint="eastAsia" w:ascii="宋体" w:hAnsi="宋体" w:eastAsia="宋体" w:cs="宋体"/>
          <w:i w:val="0"/>
          <w:iCs w:val="0"/>
          <w:kern w:val="0"/>
          <w:sz w:val="24"/>
          <w:highlight w:val="none"/>
          <w:u w:val="single"/>
        </w:rPr>
        <w:t xml:space="preserve">    </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i w:val="0"/>
          <w:iCs w:val="0"/>
          <w:highlight w:val="none"/>
        </w:rPr>
      </w:pPr>
      <w:r>
        <w:rPr>
          <w:rFonts w:hint="eastAsia" w:ascii="宋体" w:hAnsi="宋体" w:eastAsia="宋体" w:cs="宋体"/>
          <w:i w:val="0"/>
          <w:iCs w:val="0"/>
          <w:highlight w:val="none"/>
        </w:rPr>
        <w:t>1.5.2预付款的扣回方式详见</w:t>
      </w:r>
      <w:r>
        <w:rPr>
          <w:rFonts w:hint="eastAsia" w:ascii="宋体" w:hAnsi="宋体" w:eastAsia="宋体" w:cs="宋体"/>
          <w:i w:val="0"/>
          <w:iCs w:val="0"/>
          <w:highlight w:val="none"/>
          <w:u w:val="single"/>
        </w:rPr>
        <w:t xml:space="preserve">    </w:t>
      </w:r>
      <w:r>
        <w:rPr>
          <w:rFonts w:hint="eastAsia" w:ascii="宋体" w:hAnsi="宋体" w:eastAsia="宋体" w:cs="宋体"/>
          <w:b/>
          <w:i w:val="0"/>
          <w:iCs w:val="0"/>
          <w:highlight w:val="none"/>
          <w:u w:val="single"/>
        </w:rPr>
        <w:t>合同专用条款</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i w:val="0"/>
          <w:iCs w:val="0"/>
          <w:highlight w:val="none"/>
          <w:u w:val="single"/>
        </w:rPr>
      </w:pPr>
      <w:r>
        <w:rPr>
          <w:rFonts w:hint="eastAsia" w:ascii="宋体" w:hAnsi="宋体" w:eastAsia="宋体" w:cs="宋体"/>
          <w:i w:val="0"/>
          <w:iCs w:val="0"/>
          <w:highlight w:val="none"/>
        </w:rPr>
        <w:t>1.5.3预付款的担保措施详见</w:t>
      </w:r>
      <w:r>
        <w:rPr>
          <w:rFonts w:hint="eastAsia" w:ascii="宋体" w:hAnsi="宋体" w:eastAsia="宋体" w:cs="宋体"/>
          <w:i w:val="0"/>
          <w:iCs w:val="0"/>
          <w:highlight w:val="none"/>
          <w:u w:val="single"/>
        </w:rPr>
        <w:t xml:space="preserve">    </w:t>
      </w:r>
      <w:r>
        <w:rPr>
          <w:rFonts w:hint="eastAsia" w:ascii="宋体" w:hAnsi="宋体" w:eastAsia="宋体" w:cs="宋体"/>
          <w:b/>
          <w:i w:val="0"/>
          <w:iCs w:val="0"/>
          <w:highlight w:val="none"/>
          <w:u w:val="single"/>
        </w:rPr>
        <w:t>合同专用条款</w:t>
      </w:r>
      <w:r>
        <w:rPr>
          <w:rFonts w:hint="eastAsia" w:ascii="宋体" w:hAnsi="宋体" w:eastAsia="宋体" w:cs="宋体"/>
          <w:i w:val="0"/>
          <w:iCs w:val="0"/>
          <w:highlight w:val="none"/>
          <w:u w:val="single"/>
        </w:rPr>
        <w:t xml:space="preserve">          </w:t>
      </w:r>
      <w:r>
        <w:rPr>
          <w:rFonts w:hint="eastAsia" w:ascii="宋体" w:hAnsi="宋体" w:eastAsia="宋体" w:cs="宋体"/>
          <w:i w:val="0"/>
          <w:iCs w:val="0"/>
          <w:highlight w:val="none"/>
        </w:rPr>
        <w:t>。</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b/>
          <w:bCs/>
          <w:highlight w:val="none"/>
        </w:rPr>
      </w:pPr>
      <w:r>
        <w:rPr>
          <w:rFonts w:hint="eastAsia" w:ascii="宋体" w:hAnsi="宋体" w:eastAsia="宋体" w:cs="宋体"/>
          <w:b/>
          <w:bCs/>
          <w:highlight w:val="none"/>
        </w:rPr>
        <w:t>1.6资金支付</w:t>
      </w:r>
    </w:p>
    <w:p>
      <w:pPr>
        <w:pStyle w:val="631"/>
        <w:pageBreakBefore w:val="0"/>
        <w:kinsoku/>
        <w:wordWrap/>
        <w:overflowPunct/>
        <w:topLinePunct w:val="0"/>
        <w:bidi w:val="0"/>
        <w:snapToGrid/>
        <w:spacing w:before="0" w:beforeAutospacing="0" w:after="0" w:afterAutospacing="0" w:line="336" w:lineRule="auto"/>
        <w:ind w:firstLine="480"/>
        <w:textAlignment w:val="auto"/>
        <w:outlineLvl w:val="9"/>
        <w:rPr>
          <w:rFonts w:hint="eastAsia" w:ascii="宋体" w:hAnsi="宋体" w:eastAsia="宋体" w:cs="宋体"/>
          <w:i w:val="0"/>
          <w:iCs w:val="0"/>
          <w:highlight w:val="none"/>
        </w:rPr>
      </w:pPr>
      <w:r>
        <w:rPr>
          <w:rFonts w:hint="eastAsia" w:ascii="宋体" w:hAnsi="宋体" w:eastAsia="宋体" w:cs="宋体"/>
          <w:i w:val="0"/>
          <w:iCs w:val="0"/>
          <w:highlight w:val="none"/>
        </w:rPr>
        <w:t>1.6.1甲方应严格履行合同，及时组织验收，验收合格后及时将合同款支付完毕。对于满足合同约定支付条件的，甲方自收到发票后</w:t>
      </w:r>
      <w:r>
        <w:rPr>
          <w:rFonts w:hint="eastAsia" w:cs="宋体"/>
          <w:i w:val="0"/>
          <w:iCs w:val="0"/>
          <w:highlight w:val="none"/>
          <w:lang w:val="en-US" w:eastAsia="zh-CN"/>
        </w:rPr>
        <w:t>7</w:t>
      </w:r>
      <w:r>
        <w:rPr>
          <w:rFonts w:hint="eastAsia" w:ascii="宋体" w:hAnsi="宋体" w:eastAsia="宋体" w:cs="宋体"/>
          <w:i w:val="0"/>
          <w:iCs w:val="0"/>
          <w:highlight w:val="none"/>
        </w:rPr>
        <w:t>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1.6.2资金支付的方式、时间和条件详见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i w:val="0"/>
          <w:iCs w:val="0"/>
          <w:sz w:val="24"/>
          <w:highlight w:val="none"/>
        </w:rPr>
      </w:pPr>
      <w:bookmarkStart w:id="201" w:name="_Toc32071"/>
      <w:bookmarkStart w:id="202" w:name="_Toc2846"/>
      <w:bookmarkStart w:id="203" w:name="_Toc19304"/>
      <w:r>
        <w:rPr>
          <w:rFonts w:hint="eastAsia" w:ascii="宋体" w:hAnsi="宋体" w:eastAsia="宋体" w:cs="宋体"/>
          <w:b/>
          <w:i w:val="0"/>
          <w:iCs w:val="0"/>
          <w:sz w:val="24"/>
          <w:highlight w:val="none"/>
        </w:rPr>
        <w:t>1.7货物交付期限、地点和方式</w:t>
      </w:r>
      <w:bookmarkEnd w:id="201"/>
      <w:bookmarkEnd w:id="202"/>
      <w:bookmarkEnd w:id="203"/>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sz w:val="24"/>
          <w:highlight w:val="none"/>
          <w:u w:val="single"/>
        </w:rPr>
      </w:pPr>
      <w:r>
        <w:rPr>
          <w:rFonts w:hint="eastAsia" w:ascii="宋体" w:hAnsi="宋体" w:eastAsia="宋体" w:cs="宋体"/>
          <w:i w:val="0"/>
          <w:iCs w:val="0"/>
          <w:sz w:val="24"/>
          <w:highlight w:val="none"/>
        </w:rPr>
        <w:t>1.7.1 交付期限：详见</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1.7.2 交付地点：</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1.7.3 交付方式：</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sz w:val="24"/>
          <w:highlight w:val="none"/>
        </w:rPr>
      </w:pPr>
      <w:bookmarkStart w:id="204" w:name="_Toc21423"/>
      <w:bookmarkStart w:id="205" w:name="_Toc19554"/>
      <w:bookmarkStart w:id="206" w:name="_Toc27250"/>
      <w:r>
        <w:rPr>
          <w:rFonts w:hint="eastAsia" w:ascii="宋体" w:hAnsi="宋体" w:eastAsia="宋体" w:cs="宋体"/>
          <w:b/>
          <w:sz w:val="24"/>
          <w:highlight w:val="none"/>
        </w:rPr>
        <w:t>1.8违约责任</w:t>
      </w:r>
      <w:bookmarkEnd w:id="204"/>
      <w:bookmarkEnd w:id="205"/>
      <w:bookmarkEnd w:id="206"/>
    </w:p>
    <w:p>
      <w:pPr>
        <w:keepNext w:val="0"/>
        <w:keepLines w:val="0"/>
        <w:pageBreakBefore w:val="0"/>
        <w:kinsoku/>
        <w:wordWrap/>
        <w:overflowPunct/>
        <w:topLinePunct w:val="0"/>
        <w:bidi w:val="0"/>
        <w:snapToGrid/>
        <w:spacing w:line="336"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336"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336"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336"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336"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bidi w:val="0"/>
        <w:snapToGrid/>
        <w:spacing w:line="336" w:lineRule="auto"/>
        <w:ind w:left="-420" w:leftChars="-200" w:right="-420" w:rightChars="-200" w:firstLine="960" w:firstLineChars="400"/>
        <w:textAlignment w:val="auto"/>
        <w:outlineLvl w:val="9"/>
        <w:rPr>
          <w:rFonts w:hint="eastAsia" w:ascii="宋体" w:hAnsi="宋体" w:eastAsia="宋体" w:cs="宋体"/>
          <w:i w:val="0"/>
          <w:iCs w:val="0"/>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i w:val="0"/>
          <w:iCs w:val="0"/>
          <w:sz w:val="24"/>
          <w:highlight w:val="none"/>
        </w:rPr>
      </w:pPr>
      <w:bookmarkStart w:id="207" w:name="_Toc15583"/>
      <w:bookmarkStart w:id="208" w:name="_Toc28375"/>
      <w:bookmarkStart w:id="209" w:name="_Toc16021"/>
      <w:r>
        <w:rPr>
          <w:rFonts w:hint="eastAsia" w:ascii="宋体" w:hAnsi="宋体" w:eastAsia="宋体" w:cs="宋体"/>
          <w:b/>
          <w:i w:val="0"/>
          <w:iCs w:val="0"/>
          <w:sz w:val="24"/>
          <w:highlight w:val="none"/>
        </w:rPr>
        <w:t>1.9合同争议的解决</w:t>
      </w:r>
      <w:bookmarkEnd w:id="207"/>
      <w:bookmarkEnd w:id="208"/>
      <w:bookmarkEnd w:id="209"/>
    </w:p>
    <w:p>
      <w:pPr>
        <w:pageBreakBefore w:val="0"/>
        <w:kinsoku/>
        <w:wordWrap/>
        <w:overflowPunct/>
        <w:topLinePunct w:val="0"/>
        <w:bidi w:val="0"/>
        <w:snapToGrid/>
        <w:spacing w:line="336" w:lineRule="auto"/>
        <w:ind w:left="-61" w:leftChars="-29" w:right="-420" w:rightChars="-200" w:firstLine="240" w:firstLineChars="100"/>
        <w:textAlignment w:val="auto"/>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val="0"/>
          <w:iCs w:val="0"/>
          <w:sz w:val="24"/>
          <w:highlight w:val="none"/>
          <w:u w:val="single"/>
        </w:rPr>
        <w:t xml:space="preserve">      </w:t>
      </w:r>
      <w:r>
        <w:rPr>
          <w:rFonts w:hint="eastAsia" w:ascii="宋体" w:hAnsi="宋体" w:eastAsia="宋体" w:cs="宋体"/>
          <w:i w:val="0"/>
          <w:iCs w:val="0"/>
          <w:sz w:val="24"/>
          <w:highlight w:val="none"/>
        </w:rPr>
        <w:t>条款规定的方式解决：</w:t>
      </w:r>
    </w:p>
    <w:p>
      <w:pPr>
        <w:pageBreakBefore w:val="0"/>
        <w:kinsoku/>
        <w:wordWrap/>
        <w:overflowPunct/>
        <w:topLinePunct w:val="0"/>
        <w:bidi w:val="0"/>
        <w:snapToGrid/>
        <w:spacing w:line="336" w:lineRule="auto"/>
        <w:ind w:left="-420" w:leftChars="-200" w:right="-420" w:rightChars="-200" w:firstLine="840" w:firstLineChars="350"/>
        <w:textAlignment w:val="auto"/>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1.9.1 将争议提交</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仲裁委员会依申请仲裁时其现行有效的仲裁规则裁决；</w:t>
      </w:r>
    </w:p>
    <w:p>
      <w:pPr>
        <w:pageBreakBefore w:val="0"/>
        <w:kinsoku/>
        <w:wordWrap/>
        <w:overflowPunct/>
        <w:topLinePunct w:val="0"/>
        <w:bidi w:val="0"/>
        <w:snapToGrid/>
        <w:spacing w:line="336" w:lineRule="auto"/>
        <w:ind w:left="-420" w:leftChars="-200" w:right="-420" w:rightChars="-200" w:firstLine="840" w:firstLineChars="350"/>
        <w:textAlignment w:val="auto"/>
        <w:outlineLvl w:val="9"/>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1.9.2 向</w:t>
      </w:r>
      <w:r>
        <w:rPr>
          <w:rFonts w:hint="eastAsia" w:ascii="宋体" w:hAnsi="宋体" w:eastAsia="宋体" w:cs="宋体"/>
          <w:b/>
          <w:i w:val="0"/>
          <w:iCs w:val="0"/>
          <w:sz w:val="24"/>
          <w:highlight w:val="none"/>
          <w:u w:val="single"/>
        </w:rPr>
        <w:t>合同专用条款</w:t>
      </w:r>
      <w:r>
        <w:rPr>
          <w:rFonts w:hint="eastAsia" w:ascii="宋体" w:hAnsi="宋体" w:eastAsia="宋体" w:cs="宋体"/>
          <w:i w:val="0"/>
          <w:iCs w:val="0"/>
          <w:sz w:val="24"/>
          <w:highlight w:val="none"/>
        </w:rPr>
        <w:t>人民法院起诉。</w:t>
      </w:r>
    </w:p>
    <w:p>
      <w:pPr>
        <w:pageBreakBefore w:val="0"/>
        <w:kinsoku/>
        <w:wordWrap/>
        <w:overflowPunct/>
        <w:topLinePunct w:val="0"/>
        <w:bidi w:val="0"/>
        <w:snapToGrid/>
        <w:spacing w:line="336" w:lineRule="auto"/>
        <w:ind w:firstLine="482" w:firstLineChars="200"/>
        <w:textAlignment w:val="auto"/>
        <w:outlineLvl w:val="9"/>
        <w:rPr>
          <w:rFonts w:hint="eastAsia" w:ascii="宋体" w:hAnsi="宋体" w:eastAsia="宋体" w:cs="宋体"/>
          <w:b/>
          <w:i w:val="0"/>
          <w:iCs w:val="0"/>
          <w:sz w:val="24"/>
          <w:highlight w:val="none"/>
        </w:rPr>
      </w:pPr>
      <w:bookmarkStart w:id="210" w:name="_Toc7245"/>
      <w:bookmarkStart w:id="211" w:name="_Toc15322"/>
      <w:bookmarkStart w:id="212" w:name="_Toc11173"/>
      <w:r>
        <w:rPr>
          <w:rFonts w:hint="eastAsia" w:ascii="宋体" w:hAnsi="宋体" w:eastAsia="宋体" w:cs="宋体"/>
          <w:b/>
          <w:i w:val="0"/>
          <w:iCs w:val="0"/>
          <w:sz w:val="24"/>
          <w:highlight w:val="none"/>
        </w:rPr>
        <w:t>2.0 合同生效</w:t>
      </w:r>
      <w:bookmarkEnd w:id="210"/>
      <w:bookmarkEnd w:id="211"/>
      <w:bookmarkEnd w:id="212"/>
    </w:p>
    <w:p>
      <w:pPr>
        <w:pageBreakBefore w:val="0"/>
        <w:kinsoku/>
        <w:wordWrap/>
        <w:overflowPunct/>
        <w:topLinePunct w:val="0"/>
        <w:bidi w:val="0"/>
        <w:snapToGrid/>
        <w:spacing w:line="336" w:lineRule="auto"/>
        <w:ind w:firstLine="480" w:firstLineChars="200"/>
        <w:textAlignment w:val="auto"/>
        <w:outlineLvl w:val="9"/>
        <w:rPr>
          <w:rFonts w:hint="eastAsia" w:ascii="宋体" w:hAnsi="宋体" w:eastAsia="宋体" w:cs="宋体"/>
          <w:i w:val="0"/>
          <w:iCs w:val="0"/>
          <w:sz w:val="24"/>
          <w:highlight w:val="none"/>
          <w:lang w:val="zh-CN"/>
        </w:rPr>
      </w:pPr>
      <w:r>
        <w:rPr>
          <w:rFonts w:hint="eastAsia" w:ascii="宋体" w:hAnsi="宋体" w:eastAsia="宋体" w:cs="宋体"/>
          <w:i w:val="0"/>
          <w:iCs w:val="0"/>
          <w:sz w:val="24"/>
          <w:highlight w:val="none"/>
        </w:rPr>
        <w:t>本合同自双方当事人盖章签字时生效。</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b/>
          <w:sz w:val="24"/>
          <w:highlight w:val="none"/>
          <w:lang w:val="zh-CN"/>
        </w:rPr>
      </w:pP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pPr>
        <w:pageBreakBefore w:val="0"/>
        <w:kinsoku/>
        <w:wordWrap/>
        <w:overflowPunct/>
        <w:topLinePunct w:val="0"/>
        <w:autoSpaceDE w:val="0"/>
        <w:autoSpaceDN w:val="0"/>
        <w:bidi w:val="0"/>
        <w:snapToGrid/>
        <w:spacing w:line="336"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pPr>
        <w:pageBreakBefore w:val="0"/>
        <w:numPr>
          <w:ilvl w:val="0"/>
          <w:numId w:val="0"/>
        </w:numPr>
        <w:tabs>
          <w:tab w:val="left" w:pos="432"/>
        </w:tabs>
        <w:kinsoku/>
        <w:wordWrap/>
        <w:overflowPunct/>
        <w:topLinePunct w:val="0"/>
        <w:bidi w:val="0"/>
        <w:snapToGrid/>
        <w:spacing w:line="336" w:lineRule="auto"/>
        <w:textAlignment w:val="auto"/>
        <w:outlineLvl w:val="9"/>
        <w:rPr>
          <w:rFonts w:hint="eastAsia" w:ascii="宋体" w:hAnsi="宋体" w:eastAsia="宋体" w:cs="宋体"/>
          <w:sz w:val="24"/>
          <w:highlight w:val="none"/>
        </w:rPr>
      </w:pPr>
    </w:p>
    <w:p>
      <w:pPr>
        <w:pageBreakBefore w:val="0"/>
        <w:numPr>
          <w:ilvl w:val="0"/>
          <w:numId w:val="0"/>
        </w:numPr>
        <w:tabs>
          <w:tab w:val="left" w:pos="432"/>
        </w:tabs>
        <w:kinsoku/>
        <w:wordWrap/>
        <w:overflowPunct/>
        <w:topLinePunct w:val="0"/>
        <w:bidi w:val="0"/>
        <w:snapToGrid/>
        <w:spacing w:line="336" w:lineRule="auto"/>
        <w:textAlignment w:val="auto"/>
        <w:outlineLvl w:val="9"/>
        <w:rPr>
          <w:rFonts w:hint="eastAsia" w:ascii="宋体" w:hAnsi="宋体" w:eastAsia="宋体" w:cs="宋体"/>
          <w:sz w:val="24"/>
          <w:highlight w:val="none"/>
        </w:rPr>
      </w:pPr>
    </w:p>
    <w:p>
      <w:pPr>
        <w:keepNext w:val="0"/>
        <w:keepLines w:val="0"/>
        <w:pageBreakBefore w:val="0"/>
        <w:kinsoku/>
        <w:wordWrap/>
        <w:overflowPunct/>
        <w:topLinePunct w:val="0"/>
        <w:autoSpaceDE w:val="0"/>
        <w:autoSpaceDN w:val="0"/>
        <w:bidi w:val="0"/>
        <w:snapToGrid/>
        <w:spacing w:line="336"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见证方：</w:t>
      </w:r>
      <w:r>
        <w:rPr>
          <w:rFonts w:hint="eastAsia" w:ascii="宋体" w:hAnsi="宋体" w:cs="宋体"/>
          <w:sz w:val="24"/>
          <w:highlight w:val="none"/>
          <w:lang w:val="en-US" w:eastAsia="zh-CN"/>
        </w:rPr>
        <w:t>宁波中基国际招标有限公司</w:t>
      </w:r>
    </w:p>
    <w:p>
      <w:pPr>
        <w:kinsoku/>
        <w:wordWrap/>
        <w:overflowPunct/>
        <w:topLinePunct w:val="0"/>
        <w:bidi w:val="0"/>
        <w:outlineLvl w:val="9"/>
        <w:rPr>
          <w:rFonts w:hint="eastAsia" w:ascii="宋体" w:hAnsi="宋体" w:eastAsia="宋体" w:cs="宋体"/>
          <w:sz w:val="24"/>
          <w:highlight w:val="none"/>
        </w:rPr>
      </w:pPr>
    </w:p>
    <w:p>
      <w:pPr>
        <w:kinsoku/>
        <w:wordWrap/>
        <w:overflowPunct/>
        <w:topLinePunct w:val="0"/>
        <w:bidi w:val="0"/>
        <w:outlineLvl w:val="9"/>
        <w:rPr>
          <w:rFonts w:hint="eastAsia" w:ascii="宋体" w:hAnsi="宋体" w:eastAsia="宋体" w:cs="宋体"/>
          <w:b/>
          <w:szCs w:val="24"/>
          <w:highlight w:val="none"/>
        </w:rPr>
      </w:pPr>
      <w:r>
        <w:rPr>
          <w:rFonts w:hint="eastAsia" w:ascii="宋体" w:hAnsi="宋体" w:eastAsia="宋体" w:cs="宋体"/>
          <w:b/>
          <w:szCs w:val="24"/>
          <w:highlight w:val="none"/>
        </w:rPr>
        <w:br w:type="page"/>
      </w:r>
    </w:p>
    <w:p>
      <w:pPr>
        <w:pStyle w:val="283"/>
        <w:kinsoku/>
        <w:wordWrap/>
        <w:overflowPunct/>
        <w:topLinePunct w:val="0"/>
        <w:bidi w:val="0"/>
        <w:spacing w:line="560" w:lineRule="exact"/>
        <w:ind w:firstLine="482"/>
        <w:jc w:val="center"/>
        <w:outlineLvl w:val="9"/>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13" w:name="_Ref467379101"/>
      <w:bookmarkStart w:id="214" w:name="_Ref467378463"/>
      <w:bookmarkStart w:id="215" w:name="_Toc279701240"/>
      <w:bookmarkStart w:id="216" w:name="_Ref467379214"/>
      <w:bookmarkStart w:id="217" w:name="_Toc28763"/>
      <w:bookmarkStart w:id="218" w:name="_Toc259093669"/>
      <w:bookmarkStart w:id="219" w:name="_Ref467378404"/>
      <w:bookmarkStart w:id="220" w:name="_Ref467379205"/>
      <w:bookmarkStart w:id="221" w:name="_Ref467379195"/>
      <w:bookmarkStart w:id="222" w:name="_Toc16917"/>
      <w:bookmarkStart w:id="223" w:name="_Ref467379094"/>
      <w:bookmarkStart w:id="224" w:name="_Ref467378499"/>
      <w:bookmarkStart w:id="225" w:name="_Ref467379225"/>
      <w:bookmarkStart w:id="226" w:name="_Toc19614"/>
      <w:bookmarkStart w:id="227" w:name="_Toc487900349"/>
      <w:bookmarkStart w:id="228" w:name="_Ref467379109"/>
      <w:r>
        <w:rPr>
          <w:rFonts w:hint="eastAsia" w:ascii="宋体" w:hAnsi="宋体" w:eastAsia="宋体" w:cs="宋体"/>
          <w:b/>
          <w:sz w:val="24"/>
          <w:highlight w:val="none"/>
        </w:rPr>
        <w:t>2.1 定义</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“合同”系指采购人和中标或成交供应商签订的载明双方当事人所达成的协议，并包括所有的附件、附录和构成合同的其他文件。</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“合同价”系指根据合同约定，中标或成交供应商在完全履行合同义务后，采购人应支付给中标或成交供应商的价格。</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bookmarkStart w:id="229" w:name="_Ref467378840"/>
      <w:r>
        <w:rPr>
          <w:rFonts w:hint="eastAsia" w:ascii="宋体" w:hAnsi="宋体" w:eastAsia="宋体" w:cs="宋体"/>
          <w:sz w:val="24"/>
          <w:highlight w:val="none"/>
        </w:rPr>
        <w:t>2.1.4 “甲方”系指与中标或成交供应商签署合同的采购人</w:t>
      </w:r>
      <w:bookmarkEnd w:id="229"/>
      <w:r>
        <w:rPr>
          <w:rFonts w:hint="eastAsia" w:ascii="宋体" w:hAnsi="宋体" w:eastAsia="宋体" w:cs="宋体"/>
          <w:sz w:val="24"/>
          <w:highlight w:val="none"/>
        </w:rPr>
        <w:t>；采购人委托采购代理机构代表其与乙方签订合同的，采购人的授权委托书作为合同附件。</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bookmarkStart w:id="230" w:name="_Ref467379400"/>
      <w:r>
        <w:rPr>
          <w:rFonts w:hint="eastAsia" w:ascii="宋体" w:hAnsi="宋体" w:eastAsia="宋体" w:cs="宋体"/>
          <w:sz w:val="24"/>
          <w:highlight w:val="none"/>
        </w:rPr>
        <w:t>2.1.5 “乙方”系指根据合同约定交付货物的中标或成交供应商</w:t>
      </w:r>
      <w:bookmarkEnd w:id="230"/>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bookmarkStart w:id="231" w:name="_Ref467379436"/>
      <w:r>
        <w:rPr>
          <w:rFonts w:hint="eastAsia" w:ascii="宋体" w:hAnsi="宋体" w:eastAsia="宋体" w:cs="宋体"/>
          <w:sz w:val="24"/>
          <w:highlight w:val="none"/>
        </w:rPr>
        <w:t>2.1.6 “现场”系指合同约定货物将要运至或者安装的地点。</w:t>
      </w:r>
      <w:bookmarkEnd w:id="231"/>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32" w:name="_Toc487900350"/>
      <w:bookmarkStart w:id="233" w:name="_Toc32504"/>
      <w:bookmarkStart w:id="234" w:name="_Toc259093670"/>
      <w:bookmarkStart w:id="235" w:name="_Toc279701241"/>
      <w:bookmarkStart w:id="236" w:name="_Toc13336"/>
      <w:bookmarkStart w:id="237" w:name="_Toc27635"/>
      <w:r>
        <w:rPr>
          <w:rFonts w:hint="eastAsia" w:ascii="宋体" w:hAnsi="宋体" w:eastAsia="宋体" w:cs="宋体"/>
          <w:b/>
          <w:sz w:val="24"/>
          <w:highlight w:val="none"/>
        </w:rPr>
        <w:t>2.2 技术规范</w:t>
      </w:r>
      <w:bookmarkEnd w:id="232"/>
      <w:bookmarkEnd w:id="233"/>
      <w:bookmarkEnd w:id="234"/>
      <w:bookmarkEnd w:id="235"/>
      <w:bookmarkEnd w:id="236"/>
      <w:bookmarkEnd w:id="237"/>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38" w:name="_Toc27853"/>
      <w:bookmarkStart w:id="239" w:name="_Toc279701242"/>
      <w:bookmarkStart w:id="240" w:name="_Toc31634"/>
      <w:bookmarkStart w:id="241" w:name="_Toc9829"/>
      <w:bookmarkStart w:id="242" w:name="_Toc487900351"/>
      <w:bookmarkStart w:id="243" w:name="_Toc259093671"/>
      <w:r>
        <w:rPr>
          <w:rFonts w:hint="eastAsia" w:ascii="宋体" w:hAnsi="宋体" w:eastAsia="宋体" w:cs="宋体"/>
          <w:b/>
          <w:sz w:val="24"/>
          <w:highlight w:val="none"/>
        </w:rPr>
        <w:t>2.3 知识产权</w:t>
      </w:r>
      <w:bookmarkEnd w:id="238"/>
      <w:bookmarkEnd w:id="239"/>
      <w:bookmarkEnd w:id="240"/>
      <w:bookmarkEnd w:id="241"/>
      <w:bookmarkEnd w:id="242"/>
      <w:bookmarkEnd w:id="243"/>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44" w:name="_Toc4194"/>
      <w:bookmarkStart w:id="245" w:name="_Toc29149"/>
      <w:bookmarkStart w:id="246" w:name="_Toc11932"/>
      <w:r>
        <w:rPr>
          <w:rFonts w:hint="eastAsia" w:ascii="宋体" w:hAnsi="宋体" w:eastAsia="宋体" w:cs="宋体"/>
          <w:b/>
          <w:sz w:val="24"/>
          <w:highlight w:val="none"/>
        </w:rPr>
        <w:t>2.4 包装和装运</w:t>
      </w:r>
      <w:bookmarkEnd w:id="244"/>
      <w:bookmarkEnd w:id="245"/>
      <w:bookmarkEnd w:id="246"/>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47" w:name="_Ref467379536"/>
      <w:bookmarkStart w:id="248" w:name="_Ref467379542"/>
      <w:bookmarkStart w:id="249" w:name="_Ref467378541"/>
      <w:bookmarkStart w:id="250" w:name="_Ref467379527"/>
      <w:bookmarkStart w:id="251" w:name="_Toc259093674"/>
      <w:bookmarkStart w:id="252" w:name="_Toc279701245"/>
      <w:bookmarkStart w:id="253" w:name="_Toc487900354"/>
      <w:bookmarkStart w:id="254" w:name="_Ref467378591"/>
      <w:bookmarkStart w:id="255" w:name="_Toc19074"/>
      <w:bookmarkStart w:id="256" w:name="_Toc26182"/>
      <w:bookmarkStart w:id="257" w:name="_Toc30272"/>
      <w:r>
        <w:rPr>
          <w:rFonts w:hint="eastAsia" w:ascii="宋体" w:hAnsi="宋体" w:eastAsia="宋体" w:cs="宋体"/>
          <w:b/>
          <w:sz w:val="24"/>
          <w:highlight w:val="none"/>
        </w:rPr>
        <w:t>2.</w:t>
      </w:r>
      <w:bookmarkEnd w:id="247"/>
      <w:bookmarkEnd w:id="248"/>
      <w:bookmarkEnd w:id="249"/>
      <w:bookmarkEnd w:id="250"/>
      <w:bookmarkEnd w:id="251"/>
      <w:bookmarkEnd w:id="252"/>
      <w:bookmarkEnd w:id="253"/>
      <w:bookmarkEnd w:id="254"/>
      <w:r>
        <w:rPr>
          <w:rFonts w:hint="eastAsia" w:ascii="宋体" w:hAnsi="宋体" w:eastAsia="宋体" w:cs="宋体"/>
          <w:b/>
          <w:sz w:val="24"/>
          <w:highlight w:val="none"/>
        </w:rPr>
        <w:t>5 履约检查和问题反馈</w:t>
      </w:r>
      <w:bookmarkEnd w:id="255"/>
      <w:bookmarkEnd w:id="256"/>
      <w:bookmarkEnd w:id="257"/>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bookmarkStart w:id="258" w:name="_Ref467379657"/>
      <w:r>
        <w:rPr>
          <w:rFonts w:hint="eastAsia" w:ascii="宋体" w:hAnsi="宋体" w:eastAsia="宋体" w:cs="宋体"/>
          <w:sz w:val="24"/>
          <w:highlight w:val="none"/>
        </w:rPr>
        <w:t>2.5.1</w:t>
      </w:r>
      <w:bookmarkEnd w:id="258"/>
      <w:bookmarkStart w:id="259" w:name="_Toc186431854"/>
      <w:bookmarkStart w:id="260" w:name="_Ref467379793"/>
      <w:bookmarkStart w:id="261" w:name="_Ref467379807"/>
      <w:bookmarkStart w:id="262" w:name="_Toc487900357"/>
      <w:bookmarkStart w:id="263" w:name="_Toc279701247"/>
      <w:bookmarkStart w:id="264" w:name="_Toc259093676"/>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259"/>
      <w:bookmarkStart w:id="265" w:name="_Toc186431855"/>
      <w:r>
        <w:rPr>
          <w:rFonts w:hint="eastAsia" w:ascii="宋体" w:hAnsi="宋体" w:eastAsia="宋体" w:cs="宋体"/>
          <w:sz w:val="24"/>
          <w:highlight w:val="none"/>
        </w:rPr>
        <w:t>。</w:t>
      </w:r>
    </w:p>
    <w:bookmarkEnd w:id="260"/>
    <w:bookmarkEnd w:id="261"/>
    <w:bookmarkEnd w:id="262"/>
    <w:bookmarkEnd w:id="263"/>
    <w:bookmarkEnd w:id="264"/>
    <w:bookmarkEnd w:id="265"/>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66" w:name="_Toc259093677"/>
      <w:bookmarkStart w:id="267" w:name="_Toc279701248"/>
      <w:bookmarkStart w:id="268" w:name="_Toc487900358"/>
      <w:bookmarkStart w:id="269" w:name="_Ref467379923"/>
      <w:bookmarkStart w:id="270" w:name="_Ref467379852"/>
      <w:bookmarkStart w:id="271" w:name="_Ref467379863"/>
      <w:bookmarkStart w:id="272" w:name="_Toc774"/>
      <w:bookmarkStart w:id="273" w:name="_Toc16110"/>
      <w:bookmarkStart w:id="274" w:name="_Toc3225"/>
      <w:r>
        <w:rPr>
          <w:rFonts w:hint="eastAsia" w:ascii="宋体" w:hAnsi="宋体" w:eastAsia="宋体" w:cs="宋体"/>
          <w:b/>
          <w:sz w:val="24"/>
          <w:highlight w:val="none"/>
        </w:rPr>
        <w:t>2.6 技术资料</w:t>
      </w:r>
      <w:bookmarkEnd w:id="266"/>
      <w:bookmarkEnd w:id="267"/>
      <w:bookmarkEnd w:id="268"/>
      <w:bookmarkEnd w:id="269"/>
      <w:bookmarkEnd w:id="270"/>
      <w:bookmarkEnd w:id="271"/>
      <w:r>
        <w:rPr>
          <w:rFonts w:hint="eastAsia" w:ascii="宋体" w:hAnsi="宋体" w:eastAsia="宋体" w:cs="宋体"/>
          <w:b/>
          <w:sz w:val="24"/>
          <w:highlight w:val="none"/>
        </w:rPr>
        <w:t>和保密义务</w:t>
      </w:r>
      <w:bookmarkEnd w:id="272"/>
      <w:bookmarkEnd w:id="273"/>
      <w:bookmarkEnd w:id="274"/>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75" w:name="_Toc7860"/>
      <w:r>
        <w:rPr>
          <w:rFonts w:hint="eastAsia" w:ascii="宋体" w:hAnsi="宋体" w:eastAsia="宋体" w:cs="宋体"/>
          <w:b/>
          <w:sz w:val="24"/>
          <w:highlight w:val="none"/>
        </w:rPr>
        <w:t>2.7 质量保证</w:t>
      </w:r>
      <w:bookmarkEnd w:id="275"/>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76" w:name="_Toc17244"/>
      <w:bookmarkStart w:id="277" w:name="_Toc487900362"/>
      <w:bookmarkStart w:id="278" w:name="_Toc259093681"/>
      <w:bookmarkStart w:id="279" w:name="_Toc279701252"/>
      <w:r>
        <w:rPr>
          <w:rFonts w:hint="eastAsia" w:ascii="宋体" w:hAnsi="宋体" w:eastAsia="宋体" w:cs="宋体"/>
          <w:b/>
          <w:sz w:val="24"/>
          <w:highlight w:val="none"/>
        </w:rPr>
        <w:t>2.8 货物的风险负担</w:t>
      </w:r>
      <w:bookmarkEnd w:id="276"/>
    </w:p>
    <w:p>
      <w:pPr>
        <w:kinsoku/>
        <w:wordWrap/>
        <w:overflowPunct/>
        <w:topLinePunct w:val="0"/>
        <w:bidi w:val="0"/>
        <w:spacing w:line="560" w:lineRule="exact"/>
        <w:ind w:firstLine="480" w:firstLineChars="200"/>
        <w:outlineLvl w:val="9"/>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80" w:name="_Toc14055"/>
      <w:r>
        <w:rPr>
          <w:rFonts w:hint="eastAsia" w:ascii="宋体" w:hAnsi="宋体" w:eastAsia="宋体" w:cs="宋体"/>
          <w:b/>
          <w:sz w:val="24"/>
          <w:highlight w:val="none"/>
        </w:rPr>
        <w:t>2.9 延迟交货</w:t>
      </w:r>
      <w:bookmarkEnd w:id="277"/>
      <w:bookmarkEnd w:id="278"/>
      <w:bookmarkEnd w:id="279"/>
      <w:bookmarkEnd w:id="280"/>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81" w:name="_Toc7502"/>
      <w:bookmarkStart w:id="282" w:name="_Toc279701254"/>
      <w:bookmarkStart w:id="283" w:name="_Toc487900364"/>
      <w:bookmarkStart w:id="284" w:name="_Ref467378121"/>
      <w:bookmarkStart w:id="285" w:name="_Toc259093683"/>
      <w:r>
        <w:rPr>
          <w:rFonts w:hint="eastAsia" w:ascii="宋体" w:hAnsi="宋体" w:eastAsia="宋体" w:cs="宋体"/>
          <w:b/>
          <w:sz w:val="24"/>
          <w:highlight w:val="none"/>
        </w:rPr>
        <w:t>2.10 合同变更</w:t>
      </w:r>
      <w:bookmarkEnd w:id="281"/>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286" w:name="_Toc259093688"/>
      <w:bookmarkStart w:id="287" w:name="_Toc279701259"/>
      <w:bookmarkStart w:id="288" w:name="_Toc487900369"/>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89" w:name="_Toc22955"/>
      <w:bookmarkStart w:id="290" w:name="_Toc15237"/>
      <w:bookmarkStart w:id="291" w:name="_Toc10366"/>
      <w:r>
        <w:rPr>
          <w:rFonts w:hint="eastAsia" w:ascii="宋体" w:hAnsi="宋体" w:eastAsia="宋体" w:cs="宋体"/>
          <w:b/>
          <w:sz w:val="24"/>
          <w:highlight w:val="none"/>
        </w:rPr>
        <w:t>2.11 合同转让</w:t>
      </w:r>
      <w:bookmarkEnd w:id="286"/>
      <w:bookmarkEnd w:id="287"/>
      <w:bookmarkEnd w:id="288"/>
      <w:r>
        <w:rPr>
          <w:rFonts w:hint="eastAsia" w:ascii="宋体" w:hAnsi="宋体" w:eastAsia="宋体" w:cs="宋体"/>
          <w:b/>
          <w:sz w:val="24"/>
          <w:highlight w:val="none"/>
        </w:rPr>
        <w:t>和分包</w:t>
      </w:r>
      <w:bookmarkEnd w:id="289"/>
      <w:bookmarkEnd w:id="290"/>
      <w:bookmarkEnd w:id="291"/>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92" w:name="_Toc16508"/>
      <w:bookmarkStart w:id="293" w:name="_Toc13566"/>
      <w:bookmarkStart w:id="294" w:name="_Toc14066"/>
      <w:r>
        <w:rPr>
          <w:rFonts w:hint="eastAsia" w:ascii="宋体" w:hAnsi="宋体" w:eastAsia="宋体" w:cs="宋体"/>
          <w:b/>
          <w:sz w:val="24"/>
          <w:highlight w:val="none"/>
        </w:rPr>
        <w:t>2.12 不可抗力</w:t>
      </w:r>
      <w:bookmarkEnd w:id="292"/>
      <w:bookmarkEnd w:id="293"/>
      <w:bookmarkEnd w:id="294"/>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295" w:name="_Toc259093684"/>
      <w:bookmarkStart w:id="296" w:name="_Toc689"/>
      <w:bookmarkStart w:id="297" w:name="_Toc30676"/>
      <w:bookmarkStart w:id="298" w:name="_Toc6969"/>
      <w:bookmarkStart w:id="299" w:name="_Toc279701255"/>
      <w:bookmarkStart w:id="300" w:name="_Toc487900365"/>
      <w:r>
        <w:rPr>
          <w:rFonts w:hint="eastAsia" w:ascii="宋体" w:hAnsi="宋体" w:eastAsia="宋体" w:cs="宋体"/>
          <w:b/>
          <w:sz w:val="24"/>
          <w:highlight w:val="none"/>
        </w:rPr>
        <w:t>2.13 税费</w:t>
      </w:r>
      <w:bookmarkEnd w:id="295"/>
      <w:bookmarkEnd w:id="296"/>
      <w:bookmarkEnd w:id="297"/>
      <w:bookmarkEnd w:id="298"/>
      <w:bookmarkEnd w:id="299"/>
      <w:bookmarkEnd w:id="300"/>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01" w:name="_Toc7102"/>
      <w:bookmarkStart w:id="302" w:name="_Toc259093687"/>
      <w:bookmarkStart w:id="303" w:name="_Toc487900368"/>
      <w:bookmarkStart w:id="304" w:name="_Toc8298"/>
      <w:bookmarkStart w:id="305" w:name="_Toc16959"/>
      <w:bookmarkStart w:id="306" w:name="_Toc279701258"/>
      <w:r>
        <w:rPr>
          <w:rFonts w:hint="eastAsia" w:ascii="宋体" w:hAnsi="宋体" w:eastAsia="宋体" w:cs="宋体"/>
          <w:b/>
          <w:sz w:val="24"/>
          <w:highlight w:val="none"/>
        </w:rPr>
        <w:t>2.14乙方破产</w:t>
      </w:r>
      <w:bookmarkEnd w:id="301"/>
      <w:bookmarkEnd w:id="302"/>
      <w:bookmarkEnd w:id="303"/>
      <w:bookmarkEnd w:id="304"/>
      <w:bookmarkEnd w:id="305"/>
      <w:bookmarkEnd w:id="306"/>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07" w:name="_Toc15387"/>
      <w:bookmarkStart w:id="308" w:name="_Toc29333"/>
      <w:bookmarkStart w:id="309" w:name="_Toc6134"/>
      <w:r>
        <w:rPr>
          <w:rFonts w:hint="eastAsia" w:ascii="宋体" w:hAnsi="宋体" w:eastAsia="宋体" w:cs="宋体"/>
          <w:b/>
          <w:sz w:val="24"/>
          <w:highlight w:val="none"/>
        </w:rPr>
        <w:t>2.15 合同中止、终止</w:t>
      </w:r>
      <w:bookmarkEnd w:id="307"/>
      <w:bookmarkEnd w:id="308"/>
      <w:bookmarkEnd w:id="309"/>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10" w:name="_Toc1125"/>
      <w:bookmarkStart w:id="311" w:name="_Toc14563"/>
      <w:bookmarkStart w:id="312" w:name="_Toc6596"/>
      <w:r>
        <w:rPr>
          <w:rFonts w:hint="eastAsia" w:ascii="宋体" w:hAnsi="宋体" w:eastAsia="宋体" w:cs="宋体"/>
          <w:b/>
          <w:sz w:val="24"/>
          <w:highlight w:val="none"/>
        </w:rPr>
        <w:t>2.16检验和验收</w:t>
      </w:r>
      <w:bookmarkEnd w:id="310"/>
      <w:bookmarkEnd w:id="311"/>
      <w:bookmarkEnd w:id="312"/>
    </w:p>
    <w:p>
      <w:pPr>
        <w:tabs>
          <w:tab w:val="left" w:pos="360"/>
          <w:tab w:val="left" w:pos="540"/>
          <w:tab w:val="left" w:pos="1080"/>
        </w:tabs>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pPr>
        <w:tabs>
          <w:tab w:val="left" w:pos="360"/>
          <w:tab w:val="left" w:pos="540"/>
          <w:tab w:val="left" w:pos="1080"/>
        </w:tabs>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282"/>
    <w:bookmarkEnd w:id="283"/>
    <w:bookmarkEnd w:id="284"/>
    <w:bookmarkEnd w:id="285"/>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13" w:name="_Toc259093690"/>
      <w:bookmarkStart w:id="314" w:name="_Toc487900371"/>
      <w:bookmarkStart w:id="315" w:name="_Toc279701261"/>
      <w:bookmarkStart w:id="316" w:name="_Toc25182"/>
      <w:bookmarkStart w:id="317" w:name="_Toc11284"/>
      <w:bookmarkStart w:id="318" w:name="_Toc19604"/>
      <w:r>
        <w:rPr>
          <w:rFonts w:hint="eastAsia" w:ascii="宋体" w:hAnsi="宋体" w:eastAsia="宋体" w:cs="宋体"/>
          <w:b/>
          <w:sz w:val="24"/>
          <w:highlight w:val="none"/>
        </w:rPr>
        <w:t>2.17 通知</w:t>
      </w:r>
      <w:bookmarkEnd w:id="313"/>
      <w:bookmarkEnd w:id="314"/>
      <w:bookmarkEnd w:id="315"/>
      <w:r>
        <w:rPr>
          <w:rFonts w:hint="eastAsia" w:ascii="宋体" w:hAnsi="宋体" w:eastAsia="宋体" w:cs="宋体"/>
          <w:b/>
          <w:sz w:val="24"/>
          <w:highlight w:val="none"/>
        </w:rPr>
        <w:t>和送达</w:t>
      </w:r>
      <w:bookmarkEnd w:id="316"/>
      <w:bookmarkEnd w:id="317"/>
      <w:bookmarkEnd w:id="318"/>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bookmarkStart w:id="319" w:name="_Toc3135"/>
      <w:bookmarkStart w:id="320" w:name="_Toc6698"/>
      <w:bookmarkStart w:id="321" w:name="_Toc279701262"/>
      <w:bookmarkStart w:id="322" w:name="_Toc487900372"/>
      <w:bookmarkStart w:id="323" w:name="_Toc259093691"/>
      <w:r>
        <w:rPr>
          <w:rFonts w:hint="eastAsia" w:ascii="宋体" w:hAnsi="宋体" w:eastAsia="宋体" w:cs="宋体"/>
          <w:sz w:val="24"/>
          <w:highlight w:val="none"/>
        </w:rPr>
        <w:t xml:space="preserve">2.17.1任何一方因履行合同而以合同第一部分尾部所列明的传真或电子邮件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319"/>
      <w:bookmarkEnd w:id="320"/>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bookmarkStart w:id="324" w:name="_Toc23294"/>
      <w:bookmarkStart w:id="325" w:name="_Toc23128"/>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4"/>
      <w:bookmarkEnd w:id="325"/>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26" w:name="_Toc30599"/>
      <w:bookmarkStart w:id="327" w:name="_Toc4355"/>
      <w:bookmarkStart w:id="328" w:name="_Toc18540"/>
      <w:r>
        <w:rPr>
          <w:rFonts w:hint="eastAsia" w:ascii="宋体" w:hAnsi="宋体" w:eastAsia="宋体" w:cs="宋体"/>
          <w:b/>
          <w:sz w:val="24"/>
          <w:highlight w:val="none"/>
        </w:rPr>
        <w:t>2.18 计量单位</w:t>
      </w:r>
      <w:bookmarkEnd w:id="321"/>
      <w:bookmarkEnd w:id="322"/>
      <w:bookmarkEnd w:id="323"/>
      <w:bookmarkEnd w:id="326"/>
      <w:bookmarkEnd w:id="327"/>
      <w:bookmarkEnd w:id="328"/>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29" w:name="_Toc279701263"/>
      <w:bookmarkStart w:id="330" w:name="_Toc487900373"/>
      <w:bookmarkStart w:id="331" w:name="_Toc12773"/>
      <w:bookmarkStart w:id="332" w:name="_Toc259093692"/>
      <w:bookmarkStart w:id="333" w:name="_Toc18567"/>
      <w:bookmarkStart w:id="334" w:name="_Toc10330"/>
      <w:r>
        <w:rPr>
          <w:rFonts w:hint="eastAsia" w:ascii="宋体" w:hAnsi="宋体" w:eastAsia="宋体" w:cs="宋体"/>
          <w:b/>
          <w:sz w:val="24"/>
          <w:highlight w:val="none"/>
        </w:rPr>
        <w:t>2.19 合同使用的文字和适用的法律</w:t>
      </w:r>
      <w:bookmarkEnd w:id="329"/>
      <w:bookmarkEnd w:id="330"/>
      <w:bookmarkEnd w:id="331"/>
      <w:bookmarkEnd w:id="332"/>
      <w:bookmarkEnd w:id="333"/>
      <w:bookmarkEnd w:id="334"/>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pPr>
        <w:kinsoku/>
        <w:wordWrap/>
        <w:overflowPunct/>
        <w:topLinePunct w:val="0"/>
        <w:bidi w:val="0"/>
        <w:spacing w:line="560" w:lineRule="exact"/>
        <w:ind w:firstLine="482" w:firstLineChars="200"/>
        <w:outlineLvl w:val="9"/>
        <w:rPr>
          <w:rFonts w:hint="eastAsia" w:ascii="宋体" w:hAnsi="宋体" w:eastAsia="宋体" w:cs="宋体"/>
          <w:b/>
          <w:sz w:val="24"/>
          <w:highlight w:val="none"/>
        </w:rPr>
      </w:pPr>
      <w:bookmarkStart w:id="335" w:name="_Toc19890"/>
      <w:bookmarkStart w:id="336" w:name="_Toc6885"/>
      <w:bookmarkStart w:id="337" w:name="_Toc14001"/>
      <w:r>
        <w:rPr>
          <w:rFonts w:hint="eastAsia" w:ascii="宋体" w:hAnsi="宋体" w:eastAsia="宋体" w:cs="宋体"/>
          <w:b/>
          <w:sz w:val="24"/>
          <w:highlight w:val="none"/>
        </w:rPr>
        <w:t>2.20 合同份数</w:t>
      </w:r>
      <w:bookmarkEnd w:id="335"/>
      <w:bookmarkEnd w:id="336"/>
      <w:bookmarkEnd w:id="337"/>
    </w:p>
    <w:p>
      <w:pPr>
        <w:kinsoku/>
        <w:wordWrap/>
        <w:overflowPunct/>
        <w:topLinePunct w:val="0"/>
        <w:bidi w:val="0"/>
        <w:spacing w:line="56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pPr>
        <w:kinsoku/>
        <w:wordWrap/>
        <w:overflowPunct/>
        <w:topLinePunct w:val="0"/>
        <w:bidi w:val="0"/>
        <w:adjustRightInd/>
        <w:spacing w:line="360" w:lineRule="auto"/>
        <w:ind w:firstLine="2513" w:firstLineChars="1197"/>
        <w:outlineLvl w:val="9"/>
        <w:rPr>
          <w:rFonts w:hint="eastAsia" w:ascii="宋体" w:hAnsi="宋体" w:eastAsia="宋体" w:cs="宋体"/>
          <w:kern w:val="0"/>
          <w:highlight w:val="none"/>
        </w:rPr>
      </w:pPr>
    </w:p>
    <w:p>
      <w:pPr>
        <w:kinsoku/>
        <w:wordWrap/>
        <w:overflowPunct/>
        <w:topLinePunct w:val="0"/>
        <w:bidi w:val="0"/>
        <w:adjustRightInd/>
        <w:spacing w:line="360" w:lineRule="auto"/>
        <w:ind w:firstLine="2513" w:firstLineChars="1197"/>
        <w:outlineLvl w:val="9"/>
        <w:rPr>
          <w:rFonts w:hint="eastAsia" w:ascii="宋体" w:hAnsi="宋体" w:eastAsia="宋体" w:cs="宋体"/>
          <w:kern w:val="0"/>
          <w:highlight w:val="none"/>
        </w:rPr>
      </w:pPr>
    </w:p>
    <w:p>
      <w:pPr>
        <w:kinsoku/>
        <w:wordWrap/>
        <w:overflowPunct/>
        <w:topLinePunct w:val="0"/>
        <w:bidi w:val="0"/>
        <w:adjustRightInd/>
        <w:spacing w:line="360" w:lineRule="auto"/>
        <w:ind w:firstLine="2513" w:firstLineChars="1197"/>
        <w:outlineLvl w:val="9"/>
        <w:rPr>
          <w:rFonts w:hint="eastAsia" w:ascii="宋体" w:hAnsi="宋体" w:eastAsia="宋体" w:cs="宋体"/>
          <w:kern w:val="0"/>
          <w:highlight w:val="none"/>
        </w:rPr>
      </w:pPr>
    </w:p>
    <w:p>
      <w:pPr>
        <w:kinsoku/>
        <w:wordWrap/>
        <w:overflowPunct/>
        <w:topLinePunct w:val="0"/>
        <w:bidi w:val="0"/>
        <w:adjustRightInd/>
        <w:spacing w:line="360" w:lineRule="auto"/>
        <w:ind w:firstLine="2513" w:firstLineChars="1197"/>
        <w:outlineLvl w:val="9"/>
        <w:rPr>
          <w:rFonts w:hint="eastAsia" w:ascii="宋体" w:hAnsi="宋体" w:eastAsia="宋体" w:cs="宋体"/>
          <w:b/>
          <w:highlight w:val="none"/>
        </w:rPr>
      </w:pPr>
      <w:r>
        <w:rPr>
          <w:rFonts w:hint="eastAsia" w:ascii="宋体" w:hAnsi="宋体" w:eastAsia="宋体" w:cs="宋体"/>
          <w:kern w:val="0"/>
          <w:highlight w:val="none"/>
        </w:rPr>
        <w:br w:type="page"/>
      </w:r>
      <w:r>
        <w:rPr>
          <w:rFonts w:hint="eastAsia" w:ascii="宋体" w:hAnsi="宋体" w:eastAsia="宋体" w:cs="宋体"/>
          <w:b/>
          <w:sz w:val="32"/>
          <w:szCs w:val="20"/>
          <w:highlight w:val="none"/>
        </w:rPr>
        <w:t>第三部分  合同专用条款</w:t>
      </w:r>
    </w:p>
    <w:p>
      <w:pPr>
        <w:kinsoku/>
        <w:wordWrap/>
        <w:overflowPunct/>
        <w:topLinePunct w:val="0"/>
        <w:bidi w:val="0"/>
        <w:spacing w:line="560" w:lineRule="exact"/>
        <w:ind w:left="-420" w:leftChars="-200" w:right="-420" w:rightChars="-200" w:firstLine="480" w:firstLineChars="200"/>
        <w:outlineLvl w:val="9"/>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493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8"/>
        <w:gridCol w:w="8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1、履约保证金金额：合同金额的1%；</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2、履约保证金形式：银行汇票（电汇）、银行保函、保险保单或支票（仅限于使用宁波大市区范围内的银行开具的支票）等非现金形式；</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3、履约保证金提交时间：合同签订并生效之日起7个工作日内，预付款支付前。</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4、担保收件人：</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5、履约保证金的退取：项目验收合格后，根据实际履约情况扣除相应违约金后无息退还履约保证金（但如</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未能履行合同规定的任何义务，</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有权从履约保证金中得到补偿）。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合同生效并具备实施条件，且收到发票后7个工作日内支付合同总额的40%作为预付款；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1、合同生效并具备实施条件，且收到发票后7个工作日内支付合同总额的40%作为预付款；</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2、设备到货安装完成，且收到发票后7个工作日支付合同总额的40%；</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3、调试完成后1个月试运行期使用正常，经验收合格交付，且收到发票后7个工作日支付至结算价的100%。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合同签订并生效之日起4个月内完成交货、进场安装、调试。满足采购人使用要求，并正常试运行1个月后通过验收。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指定地点（宁海县范围内）。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28" w:type="pct"/>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28" w:type="pct"/>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28" w:type="pct"/>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满足甲方要求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1"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28" w:type="pct"/>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采购办一份</w:t>
            </w:r>
            <w:r>
              <w:rPr>
                <w:rFonts w:hint="eastAsia" w:ascii="宋体" w:hAnsi="宋体" w:eastAsia="宋体" w:cs="宋体"/>
                <w:color w:val="auto"/>
                <w:sz w:val="24"/>
                <w:highlight w:val="none"/>
              </w:rPr>
              <w:t>。每份均具有同等法律效力。</w:t>
            </w:r>
          </w:p>
        </w:tc>
      </w:tr>
    </w:tbl>
    <w:p>
      <w:pPr>
        <w:kinsoku/>
        <w:wordWrap/>
        <w:overflowPunct/>
        <w:topLinePunct w:val="0"/>
        <w:bidi w:val="0"/>
        <w:spacing w:line="360" w:lineRule="auto"/>
        <w:ind w:left="-420" w:leftChars="-200" w:right="-420" w:rightChars="-200" w:firstLine="480" w:firstLineChars="200"/>
        <w:outlineLvl w:val="9"/>
        <w:rPr>
          <w:rFonts w:hint="eastAsia" w:ascii="宋体" w:hAnsi="宋体" w:eastAsia="宋体" w:cs="宋体"/>
          <w:sz w:val="24"/>
          <w:highlight w:val="none"/>
        </w:rPr>
      </w:pPr>
    </w:p>
    <w:p>
      <w:pPr>
        <w:kinsoku/>
        <w:wordWrap/>
        <w:overflowPunct/>
        <w:topLinePunct w:val="0"/>
        <w:bidi w:val="0"/>
        <w:snapToGrid w:val="0"/>
        <w:spacing w:line="360" w:lineRule="auto"/>
        <w:jc w:val="center"/>
        <w:outlineLvl w:val="9"/>
        <w:rPr>
          <w:rFonts w:hint="eastAsia" w:ascii="宋体" w:hAnsi="宋体" w:eastAsia="宋体" w:cs="宋体"/>
          <w:b/>
          <w:sz w:val="36"/>
          <w:szCs w:val="20"/>
          <w:highlight w:val="none"/>
        </w:rPr>
        <w:sectPr>
          <w:footerReference r:id="rId12" w:type="first"/>
          <w:footerReference r:id="rId11" w:type="default"/>
          <w:pgSz w:w="11906" w:h="16838"/>
          <w:pgMar w:top="1247" w:right="1418" w:bottom="1276" w:left="1418"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sz w:val="36"/>
          <w:szCs w:val="20"/>
          <w:highlight w:val="none"/>
        </w:rPr>
      </w:pPr>
      <w:bookmarkStart w:id="338" w:name="_Toc8026"/>
      <w:r>
        <w:rPr>
          <w:rFonts w:hint="eastAsia" w:ascii="宋体" w:hAnsi="宋体" w:eastAsia="宋体" w:cs="宋体"/>
          <w:b/>
          <w:sz w:val="36"/>
          <w:szCs w:val="20"/>
          <w:highlight w:val="none"/>
        </w:rPr>
        <w:t>第七部分</w:t>
      </w:r>
      <w:bookmarkEnd w:id="187"/>
      <w:r>
        <w:rPr>
          <w:rFonts w:hint="eastAsia" w:ascii="宋体" w:hAnsi="宋体" w:eastAsia="宋体" w:cs="宋体"/>
          <w:b/>
          <w:sz w:val="36"/>
          <w:szCs w:val="20"/>
          <w:highlight w:val="none"/>
        </w:rPr>
        <w:t xml:space="preserve">  </w:t>
      </w:r>
      <w:bookmarkEnd w:id="188"/>
      <w:r>
        <w:rPr>
          <w:rFonts w:hint="eastAsia" w:ascii="宋体" w:hAnsi="宋体" w:eastAsia="宋体" w:cs="宋体"/>
          <w:b/>
          <w:sz w:val="36"/>
          <w:szCs w:val="20"/>
          <w:highlight w:val="none"/>
        </w:rPr>
        <w:t>应提交的有关格式范例</w:t>
      </w:r>
      <w:bookmarkEnd w:id="338"/>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供应商按照以下格式编制响应文件。</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p>
    <w:p>
      <w:pPr>
        <w:kinsoku/>
        <w:wordWrap/>
        <w:overflowPunct/>
        <w:topLinePunct w:val="0"/>
        <w:bidi w:val="0"/>
        <w:spacing w:line="360" w:lineRule="auto"/>
        <w:jc w:val="center"/>
        <w:outlineLvl w:val="9"/>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（1）响应函………………………………………………………………………（页码）</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（2）资格文件……………………………………………………………………（页码）</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zh-CN"/>
        </w:rPr>
        <w:t>法人授权书…………………………………………………………………</w:t>
      </w:r>
      <w:r>
        <w:rPr>
          <w:rFonts w:hint="eastAsia" w:ascii="宋体" w:hAnsi="宋体" w:eastAsia="宋体" w:cs="宋体"/>
          <w:highlight w:val="none"/>
        </w:rPr>
        <w:t>（页码）</w:t>
      </w:r>
    </w:p>
    <w:p>
      <w:pPr>
        <w:kinsoku/>
        <w:wordWrap/>
        <w:overflowPunct/>
        <w:topLinePunct w:val="0"/>
        <w:bidi w:val="0"/>
        <w:snapToGrid w:val="0"/>
        <w:spacing w:line="360" w:lineRule="auto"/>
        <w:ind w:left="479" w:leftChars="228"/>
        <w:outlineLvl w:val="9"/>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（5）所有资信文件（复印件）…………………………………………………（页码）</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（6）主要业绩证明</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zh-CN"/>
        </w:rPr>
        <w:t>关于对磋商文件中有关条款的拒绝声明……………</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185"/>
        <w:kinsoku/>
        <w:wordWrap/>
        <w:overflowPunct/>
        <w:topLinePunct w:val="0"/>
        <w:bidi w:val="0"/>
        <w:spacing w:line="360" w:lineRule="auto"/>
        <w:outlineLvl w:val="9"/>
        <w:rPr>
          <w:rFonts w:hint="eastAsia" w:ascii="宋体" w:hAnsi="宋体" w:eastAsia="宋体" w:cs="宋体"/>
          <w:highlight w:val="none"/>
        </w:rPr>
      </w:pPr>
      <w:r>
        <w:rPr>
          <w:rFonts w:hint="eastAsia" w:ascii="宋体" w:hAnsi="宋体" w:eastAsia="宋体" w:cs="宋体"/>
          <w:highlight w:val="none"/>
        </w:rPr>
        <w:t>（8）认为需要的其他商务文件或说明…………………………………………（页码）</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（9）</w:t>
      </w:r>
      <w:r>
        <w:rPr>
          <w:rFonts w:hint="eastAsia" w:ascii="宋体" w:hAnsi="宋体" w:eastAsia="宋体" w:cs="宋体"/>
          <w:kern w:val="0"/>
          <w:sz w:val="24"/>
          <w:highlight w:val="none"/>
          <w:lang w:val="zh-CN"/>
        </w:rPr>
        <w:t>针对本项目《第四部分  采购需求》和“第五部分  评审方法及评审标准  评审方法前附表”中的条款拟定完整方案，格式自拟；</w:t>
      </w:r>
      <w:r>
        <w:rPr>
          <w:rFonts w:hint="eastAsia" w:ascii="宋体" w:hAnsi="宋体" w:eastAsia="宋体" w:cs="宋体"/>
          <w:kern w:val="0"/>
          <w:sz w:val="24"/>
          <w:highlight w:val="none"/>
        </w:rPr>
        <w:t>……………………………（页码）</w:t>
      </w:r>
    </w:p>
    <w:p>
      <w:pPr>
        <w:kinsoku/>
        <w:wordWrap/>
        <w:overflowPunct/>
        <w:topLinePunct w:val="0"/>
        <w:bidi w:val="0"/>
        <w:spacing w:line="360" w:lineRule="auto"/>
        <w:ind w:firstLine="480"/>
        <w:jc w:val="center"/>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0</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认为需要的其他技术文件或说明…………………</w:t>
      </w:r>
      <w:r>
        <w:rPr>
          <w:rFonts w:hint="eastAsia" w:ascii="宋体" w:hAnsi="宋体" w:eastAsia="宋体" w:cs="宋体"/>
          <w:highlight w:val="none"/>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（页码）</w:t>
      </w:r>
    </w:p>
    <w:p>
      <w:pPr>
        <w:tabs>
          <w:tab w:val="left" w:pos="0"/>
        </w:tabs>
        <w:kinsoku/>
        <w:wordWrap/>
        <w:overflowPunct/>
        <w:topLinePunct w:val="0"/>
        <w:autoSpaceDE w:val="0"/>
        <w:autoSpaceDN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政府采购供应商廉洁自律承诺书………………………………………</w:t>
      </w:r>
      <w:r>
        <w:rPr>
          <w:rFonts w:hint="eastAsia" w:ascii="宋体" w:hAnsi="宋体" w:eastAsia="宋体" w:cs="宋体"/>
          <w:kern w:val="0"/>
          <w:sz w:val="24"/>
          <w:highlight w:val="none"/>
        </w:rPr>
        <w:t>（页码）</w:t>
      </w:r>
    </w:p>
    <w:p>
      <w:pPr>
        <w:pStyle w:val="24"/>
        <w:kinsoku/>
        <w:wordWrap/>
        <w:overflowPunct/>
        <w:topLinePunct w:val="0"/>
        <w:bidi w:val="0"/>
        <w:ind w:firstLine="480" w:firstLineChars="200"/>
        <w:outlineLvl w:val="9"/>
        <w:rPr>
          <w:rFonts w:hint="eastAsia" w:ascii="宋体" w:hAnsi="宋体" w:eastAsia="宋体" w:cs="宋体"/>
          <w:highlight w:val="none"/>
          <w:lang w:val="zh-CN"/>
        </w:rPr>
      </w:pPr>
      <w:r>
        <w:rPr>
          <w:rFonts w:hint="eastAsia" w:ascii="宋体" w:hAnsi="宋体" w:eastAsia="宋体" w:cs="宋体"/>
          <w:highlight w:val="none"/>
          <w:lang w:val="zh-CN"/>
        </w:rPr>
        <w:t>（1</w:t>
      </w:r>
      <w:r>
        <w:rPr>
          <w:rFonts w:hint="eastAsia" w:ascii="宋体" w:hAnsi="宋体" w:eastAsia="宋体" w:cs="宋体"/>
          <w:highlight w:val="none"/>
          <w:lang w:val="en-US" w:eastAsia="zh-CN"/>
        </w:rPr>
        <w:t>2</w:t>
      </w:r>
      <w:r>
        <w:rPr>
          <w:rFonts w:hint="eastAsia" w:ascii="宋体" w:hAnsi="宋体" w:eastAsia="宋体" w:cs="宋体"/>
          <w:highlight w:val="none"/>
          <w:lang w:val="zh-CN"/>
        </w:rPr>
        <w:t>）</w:t>
      </w:r>
      <w:r>
        <w:rPr>
          <w:rFonts w:hint="eastAsia" w:ascii="宋体" w:hAnsi="宋体" w:eastAsia="宋体" w:cs="宋体"/>
          <w:highlight w:val="none"/>
          <w:lang w:val="en-US" w:eastAsia="zh-CN"/>
        </w:rPr>
        <w:t>初次报价文件</w:t>
      </w:r>
      <w:r>
        <w:rPr>
          <w:rFonts w:hint="eastAsia" w:ascii="宋体" w:hAnsi="宋体" w:eastAsia="宋体" w:cs="宋体"/>
          <w:highlight w:val="none"/>
          <w:lang w:val="zh-CN"/>
        </w:rPr>
        <w:t>……………………………………………………………（页码）</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eastAsia="宋体" w:cs="宋体"/>
          <w:b/>
          <w:bCs/>
          <w:sz w:val="24"/>
          <w:highlight w:val="none"/>
        </w:rPr>
        <w:t>注：以上目录是编制供应商响应文件的基本格式要求，各供应商可根据自身情况进一步细化。</w:t>
      </w: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sz w:val="36"/>
          <w:szCs w:val="36"/>
          <w:highlight w:val="none"/>
        </w:rPr>
        <w:br w:type="page"/>
      </w:r>
      <w:r>
        <w:rPr>
          <w:rFonts w:hint="eastAsia" w:ascii="宋体" w:hAnsi="宋体" w:eastAsia="宋体" w:cs="宋体"/>
          <w:b/>
          <w:kern w:val="0"/>
          <w:sz w:val="32"/>
          <w:szCs w:val="32"/>
          <w:highlight w:val="none"/>
        </w:rPr>
        <w:t>一、响应</w:t>
      </w:r>
      <w:r>
        <w:rPr>
          <w:rFonts w:hint="eastAsia" w:ascii="宋体" w:hAnsi="宋体" w:eastAsia="宋体" w:cs="宋体"/>
          <w:b/>
          <w:sz w:val="32"/>
          <w:szCs w:val="32"/>
          <w:highlight w:val="none"/>
        </w:rPr>
        <w:t>函</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cs="宋体"/>
          <w:sz w:val="24"/>
          <w:highlight w:val="none"/>
          <w:lang w:eastAsia="zh-CN"/>
        </w:rPr>
        <w:t>宁海县气象局</w:t>
      </w:r>
      <w:r>
        <w:rPr>
          <w:rFonts w:hint="eastAsia" w:ascii="宋体" w:hAnsi="宋体" w:eastAsia="宋体" w:cs="宋体"/>
          <w:sz w:val="24"/>
          <w:highlight w:val="none"/>
        </w:rPr>
        <w:t>、</w:t>
      </w:r>
      <w:r>
        <w:rPr>
          <w:rFonts w:hint="eastAsia" w:ascii="宋体" w:hAnsi="宋体" w:cs="宋体"/>
          <w:sz w:val="24"/>
          <w:highlight w:val="none"/>
          <w:lang w:eastAsia="zh-CN"/>
        </w:rPr>
        <w:t>宁波中基国际招标有限公司</w:t>
      </w:r>
      <w:r>
        <w:rPr>
          <w:rFonts w:hint="eastAsia" w:ascii="宋体" w:hAnsi="宋体" w:eastAsia="宋体" w:cs="宋体"/>
          <w:sz w:val="24"/>
          <w:highlight w:val="none"/>
        </w:rPr>
        <w:t>：</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(供应商全称)授权</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(全权代表姓名)</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(职务、职称)为全权代表，参加贵方组织的</w:t>
      </w:r>
      <w:r>
        <w:rPr>
          <w:rFonts w:hint="eastAsia" w:ascii="宋体" w:hAnsi="宋体" w:cs="宋体"/>
          <w:sz w:val="24"/>
          <w:highlight w:val="none"/>
          <w:lang w:eastAsia="zh-CN"/>
        </w:rPr>
        <w:t>宁海县气象局风廓线雷达配套设施建设项目</w:t>
      </w:r>
      <w:r>
        <w:rPr>
          <w:rFonts w:hint="eastAsia" w:ascii="宋体" w:hAnsi="宋体" w:eastAsia="宋体" w:cs="宋体"/>
          <w:sz w:val="24"/>
          <w:highlight w:val="none"/>
        </w:rPr>
        <w:t>【项目编号：</w:t>
      </w:r>
      <w:r>
        <w:rPr>
          <w:rFonts w:hint="eastAsia" w:ascii="宋体" w:hAnsi="宋体" w:cs="宋体"/>
          <w:sz w:val="24"/>
          <w:highlight w:val="none"/>
          <w:lang w:eastAsia="zh-CN"/>
        </w:rPr>
        <w:t>CBNB-20246170G</w:t>
      </w:r>
      <w:r>
        <w:rPr>
          <w:rFonts w:hint="eastAsia" w:ascii="宋体" w:hAnsi="宋体" w:eastAsia="宋体" w:cs="宋体"/>
          <w:sz w:val="24"/>
          <w:highlight w:val="none"/>
        </w:rPr>
        <w:t>】的有关活动，并对此项目进行响应。为此：</w:t>
      </w:r>
    </w:p>
    <w:p>
      <w:pPr>
        <w:pStyle w:val="106"/>
        <w:numPr>
          <w:ilvl w:val="0"/>
          <w:numId w:val="14"/>
        </w:numPr>
        <w:kinsoku/>
        <w:wordWrap/>
        <w:overflowPunct/>
        <w:topLinePunct w:val="0"/>
        <w:bidi w:val="0"/>
        <w:snapToGrid w:val="0"/>
        <w:ind w:firstLineChars="0"/>
        <w:outlineLvl w:val="9"/>
        <w:rPr>
          <w:rFonts w:hint="eastAsia" w:ascii="宋体" w:hAnsi="宋体" w:eastAsia="宋体" w:cs="宋体"/>
          <w:highlight w:val="none"/>
        </w:rPr>
      </w:pPr>
      <w:r>
        <w:rPr>
          <w:rFonts w:hint="eastAsia" w:ascii="宋体" w:hAnsi="宋体" w:eastAsia="宋体" w:cs="宋体"/>
          <w:highlight w:val="none"/>
        </w:rPr>
        <w:t>我方承诺响应有效期从提交响应文件的截止之日起</w:t>
      </w:r>
      <w:r>
        <w:rPr>
          <w:rFonts w:hint="eastAsia" w:ascii="宋体" w:hAnsi="宋体" w:eastAsia="宋体" w:cs="宋体"/>
          <w:highlight w:val="none"/>
          <w:u w:val="single"/>
        </w:rPr>
        <w:t xml:space="preserve">     </w:t>
      </w:r>
      <w:r>
        <w:rPr>
          <w:rFonts w:hint="eastAsia" w:ascii="宋体" w:hAnsi="宋体" w:eastAsia="宋体" w:cs="宋体"/>
          <w:highlight w:val="none"/>
        </w:rPr>
        <w:t>天，（不少于90天），本响应文件在响应有效期满之前均具有约束力。</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提供</w:t>
      </w:r>
      <w:r>
        <w:rPr>
          <w:rFonts w:hint="eastAsia" w:ascii="宋体" w:hAnsi="宋体" w:eastAsia="宋体" w:cs="宋体"/>
          <w:bCs/>
          <w:kern w:val="44"/>
          <w:sz w:val="24"/>
          <w:highlight w:val="none"/>
        </w:rPr>
        <w:t>磋商文件中</w:t>
      </w:r>
      <w:r>
        <w:rPr>
          <w:rFonts w:hint="eastAsia" w:ascii="宋体" w:hAnsi="宋体" w:eastAsia="宋体" w:cs="宋体"/>
          <w:sz w:val="24"/>
          <w:highlight w:val="none"/>
        </w:rPr>
        <w:t>规定的全部响应文件。</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我方承诺除响应文件列出的偏离外，我方响应磋商文件的全部要求。</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保证遵守磋商文件中的其他有关规定。</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我方愿意向贵方提供任何与该项目响应有关的数据、情况和技术资料。若贵方需要，我方愿意提供我方作出的一切承诺的证明材料。</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我方已详细阅读全部磋商文件，包括磋商文件“更正（延期）公告”（如果有）、参考资料及有关附件，确认无误。</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如我方成交，我方承诺：</w:t>
      </w:r>
    </w:p>
    <w:p>
      <w:pPr>
        <w:kinsoku/>
        <w:wordWrap/>
        <w:overflowPunct/>
        <w:topLinePunct w:val="0"/>
        <w:bidi w:val="0"/>
        <w:snapToGrid w:val="0"/>
        <w:spacing w:line="360" w:lineRule="auto"/>
        <w:ind w:left="210" w:leftChars="100"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4.1在收到成交通知书后，在成交通知书规定的期限内与你方签订合同； </w:t>
      </w:r>
    </w:p>
    <w:p>
      <w:pPr>
        <w:kinsoku/>
        <w:wordWrap/>
        <w:overflowPunct/>
        <w:topLinePunct w:val="0"/>
        <w:bidi w:val="0"/>
        <w:snapToGrid w:val="0"/>
        <w:spacing w:line="360" w:lineRule="auto"/>
        <w:ind w:left="210" w:leftChars="100"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kinsoku/>
        <w:wordWrap/>
        <w:overflowPunct/>
        <w:topLinePunct w:val="0"/>
        <w:bidi w:val="0"/>
        <w:snapToGrid w:val="0"/>
        <w:spacing w:line="360" w:lineRule="auto"/>
        <w:ind w:left="210" w:leftChars="100"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4.3按照磋商文件要求提交履约保证金； </w:t>
      </w:r>
    </w:p>
    <w:p>
      <w:pPr>
        <w:kinsoku/>
        <w:wordWrap/>
        <w:overflowPunct/>
        <w:topLinePunct w:val="0"/>
        <w:bidi w:val="0"/>
        <w:snapToGrid w:val="0"/>
        <w:spacing w:line="360" w:lineRule="auto"/>
        <w:ind w:left="210" w:leftChars="100"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numPr>
          <w:ilvl w:val="0"/>
          <w:numId w:val="14"/>
        </w:numPr>
        <w:kinsoku/>
        <w:wordWrap/>
        <w:overflowPunct/>
        <w:topLinePunct w:val="0"/>
        <w:bidi w:val="0"/>
        <w:adjustRightInd/>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其他补充说明:                                        。</w:t>
      </w:r>
    </w:p>
    <w:p>
      <w:pPr>
        <w:kinsoku/>
        <w:wordWrap/>
        <w:overflowPunct/>
        <w:topLinePunct w:val="0"/>
        <w:autoSpaceDE w:val="0"/>
        <w:autoSpaceDN w:val="0"/>
        <w:bidi w:val="0"/>
        <w:spacing w:line="360" w:lineRule="auto"/>
        <w:ind w:firstLine="3960" w:firstLineChars="1650"/>
        <w:outlineLvl w:val="9"/>
        <w:rPr>
          <w:rFonts w:hint="eastAsia" w:ascii="宋体" w:hAnsi="宋体" w:eastAsia="宋体" w:cs="宋体"/>
          <w:kern w:val="0"/>
          <w:sz w:val="24"/>
          <w:highlight w:val="none"/>
          <w:lang w:val="zh-CN"/>
        </w:rPr>
      </w:pPr>
    </w:p>
    <w:p>
      <w:pPr>
        <w:kinsoku/>
        <w:wordWrap/>
        <w:overflowPunct/>
        <w:topLinePunct w:val="0"/>
        <w:bidi w:val="0"/>
        <w:spacing w:line="360" w:lineRule="auto"/>
        <w:ind w:firstLine="3600" w:firstLineChars="1500"/>
        <w:outlineLvl w:val="9"/>
        <w:rPr>
          <w:rFonts w:hint="eastAsia" w:ascii="宋体" w:hAnsi="宋体" w:eastAsia="宋体" w:cs="宋体"/>
          <w:sz w:val="24"/>
          <w:highlight w:val="none"/>
        </w:rPr>
      </w:pPr>
      <w:r>
        <w:rPr>
          <w:rFonts w:hint="eastAsia" w:ascii="宋体" w:hAnsi="宋体" w:eastAsia="宋体" w:cs="宋体"/>
          <w:sz w:val="24"/>
          <w:highlight w:val="none"/>
        </w:rPr>
        <w:t xml:space="preserve">供应商名称（电子签名）：                          </w:t>
      </w:r>
    </w:p>
    <w:p>
      <w:pPr>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kinsoku/>
        <w:wordWrap/>
        <w:overflowPunct/>
        <w:topLinePunct w:val="0"/>
        <w:bidi w:val="0"/>
        <w:spacing w:line="360" w:lineRule="auto"/>
        <w:ind w:right="420"/>
        <w:outlineLvl w:val="9"/>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kinsoku/>
        <w:wordWrap/>
        <w:overflowPunct/>
        <w:topLinePunct w:val="0"/>
        <w:autoSpaceDE w:val="0"/>
        <w:autoSpaceDN w:val="0"/>
        <w:bidi w:val="0"/>
        <w:spacing w:line="360" w:lineRule="auto"/>
        <w:outlineLvl w:val="9"/>
        <w:rPr>
          <w:rFonts w:hint="eastAsia" w:ascii="宋体" w:hAnsi="宋体" w:eastAsia="宋体" w:cs="宋体"/>
          <w:kern w:val="0"/>
          <w:sz w:val="24"/>
          <w:highlight w:val="none"/>
        </w:rPr>
      </w:pPr>
    </w:p>
    <w:p>
      <w:pPr>
        <w:pStyle w:val="116"/>
        <w:keepNext w:val="0"/>
        <w:pageBreakBefore w:val="0"/>
        <w:tabs>
          <w:tab w:val="clear" w:pos="720"/>
        </w:tabs>
        <w:kinsoku/>
        <w:wordWrap/>
        <w:overflowPunct/>
        <w:topLinePunct w:val="0"/>
        <w:bidi w:val="0"/>
        <w:jc w:val="both"/>
        <w:outlineLvl w:val="9"/>
        <w:rPr>
          <w:rFonts w:hint="eastAsia" w:ascii="宋体" w:hAnsi="宋体" w:eastAsia="宋体" w:cs="宋体"/>
          <w:sz w:val="24"/>
          <w:szCs w:val="24"/>
          <w:highlight w:val="none"/>
        </w:rPr>
      </w:pPr>
    </w:p>
    <w:p>
      <w:pPr>
        <w:kinsoku/>
        <w:wordWrap/>
        <w:overflowPunct/>
        <w:topLinePunct w:val="0"/>
        <w:bidi w:val="0"/>
        <w:spacing w:line="360" w:lineRule="auto"/>
        <w:outlineLvl w:val="9"/>
        <w:rPr>
          <w:rFonts w:hint="eastAsia" w:ascii="宋体" w:hAnsi="宋体" w:eastAsia="宋体" w:cs="宋体"/>
          <w:sz w:val="24"/>
          <w:highlight w:val="none"/>
        </w:rPr>
      </w:pPr>
    </w:p>
    <w:p>
      <w:pPr>
        <w:kinsoku/>
        <w:wordWrap/>
        <w:overflowPunct/>
        <w:topLinePunct w:val="0"/>
        <w:bidi w:val="0"/>
        <w:spacing w:line="360" w:lineRule="auto"/>
        <w:outlineLvl w:val="9"/>
        <w:rPr>
          <w:rFonts w:hint="eastAsia" w:ascii="宋体" w:hAnsi="宋体" w:eastAsia="宋体" w:cs="宋体"/>
          <w:sz w:val="18"/>
          <w:szCs w:val="18"/>
          <w:highlight w:val="none"/>
        </w:rPr>
      </w:pPr>
    </w:p>
    <w:p>
      <w:pPr>
        <w:kinsoku/>
        <w:wordWrap/>
        <w:overflowPunct/>
        <w:topLinePunct w:val="0"/>
        <w:bidi w:val="0"/>
        <w:spacing w:line="360" w:lineRule="auto"/>
        <w:outlineLvl w:val="9"/>
        <w:rPr>
          <w:rFonts w:hint="eastAsia" w:ascii="宋体" w:hAnsi="宋体" w:eastAsia="宋体" w:cs="宋体"/>
          <w:sz w:val="18"/>
          <w:szCs w:val="18"/>
          <w:highlight w:val="none"/>
        </w:rPr>
      </w:pPr>
    </w:p>
    <w:p>
      <w:pPr>
        <w:widowControl/>
        <w:tabs>
          <w:tab w:val="left" w:pos="1200"/>
        </w:tabs>
        <w:kinsoku/>
        <w:wordWrap/>
        <w:overflowPunct/>
        <w:topLinePunct w:val="0"/>
        <w:bidi w:val="0"/>
        <w:adjustRightInd/>
        <w:ind w:left="840"/>
        <w:jc w:val="center"/>
        <w:outlineLvl w:val="9"/>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二、资格文件</w:t>
      </w:r>
    </w:p>
    <w:p>
      <w:pPr>
        <w:pStyle w:val="106"/>
        <w:widowControl/>
        <w:tabs>
          <w:tab w:val="left" w:pos="1200"/>
          <w:tab w:val="left" w:pos="1560"/>
        </w:tabs>
        <w:kinsoku/>
        <w:wordWrap/>
        <w:overflowPunct/>
        <w:topLinePunct w:val="0"/>
        <w:bidi w:val="0"/>
        <w:adjustRightInd/>
        <w:ind w:left="1560" w:firstLine="0" w:firstLineChars="0"/>
        <w:jc w:val="left"/>
        <w:outlineLvl w:val="9"/>
        <w:rPr>
          <w:rFonts w:hint="eastAsia" w:ascii="宋体" w:hAnsi="宋体" w:eastAsia="宋体" w:cs="宋体"/>
          <w:b/>
          <w:sz w:val="30"/>
          <w:szCs w:val="30"/>
          <w:highlight w:val="none"/>
        </w:rPr>
      </w:pPr>
    </w:p>
    <w:p>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A、符合参加政府采购活动应当具备的一般条件的承诺函</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cs="宋体"/>
          <w:sz w:val="24"/>
          <w:highlight w:val="none"/>
          <w:lang w:eastAsia="zh-CN"/>
        </w:rPr>
        <w:t>宁海县气象局</w:t>
      </w:r>
      <w:r>
        <w:rPr>
          <w:rFonts w:hint="eastAsia" w:ascii="宋体" w:hAnsi="宋体" w:eastAsia="宋体" w:cs="宋体"/>
          <w:sz w:val="24"/>
          <w:highlight w:val="none"/>
        </w:rPr>
        <w:t>、</w:t>
      </w:r>
      <w:r>
        <w:rPr>
          <w:rFonts w:hint="eastAsia" w:ascii="宋体" w:hAnsi="宋体" w:cs="宋体"/>
          <w:sz w:val="24"/>
          <w:highlight w:val="none"/>
          <w:lang w:eastAsia="zh-CN"/>
        </w:rPr>
        <w:t>宁波中基国际招标有限公司</w:t>
      </w:r>
      <w:r>
        <w:rPr>
          <w:rFonts w:hint="eastAsia" w:ascii="宋体" w:hAnsi="宋体" w:eastAsia="宋体" w:cs="宋体"/>
          <w:sz w:val="24"/>
          <w:highlight w:val="none"/>
        </w:rPr>
        <w:t>：</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宁海县气象局风廓线雷达配套设施建设项目</w:t>
      </w:r>
      <w:r>
        <w:rPr>
          <w:rFonts w:hint="eastAsia" w:ascii="宋体" w:hAnsi="宋体" w:eastAsia="宋体" w:cs="宋体"/>
          <w:kern w:val="0"/>
          <w:sz w:val="24"/>
          <w:highlight w:val="none"/>
          <w:lang w:val="zh-CN"/>
        </w:rPr>
        <w:t>【项目编号：</w:t>
      </w:r>
      <w:r>
        <w:rPr>
          <w:rFonts w:hint="eastAsia" w:ascii="宋体" w:hAnsi="宋体" w:cs="宋体"/>
          <w:kern w:val="0"/>
          <w:sz w:val="24"/>
          <w:highlight w:val="none"/>
          <w:lang w:val="zh-CN"/>
        </w:rPr>
        <w:t>CBNB-20246170G</w:t>
      </w:r>
      <w:r>
        <w:rPr>
          <w:rFonts w:hint="eastAsia" w:ascii="宋体" w:hAnsi="宋体" w:eastAsia="宋体" w:cs="宋体"/>
          <w:kern w:val="0"/>
          <w:sz w:val="24"/>
          <w:highlight w:val="none"/>
          <w:lang w:val="zh-CN"/>
        </w:rPr>
        <w:t>】</w:t>
      </w:r>
      <w:r>
        <w:rPr>
          <w:rFonts w:hint="eastAsia" w:ascii="宋体" w:hAnsi="宋体" w:eastAsia="宋体" w:cs="宋体"/>
          <w:sz w:val="24"/>
          <w:highlight w:val="none"/>
        </w:rPr>
        <w:t>政府采购活动，郑重承诺：</w:t>
      </w:r>
    </w:p>
    <w:p>
      <w:pPr>
        <w:kinsoku/>
        <w:wordWrap/>
        <w:overflowPunct/>
        <w:topLinePunct w:val="0"/>
        <w:bidi w:val="0"/>
        <w:snapToGrid w:val="0"/>
        <w:spacing w:line="360" w:lineRule="auto"/>
        <w:ind w:firstLine="360" w:firstLineChars="150"/>
        <w:outlineLvl w:val="9"/>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重大税收违法失信主体</w:t>
      </w:r>
      <w:r>
        <w:rPr>
          <w:rFonts w:hint="eastAsia" w:ascii="宋体" w:hAnsi="宋体" w:eastAsia="宋体" w:cs="宋体"/>
          <w:sz w:val="24"/>
          <w:highlight w:val="none"/>
          <w:lang w:eastAsia="zh-CN"/>
        </w:rPr>
        <w:t>）</w:t>
      </w:r>
      <w:r>
        <w:rPr>
          <w:rFonts w:hint="eastAsia" w:ascii="宋体" w:hAnsi="宋体" w:eastAsia="宋体" w:cs="宋体"/>
          <w:sz w:val="24"/>
          <w:highlight w:val="none"/>
        </w:rPr>
        <w:t>、政府采购严重违法失信行为记录名单。</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（三）未在中国裁判文书网有行贿犯罪相关记录。</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四</w:t>
      </w:r>
      <w:r>
        <w:rPr>
          <w:rFonts w:hint="eastAsia" w:ascii="宋体" w:hAnsi="宋体" w:eastAsia="宋体" w:cs="宋体"/>
          <w:sz w:val="24"/>
          <w:highlight w:val="none"/>
        </w:rPr>
        <w:t>）不存在以下情况：</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5520" w:firstLineChars="2300"/>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pPr>
        <w:kinsoku/>
        <w:wordWrap/>
        <w:overflowPunct/>
        <w:topLinePunct w:val="0"/>
        <w:bidi w:val="0"/>
        <w:snapToGrid w:val="0"/>
        <w:spacing w:line="360" w:lineRule="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highlight w:val="none"/>
        </w:rPr>
      </w:pPr>
    </w:p>
    <w:p>
      <w:pPr>
        <w:widowControl/>
        <w:kinsoku/>
        <w:wordWrap/>
        <w:overflowPunct/>
        <w:topLinePunct w:val="0"/>
        <w:bidi w:val="0"/>
        <w:adjustRightInd/>
        <w:jc w:val="left"/>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B、联合协议（如果有）</w:t>
      </w:r>
    </w:p>
    <w:p>
      <w:pPr>
        <w:widowControl/>
        <w:kinsoku/>
        <w:wordWrap/>
        <w:overflowPunct/>
        <w:topLinePunct w:val="0"/>
        <w:bidi w:val="0"/>
        <w:spacing w:line="360" w:lineRule="auto"/>
        <w:ind w:firstLine="482" w:firstLineChars="200"/>
        <w:jc w:val="left"/>
        <w:outlineLvl w:val="9"/>
        <w:rPr>
          <w:rFonts w:hint="eastAsia" w:ascii="宋体" w:hAnsi="宋体" w:eastAsia="宋体" w:cs="宋体"/>
          <w:b/>
          <w:sz w:val="24"/>
          <w:highlight w:val="none"/>
        </w:rPr>
      </w:pPr>
      <w:r>
        <w:rPr>
          <w:rFonts w:hint="eastAsia" w:ascii="宋体" w:hAnsi="宋体" w:eastAsia="宋体" w:cs="宋体"/>
          <w:b/>
          <w:sz w:val="24"/>
          <w:highlight w:val="none"/>
        </w:rPr>
        <w:t>（以联合体形式响应的，提供联合协议；本项目不接受联合体响应或者供应商不以联合体形式响应的，则不需要提供）</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组成一个联合体，以一个供应商的身份</w:t>
      </w:r>
      <w:r>
        <w:rPr>
          <w:rFonts w:hint="eastAsia" w:ascii="宋体" w:hAnsi="宋体" w:eastAsia="宋体" w:cs="宋体"/>
          <w:kern w:val="0"/>
          <w:sz w:val="24"/>
          <w:highlight w:val="none"/>
        </w:rPr>
        <w:t>参加</w:t>
      </w:r>
      <w:r>
        <w:rPr>
          <w:rFonts w:hint="eastAsia" w:ascii="宋体" w:hAnsi="宋体" w:cs="宋体"/>
          <w:sz w:val="24"/>
          <w:highlight w:val="none"/>
          <w:lang w:eastAsia="zh-CN"/>
        </w:rPr>
        <w:t>宁海县气象局风廓线雷达配套设施建设项目</w:t>
      </w:r>
      <w:r>
        <w:rPr>
          <w:rFonts w:hint="eastAsia" w:ascii="宋体" w:hAnsi="宋体" w:eastAsia="宋体" w:cs="宋体"/>
          <w:kern w:val="0"/>
          <w:sz w:val="24"/>
          <w:highlight w:val="none"/>
          <w:lang w:val="zh-CN"/>
        </w:rPr>
        <w:t>【项目编号：</w:t>
      </w:r>
      <w:r>
        <w:rPr>
          <w:rFonts w:hint="eastAsia" w:ascii="宋体" w:hAnsi="宋体" w:cs="宋体"/>
          <w:kern w:val="0"/>
          <w:sz w:val="24"/>
          <w:highlight w:val="none"/>
          <w:lang w:val="zh-CN"/>
        </w:rPr>
        <w:t>CBNB-20246170G</w:t>
      </w:r>
      <w:r>
        <w:rPr>
          <w:rFonts w:hint="eastAsia" w:ascii="宋体" w:hAnsi="宋体" w:eastAsia="宋体" w:cs="宋体"/>
          <w:kern w:val="0"/>
          <w:sz w:val="24"/>
          <w:highlight w:val="none"/>
          <w:lang w:val="zh-CN"/>
        </w:rPr>
        <w:t xml:space="preserve">】响应。 </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，代表所有联合体成员负责响应和合同实施阶段的主办、协调工作</w:t>
      </w: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授权代表根据磋商文件规定及采购内容而对采购人、采购代理机构所作的任何合法承诺，包括书面澄清及相应等均对联合体各方产生约束力。</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三、本次联合响应中，分工如下：</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四、联合体成员中小企业合同份额（如果有）。</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339" w:name="_Hlk101131882"/>
      <w:r>
        <w:rPr>
          <w:rFonts w:hint="eastAsia" w:ascii="宋体" w:hAnsi="宋体" w:eastAsia="宋体" w:cs="宋体"/>
          <w:kern w:val="0"/>
          <w:sz w:val="24"/>
          <w:highlight w:val="none"/>
          <w:u w:val="single"/>
        </w:rPr>
        <w:t>联合体成员X,……</w:t>
      </w:r>
      <w:bookmarkEnd w:id="339"/>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340" w:name="_Hlk101133598"/>
      <w:r>
        <w:rPr>
          <w:rFonts w:hint="eastAsia" w:ascii="宋体" w:hAnsi="宋体" w:eastAsia="宋体" w:cs="宋体"/>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bookmarkEnd w:id="340"/>
      <w:r>
        <w:rPr>
          <w:rFonts w:hint="eastAsia" w:ascii="宋体" w:hAnsi="宋体" w:eastAsia="宋体" w:cs="宋体"/>
          <w:b/>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341"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341"/>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五、如果成交，</w:t>
      </w:r>
      <w:r>
        <w:rPr>
          <w:rFonts w:hint="eastAsia" w:ascii="宋体" w:hAnsi="宋体" w:eastAsia="宋体" w:cs="宋体"/>
          <w:sz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六、有关本次联合响应的其他事宜：</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288" w:lineRule="auto"/>
        <w:ind w:firstLine="5040" w:firstLineChars="2100"/>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288" w:lineRule="auto"/>
        <w:ind w:firstLine="5760" w:firstLineChars="2400"/>
        <w:textAlignment w:val="auto"/>
        <w:outlineLvl w:val="9"/>
        <w:rPr>
          <w:rFonts w:hint="eastAsia" w:ascii="宋体" w:hAnsi="宋体" w:eastAsia="宋体" w:cs="宋体"/>
          <w:highlight w:val="none"/>
        </w:rPr>
      </w:pP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keepNext w:val="0"/>
        <w:keepLines w:val="0"/>
        <w:pageBreakBefore w:val="0"/>
        <w:widowControl w:val="0"/>
        <w:kinsoku/>
        <w:wordWrap/>
        <w:overflowPunct/>
        <w:topLinePunct w:val="0"/>
        <w:autoSpaceDE/>
        <w:autoSpaceDN/>
        <w:bidi w:val="0"/>
        <w:adjustRightInd w:val="0"/>
        <w:spacing w:line="288" w:lineRule="auto"/>
        <w:ind w:right="42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widowControl/>
        <w:kinsoku/>
        <w:wordWrap/>
        <w:overflowPunct/>
        <w:topLinePunct w:val="0"/>
        <w:bidi w:val="0"/>
        <w:adjustRightInd/>
        <w:jc w:val="left"/>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highlight w:val="none"/>
        </w:rPr>
      </w:pPr>
      <w:r>
        <w:rPr>
          <w:rFonts w:hint="eastAsia" w:ascii="宋体" w:hAnsi="宋体" w:eastAsia="宋体" w:cs="宋体"/>
          <w:b/>
          <w:sz w:val="32"/>
          <w:szCs w:val="32"/>
          <w:highlight w:val="none"/>
        </w:rPr>
        <w:t>C、</w:t>
      </w:r>
      <w:r>
        <w:rPr>
          <w:rFonts w:hint="eastAsia" w:ascii="宋体" w:hAnsi="宋体" w:eastAsia="宋体" w:cs="宋体"/>
          <w:b/>
          <w:kern w:val="0"/>
          <w:sz w:val="32"/>
          <w:szCs w:val="32"/>
          <w:highlight w:val="none"/>
        </w:rPr>
        <w:t>落实政府采购政策需满足的资格要求</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b/>
          <w:bCs/>
          <w:sz w:val="24"/>
          <w:highlight w:val="none"/>
        </w:rPr>
        <w:t>磋商文件第一部分竞争性磋商邀请公告中</w:t>
      </w:r>
      <w:r>
        <w:rPr>
          <w:rFonts w:hint="eastAsia" w:ascii="宋体" w:hAnsi="宋体" w:eastAsia="宋体" w:cs="宋体"/>
          <w:sz w:val="24"/>
          <w:highlight w:val="none"/>
        </w:rPr>
        <w:t>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outlineLvl w:val="9"/>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.专门面向中小企业，货物全部由符合政策要求的中小企业（或小微企业）制造的，提供相应的中小企业声明函（附件5）。 </w:t>
      </w:r>
    </w:p>
    <w:p>
      <w:pPr>
        <w:widowControl/>
        <w:kinsoku/>
        <w:wordWrap/>
        <w:overflowPunct/>
        <w:topLinePunct w:val="0"/>
        <w:bidi w:val="0"/>
        <w:spacing w:line="360" w:lineRule="auto"/>
        <w:ind w:firstLine="480"/>
        <w:jc w:val="left"/>
        <w:outlineLvl w:val="9"/>
        <w:rPr>
          <w:rFonts w:hint="eastAsia" w:ascii="宋体" w:hAnsi="宋体" w:eastAsia="宋体" w:cs="宋体"/>
          <w:sz w:val="24"/>
          <w:highlight w:val="none"/>
        </w:rPr>
      </w:pPr>
    </w:p>
    <w:p>
      <w:pPr>
        <w:widowControl/>
        <w:kinsoku/>
        <w:wordWrap/>
        <w:overflowPunct/>
        <w:topLinePunct w:val="0"/>
        <w:bidi w:val="0"/>
        <w:spacing w:line="360" w:lineRule="auto"/>
        <w:ind w:firstLine="472" w:firstLineChars="196"/>
        <w:jc w:val="left"/>
        <w:outlineLvl w:val="9"/>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pPr>
        <w:kinsoku/>
        <w:wordWrap/>
        <w:overflowPunct/>
        <w:topLinePunct w:val="0"/>
        <w:bidi w:val="0"/>
        <w:snapToGrid w:val="0"/>
        <w:spacing w:before="50" w:after="50" w:line="360" w:lineRule="auto"/>
        <w:jc w:val="center"/>
        <w:outlineLvl w:val="9"/>
        <w:rPr>
          <w:rFonts w:hint="eastAsia" w:ascii="宋体" w:hAnsi="宋体" w:eastAsia="宋体" w:cs="宋体"/>
          <w:sz w:val="24"/>
          <w:highlight w:val="none"/>
        </w:rPr>
      </w:pPr>
      <w:r>
        <w:rPr>
          <w:rFonts w:hint="eastAsia" w:ascii="宋体" w:hAnsi="宋体" w:eastAsia="宋体" w:cs="宋体"/>
          <w:b/>
          <w:sz w:val="24"/>
          <w:highlight w:val="none"/>
        </w:rPr>
        <w:t xml:space="preserve">    </w:t>
      </w:r>
    </w:p>
    <w:p>
      <w:pPr>
        <w:kinsoku/>
        <w:wordWrap/>
        <w:overflowPunct/>
        <w:topLinePunct w:val="0"/>
        <w:bidi w:val="0"/>
        <w:spacing w:line="360" w:lineRule="auto"/>
        <w:ind w:firstLine="482" w:firstLineChars="200"/>
        <w:outlineLvl w:val="9"/>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w:t>
      </w:r>
      <w:r>
        <w:rPr>
          <w:rFonts w:hint="eastAsia" w:ascii="宋体" w:hAnsi="宋体" w:eastAsia="宋体" w:cs="宋体"/>
          <w:b/>
          <w:bCs/>
          <w:sz w:val="24"/>
          <w:highlight w:val="none"/>
        </w:rPr>
        <w:t>竞争性磋商邀请公告</w:t>
      </w:r>
      <w:r>
        <w:rPr>
          <w:rFonts w:hint="eastAsia" w:ascii="宋体" w:hAnsi="宋体" w:eastAsia="宋体" w:cs="宋体"/>
          <w:sz w:val="24"/>
          <w:highlight w:val="none"/>
        </w:rPr>
        <w:t>载明的比例；如果供应商本身提供的所有标的均由中小企业承接的，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D、符合特定资格条件要求的资质文件（复印件）</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（由供应商根据“磋商文件第一部分”中“合格的供应商应具备的特定资格要求”编制；如果本项目没有设置特定资格条件，则不需要提供）</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p>
    <w:p>
      <w:pPr>
        <w:kinsoku/>
        <w:wordWrap/>
        <w:overflowPunct/>
        <w:topLinePunct w:val="0"/>
        <w:bidi w:val="0"/>
        <w:snapToGrid w:val="0"/>
        <w:spacing w:line="360" w:lineRule="auto"/>
        <w:ind w:firstLine="5880" w:firstLineChars="2450"/>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p>
    <w:p>
      <w:pPr>
        <w:kinsoku/>
        <w:wordWrap/>
        <w:overflowPunct/>
        <w:topLinePunct w:val="0"/>
        <w:bidi w:val="0"/>
        <w:snapToGrid w:val="0"/>
        <w:spacing w:line="360" w:lineRule="auto"/>
        <w:ind w:right="480"/>
        <w:jc w:val="center"/>
        <w:outlineLvl w:val="9"/>
        <w:rPr>
          <w:rFonts w:hint="eastAsia" w:ascii="宋体" w:hAnsi="宋体" w:eastAsia="宋体" w:cs="宋体"/>
          <w:b/>
          <w:kern w:val="0"/>
          <w:sz w:val="32"/>
          <w:szCs w:val="32"/>
          <w:highlight w:val="none"/>
          <w:lang w:val="zh-CN"/>
        </w:rPr>
        <w:sectPr>
          <w:pgSz w:w="11906" w:h="16838"/>
          <w:pgMar w:top="1247" w:right="1418" w:bottom="1276" w:left="1418" w:header="851" w:footer="992" w:gutter="0"/>
          <w:pgNumType w:fmt="decimal"/>
          <w:cols w:space="720" w:num="1"/>
          <w:titlePg/>
          <w:docGrid w:linePitch="312" w:charSpace="0"/>
        </w:sectPr>
      </w:pPr>
    </w:p>
    <w:p>
      <w:pPr>
        <w:widowControl/>
        <w:kinsoku/>
        <w:wordWrap/>
        <w:overflowPunct/>
        <w:topLinePunct w:val="0"/>
        <w:bidi w:val="0"/>
        <w:spacing w:line="360" w:lineRule="auto"/>
        <w:jc w:val="center"/>
        <w:outlineLvl w:val="9"/>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三、法人授权书</w:t>
      </w:r>
    </w:p>
    <w:p>
      <w:pPr>
        <w:kinsoku/>
        <w:wordWrap/>
        <w:overflowPunct/>
        <w:topLinePunct w:val="0"/>
        <w:bidi w:val="0"/>
        <w:snapToGrid w:val="0"/>
        <w:spacing w:line="360" w:lineRule="auto"/>
        <w:outlineLvl w:val="9"/>
        <w:rPr>
          <w:rFonts w:hint="eastAsia" w:ascii="宋体" w:hAnsi="宋体" w:eastAsia="宋体" w:cs="宋体"/>
          <w:kern w:val="0"/>
          <w:sz w:val="24"/>
          <w:highlight w:val="none"/>
        </w:rPr>
      </w:pPr>
      <w:r>
        <w:rPr>
          <w:rFonts w:hint="eastAsia" w:ascii="宋体" w:hAnsi="宋体" w:cs="宋体"/>
          <w:sz w:val="24"/>
          <w:highlight w:val="none"/>
          <w:lang w:eastAsia="zh-CN"/>
        </w:rPr>
        <w:t>宁海县气象局</w:t>
      </w:r>
      <w:r>
        <w:rPr>
          <w:rFonts w:hint="eastAsia" w:ascii="宋体" w:hAnsi="宋体" w:eastAsia="宋体" w:cs="宋体"/>
          <w:sz w:val="24"/>
          <w:highlight w:val="none"/>
        </w:rPr>
        <w:t>、</w:t>
      </w:r>
      <w:r>
        <w:rPr>
          <w:rFonts w:hint="eastAsia" w:ascii="宋体" w:hAnsi="宋体" w:cs="宋体"/>
          <w:sz w:val="24"/>
          <w:highlight w:val="none"/>
          <w:lang w:eastAsia="zh-CN"/>
        </w:rPr>
        <w:t>宁波中基国际招标有限公司</w:t>
      </w:r>
      <w:r>
        <w:rPr>
          <w:rFonts w:hint="eastAsia" w:ascii="宋体" w:hAnsi="宋体" w:eastAsia="宋体" w:cs="宋体"/>
          <w:kern w:val="0"/>
          <w:sz w:val="24"/>
          <w:highlight w:val="none"/>
          <w:lang w:val="zh-CN"/>
        </w:rPr>
        <w:t>：</w:t>
      </w:r>
    </w:p>
    <w:p>
      <w:pPr>
        <w:kinsoku/>
        <w:wordWrap/>
        <w:overflowPunct/>
        <w:topLinePunct w:val="0"/>
        <w:bidi w:val="0"/>
        <w:snapToGrid w:val="0"/>
        <w:spacing w:line="360" w:lineRule="auto"/>
        <w:ind w:firstLine="576"/>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兹委派我公司</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先生/女士(其在本公司的职务是：</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 xml:space="preserve"> ，联系电话：</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传真：</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)，代表我公司全权处理</w:t>
      </w:r>
      <w:r>
        <w:rPr>
          <w:rFonts w:hint="eastAsia" w:ascii="宋体" w:hAnsi="宋体" w:cs="宋体"/>
          <w:sz w:val="24"/>
          <w:highlight w:val="none"/>
          <w:lang w:eastAsia="zh-CN"/>
        </w:rPr>
        <w:t>宁海县气象局风廓线雷达配套设施建设项目</w:t>
      </w:r>
      <w:r>
        <w:rPr>
          <w:rFonts w:hint="eastAsia" w:ascii="宋体" w:hAnsi="宋体" w:eastAsia="宋体" w:cs="宋体"/>
          <w:sz w:val="24"/>
          <w:highlight w:val="none"/>
        </w:rPr>
        <w:t>【项目编号：</w:t>
      </w:r>
      <w:r>
        <w:rPr>
          <w:rFonts w:hint="eastAsia" w:ascii="宋体" w:hAnsi="宋体" w:cs="宋体"/>
          <w:sz w:val="24"/>
          <w:highlight w:val="none"/>
          <w:lang w:eastAsia="zh-CN"/>
        </w:rPr>
        <w:t>CBNB-20246170G</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政府采购响应的一切事项，若成交则全权代表本公司签订相关合同，并负责处理合同履行等事宜。</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本委托书有效期：自    年 月  日起至    年  月  日止。</w:t>
      </w:r>
    </w:p>
    <w:p>
      <w:pPr>
        <w:kinsoku/>
        <w:wordWrap/>
        <w:overflowPunct/>
        <w:topLinePunct w:val="0"/>
        <w:bidi w:val="0"/>
        <w:snapToGrid w:val="0"/>
        <w:spacing w:line="360" w:lineRule="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pPr>
        <w:kinsoku/>
        <w:wordWrap/>
        <w:overflowPunct/>
        <w:topLinePunct w:val="0"/>
        <w:bidi w:val="0"/>
        <w:snapToGrid w:val="0"/>
        <w:spacing w:line="360" w:lineRule="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供应商名称(电子签名)：</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p>
    <w:p>
      <w:pPr>
        <w:widowControl/>
        <w:kinsoku/>
        <w:wordWrap/>
        <w:overflowPunct/>
        <w:topLinePunct w:val="0"/>
        <w:bidi w:val="0"/>
        <w:adjustRightInd/>
        <w:jc w:val="left"/>
        <w:outlineLvl w:val="9"/>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kinsoku/>
        <w:wordWrap/>
        <w:overflowPunct/>
        <w:topLinePunct w:val="0"/>
        <w:bidi w:val="0"/>
        <w:snapToGrid w:val="0"/>
        <w:spacing w:line="360" w:lineRule="auto"/>
        <w:jc w:val="center"/>
        <w:outlineLvl w:val="9"/>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联合体响应授权书（扫描件加盖上传单位电子签名）</w:t>
      </w:r>
    </w:p>
    <w:p>
      <w:pPr>
        <w:kinsoku/>
        <w:wordWrap/>
        <w:overflowPunct/>
        <w:topLinePunct w:val="0"/>
        <w:bidi w:val="0"/>
        <w:snapToGrid w:val="0"/>
        <w:spacing w:line="360" w:lineRule="auto"/>
        <w:jc w:val="center"/>
        <w:outlineLvl w:val="9"/>
        <w:rPr>
          <w:rFonts w:hint="eastAsia" w:ascii="宋体" w:hAnsi="宋体" w:eastAsia="宋体" w:cs="宋体"/>
          <w:b/>
          <w:kern w:val="0"/>
          <w:sz w:val="30"/>
          <w:szCs w:val="30"/>
          <w:highlight w:val="none"/>
          <w:lang w:val="zh-CN"/>
        </w:rPr>
      </w:pPr>
      <w:r>
        <w:rPr>
          <w:rFonts w:hint="eastAsia" w:ascii="宋体" w:hAnsi="宋体" w:eastAsia="宋体" w:cs="宋体"/>
          <w:b/>
          <w:kern w:val="0"/>
          <w:sz w:val="30"/>
          <w:szCs w:val="30"/>
          <w:highlight w:val="none"/>
          <w:lang w:val="zh-CN"/>
        </w:rPr>
        <w:t>（适用于联合体响应）</w:t>
      </w:r>
    </w:p>
    <w:p>
      <w:pPr>
        <w:kinsoku/>
        <w:wordWrap/>
        <w:overflowPunct/>
        <w:topLinePunct w:val="0"/>
        <w:bidi w:val="0"/>
        <w:snapToGrid w:val="0"/>
        <w:spacing w:line="360" w:lineRule="auto"/>
        <w:outlineLvl w:val="9"/>
        <w:rPr>
          <w:rFonts w:hint="eastAsia" w:ascii="宋体" w:hAnsi="宋体" w:eastAsia="宋体" w:cs="宋体"/>
          <w:kern w:val="0"/>
          <w:sz w:val="24"/>
          <w:highlight w:val="none"/>
        </w:rPr>
      </w:pPr>
      <w:r>
        <w:rPr>
          <w:rFonts w:hint="eastAsia" w:ascii="宋体" w:hAnsi="宋体" w:cs="宋体"/>
          <w:sz w:val="24"/>
          <w:highlight w:val="none"/>
          <w:lang w:eastAsia="zh-CN"/>
        </w:rPr>
        <w:t>宁海县气象局</w:t>
      </w:r>
      <w:r>
        <w:rPr>
          <w:rFonts w:hint="eastAsia" w:ascii="宋体" w:hAnsi="宋体" w:eastAsia="宋体" w:cs="宋体"/>
          <w:sz w:val="24"/>
          <w:highlight w:val="none"/>
        </w:rPr>
        <w:t>、</w:t>
      </w:r>
      <w:r>
        <w:rPr>
          <w:rFonts w:hint="eastAsia" w:ascii="宋体" w:hAnsi="宋体" w:cs="宋体"/>
          <w:sz w:val="24"/>
          <w:highlight w:val="none"/>
          <w:lang w:eastAsia="zh-CN"/>
        </w:rPr>
        <w:t>宁波中基国际招标有限公司</w:t>
      </w:r>
      <w:r>
        <w:rPr>
          <w:rFonts w:hint="eastAsia" w:ascii="宋体" w:hAnsi="宋体" w:eastAsia="宋体" w:cs="宋体"/>
          <w:kern w:val="0"/>
          <w:sz w:val="24"/>
          <w:highlight w:val="none"/>
          <w:lang w:val="zh-CN"/>
        </w:rPr>
        <w:t>：</w:t>
      </w:r>
    </w:p>
    <w:p>
      <w:pPr>
        <w:kinsoku/>
        <w:wordWrap/>
        <w:overflowPunct/>
        <w:topLinePunct w:val="0"/>
        <w:bidi w:val="0"/>
        <w:snapToGrid w:val="0"/>
        <w:spacing w:line="360" w:lineRule="auto"/>
        <w:ind w:firstLine="576"/>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cs="宋体"/>
          <w:sz w:val="24"/>
          <w:highlight w:val="none"/>
          <w:lang w:eastAsia="zh-CN"/>
        </w:rPr>
        <w:t>宁海县气象局风廓线雷达配套设施建设项目</w:t>
      </w:r>
      <w:r>
        <w:rPr>
          <w:rFonts w:hint="eastAsia" w:ascii="宋体" w:hAnsi="宋体" w:eastAsia="宋体" w:cs="宋体"/>
          <w:kern w:val="0"/>
          <w:sz w:val="24"/>
          <w:highlight w:val="none"/>
          <w:lang w:val="zh-CN"/>
        </w:rPr>
        <w:t>【项目编号：</w:t>
      </w:r>
      <w:r>
        <w:rPr>
          <w:rFonts w:hint="eastAsia" w:ascii="宋体" w:hAnsi="宋体" w:cs="宋体"/>
          <w:kern w:val="0"/>
          <w:sz w:val="24"/>
          <w:highlight w:val="none"/>
          <w:lang w:val="zh-CN"/>
        </w:rPr>
        <w:t>CBNB-20246170G</w:t>
      </w:r>
      <w:r>
        <w:rPr>
          <w:rFonts w:hint="eastAsia" w:ascii="宋体" w:hAnsi="宋体" w:eastAsia="宋体" w:cs="宋体"/>
          <w:kern w:val="0"/>
          <w:sz w:val="24"/>
          <w:highlight w:val="none"/>
          <w:lang w:val="zh-CN"/>
        </w:rPr>
        <w:t>】政府采购响应的一切事项，其法律后果由我方承担。</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本授权书有效期：自   年 月  日起至  年  月  日止。</w:t>
      </w:r>
    </w:p>
    <w:p>
      <w:pPr>
        <w:kinsoku/>
        <w:wordWrap/>
        <w:overflowPunct/>
        <w:topLinePunct w:val="0"/>
        <w:bidi w:val="0"/>
        <w:snapToGrid w:val="0"/>
        <w:spacing w:line="360" w:lineRule="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特此告知。</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kinsoku/>
        <w:wordWrap/>
        <w:overflowPunct/>
        <w:topLinePunct w:val="0"/>
        <w:bidi w:val="0"/>
        <w:snapToGrid w:val="0"/>
        <w:spacing w:line="360" w:lineRule="auto"/>
        <w:ind w:firstLine="5040" w:firstLineChars="2100"/>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insoku/>
        <w:wordWrap/>
        <w:overflowPunct/>
        <w:topLinePunct w:val="0"/>
        <w:bidi w:val="0"/>
        <w:snapToGrid w:val="0"/>
        <w:spacing w:line="360" w:lineRule="auto"/>
        <w:ind w:firstLine="5040" w:firstLineChars="2100"/>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insoku/>
        <w:wordWrap/>
        <w:overflowPunct/>
        <w:topLinePunct w:val="0"/>
        <w:bidi w:val="0"/>
        <w:snapToGrid w:val="0"/>
        <w:spacing w:line="360" w:lineRule="auto"/>
        <w:ind w:firstLine="5760" w:firstLineChars="2400"/>
        <w:outlineLvl w:val="9"/>
        <w:rPr>
          <w:rFonts w:hint="eastAsia" w:ascii="宋体" w:hAnsi="宋体" w:eastAsia="宋体" w:cs="宋体"/>
          <w:highlight w:val="none"/>
        </w:rPr>
      </w:pPr>
      <w:r>
        <w:rPr>
          <w:rFonts w:hint="eastAsia" w:ascii="宋体" w:hAnsi="宋体" w:eastAsia="宋体" w:cs="宋体"/>
          <w:kern w:val="0"/>
          <w:sz w:val="24"/>
          <w:highlight w:val="none"/>
          <w:lang w:val="zh-CN"/>
        </w:rPr>
        <w:t>……</w:t>
      </w:r>
    </w:p>
    <w:p>
      <w:pPr>
        <w:kinsoku/>
        <w:wordWrap/>
        <w:overflowPunct/>
        <w:topLinePunct w:val="0"/>
        <w:bidi w:val="0"/>
        <w:snapToGrid w:val="0"/>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kinsoku/>
        <w:wordWrap/>
        <w:overflowPunct/>
        <w:topLinePunct w:val="0"/>
        <w:bidi w:val="0"/>
        <w:adjustRightInd/>
        <w:jc w:val="left"/>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b/>
          <w:sz w:val="30"/>
          <w:szCs w:val="30"/>
          <w:highlight w:val="none"/>
        </w:rPr>
        <w:t>授权代表的身份证（复印件）</w:t>
      </w:r>
    </w:p>
    <w:p>
      <w:pPr>
        <w:pStyle w:val="620"/>
        <w:kinsoku/>
        <w:wordWrap/>
        <w:overflowPunct/>
        <w:topLinePunct w:val="0"/>
        <w:bidi w:val="0"/>
        <w:spacing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pPr>
              <w:pStyle w:val="620"/>
              <w:kinsoku/>
              <w:wordWrap/>
              <w:overflowPunct/>
              <w:topLinePunct w:val="0"/>
              <w:bidi w:val="0"/>
              <w:spacing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620"/>
              <w:kinsoku/>
              <w:wordWrap/>
              <w:overflowPunct/>
              <w:topLinePunct w:val="0"/>
              <w:bidi w:val="0"/>
              <w:spacing w:line="360" w:lineRule="auto"/>
              <w:outlineLvl w:val="9"/>
              <w:rPr>
                <w:rFonts w:hint="eastAsia" w:ascii="宋体" w:hAnsi="宋体" w:eastAsia="宋体" w:cs="宋体"/>
                <w:bCs/>
                <w:sz w:val="24"/>
                <w:highlight w:val="none"/>
              </w:rPr>
            </w:pPr>
          </w:p>
        </w:tc>
      </w:tr>
    </w:tbl>
    <w:p>
      <w:pPr>
        <w:kinsoku/>
        <w:wordWrap/>
        <w:overflowPunct/>
        <w:topLinePunct w:val="0"/>
        <w:bidi w:val="0"/>
        <w:snapToGrid w:val="0"/>
        <w:spacing w:line="360" w:lineRule="auto"/>
        <w:ind w:firstLine="576"/>
        <w:jc w:val="right"/>
        <w:outlineLvl w:val="9"/>
        <w:rPr>
          <w:rFonts w:hint="eastAsia" w:ascii="宋体" w:hAnsi="宋体" w:eastAsia="宋体" w:cs="宋体"/>
          <w:kern w:val="0"/>
          <w:sz w:val="24"/>
          <w:highlight w:val="none"/>
          <w:lang w:val="zh-CN"/>
        </w:rPr>
      </w:pPr>
    </w:p>
    <w:p>
      <w:pPr>
        <w:kinsoku/>
        <w:wordWrap/>
        <w:overflowPunct/>
        <w:topLinePunct w:val="0"/>
        <w:bidi w:val="0"/>
        <w:snapToGrid w:val="0"/>
        <w:spacing w:line="360" w:lineRule="auto"/>
        <w:ind w:firstLine="576"/>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供应商名称(电子签名)：                              </w:t>
      </w:r>
    </w:p>
    <w:p>
      <w:pPr>
        <w:kinsoku/>
        <w:wordWrap/>
        <w:overflowPunct/>
        <w:topLinePunct w:val="0"/>
        <w:bidi w:val="0"/>
        <w:spacing w:line="360" w:lineRule="auto"/>
        <w:jc w:val="center"/>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w:t>
      </w:r>
    </w:p>
    <w:p>
      <w:pPr>
        <w:kinsoku/>
        <w:wordWrap/>
        <w:overflowPunct/>
        <w:topLinePunct w:val="0"/>
        <w:bidi w:val="0"/>
        <w:snapToGrid w:val="0"/>
        <w:spacing w:line="360" w:lineRule="auto"/>
        <w:ind w:firstLine="576"/>
        <w:jc w:val="center"/>
        <w:outlineLvl w:val="9"/>
        <w:rPr>
          <w:rFonts w:hint="eastAsia" w:ascii="宋体" w:hAnsi="宋体" w:eastAsia="宋体" w:cs="宋体"/>
          <w:sz w:val="28"/>
          <w:szCs w:val="28"/>
          <w:highlight w:val="none"/>
        </w:rPr>
      </w:pPr>
    </w:p>
    <w:p>
      <w:pPr>
        <w:widowControl/>
        <w:kinsoku/>
        <w:wordWrap/>
        <w:overflowPunct/>
        <w:topLinePunct w:val="0"/>
        <w:bidi w:val="0"/>
        <w:adjustRightInd/>
        <w:jc w:val="left"/>
        <w:outlineLvl w:val="9"/>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kinsoku/>
        <w:wordWrap/>
        <w:overflowPunct/>
        <w:topLinePunct w:val="0"/>
        <w:bidi w:val="0"/>
        <w:snapToGrid w:val="0"/>
        <w:spacing w:line="360" w:lineRule="auto"/>
        <w:jc w:val="center"/>
        <w:outlineLvl w:val="9"/>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四</w:t>
      </w:r>
      <w:r>
        <w:rPr>
          <w:rFonts w:hint="eastAsia" w:ascii="宋体" w:hAnsi="宋体" w:eastAsia="宋体" w:cs="宋体"/>
          <w:b/>
          <w:sz w:val="32"/>
          <w:szCs w:val="32"/>
          <w:highlight w:val="none"/>
        </w:rPr>
        <w:t>、</w:t>
      </w:r>
      <w:r>
        <w:rPr>
          <w:rFonts w:hint="eastAsia" w:ascii="宋体" w:hAnsi="宋体" w:eastAsia="宋体" w:cs="宋体"/>
          <w:b/>
          <w:kern w:val="0"/>
          <w:sz w:val="32"/>
          <w:szCs w:val="32"/>
          <w:highlight w:val="none"/>
        </w:rPr>
        <w:t>分包意向协议（如果有）</w:t>
      </w:r>
    </w:p>
    <w:p>
      <w:pPr>
        <w:pageBreakBefore w:val="0"/>
        <w:widowControl/>
        <w:kinsoku/>
        <w:wordWrap/>
        <w:overflowPunct/>
        <w:topLinePunct w:val="0"/>
        <w:autoSpaceDE/>
        <w:autoSpaceDN/>
        <w:bidi w:val="0"/>
        <w:spacing w:line="312" w:lineRule="auto"/>
        <w:ind w:firstLine="120" w:firstLineChars="5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sz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若成为</w:t>
      </w:r>
      <w:r>
        <w:rPr>
          <w:rFonts w:hint="eastAsia" w:ascii="宋体" w:hAnsi="宋体" w:cs="宋体"/>
          <w:sz w:val="24"/>
          <w:highlight w:val="none"/>
          <w:lang w:eastAsia="zh-CN"/>
        </w:rPr>
        <w:t>宁海县气象局风廓线雷达配套设施建设项目</w:t>
      </w:r>
      <w:r>
        <w:rPr>
          <w:rFonts w:hint="eastAsia" w:ascii="宋体" w:hAnsi="宋体" w:eastAsia="宋体" w:cs="宋体"/>
          <w:sz w:val="24"/>
          <w:highlight w:val="none"/>
        </w:rPr>
        <w:t>【项目编号：</w:t>
      </w:r>
      <w:r>
        <w:rPr>
          <w:rFonts w:hint="eastAsia" w:ascii="宋体" w:hAnsi="宋体" w:cs="宋体"/>
          <w:sz w:val="24"/>
          <w:highlight w:val="none"/>
          <w:lang w:eastAsia="zh-CN"/>
        </w:rPr>
        <w:t>CBNB-20246170G</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的成交供应商，将依法采取分包方式履行合同。</w:t>
      </w: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（供应商名称）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pageBreakBefore w:val="0"/>
        <w:kinsoku/>
        <w:wordWrap/>
        <w:overflowPunct/>
        <w:topLinePunct w:val="0"/>
        <w:autoSpaceDE/>
        <w:autoSpaceDN/>
        <w:bidi w:val="0"/>
        <w:spacing w:line="312" w:lineRule="auto"/>
        <w:ind w:firstLine="305"/>
        <w:textAlignment w:val="auto"/>
        <w:outlineLvl w:val="9"/>
        <w:rPr>
          <w:rFonts w:hint="eastAsia" w:ascii="宋体" w:hAnsi="宋体" w:eastAsia="宋体" w:cs="宋体"/>
          <w:highlight w:val="none"/>
        </w:rPr>
      </w:pPr>
      <w:r>
        <w:rPr>
          <w:rFonts w:hint="eastAsia" w:ascii="宋体" w:hAnsi="宋体" w:eastAsia="宋体" w:cs="宋体"/>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二、分包供应商中小企业合同份额（如果有）</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pPr>
        <w:pageBreakBefore w:val="0"/>
        <w:kinsoku/>
        <w:wordWrap/>
        <w:overflowPunct/>
        <w:topLinePunct w:val="0"/>
        <w:autoSpaceDE/>
        <w:autoSpaceDN/>
        <w:bidi w:val="0"/>
        <w:spacing w:line="312" w:lineRule="auto"/>
        <w:ind w:firstLine="480" w:firstLineChars="200"/>
        <w:textAlignment w:val="auto"/>
        <w:outlineLvl w:val="9"/>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pPr>
        <w:pageBreakBefore w:val="0"/>
        <w:kinsoku/>
        <w:wordWrap/>
        <w:overflowPunct/>
        <w:topLinePunct w:val="0"/>
        <w:autoSpaceDE/>
        <w:autoSpaceDN/>
        <w:bidi w:val="0"/>
        <w:snapToGrid w:val="0"/>
        <w:spacing w:line="312" w:lineRule="auto"/>
        <w:ind w:left="573" w:leftChars="273"/>
        <w:textAlignment w:val="auto"/>
        <w:outlineLvl w:val="9"/>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pageBreakBefore w:val="0"/>
        <w:kinsoku/>
        <w:wordWrap/>
        <w:overflowPunct/>
        <w:topLinePunct w:val="0"/>
        <w:autoSpaceDE/>
        <w:autoSpaceDN/>
        <w:bidi w:val="0"/>
        <w:snapToGrid w:val="0"/>
        <w:spacing w:line="312" w:lineRule="auto"/>
        <w:ind w:left="573" w:leftChars="273"/>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供应商名称(电子签名)：</w:t>
      </w:r>
    </w:p>
    <w:p>
      <w:pPr>
        <w:pageBreakBefore w:val="0"/>
        <w:kinsoku/>
        <w:wordWrap/>
        <w:overflowPunct/>
        <w:topLinePunct w:val="0"/>
        <w:autoSpaceDE/>
        <w:autoSpaceDN/>
        <w:bidi w:val="0"/>
        <w:snapToGrid w:val="0"/>
        <w:spacing w:line="312" w:lineRule="auto"/>
        <w:jc w:val="right"/>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pPr>
        <w:pageBreakBefore w:val="0"/>
        <w:kinsoku/>
        <w:wordWrap/>
        <w:overflowPunct/>
        <w:topLinePunct w:val="0"/>
        <w:autoSpaceDE/>
        <w:autoSpaceDN/>
        <w:bidi w:val="0"/>
        <w:spacing w:line="312" w:lineRule="auto"/>
        <w:jc w:val="center"/>
        <w:textAlignment w:val="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pageBreakBefore w:val="0"/>
        <w:widowControl/>
        <w:kinsoku/>
        <w:wordWrap/>
        <w:overflowPunct/>
        <w:topLinePunct w:val="0"/>
        <w:autoSpaceDE/>
        <w:autoSpaceDN/>
        <w:bidi w:val="0"/>
        <w:adjustRightInd/>
        <w:spacing w:line="312" w:lineRule="auto"/>
        <w:jc w:val="left"/>
        <w:textAlignment w:val="auto"/>
        <w:outlineLvl w:val="9"/>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b/>
          <w:kern w:val="0"/>
          <w:sz w:val="32"/>
          <w:szCs w:val="32"/>
          <w:highlight w:val="none"/>
          <w:lang w:val="zh-CN"/>
        </w:rPr>
        <w:t>五</w:t>
      </w:r>
      <w:r>
        <w:rPr>
          <w:rFonts w:hint="eastAsia" w:ascii="宋体" w:hAnsi="宋体" w:eastAsia="宋体" w:cs="宋体"/>
          <w:b/>
          <w:sz w:val="32"/>
          <w:szCs w:val="32"/>
          <w:highlight w:val="none"/>
        </w:rPr>
        <w:t>、所有资信文件（复印件）</w:t>
      </w: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sz w:val="24"/>
          <w:highlight w:val="none"/>
        </w:rPr>
        <w:t>（由供应商根据采购需求及磋商文件要求编制）</w:t>
      </w:r>
    </w:p>
    <w:p>
      <w:pPr>
        <w:kinsoku/>
        <w:wordWrap/>
        <w:overflowPunct/>
        <w:topLinePunct w:val="0"/>
        <w:bidi w:val="0"/>
        <w:spacing w:line="360" w:lineRule="auto"/>
        <w:jc w:val="center"/>
        <w:outlineLvl w:val="9"/>
        <w:rPr>
          <w:rFonts w:hint="eastAsia" w:ascii="宋体" w:hAnsi="宋体" w:eastAsia="宋体" w:cs="宋体"/>
          <w:b/>
          <w:sz w:val="30"/>
          <w:szCs w:val="30"/>
          <w:highlight w:val="none"/>
        </w:rPr>
      </w:pPr>
    </w:p>
    <w:p>
      <w:pPr>
        <w:kinsoku/>
        <w:wordWrap/>
        <w:overflowPunct/>
        <w:topLinePunct w:val="0"/>
        <w:bidi w:val="0"/>
        <w:snapToGrid w:val="0"/>
        <w:spacing w:line="360" w:lineRule="auto"/>
        <w:ind w:firstLine="5160" w:firstLineChars="2150"/>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pPr>
        <w:kinsoku/>
        <w:wordWrap/>
        <w:overflowPunct/>
        <w:topLinePunct w:val="0"/>
        <w:bidi w:val="0"/>
        <w:snapToGrid w:val="0"/>
        <w:spacing w:line="360" w:lineRule="auto"/>
        <w:ind w:firstLine="5160" w:firstLineChars="2150"/>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kinsoku/>
        <w:wordWrap/>
        <w:overflowPunct/>
        <w:topLinePunct w:val="0"/>
        <w:bidi w:val="0"/>
        <w:spacing w:line="360" w:lineRule="auto"/>
        <w:jc w:val="center"/>
        <w:outlineLvl w:val="9"/>
        <w:rPr>
          <w:rFonts w:hint="eastAsia" w:ascii="宋体" w:hAnsi="宋体" w:eastAsia="宋体" w:cs="宋体"/>
          <w:b/>
          <w:kern w:val="0"/>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kern w:val="0"/>
          <w:sz w:val="32"/>
          <w:szCs w:val="32"/>
          <w:highlight w:val="none"/>
        </w:rPr>
        <w:t>六</w:t>
      </w:r>
      <w:r>
        <w:rPr>
          <w:rFonts w:hint="eastAsia" w:ascii="宋体" w:hAnsi="宋体" w:eastAsia="宋体" w:cs="宋体"/>
          <w:b/>
          <w:bCs/>
          <w:sz w:val="32"/>
          <w:szCs w:val="32"/>
          <w:highlight w:val="none"/>
        </w:rPr>
        <w:t>、</w:t>
      </w:r>
      <w:r>
        <w:rPr>
          <w:rFonts w:hint="eastAsia" w:ascii="宋体" w:hAnsi="宋体" w:eastAsia="宋体" w:cs="宋体"/>
          <w:b/>
          <w:kern w:val="0"/>
          <w:sz w:val="32"/>
          <w:szCs w:val="32"/>
          <w:highlight w:val="none"/>
          <w:lang w:val="zh-CN"/>
        </w:rPr>
        <w:t>主要业绩证明</w:t>
      </w:r>
    </w:p>
    <w:p>
      <w:pPr>
        <w:kinsoku/>
        <w:wordWrap/>
        <w:overflowPunct/>
        <w:topLinePunct w:val="0"/>
        <w:autoSpaceDE w:val="0"/>
        <w:autoSpaceDN w:val="0"/>
        <w:bidi w:val="0"/>
        <w:spacing w:line="360" w:lineRule="auto"/>
        <w:ind w:firstLine="120"/>
        <w:outlineLvl w:val="9"/>
        <w:rPr>
          <w:rFonts w:hint="eastAsia" w:ascii="宋体" w:hAnsi="宋体" w:eastAsia="宋体" w:cs="宋体"/>
          <w:b/>
          <w:sz w:val="24"/>
          <w:highlight w:val="none"/>
        </w:rPr>
      </w:pPr>
      <w:r>
        <w:rPr>
          <w:rFonts w:hint="eastAsia" w:ascii="宋体" w:hAnsi="宋体" w:eastAsia="宋体" w:cs="宋体"/>
          <w:b/>
          <w:sz w:val="24"/>
          <w:highlight w:val="none"/>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854"/>
        <w:gridCol w:w="1645"/>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w:t>
            </w:r>
          </w:p>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类型</w:t>
            </w:r>
          </w:p>
        </w:tc>
        <w:tc>
          <w:tcPr>
            <w:tcW w:w="854"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简要描述</w:t>
            </w:r>
          </w:p>
        </w:tc>
        <w:tc>
          <w:tcPr>
            <w:tcW w:w="1645"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w:t>
            </w:r>
          </w:p>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金额</w:t>
            </w:r>
            <w:r>
              <w:rPr>
                <w:rFonts w:hint="eastAsia" w:ascii="宋体" w:hAnsi="宋体" w:eastAsia="宋体" w:cs="宋体"/>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合同签订</w:t>
            </w:r>
            <w:r>
              <w:rPr>
                <w:rFonts w:hint="eastAsia" w:ascii="宋体" w:hAnsi="宋体" w:eastAsia="宋体" w:cs="宋体"/>
                <w:sz w:val="24"/>
                <w:highlight w:val="none"/>
              </w:rPr>
              <w:t>日期</w:t>
            </w:r>
          </w:p>
        </w:tc>
        <w:tc>
          <w:tcPr>
            <w:tcW w:w="1515"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项目地址与</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kinsoku/>
              <w:wordWrap/>
              <w:overflowPunct/>
              <w:topLinePunct w:val="0"/>
              <w:autoSpaceDE w:val="0"/>
              <w:autoSpaceDN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854"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64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854"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64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854"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64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854"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64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854"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64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tc>
      </w:tr>
    </w:tbl>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r>
        <w:rPr>
          <w:rFonts w:hint="eastAsia" w:ascii="宋体" w:hAnsi="宋体" w:eastAsia="宋体" w:cs="宋体"/>
          <w:b/>
          <w:sz w:val="24"/>
          <w:highlight w:val="none"/>
        </w:rPr>
        <w:t>注：供应商可按上述的格式自行编制，须随表提交相应的合同复印件并注明所在文件页码。</w:t>
      </w:r>
    </w:p>
    <w:p>
      <w:pPr>
        <w:kinsoku/>
        <w:wordWrap/>
        <w:overflowPunct/>
        <w:topLinePunct w:val="0"/>
        <w:autoSpaceDE w:val="0"/>
        <w:autoSpaceDN w:val="0"/>
        <w:bidi w:val="0"/>
        <w:spacing w:line="360" w:lineRule="auto"/>
        <w:outlineLvl w:val="9"/>
        <w:rPr>
          <w:rFonts w:hint="eastAsia" w:ascii="宋体" w:hAnsi="宋体" w:eastAsia="宋体" w:cs="宋体"/>
          <w:sz w:val="24"/>
          <w:highlight w:val="none"/>
        </w:rPr>
      </w:pPr>
    </w:p>
    <w:p>
      <w:pPr>
        <w:kinsoku/>
        <w:wordWrap/>
        <w:overflowPunct/>
        <w:topLinePunct w:val="0"/>
        <w:autoSpaceDE w:val="0"/>
        <w:autoSpaceDN w:val="0"/>
        <w:bidi w:val="0"/>
        <w:spacing w:line="360" w:lineRule="auto"/>
        <w:ind w:firstLine="5280" w:firstLineChars="2200"/>
        <w:outlineLvl w:val="9"/>
        <w:rPr>
          <w:rFonts w:hint="eastAsia" w:ascii="宋体" w:hAnsi="宋体" w:eastAsia="宋体" w:cs="宋体"/>
          <w:kern w:val="0"/>
          <w:sz w:val="24"/>
          <w:highlight w:val="none"/>
        </w:rPr>
      </w:pPr>
    </w:p>
    <w:p>
      <w:pPr>
        <w:kinsoku/>
        <w:wordWrap/>
        <w:overflowPunct/>
        <w:topLinePunct w:val="0"/>
        <w:autoSpaceDE w:val="0"/>
        <w:autoSpaceDN w:val="0"/>
        <w:bidi w:val="0"/>
        <w:spacing w:line="360" w:lineRule="auto"/>
        <w:ind w:firstLine="5280" w:firstLineChars="2200"/>
        <w:outlineLvl w:val="9"/>
        <w:rPr>
          <w:rFonts w:hint="eastAsia" w:ascii="宋体" w:hAnsi="宋体" w:eastAsia="宋体" w:cs="宋体"/>
          <w:kern w:val="0"/>
          <w:sz w:val="24"/>
          <w:highlight w:val="none"/>
        </w:rPr>
      </w:pPr>
    </w:p>
    <w:p>
      <w:pPr>
        <w:kinsoku/>
        <w:wordWrap/>
        <w:overflowPunct/>
        <w:topLinePunct w:val="0"/>
        <w:autoSpaceDE w:val="0"/>
        <w:autoSpaceDN w:val="0"/>
        <w:bidi w:val="0"/>
        <w:spacing w:line="360" w:lineRule="auto"/>
        <w:ind w:firstLine="4560" w:firstLineChars="19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 xml:space="preserve">）：                       </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七、关于</w:t>
      </w:r>
      <w:r>
        <w:rPr>
          <w:rFonts w:hint="eastAsia" w:ascii="宋体" w:hAnsi="宋体" w:eastAsia="宋体" w:cs="宋体"/>
          <w:b/>
          <w:kern w:val="0"/>
          <w:sz w:val="32"/>
          <w:szCs w:val="32"/>
          <w:highlight w:val="none"/>
          <w:lang w:val="zh-CN"/>
        </w:rPr>
        <w:t>对磋商文件中有关条款的拒绝声明</w:t>
      </w:r>
    </w:p>
    <w:p>
      <w:pPr>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pPr>
        <w:kinsoku/>
        <w:wordWrap/>
        <w:overflowPunct/>
        <w:topLinePunct w:val="0"/>
        <w:bidi w:val="0"/>
        <w:spacing w:line="360" w:lineRule="auto"/>
        <w:outlineLvl w:val="9"/>
        <w:rPr>
          <w:rFonts w:hint="eastAsia" w:ascii="宋体" w:hAnsi="宋体" w:eastAsia="宋体" w:cs="宋体"/>
          <w:sz w:val="24"/>
          <w:highlight w:val="none"/>
        </w:rPr>
      </w:pPr>
    </w:p>
    <w:p>
      <w:pPr>
        <w:kinsoku/>
        <w:wordWrap/>
        <w:overflowPunct/>
        <w:topLinePunct w:val="0"/>
        <w:autoSpaceDE w:val="0"/>
        <w:autoSpaceDN w:val="0"/>
        <w:bidi w:val="0"/>
        <w:spacing w:line="360" w:lineRule="auto"/>
        <w:ind w:firstLine="4560" w:firstLineChars="19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 xml:space="preserve">）：                       </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八、认为需要的</w:t>
      </w:r>
      <w:r>
        <w:rPr>
          <w:rFonts w:hint="eastAsia" w:ascii="宋体" w:hAnsi="宋体" w:eastAsia="宋体" w:cs="宋体"/>
          <w:b/>
          <w:kern w:val="0"/>
          <w:sz w:val="32"/>
          <w:szCs w:val="32"/>
          <w:highlight w:val="none"/>
          <w:lang w:val="zh-CN"/>
        </w:rPr>
        <w:t>其他商务文件或说明</w:t>
      </w:r>
    </w:p>
    <w:p>
      <w:pPr>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pPr>
        <w:kinsoku/>
        <w:wordWrap/>
        <w:overflowPunct/>
        <w:topLinePunct w:val="0"/>
        <w:bidi w:val="0"/>
        <w:spacing w:line="360" w:lineRule="auto"/>
        <w:jc w:val="center"/>
        <w:outlineLvl w:val="9"/>
        <w:rPr>
          <w:rFonts w:hint="eastAsia" w:ascii="宋体" w:hAnsi="宋体" w:eastAsia="宋体" w:cs="宋体"/>
          <w:sz w:val="24"/>
          <w:highlight w:val="none"/>
        </w:rPr>
      </w:pPr>
    </w:p>
    <w:p>
      <w:pPr>
        <w:kinsoku/>
        <w:wordWrap/>
        <w:overflowPunct/>
        <w:topLinePunct w:val="0"/>
        <w:bidi w:val="0"/>
        <w:spacing w:line="360" w:lineRule="auto"/>
        <w:outlineLvl w:val="9"/>
        <w:rPr>
          <w:rFonts w:hint="eastAsia" w:ascii="宋体" w:hAnsi="宋体" w:eastAsia="宋体" w:cs="宋体"/>
          <w:sz w:val="24"/>
          <w:highlight w:val="none"/>
        </w:rPr>
      </w:pPr>
    </w:p>
    <w:p>
      <w:pPr>
        <w:kinsoku/>
        <w:wordWrap/>
        <w:overflowPunct/>
        <w:topLinePunct w:val="0"/>
        <w:autoSpaceDE w:val="0"/>
        <w:autoSpaceDN w:val="0"/>
        <w:bidi w:val="0"/>
        <w:spacing w:line="360" w:lineRule="auto"/>
        <w:ind w:firstLine="4560" w:firstLineChars="19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 xml:space="preserve">）：                       </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outlineLvl w:val="9"/>
        <w:rPr>
          <w:rFonts w:hint="eastAsia" w:ascii="宋体" w:hAnsi="宋体" w:eastAsia="宋体" w:cs="宋体"/>
          <w:b/>
          <w:bCs/>
          <w:kern w:val="0"/>
          <w:sz w:val="24"/>
          <w:highlight w:val="none"/>
        </w:rPr>
      </w:pPr>
    </w:p>
    <w:p>
      <w:pPr>
        <w:widowControl/>
        <w:kinsoku/>
        <w:wordWrap/>
        <w:overflowPunct/>
        <w:topLinePunct w:val="0"/>
        <w:bidi w:val="0"/>
        <w:adjustRightInd/>
        <w:jc w:val="left"/>
        <w:outlineLvl w:val="9"/>
        <w:rPr>
          <w:rFonts w:hint="eastAsia" w:ascii="宋体" w:hAnsi="宋体" w:eastAsia="宋体" w:cs="宋体"/>
          <w:b/>
          <w:sz w:val="32"/>
          <w:szCs w:val="32"/>
          <w:highlight w:val="none"/>
        </w:rPr>
      </w:pPr>
      <w:r>
        <w:rPr>
          <w:rFonts w:hint="eastAsia" w:ascii="宋体" w:hAnsi="宋体" w:eastAsia="宋体" w:cs="宋体"/>
          <w:highlight w:val="none"/>
        </w:rPr>
        <w:br w:type="page"/>
      </w:r>
    </w:p>
    <w:p>
      <w:pPr>
        <w:kinsoku/>
        <w:wordWrap/>
        <w:overflowPunct/>
        <w:topLinePunct w:val="0"/>
        <w:bidi w:val="0"/>
        <w:spacing w:line="360" w:lineRule="auto"/>
        <w:ind w:firstLine="630" w:firstLineChars="196"/>
        <w:outlineLvl w:val="9"/>
        <w:rPr>
          <w:rFonts w:hint="eastAsia" w:ascii="宋体" w:hAnsi="宋体" w:eastAsia="宋体" w:cs="宋体"/>
          <w:sz w:val="24"/>
          <w:highlight w:val="none"/>
        </w:rPr>
      </w:pPr>
      <w:r>
        <w:rPr>
          <w:rFonts w:hint="eastAsia" w:ascii="宋体" w:hAnsi="宋体" w:eastAsia="宋体" w:cs="宋体"/>
          <w:b/>
          <w:bCs/>
          <w:sz w:val="32"/>
          <w:szCs w:val="32"/>
          <w:highlight w:val="none"/>
        </w:rPr>
        <w:t>九、</w:t>
      </w:r>
      <w:r>
        <w:rPr>
          <w:rFonts w:hint="eastAsia" w:ascii="宋体" w:hAnsi="宋体" w:eastAsia="宋体" w:cs="宋体"/>
          <w:b/>
          <w:bCs/>
          <w:sz w:val="32"/>
          <w:szCs w:val="32"/>
          <w:highlight w:val="none"/>
          <w:lang w:val="zh-CN"/>
        </w:rPr>
        <w:t>针对本项目《第四部分  采购需求》和“第五部分  评审方法及评审标准  评审方法前附表”中的条款拟定完整方案，格式自拟；</w:t>
      </w:r>
    </w:p>
    <w:p>
      <w:pPr>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p>
    <w:p>
      <w:pPr>
        <w:kinsoku/>
        <w:wordWrap/>
        <w:overflowPunct/>
        <w:topLinePunct w:val="0"/>
        <w:autoSpaceDE w:val="0"/>
        <w:autoSpaceDN w:val="0"/>
        <w:bidi w:val="0"/>
        <w:spacing w:line="360" w:lineRule="auto"/>
        <w:ind w:firstLine="4560" w:firstLineChars="19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 xml:space="preserve">）：                       </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jc w:val="center"/>
        <w:outlineLvl w:val="9"/>
        <w:rPr>
          <w:rFonts w:hint="eastAsia" w:ascii="宋体" w:hAnsi="宋体" w:eastAsia="宋体" w:cs="宋体"/>
          <w:kern w:val="0"/>
          <w:sz w:val="24"/>
          <w:highlight w:val="none"/>
        </w:rPr>
      </w:pPr>
    </w:p>
    <w:p>
      <w:pPr>
        <w:kinsoku/>
        <w:wordWrap/>
        <w:overflowPunct/>
        <w:topLinePunct w:val="0"/>
        <w:bidi w:val="0"/>
        <w:spacing w:line="360" w:lineRule="auto"/>
        <w:jc w:val="center"/>
        <w:outlineLvl w:val="9"/>
        <w:rPr>
          <w:rFonts w:hint="eastAsia" w:ascii="宋体" w:hAnsi="宋体" w:eastAsia="宋体" w:cs="宋体"/>
          <w:kern w:val="0"/>
          <w:sz w:val="24"/>
          <w:highlight w:val="none"/>
        </w:rPr>
      </w:pPr>
    </w:p>
    <w:p>
      <w:pPr>
        <w:kinsoku/>
        <w:wordWrap/>
        <w:overflowPunct/>
        <w:topLinePunct w:val="0"/>
        <w:bidi w:val="0"/>
        <w:spacing w:line="360" w:lineRule="auto"/>
        <w:jc w:val="center"/>
        <w:outlineLvl w:val="9"/>
        <w:rPr>
          <w:rFonts w:hint="eastAsia" w:ascii="宋体" w:hAnsi="宋体" w:eastAsia="宋体" w:cs="宋体"/>
          <w:b/>
          <w:kern w:val="0"/>
          <w:sz w:val="32"/>
          <w:szCs w:val="32"/>
          <w:highlight w:val="none"/>
          <w:lang w:val="zh-CN"/>
        </w:rPr>
      </w:pPr>
      <w:r>
        <w:rPr>
          <w:rFonts w:hint="eastAsia" w:ascii="宋体" w:hAnsi="宋体" w:eastAsia="宋体" w:cs="宋体"/>
          <w:b/>
          <w:bCs/>
          <w:sz w:val="32"/>
          <w:szCs w:val="32"/>
          <w:highlight w:val="none"/>
        </w:rPr>
        <w:t>十、认为需求的</w:t>
      </w:r>
      <w:r>
        <w:rPr>
          <w:rFonts w:hint="eastAsia" w:ascii="宋体" w:hAnsi="宋体" w:eastAsia="宋体" w:cs="宋体"/>
          <w:b/>
          <w:kern w:val="0"/>
          <w:sz w:val="32"/>
          <w:szCs w:val="32"/>
          <w:highlight w:val="none"/>
          <w:lang w:val="zh-CN"/>
        </w:rPr>
        <w:t>其他技术文件或说明</w:t>
      </w:r>
    </w:p>
    <w:p>
      <w:pPr>
        <w:kinsoku/>
        <w:wordWrap/>
        <w:overflowPunct/>
        <w:topLinePunct w:val="0"/>
        <w:bidi w:val="0"/>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（由供应商根据采购需求自行编制）</w:t>
      </w:r>
    </w:p>
    <w:p>
      <w:pPr>
        <w:kinsoku/>
        <w:wordWrap/>
        <w:overflowPunct/>
        <w:topLinePunct w:val="0"/>
        <w:bidi w:val="0"/>
        <w:spacing w:line="360" w:lineRule="auto"/>
        <w:outlineLvl w:val="9"/>
        <w:rPr>
          <w:rFonts w:hint="eastAsia" w:ascii="宋体" w:hAnsi="宋体" w:eastAsia="宋体" w:cs="宋体"/>
          <w:sz w:val="24"/>
          <w:highlight w:val="none"/>
        </w:rPr>
      </w:pPr>
    </w:p>
    <w:p>
      <w:pPr>
        <w:kinsoku/>
        <w:wordWrap/>
        <w:overflowPunct/>
        <w:topLinePunct w:val="0"/>
        <w:autoSpaceDE w:val="0"/>
        <w:autoSpaceDN w:val="0"/>
        <w:bidi w:val="0"/>
        <w:spacing w:line="360" w:lineRule="auto"/>
        <w:ind w:firstLine="4560" w:firstLineChars="19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w:t>
      </w:r>
      <w:r>
        <w:rPr>
          <w:rFonts w:hint="eastAsia" w:ascii="宋体" w:hAnsi="宋体" w:eastAsia="宋体" w:cs="宋体"/>
          <w:kern w:val="0"/>
          <w:sz w:val="24"/>
          <w:highlight w:val="none"/>
          <w:lang w:val="zh-CN"/>
        </w:rPr>
        <w:t>电子签名</w:t>
      </w:r>
      <w:r>
        <w:rPr>
          <w:rFonts w:hint="eastAsia" w:ascii="宋体" w:hAnsi="宋体" w:eastAsia="宋体" w:cs="宋体"/>
          <w:kern w:val="0"/>
          <w:sz w:val="24"/>
          <w:highlight w:val="none"/>
        </w:rPr>
        <w:t xml:space="preserve">）：                       </w:t>
      </w:r>
    </w:p>
    <w:p>
      <w:pPr>
        <w:kinsoku/>
        <w:wordWrap/>
        <w:overflowPunct/>
        <w:topLinePunct w:val="0"/>
        <w:bidi w:val="0"/>
        <w:spacing w:line="360" w:lineRule="auto"/>
        <w:outlineLvl w:val="9"/>
        <w:rPr>
          <w:rFonts w:hint="eastAsia" w:ascii="宋体" w:hAnsi="宋体" w:eastAsia="宋体" w:cs="宋体"/>
          <w:b/>
          <w:bCs/>
          <w:sz w:val="24"/>
          <w:highlight w:val="none"/>
        </w:rPr>
      </w:pPr>
      <w:r>
        <w:rPr>
          <w:rFonts w:hint="eastAsia" w:ascii="宋体" w:hAnsi="宋体" w:eastAsia="宋体" w:cs="宋体"/>
          <w:kern w:val="0"/>
          <w:sz w:val="24"/>
          <w:highlight w:val="none"/>
        </w:rPr>
        <w:t xml:space="preserve">                                      日期：  年  月   日</w:t>
      </w:r>
    </w:p>
    <w:p>
      <w:pPr>
        <w:kinsoku/>
        <w:wordWrap/>
        <w:overflowPunct/>
        <w:topLinePunct w:val="0"/>
        <w:bidi w:val="0"/>
        <w:spacing w:line="360" w:lineRule="auto"/>
        <w:jc w:val="center"/>
        <w:outlineLvl w:val="9"/>
        <w:rPr>
          <w:rFonts w:hint="eastAsia" w:ascii="宋体" w:hAnsi="宋体" w:eastAsia="宋体" w:cs="宋体"/>
          <w:b/>
          <w:bCs/>
          <w:sz w:val="32"/>
          <w:szCs w:val="32"/>
          <w:highlight w:val="none"/>
        </w:rPr>
      </w:pPr>
    </w:p>
    <w:p>
      <w:pPr>
        <w:tabs>
          <w:tab w:val="left" w:pos="0"/>
        </w:tabs>
        <w:kinsoku/>
        <w:wordWrap/>
        <w:overflowPunct/>
        <w:topLinePunct w:val="0"/>
        <w:autoSpaceDE w:val="0"/>
        <w:autoSpaceDN w:val="0"/>
        <w:bidi w:val="0"/>
        <w:spacing w:line="360" w:lineRule="auto"/>
        <w:ind w:firstLine="2409" w:firstLineChars="800"/>
        <w:outlineLvl w:val="9"/>
        <w:rPr>
          <w:rFonts w:hint="eastAsia" w:ascii="宋体" w:hAnsi="宋体" w:eastAsia="宋体" w:cs="宋体"/>
          <w:b/>
          <w:bCs/>
          <w:sz w:val="30"/>
          <w:szCs w:val="30"/>
          <w:highlight w:val="none"/>
        </w:rPr>
      </w:pPr>
    </w:p>
    <w:p>
      <w:pPr>
        <w:tabs>
          <w:tab w:val="left" w:pos="0"/>
        </w:tabs>
        <w:kinsoku/>
        <w:wordWrap/>
        <w:overflowPunct/>
        <w:topLinePunct w:val="0"/>
        <w:autoSpaceDE w:val="0"/>
        <w:autoSpaceDN w:val="0"/>
        <w:bidi w:val="0"/>
        <w:spacing w:line="360" w:lineRule="auto"/>
        <w:jc w:val="center"/>
        <w:outlineLvl w:val="9"/>
        <w:rPr>
          <w:rFonts w:hint="eastAsia" w:ascii="宋体" w:hAnsi="宋体" w:eastAsia="宋体" w:cs="宋体"/>
          <w:b/>
          <w:bCs/>
          <w:sz w:val="30"/>
          <w:szCs w:val="30"/>
          <w:highlight w:val="none"/>
        </w:rPr>
      </w:pPr>
    </w:p>
    <w:p>
      <w:pPr>
        <w:widowControl/>
        <w:kinsoku/>
        <w:wordWrap/>
        <w:overflowPunct/>
        <w:topLinePunct w:val="0"/>
        <w:bidi w:val="0"/>
        <w:adjustRightInd/>
        <w:jc w:val="left"/>
        <w:outlineLvl w:val="9"/>
        <w:rPr>
          <w:rFonts w:hint="eastAsia" w:ascii="宋体" w:hAnsi="宋体" w:eastAsia="宋体" w:cs="宋体"/>
          <w:kern w:val="0"/>
          <w:sz w:val="24"/>
          <w:highlight w:val="none"/>
          <w:lang w:val="zh-CN"/>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pgNumType w:fmt="decimal"/>
          <w:cols w:space="720" w:num="1"/>
          <w:titlePg/>
          <w:docGrid w:linePitch="312" w:charSpace="0"/>
        </w:sectPr>
      </w:pPr>
      <w:r>
        <w:rPr>
          <w:rFonts w:hint="eastAsia" w:ascii="宋体" w:hAnsi="宋体" w:eastAsia="宋体" w:cs="宋体"/>
          <w:b/>
          <w:bCs/>
          <w:sz w:val="30"/>
          <w:szCs w:val="30"/>
          <w:highlight w:val="none"/>
        </w:rPr>
        <w:br w:type="page"/>
      </w:r>
    </w:p>
    <w:p>
      <w:pPr>
        <w:tabs>
          <w:tab w:val="left" w:pos="0"/>
        </w:tabs>
        <w:kinsoku/>
        <w:wordWrap/>
        <w:overflowPunct/>
        <w:topLinePunct w:val="0"/>
        <w:autoSpaceDE w:val="0"/>
        <w:autoSpaceDN w:val="0"/>
        <w:bidi w:val="0"/>
        <w:spacing w:line="360" w:lineRule="auto"/>
        <w:jc w:val="center"/>
        <w:outlineLvl w:val="9"/>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一</w:t>
      </w:r>
      <w:r>
        <w:rPr>
          <w:rFonts w:hint="eastAsia" w:ascii="宋体" w:hAnsi="宋体" w:eastAsia="宋体" w:cs="宋体"/>
          <w:b/>
          <w:bCs/>
          <w:sz w:val="30"/>
          <w:szCs w:val="30"/>
          <w:highlight w:val="none"/>
          <w:lang w:val="en-US" w:eastAsia="zh-CN"/>
        </w:rPr>
        <w:t>、初次报价文件</w:t>
      </w:r>
    </w:p>
    <w:p>
      <w:pPr>
        <w:tabs>
          <w:tab w:val="left" w:pos="0"/>
        </w:tabs>
        <w:kinsoku/>
        <w:wordWrap/>
        <w:overflowPunct/>
        <w:topLinePunct w:val="0"/>
        <w:autoSpaceDE w:val="0"/>
        <w:autoSpaceDN w:val="0"/>
        <w:bidi w:val="0"/>
        <w:spacing w:line="360" w:lineRule="auto"/>
        <w:jc w:val="center"/>
        <w:outlineLvl w:val="9"/>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A、报价一览表（初次报价）、投标分项报价表</w:t>
      </w:r>
    </w:p>
    <w:p>
      <w:pPr>
        <w:kinsoku/>
        <w:wordWrap/>
        <w:overflowPunct/>
        <w:topLinePunct w:val="0"/>
        <w:autoSpaceDE w:val="0"/>
        <w:autoSpaceDN w:val="0"/>
        <w:bidi w:val="0"/>
        <w:spacing w:line="360" w:lineRule="auto"/>
        <w:outlineLvl w:val="9"/>
        <w:rPr>
          <w:rFonts w:hint="eastAsia" w:ascii="宋体" w:hAnsi="宋体" w:eastAsia="宋体" w:cs="宋体"/>
          <w:kern w:val="0"/>
          <w:sz w:val="24"/>
          <w:highlight w:val="none"/>
        </w:rPr>
      </w:pPr>
      <w:r>
        <w:rPr>
          <w:rFonts w:hint="eastAsia" w:ascii="宋体" w:hAnsi="宋体" w:cs="宋体"/>
          <w:sz w:val="24"/>
          <w:highlight w:val="none"/>
          <w:lang w:eastAsia="zh-CN"/>
        </w:rPr>
        <w:t>宁海县气象局</w:t>
      </w:r>
      <w:r>
        <w:rPr>
          <w:rFonts w:hint="eastAsia" w:ascii="宋体" w:hAnsi="宋体" w:eastAsia="宋体" w:cs="宋体"/>
          <w:sz w:val="24"/>
          <w:highlight w:val="none"/>
        </w:rPr>
        <w:t>、</w:t>
      </w:r>
      <w:r>
        <w:rPr>
          <w:rFonts w:hint="eastAsia" w:ascii="宋体" w:hAnsi="宋体" w:cs="宋体"/>
          <w:sz w:val="24"/>
          <w:highlight w:val="none"/>
          <w:lang w:eastAsia="zh-CN"/>
        </w:rPr>
        <w:t>宁波中基国际招标有限公司</w:t>
      </w:r>
      <w:r>
        <w:rPr>
          <w:rFonts w:hint="eastAsia" w:ascii="宋体" w:hAnsi="宋体" w:eastAsia="宋体" w:cs="宋体"/>
          <w:kern w:val="0"/>
          <w:sz w:val="24"/>
          <w:highlight w:val="none"/>
          <w:lang w:val="zh-CN"/>
        </w:rPr>
        <w:t>：</w:t>
      </w:r>
    </w:p>
    <w:p>
      <w:pPr>
        <w:kinsoku/>
        <w:wordWrap/>
        <w:overflowPunct/>
        <w:topLinePunct w:val="0"/>
        <w:bidi w:val="0"/>
        <w:spacing w:line="360" w:lineRule="auto"/>
        <w:ind w:firstLine="720"/>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按你方磋商文件要求，</w:t>
      </w:r>
      <w:r>
        <w:rPr>
          <w:rFonts w:hint="eastAsia" w:ascii="宋体" w:hAnsi="宋体" w:eastAsia="宋体" w:cs="宋体"/>
          <w:sz w:val="24"/>
          <w:highlight w:val="none"/>
        </w:rPr>
        <w:t>我们即</w:t>
      </w:r>
      <w:r>
        <w:rPr>
          <w:rFonts w:hint="eastAsia" w:ascii="宋体" w:hAnsi="宋体" w:eastAsia="宋体" w:cs="宋体"/>
          <w:kern w:val="0"/>
          <w:sz w:val="24"/>
          <w:highlight w:val="none"/>
          <w:lang w:val="zh-CN"/>
        </w:rPr>
        <w:t>本响应文件签字方，谨此向你方发出要约如下：如你方接受本响应，我方承诺按照如下报价一览表的价格完成</w:t>
      </w:r>
      <w:r>
        <w:rPr>
          <w:rFonts w:hint="eastAsia" w:ascii="宋体" w:hAnsi="宋体" w:cs="宋体"/>
          <w:sz w:val="24"/>
          <w:highlight w:val="none"/>
          <w:lang w:eastAsia="zh-CN"/>
        </w:rPr>
        <w:t>宁海县气象局风廓线雷达配套设施建设项目</w:t>
      </w:r>
      <w:r>
        <w:rPr>
          <w:rFonts w:hint="eastAsia" w:ascii="宋体" w:hAnsi="宋体" w:eastAsia="宋体" w:cs="宋体"/>
          <w:sz w:val="24"/>
          <w:highlight w:val="none"/>
        </w:rPr>
        <w:t>【项目编号：</w:t>
      </w:r>
      <w:r>
        <w:rPr>
          <w:rFonts w:hint="eastAsia" w:ascii="宋体" w:hAnsi="宋体" w:cs="宋体"/>
          <w:sz w:val="24"/>
          <w:highlight w:val="none"/>
          <w:lang w:eastAsia="zh-CN"/>
        </w:rPr>
        <w:t>CBNB-20246170G</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的实施。</w:t>
      </w:r>
    </w:p>
    <w:p>
      <w:pPr>
        <w:kinsoku/>
        <w:wordWrap/>
        <w:overflowPunct/>
        <w:topLinePunct w:val="0"/>
        <w:bidi w:val="0"/>
        <w:snapToGrid w:val="0"/>
        <w:spacing w:line="360" w:lineRule="auto"/>
        <w:ind w:left="480"/>
        <w:jc w:val="center"/>
        <w:outlineLvl w:val="9"/>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报价一览表(单位均为人民币元)</w:t>
      </w:r>
    </w:p>
    <w:tbl>
      <w:tblPr>
        <w:tblStyle w:val="6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合同履约期限</w:t>
            </w:r>
            <w:r>
              <w:rPr>
                <w:rFonts w:hint="eastAsia" w:ascii="宋体" w:hAnsi="宋体" w:cs="宋体"/>
                <w:b/>
                <w:bCs/>
                <w:color w:val="auto"/>
                <w:kern w:val="0"/>
                <w:sz w:val="24"/>
                <w:szCs w:val="24"/>
                <w:highlight w:val="no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266"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776" w:type="dxa"/>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pPr>
              <w:widowControl/>
              <w:kinsoku/>
              <w:wordWrap/>
              <w:overflowPunct/>
              <w:topLinePunct w:val="0"/>
              <w:bidi w:val="0"/>
              <w:adjustRightInd/>
              <w:spacing w:before="240" w:line="360" w:lineRule="auto"/>
              <w:jc w:val="center"/>
              <w:outlineLvl w:val="9"/>
              <w:rPr>
                <w:rFonts w:hint="eastAsia" w:ascii="宋体" w:hAnsi="宋体" w:eastAsia="宋体" w:cs="宋体"/>
                <w:color w:val="auto"/>
                <w:kern w:val="0"/>
                <w:sz w:val="24"/>
                <w:szCs w:val="24"/>
                <w:highlight w:val="none"/>
              </w:rPr>
            </w:pPr>
          </w:p>
        </w:tc>
      </w:tr>
    </w:tbl>
    <w:p>
      <w:pPr>
        <w:kinsoku/>
        <w:wordWrap/>
        <w:overflowPunct/>
        <w:topLinePunct w:val="0"/>
        <w:bidi w:val="0"/>
        <w:spacing w:line="360" w:lineRule="auto"/>
        <w:ind w:left="-2" w:leftChars="-1" w:firstLine="480" w:firstLineChars="200"/>
        <w:outlineLvl w:val="9"/>
        <w:rPr>
          <w:rFonts w:hint="eastAsia" w:ascii="宋体" w:hAnsi="宋体" w:eastAsia="宋体" w:cs="宋体"/>
          <w:sz w:val="24"/>
          <w:highlight w:val="none"/>
          <w:lang w:val="zh-CN"/>
        </w:rPr>
      </w:pPr>
    </w:p>
    <w:p>
      <w:pPr>
        <w:kinsoku/>
        <w:wordWrap/>
        <w:overflowPunct/>
        <w:topLinePunct w:val="0"/>
        <w:bidi w:val="0"/>
        <w:spacing w:line="360" w:lineRule="auto"/>
        <w:ind w:left="-2" w:leftChars="-1" w:firstLine="480" w:firstLineChars="200"/>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供应商名称（电子签名）：</w:t>
      </w:r>
    </w:p>
    <w:p>
      <w:pPr>
        <w:kinsoku/>
        <w:wordWrap/>
        <w:overflowPunct/>
        <w:topLinePunct w:val="0"/>
        <w:bidi w:val="0"/>
        <w:spacing w:line="360" w:lineRule="auto"/>
        <w:ind w:left="-2" w:leftChars="-1" w:firstLine="480" w:firstLineChars="200"/>
        <w:outlineLvl w:val="9"/>
        <w:rPr>
          <w:rFonts w:hint="eastAsia" w:ascii="宋体" w:hAnsi="宋体" w:eastAsia="宋体" w:cs="宋体"/>
          <w:sz w:val="24"/>
          <w:highlight w:val="none"/>
          <w:lang w:val="zh-CN"/>
        </w:rPr>
      </w:pPr>
      <w:r>
        <w:rPr>
          <w:rFonts w:hint="eastAsia" w:ascii="宋体" w:hAnsi="宋体" w:eastAsia="宋体" w:cs="宋体"/>
          <w:sz w:val="24"/>
          <w:highlight w:val="none"/>
          <w:lang w:val="zh-CN"/>
        </w:rPr>
        <w:t>日期：    年  月   日</w:t>
      </w:r>
    </w:p>
    <w:p>
      <w:pPr>
        <w:kinsoku/>
        <w:wordWrap/>
        <w:overflowPunct/>
        <w:topLinePunct w:val="0"/>
        <w:bidi w:val="0"/>
        <w:spacing w:line="360" w:lineRule="auto"/>
        <w:ind w:left="-2" w:leftChars="-1" w:firstLine="480" w:firstLineChars="200"/>
        <w:outlineLvl w:val="9"/>
        <w:rPr>
          <w:rFonts w:hint="eastAsia" w:ascii="宋体" w:hAnsi="宋体" w:eastAsia="宋体" w:cs="宋体"/>
          <w:sz w:val="24"/>
          <w:highlight w:val="none"/>
        </w:rPr>
      </w:pPr>
    </w:p>
    <w:p>
      <w:pPr>
        <w:kinsoku/>
        <w:wordWrap/>
        <w:overflowPunct/>
        <w:topLinePunct w:val="0"/>
        <w:bidi w:val="0"/>
        <w:spacing w:line="360" w:lineRule="auto"/>
        <w:ind w:left="-2" w:leftChars="-1" w:firstLine="480" w:firstLineChars="200"/>
        <w:outlineLvl w:val="9"/>
        <w:rPr>
          <w:rFonts w:hint="eastAsia" w:ascii="宋体" w:hAnsi="宋体" w:eastAsia="宋体" w:cs="宋体"/>
          <w:kern w:val="0"/>
          <w:sz w:val="24"/>
          <w:highlight w:val="none"/>
          <w:lang w:val="zh-CN"/>
        </w:rPr>
      </w:pPr>
      <w:r>
        <w:rPr>
          <w:rFonts w:hint="eastAsia" w:ascii="宋体" w:hAnsi="宋体" w:eastAsia="宋体" w:cs="宋体"/>
          <w:sz w:val="24"/>
          <w:highlight w:val="none"/>
        </w:rPr>
        <w:t>注：</w:t>
      </w:r>
      <w:r>
        <w:rPr>
          <w:rFonts w:hint="eastAsia" w:ascii="宋体" w:hAnsi="宋体" w:eastAsia="宋体" w:cs="宋体"/>
          <w:kern w:val="0"/>
          <w:sz w:val="24"/>
          <w:highlight w:val="none"/>
          <w:lang w:val="zh-CN"/>
        </w:rPr>
        <w:t>1、供应商需按本表格式填写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响应文件含有采购人不能接受的附加条件，响应无效</w:t>
      </w:r>
      <w:r>
        <w:rPr>
          <w:rFonts w:hint="eastAsia" w:ascii="宋体" w:hAnsi="宋体" w:eastAsia="宋体" w:cs="宋体"/>
          <w:kern w:val="0"/>
          <w:sz w:val="24"/>
          <w:highlight w:val="none"/>
          <w:lang w:val="zh-CN"/>
        </w:rPr>
        <w:t>。</w:t>
      </w:r>
    </w:p>
    <w:p>
      <w:pPr>
        <w:kinsoku/>
        <w:wordWrap/>
        <w:overflowPunct/>
        <w:topLinePunct w:val="0"/>
        <w:bidi w:val="0"/>
        <w:snapToGrid w:val="0"/>
        <w:spacing w:line="360" w:lineRule="auto"/>
        <w:ind w:firstLine="480" w:firstLineChars="200"/>
        <w:jc w:val="left"/>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最后报价文件含有采购人不能接受的附加条件，响应无效</w:t>
      </w:r>
      <w:r>
        <w:rPr>
          <w:rFonts w:hint="eastAsia" w:ascii="宋体" w:hAnsi="宋体" w:eastAsia="宋体" w:cs="宋体"/>
          <w:b/>
          <w:kern w:val="0"/>
          <w:sz w:val="24"/>
          <w:highlight w:val="none"/>
          <w:lang w:val="zh-CN"/>
        </w:rPr>
        <w:t>；采购内容未包含在《报价一览表》名称栏中，供应商不能作出合理解释的，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响应文件含有采购人不能接受的附加条件的，响应无效。</w:t>
      </w:r>
    </w:p>
    <w:p>
      <w:pPr>
        <w:kinsoku/>
        <w:wordWrap/>
        <w:overflowPunct/>
        <w:topLinePunct w:val="0"/>
        <w:bidi w:val="0"/>
        <w:snapToGrid w:val="0"/>
        <w:spacing w:line="360" w:lineRule="auto"/>
        <w:ind w:firstLine="480" w:firstLineChars="200"/>
        <w:jc w:val="left"/>
        <w:outlineLvl w:val="9"/>
        <w:rPr>
          <w:rFonts w:hint="eastAsia" w:ascii="宋体" w:hAnsi="宋体" w:eastAsia="宋体" w:cs="宋体"/>
          <w:kern w:val="0"/>
          <w:sz w:val="24"/>
          <w:highlight w:val="none"/>
          <w:u w:val="single"/>
          <w:lang w:val="zh-CN"/>
        </w:rPr>
      </w:pPr>
      <w:r>
        <w:rPr>
          <w:rFonts w:hint="eastAsia" w:ascii="宋体" w:hAnsi="宋体" w:eastAsia="宋体" w:cs="宋体"/>
          <w:kern w:val="0"/>
          <w:sz w:val="24"/>
          <w:highlight w:val="none"/>
          <w:lang w:val="zh-CN"/>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insoku/>
        <w:wordWrap/>
        <w:overflowPunct/>
        <w:topLinePunct w:val="0"/>
        <w:autoSpaceDE w:val="0"/>
        <w:autoSpaceDN w:val="0"/>
        <w:bidi w:val="0"/>
        <w:spacing w:line="360" w:lineRule="auto"/>
        <w:ind w:left="5040" w:hanging="5040" w:hangingChars="2100"/>
        <w:outlineLvl w:val="9"/>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                                </w:t>
      </w:r>
    </w:p>
    <w:p>
      <w:pPr>
        <w:widowControl/>
        <w:kinsoku/>
        <w:wordWrap/>
        <w:overflowPunct/>
        <w:topLinePunct w:val="0"/>
        <w:bidi w:val="0"/>
        <w:adjustRightInd/>
        <w:jc w:val="left"/>
        <w:outlineLvl w:val="9"/>
        <w:rPr>
          <w:rFonts w:hint="eastAsia" w:ascii="宋体" w:hAnsi="宋体" w:eastAsia="宋体" w:cs="宋体"/>
          <w:kern w:val="0"/>
          <w:sz w:val="24"/>
          <w:highlight w:val="none"/>
          <w:lang w:val="zh-CN"/>
        </w:rPr>
        <w:sectPr>
          <w:pgSz w:w="11906" w:h="16838"/>
          <w:pgMar w:top="471" w:right="1418" w:bottom="777" w:left="1418" w:header="851" w:footer="992" w:gutter="0"/>
          <w:pgNumType w:fmt="decimal"/>
          <w:cols w:space="720" w:num="1"/>
          <w:titlePg/>
          <w:docGrid w:linePitch="312" w:charSpace="0"/>
        </w:sectPr>
      </w:pPr>
    </w:p>
    <w:p>
      <w:pPr>
        <w:kinsoku/>
        <w:wordWrap/>
        <w:overflowPunct/>
        <w:topLinePunct w:val="0"/>
        <w:bidi w:val="0"/>
        <w:spacing w:line="360" w:lineRule="auto"/>
        <w:jc w:val="center"/>
        <w:outlineLvl w:val="9"/>
        <w:rPr>
          <w:rFonts w:hint="eastAsia" w:ascii="宋体" w:hAnsi="宋体" w:eastAsia="宋体" w:cs="宋体"/>
          <w:b/>
          <w:color w:val="auto"/>
          <w:kern w:val="0"/>
          <w:sz w:val="24"/>
          <w:lang w:val="zh-CN" w:eastAsia="zh-CN"/>
        </w:rPr>
      </w:pPr>
      <w:r>
        <w:rPr>
          <w:rFonts w:hint="eastAsia" w:ascii="宋体" w:hAnsi="宋体" w:eastAsia="宋体" w:cs="宋体"/>
          <w:b/>
          <w:color w:val="auto"/>
          <w:kern w:val="0"/>
          <w:sz w:val="24"/>
          <w:lang w:val="zh-CN"/>
        </w:rPr>
        <w:t>投标分项报价表(单位均为人民币元)</w:t>
      </w:r>
    </w:p>
    <w:tbl>
      <w:tblPr>
        <w:tblStyle w:val="60"/>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投标总价</w:t>
            </w:r>
          </w:p>
        </w:tc>
        <w:tc>
          <w:tcPr>
            <w:tcW w:w="14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bl>
    <w:p>
      <w:pPr>
        <w:widowControl/>
        <w:kinsoku/>
        <w:wordWrap/>
        <w:overflowPunct/>
        <w:topLinePunct w:val="0"/>
        <w:bidi w:val="0"/>
        <w:adjustRightInd/>
        <w:ind w:left="420" w:leftChars="200"/>
        <w:jc w:val="left"/>
        <w:outlineLvl w:val="9"/>
        <w:rPr>
          <w:rFonts w:hint="eastAsia" w:ascii="Times New Roman" w:hAnsi="宋体" w:eastAsia="宋体" w:cs="宋体"/>
          <w:color w:val="auto"/>
          <w:kern w:val="0"/>
          <w:szCs w:val="20"/>
          <w:highlight w:val="none"/>
        </w:rPr>
      </w:pPr>
      <w:r>
        <w:rPr>
          <w:rFonts w:hint="eastAsia" w:ascii="Times New Roman" w:hAnsi="宋体" w:eastAsia="宋体" w:cs="宋体"/>
          <w:color w:val="auto"/>
          <w:kern w:val="0"/>
          <w:szCs w:val="20"/>
          <w:highlight w:val="none"/>
        </w:rPr>
        <w:t>备注：本表格供参考，供应商可根据项目实际情况自拟表格。</w:t>
      </w:r>
    </w:p>
    <w:p>
      <w:pPr>
        <w:kinsoku/>
        <w:wordWrap/>
        <w:overflowPunct/>
        <w:topLinePunct w:val="0"/>
        <w:bidi w:val="0"/>
        <w:spacing w:after="120" w:afterLines="0"/>
        <w:ind w:left="1140" w:leftChars="200" w:hanging="720" w:hangingChars="343"/>
        <w:outlineLvl w:val="9"/>
        <w:rPr>
          <w:rFonts w:hint="eastAsia" w:ascii="Times New Roman" w:hAnsi="宋体" w:eastAsia="宋体" w:cs="宋体"/>
          <w:color w:val="auto"/>
          <w:sz w:val="21"/>
          <w:highlight w:val="none"/>
          <w:lang w:val="en-US" w:eastAsia="zh-CN" w:bidi="ar-SA"/>
        </w:rPr>
      </w:pPr>
    </w:p>
    <w:p>
      <w:pPr>
        <w:widowControl/>
        <w:kinsoku/>
        <w:wordWrap/>
        <w:overflowPunct/>
        <w:topLinePunct w:val="0"/>
        <w:bidi w:val="0"/>
        <w:adjustRightInd/>
        <w:jc w:val="left"/>
        <w:outlineLvl w:val="9"/>
        <w:rPr>
          <w:rFonts w:hint="eastAsia" w:ascii="Times New Roman" w:hAnsi="Times New Roman" w:eastAsia="宋体" w:cs="Times New Roman"/>
          <w:color w:val="auto"/>
          <w:kern w:val="0"/>
          <w:szCs w:val="20"/>
          <w:highlight w:val="none"/>
        </w:rPr>
      </w:pPr>
    </w:p>
    <w:p>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kinsoku/>
        <w:wordWrap/>
        <w:overflowPunct/>
        <w:topLinePunct w:val="0"/>
        <w:bidi w:val="0"/>
        <w:outlineLvl w:val="9"/>
        <w:rPr>
          <w:rFonts w:hint="eastAsia" w:ascii="宋体" w:hAnsi="宋体" w:eastAsia="宋体" w:cs="宋体"/>
          <w:b/>
          <w:sz w:val="32"/>
          <w:szCs w:val="32"/>
          <w:highlight w:val="none"/>
          <w:lang w:val="en-US" w:eastAsia="zh-CN"/>
        </w:rPr>
      </w:pPr>
    </w:p>
    <w:p>
      <w:pPr>
        <w:kinsoku/>
        <w:wordWrap/>
        <w:overflowPunct/>
        <w:topLinePunct w:val="0"/>
        <w:bidi w:val="0"/>
        <w:outlineLvl w:val="9"/>
        <w:rPr>
          <w:rFonts w:hint="eastAsia" w:ascii="宋体" w:hAnsi="宋体" w:eastAsia="宋体" w:cs="宋体"/>
          <w:b/>
          <w:sz w:val="32"/>
          <w:szCs w:val="32"/>
          <w:highlight w:val="none"/>
          <w:lang w:val="en-US" w:eastAsia="zh-CN"/>
        </w:rPr>
      </w:pPr>
    </w:p>
    <w:p>
      <w:pPr>
        <w:kinsoku/>
        <w:wordWrap/>
        <w:overflowPunct/>
        <w:topLinePunct w:val="0"/>
        <w:bidi w:val="0"/>
        <w:outlineLvl w:val="9"/>
        <w:rPr>
          <w:rFonts w:hint="eastAsia" w:ascii="宋体" w:hAnsi="宋体" w:eastAsia="宋体" w:cs="宋体"/>
          <w:b/>
          <w:sz w:val="32"/>
          <w:szCs w:val="32"/>
          <w:highlight w:val="none"/>
          <w:lang w:val="en-US" w:eastAsia="zh-CN"/>
        </w:rPr>
      </w:pPr>
    </w:p>
    <w:p>
      <w:pPr>
        <w:kinsoku/>
        <w:wordWrap/>
        <w:overflowPunct/>
        <w:topLinePunct w:val="0"/>
        <w:bidi w:val="0"/>
        <w:outlineLvl w:val="9"/>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br w:type="page"/>
      </w:r>
    </w:p>
    <w:p>
      <w:pPr>
        <w:widowControl/>
        <w:kinsoku/>
        <w:wordWrap/>
        <w:overflowPunct/>
        <w:topLinePunct w:val="0"/>
        <w:bidi w:val="0"/>
        <w:adjustRightInd/>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B、</w:t>
      </w:r>
      <w:r>
        <w:rPr>
          <w:rFonts w:hint="eastAsia" w:ascii="宋体" w:hAnsi="宋体" w:eastAsia="宋体" w:cs="宋体"/>
          <w:b/>
          <w:sz w:val="32"/>
          <w:szCs w:val="32"/>
          <w:highlight w:val="none"/>
        </w:rPr>
        <w:t>中小企业声明函</w:t>
      </w:r>
      <w:bookmarkStart w:id="342" w:name="_Toc465665161"/>
      <w:r>
        <w:rPr>
          <w:rFonts w:hint="eastAsia" w:ascii="宋体" w:hAnsi="宋体" w:eastAsia="宋体" w:cs="宋体"/>
          <w:b/>
          <w:sz w:val="32"/>
          <w:szCs w:val="32"/>
          <w:highlight w:val="none"/>
        </w:rPr>
        <w:t>（如果有）</w:t>
      </w:r>
    </w:p>
    <w:p>
      <w:pPr>
        <w:widowControl/>
        <w:kinsoku/>
        <w:wordWrap/>
        <w:overflowPunct/>
        <w:topLinePunct w:val="0"/>
        <w:bidi w:val="0"/>
        <w:spacing w:line="360" w:lineRule="auto"/>
        <w:ind w:firstLine="120" w:firstLineChars="50"/>
        <w:jc w:val="left"/>
        <w:outlineLvl w:val="9"/>
        <w:rPr>
          <w:rFonts w:hint="eastAsia" w:ascii="宋体" w:hAnsi="宋体" w:eastAsia="宋体" w:cs="宋体"/>
          <w:b/>
          <w:sz w:val="24"/>
          <w:highlight w:val="none"/>
        </w:rPr>
      </w:pPr>
    </w:p>
    <w:p>
      <w:pPr>
        <w:widowControl/>
        <w:kinsoku/>
        <w:wordWrap/>
        <w:overflowPunct/>
        <w:topLinePunct w:val="0"/>
        <w:bidi w:val="0"/>
        <w:spacing w:line="360" w:lineRule="auto"/>
        <w:ind w:firstLine="120" w:firstLineChars="50"/>
        <w:jc w:val="left"/>
        <w:outlineLvl w:val="9"/>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
          <w:bCs/>
          <w:sz w:val="24"/>
          <w:highlight w:val="none"/>
        </w:rPr>
        <w:t>竞争性磋商邀请公告</w:t>
      </w:r>
      <w:r>
        <w:rPr>
          <w:rFonts w:hint="eastAsia" w:ascii="宋体" w:hAnsi="宋体" w:eastAsia="宋体" w:cs="宋体"/>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24"/>
        <w:kinsoku/>
        <w:wordWrap/>
        <w:overflowPunct/>
        <w:topLinePunct w:val="0"/>
        <w:bidi w:val="0"/>
        <w:outlineLvl w:val="9"/>
        <w:rPr>
          <w:rFonts w:hint="eastAsia" w:ascii="宋体" w:hAnsi="宋体" w:eastAsia="宋体" w:cs="宋体"/>
          <w:b/>
          <w:sz w:val="24"/>
          <w:highlight w:val="none"/>
        </w:rPr>
      </w:pPr>
    </w:p>
    <w:p>
      <w:pPr>
        <w:kinsoku/>
        <w:wordWrap/>
        <w:overflowPunct/>
        <w:topLinePunct w:val="0"/>
        <w:bidi w:val="0"/>
        <w:outlineLvl w:val="9"/>
        <w:rPr>
          <w:rFonts w:hint="eastAsia" w:ascii="宋体" w:hAnsi="宋体" w:eastAsia="宋体" w:cs="宋体"/>
          <w:highlight w:val="none"/>
        </w:rPr>
      </w:pPr>
    </w:p>
    <w:p>
      <w:pPr>
        <w:widowControl/>
        <w:kinsoku/>
        <w:wordWrap/>
        <w:overflowPunct/>
        <w:topLinePunct w:val="0"/>
        <w:bidi w:val="0"/>
        <w:adjustRightInd/>
        <w:jc w:val="center"/>
        <w:outlineLvl w:val="9"/>
        <w:rPr>
          <w:rFonts w:hint="eastAsia" w:ascii="宋体" w:hAnsi="宋体" w:eastAsia="宋体" w:cs="宋体"/>
          <w:sz w:val="24"/>
          <w:highlight w:val="none"/>
        </w:rPr>
      </w:pPr>
    </w:p>
    <w:p>
      <w:pPr>
        <w:widowControl/>
        <w:kinsoku/>
        <w:wordWrap/>
        <w:overflowPunct/>
        <w:topLinePunct w:val="0"/>
        <w:bidi w:val="0"/>
        <w:adjustRightInd/>
        <w:jc w:val="left"/>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eepNext w:val="0"/>
        <w:keepLines w:val="0"/>
        <w:pageBreakBefore/>
        <w:widowControl/>
        <w:numPr>
          <w:ilvl w:val="0"/>
          <w:numId w:val="0"/>
        </w:numPr>
        <w:tabs>
          <w:tab w:val="left" w:pos="432"/>
        </w:tabs>
        <w:kinsoku/>
        <w:wordWrap/>
        <w:overflowPunct/>
        <w:topLinePunct w:val="0"/>
        <w:bidi w:val="0"/>
        <w:adjustRightInd/>
        <w:spacing w:before="100" w:beforeAutospacing="1" w:after="100" w:afterAutospacing="1" w:line="240" w:lineRule="auto"/>
        <w:ind w:left="1290" w:firstLine="1470" w:firstLineChars="700"/>
        <w:outlineLvl w:val="9"/>
        <w:rPr>
          <w:rFonts w:hint="eastAsia" w:ascii="宋体" w:hAnsi="宋体" w:eastAsia="宋体" w:cs="宋体"/>
          <w:highlight w:val="none"/>
        </w:rPr>
      </w:pPr>
      <w:r>
        <w:rPr>
          <w:rFonts w:hint="eastAsia" w:ascii="宋体" w:hAnsi="宋体" w:eastAsia="宋体" w:cs="宋体"/>
          <w:highlight w:val="none"/>
        </w:rPr>
        <w:t>附件</w:t>
      </w:r>
      <w:bookmarkEnd w:id="342"/>
    </w:p>
    <w:p>
      <w:pPr>
        <w:kinsoku/>
        <w:wordWrap/>
        <w:overflowPunct/>
        <w:topLinePunct w:val="0"/>
        <w:bidi w:val="0"/>
        <w:spacing w:line="360" w:lineRule="auto"/>
        <w:jc w:val="left"/>
        <w:outlineLvl w:val="9"/>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附件1：质疑函范本及制作说明</w:t>
      </w:r>
    </w:p>
    <w:p>
      <w:pPr>
        <w:kinsoku/>
        <w:wordWrap/>
        <w:overflowPunct/>
        <w:topLinePunct w:val="0"/>
        <w:bidi w:val="0"/>
        <w:spacing w:line="360" w:lineRule="auto"/>
        <w:jc w:val="center"/>
        <w:outlineLvl w:val="9"/>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kinsoku/>
        <w:wordWrap/>
        <w:overflowPunct/>
        <w:topLinePunct w:val="0"/>
        <w:bidi w:val="0"/>
        <w:snapToGrid w:val="0"/>
        <w:spacing w:before="240" w:beforeLines="100"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kinsoku/>
        <w:wordWrap/>
        <w:overflowPunct/>
        <w:topLinePunct w:val="0"/>
        <w:bidi w:val="0"/>
        <w:snapToGrid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w:t>
      </w:r>
    </w:p>
    <w:p>
      <w:pPr>
        <w:kinsoku/>
        <w:wordWrap/>
        <w:overflowPunct/>
        <w:topLinePunct w:val="0"/>
        <w:bidi w:val="0"/>
        <w:snapToGrid w:val="0"/>
        <w:spacing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kinsoku/>
        <w:wordWrap/>
        <w:overflowPunct/>
        <w:topLinePunct w:val="0"/>
        <w:bidi w:val="0"/>
        <w:snapToGrid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outlineLvl w:val="9"/>
        <w:rPr>
          <w:rFonts w:hint="eastAsia" w:ascii="宋体" w:hAnsi="宋体" w:eastAsia="宋体" w:cs="宋体"/>
          <w:sz w:val="30"/>
          <w:szCs w:val="30"/>
          <w:highlight w:val="none"/>
        </w:rPr>
      </w:pPr>
    </w:p>
    <w:p>
      <w:pPr>
        <w:kinsoku/>
        <w:wordWrap/>
        <w:overflowPunct/>
        <w:topLinePunct w:val="0"/>
        <w:bidi w:val="0"/>
        <w:spacing w:line="360" w:lineRule="auto"/>
        <w:jc w:val="left"/>
        <w:outlineLvl w:val="9"/>
        <w:rPr>
          <w:rFonts w:hint="eastAsia" w:ascii="宋体" w:hAnsi="宋体" w:eastAsia="宋体" w:cs="宋体"/>
          <w:b/>
          <w:spacing w:val="6"/>
          <w:sz w:val="32"/>
          <w:szCs w:val="32"/>
          <w:highlight w:val="none"/>
        </w:rPr>
      </w:pPr>
      <w:r>
        <w:rPr>
          <w:rFonts w:hint="eastAsia" w:ascii="宋体" w:hAnsi="宋体" w:eastAsia="宋体" w:cs="宋体"/>
          <w:b/>
          <w:sz w:val="24"/>
          <w:highlight w:val="none"/>
        </w:rPr>
        <w:br w:type="page"/>
      </w:r>
      <w:r>
        <w:rPr>
          <w:rFonts w:hint="eastAsia" w:ascii="宋体" w:hAnsi="宋体" w:eastAsia="宋体" w:cs="宋体"/>
          <w:b/>
          <w:spacing w:val="6"/>
          <w:sz w:val="32"/>
          <w:szCs w:val="32"/>
          <w:highlight w:val="none"/>
        </w:rPr>
        <w:t>附件2：投诉书范本及制作说明</w:t>
      </w:r>
    </w:p>
    <w:p>
      <w:pPr>
        <w:kinsoku/>
        <w:wordWrap/>
        <w:overflowPunct/>
        <w:topLinePunct w:val="0"/>
        <w:bidi w:val="0"/>
        <w:spacing w:line="360" w:lineRule="auto"/>
        <w:jc w:val="center"/>
        <w:outlineLvl w:val="9"/>
        <w:rPr>
          <w:rFonts w:hint="eastAsia" w:ascii="宋体" w:hAnsi="宋体" w:eastAsia="宋体" w:cs="宋体"/>
          <w:b/>
          <w:sz w:val="24"/>
          <w:highlight w:val="none"/>
        </w:rPr>
      </w:pPr>
    </w:p>
    <w:p>
      <w:pPr>
        <w:kinsoku/>
        <w:wordWrap/>
        <w:overflowPunct/>
        <w:topLinePunct w:val="0"/>
        <w:bidi w:val="0"/>
        <w:spacing w:line="360" w:lineRule="auto"/>
        <w:jc w:val="center"/>
        <w:outlineLvl w:val="9"/>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kinsoku/>
        <w:wordWrap/>
        <w:overflowPunct/>
        <w:topLinePunct w:val="0"/>
        <w:bidi w:val="0"/>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被投诉人2</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kinsoku/>
        <w:wordWrap/>
        <w:overflowPunct/>
        <w:topLinePunct w:val="0"/>
        <w:bidi w:val="0"/>
        <w:spacing w:line="360" w:lineRule="auto"/>
        <w:ind w:firstLine="360" w:firstLineChars="150"/>
        <w:outlineLvl w:val="9"/>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投诉事项2</w:t>
      </w:r>
    </w:p>
    <w:p>
      <w:pPr>
        <w:kinsoku/>
        <w:wordWrap/>
        <w:overflowPunct/>
        <w:topLinePunct w:val="0"/>
        <w:bidi w:val="0"/>
        <w:spacing w:line="360" w:lineRule="auto"/>
        <w:outlineLvl w:val="9"/>
        <w:rPr>
          <w:rFonts w:hint="eastAsia" w:ascii="宋体" w:hAnsi="宋体" w:eastAsia="宋体" w:cs="宋体"/>
          <w:sz w:val="24"/>
          <w:highlight w:val="none"/>
          <w:u w:val="dotted"/>
        </w:rPr>
      </w:pPr>
      <w:r>
        <w:rPr>
          <w:rFonts w:hint="eastAsia" w:ascii="宋体" w:hAnsi="宋体" w:eastAsia="宋体" w:cs="宋体"/>
          <w:sz w:val="24"/>
          <w:highlight w:val="none"/>
        </w:rPr>
        <w:t>……</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kinsoku/>
        <w:wordWrap/>
        <w:overflowPunct/>
        <w:topLinePunct w:val="0"/>
        <w:bidi w:val="0"/>
        <w:spacing w:line="360" w:lineRule="auto"/>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kinsoku/>
        <w:wordWrap/>
        <w:overflowPunct/>
        <w:topLinePunct w:val="0"/>
        <w:bidi w:val="0"/>
        <w:spacing w:line="360" w:lineRule="auto"/>
        <w:outlineLvl w:val="9"/>
        <w:rPr>
          <w:rFonts w:hint="eastAsia" w:ascii="宋体" w:hAnsi="宋体" w:eastAsia="宋体" w:cs="宋体"/>
          <w:b/>
          <w:sz w:val="24"/>
          <w:highlight w:val="none"/>
        </w:rPr>
      </w:pPr>
    </w:p>
    <w:p>
      <w:pPr>
        <w:kinsoku/>
        <w:wordWrap/>
        <w:overflowPunct/>
        <w:topLinePunct w:val="0"/>
        <w:bidi w:val="0"/>
        <w:spacing w:line="360" w:lineRule="auto"/>
        <w:outlineLvl w:val="9"/>
        <w:rPr>
          <w:rFonts w:hint="eastAsia" w:ascii="宋体" w:hAnsi="宋体" w:eastAsia="宋体" w:cs="宋体"/>
          <w:b/>
          <w:sz w:val="24"/>
          <w:highlight w:val="none"/>
        </w:rPr>
      </w:pPr>
    </w:p>
    <w:p>
      <w:pPr>
        <w:kinsoku/>
        <w:wordWrap/>
        <w:overflowPunct/>
        <w:topLinePunct w:val="0"/>
        <w:bidi w:val="0"/>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outlineLvl w:val="9"/>
        <w:rPr>
          <w:rFonts w:hint="eastAsia" w:ascii="宋体" w:hAnsi="宋体" w:eastAsia="宋体" w:cs="宋体"/>
          <w:b/>
          <w:sz w:val="24"/>
          <w:highlight w:val="none"/>
        </w:rPr>
      </w:pPr>
    </w:p>
    <w:p>
      <w:pPr>
        <w:widowControl/>
        <w:kinsoku/>
        <w:wordWrap/>
        <w:overflowPunct/>
        <w:topLinePunct w:val="0"/>
        <w:bidi w:val="0"/>
        <w:adjustRightInd/>
        <w:jc w:val="left"/>
        <w:outlineLvl w:val="9"/>
        <w:rPr>
          <w:rFonts w:hint="eastAsia" w:ascii="宋体" w:hAnsi="宋体" w:eastAsia="宋体" w:cs="宋体"/>
          <w:b/>
          <w:sz w:val="24"/>
          <w:highlight w:val="none"/>
        </w:rPr>
      </w:pPr>
      <w:r>
        <w:rPr>
          <w:rFonts w:hint="eastAsia" w:ascii="宋体" w:hAnsi="宋体" w:eastAsia="宋体" w:cs="宋体"/>
          <w:b/>
          <w:sz w:val="24"/>
          <w:highlight w:val="none"/>
        </w:rPr>
        <w:br w:type="page"/>
      </w:r>
    </w:p>
    <w:p>
      <w:pPr>
        <w:kinsoku/>
        <w:wordWrap/>
        <w:overflowPunct/>
        <w:topLinePunct w:val="0"/>
        <w:bidi w:val="0"/>
        <w:spacing w:line="360" w:lineRule="auto"/>
        <w:jc w:val="left"/>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附件3：</w:t>
      </w:r>
    </w:p>
    <w:p>
      <w:pPr>
        <w:kinsoku/>
        <w:wordWrap/>
        <w:overflowPunct/>
        <w:topLinePunct w:val="0"/>
        <w:bidi w:val="0"/>
        <w:spacing w:line="360" w:lineRule="auto"/>
        <w:outlineLvl w:val="9"/>
        <w:rPr>
          <w:rFonts w:hint="eastAsia" w:ascii="宋体" w:hAnsi="宋体" w:eastAsia="宋体" w:cs="宋体"/>
          <w:b/>
          <w:spacing w:val="6"/>
          <w:sz w:val="32"/>
          <w:szCs w:val="32"/>
          <w:highlight w:val="none"/>
        </w:rPr>
      </w:pPr>
    </w:p>
    <w:p>
      <w:pPr>
        <w:kinsoku/>
        <w:wordWrap/>
        <w:overflowPunct/>
        <w:topLinePunct w:val="0"/>
        <w:bidi w:val="0"/>
        <w:spacing w:line="360" w:lineRule="auto"/>
        <w:jc w:val="center"/>
        <w:outlineLvl w:val="9"/>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pPr>
        <w:kinsoku/>
        <w:wordWrap/>
        <w:overflowPunct/>
        <w:topLinePunct w:val="0"/>
        <w:bidi w:val="0"/>
        <w:spacing w:line="360" w:lineRule="auto"/>
        <w:outlineLvl w:val="9"/>
        <w:rPr>
          <w:rFonts w:hint="eastAsia" w:ascii="宋体" w:hAnsi="宋体" w:eastAsia="宋体" w:cs="宋体"/>
          <w:b/>
          <w:spacing w:val="6"/>
          <w:sz w:val="30"/>
          <w:szCs w:val="30"/>
          <w:highlight w:val="none"/>
        </w:rPr>
      </w:pP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cs="宋体"/>
          <w:sz w:val="24"/>
          <w:highlight w:val="none"/>
          <w:lang w:eastAsia="zh-CN"/>
        </w:rPr>
        <w:t>参加</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宁海县气象局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单位的</w:t>
      </w:r>
      <w:r>
        <w:rPr>
          <w:rFonts w:hint="eastAsia" w:ascii="宋体" w:hAnsi="宋体" w:cs="宋体"/>
          <w:sz w:val="24"/>
          <w:highlight w:val="none"/>
          <w:u w:val="single"/>
          <w:lang w:eastAsia="zh-CN"/>
        </w:rPr>
        <w:t>宁海县气象局风廓线雷达配套设施建设项目</w:t>
      </w:r>
      <w:r>
        <w:rPr>
          <w:rFonts w:hint="eastAsia" w:ascii="宋体" w:hAnsi="宋体" w:eastAsia="宋体" w:cs="宋体"/>
          <w:sz w:val="24"/>
          <w:highlight w:val="none"/>
        </w:rPr>
        <w:t>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p>
    <w:p>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单位名称（</w:t>
      </w:r>
      <w:r>
        <w:rPr>
          <w:rFonts w:hint="eastAsia" w:ascii="宋体" w:hAnsi="宋体" w:eastAsia="宋体" w:cs="宋体"/>
          <w:kern w:val="0"/>
          <w:sz w:val="24"/>
          <w:highlight w:val="none"/>
        </w:rPr>
        <w:t>电子签名</w:t>
      </w:r>
      <w:r>
        <w:rPr>
          <w:rFonts w:hint="eastAsia" w:ascii="宋体" w:hAnsi="宋体" w:eastAsia="宋体" w:cs="宋体"/>
          <w:sz w:val="24"/>
          <w:highlight w:val="none"/>
        </w:rPr>
        <w:t>）：</w:t>
      </w:r>
    </w:p>
    <w:p>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p>
    <w:p>
      <w:pPr>
        <w:widowControl/>
        <w:kinsoku/>
        <w:wordWrap/>
        <w:overflowPunct/>
        <w:topLinePunct w:val="0"/>
        <w:bidi w:val="0"/>
        <w:adjustRightInd/>
        <w:jc w:val="left"/>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insoku/>
        <w:wordWrap/>
        <w:overflowPunct/>
        <w:topLinePunct w:val="0"/>
        <w:autoSpaceDE w:val="0"/>
        <w:autoSpaceDN w:val="0"/>
        <w:bidi w:val="0"/>
        <w:jc w:val="left"/>
        <w:outlineLvl w:val="9"/>
        <w:rPr>
          <w:rFonts w:hint="eastAsia" w:ascii="宋体" w:hAnsi="宋体" w:eastAsia="宋体" w:cs="宋体"/>
          <w:b/>
          <w:sz w:val="24"/>
          <w:highlight w:val="none"/>
        </w:rPr>
      </w:pPr>
      <w:r>
        <w:rPr>
          <w:rFonts w:hint="eastAsia" w:ascii="宋体" w:hAnsi="宋体" w:eastAsia="宋体" w:cs="宋体"/>
          <w:b/>
          <w:sz w:val="32"/>
          <w:szCs w:val="32"/>
          <w:highlight w:val="none"/>
        </w:rPr>
        <w:t>附件4：</w:t>
      </w:r>
    </w:p>
    <w:p>
      <w:pPr>
        <w:kinsoku/>
        <w:wordWrap/>
        <w:overflowPunct/>
        <w:topLinePunct w:val="0"/>
        <w:bidi w:val="0"/>
        <w:spacing w:line="360" w:lineRule="auto"/>
        <w:jc w:val="left"/>
        <w:outlineLvl w:val="9"/>
        <w:rPr>
          <w:rFonts w:hint="eastAsia" w:ascii="宋体" w:hAnsi="宋体" w:eastAsia="宋体" w:cs="宋体"/>
          <w:b/>
          <w:sz w:val="24"/>
          <w:highlight w:val="none"/>
        </w:rPr>
      </w:pPr>
    </w:p>
    <w:p>
      <w:pPr>
        <w:kinsoku/>
        <w:wordWrap/>
        <w:overflowPunct/>
        <w:topLinePunct w:val="0"/>
        <w:autoSpaceDE w:val="0"/>
        <w:autoSpaceDN w:val="0"/>
        <w:bidi w:val="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业务专用章使用说明函</w:t>
      </w:r>
    </w:p>
    <w:p>
      <w:pPr>
        <w:kinsoku/>
        <w:wordWrap/>
        <w:overflowPunct/>
        <w:topLinePunct w:val="0"/>
        <w:autoSpaceDE w:val="0"/>
        <w:autoSpaceDN w:val="0"/>
        <w:bidi w:val="0"/>
        <w:jc w:val="center"/>
        <w:outlineLvl w:val="9"/>
        <w:rPr>
          <w:rFonts w:hint="eastAsia" w:ascii="宋体" w:hAnsi="宋体" w:eastAsia="宋体" w:cs="宋体"/>
          <w:b/>
          <w:bCs/>
          <w:sz w:val="32"/>
          <w:szCs w:val="32"/>
          <w:highlight w:val="none"/>
        </w:rPr>
      </w:pPr>
    </w:p>
    <w:p>
      <w:pPr>
        <w:kinsoku/>
        <w:wordWrap/>
        <w:overflowPunct/>
        <w:topLinePunct w:val="0"/>
        <w:bidi w:val="0"/>
        <w:spacing w:line="360" w:lineRule="auto"/>
        <w:outlineLvl w:val="9"/>
        <w:rPr>
          <w:rFonts w:hint="eastAsia" w:ascii="宋体" w:hAnsi="宋体" w:eastAsia="宋体" w:cs="宋体"/>
          <w:sz w:val="24"/>
          <w:highlight w:val="none"/>
        </w:rPr>
      </w:pPr>
      <w:r>
        <w:rPr>
          <w:rFonts w:hint="eastAsia" w:ascii="宋体" w:hAnsi="宋体" w:cs="宋体"/>
          <w:sz w:val="24"/>
          <w:highlight w:val="none"/>
          <w:lang w:eastAsia="zh-CN"/>
        </w:rPr>
        <w:t>宁海县气象局</w:t>
      </w:r>
      <w:r>
        <w:rPr>
          <w:rFonts w:hint="eastAsia" w:ascii="宋体" w:hAnsi="宋体" w:eastAsia="宋体" w:cs="宋体"/>
          <w:sz w:val="24"/>
          <w:highlight w:val="none"/>
        </w:rPr>
        <w:t>、</w:t>
      </w:r>
      <w:r>
        <w:rPr>
          <w:rFonts w:hint="eastAsia" w:ascii="宋体" w:hAnsi="宋体" w:cs="宋体"/>
          <w:sz w:val="24"/>
          <w:highlight w:val="none"/>
          <w:lang w:eastAsia="zh-CN"/>
        </w:rPr>
        <w:t>宁波中基国际招标有限公司</w:t>
      </w:r>
      <w:r>
        <w:rPr>
          <w:rFonts w:hint="eastAsia" w:ascii="宋体" w:hAnsi="宋体" w:eastAsia="宋体" w:cs="宋体"/>
          <w:sz w:val="24"/>
          <w:highlight w:val="none"/>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(供应商全称)是中华人民共和国依法登记注册的合法企业，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贵方组织的</w:t>
      </w:r>
      <w:r>
        <w:rPr>
          <w:rFonts w:hint="eastAsia" w:ascii="宋体" w:hAnsi="宋体" w:cs="宋体"/>
          <w:sz w:val="24"/>
          <w:highlight w:val="none"/>
          <w:lang w:eastAsia="zh-CN"/>
        </w:rPr>
        <w:t>宁海县气象局风廓线雷达配套设施建设项目</w:t>
      </w:r>
      <w:r>
        <w:rPr>
          <w:rFonts w:hint="eastAsia" w:ascii="宋体" w:hAnsi="宋体" w:eastAsia="宋体" w:cs="宋体"/>
          <w:sz w:val="24"/>
          <w:highlight w:val="none"/>
        </w:rPr>
        <w:t>【项目编号：</w:t>
      </w:r>
      <w:r>
        <w:rPr>
          <w:rFonts w:hint="eastAsia" w:ascii="宋体" w:hAnsi="宋体" w:cs="宋体"/>
          <w:sz w:val="24"/>
          <w:highlight w:val="none"/>
          <w:lang w:eastAsia="zh-CN"/>
        </w:rPr>
        <w:t>CBNB-20246170G</w:t>
      </w:r>
      <w:r>
        <w:rPr>
          <w:rFonts w:hint="eastAsia" w:ascii="宋体" w:hAnsi="宋体" w:eastAsia="宋体" w:cs="宋体"/>
          <w:sz w:val="24"/>
          <w:highlight w:val="none"/>
        </w:rPr>
        <w:t>】</w:t>
      </w:r>
      <w:r>
        <w:rPr>
          <w:rFonts w:hint="eastAsia" w:ascii="宋体" w:hAnsi="宋体" w:eastAsia="宋体" w:cs="宋体"/>
          <w:bCs/>
          <w:sz w:val="24"/>
          <w:highlight w:val="none"/>
        </w:rPr>
        <w:t>采购活动中作如下说明：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特此说明。</w:t>
      </w:r>
    </w:p>
    <w:p>
      <w:pPr>
        <w:kinsoku/>
        <w:wordWrap/>
        <w:overflowPunct/>
        <w:topLinePunct w:val="0"/>
        <w:bidi w:val="0"/>
        <w:spacing w:line="360" w:lineRule="auto"/>
        <w:ind w:firstLine="494"/>
        <w:outlineLvl w:val="9"/>
        <w:rPr>
          <w:rFonts w:hint="eastAsia" w:ascii="宋体" w:hAnsi="宋体" w:eastAsia="宋体" w:cs="宋体"/>
          <w:sz w:val="24"/>
          <w:highlight w:val="none"/>
        </w:rPr>
      </w:pPr>
    </w:p>
    <w:p>
      <w:pPr>
        <w:kinsoku/>
        <w:wordWrap/>
        <w:overflowPunct/>
        <w:topLinePunct w:val="0"/>
        <w:bidi w:val="0"/>
        <w:spacing w:line="360" w:lineRule="auto"/>
        <w:ind w:firstLine="494"/>
        <w:outlineLvl w:val="9"/>
        <w:rPr>
          <w:rFonts w:hint="eastAsia" w:ascii="宋体" w:hAnsi="宋体" w:eastAsia="宋体" w:cs="宋体"/>
          <w:sz w:val="24"/>
          <w:highlight w:val="none"/>
        </w:rPr>
      </w:pPr>
    </w:p>
    <w:p>
      <w:pPr>
        <w:kinsoku/>
        <w:wordWrap/>
        <w:overflowPunct/>
        <w:topLinePunct w:val="0"/>
        <w:bidi w:val="0"/>
        <w:spacing w:line="360" w:lineRule="auto"/>
        <w:ind w:firstLine="494"/>
        <w:outlineLvl w:val="9"/>
        <w:rPr>
          <w:rFonts w:hint="eastAsia" w:ascii="宋体" w:hAnsi="宋体" w:eastAsia="宋体" w:cs="宋体"/>
          <w:sz w:val="24"/>
          <w:highlight w:val="none"/>
        </w:rPr>
      </w:pPr>
    </w:p>
    <w:p>
      <w:pPr>
        <w:kinsoku/>
        <w:wordWrap/>
        <w:overflowPunct/>
        <w:topLinePunct w:val="0"/>
        <w:bidi w:val="0"/>
        <w:spacing w:line="360" w:lineRule="auto"/>
        <w:ind w:firstLine="494"/>
        <w:outlineLvl w:val="9"/>
        <w:rPr>
          <w:rFonts w:hint="eastAsia" w:ascii="宋体" w:hAnsi="宋体" w:eastAsia="宋体" w:cs="宋体"/>
          <w:sz w:val="24"/>
          <w:highlight w:val="none"/>
        </w:rPr>
      </w:pPr>
    </w:p>
    <w:p>
      <w:pPr>
        <w:kinsoku/>
        <w:wordWrap/>
        <w:overflowPunct/>
        <w:topLinePunct w:val="0"/>
        <w:bidi w:val="0"/>
        <w:spacing w:line="360" w:lineRule="auto"/>
        <w:ind w:right="482" w:firstLine="4080" w:firstLineChars="1700"/>
        <w:outlineLvl w:val="9"/>
        <w:rPr>
          <w:rFonts w:hint="eastAsia" w:ascii="宋体" w:hAnsi="宋体" w:eastAsia="宋体" w:cs="宋体"/>
          <w:sz w:val="24"/>
          <w:highlight w:val="none"/>
        </w:rPr>
      </w:pPr>
      <w:r>
        <w:rPr>
          <w:rFonts w:hint="eastAsia" w:ascii="宋体" w:hAnsi="宋体" w:eastAsia="宋体" w:cs="宋体"/>
          <w:sz w:val="24"/>
          <w:highlight w:val="none"/>
        </w:rPr>
        <w:t>供应商（法定名称章）：</w:t>
      </w:r>
    </w:p>
    <w:p>
      <w:pPr>
        <w:kinsoku/>
        <w:wordWrap/>
        <w:overflowPunct/>
        <w:topLinePunct w:val="0"/>
        <w:bidi w:val="0"/>
        <w:spacing w:line="360" w:lineRule="auto"/>
        <w:ind w:right="482" w:firstLine="4080" w:firstLineChars="1700"/>
        <w:outlineLvl w:val="9"/>
        <w:rPr>
          <w:rFonts w:hint="eastAsia" w:ascii="宋体" w:hAnsi="宋体" w:eastAsia="宋体" w:cs="宋体"/>
          <w:sz w:val="24"/>
          <w:highlight w:val="none"/>
        </w:rPr>
      </w:pPr>
      <w:r>
        <w:rPr>
          <w:rFonts w:hint="eastAsia" w:ascii="宋体" w:hAnsi="宋体" w:eastAsia="宋体" w:cs="宋体"/>
          <w:sz w:val="24"/>
          <w:highlight w:val="none"/>
        </w:rPr>
        <w:t>日期：       年     月     日</w:t>
      </w:r>
    </w:p>
    <w:p>
      <w:pPr>
        <w:kinsoku/>
        <w:wordWrap/>
        <w:overflowPunct/>
        <w:topLinePunct w:val="0"/>
        <w:bidi w:val="0"/>
        <w:outlineLvl w:val="9"/>
        <w:rPr>
          <w:rFonts w:hint="eastAsia" w:ascii="宋体" w:hAnsi="宋体" w:eastAsia="宋体" w:cs="宋体"/>
          <w:sz w:val="24"/>
          <w:highlight w:val="none"/>
        </w:rPr>
      </w:pPr>
      <w:r>
        <w:rPr>
          <w:rFonts w:hint="eastAsia" w:ascii="宋体" w:hAnsi="宋体" w:eastAsia="宋体" w:cs="宋体"/>
          <w:b/>
          <w:bCs/>
          <w:sz w:val="24"/>
          <w:highlight w:val="none"/>
        </w:rPr>
        <w:t>附：</w:t>
      </w:r>
    </w:p>
    <w:p>
      <w:pPr>
        <w:kinsoku/>
        <w:wordWrap/>
        <w:overflowPunct/>
        <w:topLinePunct w:val="0"/>
        <w:bidi w:val="0"/>
        <w:spacing w:line="360" w:lineRule="auto"/>
        <w:outlineLvl w:val="9"/>
        <w:rPr>
          <w:rFonts w:hint="eastAsia" w:ascii="宋体" w:hAnsi="宋体" w:eastAsia="宋体" w:cs="宋体"/>
          <w:bCs/>
          <w:sz w:val="24"/>
          <w:highlight w:val="none"/>
        </w:rPr>
      </w:pPr>
      <w:r>
        <w:rPr>
          <w:rFonts w:hint="eastAsia" w:ascii="宋体" w:hAnsi="宋体" w:eastAsia="宋体" w:cs="宋体"/>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JD9WUc6AgAAfQQAAA4AAAAAAAAAAQAgAAAAJwEAAGRy&#10;cy9lMm9Eb2MueG1sUEsFBgAAAAAGAAYAWQEAANM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dO2kTYCAAB7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ddyv90fb11AeyDqEbmbpxtKiBvzCWUPzWvDweStQcWbeOLJ/MhgO2wFPwXB0lVOAl5n1ZUY4&#10;SVAFj5x1y0XsLsXWo97UdNIgyXVwQy2rdDKzpdqxOvKmmUztON6fdugv41T1558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jEem2AAAAAoBAAAPAAAAAAAAAAEAIAAAACIAAABkcnMvZG93bnJl&#10;di54bWxQSwECFAAUAAAACACHTuJAkdO2kTYCAAB7BAAADgAAAAAAAAABACAAAAAnAQAAZHJzL2Uy&#10;b0RvYy54bWxQSwUGAAAAAAYABgBZAQAAzw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sz w:val="24"/>
          <w:highlight w:val="none"/>
        </w:rPr>
        <w:t>供应商法定名称章（印模）                供应商“XX专用章”（印模）</w:t>
      </w:r>
    </w:p>
    <w:p>
      <w:pPr>
        <w:widowControl/>
        <w:kinsoku/>
        <w:wordWrap/>
        <w:overflowPunct/>
        <w:topLinePunct w:val="0"/>
        <w:bidi w:val="0"/>
        <w:spacing w:line="360" w:lineRule="auto"/>
        <w:ind w:firstLine="480" w:firstLineChars="200"/>
        <w:jc w:val="left"/>
        <w:outlineLvl w:val="9"/>
        <w:rPr>
          <w:rFonts w:hint="eastAsia" w:ascii="宋体" w:hAnsi="宋体" w:eastAsia="宋体" w:cs="宋体"/>
          <w:kern w:val="0"/>
          <w:sz w:val="24"/>
          <w:highlight w:val="none"/>
        </w:rPr>
      </w:pPr>
    </w:p>
    <w:p>
      <w:pPr>
        <w:kinsoku/>
        <w:wordWrap/>
        <w:overflowPunct/>
        <w:topLinePunct w:val="0"/>
        <w:bidi w:val="0"/>
        <w:snapToGrid w:val="0"/>
        <w:spacing w:line="360" w:lineRule="auto"/>
        <w:jc w:val="center"/>
        <w:outlineLvl w:val="9"/>
        <w:rPr>
          <w:rFonts w:hint="eastAsia" w:ascii="宋体" w:hAnsi="宋体" w:eastAsia="宋体" w:cs="宋体"/>
          <w:b/>
          <w:sz w:val="24"/>
          <w:highlight w:val="none"/>
        </w:rPr>
      </w:pPr>
    </w:p>
    <w:p>
      <w:pPr>
        <w:widowControl/>
        <w:kinsoku/>
        <w:wordWrap/>
        <w:overflowPunct/>
        <w:topLinePunct w:val="0"/>
        <w:bidi w:val="0"/>
        <w:adjustRightInd/>
        <w:jc w:val="left"/>
        <w:outlineLvl w:val="9"/>
        <w:rPr>
          <w:rFonts w:hint="eastAsia" w:ascii="宋体" w:hAnsi="宋体" w:eastAsia="宋体" w:cs="宋体"/>
          <w:b/>
          <w:sz w:val="24"/>
          <w:highlight w:val="none"/>
        </w:rPr>
      </w:pPr>
      <w:r>
        <w:rPr>
          <w:rFonts w:hint="eastAsia" w:ascii="宋体" w:hAnsi="宋体" w:eastAsia="宋体" w:cs="宋体"/>
          <w:b/>
          <w:sz w:val="24"/>
          <w:highlight w:val="none"/>
        </w:rPr>
        <w:br w:type="page"/>
      </w:r>
    </w:p>
    <w:p>
      <w:pPr>
        <w:kinsoku/>
        <w:wordWrap/>
        <w:overflowPunct/>
        <w:topLinePunct w:val="0"/>
        <w:autoSpaceDE w:val="0"/>
        <w:autoSpaceDN w:val="0"/>
        <w:bidi w:val="0"/>
        <w:outlineLvl w:val="9"/>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p>
    <w:p>
      <w:pPr>
        <w:kinsoku/>
        <w:wordWrap/>
        <w:overflowPunct/>
        <w:topLinePunct w:val="0"/>
        <w:bidi w:val="0"/>
        <w:adjustRightInd/>
        <w:spacing w:line="360" w:lineRule="auto"/>
        <w:jc w:val="center"/>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t>中小企业声明函（货物）</w:t>
      </w:r>
    </w:p>
    <w:p>
      <w:pPr>
        <w:kinsoku/>
        <w:wordWrap/>
        <w:overflowPunct/>
        <w:topLinePunct w:val="0"/>
        <w:bidi w:val="0"/>
        <w:spacing w:line="360" w:lineRule="auto"/>
        <w:jc w:val="center"/>
        <w:outlineLvl w:val="9"/>
        <w:rPr>
          <w:rFonts w:hint="eastAsia" w:ascii="宋体" w:hAnsi="宋体" w:eastAsia="宋体" w:cs="宋体"/>
          <w:b/>
          <w:sz w:val="32"/>
          <w:szCs w:val="32"/>
          <w:highlight w:val="none"/>
        </w:rPr>
      </w:pPr>
    </w:p>
    <w:p>
      <w:pPr>
        <w:kinsoku/>
        <w:wordWrap/>
        <w:overflowPunct/>
        <w:topLinePunct w:val="0"/>
        <w:bidi w:val="0"/>
        <w:spacing w:line="360" w:lineRule="auto"/>
        <w:ind w:firstLine="360" w:firstLineChars="150"/>
        <w:jc w:val="left"/>
        <w:outlineLvl w:val="9"/>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宁海县气象局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宁海县气象局风廓线雷达配套设施建设项目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采购活动，提供的货物全部由符合政策要求的中小企业制造。相关企业（含联合体中的中小企业、签订分包意向协议的中小企业）的具体情况如下：</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cs="宋体"/>
          <w:sz w:val="24"/>
          <w:highlight w:val="none"/>
          <w:u w:val="single"/>
          <w:lang w:eastAsia="zh-CN"/>
        </w:rPr>
        <w:t>：</w:t>
      </w:r>
      <w:r>
        <w:rPr>
          <w:rFonts w:hint="eastAsia" w:ascii="宋体" w:hAnsi="宋体" w:eastAsia="宋体" w:cs="宋体"/>
          <w:kern w:val="0"/>
          <w:sz w:val="24"/>
          <w:highlight w:val="none"/>
          <w:u w:val="single"/>
        </w:rPr>
        <w:t>数据采集系统</w:t>
      </w:r>
      <w:r>
        <w:rPr>
          <w:rFonts w:hint="eastAsia" w:ascii="宋体" w:hAnsi="宋体" w:cs="宋体"/>
          <w:kern w:val="0"/>
          <w:sz w:val="24"/>
          <w:highlight w:val="none"/>
          <w:u w:val="single"/>
          <w:lang w:eastAsia="zh-CN"/>
        </w:rPr>
        <w:t>（</w:t>
      </w:r>
      <w:r>
        <w:rPr>
          <w:rFonts w:hint="eastAsia" w:ascii="宋体" w:hAnsi="宋体" w:eastAsia="宋体" w:cs="宋体"/>
          <w:kern w:val="0"/>
          <w:sz w:val="24"/>
          <w:highlight w:val="none"/>
          <w:u w:val="single"/>
        </w:rPr>
        <w:t>主采集器</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rPr>
        <w:t>地温分采集系统</w:t>
      </w:r>
      <w:r>
        <w:rPr>
          <w:rFonts w:hint="eastAsia" w:ascii="宋体" w:hAnsi="宋体" w:cs="宋体"/>
          <w:kern w:val="0"/>
          <w:sz w:val="24"/>
          <w:highlight w:val="none"/>
          <w:u w:val="single"/>
          <w:lang w:eastAsia="zh-CN"/>
        </w:rPr>
        <w:t>）</w:t>
      </w:r>
      <w:r>
        <w:rPr>
          <w:rFonts w:hint="eastAsia" w:ascii="宋体" w:hAnsi="宋体" w:eastAsia="宋体" w:cs="宋体"/>
          <w:sz w:val="24"/>
          <w:highlight w:val="none"/>
          <w:u w:val="single"/>
        </w:rPr>
        <w:t>）</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工业</w:t>
      </w:r>
      <w:r>
        <w:rPr>
          <w:rFonts w:hint="eastAsia" w:ascii="宋体" w:hAnsi="宋体" w:eastAsia="宋体" w:cs="宋体"/>
          <w:sz w:val="24"/>
          <w:highlight w:val="none"/>
          <w:u w:val="single"/>
        </w:rPr>
        <w:t>）</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cs="宋体"/>
          <w:sz w:val="24"/>
          <w:highlight w:val="none"/>
          <w:u w:val="single"/>
          <w:lang w:eastAsia="zh-CN"/>
        </w:rPr>
        <w:t>：</w:t>
      </w:r>
      <w:r>
        <w:rPr>
          <w:rFonts w:hint="eastAsia" w:ascii="宋体" w:hAnsi="宋体" w:eastAsia="宋体" w:cs="宋体"/>
          <w:kern w:val="0"/>
          <w:sz w:val="24"/>
          <w:highlight w:val="none"/>
          <w:u w:val="single"/>
        </w:rPr>
        <w:t>串口服务器</w:t>
      </w:r>
      <w:r>
        <w:rPr>
          <w:rFonts w:hint="eastAsia" w:ascii="宋体" w:hAnsi="宋体" w:eastAsia="宋体" w:cs="宋体"/>
          <w:sz w:val="24"/>
          <w:highlight w:val="none"/>
          <w:u w:val="single"/>
        </w:rPr>
        <w:t>）</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工业</w:t>
      </w:r>
      <w:r>
        <w:rPr>
          <w:rFonts w:hint="eastAsia" w:ascii="宋体" w:hAnsi="宋体" w:eastAsia="宋体" w:cs="宋体"/>
          <w:sz w:val="24"/>
          <w:highlight w:val="none"/>
          <w:u w:val="single"/>
        </w:rPr>
        <w:t>）</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u w:val="single"/>
          <w:lang w:eastAsia="zh-CN"/>
        </w:rPr>
        <w:t>：</w:t>
      </w:r>
      <w:r>
        <w:rPr>
          <w:rFonts w:hint="eastAsia" w:ascii="宋体" w:hAnsi="宋体" w:eastAsia="宋体" w:cs="宋体"/>
          <w:kern w:val="0"/>
          <w:sz w:val="24"/>
          <w:highlight w:val="none"/>
          <w:u w:val="single"/>
        </w:rPr>
        <w:t>操作实训平台</w:t>
      </w:r>
      <w:r>
        <w:rPr>
          <w:rFonts w:hint="eastAsia" w:ascii="宋体" w:hAnsi="宋体" w:eastAsia="宋体" w:cs="宋体"/>
          <w:sz w:val="24"/>
          <w:highlight w:val="none"/>
          <w:u w:val="single"/>
        </w:rPr>
        <w:t>）</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工业</w:t>
      </w:r>
      <w:r>
        <w:rPr>
          <w:rFonts w:hint="eastAsia" w:ascii="宋体" w:hAnsi="宋体" w:eastAsia="宋体" w:cs="宋体"/>
          <w:sz w:val="24"/>
          <w:highlight w:val="none"/>
          <w:u w:val="single"/>
        </w:rPr>
        <w:t>）</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u w:val="single"/>
          <w:lang w:eastAsia="zh-CN"/>
        </w:rPr>
        <w:t>：</w:t>
      </w:r>
      <w:r>
        <w:rPr>
          <w:rFonts w:hint="eastAsia" w:ascii="宋体" w:hAnsi="宋体" w:eastAsia="宋体" w:cs="宋体"/>
          <w:kern w:val="0"/>
          <w:sz w:val="24"/>
          <w:highlight w:val="none"/>
          <w:u w:val="single"/>
        </w:rPr>
        <w:t>自动日照仪</w:t>
      </w:r>
      <w:r>
        <w:rPr>
          <w:rFonts w:hint="eastAsia" w:ascii="宋体" w:hAnsi="宋体" w:eastAsia="宋体" w:cs="宋体"/>
          <w:sz w:val="24"/>
          <w:highlight w:val="none"/>
          <w:u w:val="single"/>
        </w:rPr>
        <w:t>）</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工业</w:t>
      </w:r>
      <w:r>
        <w:rPr>
          <w:rFonts w:hint="eastAsia" w:ascii="宋体" w:hAnsi="宋体" w:eastAsia="宋体" w:cs="宋体"/>
          <w:sz w:val="24"/>
          <w:highlight w:val="none"/>
          <w:u w:val="single"/>
        </w:rPr>
        <w:t>）</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u w:val="single"/>
          <w:lang w:eastAsia="zh-CN"/>
        </w:rPr>
        <w:t>：</w:t>
      </w:r>
      <w:r>
        <w:rPr>
          <w:rFonts w:hint="eastAsia" w:ascii="宋体" w:hAnsi="宋体" w:eastAsia="宋体" w:cs="宋体"/>
          <w:kern w:val="0"/>
          <w:sz w:val="24"/>
          <w:highlight w:val="none"/>
          <w:u w:val="single"/>
        </w:rPr>
        <w:t>降水现象仪</w:t>
      </w:r>
      <w:r>
        <w:rPr>
          <w:rFonts w:hint="eastAsia" w:ascii="宋体" w:hAnsi="宋体" w:eastAsia="宋体" w:cs="宋体"/>
          <w:sz w:val="24"/>
          <w:highlight w:val="none"/>
          <w:u w:val="single"/>
        </w:rPr>
        <w:t>）</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工业</w:t>
      </w:r>
      <w:r>
        <w:rPr>
          <w:rFonts w:hint="eastAsia" w:ascii="宋体" w:hAnsi="宋体" w:eastAsia="宋体" w:cs="宋体"/>
          <w:sz w:val="24"/>
          <w:highlight w:val="none"/>
          <w:u w:val="single"/>
        </w:rPr>
        <w:t>）</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w:t>
      </w:r>
    </w:p>
    <w:p>
      <w:pPr>
        <w:kinsoku/>
        <w:wordWrap/>
        <w:overflowPunct/>
        <w:topLinePunct w:val="0"/>
        <w:bidi w:val="0"/>
        <w:spacing w:line="360" w:lineRule="auto"/>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kinsoku/>
        <w:wordWrap/>
        <w:overflowPunct/>
        <w:topLinePunct w:val="0"/>
        <w:bidi w:val="0"/>
        <w:spacing w:line="360" w:lineRule="auto"/>
        <w:ind w:firstLine="480" w:firstLineChars="200"/>
        <w:jc w:val="left"/>
        <w:outlineLvl w:val="9"/>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kinsoku/>
        <w:wordWrap/>
        <w:overflowPunct/>
        <w:topLinePunct w:val="0"/>
        <w:bidi w:val="0"/>
        <w:spacing w:line="360" w:lineRule="auto"/>
        <w:ind w:right="1760"/>
        <w:jc w:val="right"/>
        <w:outlineLvl w:val="9"/>
        <w:rPr>
          <w:rFonts w:hint="eastAsia" w:ascii="宋体" w:hAnsi="宋体" w:eastAsia="宋体" w:cs="宋体"/>
          <w:sz w:val="24"/>
          <w:highlight w:val="none"/>
        </w:rPr>
      </w:pPr>
      <w:r>
        <w:rPr>
          <w:rFonts w:hint="eastAsia" w:ascii="宋体" w:hAnsi="宋体" w:eastAsia="宋体" w:cs="宋体"/>
          <w:sz w:val="24"/>
          <w:highlight w:val="none"/>
        </w:rPr>
        <w:t>供应商名称（电子签名）：</w:t>
      </w:r>
    </w:p>
    <w:p>
      <w:pPr>
        <w:kinsoku/>
        <w:wordWrap/>
        <w:overflowPunct/>
        <w:topLinePunct w:val="0"/>
        <w:bidi w:val="0"/>
        <w:spacing w:line="360" w:lineRule="auto"/>
        <w:ind w:right="1120" w:firstLine="4680" w:firstLineChars="1950"/>
        <w:outlineLvl w:val="9"/>
        <w:rPr>
          <w:rFonts w:hint="eastAsia" w:ascii="宋体" w:hAnsi="宋体" w:eastAsia="宋体" w:cs="宋体"/>
          <w:sz w:val="24"/>
          <w:highlight w:val="none"/>
        </w:rPr>
      </w:pPr>
      <w:r>
        <w:rPr>
          <w:rFonts w:hint="eastAsia" w:ascii="宋体" w:hAnsi="宋体" w:eastAsia="宋体" w:cs="宋体"/>
          <w:sz w:val="24"/>
          <w:highlight w:val="none"/>
        </w:rPr>
        <w:t>日 期：</w:t>
      </w:r>
    </w:p>
    <w:p>
      <w:pPr>
        <w:kinsoku/>
        <w:wordWrap/>
        <w:overflowPunct/>
        <w:topLinePunct w:val="0"/>
        <w:bidi w:val="0"/>
        <w:spacing w:line="360" w:lineRule="auto"/>
        <w:ind w:firstLine="310" w:firstLineChars="147"/>
        <w:jc w:val="left"/>
        <w:outlineLvl w:val="9"/>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kinsoku/>
        <w:wordWrap/>
        <w:overflowPunct/>
        <w:topLinePunct w:val="0"/>
        <w:bidi w:val="0"/>
        <w:spacing w:line="360" w:lineRule="auto"/>
        <w:ind w:right="420"/>
        <w:outlineLvl w:val="9"/>
        <w:rPr>
          <w:rFonts w:hint="eastAsia" w:ascii="宋体" w:hAnsi="宋体" w:eastAsia="宋体" w:cs="宋体"/>
          <w:sz w:val="24"/>
          <w:highlight w:val="none"/>
        </w:rPr>
      </w:pPr>
      <w:r>
        <w:rPr>
          <w:rFonts w:hint="eastAsia" w:ascii="宋体" w:hAnsi="宋体" w:eastAsia="宋体" w:cs="宋体"/>
          <w:sz w:val="24"/>
          <w:highlight w:val="none"/>
        </w:rPr>
        <w:t xml:space="preserve">   注：</w:t>
      </w:r>
    </w:p>
    <w:p>
      <w:pPr>
        <w:kinsoku/>
        <w:wordWrap/>
        <w:overflowPunct/>
        <w:topLinePunct w:val="0"/>
        <w:bidi w:val="0"/>
        <w:spacing w:line="360" w:lineRule="auto"/>
        <w:ind w:right="420"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insoku/>
        <w:wordWrap/>
        <w:overflowPunct/>
        <w:topLinePunct w:val="0"/>
        <w:bidi w:val="0"/>
        <w:spacing w:line="360" w:lineRule="auto"/>
        <w:ind w:right="420" w:firstLine="720" w:firstLineChars="300"/>
        <w:outlineLvl w:val="9"/>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kinsoku/>
        <w:wordWrap/>
        <w:overflowPunct/>
        <w:topLinePunct w:val="0"/>
        <w:bidi w:val="0"/>
        <w:spacing w:line="360" w:lineRule="auto"/>
        <w:ind w:right="420" w:firstLine="723" w:firstLineChars="300"/>
        <w:outlineLvl w:val="9"/>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bCs/>
          <w:sz w:val="24"/>
          <w:highlight w:val="none"/>
          <w:lang w:val="en-US" w:eastAsia="zh-CN"/>
        </w:rPr>
        <w:t>3、本采购文件中明确的所属行业为</w:t>
      </w:r>
      <w:r>
        <w:rPr>
          <w:rFonts w:hint="eastAsia" w:ascii="宋体" w:hAnsi="宋体" w:eastAsia="宋体" w:cs="宋体"/>
          <w:b/>
          <w:bCs/>
          <w:sz w:val="24"/>
          <w:highlight w:val="none"/>
          <w:u w:val="single"/>
          <w:lang w:val="en-US" w:eastAsia="zh-CN"/>
        </w:rPr>
        <w:t>工业</w:t>
      </w:r>
      <w:r>
        <w:rPr>
          <w:rFonts w:hint="eastAsia" w:ascii="宋体" w:hAnsi="宋体" w:eastAsia="宋体" w:cs="宋体"/>
          <w:b/>
          <w:bCs/>
          <w:sz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lang w:val="en-US" w:eastAsia="zh-CN"/>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EB5DC"/>
    <w:multiLevelType w:val="singleLevel"/>
    <w:tmpl w:val="D84EB5DC"/>
    <w:lvl w:ilvl="0" w:tentative="0">
      <w:start w:val="4"/>
      <w:numFmt w:val="chineseCounting"/>
      <w:suff w:val="nothing"/>
      <w:lvlText w:val="%1、"/>
      <w:lvlJc w:val="left"/>
      <w:rPr>
        <w:rFonts w:hint="eastAsia"/>
      </w:rPr>
    </w:lvl>
  </w:abstractNum>
  <w:abstractNum w:abstractNumId="1">
    <w:nsid w:val="DEA218B3"/>
    <w:multiLevelType w:val="singleLevel"/>
    <w:tmpl w:val="DEA218B3"/>
    <w:lvl w:ilvl="0" w:tentative="0">
      <w:start w:val="1"/>
      <w:numFmt w:val="bullet"/>
      <w:lvlText w:val=""/>
      <w:lvlJc w:val="left"/>
      <w:pPr>
        <w:ind w:left="420" w:hanging="42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2B884076"/>
    <w:multiLevelType w:val="singleLevel"/>
    <w:tmpl w:val="2B884076"/>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EFC54ED"/>
    <w:multiLevelType w:val="singleLevel"/>
    <w:tmpl w:val="7EFC54ED"/>
    <w:lvl w:ilvl="0" w:tentative="0">
      <w:start w:val="4"/>
      <w:numFmt w:val="decimal"/>
      <w:lvlText w:val="%1."/>
      <w:lvlJc w:val="left"/>
      <w:pPr>
        <w:tabs>
          <w:tab w:val="left" w:pos="312"/>
        </w:tabs>
      </w:pPr>
    </w:lvl>
  </w:abstractNum>
  <w:num w:numId="1">
    <w:abstractNumId w:val="5"/>
  </w:num>
  <w:num w:numId="2">
    <w:abstractNumId w:val="4"/>
  </w:num>
  <w:num w:numId="3">
    <w:abstractNumId w:val="2"/>
  </w:num>
  <w:num w:numId="4">
    <w:abstractNumId w:val="3"/>
  </w:num>
  <w:num w:numId="5">
    <w:abstractNumId w:val="9"/>
  </w:num>
  <w:num w:numId="6">
    <w:abstractNumId w:val="11"/>
  </w:num>
  <w:num w:numId="7">
    <w:abstractNumId w:val="12"/>
  </w:num>
  <w:num w:numId="8">
    <w:abstractNumId w:val="6"/>
  </w:num>
  <w:num w:numId="9">
    <w:abstractNumId w:val="13"/>
  </w:num>
  <w:num w:numId="10">
    <w:abstractNumId w:val="0"/>
  </w:num>
  <w:num w:numId="11">
    <w:abstractNumId w:val="1"/>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DD35E4"/>
    <w:rsid w:val="04274D1A"/>
    <w:rsid w:val="049F51EA"/>
    <w:rsid w:val="052D1FA4"/>
    <w:rsid w:val="065A6178"/>
    <w:rsid w:val="075524D7"/>
    <w:rsid w:val="075562B7"/>
    <w:rsid w:val="087E6359"/>
    <w:rsid w:val="08855DE1"/>
    <w:rsid w:val="096B2097"/>
    <w:rsid w:val="09D0397E"/>
    <w:rsid w:val="09D05E45"/>
    <w:rsid w:val="0A0D7099"/>
    <w:rsid w:val="0A5B7E63"/>
    <w:rsid w:val="0A946377"/>
    <w:rsid w:val="0BD47E6F"/>
    <w:rsid w:val="0BF60C5A"/>
    <w:rsid w:val="0C87121B"/>
    <w:rsid w:val="0CFF53BF"/>
    <w:rsid w:val="0D766618"/>
    <w:rsid w:val="0DF702FE"/>
    <w:rsid w:val="0E3F698B"/>
    <w:rsid w:val="0E664FCA"/>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A953C9"/>
    <w:rsid w:val="16B04D8F"/>
    <w:rsid w:val="17316C40"/>
    <w:rsid w:val="177C13BA"/>
    <w:rsid w:val="181A1707"/>
    <w:rsid w:val="18936391"/>
    <w:rsid w:val="18A15CFE"/>
    <w:rsid w:val="19040D21"/>
    <w:rsid w:val="1A051425"/>
    <w:rsid w:val="1A1660DA"/>
    <w:rsid w:val="1B2A271F"/>
    <w:rsid w:val="1B890139"/>
    <w:rsid w:val="1C7912FD"/>
    <w:rsid w:val="1CF94F5A"/>
    <w:rsid w:val="1D266CE1"/>
    <w:rsid w:val="1D3963AF"/>
    <w:rsid w:val="1E714A66"/>
    <w:rsid w:val="1EDC60EE"/>
    <w:rsid w:val="1EEC32CA"/>
    <w:rsid w:val="1F86611C"/>
    <w:rsid w:val="1FBD76E1"/>
    <w:rsid w:val="1FE868A9"/>
    <w:rsid w:val="209459C7"/>
    <w:rsid w:val="211801CB"/>
    <w:rsid w:val="211E26D6"/>
    <w:rsid w:val="21283D08"/>
    <w:rsid w:val="213170F5"/>
    <w:rsid w:val="22E26EBD"/>
    <w:rsid w:val="23A229BA"/>
    <w:rsid w:val="2443398C"/>
    <w:rsid w:val="25B440B3"/>
    <w:rsid w:val="262409C4"/>
    <w:rsid w:val="2674607E"/>
    <w:rsid w:val="27D02A39"/>
    <w:rsid w:val="291E0523"/>
    <w:rsid w:val="297F5466"/>
    <w:rsid w:val="2A0D6C9F"/>
    <w:rsid w:val="2A9D64F9"/>
    <w:rsid w:val="2AA1365A"/>
    <w:rsid w:val="2B333696"/>
    <w:rsid w:val="2B692C31"/>
    <w:rsid w:val="2B7D7783"/>
    <w:rsid w:val="2CA23219"/>
    <w:rsid w:val="2D2B555B"/>
    <w:rsid w:val="2D6C18B0"/>
    <w:rsid w:val="2DD15014"/>
    <w:rsid w:val="2F236317"/>
    <w:rsid w:val="2F792957"/>
    <w:rsid w:val="2FD25781"/>
    <w:rsid w:val="319C6071"/>
    <w:rsid w:val="320D678D"/>
    <w:rsid w:val="32326E2F"/>
    <w:rsid w:val="32BD0DAD"/>
    <w:rsid w:val="32DB72BE"/>
    <w:rsid w:val="342E63AB"/>
    <w:rsid w:val="345D260B"/>
    <w:rsid w:val="348E08B5"/>
    <w:rsid w:val="34B31CDA"/>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B2D3E06"/>
    <w:rsid w:val="3C5F759A"/>
    <w:rsid w:val="3D175C1D"/>
    <w:rsid w:val="3D5C78D4"/>
    <w:rsid w:val="3D7A38E2"/>
    <w:rsid w:val="3E6D50EE"/>
    <w:rsid w:val="3EAA6689"/>
    <w:rsid w:val="3EDB418E"/>
    <w:rsid w:val="3F5860E5"/>
    <w:rsid w:val="3F7B0026"/>
    <w:rsid w:val="3F7B737C"/>
    <w:rsid w:val="419657EA"/>
    <w:rsid w:val="41FC04CA"/>
    <w:rsid w:val="420A5691"/>
    <w:rsid w:val="42B475B5"/>
    <w:rsid w:val="42E1381E"/>
    <w:rsid w:val="42E20BC7"/>
    <w:rsid w:val="43C57AC2"/>
    <w:rsid w:val="43FB717C"/>
    <w:rsid w:val="442F13DF"/>
    <w:rsid w:val="44BF09B5"/>
    <w:rsid w:val="451E447A"/>
    <w:rsid w:val="45345B76"/>
    <w:rsid w:val="45691BF0"/>
    <w:rsid w:val="47307808"/>
    <w:rsid w:val="47392CA0"/>
    <w:rsid w:val="47EF2FD4"/>
    <w:rsid w:val="486620A5"/>
    <w:rsid w:val="486F747C"/>
    <w:rsid w:val="4878774D"/>
    <w:rsid w:val="491D6091"/>
    <w:rsid w:val="49587A7B"/>
    <w:rsid w:val="49CE36F6"/>
    <w:rsid w:val="49DF40DF"/>
    <w:rsid w:val="4C60482B"/>
    <w:rsid w:val="4C6C7D99"/>
    <w:rsid w:val="4C77248A"/>
    <w:rsid w:val="4CC208D3"/>
    <w:rsid w:val="4D861CF6"/>
    <w:rsid w:val="5032295C"/>
    <w:rsid w:val="51A0432A"/>
    <w:rsid w:val="527140E5"/>
    <w:rsid w:val="5292508F"/>
    <w:rsid w:val="52A96B6F"/>
    <w:rsid w:val="52F72FC0"/>
    <w:rsid w:val="532E282E"/>
    <w:rsid w:val="53896E24"/>
    <w:rsid w:val="53F51978"/>
    <w:rsid w:val="54515670"/>
    <w:rsid w:val="54D329CE"/>
    <w:rsid w:val="550764A4"/>
    <w:rsid w:val="55133E82"/>
    <w:rsid w:val="551926E0"/>
    <w:rsid w:val="56515F3B"/>
    <w:rsid w:val="56DE01A5"/>
    <w:rsid w:val="56DF0A43"/>
    <w:rsid w:val="56F56383"/>
    <w:rsid w:val="570332CE"/>
    <w:rsid w:val="572B71CA"/>
    <w:rsid w:val="574B41A1"/>
    <w:rsid w:val="57B00DA4"/>
    <w:rsid w:val="58162425"/>
    <w:rsid w:val="58A40196"/>
    <w:rsid w:val="58AE4F0C"/>
    <w:rsid w:val="5A2A7C7B"/>
    <w:rsid w:val="5AA765A5"/>
    <w:rsid w:val="5AED7EC2"/>
    <w:rsid w:val="5B4A6DD2"/>
    <w:rsid w:val="5C263E07"/>
    <w:rsid w:val="5C80234E"/>
    <w:rsid w:val="5C901A04"/>
    <w:rsid w:val="5DA80011"/>
    <w:rsid w:val="5E261785"/>
    <w:rsid w:val="5FCC5339"/>
    <w:rsid w:val="601708A0"/>
    <w:rsid w:val="60E53485"/>
    <w:rsid w:val="61054A27"/>
    <w:rsid w:val="611D2366"/>
    <w:rsid w:val="61BC02FE"/>
    <w:rsid w:val="62885958"/>
    <w:rsid w:val="62CD639B"/>
    <w:rsid w:val="63B257BF"/>
    <w:rsid w:val="64986E00"/>
    <w:rsid w:val="64CE2EAA"/>
    <w:rsid w:val="64D410E3"/>
    <w:rsid w:val="65D97781"/>
    <w:rsid w:val="660B4B1B"/>
    <w:rsid w:val="662E75B1"/>
    <w:rsid w:val="66342C2E"/>
    <w:rsid w:val="663E784C"/>
    <w:rsid w:val="666F754F"/>
    <w:rsid w:val="677F73F7"/>
    <w:rsid w:val="67C021CA"/>
    <w:rsid w:val="67F74E5D"/>
    <w:rsid w:val="6830791C"/>
    <w:rsid w:val="685867EC"/>
    <w:rsid w:val="68D93544"/>
    <w:rsid w:val="6A5A4B58"/>
    <w:rsid w:val="6CA976D1"/>
    <w:rsid w:val="6D0E72AA"/>
    <w:rsid w:val="6D8838F4"/>
    <w:rsid w:val="6DA6322E"/>
    <w:rsid w:val="6DCF1A02"/>
    <w:rsid w:val="6DFF01C2"/>
    <w:rsid w:val="6E8E12EF"/>
    <w:rsid w:val="6F3E4AE1"/>
    <w:rsid w:val="6F84669D"/>
    <w:rsid w:val="705D7860"/>
    <w:rsid w:val="71D43752"/>
    <w:rsid w:val="724F1D63"/>
    <w:rsid w:val="7276306B"/>
    <w:rsid w:val="727D6DE9"/>
    <w:rsid w:val="733A5527"/>
    <w:rsid w:val="73472A09"/>
    <w:rsid w:val="73DD6243"/>
    <w:rsid w:val="74196025"/>
    <w:rsid w:val="741C4C2C"/>
    <w:rsid w:val="749C4185"/>
    <w:rsid w:val="74ED4E2A"/>
    <w:rsid w:val="75472BD8"/>
    <w:rsid w:val="75DA2C18"/>
    <w:rsid w:val="775319EF"/>
    <w:rsid w:val="77AE6D5C"/>
    <w:rsid w:val="7860333A"/>
    <w:rsid w:val="789456D9"/>
    <w:rsid w:val="790F1C77"/>
    <w:rsid w:val="7A105B11"/>
    <w:rsid w:val="7A67303B"/>
    <w:rsid w:val="7AAB1D04"/>
    <w:rsid w:val="7ABA4368"/>
    <w:rsid w:val="7B257FFD"/>
    <w:rsid w:val="7BBA7928"/>
    <w:rsid w:val="7BCE579E"/>
    <w:rsid w:val="7BF37CC3"/>
    <w:rsid w:val="7BFD0CC1"/>
    <w:rsid w:val="7C2B1DA5"/>
    <w:rsid w:val="7CA5095F"/>
    <w:rsid w:val="7D405B9D"/>
    <w:rsid w:val="7D926341"/>
    <w:rsid w:val="7DF4317E"/>
    <w:rsid w:val="7E64308B"/>
    <w:rsid w:val="7E802743"/>
    <w:rsid w:val="7EE52896"/>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2"/>
    <w:autoRedefine/>
    <w:qFormat/>
    <w:uiPriority w:val="0"/>
    <w:pPr>
      <w:adjustRightInd/>
      <w:spacing w:after="120" w:line="240" w:lineRule="auto"/>
      <w:ind w:left="420" w:leftChars="200" w:firstLine="210"/>
    </w:pPr>
    <w:rPr>
      <w:sz w:val="21"/>
    </w:rPr>
  </w:style>
  <w:style w:type="paragraph" w:styleId="3">
    <w:name w:val="Body Text Indent"/>
    <w:basedOn w:val="1"/>
    <w:next w:val="1"/>
    <w:link w:val="475"/>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4"/>
    <w:autoRedefine/>
    <w:qFormat/>
    <w:uiPriority w:val="99"/>
    <w:pPr>
      <w:jc w:val="left"/>
    </w:pPr>
  </w:style>
  <w:style w:type="paragraph" w:styleId="22">
    <w:name w:val="Salutation"/>
    <w:basedOn w:val="1"/>
    <w:next w:val="1"/>
    <w:link w:val="482"/>
    <w:autoRedefine/>
    <w:qFormat/>
    <w:uiPriority w:val="0"/>
    <w:rPr>
      <w:rFonts w:ascii="仿宋_GB2312" w:eastAsia="仿宋_GB2312"/>
      <w:sz w:val="28"/>
      <w:szCs w:val="20"/>
    </w:rPr>
  </w:style>
  <w:style w:type="paragraph" w:styleId="23">
    <w:name w:val="Body Text 3"/>
    <w:basedOn w:val="1"/>
    <w:link w:val="581"/>
    <w:autoRedefine/>
    <w:qFormat/>
    <w:uiPriority w:val="0"/>
    <w:pPr>
      <w:jc w:val="center"/>
    </w:pPr>
    <w:rPr>
      <w:szCs w:val="20"/>
    </w:rPr>
  </w:style>
  <w:style w:type="paragraph" w:styleId="24">
    <w:name w:val="Body Text"/>
    <w:basedOn w:val="1"/>
    <w:next w:val="1"/>
    <w:link w:val="512"/>
    <w:autoRedefine/>
    <w:qFormat/>
    <w:uiPriority w:val="0"/>
    <w:pPr>
      <w:autoSpaceDE w:val="0"/>
      <w:autoSpaceDN w:val="0"/>
      <w:spacing w:line="360" w:lineRule="auto"/>
    </w:pPr>
    <w:rPr>
      <w:rFonts w:ascii="宋体"/>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5"/>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7"/>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w:basedOn w:val="24"/>
    <w:next w:val="49"/>
    <w:link w:val="545"/>
    <w:autoRedefine/>
    <w:qFormat/>
    <w:uiPriority w:val="0"/>
    <w:pPr>
      <w:ind w:firstLine="420"/>
    </w:pPr>
    <w:rPr>
      <w:szCs w:val="20"/>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Normal]"/>
    <w:autoRedefine/>
    <w:qFormat/>
    <w:uiPriority w:val="0"/>
    <w:rPr>
      <w:rFonts w:ascii="宋体" w:hAnsi="宋体" w:eastAsia="等线" w:cs="Times New Roman"/>
      <w:sz w:val="24"/>
      <w:szCs w:val="22"/>
      <w:lang w:val="zh-CN" w:eastAsia="zh-CN" w:bidi="ar-SA"/>
    </w:rPr>
  </w:style>
  <w:style w:type="paragraph" w:customStyle="1" w:styleId="72">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7"/>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7"/>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autoRedefine/>
    <w:qFormat/>
    <w:uiPriority w:val="0"/>
    <w:pPr>
      <w:snapToGrid w:val="0"/>
      <w:spacing w:line="360" w:lineRule="auto"/>
    </w:pPr>
    <w:rPr>
      <w:rFonts w:ascii="宋体"/>
      <w:b/>
      <w:sz w:val="24"/>
      <w:szCs w:val="20"/>
    </w:rPr>
  </w:style>
  <w:style w:type="paragraph" w:customStyle="1" w:styleId="230">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6"/>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0"/>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2"/>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11"/>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8"/>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3"/>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10"/>
    <w:autoRedefine/>
    <w:qFormat/>
    <w:uiPriority w:val="0"/>
    <w:rPr>
      <w:b/>
      <w:bCs/>
      <w:kern w:val="2"/>
      <w:sz w:val="24"/>
      <w:szCs w:val="24"/>
    </w:rPr>
  </w:style>
  <w:style w:type="character" w:customStyle="1" w:styleId="482">
    <w:name w:val="称呼 Char"/>
    <w:link w:val="22"/>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5"/>
    <w:autoRedefine/>
    <w:qFormat/>
    <w:uiPriority w:val="0"/>
    <w:rPr>
      <w:rFonts w:ascii="Arial" w:hAnsi="Arial" w:eastAsia="隶书"/>
      <w:b/>
      <w:bCs/>
      <w:kern w:val="28"/>
      <w:sz w:val="44"/>
      <w:szCs w:val="32"/>
      <w:lang w:val="en-US" w:eastAsia="zh-CN" w:bidi="ar-SA"/>
    </w:rPr>
  </w:style>
  <w:style w:type="character" w:customStyle="1" w:styleId="48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2"/>
    <w:autoRedefine/>
    <w:qFormat/>
    <w:uiPriority w:val="0"/>
    <w:rPr>
      <w:rFonts w:ascii="宋体" w:hAnsi="宋体"/>
      <w:kern w:val="2"/>
      <w:sz w:val="21"/>
      <w:szCs w:val="24"/>
    </w:rPr>
  </w:style>
  <w:style w:type="character" w:customStyle="1" w:styleId="503">
    <w:name w:val="正文文本缩进 2 Char"/>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2"/>
    <w:autoRedefine/>
    <w:qFormat/>
    <w:uiPriority w:val="0"/>
    <w:rPr>
      <w:rFonts w:ascii="Arial" w:hAnsi="Arial" w:eastAsia="黑体"/>
      <w:kern w:val="2"/>
      <w:sz w:val="21"/>
      <w:szCs w:val="21"/>
    </w:rPr>
  </w:style>
  <w:style w:type="character" w:customStyle="1" w:styleId="520">
    <w:name w:val="md"/>
    <w:basedOn w:val="62"/>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2"/>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5"/>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4"/>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8"/>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2"/>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3"/>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1"/>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2"/>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5"/>
    <w:autoRedefine/>
    <w:qFormat/>
    <w:uiPriority w:val="0"/>
    <w:rPr>
      <w:rFonts w:ascii="宋体"/>
      <w:kern w:val="2"/>
      <w:sz w:val="24"/>
      <w:szCs w:val="21"/>
      <w:lang w:val="zh-CN"/>
    </w:rPr>
  </w:style>
  <w:style w:type="character" w:customStyle="1" w:styleId="599">
    <w:name w:val="标题 4 Char"/>
    <w:link w:val="7"/>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9"/>
    <w:autoRedefine/>
    <w:qFormat/>
    <w:uiPriority w:val="0"/>
    <w:rPr>
      <w:rFonts w:ascii="Arial" w:hAnsi="Arial" w:eastAsia="黑体"/>
      <w:b/>
      <w:bCs/>
      <w:kern w:val="2"/>
      <w:sz w:val="24"/>
      <w:szCs w:val="24"/>
    </w:rPr>
  </w:style>
  <w:style w:type="character" w:customStyle="1" w:styleId="613">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21"/>
    <w:autoRedefine/>
    <w:qFormat/>
    <w:uiPriority w:val="99"/>
    <w:rPr>
      <w:kern w:val="2"/>
      <w:sz w:val="21"/>
      <w:szCs w:val="24"/>
    </w:rPr>
  </w:style>
  <w:style w:type="character" w:customStyle="1" w:styleId="615">
    <w:name w:val="批注框文本 Char"/>
    <w:link w:val="37"/>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表1"/>
    <w:basedOn w:val="1"/>
    <w:autoRedefine/>
    <w:qFormat/>
    <w:uiPriority w:val="0"/>
    <w:pPr>
      <w:spacing w:before="156" w:beforeLines="50" w:after="156" w:afterLines="50" w:line="360" w:lineRule="auto"/>
      <w:ind w:firstLine="480" w:firstLineChars="200"/>
      <w:jc w:val="center"/>
    </w:pPr>
    <w:rPr>
      <w:rFonts w:ascii="宋体" w:hAnsi="宋体"/>
      <w:sz w:val="24"/>
      <w:szCs w:val="24"/>
    </w:rPr>
  </w:style>
  <w:style w:type="table" w:customStyle="1" w:styleId="633">
    <w:name w:val="Table Normal"/>
    <w:autoRedefine/>
    <w:semiHidden/>
    <w:unhideWhenUsed/>
    <w:qFormat/>
    <w:uiPriority w:val="0"/>
    <w:tblPr>
      <w:tblCellMar>
        <w:top w:w="0" w:type="dxa"/>
        <w:left w:w="0" w:type="dxa"/>
        <w:bottom w:w="0" w:type="dxa"/>
        <w:right w:w="0" w:type="dxa"/>
      </w:tblCellMar>
    </w:tblPr>
  </w:style>
  <w:style w:type="paragraph" w:customStyle="1" w:styleId="63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39879</Words>
  <Characters>41823</Characters>
  <Lines>325</Lines>
  <Paragraphs>91</Paragraphs>
  <TotalTime>22</TotalTime>
  <ScaleCrop>false</ScaleCrop>
  <LinksUpToDate>false</LinksUpToDate>
  <CharactersWithSpaces>47447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jnkun</cp:lastModifiedBy>
  <cp:lastPrinted>2024-04-03T08:48:00Z</cp:lastPrinted>
  <dcterms:modified xsi:type="dcterms:W3CDTF">2024-04-09T07:27:57Z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974F1A18EF7B48B9AFEE35F918AC3811_13</vt:lpwstr>
  </property>
</Properties>
</file>