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天一阁秦氏支祠展陈项目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CBNB-20246064G</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宁波市天一阁博物院</w:t>
      </w:r>
    </w:p>
    <w:p>
      <w:pPr>
        <w:snapToGrid w:val="0"/>
        <w:spacing w:line="360" w:lineRule="auto"/>
        <w:jc w:val="center"/>
        <w:rPr>
          <w:rFonts w:ascii="宋体" w:hAnsi="宋体" w:cs="宋体"/>
          <w:bCs/>
          <w:color w:val="auto"/>
          <w:sz w:val="32"/>
          <w:szCs w:val="32"/>
          <w:highlight w:val="none"/>
        </w:rPr>
      </w:pPr>
      <w:bookmarkStart w:id="0" w:name="_Toc16884"/>
      <w:r>
        <w:rPr>
          <w:rFonts w:hint="eastAsia" w:ascii="宋体" w:hAnsi="宋体" w:cs="宋体"/>
          <w:bCs/>
          <w:color w:val="auto"/>
          <w:sz w:val="32"/>
          <w:szCs w:val="32"/>
          <w:highlight w:val="none"/>
        </w:rPr>
        <w:t>宁波中基国际招标有限公司</w:t>
      </w:r>
      <w:bookmarkEnd w:id="0"/>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635"/>
        <w:outlineLvl w:val="9"/>
        <w:rPr>
          <w:color w:val="auto"/>
          <w:highlight w:val="none"/>
        </w:rPr>
      </w:pPr>
    </w:p>
    <w:sdt>
      <w:sdtPr>
        <w:rPr>
          <w:rFonts w:ascii="宋体" w:hAnsi="宋体"/>
          <w:color w:val="auto"/>
          <w:highlight w:val="none"/>
        </w:rPr>
        <w:id w:val="147461433"/>
        <w15:color w:val="DBDBDB"/>
        <w:docPartObj>
          <w:docPartGallery w:val="Table of Contents"/>
          <w:docPartUnique/>
        </w:docPartObj>
      </w:sdtPr>
      <w:sdtEndPr>
        <w:rPr>
          <w:rFonts w:ascii="宋体" w:hAnsi="宋体"/>
          <w:color w:val="auto"/>
          <w:highlight w:val="none"/>
        </w:rPr>
      </w:sdtEndPr>
      <w:sdtContent>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pStyle w:val="8"/>
            <w:rPr>
              <w:color w:val="auto"/>
              <w:highlight w:val="none"/>
            </w:rPr>
          </w:pPr>
        </w:p>
        <w:p>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"_Toc14111" </w:instrText>
          </w:r>
          <w:r>
            <w:rPr>
              <w:color w:val="auto"/>
              <w:highlight w:val="none"/>
            </w:rPr>
            <w:fldChar w:fldCharType="separate"/>
          </w:r>
          <w:r>
            <w:rPr>
              <w:rFonts w:hint="eastAsia" w:ascii="宋体" w:hAnsi="宋体" w:cs="宋体"/>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_Toc14111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"_Toc28848" </w:instrText>
          </w:r>
          <w:r>
            <w:rPr>
              <w:color w:val="auto"/>
              <w:highlight w:val="none"/>
            </w:rPr>
            <w:fldChar w:fldCharType="separate"/>
          </w:r>
          <w:r>
            <w:rPr>
              <w:rFonts w:hint="eastAsia" w:ascii="宋体" w:hAnsi="宋体" w:cs="宋体"/>
              <w:color w:val="auto"/>
              <w:sz w:val="32"/>
              <w:szCs w:val="32"/>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_Toc28848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"_Toc24290" </w:instrText>
          </w:r>
          <w:r>
            <w:rPr>
              <w:color w:val="auto"/>
              <w:highlight w:val="none"/>
            </w:rPr>
            <w:fldChar w:fldCharType="separate"/>
          </w:r>
          <w:r>
            <w:rPr>
              <w:rFonts w:hint="eastAsia" w:ascii="宋体" w:hAnsi="宋体" w:cs="宋体"/>
              <w:color w:val="auto"/>
              <w:sz w:val="32"/>
              <w:szCs w:val="32"/>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_Toc24290 \h </w:instrText>
          </w:r>
          <w:r>
            <w:rPr>
              <w:color w:val="auto"/>
              <w:sz w:val="32"/>
              <w:szCs w:val="32"/>
              <w:highlight w:val="none"/>
            </w:rPr>
            <w:fldChar w:fldCharType="separate"/>
          </w:r>
          <w:r>
            <w:rPr>
              <w:color w:val="auto"/>
              <w:sz w:val="32"/>
              <w:szCs w:val="32"/>
              <w:highlight w:val="none"/>
            </w:rPr>
            <w:t>21</w:t>
          </w:r>
          <w:r>
            <w:rPr>
              <w:color w:val="auto"/>
              <w:sz w:val="32"/>
              <w:szCs w:val="32"/>
              <w:highlight w:val="none"/>
            </w:rPr>
            <w:fldChar w:fldCharType="end"/>
          </w:r>
          <w:r>
            <w:rPr>
              <w:color w:val="auto"/>
              <w:sz w:val="32"/>
              <w:szCs w:val="32"/>
              <w:highlight w:val="none"/>
            </w:rPr>
            <w:fldChar w:fldCharType="end"/>
          </w:r>
        </w:p>
        <w:p>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"_Toc28372" </w:instrText>
          </w:r>
          <w:r>
            <w:rPr>
              <w:color w:val="auto"/>
              <w:highlight w:val="none"/>
            </w:rPr>
            <w:fldChar w:fldCharType="separate"/>
          </w:r>
          <w:r>
            <w:rPr>
              <w:rFonts w:hint="eastAsia" w:ascii="宋体" w:hAnsi="宋体" w:cs="宋体"/>
              <w:color w:val="auto"/>
              <w:sz w:val="32"/>
              <w:szCs w:val="32"/>
              <w:highlight w:val="none"/>
            </w:rPr>
            <w:t>第四部分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_Toc28372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color w:val="auto"/>
              <w:sz w:val="32"/>
              <w:szCs w:val="32"/>
              <w:highlight w:val="none"/>
            </w:rPr>
            <w:fldChar w:fldCharType="end"/>
          </w:r>
        </w:p>
        <w:p>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"_Toc1511"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_Toc1511 \h </w:instrText>
          </w:r>
          <w:r>
            <w:rPr>
              <w:color w:val="auto"/>
              <w:sz w:val="32"/>
              <w:szCs w:val="32"/>
              <w:highlight w:val="none"/>
            </w:rPr>
            <w:fldChar w:fldCharType="separate"/>
          </w:r>
          <w:r>
            <w:rPr>
              <w:color w:val="auto"/>
              <w:sz w:val="32"/>
              <w:szCs w:val="32"/>
              <w:highlight w:val="none"/>
            </w:rPr>
            <w:t>44</w:t>
          </w:r>
          <w:r>
            <w:rPr>
              <w:color w:val="auto"/>
              <w:sz w:val="32"/>
              <w:szCs w:val="32"/>
              <w:highlight w:val="none"/>
            </w:rPr>
            <w:fldChar w:fldCharType="end"/>
          </w:r>
          <w:r>
            <w:rPr>
              <w:color w:val="auto"/>
              <w:sz w:val="32"/>
              <w:szCs w:val="32"/>
              <w:highlight w:val="none"/>
            </w:rPr>
            <w:fldChar w:fldCharType="end"/>
          </w:r>
        </w:p>
        <w:p>
          <w:pPr>
            <w:pStyle w:val="966"/>
            <w:tabs>
              <w:tab w:val="right" w:leader="dot" w:pos="9070"/>
            </w:tabs>
            <w:spacing w:line="360" w:lineRule="auto"/>
            <w:rPr>
              <w:color w:val="auto"/>
              <w:highlight w:val="none"/>
            </w:rPr>
          </w:pPr>
          <w:r>
            <w:rPr>
              <w:color w:val="auto"/>
              <w:highlight w:val="none"/>
            </w:rPr>
            <w:fldChar w:fldCharType="begin"/>
          </w:r>
          <w:r>
            <w:rPr>
              <w:color w:val="auto"/>
              <w:highlight w:val="none"/>
            </w:rPr>
            <w:instrText xml:space="preserve"> HYPERLINK \l "_Toc22409"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_Toc22409 \h </w:instrText>
          </w:r>
          <w:r>
            <w:rPr>
              <w:color w:val="auto"/>
              <w:sz w:val="32"/>
              <w:szCs w:val="32"/>
              <w:highlight w:val="none"/>
            </w:rPr>
            <w:fldChar w:fldCharType="separate"/>
          </w:r>
          <w:r>
            <w:rPr>
              <w:color w:val="auto"/>
              <w:sz w:val="32"/>
              <w:szCs w:val="32"/>
              <w:highlight w:val="none"/>
            </w:rPr>
            <w:t>59</w:t>
          </w:r>
          <w:r>
            <w:rPr>
              <w:color w:val="auto"/>
              <w:sz w:val="32"/>
              <w:szCs w:val="32"/>
              <w:highlight w:val="none"/>
            </w:rPr>
            <w:fldChar w:fldCharType="end"/>
          </w:r>
          <w:r>
            <w:rPr>
              <w:color w:val="auto"/>
              <w:sz w:val="32"/>
              <w:szCs w:val="32"/>
              <w:highlight w:val="none"/>
            </w:rPr>
            <w:fldChar w:fldCharType="end"/>
          </w:r>
        </w:p>
        <w:p>
          <w:pPr>
            <w:pStyle w:val="966"/>
            <w:tabs>
              <w:tab w:val="right" w:leader="dot" w:pos="9070"/>
            </w:tabs>
            <w:rPr>
              <w:color w:val="auto"/>
              <w:highlight w:val="none"/>
            </w:rPr>
          </w:pPr>
        </w:p>
        <w:p>
          <w:pPr>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color w:val="auto"/>
              <w:highlight w:val="none"/>
            </w:rPr>
            <w:fldChar w:fldCharType="end"/>
          </w:r>
        </w:p>
      </w:sdtContent>
    </w:sdt>
    <w:p>
      <w:pPr>
        <w:rPr>
          <w:color w:val="auto"/>
          <w:highlight w:val="none"/>
        </w:rPr>
      </w:pPr>
    </w:p>
    <w:p>
      <w:pPr>
        <w:adjustRightInd/>
        <w:spacing w:line="360" w:lineRule="auto"/>
        <w:jc w:val="center"/>
        <w:outlineLvl w:val="0"/>
        <w:rPr>
          <w:rFonts w:ascii="宋体" w:hAnsi="宋体" w:cs="宋体"/>
          <w:b/>
          <w:color w:val="auto"/>
          <w:sz w:val="36"/>
          <w:szCs w:val="20"/>
          <w:highlight w:val="none"/>
        </w:rPr>
      </w:pPr>
      <w:bookmarkStart w:id="2" w:name="_Toc14111"/>
      <w:bookmarkStart w:id="3" w:name="第二部分"/>
      <w:bookmarkStart w:id="4" w:name="_Toc91899870"/>
      <w:bookmarkStart w:id="5" w:name="_Toc91899871"/>
      <w:r>
        <w:rPr>
          <w:rFonts w:hint="eastAsia" w:ascii="宋体" w:hAnsi="宋体" w:cs="宋体"/>
          <w:b/>
          <w:color w:val="auto"/>
          <w:sz w:val="36"/>
          <w:szCs w:val="20"/>
          <w:highlight w:val="none"/>
        </w:rPr>
        <w:t>第一部分 招标公告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天一阁秦氏支祠展陈项目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天一阁秦氏支祠展陈项目</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6300000.00</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6300000.00</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b/>
          <w:bCs/>
          <w:snapToGrid w:val="0"/>
          <w:color w:val="auto"/>
          <w:kern w:val="28"/>
          <w:sz w:val="24"/>
          <w:szCs w:val="20"/>
          <w:highlight w:val="none"/>
        </w:rPr>
      </w:pPr>
      <w:r>
        <w:rPr>
          <w:rFonts w:hint="eastAsia" w:ascii="宋体" w:hAnsi="宋体" w:cs="宋体"/>
          <w:b/>
          <w:bCs/>
          <w:snapToGrid w:val="0"/>
          <w:color w:val="auto"/>
          <w:kern w:val="28"/>
          <w:sz w:val="24"/>
          <w:szCs w:val="20"/>
          <w:highlight w:val="none"/>
        </w:rPr>
        <w:t>采购需求：</w:t>
      </w:r>
    </w:p>
    <w:p>
      <w:pPr>
        <w:keepNext w:val="0"/>
        <w:keepLines w:val="0"/>
        <w:pageBreakBefore w:val="0"/>
        <w:kinsoku/>
        <w:wordWrap/>
        <w:overflowPunct/>
        <w:topLinePunct w:val="0"/>
        <w:autoSpaceDE/>
        <w:autoSpaceDN/>
        <w:bidi w:val="0"/>
        <w:adjustRightInd w:val="0"/>
        <w:spacing w:line="360" w:lineRule="auto"/>
        <w:ind w:left="210" w:leftChars="100"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天一阁秦氏支祠展陈</w:t>
      </w:r>
    </w:p>
    <w:p>
      <w:pPr>
        <w:keepNext w:val="0"/>
        <w:keepLines w:val="0"/>
        <w:pageBreakBefore w:val="0"/>
        <w:kinsoku/>
        <w:wordWrap/>
        <w:overflowPunct/>
        <w:topLinePunct w:val="0"/>
        <w:autoSpaceDE/>
        <w:autoSpaceDN/>
        <w:bidi w:val="0"/>
        <w:adjustRightInd w:val="0"/>
        <w:spacing w:line="360" w:lineRule="auto"/>
        <w:ind w:left="210" w:leftChars="100"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数量：1项</w:t>
      </w:r>
    </w:p>
    <w:p>
      <w:pPr>
        <w:keepNext w:val="0"/>
        <w:keepLines w:val="0"/>
        <w:pageBreakBefore w:val="0"/>
        <w:kinsoku/>
        <w:wordWrap/>
        <w:overflowPunct/>
        <w:topLinePunct w:val="0"/>
        <w:autoSpaceDE/>
        <w:autoSpaceDN/>
        <w:bidi w:val="0"/>
        <w:adjustRightInd w:val="0"/>
        <w:spacing w:line="360" w:lineRule="auto"/>
        <w:ind w:left="210" w:leftChars="100"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w:t>
      </w:r>
      <w:r>
        <w:rPr>
          <w:rFonts w:hint="eastAsia" w:ascii="宋体" w:hAnsi="宋体" w:cs="宋体"/>
          <w:snapToGrid w:val="0"/>
          <w:color w:val="auto"/>
          <w:kern w:val="28"/>
          <w:sz w:val="24"/>
          <w:szCs w:val="20"/>
          <w:highlight w:val="none"/>
          <w:lang w:val="en-US" w:eastAsia="zh-CN"/>
        </w:rPr>
        <w:t>6300000.00</w:t>
      </w:r>
    </w:p>
    <w:p>
      <w:pPr>
        <w:pStyle w:val="8"/>
        <w:keepNext w:val="0"/>
        <w:keepLines w:val="0"/>
        <w:pageBreakBefore w:val="0"/>
        <w:kinsoku/>
        <w:wordWrap/>
        <w:overflowPunct/>
        <w:topLinePunct w:val="0"/>
        <w:autoSpaceDE/>
        <w:autoSpaceDN/>
        <w:bidi w:val="0"/>
        <w:adjustRightInd w:val="0"/>
        <w:spacing w:line="360" w:lineRule="auto"/>
        <w:ind w:left="210" w:leftChars="100" w:firstLine="480"/>
        <w:textAlignment w:val="auto"/>
        <w:rPr>
          <w:rFonts w:hAnsi="宋体" w:cs="宋体"/>
          <w:bCs/>
          <w:snapToGrid/>
          <w:color w:val="auto"/>
          <w:kern w:val="2"/>
          <w:sz w:val="24"/>
          <w:szCs w:val="24"/>
          <w:highlight w:val="none"/>
        </w:rPr>
      </w:pPr>
      <w:r>
        <w:rPr>
          <w:rFonts w:hint="eastAsia" w:hAnsi="宋体" w:cs="宋体"/>
          <w:color w:val="auto"/>
          <w:sz w:val="24"/>
          <w:highlight w:val="none"/>
        </w:rPr>
        <w:t>简要规格描述或项目基本概况介绍、用途：</w:t>
      </w:r>
      <w:r>
        <w:rPr>
          <w:rFonts w:hint="eastAsia" w:hAnsi="宋体" w:cs="宋体"/>
          <w:color w:val="auto"/>
          <w:sz w:val="24"/>
          <w:highlight w:val="none"/>
          <w:lang w:val="en-US" w:eastAsia="zh-CN"/>
        </w:rPr>
        <w:t>由中标人提供</w:t>
      </w:r>
      <w:r>
        <w:rPr>
          <w:rFonts w:hint="eastAsia" w:hAnsi="宋体" w:cs="宋体"/>
          <w:color w:val="auto"/>
          <w:sz w:val="24"/>
          <w:highlight w:val="none"/>
          <w:lang w:eastAsia="zh-CN"/>
        </w:rPr>
        <w:t>天一阁秦氏支祠展陈的</w:t>
      </w:r>
      <w:r>
        <w:rPr>
          <w:rFonts w:hint="eastAsia" w:hAnsi="宋体" w:cs="宋体"/>
          <w:color w:val="auto"/>
          <w:sz w:val="24"/>
          <w:highlight w:val="none"/>
          <w:lang w:val="en-US" w:eastAsia="zh-CN"/>
        </w:rPr>
        <w:t>设计和布展服务</w:t>
      </w:r>
      <w:r>
        <w:rPr>
          <w:rFonts w:hint="eastAsia" w:hAnsi="宋体" w:cs="宋体"/>
          <w:color w:val="auto"/>
          <w:sz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keepNext w:val="0"/>
        <w:keepLines w:val="0"/>
        <w:pageBreakBefore w:val="0"/>
        <w:kinsoku/>
        <w:wordWrap/>
        <w:overflowPunct/>
        <w:topLinePunct w:val="0"/>
        <w:autoSpaceDE/>
        <w:autoSpaceDN/>
        <w:bidi w:val="0"/>
        <w:adjustRightInd w:val="0"/>
        <w:spacing w:line="360" w:lineRule="auto"/>
        <w:ind w:left="210" w:leftChars="100"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本项目采购最高限价为630.00万元（</w:t>
      </w:r>
      <w:r>
        <w:rPr>
          <w:rFonts w:hint="eastAsia" w:ascii="宋体" w:hAnsi="宋体" w:cs="宋体"/>
          <w:snapToGrid w:val="0"/>
          <w:color w:val="auto"/>
          <w:kern w:val="28"/>
          <w:sz w:val="24"/>
          <w:szCs w:val="20"/>
          <w:highlight w:val="none"/>
        </w:rPr>
        <w:t>其中设计费采购</w:t>
      </w:r>
      <w:r>
        <w:rPr>
          <w:rFonts w:hint="eastAsia" w:ascii="宋体" w:hAnsi="宋体" w:cs="宋体"/>
          <w:snapToGrid w:val="0"/>
          <w:color w:val="auto"/>
          <w:kern w:val="28"/>
          <w:sz w:val="24"/>
          <w:szCs w:val="20"/>
          <w:highlight w:val="none"/>
          <w:lang w:val="en-US" w:eastAsia="zh-CN"/>
        </w:rPr>
        <w:t>最高限价金额为23.4万元），投标报价超过采购最高限价或设计费投标报价超过设计费最高限价金额的作无效标处理。</w:t>
      </w:r>
    </w:p>
    <w:p>
      <w:pPr>
        <w:pStyle w:val="130"/>
        <w:keepNext w:val="0"/>
        <w:keepLines w:val="0"/>
        <w:pageBreakBefore w:val="0"/>
        <w:kinsoku/>
        <w:wordWrap/>
        <w:overflowPunct/>
        <w:topLinePunct w:val="0"/>
        <w:autoSpaceDE/>
        <w:autoSpaceDN/>
        <w:bidi w:val="0"/>
        <w:adjustRightInd w:val="0"/>
        <w:spacing w:before="0" w:line="360" w:lineRule="auto"/>
        <w:ind w:firstLine="482"/>
        <w:textAlignment w:val="auto"/>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lang w:val="en-US" w:eastAsia="zh-CN"/>
        </w:rPr>
        <w:t>合同签订后6个月内完工。</w:t>
      </w:r>
    </w:p>
    <w:p>
      <w:pPr>
        <w:pStyle w:val="8"/>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宁波市天一阁博物院</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址：宁波市海曙区天一街10号</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    真：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朱老师</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18957871739</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郑老师</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87292903</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名    称：宁波中基国际招标有限公司</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真：0574-87425373 </w:t>
      </w:r>
    </w:p>
    <w:p>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项目联系人（询问）：周旭坤</w:t>
      </w:r>
      <w:r>
        <w:rPr>
          <w:rFonts w:hint="eastAsia" w:ascii="宋体" w:hAnsi="宋体" w:cs="宋体"/>
          <w:color w:val="auto"/>
          <w:sz w:val="24"/>
          <w:highlight w:val="none"/>
          <w:lang w:val="en-US" w:eastAsia="zh-CN"/>
        </w:rPr>
        <w:t>、葛思颂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孔晖、张嘉城、谢铸坡</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项目联系方式（询问）：0574-87426203</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质疑联系人：王莹巧</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质疑联系方式：0574-87425583</w:t>
      </w:r>
    </w:p>
    <w:p>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名    称：宁波市政府采购管理办公室             </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地    址：宁波市海曙区中山西路19号            </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传    真：/           </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联系人：李老师</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bookmarkStart w:id="6" w:name="_Toc23675"/>
      <w:r>
        <w:rPr>
          <w:rFonts w:hint="eastAsia" w:ascii="宋体" w:hAnsi="宋体" w:cs="宋体"/>
          <w:color w:val="auto"/>
          <w:sz w:val="24"/>
          <w:highlight w:val="none"/>
        </w:rPr>
        <w:t>投诉电话：0574-89388042</w:t>
      </w:r>
      <w:bookmarkEnd w:id="6"/>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bookmarkStart w:id="7" w:name="_Toc28848"/>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bookmarkEnd w:id="7"/>
    </w:p>
    <w:p>
      <w:pPr>
        <w:adjustRightInd/>
        <w:spacing w:line="360" w:lineRule="auto"/>
        <w:ind w:firstLine="3845" w:firstLineChars="1197"/>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color w:val="auto"/>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天一阁秦氏支祠展陈</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宣传 </w:t>
            </w:r>
            <w:r>
              <w:rPr>
                <w:rFonts w:hint="eastAsia" w:ascii="宋体" w:hAnsi="宋体" w:cs="宋体"/>
                <w:color w:val="auto"/>
                <w:sz w:val="24"/>
                <w:highlight w:val="none"/>
              </w:rPr>
              <w:t>工作分包。</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keepNext w:val="0"/>
              <w:keepLines w:val="0"/>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val="en-US" w:eastAsia="zh-CN"/>
              </w:rPr>
              <w:t>分钟</w:t>
            </w:r>
            <w:r>
              <w:rPr>
                <w:rFonts w:hint="eastAsia" w:ascii="宋体" w:hAnsi="宋体" w:cs="宋体"/>
                <w:color w:val="auto"/>
                <w:kern w:val="0"/>
                <w:sz w:val="24"/>
                <w:highlight w:val="none"/>
              </w:rPr>
              <w:t>，讲解次序以投标文件解密时间先后次序为准，讲解演示人员不超过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pPr>
              <w:keepNext w:val="0"/>
              <w:keepLines w:val="0"/>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评审</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中基招标会议中心</w:t>
            </w:r>
            <w:r>
              <w:rPr>
                <w:rFonts w:hint="eastAsia" w:ascii="宋体" w:hAnsi="宋体" w:cs="宋体"/>
                <w:color w:val="auto"/>
                <w:kern w:val="0"/>
                <w:sz w:val="24"/>
                <w:highlight w:val="none"/>
                <w:u w:val="single"/>
                <w:lang w:val="en-US" w:eastAsia="zh-CN"/>
              </w:rPr>
              <w:t>评</w:t>
            </w:r>
            <w:r>
              <w:rPr>
                <w:rFonts w:hint="eastAsia" w:ascii="宋体" w:hAnsi="宋体" w:cs="宋体"/>
                <w:color w:val="auto"/>
                <w:kern w:val="0"/>
                <w:sz w:val="24"/>
                <w:highlight w:val="none"/>
                <w:u w:val="single"/>
              </w:rPr>
              <w:t>标室</w:t>
            </w:r>
            <w:r>
              <w:rPr>
                <w:rFonts w:hint="eastAsia" w:ascii="宋体" w:hAnsi="宋体" w:cs="宋体"/>
                <w:color w:val="auto"/>
                <w:kern w:val="0"/>
                <w:sz w:val="24"/>
                <w:highlight w:val="none"/>
              </w:rPr>
              <w:t>，讲解演示所用电脑等设备由投标人自备。</w:t>
            </w:r>
          </w:p>
          <w:p>
            <w:pPr>
              <w:keepNext w:val="0"/>
              <w:keepLines w:val="0"/>
              <w:pageBreakBefore w:val="0"/>
              <w:widowControl w:val="0"/>
              <w:kinsoku/>
              <w:wordWrap/>
              <w:overflowPunct/>
              <w:topLinePunct w:val="0"/>
              <w:autoSpaceDE/>
              <w:autoSpaceDN/>
              <w:bidi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2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72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1、本项目投标报价包含不局限于以下内容：应包括但不限于设计（深化设计）费、布展施工费（施工中发生的水、电、垃圾处理、环保费用、临时设施费用等）、设备费、材料费、竣工资料的整理、有关部门的检测、检验、整改、验收、运输费、保险费、安装调试费以及质保期内的维护费及规费、税（金）及政策性文件规定的各项应有明示或暗示的费用。现场安全措施、工期保证、质量保证以及受到各种不利因素的影响产生的措施及风险费用、招标代理服务费等全部费用。</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2、涉及的相关材料试验、测试费用（含材料检测、环境检测等）计入报价中，试验应在国家认可的</w:t>
            </w:r>
            <w:r>
              <w:rPr>
                <w:rFonts w:hint="eastAsia" w:ascii="宋体" w:hAnsi="宋体" w:cs="宋体"/>
                <w:b w:val="0"/>
                <w:bCs/>
                <w:color w:val="auto"/>
                <w:kern w:val="0"/>
                <w:sz w:val="24"/>
                <w:highlight w:val="none"/>
                <w:lang w:val="en-US" w:eastAsia="zh-CN"/>
              </w:rPr>
              <w:t>第三方检测</w:t>
            </w:r>
            <w:r>
              <w:rPr>
                <w:rFonts w:hint="eastAsia" w:ascii="宋体" w:hAnsi="宋体" w:cs="宋体"/>
                <w:b w:val="0"/>
                <w:bCs/>
                <w:color w:val="auto"/>
                <w:kern w:val="0"/>
                <w:sz w:val="24"/>
                <w:highlight w:val="none"/>
                <w:lang w:val="zh-CN"/>
              </w:rPr>
              <w:t>机构进行，对确需到其它</w:t>
            </w:r>
            <w:r>
              <w:rPr>
                <w:rFonts w:hint="eastAsia" w:ascii="宋体" w:hAnsi="宋体" w:cs="宋体"/>
                <w:b w:val="0"/>
                <w:bCs/>
                <w:color w:val="auto"/>
                <w:kern w:val="0"/>
                <w:sz w:val="24"/>
                <w:highlight w:val="none"/>
                <w:lang w:val="en-US" w:eastAsia="zh-CN"/>
              </w:rPr>
              <w:t>机构</w:t>
            </w:r>
            <w:r>
              <w:rPr>
                <w:rFonts w:hint="eastAsia" w:ascii="宋体" w:hAnsi="宋体" w:cs="宋体"/>
                <w:b w:val="0"/>
                <w:bCs/>
                <w:color w:val="auto"/>
                <w:kern w:val="0"/>
                <w:sz w:val="24"/>
                <w:highlight w:val="none"/>
                <w:lang w:val="zh-CN"/>
              </w:rPr>
              <w:t>进行的试验，应报采购人及监理认可。未经认可的，采购人有权要求重新检测、试验。其费用由供应商承担，此部分费用应考虑在报价中，除此之外的检测、试验费用由供应商根据要求自行考虑。</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3、供应商应当及时清理现场垃圾或残余物，并按照当地规定运至规定的地点，否则采购人有权派人清除现场，所发生费用由供应商承担。</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4、项目竣工验收前，供应商需对室内环境（包括门窗）进行卫生保洁，洁净程度达到采购人要求为准，发生的保洁费用包含在投标报价中；如供应商保洁要求未达采购人要求，采购人可另行雇用保洁人员进行保洁，因此所发生的费用在支付供应商下次进度款时扣除，供应商不得有异议。</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5、项目竣工验收前，供应商需委托经采购人认可的有资质的环境检测机构进行室内环境检测，环境检测费用包含在投标报价中；如室内环境检测指标不达标，供应商须无偿进行整改，直至检测指标达标为止，采购人并保留追究供应商一切相关赔偿及法律责任。</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6、供应商可根据采购人提供的资料到项目地踏勘以充分了解工地位置、场地情况、道路、储存空间、装卸限制、接水接电情况、现场布置情况、临时设施的搭设情况及任何其它足以影响报价的情况，任何因忽视或误解工地情况而导致的索赔或工期延长申请将不被批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val="0"/>
                <w:bCs/>
                <w:color w:val="auto"/>
                <w:kern w:val="0"/>
                <w:sz w:val="24"/>
                <w:highlight w:val="none"/>
                <w:lang w:val="zh-CN"/>
              </w:rPr>
              <w:t>7、项目现场不提供食宿，所有供应商的项目实施人员的食宿均在场外安排，供应商在投标报价时应充分考虑在投标报价中。</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72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pacing w:line="240" w:lineRule="auto"/>
              <w:textAlignment w:val="auto"/>
              <w:rPr>
                <w:rFonts w:hAnsi="宋体" w:cs="宋体"/>
                <w:color w:val="auto"/>
                <w:sz w:val="24"/>
                <w:szCs w:val="24"/>
                <w:highlight w:val="none"/>
              </w:rPr>
            </w:pPr>
            <w:r>
              <w:rPr>
                <w:rFonts w:hint="eastAsia" w:hAnsi="宋体" w:cs="宋体"/>
                <w:color w:val="auto"/>
                <w:sz w:val="24"/>
                <w:highlight w:val="none"/>
              </w:rPr>
              <w:t>（1）</w:t>
            </w:r>
            <w:r>
              <w:rPr>
                <w:rFonts w:hint="eastAsia" w:hAnsi="宋体" w:cs="宋体"/>
                <w:color w:val="auto"/>
                <w:sz w:val="24"/>
                <w:szCs w:val="24"/>
                <w:highlight w:val="none"/>
              </w:rPr>
              <w:t>直接提交备份投标文件的：</w:t>
            </w:r>
          </w:p>
          <w:p>
            <w:pPr>
              <w:pStyle w:val="34"/>
              <w:keepNext w:val="0"/>
              <w:keepLines w:val="0"/>
              <w:pageBreakBefore w:val="0"/>
              <w:widowControl w:val="0"/>
              <w:kinsoku/>
              <w:wordWrap/>
              <w:overflowPunct/>
              <w:topLinePunct w:val="0"/>
              <w:autoSpaceDE/>
              <w:autoSpaceDN/>
              <w:bidi w:val="0"/>
              <w:spacing w:line="240" w:lineRule="auto"/>
              <w:textAlignment w:val="auto"/>
              <w:rPr>
                <w:rFonts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中基招标会议中心开标室（宁波市鄞州区天童南路666号中基大厦1楼）。</w:t>
            </w:r>
          </w:p>
          <w:p>
            <w:pPr>
              <w:pStyle w:val="34"/>
              <w:keepNext w:val="0"/>
              <w:keepLines w:val="0"/>
              <w:pageBreakBefore w:val="0"/>
              <w:widowControl w:val="0"/>
              <w:kinsoku/>
              <w:wordWrap/>
              <w:overflowPunct/>
              <w:topLinePunct w:val="0"/>
              <w:autoSpaceDE/>
              <w:autoSpaceDN/>
              <w:bidi w:val="0"/>
              <w:spacing w:line="240" w:lineRule="auto"/>
              <w:textAlignment w:val="auto"/>
              <w:rPr>
                <w:rFonts w:hAnsi="宋体" w:cs="宋体"/>
                <w:color w:val="auto"/>
                <w:sz w:val="24"/>
                <w:szCs w:val="24"/>
                <w:highlight w:val="none"/>
              </w:rPr>
            </w:pPr>
            <w:r>
              <w:rPr>
                <w:rFonts w:hint="eastAsia" w:hAnsi="宋体" w:cs="宋体"/>
                <w:color w:val="auto"/>
                <w:kern w:val="28"/>
                <w:sz w:val="24"/>
                <w:szCs w:val="24"/>
                <w:highlight w:val="none"/>
              </w:rPr>
              <w:t>（2）</w:t>
            </w:r>
            <w:r>
              <w:rPr>
                <w:rFonts w:hint="eastAsia" w:hAnsi="宋体" w:cs="宋体"/>
                <w:color w:val="auto"/>
                <w:sz w:val="24"/>
                <w:szCs w:val="24"/>
                <w:highlight w:val="none"/>
              </w:rPr>
              <w:t>以快递方式递交备份投标文件的：</w:t>
            </w:r>
          </w:p>
          <w:p>
            <w:pPr>
              <w:pStyle w:val="34"/>
              <w:keepNext w:val="0"/>
              <w:keepLines w:val="0"/>
              <w:pageBreakBefore w:val="0"/>
              <w:widowControl w:val="0"/>
              <w:kinsoku/>
              <w:wordWrap/>
              <w:overflowPunct/>
              <w:topLinePunct w:val="0"/>
              <w:autoSpaceDE/>
              <w:autoSpaceDN/>
              <w:bidi w:val="0"/>
              <w:spacing w:line="240" w:lineRule="auto"/>
              <w:textAlignment w:val="auto"/>
              <w:rPr>
                <w:rFonts w:hAnsi="宋体" w:cs="宋体"/>
                <w:color w:val="auto"/>
                <w:kern w:val="28"/>
                <w:sz w:val="24"/>
                <w:szCs w:val="24"/>
                <w:highlight w:val="none"/>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u w:val="single"/>
              </w:rPr>
              <w:t>开标时间前一个工作日的</w:t>
            </w:r>
            <w:r>
              <w:rPr>
                <w:rFonts w:hint="eastAsia" w:hAnsi="宋体" w:cs="宋体"/>
                <w:color w:val="auto"/>
                <w:sz w:val="24"/>
                <w:szCs w:val="24"/>
                <w:highlight w:val="none"/>
                <w:u w:val="single"/>
                <w:lang w:val="en-US" w:eastAsia="zh-CN"/>
              </w:rPr>
              <w:t>17</w:t>
            </w:r>
            <w:r>
              <w:rPr>
                <w:rFonts w:hint="eastAsia" w:hAnsi="宋体" w:cs="宋体"/>
                <w:color w:val="auto"/>
                <w:sz w:val="24"/>
                <w:szCs w:val="24"/>
                <w:highlight w:val="none"/>
                <w:u w:val="single"/>
              </w:rPr>
              <w:t>:00止。</w:t>
            </w:r>
          </w:p>
          <w:p>
            <w:pPr>
              <w:pStyle w:val="34"/>
              <w:keepNext w:val="0"/>
              <w:keepLines w:val="0"/>
              <w:pageBreakBefore w:val="0"/>
              <w:widowControl w:val="0"/>
              <w:kinsoku/>
              <w:wordWrap/>
              <w:overflowPunct/>
              <w:topLinePunct w:val="0"/>
              <w:autoSpaceDE/>
              <w:autoSpaceDN/>
              <w:bidi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周旭坤13586623320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72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中标服务费</w:t>
            </w:r>
          </w:p>
        </w:tc>
        <w:tc>
          <w:tcPr>
            <w:tcW w:w="6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cs="Arial"/>
                <w:color w:val="auto"/>
                <w:kern w:val="0"/>
                <w:sz w:val="24"/>
                <w:highlight w:val="none"/>
              </w:rPr>
            </w:pPr>
            <w:r>
              <w:rPr>
                <w:rFonts w:hint="eastAsia" w:ascii="宋体" w:hAnsi="宋体" w:cs="Arial"/>
                <w:color w:val="auto"/>
                <w:kern w:val="0"/>
                <w:sz w:val="24"/>
                <w:highlight w:val="none"/>
              </w:rPr>
              <w:t>中标服务费的收取标准：采购代理机构按照中标总价，根据下表服务招标标准向中标人收取中标服务费。</w:t>
            </w:r>
          </w:p>
          <w:tbl>
            <w:tblPr>
              <w:tblStyle w:val="62"/>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mc:AlternateContent>
                      <mc:Choice Requires="wpsCustomData">
                        <wpsCustomData:diagonalParaType/>
                      </mc:Choice>
                    </mc:AlternateContent>
                    <w:rPr>
                      <w:rFonts w:ascii="宋体" w:hAnsi="宋体" w:cs="宋体"/>
                      <w:color w:val="auto"/>
                      <w:szCs w:val="21"/>
                      <w:highlight w:val="none"/>
                      <w:lang w:bidi="ar"/>
                    </w:rPr>
                  </w:pPr>
                  <w:r>
                    <w:rPr>
                      <w:rFonts w:hint="eastAsia" w:ascii="宋体" w:hAnsi="宋体" w:cs="宋体"/>
                      <w:color w:val="auto"/>
                      <w:szCs w:val="21"/>
                      <w:highlight w:val="none"/>
                      <w:lang w:bidi="ar"/>
                    </w:rPr>
                    <w:t>金额（万元）</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费率</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mc:AlternateContent>
                      <mc:Choice Requires="wpsCustomData">
                        <wpsCustomData:diagonalParaType/>
                      </mc:Choice>
                    </mc:AlternateContent>
                    <w:rPr>
                      <w:rFonts w:ascii="宋体" w:hAnsi="宋体" w:cs="宋体"/>
                      <w:color w:val="auto"/>
                      <w:szCs w:val="21"/>
                      <w:highlight w:val="none"/>
                      <w:lang w:bidi="ar"/>
                    </w:rPr>
                  </w:pP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0.55%</w:t>
                  </w: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cs="Arial"/>
                <w:color w:val="auto"/>
                <w:kern w:val="0"/>
                <w:sz w:val="24"/>
                <w:highlight w:val="none"/>
              </w:rPr>
            </w:pPr>
            <w:r>
              <w:rPr>
                <w:rFonts w:hint="eastAsia" w:ascii="宋体" w:hAnsi="宋体" w:cs="Arial"/>
                <w:color w:val="auto"/>
                <w:kern w:val="0"/>
                <w:sz w:val="24"/>
                <w:highlight w:val="none"/>
              </w:rPr>
              <w:t>备注：（1）招标代理服务费按差额定率累进法计算；（2）招标代理服务费只收现金、银行票汇款、电汇款。汇入以下账户：</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Arial"/>
                <w:color w:val="auto"/>
                <w:kern w:val="0"/>
                <w:sz w:val="24"/>
                <w:highlight w:val="none"/>
              </w:rPr>
            </w:pPr>
            <w:r>
              <w:rPr>
                <w:rFonts w:hint="eastAsia" w:ascii="宋体" w:hAnsi="宋体" w:cs="Arial"/>
                <w:color w:val="auto"/>
                <w:kern w:val="0"/>
                <w:sz w:val="24"/>
                <w:highlight w:val="none"/>
              </w:rPr>
              <w:t>开户银行： 宁波银行科技支行</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Arial"/>
                <w:color w:val="auto"/>
                <w:kern w:val="0"/>
                <w:sz w:val="24"/>
                <w:highlight w:val="none"/>
              </w:rPr>
            </w:pPr>
            <w:r>
              <w:rPr>
                <w:rFonts w:hint="eastAsia" w:ascii="宋体" w:hAnsi="宋体" w:cs="Arial"/>
                <w:color w:val="auto"/>
                <w:kern w:val="0"/>
                <w:sz w:val="24"/>
                <w:highlight w:val="none"/>
              </w:rPr>
              <w:t>账    号： 31010122000005488</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s="Arial"/>
                <w:color w:val="auto"/>
                <w:kern w:val="0"/>
                <w:sz w:val="24"/>
                <w:highlight w:val="none"/>
              </w:rPr>
            </w:pPr>
            <w:r>
              <w:rPr>
                <w:rFonts w:hint="eastAsia" w:ascii="宋体" w:hAnsi="宋体" w:cs="Arial"/>
                <w:color w:val="auto"/>
                <w:kern w:val="0"/>
                <w:sz w:val="24"/>
                <w:highlight w:val="none"/>
              </w:rPr>
              <w:t>户    名： 宁波中基国际招标有限公司</w:t>
            </w:r>
          </w:p>
          <w:p>
            <w:pPr>
              <w:keepNext w:val="0"/>
              <w:keepLines w:val="0"/>
              <w:pageBreakBefore w:val="0"/>
              <w:widowControl w:val="0"/>
              <w:kinsoku/>
              <w:wordWrap/>
              <w:overflowPunct/>
              <w:topLinePunct w:val="0"/>
              <w:autoSpaceDE/>
              <w:autoSpaceDN/>
              <w:bidi w:val="0"/>
              <w:spacing w:line="240" w:lineRule="auto"/>
              <w:textAlignment w:val="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注：中标人接到本公司通知后5个工作日内向本采购代理机构领取中标通知书（根据中标人需求可采用邮寄或到采购代理机构现场领取）。</w:t>
            </w:r>
          </w:p>
        </w:tc>
      </w:tr>
      <w:bookmarkEnd w:id="5"/>
    </w:tbl>
    <w:p>
      <w:pPr>
        <w:adjustRightInd/>
        <w:spacing w:line="360" w:lineRule="auto"/>
        <w:ind w:firstLine="3845" w:firstLineChars="1197"/>
        <w:outlineLvl w:val="1"/>
        <w:rPr>
          <w:rFonts w:ascii="宋体" w:hAnsi="宋体" w:cs="宋体"/>
          <w:b/>
          <w:color w:val="auto"/>
          <w:sz w:val="32"/>
          <w:szCs w:val="20"/>
          <w:highlight w:val="none"/>
        </w:rPr>
      </w:pPr>
      <w:bookmarkStart w:id="8" w:name="第三部分"/>
      <w:bookmarkStart w:id="9" w:name="_Toc164416483"/>
      <w:r>
        <w:rPr>
          <w:rFonts w:hint="eastAsia" w:ascii="宋体" w:hAnsi="宋体" w:cs="宋体"/>
          <w:b/>
          <w:color w:val="auto"/>
          <w:sz w:val="32"/>
          <w:szCs w:val="20"/>
          <w:highlight w:val="none"/>
        </w:rPr>
        <w:t>一、总则</w:t>
      </w:r>
    </w:p>
    <w:p>
      <w:pPr>
        <w:keepNext w:val="0"/>
        <w:keepLines w:val="0"/>
        <w:pageBreakBefore w:val="0"/>
        <w:kinsoku/>
        <w:wordWrap/>
        <w:overflowPunct/>
        <w:topLinePunct w:val="0"/>
        <w:bidi w:val="0"/>
        <w:snapToGrid/>
        <w:spacing w:beforeAutospacing="0" w:line="360" w:lineRule="auto"/>
        <w:ind w:firstLine="361" w:firstLineChars="150"/>
        <w:jc w:val="left"/>
        <w:textAlignment w:val="auto"/>
        <w:rPr>
          <w:rFonts w:ascii="宋体" w:hAnsi="宋体" w:cs="宋体"/>
          <w:b/>
          <w:color w:val="auto"/>
          <w:sz w:val="24"/>
          <w:highlight w:val="none"/>
        </w:rPr>
      </w:pPr>
      <w:r>
        <w:rPr>
          <w:rFonts w:hint="eastAsia" w:ascii="宋体" w:hAnsi="宋体" w:cs="宋体"/>
          <w:b/>
          <w:color w:val="auto"/>
          <w:sz w:val="24"/>
          <w:highlight w:val="none"/>
        </w:rPr>
        <w:t>1.适用范围</w:t>
      </w:r>
    </w:p>
    <w:p>
      <w:pPr>
        <w:keepNext w:val="0"/>
        <w:keepLines w:val="0"/>
        <w:pageBreakBefore w:val="0"/>
        <w:kinsoku/>
        <w:wordWrap/>
        <w:overflowPunct/>
        <w:topLinePunct w:val="0"/>
        <w:bidi w:val="0"/>
        <w:snapToGrid/>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   2.定义</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keepNext w:val="0"/>
        <w:keepLines w:val="0"/>
        <w:pageBreakBefore w:val="0"/>
        <w:kinsoku/>
        <w:wordWrap/>
        <w:overflowPunct/>
        <w:topLinePunct w:val="0"/>
        <w:bidi w:val="0"/>
        <w:snapToGrid/>
        <w:spacing w:beforeAutospacing="0"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keepNext w:val="0"/>
        <w:keepLines w:val="0"/>
        <w:pageBreakBefore w:val="0"/>
        <w:kinsoku/>
        <w:wordWrap/>
        <w:overflowPunct/>
        <w:topLinePunct w:val="0"/>
        <w:bidi w:val="0"/>
        <w:snapToGrid/>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bidi w:val="0"/>
        <w:snapToGrid/>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napToGrid/>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napToGrid/>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spacing w:beforeAutospacing="0" w:line="360" w:lineRule="auto"/>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kinsoku/>
        <w:wordWrap/>
        <w:overflowPunct/>
        <w:topLinePunct w:val="0"/>
        <w:bidi w:val="0"/>
        <w:snapToGrid/>
        <w:spacing w:beforeAutospacing="0" w:line="360" w:lineRule="auto"/>
        <w:ind w:firstLine="240" w:firstLineChars="100"/>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b/>
          <w:color w:val="auto"/>
          <w:sz w:val="24"/>
          <w:highlight w:val="none"/>
        </w:rPr>
        <w:t>4. 询问、质疑、投诉</w:t>
      </w:r>
    </w:p>
    <w:p>
      <w:pPr>
        <w:keepNext w:val="0"/>
        <w:keepLines w:val="0"/>
        <w:pageBreakBefore w:val="0"/>
        <w:kinsoku/>
        <w:wordWrap/>
        <w:overflowPunct/>
        <w:topLinePunct w:val="0"/>
        <w:autoSpaceDE w:val="0"/>
        <w:autoSpaceDN w:val="0"/>
        <w:bidi w:val="0"/>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keepNext w:val="0"/>
        <w:keepLines w:val="0"/>
        <w:pageBreakBefore w:val="0"/>
        <w:kinsoku/>
        <w:wordWrap/>
        <w:overflowPunct/>
        <w:topLinePunct w:val="0"/>
        <w:autoSpaceDE w:val="0"/>
        <w:autoSpaceDN w:val="0"/>
        <w:bidi w:val="0"/>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napToGrid/>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keepNext w:val="0"/>
        <w:keepLines w:val="0"/>
        <w:pageBreakBefore w:val="0"/>
        <w:kinsoku/>
        <w:wordWrap/>
        <w:overflowPunct/>
        <w:topLinePunct w:val="0"/>
        <w:bidi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keepNext w:val="0"/>
        <w:keepLines w:val="0"/>
        <w:pageBreakBefore w:val="0"/>
        <w:kinsoku/>
        <w:wordWrap/>
        <w:overflowPunct/>
        <w:topLinePunct w:val="0"/>
        <w:bidi w:val="0"/>
        <w:snapToGrid/>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pPr>
        <w:pStyle w:val="887"/>
        <w:keepNext w:val="0"/>
        <w:keepLines w:val="0"/>
        <w:pageBreakBefore w:val="0"/>
        <w:kinsoku/>
        <w:wordWrap/>
        <w:overflowPunct/>
        <w:topLinePunct w:val="0"/>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4.4.5投诉材料可寄送至：宁波市政府采购管理办公室，地址：宁波市海曙区中山西路19号，收件人：李老师，电话：0574-89388042。</w:t>
      </w:r>
    </w:p>
    <w:p>
      <w:pPr>
        <w:pStyle w:val="130"/>
        <w:keepNext w:val="0"/>
        <w:keepLines w:val="0"/>
        <w:pageBreakBefore w:val="0"/>
        <w:kinsoku/>
        <w:wordWrap/>
        <w:overflowPunct/>
        <w:topLinePunct w:val="0"/>
        <w:bidi w:val="0"/>
        <w:snapToGrid/>
        <w:spacing w:before="0" w:beforeAutospacing="0" w:line="360" w:lineRule="auto"/>
        <w:ind w:firstLine="360"/>
        <w:textAlignment w:val="auto"/>
        <w:rPr>
          <w:rFonts w:ascii="宋体" w:hAnsi="宋体" w:cs="宋体"/>
          <w:color w:val="auto"/>
          <w:sz w:val="18"/>
          <w:szCs w:val="18"/>
          <w:highlight w:val="none"/>
        </w:rPr>
      </w:pPr>
    </w:p>
    <w:p>
      <w:pPr>
        <w:keepNext w:val="0"/>
        <w:keepLines w:val="0"/>
        <w:pageBreakBefore w:val="0"/>
        <w:kinsoku/>
        <w:wordWrap/>
        <w:overflowPunct/>
        <w:topLinePunct w:val="0"/>
        <w:bidi w:val="0"/>
        <w:adjustRightInd/>
        <w:snapToGrid/>
        <w:spacing w:beforeAutospacing="0" w:line="360" w:lineRule="auto"/>
        <w:jc w:val="center"/>
        <w:textAlignment w:val="auto"/>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keepNext w:val="0"/>
        <w:keepLines w:val="0"/>
        <w:pageBreakBefore w:val="0"/>
        <w:tabs>
          <w:tab w:val="left" w:pos="840"/>
        </w:tabs>
        <w:kinsoku/>
        <w:wordWrap/>
        <w:overflowPunct/>
        <w:topLinePunct w:val="0"/>
        <w:bidi w:val="0"/>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pPr>
        <w:pStyle w:val="34"/>
        <w:keepNext w:val="0"/>
        <w:keepLines w:val="0"/>
        <w:pageBreakBefore w:val="0"/>
        <w:tabs>
          <w:tab w:val="left" w:pos="840"/>
        </w:tabs>
        <w:kinsoku/>
        <w:wordWrap/>
        <w:overflowPunct/>
        <w:topLinePunct w:val="0"/>
        <w:bidi w:val="0"/>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pPr>
        <w:pStyle w:val="34"/>
        <w:keepNext w:val="0"/>
        <w:keepLines w:val="0"/>
        <w:pageBreakBefore w:val="0"/>
        <w:tabs>
          <w:tab w:val="left" w:pos="840"/>
        </w:tabs>
        <w:kinsoku/>
        <w:wordWrap/>
        <w:overflowPunct/>
        <w:topLinePunct w:val="0"/>
        <w:bidi w:val="0"/>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pPr>
        <w:pStyle w:val="34"/>
        <w:keepNext w:val="0"/>
        <w:keepLines w:val="0"/>
        <w:pageBreakBefore w:val="0"/>
        <w:tabs>
          <w:tab w:val="left" w:pos="840"/>
        </w:tabs>
        <w:kinsoku/>
        <w:wordWrap/>
        <w:overflowPunct/>
        <w:topLinePunct w:val="0"/>
        <w:bidi w:val="0"/>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pPr>
        <w:pStyle w:val="34"/>
        <w:keepNext w:val="0"/>
        <w:keepLines w:val="0"/>
        <w:pageBreakBefore w:val="0"/>
        <w:tabs>
          <w:tab w:val="left" w:pos="840"/>
        </w:tabs>
        <w:kinsoku/>
        <w:wordWrap/>
        <w:overflowPunct/>
        <w:topLinePunct w:val="0"/>
        <w:bidi w:val="0"/>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keepNext w:val="0"/>
        <w:keepLines w:val="0"/>
        <w:pageBreakBefore w:val="0"/>
        <w:tabs>
          <w:tab w:val="left" w:pos="840"/>
        </w:tabs>
        <w:kinsoku/>
        <w:wordWrap/>
        <w:overflowPunct/>
        <w:topLinePunct w:val="0"/>
        <w:bidi w:val="0"/>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keepNext w:val="0"/>
        <w:keepLines w:val="0"/>
        <w:pageBreakBefore w:val="0"/>
        <w:kinsoku/>
        <w:wordWrap/>
        <w:overflowPunct/>
        <w:topLinePunct w:val="0"/>
        <w:bidi w:val="0"/>
        <w:snapToGrid/>
        <w:spacing w:beforeAutospacing="0" w:line="360" w:lineRule="auto"/>
        <w:textAlignment w:val="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keepNext w:val="0"/>
        <w:keepLines w:val="0"/>
        <w:pageBreakBefore w:val="0"/>
        <w:kinsoku/>
        <w:wordWrap/>
        <w:overflowPunct/>
        <w:topLinePunct w:val="0"/>
        <w:bidi w:val="0"/>
        <w:adjustRightInd/>
        <w:snapToGrid/>
        <w:spacing w:beforeAutospacing="0" w:line="360" w:lineRule="auto"/>
        <w:jc w:val="center"/>
        <w:textAlignment w:val="auto"/>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8"/>
        <w:keepNext w:val="0"/>
        <w:keepLines w:val="0"/>
        <w:pageBreakBefore w:val="0"/>
        <w:kinsoku/>
        <w:wordWrap/>
        <w:overflowPunct/>
        <w:topLinePunct w:val="0"/>
        <w:bidi w:val="0"/>
        <w:snapToGrid/>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beforeAutospacing="0" w:line="360" w:lineRule="auto"/>
        <w:ind w:firstLine="482" w:firstLineChars="200"/>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11.3.2中小企业声明函；</w:t>
      </w:r>
    </w:p>
    <w:p>
      <w:pPr>
        <w:keepNext w:val="0"/>
        <w:keepLines w:val="0"/>
        <w:pageBreakBefore w:val="0"/>
        <w:kinsoku/>
        <w:wordWrap/>
        <w:overflowPunct/>
        <w:topLinePunct w:val="0"/>
        <w:bidi w:val="0"/>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11.3.3投标分项报价表。</w:t>
      </w:r>
    </w:p>
    <w:p>
      <w:pPr>
        <w:keepNext w:val="0"/>
        <w:keepLines w:val="0"/>
        <w:pageBreakBefore w:val="0"/>
        <w:kinsoku/>
        <w:wordWrap/>
        <w:overflowPunct/>
        <w:topLinePunct w:val="0"/>
        <w:bidi w:val="0"/>
        <w:snapToGrid/>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keepNext w:val="0"/>
        <w:keepLines w:val="0"/>
        <w:pageBreakBefore w:val="0"/>
        <w:kinsoku/>
        <w:wordWrap/>
        <w:overflowPunct/>
        <w:topLinePunct w:val="0"/>
        <w:bidi w:val="0"/>
        <w:snapToGrid/>
        <w:spacing w:beforeAutospacing="0" w:line="360" w:lineRule="auto"/>
        <w:ind w:firstLine="723" w:firstLineChars="3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w:t>
      </w:r>
      <w:r>
        <w:rPr>
          <w:rFonts w:hint="eastAsia" w:ascii="宋体" w:hAnsi="宋体" w:cs="仿宋_GB2312"/>
          <w:b/>
          <w:bCs/>
          <w:sz w:val="24"/>
        </w:rPr>
        <w:t>（文件后缀为：</w:t>
      </w:r>
      <w:r>
        <w:rPr>
          <w:rFonts w:ascii="宋体" w:hAnsi="宋体" w:cs="仿宋_GB2312"/>
          <w:b/>
          <w:bCs/>
          <w:sz w:val="24"/>
        </w:rPr>
        <w:t>jmbs</w:t>
      </w:r>
      <w:r>
        <w:rPr>
          <w:rFonts w:hint="eastAsia" w:ascii="宋体" w:hAnsi="宋体" w:cs="仿宋_GB2312"/>
          <w:b/>
          <w:bCs/>
          <w:sz w:val="24"/>
        </w:rPr>
        <w:t>）</w:t>
      </w:r>
      <w:r>
        <w:rPr>
          <w:rFonts w:hint="eastAsia" w:ascii="宋体" w:hAnsi="宋体" w:cs="宋体"/>
          <w:color w:val="auto"/>
          <w:kern w:val="0"/>
          <w:sz w:val="24"/>
          <w:highlight w:val="none"/>
          <w:lang w:val="zh-CN"/>
        </w:rPr>
        <w:t>。投标人未按规定加密的投标文件，电子交易平台将拒收并提示。</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keepNext w:val="0"/>
        <w:keepLines w:val="0"/>
        <w:pageBreakBefore w:val="0"/>
        <w:kinsoku/>
        <w:wordWrap/>
        <w:overflowPunct/>
        <w:topLinePunct w:val="0"/>
        <w:bidi w:val="0"/>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pPr>
        <w:pStyle w:val="34"/>
        <w:keepNext w:val="0"/>
        <w:keepLines w:val="0"/>
        <w:pageBreakBefore w:val="0"/>
        <w:kinsoku/>
        <w:wordWrap/>
        <w:overflowPunct/>
        <w:topLinePunct w:val="0"/>
        <w:bidi w:val="0"/>
        <w:snapToGrid/>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将备份投标文件提交给采购代理机构，采购代理机构将拒绝接受逾期送达的备份投标文件。</w:t>
      </w:r>
    </w:p>
    <w:p>
      <w:pPr>
        <w:pStyle w:val="34"/>
        <w:keepNext w:val="0"/>
        <w:keepLines w:val="0"/>
        <w:pageBreakBefore w:val="0"/>
        <w:kinsoku/>
        <w:wordWrap/>
        <w:overflowPunct/>
        <w:topLinePunct w:val="0"/>
        <w:bidi w:val="0"/>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w:t>
      </w:r>
      <w:r>
        <w:rPr>
          <w:rFonts w:hint="eastAsia" w:hAnsi="宋体" w:cs="宋体"/>
          <w:snapToGrid/>
          <w:color w:val="auto"/>
          <w:sz w:val="24"/>
          <w:szCs w:val="24"/>
          <w:highlight w:val="none"/>
        </w:rPr>
        <w:t>第二部分投标人须知前附表规定的备份投标文件送达</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keepNext w:val="0"/>
        <w:keepLines w:val="0"/>
        <w:pageBreakBefore w:val="0"/>
        <w:kinsoku/>
        <w:wordWrap/>
        <w:overflowPunct/>
        <w:topLinePunct w:val="0"/>
        <w:bidi w:val="0"/>
        <w:snapToGrid/>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9"/>
        <w:keepNext w:val="0"/>
        <w:keepLines w:val="0"/>
        <w:pageBreakBefore w:val="0"/>
        <w:kinsoku/>
        <w:wordWrap/>
        <w:overflowPunct/>
        <w:topLinePunct w:val="0"/>
        <w:bidi w:val="0"/>
        <w:snapToGrid/>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keepNext w:val="0"/>
        <w:keepLines w:val="0"/>
        <w:pageBreakBefore w:val="0"/>
        <w:kinsoku/>
        <w:wordWrap/>
        <w:overflowPunct/>
        <w:topLinePunct w:val="0"/>
        <w:bidi w:val="0"/>
        <w:snapToGrid/>
        <w:spacing w:before="0" w:beforeAutospacing="0" w:line="360" w:lineRule="auto"/>
        <w:ind w:firstLine="643"/>
        <w:textAlignment w:val="auto"/>
        <w:rPr>
          <w:rFonts w:ascii="宋体" w:hAnsi="宋体" w:cs="宋体"/>
          <w:b/>
          <w:color w:val="auto"/>
          <w:sz w:val="32"/>
          <w:highlight w:val="none"/>
        </w:rPr>
      </w:pPr>
    </w:p>
    <w:p>
      <w:pPr>
        <w:pStyle w:val="130"/>
        <w:keepNext w:val="0"/>
        <w:keepLines w:val="0"/>
        <w:pageBreakBefore w:val="0"/>
        <w:kinsoku/>
        <w:wordWrap/>
        <w:overflowPunct/>
        <w:topLinePunct w:val="0"/>
        <w:bidi w:val="0"/>
        <w:snapToGrid/>
        <w:spacing w:before="0" w:beforeAutospacing="0" w:line="360" w:lineRule="auto"/>
        <w:ind w:firstLine="1928" w:firstLineChars="600"/>
        <w:textAlignment w:val="auto"/>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keepNext w:val="0"/>
        <w:keepLines w:val="0"/>
        <w:pageBreakBefore w:val="0"/>
        <w:kinsoku/>
        <w:wordWrap/>
        <w:overflowPunct/>
        <w:topLinePunct w:val="0"/>
        <w:bidi w:val="0"/>
        <w:snapToGrid/>
        <w:spacing w:before="0" w:beforeAutospacing="0" w:line="360" w:lineRule="auto"/>
        <w:ind w:left="0" w:firstLine="241" w:firstLineChars="10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keepNext w:val="0"/>
        <w:keepLines w:val="0"/>
        <w:pageBreakBefore w:val="0"/>
        <w:kinsoku/>
        <w:wordWrap/>
        <w:overflowPunct/>
        <w:topLinePunct w:val="0"/>
        <w:bidi w:val="0"/>
        <w:snapToGrid/>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keepNext w:val="0"/>
        <w:keepLines w:val="0"/>
        <w:pageBreakBefore w:val="0"/>
        <w:kinsoku/>
        <w:wordWrap/>
        <w:overflowPunct/>
        <w:topLinePunct w:val="0"/>
        <w:bidi w:val="0"/>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keepNext w:val="0"/>
        <w:keepLines w:val="0"/>
        <w:pageBreakBefore w:val="0"/>
        <w:kinsoku/>
        <w:wordWrap/>
        <w:overflowPunct/>
        <w:topLinePunct w:val="0"/>
        <w:bidi w:val="0"/>
        <w:snapToGrid/>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18.2.1具体开标程序：</w:t>
      </w:r>
    </w:p>
    <w:p>
      <w:pPr>
        <w:pStyle w:val="555"/>
        <w:keepNext w:val="0"/>
        <w:keepLines w:val="0"/>
        <w:pageBreakBefore w:val="0"/>
        <w:kinsoku/>
        <w:wordWrap/>
        <w:overflowPunct/>
        <w:topLinePunct w:val="0"/>
        <w:bidi w:val="0"/>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（1）投标截止时间后，供应商登录政府采购云平台，用“项目采购－开标评标”功能对电子投标文件进行在线解密，在线解密电子投标文件时间为开标时间后30分钟内。</w:t>
      </w:r>
    </w:p>
    <w:p>
      <w:pPr>
        <w:pStyle w:val="555"/>
        <w:keepNext w:val="0"/>
        <w:keepLines w:val="0"/>
        <w:pageBreakBefore w:val="0"/>
        <w:kinsoku/>
        <w:wordWrap/>
        <w:overflowPunct/>
        <w:topLinePunct w:val="0"/>
        <w:bidi w:val="0"/>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（2）在政府采购云平台开启已解密供应商的“资格文件、商务技术文件、报价文件”，并做开标记录；</w:t>
      </w:r>
    </w:p>
    <w:p>
      <w:pPr>
        <w:pStyle w:val="555"/>
        <w:keepNext w:val="0"/>
        <w:keepLines w:val="0"/>
        <w:pageBreakBefore w:val="0"/>
        <w:kinsoku/>
        <w:wordWrap/>
        <w:overflowPunct/>
        <w:topLinePunct w:val="0"/>
        <w:bidi w:val="0"/>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（3）在政府采购云平台公布评审结果。</w:t>
      </w:r>
    </w:p>
    <w:p>
      <w:pPr>
        <w:pStyle w:val="555"/>
        <w:keepNext w:val="0"/>
        <w:keepLines w:val="0"/>
        <w:pageBreakBefore w:val="0"/>
        <w:kinsoku/>
        <w:wordWrap/>
        <w:overflowPunct/>
        <w:topLinePunct w:val="0"/>
        <w:bidi w:val="0"/>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（4）开标会议结束。</w:t>
      </w:r>
    </w:p>
    <w:p>
      <w:pPr>
        <w:pStyle w:val="555"/>
        <w:keepNext w:val="0"/>
        <w:keepLines w:val="0"/>
        <w:pageBreakBefore w:val="0"/>
        <w:kinsoku/>
        <w:wordWrap/>
        <w:overflowPunct/>
        <w:topLinePunct w:val="0"/>
        <w:bidi w:val="0"/>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keepNext w:val="0"/>
        <w:keepLines w:val="0"/>
        <w:pageBreakBefore w:val="0"/>
        <w:kinsoku/>
        <w:wordWrap/>
        <w:overflowPunct/>
        <w:topLinePunct w:val="0"/>
        <w:bidi w:val="0"/>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keepNext w:val="0"/>
        <w:keepLines w:val="0"/>
        <w:pageBreakBefore w:val="0"/>
        <w:kinsoku/>
        <w:wordWrap/>
        <w:overflowPunct/>
        <w:topLinePunct w:val="0"/>
        <w:bidi w:val="0"/>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keepNext w:val="0"/>
        <w:keepLines w:val="0"/>
        <w:pageBreakBefore w:val="0"/>
        <w:kinsoku/>
        <w:wordWrap/>
        <w:overflowPunct/>
        <w:topLinePunct w:val="0"/>
        <w:bidi w:val="0"/>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keepNext w:val="0"/>
        <w:keepLines w:val="0"/>
        <w:pageBreakBefore w:val="0"/>
        <w:kinsoku/>
        <w:wordWrap/>
        <w:overflowPunct/>
        <w:topLinePunct w:val="0"/>
        <w:bidi w:val="0"/>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highlight w:val="none"/>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color w:val="auto"/>
          <w:kern w:val="0"/>
          <w:szCs w:val="24"/>
          <w:highlight w:val="none"/>
        </w:rPr>
      </w:pPr>
    </w:p>
    <w:p>
      <w:pPr>
        <w:keepNext w:val="0"/>
        <w:keepLines w:val="0"/>
        <w:pageBreakBefore w:val="0"/>
        <w:kinsoku/>
        <w:wordWrap/>
        <w:overflowPunct/>
        <w:topLinePunct w:val="0"/>
        <w:bidi w:val="0"/>
        <w:snapToGrid/>
        <w:spacing w:beforeAutospacing="0" w:line="360" w:lineRule="auto"/>
        <w:jc w:val="center"/>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keepNext w:val="0"/>
        <w:keepLines w:val="0"/>
        <w:pageBreakBefore w:val="0"/>
        <w:kinsoku/>
        <w:wordWrap/>
        <w:overflowPunct/>
        <w:topLinePunct w:val="0"/>
        <w:bidi w:val="0"/>
        <w:snapToGrid/>
        <w:spacing w:beforeAutospacing="0" w:line="360" w:lineRule="auto"/>
        <w:textAlignment w:val="auto"/>
        <w:rPr>
          <w:rFonts w:ascii="宋体" w:hAnsi="宋体" w:cs="宋体"/>
          <w:b/>
          <w:color w:val="auto"/>
          <w:sz w:val="24"/>
          <w:highlight w:val="none"/>
        </w:rPr>
      </w:pPr>
      <w:bookmarkStart w:id="1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keepNext w:val="0"/>
        <w:keepLines w:val="0"/>
        <w:pageBreakBefore w:val="0"/>
        <w:kinsoku/>
        <w:wordWrap/>
        <w:overflowPunct/>
        <w:topLinePunct w:val="0"/>
        <w:bidi w:val="0"/>
        <w:snapToGrid/>
        <w:spacing w:beforeAutospacing="0" w:line="360" w:lineRule="auto"/>
        <w:textAlignment w:val="auto"/>
        <w:rPr>
          <w:rFonts w:ascii="宋体" w:hAnsi="宋体" w:cs="宋体"/>
          <w:b/>
          <w:color w:val="auto"/>
          <w:sz w:val="24"/>
          <w:highlight w:val="none"/>
        </w:rPr>
      </w:pPr>
    </w:p>
    <w:p>
      <w:pPr>
        <w:keepNext w:val="0"/>
        <w:keepLines w:val="0"/>
        <w:pageBreakBefore w:val="0"/>
        <w:kinsoku/>
        <w:wordWrap/>
        <w:overflowPunct/>
        <w:topLinePunct w:val="0"/>
        <w:bidi w:val="0"/>
        <w:snapToGrid/>
        <w:spacing w:beforeAutospacing="0" w:line="360" w:lineRule="auto"/>
        <w:jc w:val="center"/>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9"/>
        <w:keepNext w:val="0"/>
        <w:keepLines w:val="0"/>
        <w:pageBreakBefore w:val="0"/>
        <w:kinsoku/>
        <w:wordWrap/>
        <w:overflowPunct/>
        <w:topLinePunct w:val="0"/>
        <w:bidi w:val="0"/>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确定中标供应商（按评审后得分由高到低顺序，确定1名中标人。）</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keepNext w:val="0"/>
        <w:keepLines w:val="0"/>
        <w:pageBreakBefore w:val="0"/>
        <w:widowControl/>
        <w:kinsoku/>
        <w:wordWrap/>
        <w:overflowPunct/>
        <w:topLinePunct w:val="0"/>
        <w:bidi w:val="0"/>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pPr>
        <w:keepNext w:val="0"/>
        <w:keepLines w:val="0"/>
        <w:pageBreakBefore w:val="0"/>
        <w:widowControl/>
        <w:kinsoku/>
        <w:wordWrap/>
        <w:overflowPunct/>
        <w:topLinePunct w:val="0"/>
        <w:bidi w:val="0"/>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1" w:name="_Hlk101184471"/>
      <w:r>
        <w:rPr>
          <w:rFonts w:hint="eastAsia" w:ascii="宋体" w:hAnsi="宋体" w:cs="宋体"/>
          <w:color w:val="auto"/>
          <w:sz w:val="24"/>
          <w:highlight w:val="none"/>
        </w:rPr>
        <w:t>资格审查情况、评审专家抽取规则、符合性审查情况、</w:t>
      </w:r>
      <w:bookmarkEnd w:id="11"/>
      <w:r>
        <w:rPr>
          <w:rFonts w:hint="eastAsia" w:ascii="宋体" w:hAnsi="宋体" w:cs="宋体"/>
          <w:color w:val="auto"/>
          <w:sz w:val="24"/>
          <w:highlight w:val="none"/>
        </w:rPr>
        <w:t>未中标情况说明、中标公告期限以及评审专家名单、评分汇总及明细。</w:t>
      </w:r>
    </w:p>
    <w:p>
      <w:pPr>
        <w:keepNext w:val="0"/>
        <w:keepLines w:val="0"/>
        <w:pageBreakBefore w:val="0"/>
        <w:widowControl/>
        <w:kinsoku/>
        <w:wordWrap/>
        <w:overflowPunct/>
        <w:topLinePunct w:val="0"/>
        <w:bidi w:val="0"/>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23.3公告期限为1个工作日。</w:t>
      </w:r>
    </w:p>
    <w:p>
      <w:pPr>
        <w:keepNext w:val="0"/>
        <w:keepLines w:val="0"/>
        <w:pageBreakBefore w:val="0"/>
        <w:kinsoku/>
        <w:wordWrap/>
        <w:overflowPunct/>
        <w:topLinePunct w:val="0"/>
        <w:bidi w:val="0"/>
        <w:snapToGrid/>
        <w:spacing w:beforeAutospacing="0" w:line="360" w:lineRule="auto"/>
        <w:ind w:left="120" w:leftChars="57" w:firstLine="482" w:firstLineChars="150"/>
        <w:jc w:val="center"/>
        <w:textAlignment w:val="auto"/>
        <w:rPr>
          <w:rFonts w:ascii="宋体" w:hAnsi="宋体" w:cs="宋体"/>
          <w:b/>
          <w:color w:val="auto"/>
          <w:sz w:val="32"/>
          <w:highlight w:val="none"/>
        </w:rPr>
      </w:pPr>
    </w:p>
    <w:p>
      <w:pPr>
        <w:keepNext w:val="0"/>
        <w:keepLines w:val="0"/>
        <w:pageBreakBefore w:val="0"/>
        <w:kinsoku/>
        <w:wordWrap/>
        <w:overflowPunct/>
        <w:topLinePunct w:val="0"/>
        <w:bidi w:val="0"/>
        <w:snapToGrid/>
        <w:spacing w:beforeAutospacing="0" w:line="360" w:lineRule="auto"/>
        <w:ind w:left="120" w:leftChars="57"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9"/>
        <w:keepNext w:val="0"/>
        <w:keepLines w:val="0"/>
        <w:pageBreakBefore w:val="0"/>
        <w:kinsoku/>
        <w:wordWrap/>
        <w:overflowPunct/>
        <w:topLinePunct w:val="0"/>
        <w:bidi w:val="0"/>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9"/>
        <w:keepNext w:val="0"/>
        <w:keepLines w:val="0"/>
        <w:pageBreakBefore w:val="0"/>
        <w:kinsoku/>
        <w:wordWrap/>
        <w:overflowPunct/>
        <w:topLinePunct w:val="0"/>
        <w:bidi w:val="0"/>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pPr>
        <w:keepNext w:val="0"/>
        <w:keepLines w:val="0"/>
        <w:pageBreakBefore w:val="0"/>
        <w:widowControl/>
        <w:kinsoku/>
        <w:wordWrap/>
        <w:overflowPunct/>
        <w:topLinePunct w:val="0"/>
        <w:bidi w:val="0"/>
        <w:snapToGrid/>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25.5采购合同由采购人与中标供应商根据招标文件、投标文件等内容签订并备案。（由采购人自行选择线上签订或线下签订）</w:t>
      </w:r>
    </w:p>
    <w:p>
      <w:pPr>
        <w:pStyle w:val="9"/>
        <w:keepNext w:val="0"/>
        <w:keepLines w:val="0"/>
        <w:pageBreakBefore w:val="0"/>
        <w:kinsoku/>
        <w:wordWrap/>
        <w:overflowPunct/>
        <w:topLinePunct w:val="0"/>
        <w:bidi w:val="0"/>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pPr>
        <w:keepNext w:val="0"/>
        <w:keepLines w:val="0"/>
        <w:pageBreakBefore w:val="0"/>
        <w:tabs>
          <w:tab w:val="left" w:pos="0"/>
        </w:tabs>
        <w:kinsoku/>
        <w:wordWrap/>
        <w:overflowPunct/>
        <w:topLinePunct w:val="0"/>
        <w:bidi w:val="0"/>
        <w:snapToGrid/>
        <w:spacing w:beforeAutospacing="0"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keepNext w:val="0"/>
        <w:keepLines w:val="0"/>
        <w:pageBreakBefore w:val="0"/>
        <w:tabs>
          <w:tab w:val="left" w:pos="0"/>
        </w:tabs>
        <w:kinsoku/>
        <w:wordWrap/>
        <w:overflowPunct/>
        <w:topLinePunct w:val="0"/>
        <w:bidi w:val="0"/>
        <w:snapToGrid/>
        <w:spacing w:beforeAutospacing="0"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bidi w:val="0"/>
        <w:snapToGrid/>
        <w:spacing w:beforeAutospacing="0" w:line="360" w:lineRule="auto"/>
        <w:textAlignment w:val="auto"/>
        <w:rPr>
          <w:color w:val="auto"/>
          <w:highlight w:val="none"/>
        </w:rPr>
      </w:pPr>
      <w:r>
        <w:rPr>
          <w:rFonts w:ascii="宋体" w:hAnsi="宋体"/>
          <w:b/>
          <w:bCs/>
          <w:color w:val="auto"/>
          <w:sz w:val="24"/>
          <w:szCs w:val="32"/>
          <w:highlight w:val="none"/>
        </w:rPr>
        <w:t>27.预付款</w:t>
      </w:r>
    </w:p>
    <w:p>
      <w:pPr>
        <w:keepNext w:val="0"/>
        <w:keepLines w:val="0"/>
        <w:pageBreakBefore w:val="0"/>
        <w:kinsoku/>
        <w:wordWrap/>
        <w:overflowPunct/>
        <w:topLinePunct w:val="0"/>
        <w:bidi w:val="0"/>
        <w:adjustRightInd/>
        <w:snapToGrid/>
        <w:spacing w:beforeAutospacing="0" w:line="360" w:lineRule="auto"/>
        <w:ind w:firstLine="480" w:firstLineChars="200"/>
        <w:textAlignment w:val="auto"/>
        <w:rPr>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w:t>
      </w:r>
      <w:r>
        <w:rPr>
          <w:rFonts w:ascii="宋体" w:hAnsi="宋体" w:cs="宋体"/>
          <w:color w:val="auto"/>
          <w:sz w:val="24"/>
          <w:highlight w:val="none"/>
        </w:rPr>
        <w:t>40</w:t>
      </w:r>
      <w:r>
        <w:rPr>
          <w:rFonts w:hint="eastAsia" w:ascii="宋体" w:hAnsi="宋体" w:cs="宋体"/>
          <w:color w:val="auto"/>
          <w:sz w:val="24"/>
          <w:highlight w:val="none"/>
        </w:rPr>
        <w:t>%，不高于合同金额的</w:t>
      </w:r>
      <w:r>
        <w:rPr>
          <w:rFonts w:ascii="宋体" w:hAnsi="宋体" w:cs="宋体"/>
          <w:color w:val="auto"/>
          <w:sz w:val="24"/>
          <w:highlight w:val="none"/>
        </w:rPr>
        <w:t>70%；项目分年安排预算的，每年预付款比例</w:t>
      </w:r>
      <w:r>
        <w:rPr>
          <w:rFonts w:hint="eastAsia" w:ascii="宋体" w:hAnsi="宋体" w:cs="宋体"/>
          <w:color w:val="auto"/>
          <w:sz w:val="24"/>
          <w:highlight w:val="none"/>
        </w:rPr>
        <w:t>不低于</w:t>
      </w:r>
      <w:r>
        <w:rPr>
          <w:rFonts w:ascii="宋体" w:hAnsi="宋体" w:cs="宋体"/>
          <w:color w:val="auto"/>
          <w:sz w:val="24"/>
          <w:highlight w:val="none"/>
        </w:rPr>
        <w:t>项目年度计划支付资金额的40</w:t>
      </w:r>
      <w:r>
        <w:rPr>
          <w:rFonts w:hint="eastAsia" w:ascii="宋体" w:hAnsi="宋体" w:cs="宋体"/>
          <w:color w:val="auto"/>
          <w:sz w:val="24"/>
          <w:highlight w:val="none"/>
        </w:rPr>
        <w:t>%，不高于合同金额的</w:t>
      </w:r>
      <w:r>
        <w:rPr>
          <w:rFonts w:ascii="宋体" w:hAnsi="宋体" w:cs="宋体"/>
          <w:color w:val="auto"/>
          <w:sz w:val="24"/>
          <w:highlight w:val="none"/>
        </w:rPr>
        <w:t>70%；采购项目实施以人工投入为主的，</w:t>
      </w:r>
      <w:r>
        <w:rPr>
          <w:rFonts w:hint="eastAsia" w:ascii="宋体" w:hAnsi="宋体" w:cs="宋体"/>
          <w:color w:val="auto"/>
          <w:sz w:val="24"/>
          <w:highlight w:val="none"/>
        </w:rPr>
        <w:t>可适当降低预付款比例，但不得低于</w:t>
      </w:r>
      <w:r>
        <w:rPr>
          <w:rFonts w:ascii="宋体" w:hAnsi="宋体" w:cs="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宋体"/>
          <w:color w:val="auto"/>
          <w:sz w:val="24"/>
          <w:highlight w:val="none"/>
        </w:rPr>
        <w:t>供应商</w:t>
      </w:r>
      <w:r>
        <w:rPr>
          <w:rFonts w:ascii="宋体" w:hAnsi="宋体" w:cs="宋体"/>
          <w:color w:val="auto"/>
          <w:sz w:val="24"/>
          <w:highlight w:val="none"/>
        </w:rPr>
        <w:t>明确表示无需预付款或者主动要求降低预付款比例的，</w:t>
      </w:r>
      <w:r>
        <w:rPr>
          <w:rFonts w:hint="eastAsia" w:ascii="宋体" w:hAnsi="宋体" w:cs="宋体"/>
          <w:color w:val="auto"/>
          <w:sz w:val="24"/>
          <w:highlight w:val="none"/>
        </w:rPr>
        <w:t>采购单位</w:t>
      </w:r>
      <w:r>
        <w:rPr>
          <w:rFonts w:ascii="宋体" w:hAnsi="宋体" w:cs="宋体"/>
          <w:color w:val="auto"/>
          <w:sz w:val="24"/>
          <w:highlight w:val="none"/>
        </w:rPr>
        <w:t>可不适用前述规定。</w:t>
      </w:r>
      <w:r>
        <w:rPr>
          <w:rFonts w:hint="eastAsia" w:ascii="宋体" w:hAnsi="宋体" w:cs="宋体"/>
          <w:color w:val="auto"/>
          <w:sz w:val="24"/>
          <w:highlight w:val="none"/>
        </w:rPr>
        <w:t>采购单位</w:t>
      </w:r>
      <w:r>
        <w:rPr>
          <w:rFonts w:ascii="宋体" w:hAnsi="宋体" w:cs="宋体"/>
          <w:color w:val="auto"/>
          <w:sz w:val="24"/>
          <w:highlight w:val="none"/>
        </w:rPr>
        <w:t>根据项目特点、供应商诚信等因素，可以要求</w:t>
      </w:r>
      <w:r>
        <w:rPr>
          <w:rFonts w:hint="eastAsia" w:ascii="宋体" w:hAnsi="宋体" w:cs="宋体"/>
          <w:color w:val="auto"/>
          <w:sz w:val="24"/>
          <w:highlight w:val="none"/>
        </w:rPr>
        <w:t>供应商</w:t>
      </w:r>
      <w:r>
        <w:rPr>
          <w:rFonts w:ascii="宋体" w:hAnsi="宋体" w:cs="宋体"/>
          <w:color w:val="auto"/>
          <w:sz w:val="24"/>
          <w:highlight w:val="none"/>
        </w:rPr>
        <w:t>提交银行、保险公司等金融机构出具的预付款保函或其他担保措施。政府采购预付款应在合同生效以及具备实施条件后</w:t>
      </w:r>
      <w:r>
        <w:rPr>
          <w:rFonts w:hint="eastAsia" w:ascii="宋体" w:hAnsi="宋体" w:cs="宋体"/>
          <w:color w:val="auto"/>
          <w:sz w:val="24"/>
          <w:highlight w:val="none"/>
        </w:rPr>
        <w:t>7</w:t>
      </w:r>
      <w:r>
        <w:rPr>
          <w:rFonts w:ascii="宋体" w:hAnsi="宋体" w:cs="宋体"/>
          <w:color w:val="auto"/>
          <w:sz w:val="24"/>
          <w:highlight w:val="none"/>
        </w:rPr>
        <w:t>个工作日内支付。</w:t>
      </w:r>
      <w:r>
        <w:rPr>
          <w:rFonts w:hint="eastAsia" w:ascii="宋体" w:hAnsi="宋体" w:cs="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s="宋体"/>
          <w:color w:val="auto"/>
          <w:sz w:val="24"/>
          <w:highlight w:val="none"/>
        </w:rPr>
        <w:t xml:space="preserve"> - </w:t>
      </w:r>
      <w:r>
        <w:rPr>
          <w:rFonts w:hint="eastAsia" w:ascii="宋体" w:hAnsi="宋体" w:cs="宋体"/>
          <w:color w:val="auto"/>
          <w:sz w:val="24"/>
          <w:highlight w:val="none"/>
        </w:rPr>
        <w:t>【保函保险服务】出具预付款保函，具体步骤：选择产品—填写供应商信息—选择中标项目—确认信息—等待保险</w:t>
      </w:r>
      <w:r>
        <w:rPr>
          <w:rFonts w:ascii="宋体" w:hAnsi="宋体" w:cs="宋体"/>
          <w:color w:val="auto"/>
          <w:sz w:val="24"/>
          <w:highlight w:val="none"/>
        </w:rPr>
        <w:t>/保函受理—确认保单—支付保费—成功出单。政</w:t>
      </w:r>
      <w:r>
        <w:rPr>
          <w:rFonts w:hint="eastAsia" w:ascii="宋体" w:hAnsi="宋体" w:cs="宋体"/>
          <w:color w:val="auto"/>
          <w:sz w:val="24"/>
          <w:highlight w:val="none"/>
        </w:rPr>
        <w:t>采云金融专线</w:t>
      </w:r>
      <w:r>
        <w:rPr>
          <w:rFonts w:ascii="宋体" w:hAnsi="宋体" w:cs="宋体"/>
          <w:color w:val="auto"/>
          <w:sz w:val="24"/>
          <w:highlight w:val="none"/>
        </w:rPr>
        <w:t>400-903-9583。</w:t>
      </w:r>
    </w:p>
    <w:p>
      <w:pPr>
        <w:keepNext w:val="0"/>
        <w:keepLines w:val="0"/>
        <w:pageBreakBefore w:val="0"/>
        <w:kinsoku/>
        <w:wordWrap/>
        <w:overflowPunct/>
        <w:topLinePunct w:val="0"/>
        <w:bidi w:val="0"/>
        <w:snapToGrid/>
        <w:spacing w:beforeAutospacing="0" w:line="360" w:lineRule="auto"/>
        <w:ind w:firstLine="3357" w:firstLineChars="1045"/>
        <w:textAlignment w:val="auto"/>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keepNext w:val="0"/>
        <w:keepLines w:val="0"/>
        <w:pageBreakBefore w:val="0"/>
        <w:kinsoku/>
        <w:wordWrap/>
        <w:overflowPunct/>
        <w:topLinePunct w:val="0"/>
        <w:bidi w:val="0"/>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keepNext w:val="0"/>
        <w:keepLines w:val="0"/>
        <w:pageBreakBefore w:val="0"/>
        <w:kinsoku/>
        <w:wordWrap/>
        <w:overflowPunct/>
        <w:topLinePunct w:val="0"/>
        <w:bidi w:val="0"/>
        <w:snapToGrid/>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napToGrid/>
        <w:spacing w:beforeAutospacing="0" w:line="360" w:lineRule="auto"/>
        <w:ind w:left="120" w:leftChars="57" w:firstLine="482" w:firstLineChars="150"/>
        <w:jc w:val="center"/>
        <w:textAlignment w:val="auto"/>
        <w:outlineLvl w:val="1"/>
        <w:rPr>
          <w:rFonts w:hint="eastAsia" w:ascii="宋体" w:hAnsi="宋体" w:cs="宋体"/>
          <w:b/>
          <w:color w:val="auto"/>
          <w:sz w:val="32"/>
          <w:highlight w:val="none"/>
        </w:rPr>
      </w:pPr>
    </w:p>
    <w:p>
      <w:pPr>
        <w:keepNext w:val="0"/>
        <w:keepLines w:val="0"/>
        <w:pageBreakBefore w:val="0"/>
        <w:kinsoku/>
        <w:wordWrap/>
        <w:overflowPunct/>
        <w:topLinePunct w:val="0"/>
        <w:bidi w:val="0"/>
        <w:snapToGrid/>
        <w:spacing w:beforeAutospacing="0" w:line="360" w:lineRule="auto"/>
        <w:ind w:left="120" w:leftChars="57"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9"/>
        <w:keepNext w:val="0"/>
        <w:keepLines w:val="0"/>
        <w:pageBreakBefore w:val="0"/>
        <w:kinsoku/>
        <w:wordWrap/>
        <w:overflowPunct/>
        <w:topLinePunct w:val="0"/>
        <w:bidi w:val="0"/>
        <w:snapToGrid/>
        <w:spacing w:beforeAutospacing="0" w:line="360" w:lineRule="auto"/>
        <w:ind w:firstLine="0" w:firstLineChars="0"/>
        <w:textAlignment w:val="auto"/>
        <w:rPr>
          <w:rFonts w:cs="宋体"/>
          <w:b/>
          <w:color w:val="auto"/>
          <w:highlight w:val="none"/>
        </w:rPr>
      </w:pPr>
      <w:r>
        <w:rPr>
          <w:rFonts w:hint="eastAsia" w:cs="宋体"/>
          <w:b/>
          <w:color w:val="auto"/>
          <w:highlight w:val="none"/>
        </w:rPr>
        <w:t>30.验收</w:t>
      </w:r>
    </w:p>
    <w:p>
      <w:pPr>
        <w:keepNext w:val="0"/>
        <w:keepLines w:val="0"/>
        <w:pageBreakBefore w:val="0"/>
        <w:tabs>
          <w:tab w:val="left" w:pos="0"/>
        </w:tabs>
        <w:kinsoku/>
        <w:wordWrap/>
        <w:overflowPunct/>
        <w:topLinePunct w:val="0"/>
        <w:bidi w:val="0"/>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napToGrid/>
        <w:spacing w:beforeAutospacing="0" w:line="360" w:lineRule="auto"/>
        <w:ind w:firstLine="480"/>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pPr>
        <w:pStyle w:val="2"/>
        <w:rPr>
          <w:rFonts w:ascii="宋体" w:hAnsi="宋体" w:cs="宋体"/>
          <w:color w:val="auto"/>
          <w:kern w:val="0"/>
          <w:sz w:val="24"/>
          <w:highlight w:val="none"/>
        </w:rPr>
      </w:pPr>
      <w:bookmarkStart w:id="12" w:name="_Hlt74707468"/>
      <w:bookmarkEnd w:id="12"/>
      <w:bookmarkStart w:id="13" w:name="_Hlt68072998"/>
      <w:bookmarkEnd w:id="13"/>
      <w:bookmarkStart w:id="14" w:name="_Hlt74714665"/>
      <w:bookmarkEnd w:id="14"/>
      <w:bookmarkStart w:id="15" w:name="_Hlt74730295"/>
      <w:bookmarkEnd w:id="15"/>
      <w:bookmarkStart w:id="16" w:name="_Hlt68073093"/>
      <w:bookmarkEnd w:id="16"/>
      <w:bookmarkStart w:id="17" w:name="_Hlt74729768"/>
      <w:bookmarkEnd w:id="17"/>
      <w:bookmarkStart w:id="18" w:name="_Hlt68072990"/>
      <w:bookmarkEnd w:id="18"/>
      <w:bookmarkStart w:id="19" w:name="_Hlt68403820"/>
      <w:bookmarkEnd w:id="19"/>
      <w:bookmarkStart w:id="20" w:name="_Hlt75236011"/>
      <w:bookmarkEnd w:id="20"/>
      <w:bookmarkStart w:id="21" w:name="_Hlt75236290"/>
      <w:bookmarkEnd w:id="21"/>
      <w:bookmarkStart w:id="22" w:name="_Hlt68057669"/>
      <w:bookmarkEnd w:id="22"/>
      <w:bookmarkStart w:id="23" w:name="_Hlt75236101"/>
      <w:bookmarkEnd w:id="23"/>
    </w:p>
    <w:p>
      <w:pPr>
        <w:pStyle w:val="3"/>
        <w:sectPr>
          <w:footerReference r:id="rId9" w:type="first"/>
          <w:footerReference r:id="rId8" w:type="default"/>
          <w:pgSz w:w="11906" w:h="16838"/>
          <w:pgMar w:top="680" w:right="1418" w:bottom="468" w:left="1418" w:header="851" w:footer="992" w:gutter="0"/>
          <w:pgNumType w:start="1"/>
          <w:cols w:space="720" w:num="1"/>
          <w:titlePg/>
          <w:docGrid w:linePitch="312" w:charSpace="0"/>
        </w:sectPr>
      </w:pPr>
    </w:p>
    <w:bookmarkEnd w:id="8"/>
    <w:bookmarkEnd w:id="9"/>
    <w:p>
      <w:pPr>
        <w:spacing w:line="360" w:lineRule="auto"/>
        <w:jc w:val="center"/>
        <w:outlineLvl w:val="0"/>
        <w:rPr>
          <w:rFonts w:ascii="宋体" w:hAnsi="宋体" w:cs="宋体"/>
          <w:b/>
          <w:color w:val="auto"/>
          <w:sz w:val="36"/>
          <w:szCs w:val="36"/>
          <w:highlight w:val="none"/>
        </w:rPr>
      </w:pPr>
      <w:bookmarkStart w:id="24" w:name="_Toc24290"/>
      <w:bookmarkStart w:id="25" w:name="第四部分"/>
      <w:r>
        <w:rPr>
          <w:rFonts w:hint="eastAsia" w:ascii="宋体" w:hAnsi="宋体" w:cs="宋体"/>
          <w:b/>
          <w:color w:val="auto"/>
          <w:sz w:val="36"/>
          <w:szCs w:val="36"/>
          <w:highlight w:val="none"/>
        </w:rPr>
        <w:t>第三部分 采购需求</w:t>
      </w:r>
      <w:bookmarkEnd w:id="24"/>
    </w:p>
    <w:p>
      <w:pPr>
        <w:widowControl/>
        <w:adjustRightInd/>
        <w:spacing w:line="360" w:lineRule="auto"/>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rPr>
        <w:t>一、重要商务要求一览表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487"/>
        <w:gridCol w:w="67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第一部分 招标公告</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服务地点</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宁波市范围内采购人指定地点。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1、设计费：</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（1）在合同签订生效及具备实施条件后7个工作日内，支付设计费合同总价的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（2）施工图完成并通过审查后，7个工作日内支付至设计费合同总价的80%；</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（3）待整个项目竣工验收合格后，7个工作日内支付至设计费合同总价的100%。</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2、布展费：</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（1）在合同签订生效及具备实施条件后7个工作日内，7个工作日内支付布展费合同总价的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（2）开始布展（制作）后，7个工作日内支付至布展合同总价的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（3）布展安装施工预验收合格后，7个工作日内支付至布展合同总价的</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spacing w:line="24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（4）待整个项目竣工验收合格后，7个工作日内支付至项目结算审定价的</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1、履约保证金金额：合同金额的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%，于合同签订后</w:t>
            </w:r>
            <w:r>
              <w:rPr>
                <w:rFonts w:hint="eastAsia" w:ascii="宋体" w:hAnsi="宋体" w:eastAsia="宋体" w:cs="宋体"/>
                <w:sz w:val="24"/>
                <w:szCs w:val="24"/>
                <w:highlight w:val="none"/>
                <w:lang w:val="en-US" w:eastAsia="zh-CN"/>
              </w:rPr>
              <w:t>7个工作日内</w:t>
            </w:r>
            <w:r>
              <w:rPr>
                <w:rFonts w:hint="eastAsia" w:ascii="宋体" w:hAnsi="宋体" w:eastAsia="宋体" w:cs="宋体"/>
                <w:sz w:val="24"/>
                <w:szCs w:val="24"/>
                <w:highlight w:val="none"/>
              </w:rPr>
              <w:t>支付；</w:t>
            </w:r>
          </w:p>
          <w:p>
            <w:pPr>
              <w:keepNext w:val="0"/>
              <w:keepLines w:val="0"/>
              <w:pageBreakBefore w:val="0"/>
              <w:widowControl w:val="0"/>
              <w:kinsoku/>
              <w:wordWrap/>
              <w:overflowPunct/>
              <w:topLinePunct w:val="0"/>
              <w:bidi w:val="0"/>
              <w:snapToGrid/>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2、履约保证金形式：现金、银行汇票（电汇）、银行保函、保险保单或支票（仅限于使用宁波大市区范围内的银行开具的支票）等形式；</w:t>
            </w:r>
          </w:p>
          <w:p>
            <w:pPr>
              <w:keepNext w:val="0"/>
              <w:keepLines w:val="0"/>
              <w:pageBreakBefore w:val="0"/>
              <w:widowControl w:val="0"/>
              <w:kinsoku/>
              <w:wordWrap/>
              <w:overflowPunct/>
              <w:topLinePunct w:val="0"/>
              <w:bidi w:val="0"/>
              <w:snapToGrid/>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3、担保收件人：采购人；</w:t>
            </w:r>
          </w:p>
          <w:p>
            <w:pPr>
              <w:keepNext w:val="0"/>
              <w:keepLines w:val="0"/>
              <w:pageBreakBefore w:val="0"/>
              <w:widowControl w:val="0"/>
              <w:kinsoku/>
              <w:wordWrap/>
              <w:overflowPunct/>
              <w:topLinePunct w:val="0"/>
              <w:bidi w:val="0"/>
              <w:adjustRightInd/>
              <w:snapToGrid/>
              <w:spacing w:line="240" w:lineRule="auto"/>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4、履约保证金的退取：项目全部验收合格并且工程竣工资料和结算资料按要求提交后，根据实际履约情况扣除相应违约金及赔偿金后七</w:t>
            </w:r>
            <w:r>
              <w:rPr>
                <w:rFonts w:hint="eastAsia" w:ascii="宋体" w:hAnsi="宋体" w:eastAsia="宋体" w:cs="宋体"/>
                <w:sz w:val="24"/>
                <w:szCs w:val="24"/>
                <w:lang w:val="en-US" w:eastAsia="zh-CN"/>
              </w:rPr>
              <w:t>个工作日</w:t>
            </w:r>
            <w:r>
              <w:rPr>
                <w:rFonts w:hint="eastAsia" w:ascii="宋体" w:hAnsi="宋体" w:eastAsia="宋体" w:cs="宋体"/>
                <w:sz w:val="24"/>
                <w:szCs w:val="24"/>
              </w:rPr>
              <w:t>内无息退还履约保证金（如供应商未能履行合同规定的任何义务，采购人有权从履约保证金中进行相应款项的扣除，对不足部分有权追偿）。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质保期</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1、质保期不少于2年，时间从采购人验收合格之日起计算。质保期内因不能排除的故障而影响工作的情况每发生一次，其质保期相应延长60天，质保期内因产品本身缺陷（非人为因素）造成各种故障应由供应商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免费技术服务和维修。</w:t>
            </w:r>
          </w:p>
          <w:p>
            <w:pPr>
              <w:keepNext w:val="0"/>
              <w:keepLines w:val="0"/>
              <w:pageBreakBefore w:val="0"/>
              <w:widowControl w:val="0"/>
              <w:kinsoku/>
              <w:wordWrap/>
              <w:overflowPunct/>
              <w:topLinePunct w:val="0"/>
              <w:autoSpaceDE/>
              <w:autoSpaceDN/>
              <w:bidi w:val="0"/>
              <w:adjustRightInd/>
              <w:snapToGrid/>
              <w:spacing w:line="264"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2、质保期内供应商须免费负责修理和替换任何由于配件自身的质量问题造成的损坏。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免费维修的响应期限</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中标人</w:t>
            </w:r>
            <w:r>
              <w:rPr>
                <w:rFonts w:hint="eastAsia" w:ascii="宋体" w:hAnsi="宋体" w:eastAsia="宋体" w:cs="宋体"/>
                <w:sz w:val="24"/>
                <w:szCs w:val="24"/>
              </w:rPr>
              <w:t>收到</w:t>
            </w:r>
            <w:r>
              <w:rPr>
                <w:rFonts w:hint="eastAsia" w:ascii="宋体" w:hAnsi="宋体" w:eastAsia="宋体" w:cs="宋体"/>
                <w:sz w:val="24"/>
                <w:szCs w:val="24"/>
                <w:lang w:val="en-US" w:eastAsia="zh-CN"/>
              </w:rPr>
              <w:t>采购人</w:t>
            </w:r>
            <w:r>
              <w:rPr>
                <w:rFonts w:hint="eastAsia" w:ascii="宋体" w:hAnsi="宋体" w:eastAsia="宋体" w:cs="宋体"/>
                <w:sz w:val="24"/>
                <w:szCs w:val="24"/>
              </w:rPr>
              <w:t>通知后2小时内响应，</w:t>
            </w:r>
            <w:r>
              <w:rPr>
                <w:rFonts w:hint="eastAsia" w:ascii="宋体" w:hAnsi="宋体" w:eastAsia="宋体" w:cs="宋体"/>
                <w:sz w:val="24"/>
                <w:szCs w:val="24"/>
                <w:lang w:val="en-US" w:eastAsia="zh-CN"/>
              </w:rPr>
              <w:t>4</w:t>
            </w:r>
            <w:r>
              <w:rPr>
                <w:rFonts w:hint="eastAsia" w:ascii="宋体" w:hAnsi="宋体" w:eastAsia="宋体" w:cs="宋体"/>
                <w:sz w:val="24"/>
                <w:szCs w:val="24"/>
              </w:rPr>
              <w:t>小时内派技术人员赶到现场进行修复，若8小时内无法修复，</w:t>
            </w:r>
            <w:r>
              <w:rPr>
                <w:rFonts w:hint="eastAsia" w:ascii="宋体" w:hAnsi="宋体" w:eastAsia="宋体" w:cs="宋体"/>
                <w:sz w:val="24"/>
                <w:szCs w:val="24"/>
                <w:lang w:val="en-US" w:eastAsia="zh-CN"/>
              </w:rPr>
              <w:t>中标人</w:t>
            </w:r>
            <w:r>
              <w:rPr>
                <w:rFonts w:hint="eastAsia" w:ascii="宋体" w:hAnsi="宋体" w:eastAsia="宋体" w:cs="宋体"/>
                <w:sz w:val="24"/>
                <w:szCs w:val="24"/>
              </w:rPr>
              <w:t>需提供书面的故障报告，并告知</w:t>
            </w:r>
            <w:r>
              <w:rPr>
                <w:rFonts w:hint="eastAsia" w:ascii="宋体" w:hAnsi="宋体" w:eastAsia="宋体" w:cs="宋体"/>
                <w:sz w:val="24"/>
                <w:szCs w:val="24"/>
                <w:lang w:val="en-US" w:eastAsia="zh-CN"/>
              </w:rPr>
              <w:t>采购人</w:t>
            </w:r>
            <w:r>
              <w:rPr>
                <w:rFonts w:hint="eastAsia" w:ascii="宋体" w:hAnsi="宋体" w:eastAsia="宋体" w:cs="宋体"/>
                <w:sz w:val="24"/>
                <w:szCs w:val="24"/>
              </w:rPr>
              <w:t>修复时间。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补偿金</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rPr>
              <w:t>对</w:t>
            </w:r>
            <w:r>
              <w:rPr>
                <w:rFonts w:hint="eastAsia" w:ascii="宋体" w:hAnsi="宋体" w:eastAsia="宋体" w:cs="宋体"/>
                <w:kern w:val="2"/>
                <w:sz w:val="24"/>
                <w:szCs w:val="24"/>
                <w:highlight w:val="none"/>
                <w:lang w:val="en-US" w:eastAsia="zh-CN"/>
              </w:rPr>
              <w:t>供应商</w:t>
            </w:r>
            <w:r>
              <w:rPr>
                <w:rFonts w:hint="eastAsia" w:ascii="宋体" w:hAnsi="宋体" w:eastAsia="宋体" w:cs="宋体"/>
                <w:kern w:val="2"/>
                <w:sz w:val="24"/>
                <w:szCs w:val="24"/>
                <w:highlight w:val="none"/>
              </w:rPr>
              <w:t>有效且达到招标文件要求深度的未中标方案，</w:t>
            </w:r>
            <w:r>
              <w:rPr>
                <w:rFonts w:hint="eastAsia" w:ascii="宋体" w:hAnsi="宋体" w:eastAsia="宋体" w:cs="宋体"/>
                <w:kern w:val="2"/>
                <w:sz w:val="24"/>
                <w:szCs w:val="24"/>
                <w:highlight w:val="none"/>
                <w:lang w:val="en-US" w:eastAsia="zh-CN"/>
              </w:rPr>
              <w:t>采购人</w:t>
            </w:r>
            <w:r>
              <w:rPr>
                <w:rFonts w:hint="eastAsia" w:ascii="宋体" w:hAnsi="宋体" w:eastAsia="宋体" w:cs="宋体"/>
                <w:kern w:val="2"/>
                <w:sz w:val="24"/>
                <w:szCs w:val="24"/>
                <w:highlight w:val="none"/>
              </w:rPr>
              <w:t>将给予一定的经济补偿。根据</w:t>
            </w:r>
            <w:r>
              <w:rPr>
                <w:rFonts w:hint="eastAsia" w:ascii="宋体" w:hAnsi="宋体" w:eastAsia="宋体" w:cs="宋体"/>
                <w:kern w:val="2"/>
                <w:sz w:val="24"/>
                <w:szCs w:val="24"/>
                <w:highlight w:val="none"/>
                <w:lang w:val="en-US" w:eastAsia="zh-CN"/>
              </w:rPr>
              <w:t>供应商</w:t>
            </w:r>
            <w:r>
              <w:rPr>
                <w:rFonts w:hint="eastAsia" w:ascii="宋体" w:hAnsi="宋体" w:eastAsia="宋体" w:cs="宋体"/>
                <w:kern w:val="2"/>
                <w:sz w:val="24"/>
                <w:szCs w:val="24"/>
                <w:highlight w:val="none"/>
              </w:rPr>
              <w:t>的总得分从高到低排序，排名第二</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三、四</w:t>
            </w:r>
            <w:r>
              <w:rPr>
                <w:rFonts w:hint="eastAsia" w:ascii="宋体" w:hAnsi="宋体" w:cs="宋体"/>
                <w:kern w:val="2"/>
                <w:sz w:val="24"/>
                <w:szCs w:val="24"/>
                <w:highlight w:val="none"/>
                <w:lang w:val="en-US" w:eastAsia="zh-CN"/>
              </w:rPr>
              <w:t>、五</w:t>
            </w:r>
            <w:r>
              <w:rPr>
                <w:rFonts w:hint="eastAsia" w:ascii="宋体" w:hAnsi="宋体" w:eastAsia="宋体" w:cs="宋体"/>
                <w:kern w:val="2"/>
                <w:sz w:val="24"/>
                <w:szCs w:val="24"/>
                <w:highlight w:val="none"/>
              </w:rPr>
              <w:t>的</w:t>
            </w:r>
            <w:r>
              <w:rPr>
                <w:rFonts w:hint="eastAsia" w:ascii="宋体" w:hAnsi="宋体" w:eastAsia="宋体" w:cs="宋体"/>
                <w:kern w:val="2"/>
                <w:sz w:val="24"/>
                <w:szCs w:val="24"/>
                <w:highlight w:val="none"/>
                <w:lang w:val="en-US" w:eastAsia="zh-CN"/>
              </w:rPr>
              <w:t>供应商</w:t>
            </w:r>
            <w:r>
              <w:rPr>
                <w:rFonts w:hint="eastAsia" w:ascii="宋体" w:hAnsi="宋体" w:eastAsia="宋体" w:cs="宋体"/>
                <w:kern w:val="2"/>
                <w:sz w:val="24"/>
                <w:szCs w:val="24"/>
                <w:highlight w:val="none"/>
              </w:rPr>
              <w:t>补偿金额</w:t>
            </w:r>
            <w:r>
              <w:rPr>
                <w:rFonts w:hint="eastAsia" w:ascii="宋体" w:hAnsi="宋体" w:eastAsia="宋体" w:cs="宋体"/>
                <w:kern w:val="2"/>
                <w:sz w:val="24"/>
                <w:szCs w:val="24"/>
                <w:highlight w:val="none"/>
                <w:lang w:val="en-US" w:eastAsia="zh-CN"/>
              </w:rPr>
              <w:t>10000</w:t>
            </w:r>
            <w:r>
              <w:rPr>
                <w:rFonts w:hint="eastAsia" w:ascii="宋体" w:hAnsi="宋体" w:eastAsia="宋体" w:cs="宋体"/>
                <w:kern w:val="2"/>
                <w:sz w:val="24"/>
                <w:szCs w:val="24"/>
                <w:highlight w:val="none"/>
              </w:rPr>
              <w:t>元，其余</w:t>
            </w:r>
            <w:r>
              <w:rPr>
                <w:rFonts w:hint="eastAsia" w:ascii="宋体" w:hAnsi="宋体" w:eastAsia="宋体" w:cs="宋体"/>
                <w:kern w:val="2"/>
                <w:sz w:val="24"/>
                <w:szCs w:val="24"/>
                <w:highlight w:val="none"/>
                <w:lang w:val="en-US" w:eastAsia="zh-CN"/>
              </w:rPr>
              <w:t>供应商</w:t>
            </w:r>
            <w:r>
              <w:rPr>
                <w:rFonts w:hint="eastAsia" w:ascii="宋体" w:hAnsi="宋体" w:eastAsia="宋体" w:cs="宋体"/>
                <w:kern w:val="2"/>
                <w:sz w:val="24"/>
                <w:szCs w:val="24"/>
                <w:highlight w:val="none"/>
              </w:rPr>
              <w:t>无补偿（如第一中标候选人放弃中标，或不能履行合同，或未在规定期限内提交履约保证金，或自身在投标过程中存在弄虚作假以不正当手段谋取中标经查实的，在投标有效期或延长的投标有效期内</w:t>
            </w:r>
            <w:r>
              <w:rPr>
                <w:rFonts w:hint="eastAsia" w:ascii="宋体" w:hAnsi="宋体" w:eastAsia="宋体" w:cs="宋体"/>
                <w:kern w:val="2"/>
                <w:sz w:val="24"/>
                <w:szCs w:val="24"/>
                <w:highlight w:val="none"/>
                <w:lang w:val="en-US" w:eastAsia="zh-CN"/>
              </w:rPr>
              <w:t>采购人</w:t>
            </w:r>
            <w:r>
              <w:rPr>
                <w:rFonts w:hint="eastAsia" w:ascii="宋体" w:hAnsi="宋体" w:eastAsia="宋体" w:cs="宋体"/>
                <w:kern w:val="2"/>
                <w:sz w:val="24"/>
                <w:szCs w:val="24"/>
                <w:highlight w:val="none"/>
              </w:rPr>
              <w:t>可以确定第二中标候选人为中标人，以此类推。若第二中标候选人中标，招标人将不再支付其补偿金，已支付的补偿金招标人可在其他应付款中扣除或要求返还；补偿金由</w:t>
            </w:r>
            <w:r>
              <w:rPr>
                <w:rFonts w:hint="eastAsia" w:ascii="宋体" w:hAnsi="宋体" w:eastAsia="宋体" w:cs="宋体"/>
                <w:kern w:val="2"/>
                <w:sz w:val="24"/>
                <w:szCs w:val="24"/>
                <w:highlight w:val="none"/>
                <w:lang w:val="en-US" w:eastAsia="zh-CN"/>
              </w:rPr>
              <w:t>采购人额外支付相应供应商，不包含在本项目最高限价中。</w:t>
            </w:r>
            <w:r>
              <w:rPr>
                <w:rFonts w:hint="eastAsia" w:ascii="宋体" w:hAnsi="宋体" w:eastAsia="宋体" w:cs="宋体"/>
                <w:kern w:val="2"/>
                <w:sz w:val="24"/>
                <w:szCs w:val="24"/>
                <w:highlight w:val="none"/>
              </w:rPr>
              <w:t>）。对参加本项目投标的所有单位，投标文件中提交的设计方案的知识产权均归</w:t>
            </w:r>
            <w:r>
              <w:rPr>
                <w:rFonts w:hint="eastAsia" w:ascii="宋体" w:hAnsi="宋体" w:eastAsia="宋体" w:cs="宋体"/>
                <w:kern w:val="2"/>
                <w:sz w:val="24"/>
                <w:szCs w:val="24"/>
                <w:highlight w:val="none"/>
                <w:lang w:val="en-US" w:eastAsia="zh-CN"/>
              </w:rPr>
              <w:t>采购人</w:t>
            </w:r>
            <w:r>
              <w:rPr>
                <w:rFonts w:hint="eastAsia" w:ascii="宋体" w:hAnsi="宋体" w:eastAsia="宋体" w:cs="宋体"/>
                <w:kern w:val="2"/>
                <w:sz w:val="24"/>
                <w:szCs w:val="24"/>
                <w:highlight w:val="none"/>
              </w:rPr>
              <w:t>所有，</w:t>
            </w:r>
            <w:r>
              <w:rPr>
                <w:rFonts w:hint="eastAsia" w:ascii="宋体" w:hAnsi="宋体" w:eastAsia="宋体" w:cs="宋体"/>
                <w:kern w:val="2"/>
                <w:sz w:val="24"/>
                <w:szCs w:val="24"/>
                <w:highlight w:val="none"/>
                <w:lang w:val="en-US" w:eastAsia="zh-CN"/>
              </w:rPr>
              <w:t>采购人</w:t>
            </w:r>
            <w:r>
              <w:rPr>
                <w:rFonts w:hint="eastAsia" w:ascii="宋体" w:hAnsi="宋体" w:eastAsia="宋体" w:cs="宋体"/>
                <w:kern w:val="2"/>
                <w:sz w:val="24"/>
                <w:szCs w:val="24"/>
                <w:highlight w:val="none"/>
              </w:rPr>
              <w:t>可以采纳所有投标</w:t>
            </w:r>
            <w:r>
              <w:rPr>
                <w:rFonts w:hint="eastAsia" w:ascii="宋体" w:hAnsi="宋体" w:eastAsia="宋体" w:cs="宋体"/>
                <w:kern w:val="2"/>
                <w:sz w:val="24"/>
                <w:szCs w:val="24"/>
                <w:highlight w:val="none"/>
                <w:lang w:val="en-US" w:eastAsia="zh-CN"/>
              </w:rPr>
              <w:t>供应商</w:t>
            </w:r>
            <w:r>
              <w:rPr>
                <w:rFonts w:hint="eastAsia" w:ascii="宋体" w:hAnsi="宋体" w:eastAsia="宋体" w:cs="宋体"/>
                <w:kern w:val="2"/>
                <w:sz w:val="24"/>
                <w:szCs w:val="24"/>
                <w:highlight w:val="none"/>
              </w:rPr>
              <w:t>的方案设计，不再另行支付费用。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contextualSpacing/>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其他说明</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pPr>
              <w:keepNext w:val="0"/>
              <w:keepLines w:val="0"/>
              <w:pageBreakBefore w:val="0"/>
              <w:widowControl w:val="0"/>
              <w:kinsoku/>
              <w:wordWrap/>
              <w:overflowPunct/>
              <w:topLinePunct w:val="0"/>
              <w:autoSpaceDE/>
              <w:autoSpaceDN/>
              <w:bidi w:val="0"/>
              <w:adjustRightInd/>
              <w:snapToGrid/>
              <w:spacing w:line="264"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供应商应对投标材料的一切专利等知识产权承担责任，并负责保护采购人的利益不受损害；一切由于文字、商标和技术专利侵权引起的法律裁决、诉讼及其费用均与采购人无关，若因此造成采购人损害的，责任供应商应予赔偿。</w:t>
            </w:r>
          </w:p>
        </w:tc>
      </w:tr>
    </w:tbl>
    <w:p>
      <w:pPr>
        <w:widowControl/>
        <w:adjustRightInd/>
        <w:spacing w:line="360" w:lineRule="auto"/>
        <w:jc w:val="left"/>
        <w:outlineLvl w:val="1"/>
        <w:rPr>
          <w:rFonts w:hint="eastAsia" w:ascii="宋体" w:hAnsi="宋体" w:cs="宋体"/>
          <w:b/>
          <w:color w:val="auto"/>
          <w:kern w:val="0"/>
          <w:sz w:val="24"/>
          <w:highlight w:val="none"/>
        </w:rPr>
      </w:pPr>
    </w:p>
    <w:p>
      <w:pPr>
        <w:widowControl/>
        <w:adjustRightInd/>
        <w:spacing w:line="360" w:lineRule="auto"/>
        <w:jc w:val="left"/>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w:t>
      </w:r>
      <w:r>
        <w:rPr>
          <w:rFonts w:hint="eastAsia" w:ascii="宋体" w:hAnsi="宋体" w:eastAsia="宋体" w:cs="宋体"/>
          <w:b/>
          <w:color w:val="auto"/>
          <w:kern w:val="0"/>
          <w:sz w:val="24"/>
          <w:szCs w:val="24"/>
          <w:highlight w:val="none"/>
          <w:lang w:val="en-US" w:eastAsia="zh-CN"/>
        </w:rPr>
        <w:t>招标范围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val="0"/>
          <w:bCs/>
          <w:color w:val="auto"/>
          <w:sz w:val="24"/>
          <w:szCs w:val="24"/>
          <w:highlight w:val="none"/>
        </w:rPr>
        <w:t>天一阁博物院</w:t>
      </w:r>
      <w:r>
        <w:rPr>
          <w:rFonts w:hint="eastAsia" w:ascii="宋体" w:hAnsi="宋体" w:eastAsia="宋体" w:cs="宋体"/>
          <w:b w:val="0"/>
          <w:bCs/>
          <w:color w:val="auto"/>
          <w:sz w:val="24"/>
          <w:szCs w:val="24"/>
          <w:highlight w:val="none"/>
          <w:lang w:eastAsia="zh-CN"/>
        </w:rPr>
        <w:t>秦氏支祠区域展陈的概念设计、动线规划、编制项目预算、深化设计、施工图设计、弱电系统设计与施工、标识系统设计、环境设计、</w:t>
      </w:r>
      <w:r>
        <w:rPr>
          <w:rFonts w:hint="eastAsia" w:ascii="宋体" w:hAnsi="宋体" w:eastAsia="宋体" w:cs="宋体"/>
          <w:spacing w:val="10"/>
          <w:sz w:val="24"/>
          <w:szCs w:val="24"/>
          <w:highlight w:val="none"/>
          <w:lang w:val="en-US" w:eastAsia="zh-CN"/>
        </w:rPr>
        <w:t>布展</w:t>
      </w:r>
      <w:r>
        <w:rPr>
          <w:rFonts w:hint="eastAsia" w:ascii="宋体" w:hAnsi="宋体" w:eastAsia="宋体" w:cs="宋体"/>
          <w:b w:val="0"/>
          <w:bCs/>
          <w:color w:val="auto"/>
          <w:sz w:val="24"/>
          <w:szCs w:val="24"/>
          <w:highlight w:val="none"/>
        </w:rPr>
        <w:t>施工</w:t>
      </w:r>
      <w:r>
        <w:rPr>
          <w:rFonts w:hint="eastAsia" w:ascii="宋体" w:hAnsi="宋体" w:eastAsia="宋体" w:cs="宋体"/>
          <w:b w:val="0"/>
          <w:bCs/>
          <w:color w:val="auto"/>
          <w:sz w:val="24"/>
          <w:szCs w:val="24"/>
          <w:highlight w:val="none"/>
          <w:lang w:eastAsia="zh-CN"/>
        </w:rPr>
        <w:t>等</w:t>
      </w:r>
      <w:r>
        <w:rPr>
          <w:rFonts w:hint="eastAsia" w:ascii="宋体" w:hAnsi="宋体" w:eastAsia="宋体" w:cs="宋体"/>
          <w:b w:val="0"/>
          <w:bCs/>
          <w:color w:val="auto"/>
          <w:sz w:val="24"/>
          <w:szCs w:val="24"/>
          <w:highlight w:val="none"/>
        </w:rPr>
        <w:t>与陈列相关的各项配套设计与施工</w:t>
      </w:r>
      <w:r>
        <w:rPr>
          <w:rFonts w:hint="eastAsia" w:ascii="宋体" w:hAnsi="宋体" w:eastAsia="宋体" w:cs="宋体"/>
          <w:b w:val="0"/>
          <w:bCs/>
          <w:color w:val="auto"/>
          <w:sz w:val="24"/>
          <w:szCs w:val="24"/>
          <w:highlight w:val="none"/>
          <w:lang w:eastAsia="zh-CN"/>
        </w:rPr>
        <w:t>组织实施</w:t>
      </w:r>
      <w:r>
        <w:rPr>
          <w:rFonts w:hint="eastAsia" w:ascii="宋体" w:hAnsi="宋体" w:eastAsia="宋体" w:cs="宋体"/>
          <w:b w:val="0"/>
          <w:bCs/>
          <w:color w:val="auto"/>
          <w:sz w:val="24"/>
          <w:szCs w:val="24"/>
          <w:highlight w:val="none"/>
        </w:rPr>
        <w:t>，包括（但不限于）：</w:t>
      </w:r>
      <w:r>
        <w:rPr>
          <w:rFonts w:hint="eastAsia" w:ascii="宋体" w:hAnsi="宋体" w:eastAsia="宋体" w:cs="宋体"/>
          <w:b w:val="0"/>
          <w:bCs/>
          <w:color w:val="auto"/>
          <w:sz w:val="24"/>
          <w:szCs w:val="24"/>
          <w:highlight w:val="none"/>
          <w:lang w:eastAsia="zh-CN"/>
        </w:rPr>
        <w:t>展柜定制、</w:t>
      </w:r>
      <w:r>
        <w:rPr>
          <w:rFonts w:hint="eastAsia" w:ascii="宋体" w:hAnsi="宋体" w:eastAsia="宋体" w:cs="宋体"/>
          <w:b w:val="0"/>
          <w:bCs/>
          <w:color w:val="auto"/>
          <w:sz w:val="24"/>
          <w:szCs w:val="24"/>
          <w:highlight w:val="none"/>
        </w:rPr>
        <w:t>艺术品创作、场景创作、文物（文献）复制、</w:t>
      </w:r>
      <w:r>
        <w:rPr>
          <w:rFonts w:hint="eastAsia" w:ascii="宋体" w:hAnsi="宋体" w:eastAsia="宋体" w:cs="宋体"/>
          <w:b w:val="0"/>
          <w:bCs/>
          <w:color w:val="auto"/>
          <w:sz w:val="24"/>
          <w:szCs w:val="24"/>
          <w:highlight w:val="none"/>
          <w:lang w:eastAsia="zh-CN"/>
        </w:rPr>
        <w:t>展品复制、建筑维护、</w:t>
      </w:r>
      <w:r>
        <w:rPr>
          <w:rFonts w:hint="eastAsia" w:ascii="宋体" w:hAnsi="宋体" w:eastAsia="宋体" w:cs="宋体"/>
          <w:b w:val="0"/>
          <w:bCs/>
          <w:color w:val="auto"/>
          <w:sz w:val="24"/>
          <w:szCs w:val="24"/>
          <w:highlight w:val="none"/>
        </w:rPr>
        <w:t>公共空间的改造设计与施工</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包含后大殿西侧空地</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、展览区域内照明系统的设计与施工</w:t>
      </w:r>
      <w:r>
        <w:rPr>
          <w:rFonts w:hint="eastAsia" w:ascii="宋体" w:hAnsi="宋体" w:eastAsia="宋体" w:cs="宋体"/>
          <w:b w:val="0"/>
          <w:bCs/>
          <w:color w:val="auto"/>
          <w:sz w:val="24"/>
          <w:szCs w:val="24"/>
          <w:highlight w:val="none"/>
          <w:lang w:eastAsia="zh-CN"/>
        </w:rPr>
        <w:t>、数字及多媒体系统设计运用</w:t>
      </w:r>
      <w:r>
        <w:rPr>
          <w:rFonts w:hint="eastAsia" w:ascii="宋体" w:hAnsi="宋体" w:eastAsia="宋体" w:cs="宋体"/>
          <w:b w:val="0"/>
          <w:bCs/>
          <w:color w:val="auto"/>
          <w:sz w:val="24"/>
          <w:szCs w:val="24"/>
          <w:highlight w:val="none"/>
          <w:u w:val="none"/>
          <w:lang w:eastAsia="zh-CN"/>
        </w:rPr>
        <w:t>（含控制系统和“虚华实境”、“百子嬉戏图”、“把</w:t>
      </w:r>
      <w:r>
        <w:rPr>
          <w:rFonts w:hint="eastAsia" w:ascii="宋体" w:hAnsi="宋体" w:eastAsia="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lang w:eastAsia="zh-CN"/>
        </w:rPr>
        <w:t>我</w:t>
      </w:r>
      <w:r>
        <w:rPr>
          <w:rFonts w:hint="eastAsia" w:ascii="宋体" w:hAnsi="宋体" w:eastAsia="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lang w:eastAsia="zh-CN"/>
        </w:rPr>
        <w:t>的家谱带回家”等数字装置）</w:t>
      </w:r>
      <w:r>
        <w:rPr>
          <w:rFonts w:hint="eastAsia" w:ascii="宋体" w:hAnsi="宋体" w:eastAsia="宋体" w:cs="宋体"/>
          <w:b w:val="0"/>
          <w:bCs/>
          <w:color w:val="auto"/>
          <w:sz w:val="24"/>
          <w:szCs w:val="24"/>
          <w:highlight w:val="none"/>
        </w:rPr>
        <w:t>以及为完成</w:t>
      </w:r>
      <w:r>
        <w:rPr>
          <w:rFonts w:hint="eastAsia" w:ascii="宋体" w:hAnsi="宋体" w:eastAsia="宋体" w:cs="宋体"/>
          <w:b w:val="0"/>
          <w:bCs/>
          <w:color w:val="auto"/>
          <w:sz w:val="24"/>
          <w:szCs w:val="24"/>
          <w:highlight w:val="none"/>
          <w:lang w:eastAsia="zh-CN"/>
        </w:rPr>
        <w:t>该项目</w:t>
      </w:r>
      <w:r>
        <w:rPr>
          <w:rFonts w:hint="eastAsia" w:ascii="宋体" w:hAnsi="宋体" w:eastAsia="宋体" w:cs="宋体"/>
          <w:b w:val="0"/>
          <w:bCs/>
          <w:color w:val="auto"/>
          <w:sz w:val="24"/>
          <w:szCs w:val="24"/>
          <w:highlight w:val="none"/>
        </w:rPr>
        <w:t>所必须做的其他设计</w:t>
      </w:r>
      <w:r>
        <w:rPr>
          <w:rFonts w:hint="eastAsia" w:ascii="宋体" w:hAnsi="宋体" w:eastAsia="宋体" w:cs="宋体"/>
          <w:b w:val="0"/>
          <w:bCs/>
          <w:color w:val="auto"/>
          <w:sz w:val="24"/>
          <w:szCs w:val="24"/>
          <w:highlight w:val="none"/>
          <w:lang w:eastAsia="zh-CN"/>
        </w:rPr>
        <w:t>与施工</w:t>
      </w:r>
      <w:r>
        <w:rPr>
          <w:rFonts w:hint="eastAsia" w:ascii="宋体" w:hAnsi="宋体" w:eastAsia="宋体" w:cs="宋体"/>
          <w:b w:val="0"/>
          <w:bCs/>
          <w:color w:val="auto"/>
          <w:sz w:val="24"/>
          <w:szCs w:val="24"/>
          <w:highlight w:val="none"/>
        </w:rPr>
        <w:t>工作。</w:t>
      </w:r>
    </w:p>
    <w:p>
      <w:pPr>
        <w:widowControl/>
        <w:adjustRightInd/>
        <w:spacing w:line="360" w:lineRule="auto"/>
        <w:jc w:val="left"/>
        <w:outlineLvl w:val="1"/>
        <w:rPr>
          <w:rFonts w:hint="eastAsia" w:ascii="宋体" w:hAnsi="宋体" w:eastAsia="宋体" w:cs="宋体"/>
          <w:b/>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项目总体要求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根据陈列大纲,</w:t>
      </w:r>
      <w:r>
        <w:rPr>
          <w:rFonts w:hint="eastAsia" w:ascii="宋体" w:hAnsi="宋体" w:eastAsia="宋体" w:cs="宋体"/>
          <w:color w:val="auto"/>
          <w:sz w:val="24"/>
          <w:szCs w:val="24"/>
          <w:highlight w:val="none"/>
        </w:rPr>
        <w:t>对秦氏支祠进行形式设计，同时完成相应施工图纸设计，并完成布展及内部装修工作。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lang w:val="en-US" w:eastAsia="zh-CN"/>
        </w:rPr>
        <w:t>注：陈列大纲详见附件压缩包；因内容涉及学术研究成果，故对压缩包进行加密，解压密码由采购代理机构告知已在政采云平台报名的供应商。</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四、设计要求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工作范围与内容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1、设计范围：</w:t>
      </w:r>
      <w:r>
        <w:rPr>
          <w:rFonts w:hint="eastAsia" w:ascii="宋体" w:hAnsi="宋体" w:eastAsia="宋体" w:cs="宋体"/>
          <w:sz w:val="24"/>
          <w:szCs w:val="24"/>
          <w:highlight w:val="none"/>
          <w:lang w:eastAsia="zh-CN"/>
        </w:rPr>
        <w:t>秦氏支祠</w:t>
      </w:r>
      <w:r>
        <w:rPr>
          <w:rFonts w:hint="eastAsia" w:ascii="宋体" w:hAnsi="宋体" w:eastAsia="宋体" w:cs="宋体"/>
          <w:color w:val="auto"/>
          <w:sz w:val="24"/>
          <w:szCs w:val="24"/>
          <w:highlight w:val="none"/>
          <w:lang w:val="en-US" w:eastAsia="zh-CN"/>
        </w:rPr>
        <w:t>区域等</w:t>
      </w:r>
      <w:r>
        <w:rPr>
          <w:rFonts w:hint="eastAsia" w:ascii="宋体" w:hAnsi="宋体" w:eastAsia="宋体" w:cs="宋体"/>
          <w:color w:val="auto"/>
          <w:sz w:val="24"/>
          <w:szCs w:val="24"/>
          <w:highlight w:val="none"/>
        </w:rPr>
        <w:t>配套</w:t>
      </w:r>
      <w:r>
        <w:rPr>
          <w:rFonts w:hint="eastAsia" w:ascii="宋体" w:hAnsi="宋体" w:eastAsia="宋体" w:cs="宋体"/>
          <w:color w:val="auto"/>
          <w:sz w:val="24"/>
          <w:szCs w:val="24"/>
          <w:highlight w:val="none"/>
          <w:lang w:val="en-US" w:eastAsia="zh-CN"/>
        </w:rPr>
        <w:t>管理、服务</w:t>
      </w:r>
      <w:r>
        <w:rPr>
          <w:rFonts w:hint="eastAsia" w:ascii="宋体" w:hAnsi="宋体" w:eastAsia="宋体" w:cs="宋体"/>
          <w:color w:val="auto"/>
          <w:sz w:val="24"/>
          <w:szCs w:val="24"/>
          <w:highlight w:val="none"/>
        </w:rPr>
        <w:t>区域</w:t>
      </w:r>
      <w:r>
        <w:rPr>
          <w:rFonts w:hint="eastAsia" w:ascii="宋体" w:hAnsi="宋体" w:eastAsia="宋体" w:cs="宋体"/>
          <w:sz w:val="24"/>
          <w:szCs w:val="24"/>
          <w:highlight w:val="none"/>
        </w:rPr>
        <w:t>的陈列设计</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2、设计内容：包括</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概念设计和深化设计；</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施工图设计</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展示方式及手段；</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室内陈列设计风格；</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5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⑤</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数字及多媒体系统运用</w:t>
      </w:r>
      <w:r>
        <w:rPr>
          <w:rFonts w:hint="eastAsia" w:ascii="宋体" w:hAnsi="宋体" w:eastAsia="宋体" w:cs="宋体"/>
          <w:sz w:val="24"/>
          <w:szCs w:val="24"/>
          <w:highlight w:val="none"/>
          <w:lang w:eastAsia="zh-CN"/>
        </w:rPr>
        <w:t>；⑥弱电系统设计；⑦标识系统设计；⑧环境设计等。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总体要求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1、目标：保持原有建筑结构和空间布局基本不变的前提下，灵活运用先进理念、手段和方法，进行设计展陈，使之成为广受市民欢迎，且形式新颖，内容丰富的专题展馆。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2、特点及风格：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展陈形式及文化内涵保持天一阁博物馆“藏书文化”特色，主题陈列与专题陈列相互呼应，不脱离藏书文化主线，又相对独立。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陈列布局上重视建筑的本体展示与文化内涵的结合；以发展的眼光、借现代的手法来对藏书文化在特定的空间内进行生动直观的展示和阐释，并加以拓展。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w:t>
      </w:r>
      <w:r>
        <w:rPr>
          <w:rFonts w:hint="eastAsia" w:ascii="宋体" w:hAnsi="宋体" w:eastAsia="宋体" w:cs="宋体"/>
          <w:sz w:val="24"/>
          <w:szCs w:val="24"/>
          <w:highlight w:val="none"/>
          <w:lang w:eastAsia="zh-CN"/>
        </w:rPr>
        <w:t>由于展陈区域属于全国重点文物保护单位</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适当运用现代高科技展示技术辅助展示，便于游客能够直观感受。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4、运行：兼顾展馆日常运行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满足展馆预设功能的基础设备配备</w:t>
      </w:r>
      <w:r>
        <w:rPr>
          <w:rFonts w:hint="eastAsia" w:ascii="宋体" w:hAnsi="宋体" w:eastAsia="宋体" w:cs="宋体"/>
          <w:sz w:val="24"/>
          <w:szCs w:val="24"/>
          <w:lang w:eastAsia="zh-CN"/>
        </w:rPr>
        <w:t>）</w:t>
      </w:r>
      <w:r>
        <w:rPr>
          <w:rFonts w:hint="eastAsia" w:ascii="宋体" w:hAnsi="宋体" w:eastAsia="宋体" w:cs="宋体"/>
          <w:sz w:val="24"/>
          <w:szCs w:val="24"/>
        </w:rPr>
        <w:t>、后期维护的高效性、操作性和经济性需求。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主题要求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秦氏支祠区域陈列主题为“</w:t>
      </w:r>
      <w:r>
        <w:rPr>
          <w:rFonts w:hint="eastAsia" w:ascii="宋体" w:hAnsi="宋体" w:cs="宋体"/>
          <w:sz w:val="24"/>
          <w:szCs w:val="24"/>
          <w:highlight w:val="none"/>
          <w:lang w:val="en-US" w:eastAsia="zh-CN"/>
        </w:rPr>
        <w:t>根脉</w:t>
      </w:r>
      <w:r>
        <w:rPr>
          <w:rFonts w:hint="eastAsia" w:ascii="宋体" w:hAnsi="宋体" w:eastAsia="宋体" w:cs="宋体"/>
          <w:sz w:val="24"/>
          <w:szCs w:val="24"/>
          <w:highlight w:val="none"/>
          <w:lang w:eastAsia="zh-CN"/>
        </w:rPr>
        <w:t>”，展览从秦君安家族与秦氏支祠入手，展现宁波地区颖颖家风文明。</w:t>
      </w:r>
      <w:r>
        <w:rPr>
          <w:rFonts w:hint="eastAsia" w:ascii="宋体" w:hAnsi="宋体" w:eastAsia="宋体" w:cs="宋体"/>
          <w:sz w:val="24"/>
          <w:szCs w:val="24"/>
          <w:highlight w:val="none"/>
        </w:rPr>
        <w:t>设计单位根据陈列大纲，结合概念性展陈设计方案中的展陈流线、分区等内容打造相应主题的专题展馆；展示内容围绕天一阁博物馆藏书文化</w:t>
      </w:r>
      <w:r>
        <w:rPr>
          <w:rFonts w:hint="eastAsia" w:ascii="宋体" w:hAnsi="宋体" w:eastAsia="宋体" w:cs="宋体"/>
          <w:sz w:val="24"/>
          <w:szCs w:val="24"/>
          <w:highlight w:val="none"/>
          <w:lang w:eastAsia="zh-CN"/>
        </w:rPr>
        <w:t>与宁波家风文明</w:t>
      </w:r>
      <w:r>
        <w:rPr>
          <w:rFonts w:hint="eastAsia" w:ascii="宋体" w:hAnsi="宋体" w:eastAsia="宋体" w:cs="宋体"/>
          <w:sz w:val="24"/>
          <w:szCs w:val="24"/>
          <w:highlight w:val="none"/>
        </w:rPr>
        <w:t>展开，采用图片、实物、数字媒体等多种展示手段进行展示。通过展览提升群众对</w:t>
      </w:r>
      <w:r>
        <w:rPr>
          <w:rFonts w:hint="eastAsia" w:ascii="宋体" w:hAnsi="宋体" w:eastAsia="宋体" w:cs="宋体"/>
          <w:sz w:val="24"/>
          <w:szCs w:val="24"/>
          <w:highlight w:val="none"/>
          <w:lang w:eastAsia="zh-CN"/>
        </w:rPr>
        <w:t>秦氏支祠背后历史文化</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认识</w:t>
      </w:r>
      <w:r>
        <w:rPr>
          <w:rFonts w:hint="eastAsia" w:ascii="宋体" w:hAnsi="宋体" w:eastAsia="宋体" w:cs="宋体"/>
          <w:sz w:val="24"/>
          <w:szCs w:val="24"/>
          <w:highlight w:val="none"/>
        </w:rPr>
        <w:t>，激发群众对</w:t>
      </w:r>
      <w:r>
        <w:rPr>
          <w:rFonts w:hint="eastAsia" w:ascii="宋体" w:hAnsi="宋体" w:eastAsia="宋体" w:cs="宋体"/>
          <w:sz w:val="24"/>
          <w:szCs w:val="24"/>
          <w:highlight w:val="none"/>
          <w:lang w:eastAsia="zh-CN"/>
        </w:rPr>
        <w:t>中国传统文化的热爱</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内容要求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1、展区之间力求过渡自然，避免呆板分隔，保证通行线路流畅和观众安全。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2、布展形式应考虑既配合所处建筑特征，又有所创新，保证展览形式丰富性及完整性。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3、展陈设计中除实体模型、展板等传统展示手段外还可以考虑配置一定</w:t>
      </w:r>
      <w:r>
        <w:rPr>
          <w:rFonts w:hint="eastAsia" w:ascii="宋体" w:hAnsi="宋体" w:eastAsia="宋体" w:cs="宋体"/>
          <w:sz w:val="24"/>
          <w:szCs w:val="24"/>
          <w:lang w:eastAsia="zh-CN"/>
        </w:rPr>
        <w:t>的</w:t>
      </w:r>
      <w:r>
        <w:rPr>
          <w:rFonts w:hint="eastAsia" w:ascii="宋体" w:hAnsi="宋体" w:eastAsia="宋体" w:cs="宋体"/>
          <w:sz w:val="24"/>
          <w:szCs w:val="24"/>
        </w:rPr>
        <w:t>多媒体手段。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4、弱电系统设计需考虑所处建筑整体环境及展览需要。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5、标识系统设计、环境设计等内容需考虑与展陈形式的统一性与创意性。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色彩要求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展馆内部主色调定位要准确、恰当，注意于展馆所处建筑风格及天一阁整体书香文化氛围的统一。避免因色彩过于单一、平淡而导致展示效果整体乏味，降低观众参观的兴趣；同时，也应当避免因色彩过于繁杂而让观众产生视觉疲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rPr>
        <w:t>照明要求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注重光对游客参观情绪的影响。通过优化的照明组合，烘托环境气氛、创造丰富空间感和层次感，营造良好的视觉情绪氛围。展馆灯光运用，要兼顾安全、节能、环保的需求，减少后期运行维护的成本。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（1）设计必须重视文博行业的特殊工艺设计，要内外协调；满足文物在展示、教育、保护等方面的特殊要求，严格、认真执行相关规定，以及其他国家有关行业规范和规定，注重新材料、新技术的应用，为</w:t>
      </w:r>
      <w:r>
        <w:rPr>
          <w:rFonts w:hint="eastAsia" w:ascii="宋体" w:hAnsi="宋体" w:eastAsia="宋体" w:cs="宋体"/>
          <w:sz w:val="24"/>
          <w:szCs w:val="24"/>
          <w:lang w:val="en-US" w:eastAsia="zh-CN"/>
        </w:rPr>
        <w:t>天一阁</w:t>
      </w:r>
      <w:r>
        <w:rPr>
          <w:rFonts w:hint="eastAsia" w:ascii="宋体" w:hAnsi="宋体" w:eastAsia="宋体" w:cs="宋体"/>
          <w:sz w:val="24"/>
          <w:szCs w:val="24"/>
        </w:rPr>
        <w:t>的展示、收藏、保护、研究等功能的充分发挥创造条件。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陈列布展中应当强调设计的先进性。充分利用互联网技术创新展示技术，开拓传播渠道，拓宽展览受众，以满足不同层次观众的参观需求，丰富资讯和导览方式。设备和材料应采用科学、先进、适用的新技术、新工艺，主要部件及配件应采用高端配置，选用同类产品中的优质品牌。提倡绿色环保，反映可持续发展的设计理念，做到节能、经济、适用，各展项既有独立的控制单元，又可用中央控制系统进行集中控制。在满足文物展示、保护要求的同时，实现低能耗、易维护，节省运营成本。甲醛含量要符合国家卫生标准，严格杜绝装修过程中的二次污染，充分考虑材料的安全性、通用性、牢固性、美观性、标准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（3）合理分割展示空间，保持流畅的游览线路，并充分考虑观展的视觉要求。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计思路上要深入浅出，重点突出，思路清晰，表达明了，体现创意、创造和艺术。达到具有强烈的感染力、震憾性和说服力的效果。设计品位高雅，材料选择得当，色彩选配考究，线条处理协调，并且符合国家规范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）充分考虑安全性，符合公共场所安全、消防规范。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）中标人在深化设计过程中，要严格按照招标文件及合同的约定，围绕相关现场勘测资料并结合采购人及其专家的意见，进行深化设计工作。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中标人在设计过程中，接受</w:t>
      </w:r>
      <w:r>
        <w:rPr>
          <w:rFonts w:hint="eastAsia" w:ascii="宋体" w:hAnsi="宋体" w:eastAsia="宋体" w:cs="宋体"/>
          <w:sz w:val="24"/>
          <w:szCs w:val="24"/>
          <w:lang w:val="en-US" w:eastAsia="zh-CN"/>
        </w:rPr>
        <w:t>采购人</w:t>
      </w:r>
      <w:r>
        <w:rPr>
          <w:rFonts w:hint="eastAsia" w:ascii="宋体" w:hAnsi="宋体" w:eastAsia="宋体" w:cs="宋体"/>
          <w:sz w:val="24"/>
          <w:szCs w:val="24"/>
        </w:rPr>
        <w:t>的监督指导，不断完善、细化设计。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（8）展示设计方案应符合招标文件要求及国家有关规范规定。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设计深度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设计的深度应包括（但不限于以下内容）：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设计应包含基本陈列及展区环境所涉及的所有专业的施工设计图，其中包括设计说明、技术经济指标、必须的设备、材料表，其他如模型、吸音、隔音、隔热、灯光、音视频等设计，同时须说明各种设备、材料、模型等的厂家（制造商）、品牌、规格、功能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设计文件应提供展区及展示项目的平面、立面、剖面、大样、主要节点图纸、分解图、透视效果图、用料及规格、性能、技术标准、制作程序、详细的材料及其报价分析表以及其它要求的各项技术参数。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设计应包含展示项目的尺寸、形状、结构、材质、色彩、模型、技术、工艺、功能等。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设计中所包含模型、场景等需要注明材质及制作工艺。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为了实现高质量的展示，深化设计单位应用文字的形式详细叙述将如何进行深化设计，包括深化设计的顺序、方法、具体的</w:t>
      </w:r>
      <w:r>
        <w:rPr>
          <w:rFonts w:hint="eastAsia" w:ascii="宋体" w:hAnsi="宋体" w:eastAsia="宋体" w:cs="宋体"/>
          <w:sz w:val="24"/>
          <w:szCs w:val="24"/>
          <w:lang w:val="en-US" w:eastAsia="zh-CN"/>
        </w:rPr>
        <w:t>项目</w:t>
      </w:r>
      <w:r>
        <w:rPr>
          <w:rFonts w:hint="eastAsia" w:ascii="宋体" w:hAnsi="宋体" w:eastAsia="宋体" w:cs="宋体"/>
          <w:sz w:val="24"/>
          <w:szCs w:val="24"/>
        </w:rPr>
        <w:t>制作顺序以及在制作阶段（短期内）从制作到设置安装的实施办法。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本次设计必须满足最新安防规范、防火规范、消防设施设计规范及有关规定。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布展的结构完善应与展示主题以及各展项的展示设计要求相结合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五、设计成果要求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展陈策划文本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（1）展示内容和展示方式。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规划设计文本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（3）总平面图；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（4）功能布局图；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（5）参观路线图；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（6）效果示意图；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（7）施工图；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（8）导视系统设计图。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lang w:val="en-US" w:eastAsia="zh-CN"/>
        </w:rPr>
        <w:t>费用</w:t>
      </w:r>
      <w:r>
        <w:rPr>
          <w:rFonts w:hint="eastAsia" w:ascii="宋体" w:hAnsi="宋体" w:eastAsia="宋体" w:cs="宋体"/>
          <w:color w:val="auto"/>
          <w:sz w:val="24"/>
          <w:szCs w:val="24"/>
          <w:highlight w:val="none"/>
          <w:lang w:val="en-US" w:eastAsia="zh-CN"/>
        </w:rPr>
        <w:t>预算</w:t>
      </w: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六、项目质量要求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1、本项目质量目标为一次性通过验收合格，供应商应在投标文件中对质量目标进行承诺。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2、中标人须无条件接受质量监督管理部门和监理单位的质量检查和管理，共同把好质量关。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的设计和项目预算要得到相关部门的会审合格和采购人的确认后，方可进入下一步的制作施工。如中标人的设计不能通过相关部门的会审，在采购人允许的一定时间内，进行修改、完善，所涉及的费用由中标人负责。如果经修改、完善后仍不能通过相关部门的会审，采购人有权终止与中标人的合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4、中标人</w:t>
      </w:r>
      <w:r>
        <w:rPr>
          <w:rFonts w:hint="eastAsia" w:ascii="宋体" w:hAnsi="宋体" w:eastAsia="宋体" w:cs="宋体"/>
          <w:spacing w:val="10"/>
          <w:sz w:val="24"/>
          <w:szCs w:val="24"/>
          <w:lang w:val="en-US" w:eastAsia="zh-CN"/>
        </w:rPr>
        <w:t>布展</w:t>
      </w:r>
      <w:r>
        <w:rPr>
          <w:rFonts w:hint="eastAsia" w:ascii="宋体" w:hAnsi="宋体" w:eastAsia="宋体" w:cs="宋体"/>
          <w:color w:val="auto"/>
          <w:sz w:val="24"/>
          <w:szCs w:val="24"/>
          <w:highlight w:val="none"/>
          <w:lang w:val="en-US" w:eastAsia="zh-CN"/>
        </w:rPr>
        <w:t>施工完成的基本陈列必须达到投标文件、图纸会审所明确的展示效果。如不能达到，在采购人允许的一定时间内进行修改、完善，使其达到对展示效果的承诺，所涉及的费用由中标人负责。若经修改、完善后仍不能达到要求，则采购人有权不支付该展项的费用并要求中标人承担该展项造价的50-100%的违约金，并同时要求其承担相关损失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5、隐蔽工程经采购人验收合格后方可进入下道工序施工（制作）。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6、未尽的技术条件及要求均按国家标准和行业标准执行。</w:t>
      </w: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七、布展施工要求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1、符合相关布展施工及验收规范：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）《建筑装饰装修工程质量验收规范》</w:t>
      </w:r>
      <w:r>
        <w:rPr>
          <w:rFonts w:hint="eastAsia" w:ascii="宋体" w:hAnsi="宋体" w:eastAsia="宋体" w:cs="宋体"/>
          <w:sz w:val="24"/>
          <w:szCs w:val="24"/>
          <w:lang w:val="en-US" w:eastAsia="zh-CN"/>
        </w:rPr>
        <w:t>GB50210-2001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（2）《建筑工程施工质量验收统一标准》GB50300-2001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（3）《建筑地面工程施工质量验收规范》GB50209-2002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（4）《建筑电气工程施工质量验收规范》GB50303-2002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（5）其他相关规范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2、布展施工过程中对历史建筑进行必要的保护。</w:t>
      </w:r>
    </w:p>
    <w:p>
      <w:pPr>
        <w:adjustRightInd/>
        <w:spacing w:line="360" w:lineRule="auto"/>
        <w:jc w:val="both"/>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八、布展施工材料供应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1、本次招标范围内的</w:t>
      </w:r>
      <w:r>
        <w:rPr>
          <w:rFonts w:hint="eastAsia" w:ascii="宋体" w:hAnsi="宋体" w:eastAsia="宋体" w:cs="宋体"/>
          <w:sz w:val="24"/>
          <w:szCs w:val="24"/>
          <w:lang w:val="en-US" w:eastAsia="zh-CN"/>
        </w:rPr>
        <w:t>布展</w:t>
      </w:r>
      <w:r>
        <w:rPr>
          <w:rFonts w:hint="eastAsia" w:ascii="宋体" w:hAnsi="宋体" w:eastAsia="宋体" w:cs="宋体"/>
          <w:color w:val="auto"/>
          <w:sz w:val="24"/>
          <w:szCs w:val="24"/>
          <w:highlight w:val="none"/>
          <w:lang w:val="en-US" w:eastAsia="zh-CN"/>
        </w:rPr>
        <w:t>施工材料均由中标人根据设计图纸和国家有关规定的具体要求进行采购、运输、检验、保管。所有材料须有产品合格证和质量保证书，符合节能、环保要求和国家规定的技术标准，并且须经采购人委托的监理单位或具有相应资质的检测机构检测合格后才能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2、本次招标项目的主要</w:t>
      </w:r>
      <w:r>
        <w:rPr>
          <w:rFonts w:hint="eastAsia" w:ascii="宋体" w:hAnsi="宋体" w:eastAsia="宋体" w:cs="宋体"/>
          <w:sz w:val="24"/>
          <w:szCs w:val="24"/>
          <w:lang w:val="en-US" w:eastAsia="zh-CN"/>
        </w:rPr>
        <w:t>布展</w:t>
      </w:r>
      <w:r>
        <w:rPr>
          <w:rFonts w:hint="eastAsia" w:ascii="宋体" w:hAnsi="宋体" w:eastAsia="宋体" w:cs="宋体"/>
          <w:color w:val="auto"/>
          <w:sz w:val="24"/>
          <w:szCs w:val="24"/>
          <w:highlight w:val="none"/>
          <w:lang w:val="en-US" w:eastAsia="zh-CN"/>
        </w:rPr>
        <w:t>施工材料，中标人应在采购前向采购人送样或经采购人签证确认，未经签证采购人将不予支付。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3、由中标人采购的主要</w:t>
      </w:r>
      <w:r>
        <w:rPr>
          <w:rFonts w:hint="eastAsia" w:ascii="宋体" w:hAnsi="宋体" w:eastAsia="宋体" w:cs="宋体"/>
          <w:sz w:val="24"/>
          <w:szCs w:val="24"/>
          <w:lang w:val="en-US" w:eastAsia="zh-CN"/>
        </w:rPr>
        <w:t>布展</w:t>
      </w:r>
      <w:r>
        <w:rPr>
          <w:rFonts w:hint="eastAsia" w:ascii="宋体" w:hAnsi="宋体" w:eastAsia="宋体" w:cs="宋体"/>
          <w:color w:val="auto"/>
          <w:sz w:val="24"/>
          <w:szCs w:val="24"/>
          <w:highlight w:val="none"/>
          <w:lang w:val="en-US" w:eastAsia="zh-CN"/>
        </w:rPr>
        <w:t>施工材料，当中标人选定的产品质量达不到设计要求（或效果要求）和预期质量目标时，采购人保留更换的权利，费用不增加。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4、采购人提供的展品标本一旦移交至中标人，中标人需承担起相关的保管责任，并按采购人的要求分门别类地进行保管。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5、若发现中标人使用不合格的材料时，采购人有权不予支付对应费用，并要求中标人拆除，清理及更换重做，中标人应承担所有费用，由此延误的工期不予顺延。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九、项目实施具体要求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1、装饰结构部分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（1）应满足本项目的要求，结构和安装方式科学、环保。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（2）应确保安全可靠，结构合理、并保证其强度、稳定性和可靠性达到采购人的要求；符合场馆结构负荷要求。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（3）施工图中所有轻钢龙骨石膏板吊顶，均采用加强型轻钢龙骨。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2、材料部分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（1）建筑装饰装修部分所用材料的品种、规格和质量应符合设计要求和国家现行标准的规定，当设计无要求时应符合国家现行标准的规定，严禁使用国家明令淘汰的材料。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（2）建筑装饰装修部分所用材料的燃烧性能应符合现行国家标准《建筑内部装修设计防火规范》GB 50222-95、《建筑设计防火规范》（GB50016-2014）。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（3）建筑装饰装修部分所用材料应符合国家有关建筑装饰装修材料有害物质限量标准的规定。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（4）所有材料进场时应对应品种、规格、外观和尺寸进行验收。材料包装应完好，应有产品合格证书、中文说明书及相关性能的检验报告。该验收不视为对材料最终质量的认可。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（5）当国家规定或合同约定应对材料进行见证检测时，或对材料的质量发生争议时，应进行见证检测。检测费用均由中标人承担。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（6）承担建筑装饰装修材料检测的单位应具备相应的资质，并应建立质量管理体系。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（7）建筑装饰装修部分所使用的材料在运输，储存和</w:t>
      </w:r>
      <w:r>
        <w:rPr>
          <w:rFonts w:hint="eastAsia" w:ascii="宋体" w:hAnsi="宋体" w:eastAsia="宋体" w:cs="宋体"/>
          <w:sz w:val="24"/>
          <w:szCs w:val="24"/>
          <w:lang w:val="en-US" w:eastAsia="zh-CN"/>
        </w:rPr>
        <w:t>布展施工</w:t>
      </w:r>
      <w:r>
        <w:rPr>
          <w:rFonts w:hint="eastAsia" w:ascii="宋体" w:hAnsi="宋体" w:eastAsia="宋体" w:cs="宋体"/>
          <w:color w:val="auto"/>
          <w:sz w:val="24"/>
          <w:szCs w:val="24"/>
          <w:highlight w:val="none"/>
          <w:lang w:val="en-US" w:eastAsia="zh-CN"/>
        </w:rPr>
        <w:t>过程中，必须采取有效措施防止损坏，变质和污染环境。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（8）建筑装饰装修部分所使用的材料应按设计要求进行防火，防腐和防虫处理。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（9）现场配制的材料如砂浆，胶粘剂等，应按设计要求或产品说明书配制。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sz w:val="24"/>
          <w:szCs w:val="24"/>
          <w:lang w:val="en-US" w:eastAsia="zh-CN"/>
        </w:rPr>
        <w:t>布展</w:t>
      </w:r>
      <w:r>
        <w:rPr>
          <w:rFonts w:hint="eastAsia" w:ascii="宋体" w:hAnsi="宋体" w:eastAsia="宋体" w:cs="宋体"/>
          <w:color w:val="auto"/>
          <w:sz w:val="24"/>
          <w:szCs w:val="24"/>
          <w:highlight w:val="none"/>
          <w:lang w:val="en-US" w:eastAsia="zh-CN"/>
        </w:rPr>
        <w:t>施工中所选用的建材应严格执行《民用建筑工程室内环境污染控制规范》GB50325-2010。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（11）所选之装饰材料均应满足相应的防火等级要求（必要时须附有关方面的鉴定报告，鉴定费用由中标人承担）材料均应符合现行国家标准《建筑内部装修设计防火规范》、《建筑设计防火规范》等规定。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（12）未注明的乳胶漆应为哑光漆，且按设计规定的色板。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3、版面制作的具体要求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文版的平面制作和安装，必须使用高精度可移喷绘、PVC板、防水无纺布、高质量油画布、铝板等易清洁、防水、使用寿命长并易于更换的材料和制作工艺，做到收口平整、不起泡、无色差，安装方便、更新便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每一个展示空间在实施前须提供排版文件，并付局部采样，经采购人确认后方可实施。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（1）图文板表面平整，字体、图片清晰，安装方式合理。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（2）图文板文字、格式正确，科学性定义准确。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（3）图文板版面大小、色彩符合设计要求，肉眼观看舒适。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（4）图文版面与展示内容风格统一。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（5）图文版安装高度必须符合人体工学，适合各身高人士观看。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4、艺术品制作的具体要求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（1）根据展区、主题所需，使陈列、艺术创作设施达到实用、美观、安全等各方面的要求。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（2）艺术创作按照原图纸进行细化，根据使用方要求，创作比例合理，色彩层次分明，细节有棱有角。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浮雕、雕塑由专业的泥塑技师用特质泥材根据设计创作稿制作浮雕原模，成型后运用流动性和填充性好的硅橡胶材料分几次涂抹在原模上，待硅橡胶交联后，在硅橡胶上再成型厚度为4mm左右的玻璃钢层。表面需由用复合材料采用喷砂技术制作，表面效果、着色处理美工制作，运用影视场景的外效果处理手段，达到主题所要呈现的艺术效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（4）油画、艺术品等展品，需由专业美术师进行创作、制作。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装饰性艺术处理要充分发挥材料特点，巧妙运用材料本身纹理、色泽、质感等特征，选材围绕实用、美观和安全的原则进行综合对比；应考虑功能要求、审美要求和安全要求，同时应尽可能使用绿色、优质、环保的木、石、棉、麻等天然材质，以更好地体现历史、沧桑、自然的文物展陈内涵，尽可能减少异味、辐射等有害物质的排放，充分考虑文物展品保护和观众及工作人员的身体健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5、场景复原及创作实施要求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（1）场景复原及创作必须以真实可查的历史资料与考古资料为依据，达到忠于历史、还原历史的目的。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（2）场景复原的道具在保证安全、美观的情况下，必须进行做旧工艺，以还原场景的历史性。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（3）场景复原及创作必须采用绿色环保材料，达到比例合理、生动逼真、细节有棱有角的实施效果。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（4）应用多媒体声光电技术的场景复原中，在保证整体展示、互动效果的前提下，必须充分考虑安全性、美观性、耐久性以及维护的便利性。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（5）所有复原场景必须在以上实施要求的基础上深入优化、深化、艺术及媒体数字内容创作。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6、布展施工主材</w:t>
      </w:r>
      <w:r>
        <w:rPr>
          <w:rFonts w:hint="eastAsia" w:ascii="宋体" w:hAnsi="宋体" w:cs="宋体"/>
          <w:b w:val="0"/>
          <w:bCs w:val="0"/>
          <w:color w:val="auto"/>
          <w:sz w:val="24"/>
          <w:szCs w:val="24"/>
          <w:highlight w:val="none"/>
          <w:lang w:val="en-US" w:eastAsia="zh-CN"/>
        </w:rPr>
        <w:t>须绿色环保无害材料。</w:t>
      </w:r>
    </w:p>
    <w:p>
      <w:pPr>
        <w:adjustRightInd/>
        <w:rPr>
          <w:rFonts w:hint="eastAsia" w:ascii="宋体" w:hAnsi="宋体" w:eastAsia="宋体" w:cs="宋体"/>
          <w:sz w:val="24"/>
          <w:szCs w:val="24"/>
        </w:rPr>
      </w:pPr>
    </w:p>
    <w:p>
      <w:pPr>
        <w:adjustRightIn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十、合同价款及结算方式</w:t>
      </w:r>
    </w:p>
    <w:p>
      <w:pPr>
        <w:adjustRightInd/>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.1.合同</w:t>
      </w:r>
      <w:r>
        <w:rPr>
          <w:rFonts w:hint="eastAsia" w:ascii="宋体" w:hAnsi="宋体" w:eastAsia="宋体" w:cs="宋体"/>
          <w:b w:val="0"/>
          <w:bCs/>
          <w:spacing w:val="10"/>
          <w:sz w:val="24"/>
          <w:szCs w:val="24"/>
        </w:rPr>
        <w:t>价款</w:t>
      </w:r>
      <w:r>
        <w:rPr>
          <w:rFonts w:hint="eastAsia" w:ascii="宋体" w:hAnsi="宋体" w:eastAsia="宋体" w:cs="宋体"/>
          <w:b w:val="0"/>
          <w:bCs/>
          <w:sz w:val="24"/>
          <w:szCs w:val="24"/>
        </w:rPr>
        <w:t>：招标范围内全部工作内容的价格表现，包括但不仅限于：设计</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深化设计</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费、布展施工费（施工中发生的水、电、垃圾处理、环保费用、临时设施费用等）、设备费、材料费、竣工资料的整理、有关部门的检测、检验、整改、验收、运输费、保险费、安装调试费以及质保期内的维护费及规费、税（金）及政策性文件规定的各项应有明示或暗示的费用。现场安全措施、工期保证、质量保证以及受到各种不利因素的影响产生的措施及风险费用、招标代理服务费等全部费用。</w:t>
      </w:r>
    </w:p>
    <w:p>
      <w:pPr>
        <w:adjustRightInd/>
        <w:spacing w:line="360" w:lineRule="auto"/>
        <w:ind w:firstLine="520" w:firstLineChars="200"/>
        <w:rPr>
          <w:rFonts w:hint="eastAsia" w:ascii="宋体" w:hAnsi="宋体" w:eastAsia="宋体" w:cs="宋体"/>
          <w:b w:val="0"/>
          <w:bCs/>
          <w:spacing w:val="10"/>
          <w:sz w:val="24"/>
          <w:szCs w:val="24"/>
        </w:rPr>
      </w:pPr>
      <w:r>
        <w:rPr>
          <w:rFonts w:hint="eastAsia" w:ascii="宋体" w:hAnsi="宋体" w:eastAsia="宋体" w:cs="宋体"/>
          <w:b w:val="0"/>
          <w:bCs/>
          <w:spacing w:val="10"/>
          <w:sz w:val="24"/>
          <w:szCs w:val="24"/>
          <w:lang w:val="en-US" w:eastAsia="zh-CN"/>
        </w:rPr>
        <w:t>10</w:t>
      </w:r>
      <w:r>
        <w:rPr>
          <w:rFonts w:hint="eastAsia" w:ascii="宋体" w:hAnsi="宋体" w:eastAsia="宋体" w:cs="宋体"/>
          <w:b w:val="0"/>
          <w:bCs/>
          <w:spacing w:val="10"/>
          <w:sz w:val="24"/>
          <w:szCs w:val="24"/>
        </w:rPr>
        <w:t>.2.暂定合同价款和调整后的合同价款</w:t>
      </w:r>
    </w:p>
    <w:p>
      <w:pPr>
        <w:adjustRightInd/>
        <w:spacing w:line="360" w:lineRule="auto"/>
        <w:ind w:firstLine="520" w:firstLineChars="200"/>
        <w:rPr>
          <w:rFonts w:hint="eastAsia" w:ascii="宋体" w:hAnsi="宋体" w:eastAsia="宋体" w:cs="宋体"/>
          <w:b w:val="0"/>
          <w:bCs/>
          <w:spacing w:val="10"/>
          <w:sz w:val="24"/>
          <w:szCs w:val="24"/>
          <w:highlight w:val="none"/>
        </w:rPr>
      </w:pPr>
      <w:r>
        <w:rPr>
          <w:rFonts w:hint="eastAsia" w:ascii="宋体" w:hAnsi="宋体" w:eastAsia="宋体" w:cs="宋体"/>
          <w:b w:val="0"/>
          <w:bCs/>
          <w:spacing w:val="10"/>
          <w:sz w:val="24"/>
          <w:szCs w:val="24"/>
          <w:highlight w:val="none"/>
          <w:lang w:val="en-US" w:eastAsia="zh-CN"/>
        </w:rPr>
        <w:t>10</w:t>
      </w:r>
      <w:r>
        <w:rPr>
          <w:rFonts w:hint="eastAsia" w:ascii="宋体" w:hAnsi="宋体" w:eastAsia="宋体" w:cs="宋体"/>
          <w:b w:val="0"/>
          <w:bCs/>
          <w:spacing w:val="10"/>
          <w:sz w:val="24"/>
          <w:szCs w:val="24"/>
          <w:highlight w:val="none"/>
        </w:rPr>
        <w:t>.2.1本合同的暂定合同价款为中标总金额，其中包括设计费、暂定</w:t>
      </w:r>
      <w:r>
        <w:rPr>
          <w:rFonts w:hint="eastAsia" w:ascii="宋体" w:hAnsi="宋体" w:eastAsia="宋体" w:cs="宋体"/>
          <w:b w:val="0"/>
          <w:bCs/>
          <w:spacing w:val="10"/>
          <w:sz w:val="24"/>
          <w:szCs w:val="24"/>
          <w:highlight w:val="none"/>
          <w:lang w:eastAsia="zh-CN"/>
        </w:rPr>
        <w:t>布展</w:t>
      </w:r>
      <w:r>
        <w:rPr>
          <w:rFonts w:hint="eastAsia" w:ascii="宋体" w:hAnsi="宋体" w:eastAsia="宋体" w:cs="宋体"/>
          <w:b w:val="0"/>
          <w:bCs/>
          <w:spacing w:val="10"/>
          <w:sz w:val="24"/>
          <w:szCs w:val="24"/>
          <w:highlight w:val="none"/>
        </w:rPr>
        <w:t>费</w:t>
      </w:r>
      <w:r>
        <w:rPr>
          <w:rFonts w:hint="eastAsia" w:ascii="宋体" w:hAnsi="宋体" w:eastAsia="宋体" w:cs="宋体"/>
          <w:b w:val="0"/>
          <w:bCs/>
          <w:sz w:val="24"/>
          <w:szCs w:val="24"/>
          <w:highlight w:val="none"/>
          <w:lang w:val="en-US" w:eastAsia="zh-CN"/>
        </w:rPr>
        <w:t>二</w:t>
      </w:r>
      <w:r>
        <w:rPr>
          <w:rFonts w:hint="eastAsia" w:ascii="宋体" w:hAnsi="宋体" w:eastAsia="宋体" w:cs="宋体"/>
          <w:b w:val="0"/>
          <w:bCs/>
          <w:spacing w:val="10"/>
          <w:sz w:val="24"/>
          <w:szCs w:val="24"/>
          <w:highlight w:val="none"/>
        </w:rPr>
        <w:t>部分（包含10.1条款所列全部工作）。</w:t>
      </w:r>
    </w:p>
    <w:p>
      <w:pPr>
        <w:adjustRightInd/>
        <w:spacing w:line="360" w:lineRule="auto"/>
        <w:ind w:firstLine="520" w:firstLineChars="200"/>
        <w:rPr>
          <w:rFonts w:hint="eastAsia" w:ascii="宋体" w:hAnsi="宋体" w:eastAsia="宋体" w:cs="宋体"/>
          <w:b w:val="0"/>
          <w:bCs/>
          <w:spacing w:val="10"/>
          <w:sz w:val="24"/>
          <w:szCs w:val="24"/>
        </w:rPr>
      </w:pPr>
      <w:r>
        <w:rPr>
          <w:rFonts w:hint="eastAsia" w:ascii="宋体" w:hAnsi="宋体" w:eastAsia="宋体" w:cs="宋体"/>
          <w:b w:val="0"/>
          <w:bCs/>
          <w:spacing w:val="10"/>
          <w:sz w:val="24"/>
          <w:szCs w:val="24"/>
        </w:rPr>
        <w:t>本合同的暂定合同价款为人民币（大写）：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（小写）：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 xml:space="preserve"> 元。</w:t>
      </w:r>
    </w:p>
    <w:p>
      <w:pPr>
        <w:adjustRightInd/>
        <w:spacing w:line="360" w:lineRule="auto"/>
        <w:ind w:firstLine="520" w:firstLineChars="200"/>
        <w:rPr>
          <w:rFonts w:hint="eastAsia" w:ascii="宋体" w:hAnsi="宋体" w:eastAsia="宋体" w:cs="宋体"/>
          <w:b w:val="0"/>
          <w:bCs/>
          <w:spacing w:val="10"/>
          <w:sz w:val="24"/>
          <w:szCs w:val="24"/>
          <w:lang w:eastAsia="zh-CN"/>
        </w:rPr>
      </w:pPr>
      <w:r>
        <w:rPr>
          <w:rFonts w:hint="eastAsia" w:ascii="宋体" w:hAnsi="宋体" w:eastAsia="宋体" w:cs="宋体"/>
          <w:b w:val="0"/>
          <w:bCs/>
          <w:spacing w:val="10"/>
          <w:sz w:val="24"/>
          <w:szCs w:val="24"/>
        </w:rPr>
        <w:t>其中：设计费合同价款为人民币（大写）：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（小写）：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 xml:space="preserve"> 元</w:t>
      </w:r>
      <w:r>
        <w:rPr>
          <w:rFonts w:hint="eastAsia" w:ascii="宋体" w:hAnsi="宋体" w:eastAsia="宋体" w:cs="宋体"/>
          <w:b w:val="0"/>
          <w:bCs/>
          <w:spacing w:val="10"/>
          <w:sz w:val="24"/>
          <w:szCs w:val="24"/>
          <w:lang w:eastAsia="zh-CN"/>
        </w:rPr>
        <w:t>。</w:t>
      </w:r>
    </w:p>
    <w:p>
      <w:pPr>
        <w:adjustRightInd/>
        <w:spacing w:line="360" w:lineRule="auto"/>
        <w:ind w:firstLine="1300" w:firstLineChars="500"/>
        <w:rPr>
          <w:rFonts w:hint="eastAsia" w:ascii="宋体" w:hAnsi="宋体" w:eastAsia="宋体" w:cs="宋体"/>
          <w:b w:val="0"/>
          <w:bCs/>
          <w:spacing w:val="10"/>
          <w:sz w:val="24"/>
          <w:szCs w:val="24"/>
          <w:lang w:eastAsia="zh-CN"/>
        </w:rPr>
      </w:pPr>
      <w:r>
        <w:rPr>
          <w:rFonts w:hint="eastAsia" w:ascii="宋体" w:hAnsi="宋体" w:eastAsia="宋体" w:cs="宋体"/>
          <w:b w:val="0"/>
          <w:bCs/>
          <w:spacing w:val="10"/>
          <w:sz w:val="24"/>
          <w:szCs w:val="24"/>
        </w:rPr>
        <w:t>暂定</w:t>
      </w:r>
      <w:r>
        <w:rPr>
          <w:rFonts w:hint="eastAsia" w:ascii="宋体" w:hAnsi="宋体" w:eastAsia="宋体" w:cs="宋体"/>
          <w:b w:val="0"/>
          <w:bCs/>
          <w:spacing w:val="10"/>
          <w:sz w:val="24"/>
          <w:szCs w:val="24"/>
          <w:lang w:eastAsia="zh-CN"/>
        </w:rPr>
        <w:t>布展</w:t>
      </w:r>
      <w:r>
        <w:rPr>
          <w:rFonts w:hint="eastAsia" w:ascii="宋体" w:hAnsi="宋体" w:eastAsia="宋体" w:cs="宋体"/>
          <w:b w:val="0"/>
          <w:bCs/>
          <w:spacing w:val="10"/>
          <w:sz w:val="24"/>
          <w:szCs w:val="24"/>
        </w:rPr>
        <w:t>费为人民币（大写）：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 xml:space="preserve"> （小写）：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元</w:t>
      </w:r>
      <w:r>
        <w:rPr>
          <w:rFonts w:hint="eastAsia" w:ascii="宋体" w:hAnsi="宋体" w:eastAsia="宋体" w:cs="宋体"/>
          <w:b w:val="0"/>
          <w:bCs/>
          <w:spacing w:val="10"/>
          <w:sz w:val="24"/>
          <w:szCs w:val="24"/>
          <w:lang w:eastAsia="zh-CN"/>
        </w:rPr>
        <w:t>。</w:t>
      </w:r>
    </w:p>
    <w:p>
      <w:pPr>
        <w:adjustRightInd/>
        <w:spacing w:line="360" w:lineRule="auto"/>
        <w:ind w:firstLine="520" w:firstLineChars="200"/>
        <w:rPr>
          <w:rFonts w:hint="eastAsia" w:ascii="宋体" w:hAnsi="宋体" w:eastAsia="宋体" w:cs="宋体"/>
          <w:b w:val="0"/>
          <w:bCs/>
          <w:spacing w:val="10"/>
          <w:sz w:val="24"/>
          <w:szCs w:val="24"/>
        </w:rPr>
      </w:pPr>
      <w:r>
        <w:rPr>
          <w:rFonts w:hint="eastAsia" w:ascii="宋体" w:hAnsi="宋体" w:eastAsia="宋体" w:cs="宋体"/>
          <w:b w:val="0"/>
          <w:bCs/>
          <w:spacing w:val="10"/>
          <w:sz w:val="24"/>
          <w:szCs w:val="24"/>
        </w:rPr>
        <w:t>说明：</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（1）中标浮动率（%）为：</w:t>
      </w:r>
      <w:r>
        <w:rPr>
          <w:rFonts w:hint="eastAsia" w:ascii="宋体" w:hAnsi="宋体" w:eastAsia="宋体" w:cs="宋体"/>
          <w:spacing w:val="10"/>
          <w:sz w:val="24"/>
          <w:szCs w:val="24"/>
          <w:u w:val="single"/>
        </w:rPr>
        <w:t>（</w:t>
      </w:r>
      <w:r>
        <w:rPr>
          <w:rFonts w:hint="eastAsia" w:ascii="宋体" w:hAnsi="宋体" w:eastAsia="宋体" w:cs="宋体"/>
          <w:spacing w:val="10"/>
          <w:sz w:val="24"/>
          <w:szCs w:val="24"/>
          <w:u w:val="single"/>
          <w:lang w:eastAsia="zh-CN"/>
        </w:rPr>
        <w:t>布展</w:t>
      </w:r>
      <w:r>
        <w:rPr>
          <w:rFonts w:hint="eastAsia" w:ascii="宋体" w:hAnsi="宋体" w:eastAsia="宋体" w:cs="宋体"/>
          <w:spacing w:val="10"/>
          <w:sz w:val="24"/>
          <w:szCs w:val="24"/>
          <w:u w:val="single"/>
        </w:rPr>
        <w:t>费</w:t>
      </w:r>
      <w:r>
        <w:rPr>
          <w:rFonts w:hint="eastAsia" w:ascii="宋体" w:hAnsi="宋体" w:eastAsia="宋体" w:cs="宋体"/>
          <w:spacing w:val="10"/>
          <w:sz w:val="24"/>
          <w:szCs w:val="24"/>
          <w:u w:val="single"/>
          <w:lang w:val="en-US" w:eastAsia="zh-CN"/>
        </w:rPr>
        <w:t>最高限价</w:t>
      </w:r>
      <w:r>
        <w:rPr>
          <w:rFonts w:hint="eastAsia" w:ascii="宋体" w:hAnsi="宋体" w:eastAsia="宋体" w:cs="宋体"/>
          <w:spacing w:val="10"/>
          <w:sz w:val="24"/>
          <w:szCs w:val="24"/>
          <w:u w:val="single"/>
        </w:rPr>
        <w:t>金额</w:t>
      </w:r>
      <w:r>
        <w:rPr>
          <w:rFonts w:hint="eastAsia" w:ascii="宋体" w:hAnsi="宋体" w:cs="宋体"/>
          <w:spacing w:val="10"/>
          <w:sz w:val="24"/>
          <w:szCs w:val="24"/>
          <w:u w:val="single"/>
          <w:lang w:val="en-US" w:eastAsia="zh-CN"/>
        </w:rPr>
        <w:t>-</w:t>
      </w:r>
      <w:r>
        <w:rPr>
          <w:rFonts w:hint="eastAsia" w:ascii="宋体" w:hAnsi="宋体" w:eastAsia="宋体" w:cs="宋体"/>
          <w:spacing w:val="10"/>
          <w:sz w:val="24"/>
          <w:szCs w:val="24"/>
          <w:u w:val="single"/>
          <w:lang w:eastAsia="zh-CN"/>
        </w:rPr>
        <w:t>布展</w:t>
      </w:r>
      <w:r>
        <w:rPr>
          <w:rFonts w:hint="eastAsia" w:ascii="宋体" w:hAnsi="宋体" w:eastAsia="宋体" w:cs="宋体"/>
          <w:spacing w:val="10"/>
          <w:sz w:val="24"/>
          <w:szCs w:val="24"/>
          <w:u w:val="single"/>
        </w:rPr>
        <w:t>费中标价）/</w:t>
      </w:r>
      <w:r>
        <w:rPr>
          <w:rFonts w:hint="eastAsia" w:ascii="宋体" w:hAnsi="宋体" w:eastAsia="宋体" w:cs="宋体"/>
          <w:spacing w:val="10"/>
          <w:sz w:val="24"/>
          <w:szCs w:val="24"/>
          <w:u w:val="single"/>
          <w:lang w:eastAsia="zh-CN"/>
        </w:rPr>
        <w:t>布展</w:t>
      </w:r>
      <w:r>
        <w:rPr>
          <w:rFonts w:hint="eastAsia" w:ascii="宋体" w:hAnsi="宋体" w:eastAsia="宋体" w:cs="宋体"/>
          <w:spacing w:val="10"/>
          <w:sz w:val="24"/>
          <w:szCs w:val="24"/>
          <w:u w:val="single"/>
        </w:rPr>
        <w:t>费</w:t>
      </w:r>
      <w:r>
        <w:rPr>
          <w:rFonts w:hint="eastAsia" w:ascii="宋体" w:hAnsi="宋体" w:eastAsia="宋体" w:cs="宋体"/>
          <w:spacing w:val="10"/>
          <w:sz w:val="24"/>
          <w:szCs w:val="24"/>
          <w:u w:val="single"/>
          <w:lang w:val="en-US" w:eastAsia="zh-CN"/>
        </w:rPr>
        <w:t>最高限价</w:t>
      </w:r>
      <w:r>
        <w:rPr>
          <w:rFonts w:hint="eastAsia" w:ascii="宋体" w:hAnsi="宋体" w:eastAsia="宋体" w:cs="宋体"/>
          <w:spacing w:val="10"/>
          <w:sz w:val="24"/>
          <w:szCs w:val="24"/>
          <w:u w:val="single"/>
        </w:rPr>
        <w:t>金额</w:t>
      </w:r>
      <w:r>
        <w:rPr>
          <w:rFonts w:hint="default" w:ascii="Arial" w:hAnsi="Arial" w:eastAsia="宋体" w:cs="Arial"/>
          <w:spacing w:val="10"/>
          <w:sz w:val="24"/>
          <w:szCs w:val="24"/>
          <w:u w:val="single"/>
        </w:rPr>
        <w:t>×</w:t>
      </w:r>
      <w:r>
        <w:rPr>
          <w:rFonts w:hint="eastAsia" w:ascii="宋体" w:hAnsi="宋体" w:eastAsia="宋体" w:cs="宋体"/>
          <w:spacing w:val="10"/>
          <w:sz w:val="24"/>
          <w:szCs w:val="24"/>
          <w:u w:val="single"/>
        </w:rPr>
        <w:t>100</w:t>
      </w:r>
      <w:r>
        <w:rPr>
          <w:rFonts w:hint="eastAsia" w:ascii="宋体" w:hAnsi="宋体" w:eastAsia="宋体" w:cs="宋体"/>
          <w:spacing w:val="10"/>
          <w:sz w:val="24"/>
          <w:szCs w:val="24"/>
        </w:rPr>
        <w:t>%。</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费中标价=中标总金额-设计费</w:t>
      </w:r>
      <w:r>
        <w:rPr>
          <w:rFonts w:hint="eastAsia" w:ascii="宋体" w:hAnsi="宋体" w:eastAsia="宋体" w:cs="宋体"/>
          <w:spacing w:val="10"/>
          <w:sz w:val="24"/>
          <w:szCs w:val="24"/>
          <w:lang w:val="en-US" w:eastAsia="zh-CN"/>
        </w:rPr>
        <w:t>中标价</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费</w:t>
      </w:r>
      <w:r>
        <w:rPr>
          <w:rFonts w:hint="eastAsia" w:ascii="宋体" w:hAnsi="宋体" w:eastAsia="宋体" w:cs="宋体"/>
          <w:spacing w:val="10"/>
          <w:sz w:val="24"/>
          <w:szCs w:val="24"/>
          <w:highlight w:val="none"/>
          <w:lang w:val="en-US" w:eastAsia="zh-CN"/>
        </w:rPr>
        <w:t>最高限价</w:t>
      </w:r>
      <w:r>
        <w:rPr>
          <w:rFonts w:hint="eastAsia" w:ascii="宋体" w:hAnsi="宋体" w:eastAsia="宋体" w:cs="宋体"/>
          <w:spacing w:val="10"/>
          <w:sz w:val="24"/>
          <w:szCs w:val="24"/>
          <w:highlight w:val="none"/>
        </w:rPr>
        <w:t>金额（万元）=采购最高限价金额</w:t>
      </w:r>
      <w:r>
        <w:rPr>
          <w:rFonts w:hint="eastAsia" w:ascii="宋体" w:hAnsi="宋体" w:eastAsia="宋体" w:cs="宋体"/>
          <w:spacing w:val="10"/>
          <w:sz w:val="24"/>
          <w:szCs w:val="24"/>
          <w:highlight w:val="none"/>
          <w:lang w:eastAsia="zh-CN"/>
        </w:rPr>
        <w:t>（</w:t>
      </w:r>
      <w:r>
        <w:rPr>
          <w:rFonts w:hint="eastAsia" w:ascii="宋体" w:hAnsi="宋体" w:cs="宋体"/>
          <w:spacing w:val="10"/>
          <w:sz w:val="24"/>
          <w:szCs w:val="24"/>
          <w:highlight w:val="none"/>
          <w:lang w:val="en-US" w:eastAsia="zh-CN"/>
        </w:rPr>
        <w:t>630</w:t>
      </w:r>
      <w:r>
        <w:rPr>
          <w:rFonts w:hint="eastAsia" w:ascii="宋体" w:hAnsi="宋体" w:eastAsia="宋体" w:cs="宋体"/>
          <w:spacing w:val="10"/>
          <w:sz w:val="24"/>
          <w:szCs w:val="24"/>
          <w:highlight w:val="none"/>
          <w:lang w:eastAsia="zh-CN"/>
        </w:rPr>
        <w:t>万元）</w:t>
      </w:r>
      <w:r>
        <w:rPr>
          <w:rFonts w:hint="eastAsia" w:ascii="宋体" w:hAnsi="宋体" w:eastAsia="宋体" w:cs="宋体"/>
          <w:spacing w:val="10"/>
          <w:sz w:val="24"/>
          <w:szCs w:val="24"/>
          <w:highlight w:val="none"/>
        </w:rPr>
        <w:t>-设计费</w:t>
      </w:r>
      <w:r>
        <w:rPr>
          <w:rFonts w:hint="eastAsia" w:ascii="宋体" w:hAnsi="宋体" w:eastAsia="宋体" w:cs="宋体"/>
          <w:spacing w:val="10"/>
          <w:sz w:val="24"/>
          <w:szCs w:val="24"/>
          <w:highlight w:val="none"/>
          <w:lang w:val="en-US" w:eastAsia="zh-CN"/>
        </w:rPr>
        <w:t>最高限价</w:t>
      </w:r>
      <w:r>
        <w:rPr>
          <w:rFonts w:hint="eastAsia" w:ascii="宋体" w:hAnsi="宋体" w:eastAsia="宋体" w:cs="宋体"/>
          <w:spacing w:val="10"/>
          <w:sz w:val="24"/>
          <w:szCs w:val="24"/>
          <w:highlight w:val="none"/>
        </w:rPr>
        <w:t>金额（23.4</w:t>
      </w:r>
      <w:r>
        <w:rPr>
          <w:rFonts w:hint="eastAsia" w:ascii="宋体" w:hAnsi="宋体" w:eastAsia="宋体" w:cs="宋体"/>
          <w:spacing w:val="10"/>
          <w:sz w:val="24"/>
          <w:szCs w:val="24"/>
          <w:highlight w:val="none"/>
          <w:lang w:val="en-US" w:eastAsia="zh-CN"/>
        </w:rPr>
        <w:t>万元</w:t>
      </w:r>
      <w:r>
        <w:rPr>
          <w:rFonts w:hint="eastAsia" w:ascii="宋体" w:hAnsi="宋体" w:eastAsia="宋体" w:cs="宋体"/>
          <w:spacing w:val="10"/>
          <w:sz w:val="24"/>
          <w:szCs w:val="24"/>
          <w:highlight w:val="none"/>
        </w:rPr>
        <w:t>）=</w:t>
      </w:r>
      <w:r>
        <w:rPr>
          <w:rFonts w:hint="eastAsia" w:ascii="宋体" w:hAnsi="宋体" w:cs="宋体"/>
          <w:spacing w:val="10"/>
          <w:sz w:val="24"/>
          <w:szCs w:val="24"/>
          <w:highlight w:val="none"/>
          <w:lang w:val="en-US" w:eastAsia="zh-CN"/>
        </w:rPr>
        <w:t>606.6</w:t>
      </w:r>
      <w:r>
        <w:rPr>
          <w:rFonts w:hint="eastAsia" w:ascii="宋体" w:hAnsi="宋体" w:eastAsia="宋体" w:cs="宋体"/>
          <w:spacing w:val="10"/>
          <w:sz w:val="24"/>
          <w:szCs w:val="24"/>
          <w:highlight w:val="none"/>
        </w:rPr>
        <w:t>万元</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暂定</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费即为</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费中标价。</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（2）设计费合同价款按</w:t>
      </w:r>
      <w:r>
        <w:rPr>
          <w:rFonts w:hint="eastAsia" w:ascii="宋体" w:hAnsi="宋体" w:eastAsia="宋体" w:cs="宋体"/>
          <w:spacing w:val="10"/>
          <w:sz w:val="24"/>
          <w:szCs w:val="24"/>
          <w:highlight w:val="none"/>
          <w:lang w:val="en-US" w:eastAsia="zh-CN"/>
        </w:rPr>
        <w:t>中标人</w:t>
      </w:r>
      <w:r>
        <w:rPr>
          <w:rFonts w:hint="eastAsia" w:ascii="宋体" w:hAnsi="宋体" w:eastAsia="宋体" w:cs="宋体"/>
          <w:spacing w:val="10"/>
          <w:sz w:val="24"/>
          <w:szCs w:val="24"/>
          <w:highlight w:val="none"/>
        </w:rPr>
        <w:t>投标报价一次性包干，不作调整。</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10</w:t>
      </w:r>
      <w:r>
        <w:rPr>
          <w:rFonts w:hint="eastAsia" w:ascii="宋体" w:hAnsi="宋体" w:eastAsia="宋体" w:cs="宋体"/>
          <w:spacing w:val="10"/>
          <w:sz w:val="24"/>
          <w:szCs w:val="24"/>
          <w:highlight w:val="none"/>
        </w:rPr>
        <w:t>.2.2.</w:t>
      </w:r>
      <w:r>
        <w:rPr>
          <w:rFonts w:hint="eastAsia" w:ascii="宋体" w:hAnsi="宋体" w:eastAsia="宋体" w:cs="宋体"/>
          <w:spacing w:val="10"/>
          <w:sz w:val="24"/>
          <w:szCs w:val="24"/>
          <w:highlight w:val="none"/>
          <w:lang w:val="en-US" w:eastAsia="zh-CN"/>
        </w:rPr>
        <w:t>中标人</w:t>
      </w:r>
      <w:r>
        <w:rPr>
          <w:rFonts w:hint="eastAsia" w:ascii="宋体" w:hAnsi="宋体" w:eastAsia="宋体" w:cs="宋体"/>
          <w:spacing w:val="10"/>
          <w:sz w:val="24"/>
          <w:szCs w:val="24"/>
          <w:highlight w:val="none"/>
        </w:rPr>
        <w:t>在提供设计方案、材料选择的同时须提供各方案的造价分析报告，报监理单位和</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审批。</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10</w:t>
      </w:r>
      <w:r>
        <w:rPr>
          <w:rFonts w:hint="eastAsia" w:ascii="宋体" w:hAnsi="宋体" w:eastAsia="宋体" w:cs="宋体"/>
          <w:spacing w:val="10"/>
          <w:sz w:val="24"/>
          <w:szCs w:val="24"/>
          <w:highlight w:val="none"/>
        </w:rPr>
        <w:t>.2.3.</w:t>
      </w:r>
      <w:r>
        <w:rPr>
          <w:rFonts w:hint="eastAsia" w:ascii="宋体" w:hAnsi="宋体" w:eastAsia="宋体" w:cs="宋体"/>
          <w:spacing w:val="10"/>
          <w:sz w:val="24"/>
          <w:szCs w:val="24"/>
          <w:highlight w:val="none"/>
          <w:lang w:val="en-US" w:eastAsia="zh-CN"/>
        </w:rPr>
        <w:t>中标人</w:t>
      </w:r>
      <w:r>
        <w:rPr>
          <w:rFonts w:hint="eastAsia" w:ascii="宋体" w:hAnsi="宋体" w:eastAsia="宋体" w:cs="宋体"/>
          <w:spacing w:val="10"/>
          <w:sz w:val="24"/>
          <w:szCs w:val="24"/>
          <w:highlight w:val="none"/>
        </w:rPr>
        <w:t>须提供主要材料的品牌、规格、型号、参数、价格报监理单位和</w:t>
      </w:r>
      <w:r>
        <w:rPr>
          <w:rFonts w:hint="eastAsia" w:ascii="宋体" w:hAnsi="宋体" w:eastAsia="宋体" w:cs="宋体"/>
          <w:spacing w:val="10"/>
          <w:sz w:val="24"/>
          <w:szCs w:val="24"/>
          <w:highlight w:val="none"/>
          <w:lang w:val="en-US" w:eastAsia="zh-CN"/>
        </w:rPr>
        <w:t>采购人</w:t>
      </w:r>
      <w:r>
        <w:rPr>
          <w:rFonts w:hint="eastAsia" w:ascii="宋体" w:hAnsi="宋体" w:eastAsia="宋体" w:cs="宋体"/>
          <w:spacing w:val="10"/>
          <w:sz w:val="24"/>
          <w:szCs w:val="24"/>
          <w:highlight w:val="none"/>
        </w:rPr>
        <w:t>审批。</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10</w:t>
      </w:r>
      <w:r>
        <w:rPr>
          <w:rFonts w:hint="eastAsia" w:ascii="宋体" w:hAnsi="宋体" w:eastAsia="宋体" w:cs="宋体"/>
          <w:spacing w:val="10"/>
          <w:sz w:val="24"/>
          <w:szCs w:val="24"/>
          <w:highlight w:val="none"/>
        </w:rPr>
        <w:t>.2.4.在设计阶段</w:t>
      </w:r>
      <w:r>
        <w:rPr>
          <w:rFonts w:hint="eastAsia" w:ascii="宋体" w:hAnsi="宋体" w:eastAsia="宋体" w:cs="宋体"/>
          <w:spacing w:val="10"/>
          <w:sz w:val="24"/>
          <w:szCs w:val="24"/>
          <w:highlight w:val="none"/>
          <w:lang w:val="en-US" w:eastAsia="zh-CN"/>
        </w:rPr>
        <w:t>中标人</w:t>
      </w:r>
      <w:r>
        <w:rPr>
          <w:rFonts w:hint="eastAsia" w:ascii="宋体" w:hAnsi="宋体" w:eastAsia="宋体" w:cs="宋体"/>
          <w:spacing w:val="10"/>
          <w:sz w:val="24"/>
          <w:szCs w:val="24"/>
          <w:highlight w:val="none"/>
        </w:rPr>
        <w:t>按暂定</w:t>
      </w: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费进行限额设计。</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10</w:t>
      </w:r>
      <w:r>
        <w:rPr>
          <w:rFonts w:hint="eastAsia" w:ascii="宋体" w:hAnsi="宋体" w:eastAsia="宋体" w:cs="宋体"/>
          <w:spacing w:val="10"/>
          <w:sz w:val="24"/>
          <w:szCs w:val="24"/>
          <w:highlight w:val="none"/>
        </w:rPr>
        <w:t>.2.5.调整后的合同价款</w:t>
      </w:r>
    </w:p>
    <w:p>
      <w:pPr>
        <w:adjustRightInd/>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（1）本项目调整后的合同价款为</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rPr>
        <w:t>元（大写：</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rPr>
        <w:t>），其中包括设计费、调整后的</w:t>
      </w: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费</w:t>
      </w:r>
      <w:r>
        <w:rPr>
          <w:rFonts w:hint="eastAsia" w:ascii="宋体" w:hAnsi="宋体" w:eastAsia="宋体" w:cs="宋体"/>
          <w:spacing w:val="10"/>
          <w:sz w:val="24"/>
          <w:szCs w:val="24"/>
          <w:highlight w:val="none"/>
          <w:lang w:val="en-US" w:eastAsia="zh-CN"/>
        </w:rPr>
        <w:t>二</w:t>
      </w:r>
      <w:r>
        <w:rPr>
          <w:rFonts w:hint="eastAsia" w:ascii="宋体" w:hAnsi="宋体" w:eastAsia="宋体" w:cs="宋体"/>
          <w:spacing w:val="10"/>
          <w:sz w:val="24"/>
          <w:szCs w:val="24"/>
          <w:highlight w:val="none"/>
        </w:rPr>
        <w:t>部分。</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highlight w:val="none"/>
        </w:rPr>
        <w:t>（2）本项目调整后的</w:t>
      </w: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 xml:space="preserve">费为 </w:t>
      </w:r>
      <w:r>
        <w:rPr>
          <w:rFonts w:hint="eastAsia" w:ascii="宋体" w:hAnsi="宋体" w:eastAsia="宋体" w:cs="宋体"/>
          <w:spacing w:val="10"/>
          <w:sz w:val="24"/>
          <w:szCs w:val="24"/>
          <w:highlight w:val="none"/>
          <w:u w:val="single"/>
        </w:rPr>
        <w:t xml:space="preserve">                 元</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lang w:val="en-US" w:eastAsia="zh-CN"/>
        </w:rPr>
        <w:t>中标人</w:t>
      </w:r>
      <w:r>
        <w:rPr>
          <w:rFonts w:hint="eastAsia" w:ascii="宋体" w:hAnsi="宋体" w:eastAsia="宋体" w:cs="宋体"/>
          <w:spacing w:val="10"/>
          <w:sz w:val="24"/>
          <w:szCs w:val="24"/>
          <w:highlight w:val="none"/>
        </w:rPr>
        <w:t>根据投标方案及</w:t>
      </w:r>
      <w:r>
        <w:rPr>
          <w:rFonts w:hint="eastAsia" w:ascii="宋体" w:hAnsi="宋体" w:eastAsia="宋体" w:cs="宋体"/>
          <w:spacing w:val="10"/>
          <w:sz w:val="24"/>
          <w:szCs w:val="24"/>
          <w:highlight w:val="none"/>
          <w:lang w:val="en-US" w:eastAsia="zh-CN"/>
        </w:rPr>
        <w:t>采购人</w:t>
      </w:r>
      <w:r>
        <w:rPr>
          <w:rFonts w:hint="eastAsia" w:ascii="宋体" w:hAnsi="宋体" w:eastAsia="宋体" w:cs="宋体"/>
          <w:spacing w:val="10"/>
          <w:sz w:val="24"/>
          <w:szCs w:val="24"/>
          <w:highlight w:val="none"/>
        </w:rPr>
        <w:t>的技术条件、方案优化要求、施工图深化设计的要求进行施工图设计并经</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审核确认。</w:t>
      </w:r>
      <w:r>
        <w:rPr>
          <w:rFonts w:hint="eastAsia" w:ascii="宋体" w:hAnsi="宋体" w:eastAsia="宋体" w:cs="宋体"/>
          <w:spacing w:val="10"/>
          <w:sz w:val="24"/>
          <w:szCs w:val="24"/>
          <w:highlight w:val="none"/>
          <w:lang w:val="en-US" w:eastAsia="zh-CN"/>
        </w:rPr>
        <w:t>中标人</w:t>
      </w:r>
      <w:r>
        <w:rPr>
          <w:rFonts w:hint="eastAsia" w:ascii="宋体" w:hAnsi="宋体" w:eastAsia="宋体" w:cs="宋体"/>
          <w:spacing w:val="10"/>
          <w:sz w:val="24"/>
          <w:szCs w:val="24"/>
          <w:highlight w:val="none"/>
        </w:rPr>
        <w:t>根据</w:t>
      </w:r>
      <w:r>
        <w:rPr>
          <w:rFonts w:hint="eastAsia" w:ascii="宋体" w:hAnsi="宋体" w:eastAsia="宋体" w:cs="宋体"/>
          <w:spacing w:val="10"/>
          <w:sz w:val="24"/>
          <w:szCs w:val="24"/>
          <w:highlight w:val="none"/>
          <w:lang w:val="en-US" w:eastAsia="zh-CN"/>
        </w:rPr>
        <w:t>采购人</w:t>
      </w:r>
      <w:r>
        <w:rPr>
          <w:rFonts w:hint="eastAsia" w:ascii="宋体" w:hAnsi="宋体" w:eastAsia="宋体" w:cs="宋体"/>
          <w:spacing w:val="10"/>
          <w:sz w:val="24"/>
          <w:szCs w:val="24"/>
          <w:highlight w:val="none"/>
        </w:rPr>
        <w:t>审核确认后的施工图纸编</w:t>
      </w:r>
      <w:r>
        <w:rPr>
          <w:rFonts w:hint="eastAsia" w:ascii="宋体" w:hAnsi="宋体" w:eastAsia="宋体" w:cs="宋体"/>
          <w:spacing w:val="10"/>
          <w:sz w:val="24"/>
          <w:szCs w:val="24"/>
        </w:rPr>
        <w:t>制施工图预算并按</w:t>
      </w:r>
      <w:r>
        <w:rPr>
          <w:rFonts w:hint="eastAsia" w:ascii="宋体" w:hAnsi="宋体" w:eastAsia="宋体" w:cs="宋体"/>
          <w:spacing w:val="10"/>
          <w:sz w:val="24"/>
          <w:szCs w:val="24"/>
          <w:u w:val="single"/>
        </w:rPr>
        <w:t>中标浮动率</w:t>
      </w:r>
      <w:r>
        <w:rPr>
          <w:rFonts w:hint="eastAsia" w:ascii="宋体" w:hAnsi="宋体" w:eastAsia="宋体" w:cs="宋体"/>
          <w:spacing w:val="10"/>
          <w:sz w:val="24"/>
          <w:szCs w:val="24"/>
        </w:rPr>
        <w:t>下浮，经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审定的施工图预算价作为调整后的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费为施工图范围内的包干总价。</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）施工图预算的编制原则：</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应根据经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审定的设计方案并依审定的施工设计图纸</w:t>
      </w:r>
      <w:r>
        <w:rPr>
          <w:rFonts w:hint="eastAsia" w:ascii="宋体" w:hAnsi="宋体" w:eastAsia="宋体" w:cs="宋体"/>
          <w:spacing w:val="10"/>
          <w:sz w:val="24"/>
          <w:szCs w:val="24"/>
          <w:u w:val="none"/>
        </w:rPr>
        <w:t>，</w:t>
      </w:r>
      <w:r>
        <w:rPr>
          <w:rFonts w:hint="eastAsia" w:ascii="宋体" w:hAnsi="宋体" w:eastAsia="宋体" w:cs="宋体"/>
          <w:spacing w:val="10"/>
          <w:sz w:val="24"/>
          <w:szCs w:val="24"/>
        </w:rPr>
        <w:t>按</w:t>
      </w:r>
      <w:r>
        <w:rPr>
          <w:rFonts w:hint="eastAsia" w:ascii="宋体" w:hAnsi="宋体" w:eastAsia="宋体" w:cs="宋体"/>
          <w:spacing w:val="10"/>
          <w:sz w:val="24"/>
          <w:szCs w:val="24"/>
          <w:lang w:val="en-US" w:eastAsia="zh-CN"/>
        </w:rPr>
        <w:t>最新</w:t>
      </w:r>
      <w:r>
        <w:rPr>
          <w:rFonts w:hint="eastAsia" w:ascii="宋体" w:hAnsi="宋体" w:eastAsia="宋体" w:cs="宋体"/>
          <w:spacing w:val="10"/>
          <w:sz w:val="24"/>
          <w:szCs w:val="24"/>
        </w:rPr>
        <w:t>计价规范</w:t>
      </w:r>
      <w:r>
        <w:rPr>
          <w:rFonts w:hint="eastAsia" w:ascii="宋体" w:hAnsi="宋体" w:eastAsia="宋体" w:cs="宋体"/>
          <w:spacing w:val="10"/>
          <w:sz w:val="24"/>
          <w:szCs w:val="24"/>
          <w:lang w:val="en-US" w:eastAsia="zh-CN"/>
        </w:rPr>
        <w:t>、</w:t>
      </w:r>
      <w:r>
        <w:rPr>
          <w:rFonts w:hint="eastAsia" w:ascii="宋体" w:hAnsi="宋体" w:eastAsia="宋体" w:cs="宋体"/>
          <w:spacing w:val="10"/>
          <w:sz w:val="24"/>
          <w:szCs w:val="24"/>
        </w:rPr>
        <w:t>预算定额以及与之配套的解释</w:t>
      </w:r>
      <w:r>
        <w:rPr>
          <w:rFonts w:hint="eastAsia" w:ascii="宋体" w:hAnsi="宋体" w:eastAsia="宋体" w:cs="宋体"/>
          <w:sz w:val="24"/>
          <w:szCs w:val="24"/>
        </w:rPr>
        <w:t>、规定、说明等及其他政策文件</w:t>
      </w:r>
      <w:r>
        <w:rPr>
          <w:rFonts w:hint="eastAsia" w:ascii="宋体" w:hAnsi="宋体" w:eastAsia="宋体" w:cs="宋体"/>
          <w:spacing w:val="10"/>
          <w:sz w:val="24"/>
          <w:szCs w:val="24"/>
        </w:rPr>
        <w:t>，定额中没有的子目由</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与</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共同协商确定。主要材料价格参考投标时期《</w:t>
      </w:r>
      <w:r>
        <w:rPr>
          <w:rFonts w:hint="eastAsia" w:ascii="宋体" w:hAnsi="宋体" w:eastAsia="宋体" w:cs="宋体"/>
          <w:sz w:val="24"/>
          <w:szCs w:val="24"/>
        </w:rPr>
        <w:t>宁波市建设工程造价信息》中发布的</w:t>
      </w:r>
      <w:r>
        <w:rPr>
          <w:rFonts w:hint="eastAsia" w:ascii="宋体" w:hAnsi="宋体" w:eastAsia="宋体" w:cs="宋体"/>
          <w:sz w:val="24"/>
          <w:szCs w:val="24"/>
          <w:lang w:val="en-US" w:eastAsia="zh-CN"/>
        </w:rPr>
        <w:t>宁波市市场信息价</w:t>
      </w:r>
      <w:r>
        <w:rPr>
          <w:rFonts w:hint="eastAsia" w:ascii="宋体" w:hAnsi="宋体" w:eastAsia="宋体" w:cs="宋体"/>
          <w:sz w:val="24"/>
          <w:szCs w:val="24"/>
        </w:rPr>
        <w:t>(无宁波市造价信息的参照浙江省造价信息)，主要材料应</w:t>
      </w:r>
      <w:r>
        <w:rPr>
          <w:rFonts w:hint="eastAsia" w:ascii="宋体" w:hAnsi="宋体" w:eastAsia="宋体" w:cs="宋体"/>
          <w:spacing w:val="10"/>
          <w:sz w:val="24"/>
          <w:szCs w:val="24"/>
        </w:rPr>
        <w:t>附上相关的材料的规格、品牌、厂家、报价单、联系电话等资料</w:t>
      </w:r>
      <w:r>
        <w:rPr>
          <w:rFonts w:hint="eastAsia" w:ascii="宋体" w:hAnsi="宋体" w:eastAsia="宋体" w:cs="宋体"/>
          <w:sz w:val="24"/>
          <w:szCs w:val="24"/>
        </w:rPr>
        <w:t>；</w:t>
      </w:r>
      <w:r>
        <w:rPr>
          <w:rFonts w:hint="eastAsia" w:ascii="宋体" w:hAnsi="宋体" w:eastAsia="宋体" w:cs="宋体"/>
          <w:spacing w:val="10"/>
          <w:sz w:val="24"/>
          <w:szCs w:val="24"/>
        </w:rPr>
        <w:t>无信息价材料由</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根据市场价报价，并附上相关的材料的规格、品牌、厂家、报价单、联系电话等资料，最终经监理单位</w:t>
      </w:r>
      <w:r>
        <w:rPr>
          <w:rFonts w:hint="eastAsia" w:ascii="宋体" w:hAnsi="宋体" w:eastAsia="宋体" w:cs="宋体"/>
          <w:spacing w:val="10"/>
          <w:sz w:val="24"/>
          <w:szCs w:val="24"/>
          <w:lang w:val="en-US" w:eastAsia="zh-CN"/>
        </w:rPr>
        <w:t>审核</w:t>
      </w:r>
      <w:r>
        <w:rPr>
          <w:rFonts w:hint="eastAsia" w:ascii="宋体" w:hAnsi="宋体" w:eastAsia="宋体" w:cs="宋体"/>
          <w:spacing w:val="10"/>
          <w:sz w:val="24"/>
          <w:szCs w:val="24"/>
        </w:rPr>
        <w:t>并经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审批后才能作为调整后的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费的依据。</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.2.6.编制和审核预算书时，应按照批准的设计文件、政府或行业有关价格规定和当前市场价格信息及经由</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批准的设备、材料价格执行。</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.2.7.</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对</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提交的设计文件及图纸进行认真而严格的审查。对于设计文件和图纸验收不合格或需要调整的，</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必须在</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规定的期限内完成相应的设计文件和图纸的修改、完善与调整，对预算价有影响的则还须对相应的施工图预算书进行修正。修改完善后的设计文件和图纸及相应的施工图预算书须重新提交，由</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组织进行再次审查。</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.2.8.设计文件和图纸经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审查通过后，</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编制施工图预算书并上报给</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委托工程造价咨询机构进行审核。工程造价咨询机构对</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提交的预算书提出审核意见后，报</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予以审核。</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根据工程造价咨询机构的意见对</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提交的预算书提出综合的预算书审核意见。</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.2.9.对通不过审核的</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预算书，</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有权根据工程造价咨询机构意见直接对其进行调整，或要求</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根据预算书审核意见在规定的期限内完成预算书的调整，并重新按上述程序向工程造价咨询机构报审。预算未获得审核通过的，则设计不能认定已完成。</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.2.10.如施工图预算价格超出暂定</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必须在规定期限内无条件完成设计的修改与调整，并调整相应的施工图预算书后按上述程序重新报审，以使本调整后的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费控制在暂定</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费内，且该修改不改变有关</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认可的设计方案的原则、内容与要求，不降低使用功能、效果以及设计质量标准；否则视为</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违约。</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.2.11.如施工图预算最终经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审批通过，</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和</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必须依据设计成果，就合同的修改及完善签订补充协议，内容包括对主要材料设备的品牌、规格型号及调整后的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费等进行确认。</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.2.12.在上述确认合同价款的补充协议签订后，</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必须严格按本合同的调整后的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费控制</w:t>
      </w:r>
      <w:r>
        <w:rPr>
          <w:rFonts w:hint="eastAsia" w:ascii="宋体" w:hAnsi="宋体" w:eastAsia="宋体" w:cs="宋体"/>
          <w:spacing w:val="10"/>
          <w:sz w:val="24"/>
          <w:szCs w:val="24"/>
          <w:lang w:val="en-US" w:eastAsia="zh-CN"/>
        </w:rPr>
        <w:t>工程</w:t>
      </w:r>
      <w:r>
        <w:rPr>
          <w:rFonts w:hint="eastAsia" w:ascii="宋体" w:hAnsi="宋体" w:eastAsia="宋体" w:cs="宋体"/>
          <w:spacing w:val="10"/>
          <w:sz w:val="24"/>
          <w:szCs w:val="24"/>
        </w:rPr>
        <w:t>造价，不得突破</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投标时的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费投标报价。</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.2.13.当调整后的合同价款确定后，合同价格不再作调整，只有当此后因</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原因而引起工程造价产生实际变动，且经监理单位、工程造价咨询机构审核并获</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确认的，则本合同的预算价格将根据实际情况作相应的增加或减少。</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.3.确定变更价款</w:t>
      </w:r>
    </w:p>
    <w:p>
      <w:pPr>
        <w:adjustRightInd/>
        <w:spacing w:line="360" w:lineRule="auto"/>
        <w:ind w:firstLine="520" w:firstLineChars="200"/>
        <w:jc w:val="left"/>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.3.1合同履行过程中发生工程变更的，工程变更权限按以下文件执行：</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.3.1.1.结算调整范围和方式按招标文件的有关规定及合同相关条款执行。</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.3.1.2.本项目的主要材料、设备变更处理办法：经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审定的施工图纸，</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无条件进行</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施工并达到设计效果，所有的主要材料、设备采购前，</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必须提前10天（或不影响</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施工计划）提供主要材料的采购计划，并提供样品进行参选，待</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定样后才能正式采购。当实际</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施工时，</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发现所选用的材料效果达不到设计效果，则</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有权要求</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重新选用符合要求的材料施工，即使所选定的材料价比原预算价高费用也不作调整，所发生的费用已包含在合同价款内。</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本项目的设计变更的处理方法：本</w:t>
      </w:r>
      <w:r>
        <w:rPr>
          <w:rFonts w:hint="eastAsia" w:ascii="宋体" w:hAnsi="宋体" w:eastAsia="宋体" w:cs="宋体"/>
          <w:spacing w:val="10"/>
          <w:sz w:val="24"/>
          <w:szCs w:val="24"/>
          <w:lang w:eastAsia="zh-CN"/>
        </w:rPr>
        <w:t>项目</w:t>
      </w:r>
      <w:r>
        <w:rPr>
          <w:rFonts w:hint="eastAsia" w:ascii="宋体" w:hAnsi="宋体" w:eastAsia="宋体" w:cs="宋体"/>
          <w:spacing w:val="10"/>
          <w:sz w:val="24"/>
          <w:szCs w:val="24"/>
        </w:rPr>
        <w:t>采用包方案设计、施工图设计的总价包干的方式承包，</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提供的</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施工产品必须满足</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使用要求，所有</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为了达到设计效果、</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施工质量而采取的变更，均属于合同价内包含的措施费用；</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如感觉到</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设计的</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施工产品没有达到</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招标文件的要求，</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必须修改设计直到满足</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要求为止。设计费包含在合同价款中，结算时不作调整。</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当发生如下情况时可调整合同造价：1）由于</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原因，对已经确认的施工图纸进行变更（包括材料及工艺的变更）的；</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另外增加项目内容，且该内容完全不属于本次招标范围。上述增加的费用参考施工图预算的编制原则的计价方式进行结算。</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.3.2.</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在双方确定变更后14天内不向</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提出变更工程价款报告时，视为该项变更不涉及合同价款的变更。</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.3.3.</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应在收到变更工程价款报告之日起14天内予以确认，</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无正当理由不确认时，自变更工程价款报告送达之日起14天后视为变更工程价款报告已被确认。</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.3.4.</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不同意</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提出的变更价款，按本合同关于争议的约定处理。</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.3.5.因</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自身原因导致的工程变更，</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无权要求追加合同价款。</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.4.结算原则</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.4.1结算原则：</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本项目措施费按调整后的合同价款中的措施费一次性包干，结算时不作调整；</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.4.2.变更及新增工程结算方式</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（1）在经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审核确认的预算中有的项目，按照预算单价乘以变更工程量进行结算。</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（2）在经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审核确认的预算中有相类似的项目，按照预算单价换算乘以变更工程量进行结算。</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（3）在经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审核确认的预算中没有或没有相类似的项目，按</w:t>
      </w:r>
      <w:r>
        <w:rPr>
          <w:rFonts w:hint="eastAsia" w:ascii="宋体" w:hAnsi="宋体" w:eastAsia="宋体" w:cs="宋体"/>
          <w:spacing w:val="10"/>
          <w:sz w:val="24"/>
          <w:szCs w:val="24"/>
          <w:lang w:val="en-US" w:eastAsia="zh-CN"/>
        </w:rPr>
        <w:t>最新</w:t>
      </w:r>
      <w:r>
        <w:rPr>
          <w:rFonts w:hint="eastAsia" w:ascii="宋体" w:hAnsi="宋体" w:eastAsia="宋体" w:cs="宋体"/>
          <w:sz w:val="24"/>
          <w:szCs w:val="24"/>
        </w:rPr>
        <w:t>计价规范</w:t>
      </w:r>
      <w:r>
        <w:rPr>
          <w:rFonts w:hint="eastAsia" w:ascii="宋体" w:hAnsi="宋体" w:eastAsia="宋体" w:cs="宋体"/>
          <w:sz w:val="24"/>
          <w:szCs w:val="24"/>
          <w:lang w:val="en-US" w:eastAsia="zh-CN"/>
        </w:rPr>
        <w:t>、</w:t>
      </w:r>
      <w:r>
        <w:rPr>
          <w:rFonts w:hint="eastAsia" w:ascii="宋体" w:hAnsi="宋体" w:eastAsia="宋体" w:cs="宋体"/>
          <w:sz w:val="24"/>
          <w:szCs w:val="24"/>
        </w:rPr>
        <w:t>预算定额以及与之配套的解释、规定、说明等及其他政策文件</w:t>
      </w:r>
      <w:r>
        <w:rPr>
          <w:rFonts w:hint="eastAsia" w:ascii="宋体" w:hAnsi="宋体" w:eastAsia="宋体" w:cs="宋体"/>
          <w:spacing w:val="10"/>
          <w:sz w:val="24"/>
          <w:szCs w:val="24"/>
        </w:rPr>
        <w:t>的相关规定执行及中标浮动率进行结算，主要材料价格参考投标时期《</w:t>
      </w:r>
      <w:r>
        <w:rPr>
          <w:rFonts w:hint="eastAsia" w:ascii="宋体" w:hAnsi="宋体" w:eastAsia="宋体" w:cs="宋体"/>
          <w:sz w:val="24"/>
          <w:szCs w:val="24"/>
        </w:rPr>
        <w:t>宁波市建设工程造价信息》(无宁波市造价信息的参照浙江省造价信息)，</w:t>
      </w:r>
      <w:r>
        <w:rPr>
          <w:rFonts w:hint="eastAsia" w:ascii="宋体" w:hAnsi="宋体" w:eastAsia="宋体" w:cs="宋体"/>
          <w:sz w:val="24"/>
          <w:szCs w:val="24"/>
          <w:lang w:eastAsia="zh-CN"/>
        </w:rPr>
        <w:t>中标人</w:t>
      </w:r>
      <w:r>
        <w:rPr>
          <w:rFonts w:hint="eastAsia" w:ascii="宋体" w:hAnsi="宋体" w:eastAsia="宋体" w:cs="宋体"/>
          <w:sz w:val="24"/>
          <w:szCs w:val="24"/>
        </w:rPr>
        <w:t>应向</w:t>
      </w:r>
      <w:r>
        <w:rPr>
          <w:rFonts w:hint="eastAsia" w:ascii="宋体" w:hAnsi="宋体" w:eastAsia="宋体" w:cs="宋体"/>
          <w:sz w:val="24"/>
          <w:szCs w:val="24"/>
          <w:lang w:eastAsia="zh-CN"/>
        </w:rPr>
        <w:t>采购人</w:t>
      </w:r>
      <w:r>
        <w:rPr>
          <w:rFonts w:hint="eastAsia" w:ascii="宋体" w:hAnsi="宋体" w:eastAsia="宋体" w:cs="宋体"/>
          <w:sz w:val="24"/>
          <w:szCs w:val="24"/>
        </w:rPr>
        <w:t>提供主要材料</w:t>
      </w:r>
      <w:r>
        <w:rPr>
          <w:rFonts w:hint="eastAsia" w:ascii="宋体" w:hAnsi="宋体" w:eastAsia="宋体" w:cs="宋体"/>
          <w:spacing w:val="10"/>
          <w:sz w:val="24"/>
          <w:szCs w:val="24"/>
        </w:rPr>
        <w:t>的规格、品牌、厂家、报价单、联系电话等资料</w:t>
      </w:r>
      <w:r>
        <w:rPr>
          <w:rFonts w:hint="eastAsia" w:ascii="宋体" w:hAnsi="宋体" w:eastAsia="宋体" w:cs="宋体"/>
          <w:sz w:val="24"/>
          <w:szCs w:val="24"/>
        </w:rPr>
        <w:t>；</w:t>
      </w:r>
      <w:r>
        <w:rPr>
          <w:rFonts w:hint="eastAsia" w:ascii="宋体" w:hAnsi="宋体" w:eastAsia="宋体" w:cs="宋体"/>
          <w:spacing w:val="10"/>
          <w:sz w:val="24"/>
          <w:szCs w:val="24"/>
        </w:rPr>
        <w:t>无信息价材料由中标单位根据市场价报价，并附上相关的材料的规格、品牌、厂家、报价单、联系电话等资料，最终经监理单位审核并经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审批后才能作为结算价格的依据。</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（4）在经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审核确认的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预算中没有或没有相类似且无相关定额的项目，</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按照</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施工当时的市场价格编制预算，由</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审定的价格作为结算依据。</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.5.设备材料结算方式：</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.5.1.乙供材料设备</w:t>
      </w:r>
    </w:p>
    <w:p>
      <w:pPr>
        <w:adjustRightInd/>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（1）在经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审核确认的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预算中有的材料设备按照审定的预算价结算。</w:t>
      </w:r>
    </w:p>
    <w:p>
      <w:pPr>
        <w:adjustRightInd/>
        <w:spacing w:line="360" w:lineRule="auto"/>
        <w:ind w:firstLine="520" w:firstLineChars="200"/>
        <w:rPr>
          <w:rFonts w:hint="eastAsia" w:ascii="宋体" w:hAnsi="宋体" w:eastAsia="宋体" w:cs="宋体"/>
          <w:bCs/>
          <w:color w:val="auto"/>
          <w:kern w:val="0"/>
          <w:sz w:val="24"/>
          <w:szCs w:val="24"/>
          <w:highlight w:val="none"/>
        </w:rPr>
      </w:pPr>
      <w:r>
        <w:rPr>
          <w:rFonts w:hint="eastAsia" w:ascii="宋体" w:hAnsi="宋体" w:eastAsia="宋体" w:cs="宋体"/>
          <w:spacing w:val="10"/>
          <w:sz w:val="24"/>
          <w:szCs w:val="24"/>
        </w:rPr>
        <w:t>（2）在经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审核确认的预算中没有的设备材料，其设备材料价格参考投标时期《</w:t>
      </w:r>
      <w:r>
        <w:rPr>
          <w:rFonts w:hint="eastAsia" w:ascii="宋体" w:hAnsi="宋体" w:eastAsia="宋体" w:cs="宋体"/>
          <w:sz w:val="24"/>
          <w:szCs w:val="24"/>
        </w:rPr>
        <w:t>宁波市建设工程造价信息》(无宁波市造价信息的参照浙江省造价信息)，</w:t>
      </w:r>
      <w:r>
        <w:rPr>
          <w:rFonts w:hint="eastAsia" w:ascii="宋体" w:hAnsi="宋体" w:eastAsia="宋体" w:cs="宋体"/>
          <w:sz w:val="24"/>
          <w:szCs w:val="24"/>
          <w:lang w:eastAsia="zh-CN"/>
        </w:rPr>
        <w:t>中标人</w:t>
      </w:r>
      <w:r>
        <w:rPr>
          <w:rFonts w:hint="eastAsia" w:ascii="宋体" w:hAnsi="宋体" w:eastAsia="宋体" w:cs="宋体"/>
          <w:sz w:val="24"/>
          <w:szCs w:val="24"/>
        </w:rPr>
        <w:t>应向</w:t>
      </w:r>
      <w:r>
        <w:rPr>
          <w:rFonts w:hint="eastAsia" w:ascii="宋体" w:hAnsi="宋体" w:eastAsia="宋体" w:cs="宋体"/>
          <w:sz w:val="24"/>
          <w:szCs w:val="24"/>
          <w:lang w:eastAsia="zh-CN"/>
        </w:rPr>
        <w:t>采购人</w:t>
      </w:r>
      <w:r>
        <w:rPr>
          <w:rFonts w:hint="eastAsia" w:ascii="宋体" w:hAnsi="宋体" w:eastAsia="宋体" w:cs="宋体"/>
          <w:spacing w:val="10"/>
          <w:sz w:val="24"/>
          <w:szCs w:val="24"/>
        </w:rPr>
        <w:t>提供</w:t>
      </w:r>
      <w:r>
        <w:rPr>
          <w:rFonts w:hint="eastAsia" w:ascii="宋体" w:hAnsi="宋体" w:eastAsia="宋体" w:cs="宋体"/>
          <w:sz w:val="24"/>
          <w:szCs w:val="24"/>
        </w:rPr>
        <w:t>主要材料</w:t>
      </w:r>
      <w:r>
        <w:rPr>
          <w:rFonts w:hint="eastAsia" w:ascii="宋体" w:hAnsi="宋体" w:eastAsia="宋体" w:cs="宋体"/>
          <w:spacing w:val="10"/>
          <w:sz w:val="24"/>
          <w:szCs w:val="24"/>
        </w:rPr>
        <w:t>的规格、品牌、厂家、报价单、联系电话等资料</w:t>
      </w:r>
      <w:r>
        <w:rPr>
          <w:rFonts w:hint="eastAsia" w:ascii="宋体" w:hAnsi="宋体" w:eastAsia="宋体" w:cs="宋体"/>
          <w:sz w:val="24"/>
          <w:szCs w:val="24"/>
        </w:rPr>
        <w:t>。无信息价</w:t>
      </w:r>
      <w:r>
        <w:rPr>
          <w:rFonts w:hint="eastAsia" w:ascii="宋体" w:hAnsi="宋体" w:eastAsia="宋体" w:cs="宋体"/>
          <w:spacing w:val="10"/>
          <w:sz w:val="24"/>
          <w:szCs w:val="24"/>
        </w:rPr>
        <w:t>设备材料价格由</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根据市场价报价，并附上相关的材料的规格、品牌、厂家、报价单、联系电话等资料，最终经监理公司审核并经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审批后才能作为结算价的依据。</w:t>
      </w:r>
    </w:p>
    <w:p>
      <w:pPr>
        <w:pStyle w:val="2"/>
        <w:rPr>
          <w:rFonts w:hint="eastAsia" w:hAnsi="宋体" w:cs="宋体"/>
          <w:b/>
          <w:bCs w:val="0"/>
          <w:color w:val="auto"/>
          <w:kern w:val="0"/>
          <w:sz w:val="24"/>
          <w:highlight w:val="none"/>
          <w:lang w:val="en-US" w:eastAsia="zh-CN"/>
        </w:rPr>
      </w:pPr>
    </w:p>
    <w:p>
      <w:pPr>
        <w:pStyle w:val="2"/>
        <w:rPr>
          <w:rFonts w:hint="default" w:ascii="宋体" w:hAnsi="宋体" w:eastAsia="宋体" w:cs="宋体"/>
          <w:b/>
          <w:bCs w:val="0"/>
          <w:color w:val="auto"/>
          <w:kern w:val="0"/>
          <w:sz w:val="24"/>
          <w:highlight w:val="none"/>
          <w:lang w:val="en-US" w:eastAsia="zh-CN"/>
        </w:rPr>
      </w:pPr>
      <w:r>
        <w:rPr>
          <w:rFonts w:hint="eastAsia" w:hAnsi="宋体" w:cs="宋体"/>
          <w:b/>
          <w:bCs w:val="0"/>
          <w:color w:val="auto"/>
          <w:kern w:val="0"/>
          <w:sz w:val="24"/>
          <w:highlight w:val="none"/>
          <w:lang w:val="en-US" w:eastAsia="zh-CN"/>
        </w:rPr>
        <w:t>十一、投标要求</w:t>
      </w:r>
    </w:p>
    <w:p>
      <w:pPr>
        <w:adjustRightInd/>
        <w:spacing w:line="360" w:lineRule="auto"/>
        <w:ind w:firstLine="520" w:firstLineChars="200"/>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供应商须在投标文件中提供完善全面的总体方案，包括设计方案、空间设计（立面图、平面图、效果图）、针对本项目制定的形式设计的创新以及对新材料、新技术的应用情况</w:t>
      </w:r>
      <w:r>
        <w:rPr>
          <w:rFonts w:hint="eastAsia" w:ascii="宋体" w:hAnsi="宋体" w:cs="宋体"/>
          <w:spacing w:val="10"/>
          <w:sz w:val="24"/>
          <w:szCs w:val="24"/>
          <w:lang w:val="en-US" w:eastAsia="zh-CN"/>
        </w:rPr>
        <w:t>、针对本项目提供的布展制作思路是否兼顾古建筑保护</w:t>
      </w:r>
      <w:r>
        <w:rPr>
          <w:rFonts w:hint="eastAsia" w:ascii="宋体" w:hAnsi="宋体" w:eastAsia="宋体" w:cs="宋体"/>
          <w:spacing w:val="10"/>
          <w:sz w:val="24"/>
          <w:szCs w:val="24"/>
          <w:lang w:val="en-US" w:eastAsia="zh-CN"/>
        </w:rPr>
        <w:t>。</w:t>
      </w:r>
      <w:r>
        <w:rPr>
          <w:rFonts w:hint="eastAsia" w:ascii="宋体" w:hAnsi="宋体" w:cs="宋体"/>
          <w:spacing w:val="10"/>
          <w:sz w:val="24"/>
          <w:szCs w:val="24"/>
          <w:lang w:val="en-US" w:eastAsia="zh-CN"/>
        </w:rPr>
        <w:t>在评审现场对项目具体实施内容进行现场陈述（时间不超过20分）。提供布展施工技术方案，包括布展施工现场平面布置、各分部分项施工技术方案、布展施工过程中对古建筑保护措施。提供生产保证措施，针对本项目制定的质量、安全文明生产保证措施。提供进度保证，针对本项目制定的布展施工进度计划及保证措施。拟投入团队配备的人员配备介绍。提供全面的服务保障，包括针对本项目提供的服务便捷性情况（响应时间及到达现场的时间）、针对本项目提供的售后服务保障和承诺。提供同类项目业绩的证明材料以及履约能力相关说明和证明材料。</w:t>
      </w:r>
    </w:p>
    <w:p>
      <w:pPr>
        <w:pStyle w:val="4"/>
        <w:ind w:left="0" w:leftChars="0" w:firstLine="0" w:firstLineChars="0"/>
        <w:rPr>
          <w:rFonts w:ascii="宋体" w:hAnsi="宋体" w:cs="宋体"/>
          <w:bCs/>
          <w:color w:val="auto"/>
          <w:kern w:val="0"/>
          <w:sz w:val="24"/>
          <w:highlight w:val="none"/>
        </w:rPr>
      </w:pPr>
    </w:p>
    <w:p>
      <w:pPr>
        <w:rPr>
          <w:rFonts w:ascii="宋体" w:hAnsi="宋体" w:cs="宋体"/>
          <w:bCs/>
          <w:color w:val="auto"/>
          <w:kern w:val="0"/>
          <w:sz w:val="24"/>
          <w:highlight w:val="none"/>
        </w:rPr>
      </w:pPr>
    </w:p>
    <w:p>
      <w:pPr>
        <w:pStyle w:val="2"/>
        <w:rPr>
          <w:rFonts w:ascii="宋体" w:hAnsi="宋体" w:cs="宋体"/>
          <w:bCs/>
          <w:color w:val="auto"/>
          <w:kern w:val="0"/>
          <w:sz w:val="24"/>
          <w:highlight w:val="none"/>
        </w:rPr>
      </w:pPr>
    </w:p>
    <w:p>
      <w:pPr>
        <w:pStyle w:val="3"/>
        <w:ind w:left="0" w:leftChars="0" w:firstLine="0" w:firstLineChars="0"/>
        <w:rPr>
          <w:rFonts w:ascii="宋体" w:hAnsi="宋体" w:cs="宋体"/>
          <w:bCs/>
          <w:color w:val="auto"/>
          <w:kern w:val="0"/>
          <w:sz w:val="24"/>
          <w:highlight w:val="none"/>
        </w:rPr>
      </w:pPr>
    </w:p>
    <w:p>
      <w:pPr>
        <w:pStyle w:val="4"/>
        <w:ind w:left="0" w:leftChars="0" w:firstLine="0" w:firstLineChars="0"/>
        <w:rPr>
          <w:rFonts w:ascii="宋体" w:hAnsi="宋体" w:cs="宋体"/>
          <w:bCs/>
          <w:color w:val="auto"/>
          <w:kern w:val="0"/>
          <w:sz w:val="24"/>
          <w:highlight w:val="none"/>
        </w:rPr>
      </w:pPr>
    </w:p>
    <w:p/>
    <w:p>
      <w:pPr>
        <w:adjustRightInd/>
        <w:spacing w:line="360" w:lineRule="auto"/>
        <w:ind w:firstLine="470" w:firstLineChars="196"/>
        <w:rPr>
          <w:color w:val="auto"/>
          <w:sz w:val="24"/>
          <w:highlight w:val="none"/>
        </w:rPr>
        <w:sectPr>
          <w:pgSz w:w="11906" w:h="16838"/>
          <w:pgMar w:top="1418" w:right="1287" w:bottom="1134" w:left="1621" w:header="851" w:footer="992" w:gutter="0"/>
          <w:cols w:space="720" w:num="1"/>
          <w:titlePg/>
          <w:docGrid w:type="linesAndChars" w:linePitch="321" w:charSpace="0"/>
        </w:sectPr>
      </w:pPr>
    </w:p>
    <w:p>
      <w:pPr>
        <w:spacing w:line="360" w:lineRule="auto"/>
        <w:jc w:val="center"/>
        <w:outlineLvl w:val="0"/>
        <w:rPr>
          <w:rFonts w:ascii="宋体" w:hAnsi="宋体" w:cs="宋体"/>
          <w:b/>
          <w:color w:val="auto"/>
          <w:sz w:val="36"/>
          <w:szCs w:val="36"/>
          <w:highlight w:val="none"/>
        </w:rPr>
      </w:pPr>
      <w:bookmarkStart w:id="26" w:name="_Toc28372"/>
      <w:r>
        <w:rPr>
          <w:rFonts w:hint="eastAsia" w:ascii="宋体" w:hAnsi="宋体" w:cs="宋体"/>
          <w:b/>
          <w:color w:val="auto"/>
          <w:sz w:val="36"/>
          <w:szCs w:val="36"/>
          <w:highlight w:val="none"/>
        </w:rPr>
        <w:t xml:space="preserve">第四部分 </w:t>
      </w:r>
      <w:bookmarkStart w:id="27" w:name="_Toc184308084"/>
      <w:bookmarkEnd w:id="27"/>
      <w:bookmarkStart w:id="28" w:name="_Toc184310296"/>
      <w:bookmarkEnd w:id="28"/>
      <w:bookmarkStart w:id="29" w:name="_Toc184308103"/>
      <w:bookmarkEnd w:id="29"/>
      <w:bookmarkStart w:id="30" w:name="_Toc184313264"/>
      <w:bookmarkEnd w:id="30"/>
      <w:bookmarkStart w:id="31" w:name="_Toc184312135"/>
      <w:bookmarkEnd w:id="31"/>
      <w:bookmarkStart w:id="32" w:name="_Toc184308086"/>
      <w:bookmarkEnd w:id="32"/>
      <w:bookmarkStart w:id="33" w:name="_Toc184312108"/>
      <w:bookmarkEnd w:id="33"/>
      <w:bookmarkStart w:id="34" w:name="_Toc184312074"/>
      <w:bookmarkEnd w:id="34"/>
      <w:bookmarkStart w:id="35" w:name="_Toc184314431"/>
      <w:bookmarkEnd w:id="35"/>
      <w:bookmarkStart w:id="36" w:name="_Toc184313272"/>
      <w:bookmarkEnd w:id="36"/>
      <w:bookmarkStart w:id="37" w:name="_Toc184314448"/>
      <w:bookmarkEnd w:id="37"/>
      <w:bookmarkStart w:id="38" w:name="_Toc184308105"/>
      <w:bookmarkEnd w:id="38"/>
      <w:bookmarkStart w:id="39" w:name="_Toc184310333"/>
      <w:bookmarkEnd w:id="39"/>
      <w:bookmarkStart w:id="40" w:name="_Toc184312095"/>
      <w:bookmarkEnd w:id="40"/>
      <w:bookmarkStart w:id="41" w:name="_Toc184312098"/>
      <w:bookmarkEnd w:id="41"/>
      <w:bookmarkStart w:id="42" w:name="_Toc184312080"/>
      <w:bookmarkEnd w:id="42"/>
      <w:bookmarkStart w:id="43" w:name="_Toc184314476"/>
      <w:bookmarkEnd w:id="43"/>
      <w:bookmarkStart w:id="44" w:name="_Toc184312110"/>
      <w:bookmarkEnd w:id="44"/>
      <w:bookmarkStart w:id="45" w:name="_Toc184313265"/>
      <w:bookmarkEnd w:id="45"/>
      <w:bookmarkStart w:id="46" w:name="_Toc184314412"/>
      <w:bookmarkEnd w:id="46"/>
      <w:bookmarkStart w:id="47" w:name="_Toc184314480"/>
      <w:bookmarkEnd w:id="47"/>
      <w:bookmarkStart w:id="48" w:name="_Toc184310290"/>
      <w:bookmarkEnd w:id="48"/>
      <w:bookmarkStart w:id="49" w:name="_Toc184308062"/>
      <w:bookmarkEnd w:id="49"/>
      <w:bookmarkStart w:id="50" w:name="_Toc184308090"/>
      <w:bookmarkEnd w:id="50"/>
      <w:bookmarkStart w:id="51" w:name="_Toc184312128"/>
      <w:bookmarkEnd w:id="51"/>
      <w:bookmarkStart w:id="52" w:name="_Toc184314427"/>
      <w:bookmarkEnd w:id="52"/>
      <w:bookmarkStart w:id="53" w:name="_Toc184308049"/>
      <w:bookmarkEnd w:id="53"/>
      <w:bookmarkStart w:id="54" w:name="_Toc184313305"/>
      <w:bookmarkEnd w:id="54"/>
      <w:bookmarkStart w:id="55" w:name="_Toc184312091"/>
      <w:bookmarkEnd w:id="55"/>
      <w:bookmarkStart w:id="56" w:name="_Toc184310283"/>
      <w:bookmarkEnd w:id="56"/>
      <w:bookmarkStart w:id="57" w:name="_Toc184310334"/>
      <w:bookmarkEnd w:id="57"/>
      <w:bookmarkStart w:id="58" w:name="_Toc184308099"/>
      <w:bookmarkEnd w:id="58"/>
      <w:bookmarkStart w:id="59" w:name="_Toc184308054"/>
      <w:bookmarkEnd w:id="59"/>
      <w:bookmarkStart w:id="60" w:name="_Toc184310312"/>
      <w:bookmarkEnd w:id="60"/>
      <w:bookmarkStart w:id="61" w:name="_Toc184314434"/>
      <w:bookmarkEnd w:id="61"/>
      <w:bookmarkStart w:id="62" w:name="_Toc184308101"/>
      <w:bookmarkEnd w:id="62"/>
      <w:bookmarkStart w:id="63" w:name="_Toc184312105"/>
      <w:bookmarkEnd w:id="63"/>
      <w:bookmarkStart w:id="64" w:name="_Toc184314479"/>
      <w:bookmarkEnd w:id="64"/>
      <w:bookmarkStart w:id="65" w:name="_Toc184313250"/>
      <w:bookmarkEnd w:id="65"/>
      <w:bookmarkStart w:id="66" w:name="_Toc184308069"/>
      <w:bookmarkEnd w:id="66"/>
      <w:bookmarkStart w:id="67" w:name="_Toc184314445"/>
      <w:bookmarkEnd w:id="67"/>
      <w:bookmarkStart w:id="68" w:name="_Toc184314457"/>
      <w:bookmarkEnd w:id="68"/>
      <w:bookmarkStart w:id="69" w:name="_Toc184308095"/>
      <w:bookmarkEnd w:id="69"/>
      <w:bookmarkStart w:id="70" w:name="_Toc184313298"/>
      <w:bookmarkEnd w:id="70"/>
      <w:bookmarkStart w:id="71" w:name="_Toc184308057"/>
      <w:bookmarkEnd w:id="71"/>
      <w:bookmarkStart w:id="72" w:name="_Toc184313282"/>
      <w:bookmarkEnd w:id="72"/>
      <w:bookmarkStart w:id="73" w:name="_Toc184310272"/>
      <w:bookmarkEnd w:id="73"/>
      <w:bookmarkStart w:id="74" w:name="_Toc184312130"/>
      <w:bookmarkEnd w:id="74"/>
      <w:bookmarkStart w:id="75" w:name="_Toc184313307"/>
      <w:bookmarkEnd w:id="75"/>
      <w:bookmarkStart w:id="76" w:name="_Toc184313306"/>
      <w:bookmarkEnd w:id="76"/>
      <w:bookmarkStart w:id="77" w:name="_Toc184308064"/>
      <w:bookmarkEnd w:id="77"/>
      <w:bookmarkStart w:id="78" w:name="_Toc184312086"/>
      <w:bookmarkEnd w:id="78"/>
      <w:bookmarkStart w:id="79" w:name="_Toc184308046"/>
      <w:bookmarkEnd w:id="79"/>
      <w:bookmarkStart w:id="80" w:name="_Toc184312127"/>
      <w:bookmarkEnd w:id="80"/>
      <w:bookmarkStart w:id="81" w:name="_Toc184313270"/>
      <w:bookmarkEnd w:id="81"/>
      <w:bookmarkStart w:id="82" w:name="_Toc184313262"/>
      <w:bookmarkEnd w:id="82"/>
      <w:bookmarkStart w:id="83" w:name="_Toc184314473"/>
      <w:bookmarkEnd w:id="83"/>
      <w:bookmarkStart w:id="84" w:name="_Toc184312134"/>
      <w:bookmarkEnd w:id="84"/>
      <w:bookmarkStart w:id="85" w:name="_Toc184314471"/>
      <w:bookmarkEnd w:id="85"/>
      <w:bookmarkStart w:id="86" w:name="_Toc184308050"/>
      <w:bookmarkEnd w:id="86"/>
      <w:bookmarkStart w:id="87" w:name="_Toc184310277"/>
      <w:bookmarkEnd w:id="87"/>
      <w:bookmarkStart w:id="88" w:name="_Toc184308107"/>
      <w:bookmarkEnd w:id="88"/>
      <w:bookmarkStart w:id="89" w:name="_Toc184308096"/>
      <w:bookmarkEnd w:id="89"/>
      <w:bookmarkStart w:id="90" w:name="_Toc184310314"/>
      <w:bookmarkEnd w:id="90"/>
      <w:bookmarkStart w:id="91" w:name="_Toc184312104"/>
      <w:bookmarkEnd w:id="91"/>
      <w:bookmarkStart w:id="92" w:name="_Toc184310285"/>
      <w:bookmarkEnd w:id="92"/>
      <w:bookmarkStart w:id="93" w:name="_Toc184314475"/>
      <w:bookmarkEnd w:id="93"/>
      <w:bookmarkStart w:id="94" w:name="_Toc184314439"/>
      <w:bookmarkEnd w:id="94"/>
      <w:bookmarkStart w:id="95" w:name="_Toc184308045"/>
      <w:bookmarkEnd w:id="95"/>
      <w:bookmarkStart w:id="96" w:name="_Toc184314468"/>
      <w:bookmarkEnd w:id="96"/>
      <w:bookmarkStart w:id="97" w:name="_Toc184310323"/>
      <w:bookmarkEnd w:id="97"/>
      <w:bookmarkStart w:id="98" w:name="_Toc184310308"/>
      <w:bookmarkEnd w:id="98"/>
      <w:bookmarkStart w:id="99" w:name="_Toc184313277"/>
      <w:bookmarkEnd w:id="99"/>
      <w:bookmarkStart w:id="100" w:name="_Toc184313288"/>
      <w:bookmarkEnd w:id="100"/>
      <w:bookmarkStart w:id="101" w:name="_Toc184314466"/>
      <w:bookmarkEnd w:id="101"/>
      <w:bookmarkStart w:id="102" w:name="_Toc184314478"/>
      <w:bookmarkEnd w:id="102"/>
      <w:bookmarkStart w:id="103" w:name="_Toc184314443"/>
      <w:bookmarkEnd w:id="103"/>
      <w:bookmarkStart w:id="104" w:name="_Toc184308042"/>
      <w:bookmarkEnd w:id="104"/>
      <w:bookmarkStart w:id="105" w:name="_Toc184312121"/>
      <w:bookmarkEnd w:id="105"/>
      <w:bookmarkStart w:id="106" w:name="_Toc184310295"/>
      <w:bookmarkEnd w:id="106"/>
      <w:bookmarkStart w:id="107" w:name="_Toc184314428"/>
      <w:bookmarkEnd w:id="107"/>
      <w:bookmarkStart w:id="108" w:name="_Toc184310288"/>
      <w:bookmarkEnd w:id="108"/>
      <w:bookmarkStart w:id="109" w:name="_Toc184312076"/>
      <w:bookmarkEnd w:id="109"/>
      <w:bookmarkStart w:id="110" w:name="_Toc184313294"/>
      <w:bookmarkEnd w:id="110"/>
      <w:bookmarkStart w:id="111" w:name="_Toc184310343"/>
      <w:bookmarkEnd w:id="111"/>
      <w:bookmarkStart w:id="112" w:name="_Toc184310328"/>
      <w:bookmarkEnd w:id="112"/>
      <w:bookmarkStart w:id="113" w:name="_Toc184313280"/>
      <w:bookmarkEnd w:id="113"/>
      <w:bookmarkStart w:id="114" w:name="_Toc184308070"/>
      <w:bookmarkEnd w:id="114"/>
      <w:bookmarkStart w:id="115" w:name="_Toc184313263"/>
      <w:bookmarkEnd w:id="115"/>
      <w:bookmarkStart w:id="116" w:name="_Toc184308075"/>
      <w:bookmarkEnd w:id="116"/>
      <w:bookmarkStart w:id="117" w:name="_Toc184313301"/>
      <w:bookmarkEnd w:id="117"/>
      <w:bookmarkStart w:id="118" w:name="_Toc184310274"/>
      <w:bookmarkEnd w:id="118"/>
      <w:bookmarkStart w:id="119" w:name="_Toc184310319"/>
      <w:bookmarkEnd w:id="119"/>
      <w:bookmarkStart w:id="120" w:name="_Toc184312139"/>
      <w:bookmarkEnd w:id="120"/>
      <w:bookmarkStart w:id="121" w:name="_Toc184308052"/>
      <w:bookmarkEnd w:id="121"/>
      <w:bookmarkStart w:id="122" w:name="_Toc184310278"/>
      <w:bookmarkEnd w:id="122"/>
      <w:bookmarkStart w:id="123" w:name="_Toc184313279"/>
      <w:bookmarkEnd w:id="123"/>
      <w:bookmarkStart w:id="124" w:name="_Toc184312138"/>
      <w:bookmarkEnd w:id="124"/>
      <w:bookmarkStart w:id="125" w:name="_Toc184310321"/>
      <w:bookmarkEnd w:id="125"/>
      <w:bookmarkStart w:id="126" w:name="_Toc184308104"/>
      <w:bookmarkEnd w:id="126"/>
      <w:bookmarkStart w:id="127" w:name="_Toc184312120"/>
      <w:bookmarkEnd w:id="127"/>
      <w:bookmarkStart w:id="128" w:name="_Toc184313258"/>
      <w:bookmarkEnd w:id="128"/>
      <w:bookmarkStart w:id="129" w:name="_Toc184314425"/>
      <w:bookmarkEnd w:id="129"/>
      <w:bookmarkStart w:id="130" w:name="_Toc184310315"/>
      <w:bookmarkEnd w:id="130"/>
      <w:bookmarkStart w:id="131" w:name="_Toc184314423"/>
      <w:bookmarkEnd w:id="131"/>
      <w:bookmarkStart w:id="132" w:name="_Toc184312132"/>
      <w:bookmarkEnd w:id="132"/>
      <w:bookmarkStart w:id="133" w:name="_Toc184313254"/>
      <w:bookmarkEnd w:id="133"/>
      <w:bookmarkStart w:id="134" w:name="_Toc184310337"/>
      <w:bookmarkEnd w:id="134"/>
      <w:bookmarkStart w:id="135" w:name="_Toc184314435"/>
      <w:bookmarkEnd w:id="135"/>
      <w:bookmarkStart w:id="136" w:name="_Toc184312082"/>
      <w:bookmarkEnd w:id="136"/>
      <w:bookmarkStart w:id="137" w:name="_Toc184312107"/>
      <w:bookmarkEnd w:id="137"/>
      <w:bookmarkStart w:id="138" w:name="_Toc184312087"/>
      <w:bookmarkEnd w:id="138"/>
      <w:bookmarkStart w:id="139" w:name="_Toc184312084"/>
      <w:bookmarkEnd w:id="139"/>
      <w:bookmarkStart w:id="140" w:name="_Toc184308071"/>
      <w:bookmarkEnd w:id="140"/>
      <w:bookmarkStart w:id="141" w:name="_Toc184308047"/>
      <w:bookmarkEnd w:id="141"/>
      <w:bookmarkStart w:id="142" w:name="_Toc184314416"/>
      <w:bookmarkEnd w:id="142"/>
      <w:bookmarkStart w:id="143" w:name="_Toc184314410"/>
      <w:bookmarkEnd w:id="143"/>
      <w:bookmarkStart w:id="144" w:name="_Toc184308063"/>
      <w:bookmarkEnd w:id="144"/>
      <w:bookmarkStart w:id="145" w:name="_Toc184308058"/>
      <w:bookmarkEnd w:id="145"/>
      <w:bookmarkStart w:id="146" w:name="_Toc184314419"/>
      <w:bookmarkEnd w:id="146"/>
      <w:bookmarkStart w:id="147" w:name="_Toc184310309"/>
      <w:bookmarkEnd w:id="147"/>
      <w:bookmarkStart w:id="148" w:name="_Toc184308081"/>
      <w:bookmarkEnd w:id="148"/>
      <w:bookmarkStart w:id="149" w:name="_Toc184314481"/>
      <w:bookmarkEnd w:id="149"/>
      <w:bookmarkStart w:id="150" w:name="_Toc184314426"/>
      <w:bookmarkEnd w:id="150"/>
      <w:bookmarkStart w:id="151" w:name="_Toc184308080"/>
      <w:bookmarkEnd w:id="151"/>
      <w:bookmarkStart w:id="152" w:name="_Toc184313241"/>
      <w:bookmarkEnd w:id="152"/>
      <w:bookmarkStart w:id="153" w:name="_Toc184313293"/>
      <w:bookmarkEnd w:id="153"/>
      <w:bookmarkStart w:id="154" w:name="_Toc184313239"/>
      <w:bookmarkEnd w:id="154"/>
      <w:bookmarkStart w:id="155" w:name="_Toc184313302"/>
      <w:bookmarkEnd w:id="155"/>
      <w:bookmarkStart w:id="156" w:name="_Toc184310279"/>
      <w:bookmarkEnd w:id="156"/>
      <w:bookmarkStart w:id="157" w:name="_Toc184312073"/>
      <w:bookmarkEnd w:id="157"/>
      <w:bookmarkStart w:id="158" w:name="_Toc184310280"/>
      <w:bookmarkEnd w:id="158"/>
      <w:bookmarkStart w:id="159" w:name="_Toc184314430"/>
      <w:bookmarkEnd w:id="159"/>
      <w:bookmarkStart w:id="160" w:name="_Toc184310292"/>
      <w:bookmarkEnd w:id="160"/>
      <w:bookmarkStart w:id="161" w:name="_Toc184314453"/>
      <w:bookmarkEnd w:id="161"/>
      <w:bookmarkStart w:id="162" w:name="_Toc184312111"/>
      <w:bookmarkEnd w:id="162"/>
      <w:bookmarkStart w:id="163" w:name="_Toc184313284"/>
      <w:bookmarkEnd w:id="163"/>
      <w:bookmarkStart w:id="164" w:name="_Toc184308048"/>
      <w:bookmarkEnd w:id="164"/>
      <w:bookmarkStart w:id="165" w:name="_Toc184312075"/>
      <w:bookmarkEnd w:id="165"/>
      <w:bookmarkStart w:id="166" w:name="_Toc184308100"/>
      <w:bookmarkEnd w:id="166"/>
      <w:bookmarkStart w:id="167" w:name="_Toc184310331"/>
      <w:bookmarkEnd w:id="167"/>
      <w:bookmarkStart w:id="168" w:name="_Toc184314413"/>
      <w:bookmarkEnd w:id="168"/>
      <w:bookmarkStart w:id="169" w:name="_Toc184308041"/>
      <w:bookmarkEnd w:id="169"/>
      <w:bookmarkStart w:id="170" w:name="_Toc184310276"/>
      <w:bookmarkEnd w:id="170"/>
      <w:bookmarkStart w:id="171" w:name="_Toc184314417"/>
      <w:bookmarkEnd w:id="171"/>
      <w:bookmarkStart w:id="172" w:name="_Toc184313300"/>
      <w:bookmarkEnd w:id="172"/>
      <w:bookmarkStart w:id="173" w:name="_Toc184308040"/>
      <w:bookmarkEnd w:id="173"/>
      <w:bookmarkStart w:id="174" w:name="_Toc184314422"/>
      <w:bookmarkEnd w:id="174"/>
      <w:bookmarkStart w:id="175" w:name="_Toc184313309"/>
      <w:bookmarkEnd w:id="175"/>
      <w:bookmarkStart w:id="176" w:name="_Toc184313274"/>
      <w:bookmarkEnd w:id="176"/>
      <w:bookmarkStart w:id="177" w:name="_Toc184310310"/>
      <w:bookmarkEnd w:id="177"/>
      <w:bookmarkStart w:id="178" w:name="_Toc184308036"/>
      <w:bookmarkEnd w:id="178"/>
      <w:bookmarkStart w:id="179" w:name="_Toc184310317"/>
      <w:bookmarkEnd w:id="179"/>
      <w:bookmarkStart w:id="180" w:name="_Toc184310303"/>
      <w:bookmarkEnd w:id="180"/>
      <w:bookmarkStart w:id="181" w:name="_Toc184308053"/>
      <w:bookmarkEnd w:id="181"/>
      <w:bookmarkStart w:id="182" w:name="_Toc184310311"/>
      <w:bookmarkEnd w:id="182"/>
      <w:bookmarkStart w:id="183" w:name="_Toc184310301"/>
      <w:bookmarkEnd w:id="183"/>
      <w:bookmarkStart w:id="184" w:name="_Toc184308073"/>
      <w:bookmarkEnd w:id="184"/>
      <w:bookmarkStart w:id="185" w:name="_Toc184313245"/>
      <w:bookmarkEnd w:id="185"/>
      <w:bookmarkStart w:id="186" w:name="_Toc184312102"/>
      <w:bookmarkEnd w:id="186"/>
      <w:bookmarkStart w:id="187" w:name="_Toc184313267"/>
      <w:bookmarkEnd w:id="187"/>
      <w:bookmarkStart w:id="188" w:name="_Toc184314467"/>
      <w:bookmarkEnd w:id="188"/>
      <w:bookmarkStart w:id="189" w:name="_Toc184310304"/>
      <w:bookmarkEnd w:id="189"/>
      <w:bookmarkStart w:id="190" w:name="_Toc184310286"/>
      <w:bookmarkEnd w:id="190"/>
      <w:bookmarkStart w:id="191" w:name="_Toc184310284"/>
      <w:bookmarkEnd w:id="191"/>
      <w:bookmarkStart w:id="192" w:name="_Toc184314460"/>
      <w:bookmarkEnd w:id="192"/>
      <w:bookmarkStart w:id="193" w:name="_Toc184313260"/>
      <w:bookmarkEnd w:id="193"/>
      <w:bookmarkStart w:id="194" w:name="_Toc184308098"/>
      <w:bookmarkEnd w:id="194"/>
      <w:bookmarkStart w:id="195" w:name="_Toc184312117"/>
      <w:bookmarkEnd w:id="195"/>
      <w:bookmarkStart w:id="196" w:name="_Toc184312101"/>
      <w:bookmarkEnd w:id="196"/>
      <w:bookmarkStart w:id="197" w:name="_Toc184310282"/>
      <w:bookmarkEnd w:id="197"/>
      <w:bookmarkStart w:id="198" w:name="_Toc184313243"/>
      <w:bookmarkEnd w:id="198"/>
      <w:bookmarkStart w:id="199" w:name="_Toc184312067"/>
      <w:bookmarkEnd w:id="199"/>
      <w:bookmarkStart w:id="200" w:name="_Toc184308089"/>
      <w:bookmarkEnd w:id="200"/>
      <w:bookmarkStart w:id="201" w:name="_Toc184314455"/>
      <w:bookmarkEnd w:id="201"/>
      <w:bookmarkStart w:id="202" w:name="_Toc184310293"/>
      <w:bookmarkEnd w:id="202"/>
      <w:bookmarkStart w:id="203" w:name="_Toc184310287"/>
      <w:bookmarkEnd w:id="203"/>
      <w:bookmarkStart w:id="204" w:name="_Toc184308072"/>
      <w:bookmarkEnd w:id="204"/>
      <w:bookmarkStart w:id="205" w:name="_Toc184314437"/>
      <w:bookmarkEnd w:id="205"/>
      <w:bookmarkStart w:id="206" w:name="_Toc184310332"/>
      <w:bookmarkEnd w:id="206"/>
      <w:bookmarkStart w:id="207" w:name="_Toc184308056"/>
      <w:bookmarkEnd w:id="207"/>
      <w:bookmarkStart w:id="208" w:name="_Toc184312124"/>
      <w:bookmarkEnd w:id="208"/>
      <w:bookmarkStart w:id="209" w:name="_Toc184310305"/>
      <w:bookmarkEnd w:id="209"/>
      <w:bookmarkStart w:id="210" w:name="_Toc184308039"/>
      <w:bookmarkEnd w:id="210"/>
      <w:bookmarkStart w:id="211" w:name="_Toc184308093"/>
      <w:bookmarkEnd w:id="211"/>
      <w:bookmarkStart w:id="212" w:name="_Toc184308077"/>
      <w:bookmarkEnd w:id="212"/>
      <w:bookmarkStart w:id="213" w:name="_Toc184314472"/>
      <w:bookmarkEnd w:id="213"/>
      <w:bookmarkStart w:id="214" w:name="_Toc184312137"/>
      <w:bookmarkEnd w:id="214"/>
      <w:bookmarkStart w:id="215" w:name="_Toc184312115"/>
      <w:bookmarkEnd w:id="215"/>
      <w:bookmarkStart w:id="216" w:name="_Toc184312078"/>
      <w:bookmarkEnd w:id="216"/>
      <w:bookmarkStart w:id="217" w:name="_Toc184313281"/>
      <w:bookmarkEnd w:id="217"/>
      <w:bookmarkStart w:id="218" w:name="_Toc184313292"/>
      <w:bookmarkEnd w:id="218"/>
      <w:bookmarkStart w:id="219" w:name="_Toc184313283"/>
      <w:bookmarkEnd w:id="219"/>
      <w:bookmarkStart w:id="220" w:name="_Toc184308065"/>
      <w:bookmarkEnd w:id="220"/>
      <w:bookmarkStart w:id="221" w:name="_Toc184313299"/>
      <w:bookmarkEnd w:id="221"/>
      <w:bookmarkStart w:id="222" w:name="_Toc184308087"/>
      <w:bookmarkEnd w:id="222"/>
      <w:bookmarkStart w:id="223" w:name="_Toc184308044"/>
      <w:bookmarkEnd w:id="223"/>
      <w:bookmarkStart w:id="224" w:name="_Toc184312136"/>
      <w:bookmarkEnd w:id="224"/>
      <w:bookmarkStart w:id="225" w:name="_Toc184308088"/>
      <w:bookmarkEnd w:id="225"/>
      <w:bookmarkStart w:id="226" w:name="_Toc184314454"/>
      <w:bookmarkEnd w:id="226"/>
      <w:bookmarkStart w:id="227" w:name="_Toc184314440"/>
      <w:bookmarkEnd w:id="227"/>
      <w:bookmarkStart w:id="228" w:name="_Toc184312116"/>
      <w:bookmarkEnd w:id="228"/>
      <w:bookmarkStart w:id="229" w:name="_Toc184312081"/>
      <w:bookmarkEnd w:id="229"/>
      <w:bookmarkStart w:id="230" w:name="_Toc184310299"/>
      <w:bookmarkEnd w:id="230"/>
      <w:bookmarkStart w:id="231" w:name="_Toc184313252"/>
      <w:bookmarkEnd w:id="231"/>
      <w:bookmarkStart w:id="232" w:name="_Toc184313242"/>
      <w:bookmarkEnd w:id="232"/>
      <w:bookmarkStart w:id="233" w:name="_Toc184312113"/>
      <w:bookmarkEnd w:id="233"/>
      <w:bookmarkStart w:id="234" w:name="_Toc184310273"/>
      <w:bookmarkEnd w:id="234"/>
      <w:bookmarkStart w:id="235" w:name="_Toc184313303"/>
      <w:bookmarkEnd w:id="235"/>
      <w:bookmarkStart w:id="236" w:name="_Toc184310330"/>
      <w:bookmarkEnd w:id="236"/>
      <w:bookmarkStart w:id="237" w:name="_Toc184312119"/>
      <w:bookmarkEnd w:id="237"/>
      <w:bookmarkStart w:id="238" w:name="_Toc184312072"/>
      <w:bookmarkEnd w:id="238"/>
      <w:bookmarkStart w:id="239" w:name="_Toc184313285"/>
      <w:bookmarkEnd w:id="239"/>
      <w:bookmarkStart w:id="240" w:name="_Toc184312126"/>
      <w:bookmarkEnd w:id="240"/>
      <w:bookmarkStart w:id="241" w:name="_Toc184310342"/>
      <w:bookmarkEnd w:id="241"/>
      <w:bookmarkStart w:id="242" w:name="_Toc184312122"/>
      <w:bookmarkEnd w:id="242"/>
      <w:bookmarkStart w:id="243" w:name="_Toc184308037"/>
      <w:bookmarkEnd w:id="243"/>
      <w:bookmarkStart w:id="244" w:name="_Toc184313273"/>
      <w:bookmarkEnd w:id="244"/>
      <w:bookmarkStart w:id="245" w:name="_Toc184312094"/>
      <w:bookmarkEnd w:id="245"/>
      <w:bookmarkStart w:id="246" w:name="_Toc184313251"/>
      <w:bookmarkEnd w:id="246"/>
      <w:bookmarkStart w:id="247" w:name="_Toc184313247"/>
      <w:bookmarkEnd w:id="247"/>
      <w:bookmarkStart w:id="248" w:name="_Toc184313261"/>
      <w:bookmarkEnd w:id="248"/>
      <w:bookmarkStart w:id="249" w:name="_Toc184308079"/>
      <w:bookmarkEnd w:id="249"/>
      <w:bookmarkStart w:id="250" w:name="_Toc184310298"/>
      <w:bookmarkEnd w:id="250"/>
      <w:bookmarkStart w:id="251" w:name="_Toc184310322"/>
      <w:bookmarkEnd w:id="251"/>
      <w:bookmarkStart w:id="252" w:name="_Toc184312131"/>
      <w:bookmarkEnd w:id="252"/>
      <w:bookmarkStart w:id="253" w:name="_Toc184308059"/>
      <w:bookmarkEnd w:id="253"/>
      <w:bookmarkStart w:id="254" w:name="_Toc184313271"/>
      <w:bookmarkEnd w:id="254"/>
      <w:bookmarkStart w:id="255" w:name="_Toc184310341"/>
      <w:bookmarkEnd w:id="255"/>
      <w:bookmarkStart w:id="256" w:name="_Toc184312070"/>
      <w:bookmarkEnd w:id="256"/>
      <w:bookmarkStart w:id="257" w:name="_Toc184314463"/>
      <w:bookmarkEnd w:id="257"/>
      <w:bookmarkStart w:id="258" w:name="_Toc184310313"/>
      <w:bookmarkEnd w:id="258"/>
      <w:bookmarkStart w:id="259" w:name="_Toc184313266"/>
      <w:bookmarkEnd w:id="259"/>
      <w:bookmarkStart w:id="260" w:name="_Toc184313249"/>
      <w:bookmarkEnd w:id="260"/>
      <w:bookmarkStart w:id="261" w:name="_Toc184310275"/>
      <w:bookmarkEnd w:id="261"/>
      <w:bookmarkStart w:id="262" w:name="_Toc184310318"/>
      <w:bookmarkEnd w:id="262"/>
      <w:bookmarkStart w:id="263" w:name="_Toc184314456"/>
      <w:bookmarkEnd w:id="263"/>
      <w:bookmarkStart w:id="264" w:name="_Toc184312112"/>
      <w:bookmarkEnd w:id="264"/>
      <w:bookmarkStart w:id="265" w:name="_Toc184310339"/>
      <w:bookmarkEnd w:id="265"/>
      <w:bookmarkStart w:id="266" w:name="_Toc184312125"/>
      <w:bookmarkEnd w:id="266"/>
      <w:bookmarkStart w:id="267" w:name="_Toc184312133"/>
      <w:bookmarkEnd w:id="267"/>
      <w:bookmarkStart w:id="268" w:name="_Toc184313244"/>
      <w:bookmarkEnd w:id="268"/>
      <w:bookmarkStart w:id="269" w:name="_Toc184313310"/>
      <w:bookmarkEnd w:id="269"/>
      <w:bookmarkStart w:id="270" w:name="_Toc184314421"/>
      <w:bookmarkEnd w:id="270"/>
      <w:bookmarkStart w:id="271" w:name="_Toc184314462"/>
      <w:bookmarkEnd w:id="271"/>
      <w:bookmarkStart w:id="272" w:name="_Toc184313246"/>
      <w:bookmarkEnd w:id="272"/>
      <w:bookmarkStart w:id="273" w:name="_Toc184312106"/>
      <w:bookmarkEnd w:id="273"/>
      <w:bookmarkStart w:id="274" w:name="_Toc184314438"/>
      <w:bookmarkEnd w:id="274"/>
      <w:bookmarkStart w:id="275" w:name="_Toc184310289"/>
      <w:bookmarkEnd w:id="275"/>
      <w:bookmarkStart w:id="276" w:name="_Toc184308066"/>
      <w:bookmarkEnd w:id="276"/>
      <w:bookmarkStart w:id="277" w:name="_Toc184314459"/>
      <w:bookmarkEnd w:id="277"/>
      <w:bookmarkStart w:id="278" w:name="_Toc184312089"/>
      <w:bookmarkEnd w:id="278"/>
      <w:bookmarkStart w:id="279" w:name="_Toc184314436"/>
      <w:bookmarkEnd w:id="279"/>
      <w:bookmarkStart w:id="280" w:name="_Toc184314458"/>
      <w:bookmarkEnd w:id="280"/>
      <w:bookmarkStart w:id="281" w:name="_Toc184314446"/>
      <w:bookmarkEnd w:id="281"/>
      <w:bookmarkStart w:id="282" w:name="_Toc184310327"/>
      <w:bookmarkEnd w:id="282"/>
      <w:bookmarkStart w:id="283" w:name="_Toc184308061"/>
      <w:bookmarkEnd w:id="283"/>
      <w:bookmarkStart w:id="284" w:name="_Toc184308068"/>
      <w:bookmarkEnd w:id="284"/>
      <w:bookmarkStart w:id="285" w:name="_Toc184314465"/>
      <w:bookmarkEnd w:id="285"/>
      <w:bookmarkStart w:id="286" w:name="_Toc184314420"/>
      <w:bookmarkEnd w:id="286"/>
      <w:bookmarkStart w:id="287" w:name="_Toc184308051"/>
      <w:bookmarkEnd w:id="287"/>
      <w:bookmarkStart w:id="288" w:name="_Toc184313295"/>
      <w:bookmarkEnd w:id="288"/>
      <w:bookmarkStart w:id="289" w:name="_Toc184308106"/>
      <w:bookmarkEnd w:id="289"/>
      <w:bookmarkStart w:id="290" w:name="_Toc184314469"/>
      <w:bookmarkEnd w:id="290"/>
      <w:bookmarkStart w:id="291" w:name="_Toc184313297"/>
      <w:bookmarkEnd w:id="291"/>
      <w:bookmarkStart w:id="292" w:name="_Toc184308043"/>
      <w:bookmarkEnd w:id="292"/>
      <w:bookmarkStart w:id="293" w:name="_Toc184308038"/>
      <w:bookmarkEnd w:id="293"/>
      <w:bookmarkStart w:id="294" w:name="_Toc184313253"/>
      <w:bookmarkEnd w:id="294"/>
      <w:bookmarkStart w:id="295" w:name="_Toc184313278"/>
      <w:bookmarkEnd w:id="295"/>
      <w:bookmarkStart w:id="296" w:name="_Toc184313268"/>
      <w:bookmarkEnd w:id="296"/>
      <w:bookmarkStart w:id="297" w:name="_Toc184314482"/>
      <w:bookmarkEnd w:id="297"/>
      <w:bookmarkStart w:id="298" w:name="_Toc184310335"/>
      <w:bookmarkEnd w:id="298"/>
      <w:bookmarkStart w:id="299" w:name="_Toc184312129"/>
      <w:bookmarkEnd w:id="299"/>
      <w:bookmarkStart w:id="300" w:name="_Toc184310297"/>
      <w:bookmarkEnd w:id="300"/>
      <w:bookmarkStart w:id="301" w:name="_Toc184313269"/>
      <w:bookmarkEnd w:id="301"/>
      <w:bookmarkStart w:id="302" w:name="_Toc184310281"/>
      <w:bookmarkEnd w:id="302"/>
      <w:bookmarkStart w:id="303" w:name="_Toc184313291"/>
      <w:bookmarkEnd w:id="303"/>
      <w:bookmarkStart w:id="304" w:name="_Toc184314450"/>
      <w:bookmarkEnd w:id="304"/>
      <w:bookmarkStart w:id="305" w:name="_Toc184314424"/>
      <w:bookmarkEnd w:id="305"/>
      <w:bookmarkStart w:id="306" w:name="_Toc184312083"/>
      <w:bookmarkEnd w:id="306"/>
      <w:bookmarkStart w:id="307" w:name="_Toc184313257"/>
      <w:bookmarkEnd w:id="307"/>
      <w:bookmarkStart w:id="308" w:name="_Toc184308082"/>
      <w:bookmarkEnd w:id="308"/>
      <w:bookmarkStart w:id="309" w:name="_Toc184312099"/>
      <w:bookmarkEnd w:id="309"/>
      <w:bookmarkStart w:id="310" w:name="_Toc184312093"/>
      <w:bookmarkEnd w:id="310"/>
      <w:bookmarkStart w:id="311" w:name="_Toc184314414"/>
      <w:bookmarkEnd w:id="311"/>
      <w:bookmarkStart w:id="312" w:name="_Toc184310307"/>
      <w:bookmarkEnd w:id="312"/>
      <w:bookmarkStart w:id="313" w:name="_Toc184313276"/>
      <w:bookmarkEnd w:id="313"/>
      <w:bookmarkStart w:id="314" w:name="_Toc184313304"/>
      <w:bookmarkEnd w:id="314"/>
      <w:bookmarkStart w:id="315" w:name="_Toc184314444"/>
      <w:bookmarkEnd w:id="315"/>
      <w:bookmarkStart w:id="316" w:name="_Toc184308091"/>
      <w:bookmarkEnd w:id="316"/>
      <w:bookmarkStart w:id="317" w:name="_Toc184314470"/>
      <w:bookmarkEnd w:id="317"/>
      <w:bookmarkStart w:id="318" w:name="_Toc184308055"/>
      <w:bookmarkEnd w:id="318"/>
      <w:bookmarkStart w:id="319" w:name="_Toc184310291"/>
      <w:bookmarkEnd w:id="319"/>
      <w:bookmarkStart w:id="320" w:name="_Toc184310329"/>
      <w:bookmarkEnd w:id="320"/>
      <w:bookmarkStart w:id="321" w:name="_Toc184314442"/>
      <w:bookmarkEnd w:id="321"/>
      <w:bookmarkStart w:id="322" w:name="_Toc184310324"/>
      <w:bookmarkEnd w:id="322"/>
      <w:bookmarkStart w:id="323" w:name="_Toc184314474"/>
      <w:bookmarkEnd w:id="323"/>
      <w:bookmarkStart w:id="324" w:name="_Toc184314429"/>
      <w:bookmarkEnd w:id="324"/>
      <w:bookmarkStart w:id="325" w:name="_Toc184312097"/>
      <w:bookmarkEnd w:id="325"/>
      <w:bookmarkStart w:id="326" w:name="_Toc184314415"/>
      <w:bookmarkEnd w:id="326"/>
      <w:bookmarkStart w:id="327" w:name="_Toc184314433"/>
      <w:bookmarkEnd w:id="327"/>
      <w:bookmarkStart w:id="328" w:name="_Toc184314432"/>
      <w:bookmarkEnd w:id="328"/>
      <w:bookmarkStart w:id="329" w:name="_Toc184308074"/>
      <w:bookmarkEnd w:id="329"/>
      <w:bookmarkStart w:id="330" w:name="_Toc184312109"/>
      <w:bookmarkEnd w:id="330"/>
      <w:bookmarkStart w:id="331" w:name="_Toc184313287"/>
      <w:bookmarkEnd w:id="331"/>
      <w:bookmarkStart w:id="332" w:name="_Toc184310326"/>
      <w:bookmarkEnd w:id="332"/>
      <w:bookmarkStart w:id="333" w:name="_Toc184314441"/>
      <w:bookmarkEnd w:id="333"/>
      <w:bookmarkStart w:id="334" w:name="_Toc184308097"/>
      <w:bookmarkEnd w:id="334"/>
      <w:bookmarkStart w:id="335" w:name="_Toc184313248"/>
      <w:bookmarkEnd w:id="335"/>
      <w:bookmarkStart w:id="336" w:name="_Toc184312069"/>
      <w:bookmarkEnd w:id="336"/>
      <w:bookmarkStart w:id="337" w:name="_Toc184314411"/>
      <w:bookmarkEnd w:id="337"/>
      <w:bookmarkStart w:id="338" w:name="_Toc184312068"/>
      <w:bookmarkEnd w:id="338"/>
      <w:bookmarkStart w:id="339" w:name="_Toc184312100"/>
      <w:bookmarkEnd w:id="339"/>
      <w:bookmarkStart w:id="340" w:name="_Toc184310340"/>
      <w:bookmarkEnd w:id="340"/>
      <w:bookmarkStart w:id="341" w:name="_Toc184314451"/>
      <w:bookmarkEnd w:id="341"/>
      <w:bookmarkStart w:id="342" w:name="_Toc184308060"/>
      <w:bookmarkEnd w:id="342"/>
      <w:bookmarkStart w:id="343" w:name="_Toc184308083"/>
      <w:bookmarkEnd w:id="343"/>
      <w:bookmarkStart w:id="344" w:name="_Toc184310338"/>
      <w:bookmarkEnd w:id="344"/>
      <w:bookmarkStart w:id="345" w:name="_Toc184310306"/>
      <w:bookmarkEnd w:id="345"/>
      <w:bookmarkStart w:id="346" w:name="_Toc184313275"/>
      <w:bookmarkEnd w:id="346"/>
      <w:bookmarkStart w:id="347" w:name="_Toc184310316"/>
      <w:bookmarkEnd w:id="347"/>
      <w:bookmarkStart w:id="348" w:name="_Toc184313238"/>
      <w:bookmarkEnd w:id="348"/>
      <w:bookmarkStart w:id="349" w:name="_Toc184313259"/>
      <w:bookmarkEnd w:id="349"/>
      <w:bookmarkStart w:id="350" w:name="_Toc184314464"/>
      <w:bookmarkEnd w:id="350"/>
      <w:bookmarkStart w:id="351" w:name="_Toc184313308"/>
      <w:bookmarkEnd w:id="351"/>
      <w:bookmarkStart w:id="352" w:name="_Toc184312077"/>
      <w:bookmarkEnd w:id="352"/>
      <w:bookmarkStart w:id="353" w:name="_Toc184314477"/>
      <w:bookmarkEnd w:id="353"/>
      <w:bookmarkStart w:id="354" w:name="_Toc184314461"/>
      <w:bookmarkEnd w:id="354"/>
      <w:bookmarkStart w:id="355" w:name="_Toc184312123"/>
      <w:bookmarkEnd w:id="355"/>
      <w:bookmarkStart w:id="356" w:name="_Toc184312114"/>
      <w:bookmarkEnd w:id="356"/>
      <w:bookmarkStart w:id="357" w:name="_Toc184314418"/>
      <w:bookmarkEnd w:id="357"/>
      <w:bookmarkStart w:id="358" w:name="_Toc184312118"/>
      <w:bookmarkEnd w:id="358"/>
      <w:bookmarkStart w:id="359" w:name="_Toc184314449"/>
      <w:bookmarkEnd w:id="359"/>
      <w:bookmarkStart w:id="360" w:name="_Toc184310320"/>
      <w:bookmarkEnd w:id="360"/>
      <w:bookmarkStart w:id="361" w:name="_Toc184310302"/>
      <w:bookmarkEnd w:id="361"/>
      <w:bookmarkStart w:id="362" w:name="_Toc184313240"/>
      <w:bookmarkEnd w:id="362"/>
      <w:bookmarkStart w:id="363" w:name="_Toc184313256"/>
      <w:bookmarkEnd w:id="363"/>
      <w:bookmarkStart w:id="364" w:name="_Toc184310300"/>
      <w:bookmarkEnd w:id="364"/>
      <w:bookmarkStart w:id="365" w:name="_Toc184313290"/>
      <w:bookmarkEnd w:id="365"/>
      <w:bookmarkStart w:id="366" w:name="_Toc184310294"/>
      <w:bookmarkEnd w:id="366"/>
      <w:bookmarkStart w:id="367" w:name="_Toc184308078"/>
      <w:bookmarkEnd w:id="367"/>
      <w:bookmarkStart w:id="368" w:name="_Toc184312103"/>
      <w:bookmarkEnd w:id="368"/>
      <w:bookmarkStart w:id="369" w:name="_Toc184313296"/>
      <w:bookmarkEnd w:id="369"/>
      <w:bookmarkStart w:id="370" w:name="_Toc184308092"/>
      <w:bookmarkEnd w:id="370"/>
      <w:bookmarkStart w:id="371" w:name="_Toc184308108"/>
      <w:bookmarkEnd w:id="371"/>
      <w:bookmarkStart w:id="372" w:name="_Toc184310344"/>
      <w:bookmarkEnd w:id="372"/>
      <w:bookmarkStart w:id="373" w:name="_Toc184313289"/>
      <w:bookmarkEnd w:id="373"/>
      <w:bookmarkStart w:id="374" w:name="_Toc184310325"/>
      <w:bookmarkEnd w:id="374"/>
      <w:bookmarkStart w:id="375" w:name="_Toc184308067"/>
      <w:bookmarkEnd w:id="375"/>
      <w:bookmarkStart w:id="376" w:name="_Toc184312092"/>
      <w:bookmarkEnd w:id="376"/>
      <w:bookmarkStart w:id="377" w:name="_Toc184312079"/>
      <w:bookmarkEnd w:id="377"/>
      <w:bookmarkStart w:id="378" w:name="_Toc184313255"/>
      <w:bookmarkEnd w:id="378"/>
      <w:bookmarkStart w:id="379" w:name="_Toc184308102"/>
      <w:bookmarkEnd w:id="379"/>
      <w:bookmarkStart w:id="380" w:name="_Toc184314447"/>
      <w:bookmarkEnd w:id="380"/>
      <w:bookmarkStart w:id="381" w:name="_Toc184312096"/>
      <w:bookmarkEnd w:id="381"/>
      <w:bookmarkStart w:id="382" w:name="_Toc184312071"/>
      <w:bookmarkEnd w:id="382"/>
      <w:bookmarkStart w:id="383" w:name="_Toc184314452"/>
      <w:bookmarkEnd w:id="383"/>
      <w:bookmarkStart w:id="384" w:name="_Toc184312090"/>
      <w:bookmarkEnd w:id="384"/>
      <w:bookmarkStart w:id="385" w:name="_Toc184310336"/>
      <w:bookmarkEnd w:id="385"/>
      <w:bookmarkStart w:id="386" w:name="_Toc184308094"/>
      <w:bookmarkEnd w:id="386"/>
      <w:bookmarkStart w:id="387" w:name="_Toc184308076"/>
      <w:bookmarkEnd w:id="387"/>
      <w:bookmarkStart w:id="388" w:name="_Toc184312085"/>
      <w:bookmarkEnd w:id="388"/>
      <w:bookmarkStart w:id="389" w:name="_Toc184313286"/>
      <w:bookmarkEnd w:id="389"/>
      <w:bookmarkStart w:id="390" w:name="_Toc184312088"/>
      <w:bookmarkEnd w:id="390"/>
      <w:bookmarkStart w:id="391" w:name="_Toc184308085"/>
      <w:bookmarkEnd w:id="391"/>
      <w:r>
        <w:rPr>
          <w:rFonts w:hint="eastAsia" w:ascii="宋体" w:hAnsi="宋体" w:cs="宋体"/>
          <w:b/>
          <w:color w:val="auto"/>
          <w:sz w:val="36"/>
          <w:szCs w:val="36"/>
          <w:highlight w:val="none"/>
        </w:rPr>
        <w:t>评标办法</w:t>
      </w:r>
      <w:bookmarkEnd w:id="26"/>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18"/>
        <w:gridCol w:w="1395"/>
        <w:gridCol w:w="4350"/>
        <w:gridCol w:w="7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61"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963" w:type="dxa"/>
            <w:gridSpan w:val="3"/>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评标要点及说明</w:t>
            </w:r>
          </w:p>
        </w:tc>
        <w:tc>
          <w:tcPr>
            <w:tcW w:w="735" w:type="dxa"/>
            <w:vAlign w:val="center"/>
          </w:tcPr>
          <w:p>
            <w:pPr>
              <w:keepNext w:val="0"/>
              <w:keepLines w:val="0"/>
              <w:pageBreakBefore w:val="0"/>
              <w:widowControl/>
              <w:tabs>
                <w:tab w:val="left" w:pos="0"/>
              </w:tabs>
              <w:kinsoku/>
              <w:wordWrap/>
              <w:overflowPunct/>
              <w:topLinePunct w:val="0"/>
              <w:autoSpaceDE w:val="0"/>
              <w:autoSpaceDN w:val="0"/>
              <w:bidi w:val="0"/>
              <w:adjustRightInd/>
              <w:snapToGrid/>
              <w:jc w:val="center"/>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分值</w:t>
            </w:r>
          </w:p>
        </w:tc>
        <w:tc>
          <w:tcPr>
            <w:tcW w:w="758" w:type="dxa"/>
            <w:vAlign w:val="center"/>
          </w:tcPr>
          <w:p>
            <w:pPr>
              <w:keepNext w:val="0"/>
              <w:keepLines w:val="0"/>
              <w:pageBreakBefore w:val="0"/>
              <w:widowControl/>
              <w:tabs>
                <w:tab w:val="left" w:pos="0"/>
              </w:tabs>
              <w:kinsoku/>
              <w:wordWrap/>
              <w:overflowPunct/>
              <w:topLinePunct w:val="0"/>
              <w:autoSpaceDE w:val="0"/>
              <w:autoSpaceDN w:val="0"/>
              <w:bidi w:val="0"/>
              <w:adjustRightInd/>
              <w:snapToGrid/>
              <w:jc w:val="center"/>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963" w:type="dxa"/>
            <w:gridSpan w:val="3"/>
            <w:vAlign w:val="center"/>
          </w:tcPr>
          <w:p>
            <w:pPr>
              <w:keepNext w:val="0"/>
              <w:keepLines w:val="0"/>
              <w:pageBreakBefore w:val="0"/>
              <w:kinsoku/>
              <w:wordWrap/>
              <w:overflowPunct/>
              <w:topLinePunct w:val="0"/>
              <w:bidi w:val="0"/>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评标基准价指的是满足招标文件要求且最低的参与评审的价格。</w:t>
            </w:r>
          </w:p>
          <w:p>
            <w:pPr>
              <w:keepNext w:val="0"/>
              <w:keepLines w:val="0"/>
              <w:pageBreakBefore w:val="0"/>
              <w:kinsoku/>
              <w:wordWrap/>
              <w:overflowPunct/>
              <w:topLinePunct w:val="0"/>
              <w:bidi w:val="0"/>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w:t>
            </w:r>
            <w:r>
              <w:rPr>
                <w:rFonts w:hint="eastAsia" w:ascii="宋体" w:hAnsi="宋体" w:eastAsia="宋体" w:cs="宋体"/>
                <w:color w:val="auto"/>
                <w:sz w:val="21"/>
                <w:szCs w:val="21"/>
                <w:highlight w:val="none"/>
                <w:lang w:val="en-US" w:eastAsia="zh-CN"/>
              </w:rPr>
              <w:t>-小微企业政策优惠</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参与评审的价格为评标基准价的其价格得分得满分1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其他供应商价格得分按照下列公式计算：</w:t>
            </w:r>
          </w:p>
          <w:p>
            <w:pPr>
              <w:keepNext w:val="0"/>
              <w:keepLines w:val="0"/>
              <w:pageBreakBefore w:val="0"/>
              <w:kinsoku/>
              <w:wordWrap/>
              <w:overflowPunct/>
              <w:topLinePunct w:val="0"/>
              <w:bidi w:val="0"/>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价格得分=（评标基准价/参与评审的价格）×1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%×100。</w:t>
            </w:r>
          </w:p>
        </w:tc>
        <w:tc>
          <w:tcPr>
            <w:tcW w:w="735"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758"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商务</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技术分</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tc>
        <w:tc>
          <w:tcPr>
            <w:tcW w:w="1218" w:type="dxa"/>
            <w:vMerge w:val="restart"/>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总体方案（</w:t>
            </w: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分）</w:t>
            </w:r>
          </w:p>
        </w:tc>
        <w:tc>
          <w:tcPr>
            <w:tcW w:w="5745" w:type="dxa"/>
            <w:gridSpan w:val="2"/>
            <w:vAlign w:val="center"/>
          </w:tcPr>
          <w:p>
            <w:pPr>
              <w:keepNext w:val="0"/>
              <w:keepLines w:val="0"/>
              <w:pageBreakBefore w:val="0"/>
              <w:kinsoku/>
              <w:wordWrap/>
              <w:overflowPunct/>
              <w:topLinePunct w:val="0"/>
              <w:bidi w:val="0"/>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根据供应商针对本项目制定的设计方案，对其设计思路和创意以及与大纲内容的响应情况和契合程度进行评议：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设计思路和创意新颖可行、大纲内容响应情况和契合程度高且可高度实现的得5分；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设计思路和创意新颖较可行、大纲内容响应情况和契合程度较高且可基本实现的得3分；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设计思路和创意新颖欠可行、大纲内容响应情况和契合程度欠高且欠实现操作的得1分；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1395" w:type="dxa"/>
            <w:vMerge w:val="restart"/>
            <w:vAlign w:val="center"/>
          </w:tcPr>
          <w:p>
            <w:pPr>
              <w:keepNext w:val="0"/>
              <w:keepLines w:val="0"/>
              <w:pageBreakBefore w:val="0"/>
              <w:numPr>
                <w:ilvl w:val="0"/>
                <w:numId w:val="0"/>
              </w:numPr>
              <w:kinsoku/>
              <w:wordWrap/>
              <w:overflowPunct/>
              <w:topLinePunct w:val="0"/>
              <w:bidi w:val="0"/>
              <w:snapToGrid/>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（2）根据供应商针对本项目制定的空间设计（立面图、平面图、效果图）进行评议（15分）</w:t>
            </w:r>
          </w:p>
        </w:tc>
        <w:tc>
          <w:tcPr>
            <w:tcW w:w="4350" w:type="dxa"/>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①整体布局：</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考虑周全、布局合理的得3分；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考虑较周全、布局较合理的得2分；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考虑欠周全、布局欠合理的得1分；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1395" w:type="dxa"/>
            <w:vMerge w:val="continue"/>
            <w:vAlign w:val="center"/>
          </w:tcPr>
          <w:p>
            <w:pPr>
              <w:keepNext w:val="0"/>
              <w:keepLines w:val="0"/>
              <w:pageBreakBefore w:val="0"/>
              <w:numPr>
                <w:ilvl w:val="0"/>
                <w:numId w:val="0"/>
              </w:numPr>
              <w:kinsoku/>
              <w:wordWrap/>
              <w:overflowPunct/>
              <w:topLinePunct w:val="0"/>
              <w:bidi w:val="0"/>
              <w:snapToGrid/>
              <w:ind w:left="0" w:leftChars="0" w:firstLine="0" w:firstLineChars="0"/>
              <w:textAlignment w:val="auto"/>
              <w:rPr>
                <w:rFonts w:hint="eastAsia" w:ascii="宋体" w:hAnsi="宋体" w:eastAsia="宋体" w:cs="宋体"/>
                <w:color w:val="auto"/>
                <w:sz w:val="21"/>
                <w:szCs w:val="21"/>
                <w:highlight w:val="none"/>
                <w:lang w:val="en-US" w:eastAsia="zh-CN"/>
              </w:rPr>
            </w:pPr>
          </w:p>
        </w:tc>
        <w:tc>
          <w:tcPr>
            <w:tcW w:w="4350" w:type="dxa"/>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②空间分隔：</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考虑周全、分隔精巧的得3分；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考虑较周全、分隔较精巧的得2分；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考虑欠周全、分隔欠精巧的得1分；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1395" w:type="dxa"/>
            <w:vMerge w:val="continue"/>
            <w:vAlign w:val="center"/>
          </w:tcPr>
          <w:p>
            <w:pPr>
              <w:keepNext w:val="0"/>
              <w:keepLines w:val="0"/>
              <w:pageBreakBefore w:val="0"/>
              <w:numPr>
                <w:ilvl w:val="0"/>
                <w:numId w:val="0"/>
              </w:numPr>
              <w:kinsoku/>
              <w:wordWrap/>
              <w:overflowPunct/>
              <w:topLinePunct w:val="0"/>
              <w:bidi w:val="0"/>
              <w:snapToGrid/>
              <w:ind w:left="0" w:leftChars="0" w:firstLine="0" w:firstLineChars="0"/>
              <w:textAlignment w:val="auto"/>
              <w:rPr>
                <w:rFonts w:hint="eastAsia" w:ascii="宋体" w:hAnsi="宋体" w:eastAsia="宋体" w:cs="宋体"/>
                <w:color w:val="auto"/>
                <w:sz w:val="21"/>
                <w:szCs w:val="21"/>
                <w:highlight w:val="none"/>
                <w:lang w:val="en-US" w:eastAsia="zh-CN"/>
              </w:rPr>
            </w:pPr>
          </w:p>
        </w:tc>
        <w:tc>
          <w:tcPr>
            <w:tcW w:w="4350" w:type="dxa"/>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③艺术视觉风格：</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视觉冲击性强、创意新颖的得3分；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视觉冲击性较强、创意较新颖的得2分；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视觉冲击性欠强、创意新颖的得1分；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1395" w:type="dxa"/>
            <w:vMerge w:val="continue"/>
            <w:vAlign w:val="center"/>
          </w:tcPr>
          <w:p>
            <w:pPr>
              <w:keepNext w:val="0"/>
              <w:keepLines w:val="0"/>
              <w:pageBreakBefore w:val="0"/>
              <w:numPr>
                <w:ilvl w:val="0"/>
                <w:numId w:val="0"/>
              </w:numPr>
              <w:kinsoku/>
              <w:wordWrap/>
              <w:overflowPunct/>
              <w:topLinePunct w:val="0"/>
              <w:bidi w:val="0"/>
              <w:snapToGrid/>
              <w:ind w:left="0" w:leftChars="0" w:firstLine="0" w:firstLineChars="0"/>
              <w:textAlignment w:val="auto"/>
              <w:rPr>
                <w:rFonts w:hint="eastAsia" w:ascii="宋体" w:hAnsi="宋体" w:eastAsia="宋体" w:cs="宋体"/>
                <w:color w:val="auto"/>
                <w:sz w:val="21"/>
                <w:szCs w:val="21"/>
                <w:highlight w:val="none"/>
                <w:lang w:val="en-US" w:eastAsia="zh-CN"/>
              </w:rPr>
            </w:pPr>
          </w:p>
        </w:tc>
        <w:tc>
          <w:tcPr>
            <w:tcW w:w="4350" w:type="dxa"/>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④游线设计：</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设计贴合展览内容且合理的得3分；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设计较贴合展览内容且较合理的得2分；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设计欠贴合展览内容且欠合理的得1分；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1395" w:type="dxa"/>
            <w:vMerge w:val="continue"/>
            <w:vAlign w:val="center"/>
          </w:tcPr>
          <w:p>
            <w:pPr>
              <w:keepNext w:val="0"/>
              <w:keepLines w:val="0"/>
              <w:pageBreakBefore w:val="0"/>
              <w:numPr>
                <w:ilvl w:val="0"/>
                <w:numId w:val="0"/>
              </w:numPr>
              <w:kinsoku/>
              <w:wordWrap/>
              <w:overflowPunct/>
              <w:topLinePunct w:val="0"/>
              <w:bidi w:val="0"/>
              <w:snapToGrid/>
              <w:ind w:left="0" w:leftChars="0" w:firstLine="0" w:firstLineChars="0"/>
              <w:textAlignment w:val="auto"/>
              <w:rPr>
                <w:rFonts w:hint="eastAsia" w:ascii="宋体" w:hAnsi="宋体" w:eastAsia="宋体" w:cs="宋体"/>
                <w:color w:val="auto"/>
                <w:sz w:val="21"/>
                <w:szCs w:val="21"/>
                <w:highlight w:val="none"/>
                <w:lang w:val="en-US" w:eastAsia="zh-CN"/>
              </w:rPr>
            </w:pPr>
          </w:p>
        </w:tc>
        <w:tc>
          <w:tcPr>
            <w:tcW w:w="4350" w:type="dxa"/>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⑤灯光照明设计：</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设计符合环境需求且考虑周全的得3分；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设计较符合环境需求且考虑较周全的得2分；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设计欠符合环境需求且考虑欠周全的得1分；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（3）根据供应商针对本项目制定的形式设计的创新以及对新材料、新技术的应用情况进行评议：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设计新颖有创意，新材料、新技术应用贴合项目特征的得5分；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设计较新颖较有创意，新材料、新技术应用较贴合项目特征的得3分；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设计欠新颖欠有创意，新材料、新技术应用欠贴合项目特征的得1分；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（4）根据供应商针对本项目提供的布展制作思路是否兼顾古建筑保护以及方案是否可行性、考虑是否全面的情况进行评议：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布展制作思路充分考虑古建筑保护，方案考虑周全、内容详细且可行性高的得5分；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布展制作思路较充分考虑古建筑保护，方案考虑较周全、内容较详细且可行性较高的得3分；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布展制作思路欠充分考虑古建筑保护，方案考虑欠周全、内容欠详细且可行性低的得1分；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restart"/>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2、现场陈述（13分）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（1）展陈大纲的主题演绎：</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对大纲解读透彻、主题展示深刻有感染力的得5分；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对大纲解读较透彻、主题展示较深刻较有感染力的得3分；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对大纲解读欠透彻、主题展示欠深刻欠有感染力的得1分；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（2）项目重点、亮点把握、营造演绎，如序厅、中大殿区域的具体表现形式与手法：</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效果体现突出、表现形式新颖、手法独特且可行的得5分；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效果体现较突出、表现形式较新颖、手法较独特且较可行的得3分；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效果体现欠突出、表现形式欠新颖、手法欠独特且欠可行的得1分；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（3）古建筑施工保护措施：</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保护措施考虑全面、保护到位且可行的得3分；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保护措施考虑较全面、保护较到位且较可行的得2分；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保护措施考虑片面、保护欠到位且欠可行的得1分；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restart"/>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3、布展施工技术方案（8分）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（1）根据布展施工现场平面布置、各分部分项施工技术方案进行评议：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平面布置考虑全面、符合项目特征，施工技术工序严谨、实施有序的得5分；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平面布置考虑较全面、较符合项目特征，施工技术工序较严谨、实施较有序的得3分；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平面布置考虑欠全面、欠符合项目特征，施工技术工序欠严谨、实施欠有序的得1分；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（2）根据布展施工过程中对古建筑保护措施进行评议：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措施严谨、环境因素考虑全面，保护工序制定周全详细且可行的得3分；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措施严谨、环境因素考虑较全面，保护工序制定较周全详细且较可行的得2分；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措施欠严谨、环境因素考虑欠全面，保护工序制定欠周全详细且欠可行的得1分；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4、生产保证措施（5分）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根据供应商针对本项目制定的质量、安全文明生产保证措施进行评议：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措施完全适应本项目，内容详尽可行且合理的得5分；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措施较适应本项目，内容较详尽较可行且较合理的得3分；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措施欠适应本项目，内容欠详尽欠可行且欠合理的得1分；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5、进度保证（5分）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根据供应商针对本项目制定的布展施工进度计划及保证措施进行评议：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措施完全适应本项目，时间节点计划清晰，内容详尽可行且合理的得5分；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措施较适应本项目，时间节点计划较清晰，内容较详尽较可行且较合理的得3分；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措施欠适应本项目，时间节点计划欠清晰，内容欠详尽欠可行且欠合理的得1分；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restart"/>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6、拟投入团队配备（9分）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（1）根据项目负责人的资质专业能力及组织实施能力等情况进行评议：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资质专业能力强、组织实施能力强的得3分；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资质专业能力较好、组织实施能力较好的得2分；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资质专业能力差、组织实施能力差的得1分；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（2）根据技术负责人（主设计师）的资质专业能力及组织实施能力等情况进行评议：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资质专业能力强、组织实施能力强的得3分；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资质专业能力较好、组织实施能力较好的得2分；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资质专业能力差、组织实施能力差的得1分；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（3）根据供应商针对本项目拟配备的项目人员（除项目负责人、技术负责人外）团队中取得文博相应职称或有文博相关专业资质能力的专业人员进行评议：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资质专业能力强的得3分；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资质专业能力较好的得2分；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资质专业能力差的得1分；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restart"/>
            <w:vAlign w:val="center"/>
          </w:tcPr>
          <w:p>
            <w:pPr>
              <w:keepNext w:val="0"/>
              <w:keepLines w:val="0"/>
              <w:pageBreakBefore w:val="0"/>
              <w:widowControl/>
              <w:kinsoku/>
              <w:wordWrap/>
              <w:overflowPunct/>
              <w:topLinePunct w:val="0"/>
              <w:bidi w:val="0"/>
              <w:snapToGrid/>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7、服务保障（6.5分）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（1）根据供应商针对本项目提供的服务便捷性情况（响应时间及到达现场的时间）进行评议：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响应及时、到达现场迅速的得3分；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响应较及时、到达现场较迅速的得2分；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响应欠及时、到达现场欠迅速的得1分；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（2）根据供应商针对本项目提供的售后服务保障和承诺：</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方案完全适应本项目，内容详尽可行且合理的得3.5分；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方案较适应本项目，内容较详尽可行且较合理的得2分；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方案欠适应本项目，内容欠完整欠可行且欠合理的得1分；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Align w:val="center"/>
          </w:tcPr>
          <w:p>
            <w:pPr>
              <w:keepNext w:val="0"/>
              <w:keepLines w:val="0"/>
              <w:pageBreakBefore w:val="0"/>
              <w:widowControl/>
              <w:kinsoku/>
              <w:wordWrap/>
              <w:overflowPunct/>
              <w:topLinePunct w:val="0"/>
              <w:bidi w:val="0"/>
              <w:snapToGrid/>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8、业绩（1.5分）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供应商自2019年01月01日（以合同签订日期为准）至今，具有博物馆、</w:t>
            </w:r>
            <w:r>
              <w:rPr>
                <w:rFonts w:hint="eastAsia" w:ascii="宋体" w:hAnsi="宋体" w:cs="宋体"/>
                <w:color w:val="auto"/>
                <w:sz w:val="21"/>
                <w:szCs w:val="21"/>
                <w:highlight w:val="none"/>
                <w:lang w:val="en-US" w:eastAsia="zh-CN"/>
              </w:rPr>
              <w:t>古建筑</w:t>
            </w:r>
            <w:r>
              <w:rPr>
                <w:rFonts w:hint="eastAsia" w:ascii="宋体" w:hAnsi="宋体" w:eastAsia="宋体" w:cs="宋体"/>
                <w:color w:val="auto"/>
                <w:sz w:val="21"/>
                <w:szCs w:val="21"/>
                <w:highlight w:val="none"/>
                <w:lang w:val="en-US" w:eastAsia="zh-CN"/>
              </w:rPr>
              <w:t>陈列布展类项目业绩的，每提供1个得0.5分。最高得1.5分。</w:t>
            </w:r>
          </w:p>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注：投标文件中须同时提供中标通知书复印件、合同复印件和竣工验收合格证明，未提供或提供不全的不得分。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default" w:ascii="宋体" w:hAnsi="宋体" w:eastAsia="宋体" w:cs="宋体"/>
                <w:snapToGrid w:val="0"/>
                <w:color w:val="auto"/>
                <w:spacing w:val="-4"/>
                <w:sz w:val="21"/>
                <w:szCs w:val="21"/>
                <w:highlight w:val="none"/>
                <w:lang w:val="en-US" w:eastAsia="zh-CN"/>
              </w:rPr>
            </w:pPr>
            <w:r>
              <w:rPr>
                <w:rFonts w:hint="eastAsia" w:ascii="宋体" w:hAnsi="宋体" w:eastAsia="宋体" w:cs="宋体"/>
                <w:snapToGrid w:val="0"/>
                <w:color w:val="auto"/>
                <w:spacing w:val="-4"/>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restart"/>
            <w:vAlign w:val="center"/>
          </w:tcPr>
          <w:p>
            <w:pPr>
              <w:keepNext w:val="0"/>
              <w:keepLines w:val="0"/>
              <w:pageBreakBefore w:val="0"/>
              <w:widowControl/>
              <w:kinsoku/>
              <w:wordWrap/>
              <w:overflowPunct/>
              <w:topLinePunct w:val="0"/>
              <w:bidi w:val="0"/>
              <w:snapToGrid/>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9、履约能力（7分）</w:t>
            </w: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（1）根据供应商在陈列布展方面的专业能力进行评议：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专业设计能力强、具备利用数字化展示手段重新定义主题文化展示领域的能力、文化创意理念新颖的得3分；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专业设计能力较强、较具备利用数字化展示手段重新定义主题文化展示领域的能力、文化创意理念较新颖的得2分；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专业设计能力欠佳、欠具备利用数字化展示手段重新定义主题文化展示领域的能力、文化创意理念欠新颖的得1分；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bidi="ar"/>
              </w:rPr>
            </w:pPr>
          </w:p>
        </w:tc>
        <w:tc>
          <w:tcPr>
            <w:tcW w:w="1218" w:type="dxa"/>
            <w:vMerge w:val="continue"/>
            <w:vAlign w:val="center"/>
          </w:tcPr>
          <w:p>
            <w:pPr>
              <w:keepNext w:val="0"/>
              <w:keepLines w:val="0"/>
              <w:pageBreakBefore w:val="0"/>
              <w:widowControl/>
              <w:kinsoku/>
              <w:wordWrap/>
              <w:overflowPunct/>
              <w:topLinePunct w:val="0"/>
              <w:bidi w:val="0"/>
              <w:snapToGrid/>
              <w:jc w:val="left"/>
              <w:textAlignment w:val="auto"/>
              <w:rPr>
                <w:rFonts w:hint="eastAsia" w:ascii="宋体" w:hAnsi="宋体" w:eastAsia="宋体" w:cs="宋体"/>
                <w:bCs/>
                <w:color w:val="auto"/>
                <w:kern w:val="0"/>
                <w:sz w:val="21"/>
                <w:szCs w:val="21"/>
                <w:highlight w:val="none"/>
                <w:lang w:val="en-US" w:eastAsia="zh-CN"/>
              </w:rPr>
            </w:pPr>
          </w:p>
        </w:tc>
        <w:tc>
          <w:tcPr>
            <w:tcW w:w="5745" w:type="dxa"/>
            <w:gridSpan w:val="2"/>
            <w:vAlign w:val="center"/>
          </w:tcPr>
          <w:p>
            <w:pPr>
              <w:keepNext w:val="0"/>
              <w:keepLines w:val="0"/>
              <w:pageBreakBefore w:val="0"/>
              <w:numPr>
                <w:ilvl w:val="0"/>
                <w:numId w:val="0"/>
              </w:numPr>
              <w:kinsoku/>
              <w:wordWrap/>
              <w:overflowPunct/>
              <w:topLinePunct w:val="0"/>
              <w:bidi w:val="0"/>
              <w:snapToGrid/>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（2）根据供应商在陈列布展方面的成就成果进行评议：</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成就成果丰富且符合本项目特征的得4分；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成就成果较丰富且较符合本项目特征的得2.5分；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成就成果欠丰富且欠符合本项目特征的得1分；</w:t>
            </w:r>
          </w:p>
          <w:p>
            <w:pPr>
              <w:keepNext w:val="0"/>
              <w:keepLines w:val="0"/>
              <w:pageBreakBefore w:val="0"/>
              <w:numPr>
                <w:ilvl w:val="0"/>
                <w:numId w:val="1"/>
              </w:numPr>
              <w:kinsoku/>
              <w:wordWrap/>
              <w:overflowPunct/>
              <w:topLinePunct w:val="0"/>
              <w:bidi w:val="0"/>
              <w:snapToGrid/>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无相关内容不得分。</w:t>
            </w:r>
          </w:p>
        </w:tc>
        <w:tc>
          <w:tcPr>
            <w:tcW w:w="735" w:type="dxa"/>
            <w:vAlign w:val="center"/>
          </w:tcPr>
          <w:p>
            <w:pPr>
              <w:keepNext w:val="0"/>
              <w:keepLines w:val="0"/>
              <w:pageBreakBefore w:val="0"/>
              <w:widowControl/>
              <w:tabs>
                <w:tab w:val="center" w:pos="304"/>
                <w:tab w:val="left" w:pos="460"/>
              </w:tabs>
              <w:kinsoku/>
              <w:wordWrap/>
              <w:overflowPunct/>
              <w:topLinePunct w:val="0"/>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58"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sz w:val="21"/>
                <w:szCs w:val="21"/>
                <w:highlight w:val="none"/>
              </w:rPr>
              <w:t>主观</w:t>
            </w:r>
            <w:r>
              <w:rPr>
                <w:rFonts w:hint="eastAsia" w:ascii="宋体" w:hAnsi="宋体" w:eastAsia="宋体" w:cs="宋体"/>
                <w:color w:val="auto"/>
                <w:sz w:val="21"/>
                <w:szCs w:val="21"/>
                <w:highlight w:val="none"/>
              </w:rPr>
              <w:t>评审</w:t>
            </w:r>
          </w:p>
        </w:tc>
      </w:tr>
    </w:tbl>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位数。3、各评标委员会成员自行按以上参考分值评分。4、重大事件由评标委员会集体讨论，应当按照少数服从多数的原则作出结论。</w:t>
      </w:r>
    </w:p>
    <w:p>
      <w:pPr>
        <w:rPr>
          <w:rFonts w:hint="eastAsia" w:ascii="宋体" w:hAnsi="宋体" w:cs="宋体"/>
          <w:b/>
          <w:color w:val="auto"/>
          <w:sz w:val="32"/>
          <w:highlight w:val="none"/>
        </w:rPr>
      </w:pPr>
    </w:p>
    <w:p>
      <w:pPr>
        <w:rPr>
          <w:rFonts w:hint="eastAsia" w:ascii="宋体" w:hAnsi="宋体" w:cs="宋体"/>
          <w:b/>
          <w:color w:val="auto"/>
          <w:sz w:val="32"/>
          <w:highlight w:val="none"/>
        </w:rPr>
      </w:pPr>
    </w:p>
    <w:p>
      <w:pPr>
        <w:rPr>
          <w:rFonts w:ascii="宋体" w:hAnsi="宋体" w:cs="宋体"/>
          <w:b/>
          <w:color w:val="auto"/>
          <w:sz w:val="32"/>
          <w:highlight w:val="none"/>
        </w:rPr>
      </w:pPr>
      <w:r>
        <w:rPr>
          <w:rFonts w:hint="eastAsia" w:ascii="宋体" w:hAnsi="宋体" w:cs="宋体"/>
          <w:b/>
          <w:color w:val="auto"/>
          <w:sz w:val="32"/>
          <w:highlight w:val="none"/>
        </w:rPr>
        <w:br w:type="page"/>
      </w:r>
    </w:p>
    <w:p>
      <w:pPr>
        <w:pStyle w:val="79"/>
        <w:rPr>
          <w:color w:val="auto"/>
          <w:highlight w:val="none"/>
        </w:rPr>
      </w:pPr>
    </w:p>
    <w:p>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b/>
          <w:bCs/>
          <w:color w:val="auto"/>
          <w:kern w:val="0"/>
          <w:sz w:val="24"/>
          <w:highlight w:val="none"/>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ind w:left="430" w:leftChars="205"/>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投标文件不满足招标文件的其他实质性要求的；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4.2.15上传投标文件同一网卡地址、同一IP地址的为无效标。</w:t>
      </w:r>
    </w:p>
    <w:p>
      <w:pPr>
        <w:pStyle w:val="9"/>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9"/>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9"/>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9"/>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9"/>
        <w:snapToGrid w:val="0"/>
        <w:spacing w:line="360" w:lineRule="auto"/>
        <w:rPr>
          <w:rFonts w:cs="宋体"/>
          <w:color w:val="auto"/>
          <w:highlight w:val="none"/>
        </w:rPr>
      </w:pPr>
      <w:r>
        <w:rPr>
          <w:rFonts w:hint="eastAsia" w:cs="宋体"/>
          <w:color w:val="auto"/>
          <w:highlight w:val="none"/>
        </w:rPr>
        <w:t>5.4因重大变故，采购任务取消的。</w:t>
      </w:r>
    </w:p>
    <w:p>
      <w:pPr>
        <w:pStyle w:val="9"/>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9"/>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9"/>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9"/>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9"/>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5"/>
      <w:bookmarkStart w:id="392" w:name="第五部分"/>
      <w:bookmarkStart w:id="393" w:name="_Toc86217003"/>
      <w:r>
        <w:rPr>
          <w:rFonts w:hint="eastAsia" w:cs="宋体"/>
          <w:b/>
          <w:color w:val="auto"/>
          <w:sz w:val="36"/>
          <w:szCs w:val="36"/>
          <w:highlight w:val="none"/>
        </w:rPr>
        <w:t xml:space="preserve">    </w:t>
      </w:r>
    </w:p>
    <w:p>
      <w:pPr>
        <w:widowControl/>
        <w:adjustRightInd/>
        <w:ind w:firstLine="2168" w:firstLineChars="600"/>
        <w:jc w:val="left"/>
        <w:rPr>
          <w:rFonts w:ascii="宋体" w:hAnsi="宋体" w:cs="宋体"/>
          <w:b/>
          <w:color w:val="auto"/>
          <w:sz w:val="36"/>
          <w:szCs w:val="36"/>
          <w:highlight w:val="none"/>
        </w:rPr>
        <w:sectPr>
          <w:pgSz w:w="11907" w:h="16840"/>
          <w:pgMar w:top="1474" w:right="1814" w:bottom="1474" w:left="1814" w:header="851" w:footer="851" w:gutter="0"/>
          <w:cols w:space="720" w:num="1"/>
        </w:sectPr>
      </w:pPr>
    </w:p>
    <w:p>
      <w:pPr>
        <w:widowControl/>
        <w:adjustRightInd/>
        <w:ind w:firstLine="2168" w:firstLineChars="600"/>
        <w:jc w:val="left"/>
        <w:outlineLvl w:val="0"/>
        <w:rPr>
          <w:rFonts w:ascii="宋体" w:hAnsi="宋体" w:cs="宋体"/>
          <w:b/>
          <w:color w:val="auto"/>
          <w:sz w:val="36"/>
          <w:szCs w:val="36"/>
          <w:highlight w:val="none"/>
        </w:rPr>
      </w:pPr>
      <w:bookmarkStart w:id="394" w:name="_Toc1511"/>
      <w:r>
        <w:rPr>
          <w:rFonts w:hint="eastAsia" w:ascii="宋体" w:hAnsi="宋体" w:cs="宋体"/>
          <w:b/>
          <w:color w:val="auto"/>
          <w:sz w:val="36"/>
          <w:szCs w:val="36"/>
          <w:highlight w:val="none"/>
        </w:rPr>
        <w:t>第五部分 拟签订的合同文本</w:t>
      </w:r>
      <w:bookmarkEnd w:id="394"/>
    </w:p>
    <w:p>
      <w:pPr>
        <w:pStyle w:val="2"/>
        <w:rPr>
          <w:color w:val="auto"/>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0"/>
        <w:ind w:firstLine="2843" w:firstLineChars="1180"/>
        <w:rPr>
          <w:rFonts w:ascii="宋体" w:hAnsi="宋体" w:cs="宋体"/>
          <w:b/>
          <w:color w:val="auto"/>
          <w:szCs w:val="24"/>
          <w:highlight w:val="none"/>
        </w:rPr>
      </w:pPr>
      <w:bookmarkStart w:id="395" w:name="_Toc18358"/>
      <w:r>
        <w:rPr>
          <w:rFonts w:hint="eastAsia" w:ascii="宋体" w:hAnsi="宋体" w:cs="宋体"/>
          <w:b/>
          <w:color w:val="auto"/>
          <w:szCs w:val="24"/>
          <w:highlight w:val="none"/>
        </w:rPr>
        <w:t>第一部分 合同书</w:t>
      </w:r>
      <w:bookmarkEnd w:id="395"/>
    </w:p>
    <w:p>
      <w:pPr>
        <w:spacing w:before="120" w:line="22" w:lineRule="atLeast"/>
        <w:rPr>
          <w:rFonts w:ascii="宋体" w:hAnsi="宋体" w:cs="宋体"/>
          <w:color w:val="auto"/>
          <w:sz w:val="24"/>
          <w:highlight w:val="none"/>
        </w:rPr>
      </w:pPr>
    </w:p>
    <w:p>
      <w:pPr>
        <w:tabs>
          <w:tab w:val="left" w:pos="432"/>
        </w:tabs>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天一阁秦氏支祠展陈项目</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color w:val="auto"/>
          <w:szCs w:val="24"/>
          <w:highlight w:val="none"/>
        </w:rPr>
      </w:pPr>
    </w:p>
    <w:p>
      <w:pPr>
        <w:pStyle w:val="59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宁波市天一阁博物院</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宁波市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eastAsia="zh-CN"/>
        </w:rPr>
        <w:t>2024</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宁波市天一阁博物院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天一阁秦氏支祠展陈项目</w:t>
      </w:r>
      <w:r>
        <w:rPr>
          <w:rFonts w:hint="eastAsia" w:ascii="宋体" w:hAnsi="宋体"/>
          <w:color w:val="auto"/>
          <w:sz w:val="24"/>
          <w:highlight w:val="none"/>
        </w:rPr>
        <w:t>进行了采购。经</w:t>
      </w:r>
      <w:r>
        <w:rPr>
          <w:rFonts w:hint="eastAsia" w:ascii="宋体" w:hAnsi="宋体"/>
          <w:color w:val="auto"/>
          <w:sz w:val="24"/>
          <w:highlight w:val="none"/>
          <w:u w:val="single"/>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宁波市天一阁博物院</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lang w:val="zh-CN"/>
        </w:rPr>
        <w:t>以下简称：甲方</w:t>
      </w:r>
      <w:r>
        <w:rPr>
          <w:rFonts w:hint="eastAsia" w:ascii="宋体" w:hAnsi="宋体"/>
          <w:color w:val="auto"/>
          <w:sz w:val="24"/>
          <w:highlight w:val="none"/>
          <w:lang w:val="zh-CN"/>
        </w:rPr>
        <w:t>）</w:t>
      </w:r>
      <w:r>
        <w:rPr>
          <w:rFonts w:ascii="宋体" w:hAnsi="宋体"/>
          <w:color w:val="auto"/>
          <w:sz w:val="24"/>
          <w:highlight w:val="none"/>
          <w:lang w:val="zh-CN"/>
        </w:rPr>
        <w:t>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hint="eastAsia" w:ascii="宋体" w:hAnsi="宋体"/>
          <w:color w:val="auto"/>
          <w:sz w:val="24"/>
          <w:highlight w:val="none"/>
          <w:u w:val="single"/>
        </w:rPr>
        <w:t>（</w:t>
      </w:r>
      <w:r>
        <w:rPr>
          <w:rFonts w:ascii="宋体" w:hAnsi="宋体"/>
          <w:color w:val="auto"/>
          <w:sz w:val="24"/>
          <w:highlight w:val="none"/>
          <w:lang w:val="zh-CN"/>
        </w:rPr>
        <w:t>以下简称：乙方</w:t>
      </w:r>
      <w:r>
        <w:rPr>
          <w:rFonts w:hint="eastAsia" w:ascii="宋体" w:hAnsi="宋体"/>
          <w:color w:val="auto"/>
          <w:sz w:val="24"/>
          <w:highlight w:val="none"/>
          <w:lang w:val="zh-CN"/>
        </w:rPr>
        <w:t>）</w:t>
      </w:r>
      <w:r>
        <w:rPr>
          <w:rFonts w:ascii="宋体" w:hAnsi="宋体"/>
          <w:color w:val="auto"/>
          <w:sz w:val="24"/>
          <w:highlight w:val="none"/>
          <w:lang w:val="zh-CN"/>
        </w:rPr>
        <w:t>协商一致，约定以下合同</w:t>
      </w:r>
      <w:r>
        <w:rPr>
          <w:rFonts w:hint="eastAsia" w:ascii="宋体" w:hAnsi="宋体"/>
          <w:color w:val="auto"/>
          <w:sz w:val="24"/>
          <w:highlight w:val="none"/>
        </w:rPr>
        <w:t>条款，以兹共同遵守、全面履行。</w:t>
      </w:r>
    </w:p>
    <w:p>
      <w:pPr>
        <w:spacing w:line="560" w:lineRule="exact"/>
        <w:ind w:firstLine="482" w:firstLineChars="200"/>
        <w:rPr>
          <w:rFonts w:ascii="宋体" w:hAnsi="宋体"/>
          <w:color w:val="auto"/>
          <w:sz w:val="24"/>
          <w:highlight w:val="none"/>
        </w:rPr>
      </w:pPr>
      <w:bookmarkStart w:id="396" w:name="_Toc28855"/>
      <w:bookmarkStart w:id="397" w:name="_Toc15367"/>
      <w:bookmarkStart w:id="398" w:name="_Toc20770"/>
      <w:bookmarkStart w:id="399" w:name="_Toc19273"/>
      <w:bookmarkStart w:id="400" w:name="_Toc22967"/>
      <w:bookmarkStart w:id="40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bookmarkEnd w:id="40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rPr>
          <w:rFonts w:ascii="宋体" w:hAnsi="宋体"/>
          <w:b/>
          <w:color w:val="auto"/>
          <w:sz w:val="24"/>
          <w:highlight w:val="none"/>
        </w:rPr>
      </w:pPr>
      <w:bookmarkStart w:id="402" w:name="_Toc6311"/>
      <w:bookmarkStart w:id="403" w:name="_Toc22185"/>
      <w:bookmarkStart w:id="404" w:name="_Toc6773"/>
      <w:bookmarkStart w:id="405" w:name="_Toc18585"/>
      <w:bookmarkStart w:id="406" w:name="_Toc2918"/>
      <w:bookmarkStart w:id="407" w:name="_Toc23687"/>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bookmarkEnd w:id="40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eastAsia="zh-CN"/>
        </w:rPr>
        <w:t>天一阁秦氏支祠展陈</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 xml:space="preserve"> 国家相关标准、行业标准、地方标准或者其他标准规范</w:t>
      </w:r>
      <w:r>
        <w:rPr>
          <w:rFonts w:hint="eastAsia" w:ascii="宋体" w:hAnsi="宋体"/>
          <w:color w:val="auto"/>
          <w:sz w:val="24"/>
          <w:highlight w:val="none"/>
        </w:rPr>
        <w:t>；</w:t>
      </w:r>
    </w:p>
    <w:p>
      <w:pPr>
        <w:spacing w:line="560" w:lineRule="exact"/>
        <w:ind w:firstLine="480" w:firstLineChars="200"/>
        <w:jc w:val="left"/>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2" w:firstLineChars="200"/>
        <w:rPr>
          <w:rFonts w:ascii="宋体" w:hAnsi="宋体"/>
          <w:b/>
          <w:color w:val="auto"/>
          <w:sz w:val="24"/>
          <w:highlight w:val="none"/>
        </w:rPr>
      </w:pPr>
      <w:bookmarkStart w:id="408" w:name="_Toc18121"/>
      <w:bookmarkStart w:id="409" w:name="_Toc21124"/>
      <w:bookmarkStart w:id="410" w:name="_Toc1386"/>
      <w:bookmarkStart w:id="411" w:name="_Toc13918"/>
      <w:bookmarkStart w:id="412" w:name="_Toc4929"/>
      <w:bookmarkStart w:id="413" w:name="_Toc5635"/>
      <w:r>
        <w:rPr>
          <w:rFonts w:ascii="宋体" w:hAnsi="宋体"/>
          <w:b/>
          <w:color w:val="auto"/>
          <w:sz w:val="24"/>
          <w:highlight w:val="none"/>
        </w:rPr>
        <w:t>1.3 价款</w:t>
      </w:r>
      <w:bookmarkEnd w:id="408"/>
      <w:bookmarkEnd w:id="409"/>
      <w:bookmarkEnd w:id="410"/>
      <w:bookmarkEnd w:id="411"/>
      <w:bookmarkEnd w:id="412"/>
      <w:bookmarkEnd w:id="413"/>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bCs/>
          <w:color w:val="auto"/>
          <w:sz w:val="24"/>
          <w:highlight w:val="none"/>
        </w:rPr>
      </w:pPr>
      <w:bookmarkStart w:id="414" w:name="_Toc30506"/>
      <w:bookmarkStart w:id="415" w:name="_Toc3654"/>
      <w:bookmarkStart w:id="416" w:name="_Toc26916"/>
      <w:bookmarkStart w:id="417" w:name="_Toc30158"/>
      <w:bookmarkStart w:id="418"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单价合同，在合同履行期间内，根据实际人数据实结算，但结算总价上限不得超过预算金额或者双方确定的金额￥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1.3.3其他计价方式：</w:t>
      </w:r>
    </w:p>
    <w:bookmarkEnd w:id="414"/>
    <w:bookmarkEnd w:id="415"/>
    <w:bookmarkEnd w:id="416"/>
    <w:bookmarkEnd w:id="417"/>
    <w:bookmarkEnd w:id="418"/>
    <w:p>
      <w:pPr>
        <w:spacing w:line="560" w:lineRule="exact"/>
        <w:ind w:firstLine="482" w:firstLineChars="200"/>
        <w:rPr>
          <w:rFonts w:ascii="宋体" w:hAnsi="宋体"/>
          <w:b/>
          <w:color w:val="auto"/>
          <w:sz w:val="24"/>
          <w:highlight w:val="none"/>
        </w:rPr>
      </w:pPr>
      <w:bookmarkStart w:id="419" w:name="_Toc6238"/>
      <w:bookmarkStart w:id="420" w:name="_Toc10340"/>
      <w:bookmarkStart w:id="421" w:name="_Toc22618"/>
      <w:bookmarkStart w:id="422" w:name="_Toc1814"/>
      <w:bookmarkStart w:id="423" w:name="_Toc8772"/>
      <w:bookmarkStart w:id="424" w:name="_Toc3625"/>
      <w:bookmarkStart w:id="425" w:name="_Toc31421"/>
      <w:bookmarkStart w:id="426" w:name="_Toc4760"/>
      <w:bookmarkStart w:id="427" w:name="_Toc11108"/>
      <w:r>
        <w:rPr>
          <w:rFonts w:hint="eastAsia" w:ascii="宋体" w:hAnsi="宋体"/>
          <w:b/>
          <w:color w:val="auto"/>
          <w:sz w:val="24"/>
          <w:highlight w:val="none"/>
        </w:rPr>
        <w:t>1.4履约保证金</w:t>
      </w:r>
      <w:bookmarkEnd w:id="4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需要支付履约保证金。若需要支付履约保证金的，则：</w:t>
      </w:r>
    </w:p>
    <w:p>
      <w:pPr>
        <w:spacing w:line="560" w:lineRule="exact"/>
        <w:ind w:firstLine="480" w:firstLineChars="200"/>
        <w:rPr>
          <w:rFonts w:ascii="宋体" w:hAnsi="宋体" w:cs="宋体"/>
          <w:color w:val="auto"/>
          <w:kern w:val="0"/>
          <w:sz w:val="24"/>
          <w:highlight w:val="none"/>
        </w:rPr>
      </w:pPr>
      <w:bookmarkStart w:id="428" w:name="_Toc4478"/>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428"/>
    </w:p>
    <w:p>
      <w:pPr>
        <w:spacing w:line="560" w:lineRule="exact"/>
        <w:ind w:firstLine="480" w:firstLineChars="200"/>
        <w:rPr>
          <w:rFonts w:ascii="宋体" w:hAnsi="宋体" w:cs="宋体"/>
          <w:color w:val="auto"/>
          <w:kern w:val="0"/>
          <w:sz w:val="24"/>
          <w:highlight w:val="none"/>
        </w:rPr>
      </w:pPr>
      <w:bookmarkStart w:id="429" w:name="_Toc16305"/>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429"/>
    </w:p>
    <w:p>
      <w:pPr>
        <w:tabs>
          <w:tab w:val="left" w:pos="0"/>
          <w:tab w:val="left" w:pos="432"/>
        </w:tabs>
        <w:spacing w:line="560" w:lineRule="exact"/>
        <w:ind w:firstLine="480" w:firstLineChars="200"/>
        <w:rPr>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kern w:val="0"/>
          <w:sz w:val="24"/>
          <w:highlight w:val="none"/>
        </w:rPr>
      </w:pPr>
      <w:bookmarkStart w:id="430" w:name="_Toc32465"/>
      <w:r>
        <w:rPr>
          <w:rFonts w:hint="eastAsia" w:ascii="宋体" w:hAnsi="宋体" w:cs="宋体"/>
          <w:color w:val="auto"/>
          <w:kern w:val="0"/>
          <w:sz w:val="24"/>
          <w:highlight w:val="none"/>
        </w:rPr>
        <w:t>1.4.4</w:t>
      </w:r>
      <w:r>
        <w:rPr>
          <w:rFonts w:hint="eastAsia" w:ascii="宋体" w:hAnsi="宋体" w:cs="宋体"/>
          <w:color w:val="auto"/>
          <w:sz w:val="24"/>
          <w:highlight w:val="none"/>
        </w:rPr>
        <w:t>履约保证金在定点采购合同期满后无息退还（但如乙方未能履行合同规定的任何义务，甲方有权从履约保证金中得到补偿）</w:t>
      </w:r>
      <w:r>
        <w:rPr>
          <w:rFonts w:hint="eastAsia" w:ascii="宋体" w:hAnsi="宋体" w:cs="宋体"/>
          <w:color w:val="auto"/>
          <w:kern w:val="0"/>
          <w:sz w:val="24"/>
          <w:highlight w:val="none"/>
        </w:rPr>
        <w:t>。</w:t>
      </w:r>
      <w:bookmarkEnd w:id="430"/>
    </w:p>
    <w:p>
      <w:pPr>
        <w:spacing w:line="560" w:lineRule="exact"/>
        <w:ind w:firstLine="482" w:firstLineChars="200"/>
        <w:rPr>
          <w:rFonts w:ascii="宋体" w:hAnsi="宋体" w:cs="宋体"/>
          <w:b/>
          <w:color w:val="auto"/>
          <w:sz w:val="24"/>
          <w:highlight w:val="none"/>
        </w:rPr>
      </w:pPr>
      <w:bookmarkStart w:id="431" w:name="_Toc24825"/>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bookmarkEnd w:id="431"/>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需要支付预付款。若需要支付预付款的，则：</w:t>
      </w:r>
    </w:p>
    <w:p>
      <w:pPr>
        <w:pStyle w:val="958"/>
        <w:spacing w:before="0" w:beforeAutospacing="0" w:after="0" w:afterAutospacing="0" w:line="360" w:lineRule="auto"/>
        <w:ind w:firstLine="480"/>
        <w:rPr>
          <w:color w:val="auto"/>
          <w:highlight w:val="none"/>
        </w:rPr>
      </w:pPr>
      <w:r>
        <w:rPr>
          <w:rFonts w:hint="eastAsia"/>
          <w:color w:val="auto"/>
          <w:highlight w:val="none"/>
        </w:rPr>
        <w:t>1.5.1预付款比例、支付方式、时间详见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bookmarkStart w:id="432" w:name="_Toc9684"/>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bookmarkEnd w:id="432"/>
    </w:p>
    <w:p>
      <w:pPr>
        <w:spacing w:line="560" w:lineRule="exact"/>
        <w:ind w:firstLine="482" w:firstLineChars="200"/>
        <w:rPr>
          <w:rFonts w:ascii="宋体" w:hAnsi="宋体"/>
          <w:b/>
          <w:color w:val="auto"/>
          <w:sz w:val="24"/>
          <w:highlight w:val="none"/>
        </w:rPr>
      </w:pPr>
      <w:bookmarkStart w:id="433" w:name="_Toc30589"/>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bookmarkEnd w:id="43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bCs/>
          <w:color w:val="auto"/>
          <w:sz w:val="24"/>
          <w:highlight w:val="none"/>
        </w:rPr>
      </w:pPr>
      <w:bookmarkStart w:id="434" w:name="_Toc15178"/>
      <w:bookmarkStart w:id="435" w:name="_Toc8586"/>
      <w:bookmarkStart w:id="436" w:name="_Toc3079"/>
      <w:bookmarkStart w:id="437" w:name="_Toc24662"/>
      <w:bookmarkStart w:id="438" w:name="_Toc5698"/>
      <w:bookmarkStart w:id="439" w:name="_Toc2375"/>
      <w:r>
        <w:rPr>
          <w:rFonts w:hint="eastAsia" w:ascii="宋体" w:hAnsi="宋体"/>
          <w:bCs/>
          <w:color w:val="auto"/>
          <w:sz w:val="24"/>
          <w:highlight w:val="none"/>
        </w:rPr>
        <w:t>1.7.4若服务</w:t>
      </w:r>
      <w:r>
        <w:rPr>
          <w:rFonts w:hint="eastAsia"/>
          <w:bCs/>
          <w:color w:val="auto"/>
          <w:sz w:val="24"/>
          <w:highlight w:val="none"/>
        </w:rPr>
        <w:t>涉及货物的，则货物的：</w:t>
      </w:r>
      <w:bookmarkEnd w:id="43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ascii="宋体" w:hAnsi="宋体"/>
          <w:color w:val="auto"/>
          <w:sz w:val="24"/>
          <w:highlight w:val="none"/>
          <w:u w:val="single"/>
        </w:rPr>
      </w:pPr>
      <w:bookmarkStart w:id="440" w:name="_Toc14648"/>
      <w:r>
        <w:rPr>
          <w:rFonts w:ascii="宋体" w:hAnsi="宋体"/>
          <w:b/>
          <w:color w:val="auto"/>
          <w:sz w:val="24"/>
          <w:highlight w:val="none"/>
        </w:rPr>
        <w:t>1.</w:t>
      </w:r>
      <w:r>
        <w:rPr>
          <w:rFonts w:hint="eastAsia" w:ascii="宋体" w:hAnsi="宋体"/>
          <w:b/>
          <w:color w:val="auto"/>
          <w:sz w:val="24"/>
          <w:highlight w:val="none"/>
        </w:rPr>
        <w:t>8违约责任</w:t>
      </w:r>
      <w:bookmarkEnd w:id="435"/>
      <w:bookmarkEnd w:id="436"/>
      <w:bookmarkEnd w:id="437"/>
      <w:bookmarkEnd w:id="438"/>
      <w:bookmarkEnd w:id="439"/>
      <w:bookmarkEnd w:id="44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41" w:name="_Toc26807"/>
      <w:bookmarkStart w:id="442" w:name="_Toc9497"/>
      <w:bookmarkStart w:id="443" w:name="_Toc32454"/>
      <w:bookmarkStart w:id="444" w:name="_Toc30329"/>
      <w:bookmarkStart w:id="445"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1"/>
    <w:bookmarkEnd w:id="442"/>
    <w:bookmarkEnd w:id="443"/>
    <w:bookmarkEnd w:id="444"/>
    <w:bookmarkEnd w:id="445"/>
    <w:p>
      <w:pPr>
        <w:spacing w:line="560" w:lineRule="exact"/>
        <w:ind w:firstLine="482" w:firstLineChars="200"/>
        <w:rPr>
          <w:rFonts w:ascii="宋体" w:hAnsi="宋体" w:cs="宋体"/>
          <w:b/>
          <w:color w:val="auto"/>
          <w:sz w:val="24"/>
          <w:highlight w:val="none"/>
        </w:rPr>
      </w:pPr>
      <w:bookmarkStart w:id="446" w:name="_Toc15583"/>
      <w:bookmarkStart w:id="447" w:name="_Toc16021"/>
      <w:bookmarkStart w:id="448" w:name="_Toc28375"/>
      <w:bookmarkStart w:id="449" w:name="_Toc18529"/>
      <w:r>
        <w:rPr>
          <w:rFonts w:hint="eastAsia" w:ascii="宋体" w:hAnsi="宋体" w:cs="宋体"/>
          <w:b/>
          <w:color w:val="auto"/>
          <w:sz w:val="24"/>
          <w:highlight w:val="none"/>
        </w:rPr>
        <w:t>1.9合同争议的解决</w:t>
      </w:r>
      <w:bookmarkEnd w:id="446"/>
      <w:bookmarkEnd w:id="447"/>
      <w:bookmarkEnd w:id="448"/>
      <w:bookmarkEnd w:id="44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rPr>
          <w:rFonts w:ascii="宋体" w:hAnsi="宋体" w:cs="宋体"/>
          <w:b/>
          <w:color w:val="auto"/>
          <w:sz w:val="24"/>
          <w:highlight w:val="none"/>
        </w:rPr>
      </w:pPr>
      <w:bookmarkStart w:id="450" w:name="_Toc15322"/>
      <w:bookmarkStart w:id="451" w:name="_Toc7245"/>
      <w:bookmarkStart w:id="452" w:name="_Toc4413"/>
      <w:bookmarkStart w:id="453" w:name="_Toc11173"/>
      <w:r>
        <w:rPr>
          <w:rFonts w:hint="eastAsia" w:ascii="宋体" w:hAnsi="宋体" w:cs="宋体"/>
          <w:b/>
          <w:color w:val="auto"/>
          <w:sz w:val="24"/>
          <w:highlight w:val="none"/>
        </w:rPr>
        <w:t>2.0 合同生效</w:t>
      </w:r>
      <w:bookmarkEnd w:id="450"/>
      <w:bookmarkEnd w:id="451"/>
      <w:bookmarkEnd w:id="452"/>
      <w:bookmarkEnd w:id="45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w:t>
      </w:r>
      <w:r>
        <w:rPr>
          <w:rFonts w:hint="eastAsia" w:ascii="宋体" w:hAnsi="宋体"/>
          <w:color w:val="auto"/>
          <w:sz w:val="24"/>
          <w:highlight w:val="none"/>
          <w:lang w:val="zh-CN"/>
        </w:rPr>
        <w:t>：</w:t>
      </w:r>
      <w:r>
        <w:rPr>
          <w:rFonts w:ascii="宋体" w:hAnsi="宋体"/>
          <w:color w:val="auto"/>
          <w:sz w:val="24"/>
          <w:highlight w:val="none"/>
          <w:lang w:val="zh-CN"/>
        </w:rPr>
        <w:t xml:space="preserve">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w:t>
      </w:r>
      <w:r>
        <w:rPr>
          <w:rFonts w:hint="eastAsia" w:ascii="宋体" w:hAnsi="宋体"/>
          <w:color w:val="auto"/>
          <w:sz w:val="24"/>
          <w:highlight w:val="none"/>
          <w:lang w:val="zh-CN"/>
        </w:rPr>
        <w:t>：</w:t>
      </w:r>
      <w:r>
        <w:rPr>
          <w:rFonts w:ascii="宋体" w:hAnsi="宋体"/>
          <w:color w:val="auto"/>
          <w:sz w:val="24"/>
          <w:highlight w:val="none"/>
          <w:lang w:val="zh-CN"/>
        </w:rPr>
        <w:t xml:space="preserve">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0"/>
        <w:spacing w:line="560" w:lineRule="exact"/>
        <w:ind w:firstLine="482"/>
        <w:jc w:val="center"/>
        <w:rPr>
          <w:rFonts w:ascii="宋体" w:hAnsi="宋体"/>
          <w:b/>
          <w:color w:val="auto"/>
          <w:szCs w:val="24"/>
          <w:highlight w:val="none"/>
        </w:rPr>
      </w:pPr>
      <w:bookmarkStart w:id="454" w:name="_Toc24593"/>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bookmarkEnd w:id="454"/>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55" w:name="_Toc25079"/>
      <w:bookmarkStart w:id="456" w:name="_Toc5228"/>
      <w:bookmarkStart w:id="457" w:name="_Toc14021"/>
      <w:bookmarkStart w:id="458" w:name="_Toc19680"/>
      <w:bookmarkStart w:id="459" w:name="_Toc31297"/>
      <w:bookmarkStart w:id="460" w:name="_Toc4623"/>
      <w:r>
        <w:rPr>
          <w:rFonts w:ascii="宋体" w:hAnsi="宋体"/>
          <w:b/>
          <w:color w:val="auto"/>
          <w:sz w:val="24"/>
          <w:highlight w:val="none"/>
        </w:rPr>
        <w:t>2.1 定义</w:t>
      </w:r>
      <w:bookmarkEnd w:id="455"/>
      <w:bookmarkEnd w:id="456"/>
      <w:bookmarkEnd w:id="457"/>
      <w:bookmarkEnd w:id="458"/>
      <w:bookmarkEnd w:id="459"/>
      <w:bookmarkEnd w:id="46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61" w:name="_Toc3769"/>
      <w:bookmarkStart w:id="462" w:name="_Toc4244"/>
      <w:bookmarkStart w:id="463" w:name="_Toc31402"/>
      <w:bookmarkStart w:id="464" w:name="_Toc23289"/>
      <w:bookmarkStart w:id="465" w:name="_Toc19539"/>
      <w:bookmarkStart w:id="466" w:name="_Toc16752"/>
      <w:r>
        <w:rPr>
          <w:rFonts w:ascii="宋体" w:hAnsi="宋体"/>
          <w:b/>
          <w:color w:val="auto"/>
          <w:sz w:val="24"/>
          <w:highlight w:val="none"/>
        </w:rPr>
        <w:t>2.2 技术规范</w:t>
      </w:r>
      <w:bookmarkEnd w:id="461"/>
      <w:bookmarkEnd w:id="462"/>
      <w:bookmarkEnd w:id="463"/>
      <w:bookmarkEnd w:id="464"/>
      <w:bookmarkEnd w:id="465"/>
      <w:bookmarkEnd w:id="46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rPr>
        <w:t>（</w:t>
      </w:r>
      <w:r>
        <w:rPr>
          <w:rFonts w:ascii="宋体" w:hAnsi="宋体"/>
          <w:color w:val="auto"/>
          <w:sz w:val="24"/>
          <w:highlight w:val="none"/>
        </w:rPr>
        <w:t>如果有的话</w:t>
      </w:r>
      <w:r>
        <w:rPr>
          <w:rFonts w:hint="eastAsia" w:ascii="宋体" w:hAnsi="宋体"/>
          <w:color w:val="auto"/>
          <w:sz w:val="24"/>
          <w:highlight w:val="none"/>
        </w:rPr>
        <w:t>）</w:t>
      </w:r>
      <w:r>
        <w:rPr>
          <w:rFonts w:ascii="宋体" w:hAnsi="宋体"/>
          <w:color w:val="auto"/>
          <w:sz w:val="24"/>
          <w:highlight w:val="none"/>
        </w:rPr>
        <w:t>及其技术规范偏差表</w:t>
      </w:r>
      <w:r>
        <w:rPr>
          <w:rFonts w:hint="eastAsia" w:ascii="宋体" w:hAnsi="宋体"/>
          <w:color w:val="auto"/>
          <w:sz w:val="24"/>
          <w:highlight w:val="none"/>
        </w:rPr>
        <w:t>（</w:t>
      </w:r>
      <w:r>
        <w:rPr>
          <w:rFonts w:ascii="宋体" w:hAnsi="宋体"/>
          <w:color w:val="auto"/>
          <w:sz w:val="24"/>
          <w:highlight w:val="none"/>
        </w:rPr>
        <w:t>如果被甲方接受的话</w:t>
      </w:r>
      <w:r>
        <w:rPr>
          <w:rFonts w:hint="eastAsia" w:ascii="宋体" w:hAnsi="宋体"/>
          <w:color w:val="auto"/>
          <w:sz w:val="24"/>
          <w:highlight w:val="none"/>
        </w:rPr>
        <w:t>）</w:t>
      </w:r>
      <w:r>
        <w:rPr>
          <w:rFonts w:ascii="宋体" w:hAnsi="宋体"/>
          <w:color w:val="auto"/>
          <w:sz w:val="24"/>
          <w:highlight w:val="none"/>
        </w:rPr>
        <w:t>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67" w:name="_Toc12412"/>
      <w:bookmarkStart w:id="468" w:name="_Toc13673"/>
      <w:bookmarkStart w:id="469" w:name="_Toc4133"/>
      <w:bookmarkStart w:id="470" w:name="_Toc18361"/>
      <w:bookmarkStart w:id="471" w:name="_Toc27945"/>
      <w:bookmarkStart w:id="472" w:name="_Toc9161"/>
      <w:r>
        <w:rPr>
          <w:rFonts w:ascii="宋体" w:hAnsi="宋体"/>
          <w:b/>
          <w:color w:val="auto"/>
          <w:sz w:val="24"/>
          <w:highlight w:val="none"/>
        </w:rPr>
        <w:t>2.3 知识产权</w:t>
      </w:r>
      <w:bookmarkEnd w:id="467"/>
      <w:bookmarkEnd w:id="468"/>
      <w:bookmarkEnd w:id="469"/>
      <w:bookmarkEnd w:id="470"/>
      <w:bookmarkEnd w:id="471"/>
      <w:bookmarkEnd w:id="47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73" w:name="_Toc32670"/>
      <w:bookmarkStart w:id="474" w:name="_Toc15447"/>
      <w:bookmarkStart w:id="475" w:name="_Toc31233"/>
      <w:bookmarkStart w:id="476" w:name="_Toc22011"/>
      <w:bookmarkStart w:id="477" w:name="_Toc26555"/>
      <w:bookmarkStart w:id="478" w:name="_Toc31132"/>
      <w:r>
        <w:rPr>
          <w:rFonts w:ascii="宋体" w:hAnsi="宋体"/>
          <w:b/>
          <w:color w:val="auto"/>
          <w:sz w:val="24"/>
          <w:highlight w:val="none"/>
        </w:rPr>
        <w:t>2.5 结算方式和付款条件</w:t>
      </w:r>
      <w:bookmarkEnd w:id="473"/>
      <w:bookmarkEnd w:id="474"/>
      <w:bookmarkEnd w:id="475"/>
      <w:bookmarkEnd w:id="476"/>
      <w:bookmarkEnd w:id="477"/>
      <w:bookmarkEnd w:id="47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79" w:name="_Toc16163"/>
      <w:bookmarkStart w:id="480" w:name="_Toc20400"/>
      <w:bookmarkStart w:id="481" w:name="_Toc30507"/>
      <w:bookmarkStart w:id="482" w:name="_Toc18990"/>
      <w:bookmarkStart w:id="483" w:name="_Toc13154"/>
      <w:bookmarkStart w:id="484" w:name="_Toc13467"/>
      <w:r>
        <w:rPr>
          <w:rFonts w:ascii="宋体" w:hAnsi="宋体"/>
          <w:b/>
          <w:color w:val="auto"/>
          <w:sz w:val="24"/>
          <w:highlight w:val="none"/>
        </w:rPr>
        <w:t>2.6 技术资料和保密义务</w:t>
      </w:r>
      <w:bookmarkEnd w:id="479"/>
      <w:bookmarkEnd w:id="480"/>
      <w:bookmarkEnd w:id="481"/>
      <w:bookmarkEnd w:id="482"/>
      <w:bookmarkEnd w:id="483"/>
      <w:bookmarkEnd w:id="48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85" w:name="_Toc19069"/>
      <w:bookmarkStart w:id="486" w:name="_Toc29995"/>
      <w:r>
        <w:rPr>
          <w:rFonts w:ascii="宋体" w:hAnsi="宋体"/>
          <w:b/>
          <w:color w:val="auto"/>
          <w:sz w:val="24"/>
          <w:highlight w:val="none"/>
        </w:rPr>
        <w:t xml:space="preserve">2.7 </w:t>
      </w:r>
      <w:r>
        <w:rPr>
          <w:rFonts w:hint="eastAsia" w:ascii="宋体" w:hAnsi="宋体"/>
          <w:b/>
          <w:color w:val="auto"/>
          <w:sz w:val="24"/>
          <w:highlight w:val="none"/>
        </w:rPr>
        <w:t>质量保证</w:t>
      </w:r>
      <w:bookmarkEnd w:id="485"/>
      <w:bookmarkEnd w:id="48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87" w:name="_Toc3270"/>
      <w:bookmarkStart w:id="48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7"/>
      <w:bookmarkEnd w:id="48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89" w:name="_Toc28731"/>
      <w:bookmarkStart w:id="49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9"/>
      <w:bookmarkEnd w:id="49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91" w:name="_Toc10663"/>
      <w:bookmarkStart w:id="492" w:name="_Toc21830"/>
      <w:bookmarkStart w:id="493" w:name="_Toc16313"/>
      <w:bookmarkStart w:id="494" w:name="_Toc26689"/>
      <w:bookmarkStart w:id="495" w:name="_Toc42"/>
      <w:bookmarkStart w:id="496" w:name="_Toc23368"/>
      <w:r>
        <w:rPr>
          <w:rFonts w:ascii="宋体" w:hAnsi="宋体"/>
          <w:b/>
          <w:color w:val="auto"/>
          <w:sz w:val="24"/>
          <w:highlight w:val="none"/>
        </w:rPr>
        <w:t>2.10 合同转让和分包</w:t>
      </w:r>
      <w:bookmarkEnd w:id="491"/>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497" w:name="_Toc14746"/>
      <w:bookmarkStart w:id="498" w:name="_Toc14371"/>
      <w:bookmarkStart w:id="499" w:name="_Toc32494"/>
      <w:bookmarkStart w:id="500" w:name="_Toc4720"/>
      <w:bookmarkStart w:id="501" w:name="_Toc25571"/>
      <w:bookmarkStart w:id="502" w:name="_Toc26633"/>
      <w:r>
        <w:rPr>
          <w:rFonts w:ascii="宋体" w:hAnsi="宋体"/>
          <w:b/>
          <w:color w:val="auto"/>
          <w:sz w:val="24"/>
          <w:highlight w:val="none"/>
        </w:rPr>
        <w:t>2.11 不可抗力</w:t>
      </w:r>
      <w:bookmarkEnd w:id="497"/>
      <w:bookmarkEnd w:id="498"/>
      <w:bookmarkEnd w:id="499"/>
      <w:bookmarkEnd w:id="500"/>
      <w:bookmarkEnd w:id="501"/>
      <w:bookmarkEnd w:id="50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503" w:name="_Toc23854"/>
      <w:bookmarkStart w:id="504" w:name="_Toc24465"/>
      <w:bookmarkStart w:id="505" w:name="_Toc20763"/>
      <w:bookmarkStart w:id="506" w:name="_Toc25783"/>
      <w:bookmarkStart w:id="507" w:name="_Toc3638"/>
      <w:bookmarkStart w:id="508" w:name="_Toc14115"/>
      <w:r>
        <w:rPr>
          <w:rFonts w:ascii="宋体" w:hAnsi="宋体"/>
          <w:b/>
          <w:color w:val="auto"/>
          <w:sz w:val="24"/>
          <w:highlight w:val="none"/>
        </w:rPr>
        <w:t>2.12 税费</w:t>
      </w:r>
      <w:bookmarkEnd w:id="503"/>
      <w:bookmarkEnd w:id="504"/>
      <w:bookmarkEnd w:id="505"/>
      <w:bookmarkEnd w:id="506"/>
      <w:bookmarkEnd w:id="507"/>
      <w:bookmarkEnd w:id="50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509" w:name="_Toc30105"/>
      <w:bookmarkStart w:id="510" w:name="_Toc7315"/>
      <w:bookmarkStart w:id="511" w:name="_Toc14814"/>
      <w:bookmarkStart w:id="512" w:name="_Toc25525"/>
      <w:bookmarkStart w:id="513" w:name="_Toc158"/>
      <w:bookmarkStart w:id="514" w:name="_Toc26883"/>
      <w:r>
        <w:rPr>
          <w:rFonts w:ascii="宋体" w:hAnsi="宋体"/>
          <w:b/>
          <w:color w:val="auto"/>
          <w:sz w:val="24"/>
          <w:highlight w:val="none"/>
        </w:rPr>
        <w:t>2.13 乙方破产</w:t>
      </w:r>
      <w:bookmarkEnd w:id="509"/>
      <w:bookmarkEnd w:id="510"/>
      <w:bookmarkEnd w:id="511"/>
      <w:bookmarkEnd w:id="512"/>
      <w:bookmarkEnd w:id="513"/>
      <w:bookmarkEnd w:id="51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515" w:name="_Toc23323"/>
      <w:bookmarkStart w:id="516" w:name="_Toc16300"/>
      <w:bookmarkStart w:id="517" w:name="_Toc2016"/>
      <w:bookmarkStart w:id="518" w:name="_Toc1123"/>
      <w:r>
        <w:rPr>
          <w:rFonts w:ascii="宋体" w:hAnsi="宋体"/>
          <w:b/>
          <w:color w:val="auto"/>
          <w:sz w:val="24"/>
          <w:highlight w:val="none"/>
        </w:rPr>
        <w:t>2.14 合同中止、终止</w:t>
      </w:r>
      <w:bookmarkEnd w:id="515"/>
      <w:bookmarkEnd w:id="516"/>
      <w:bookmarkEnd w:id="517"/>
      <w:bookmarkEnd w:id="51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519" w:name="_Toc1969"/>
      <w:bookmarkStart w:id="520" w:name="_Toc17363"/>
      <w:bookmarkStart w:id="521" w:name="_Toc19116"/>
      <w:bookmarkStart w:id="522" w:name="_Toc14525"/>
      <w:r>
        <w:rPr>
          <w:rFonts w:ascii="宋体" w:hAnsi="宋体"/>
          <w:b/>
          <w:color w:val="auto"/>
          <w:sz w:val="24"/>
          <w:highlight w:val="none"/>
        </w:rPr>
        <w:t>2.15 检验和验收</w:t>
      </w:r>
      <w:bookmarkEnd w:id="519"/>
      <w:bookmarkEnd w:id="520"/>
      <w:bookmarkEnd w:id="521"/>
      <w:bookmarkEnd w:id="522"/>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523" w:name="_Toc31892"/>
      <w:bookmarkStart w:id="524" w:name="_Toc2308"/>
      <w:bookmarkStart w:id="525" w:name="_Toc25198"/>
      <w:bookmarkStart w:id="526" w:name="_Toc12666"/>
      <w:bookmarkStart w:id="527" w:name="_Toc32353"/>
      <w:bookmarkStart w:id="528" w:name="_Toc9808"/>
      <w:r>
        <w:rPr>
          <w:rFonts w:ascii="宋体" w:hAnsi="宋体"/>
          <w:b/>
          <w:color w:val="auto"/>
          <w:sz w:val="24"/>
          <w:highlight w:val="none"/>
        </w:rPr>
        <w:t>2.16 通知和送达</w:t>
      </w:r>
      <w:bookmarkEnd w:id="523"/>
      <w:bookmarkEnd w:id="524"/>
      <w:bookmarkEnd w:id="525"/>
      <w:bookmarkEnd w:id="526"/>
      <w:bookmarkEnd w:id="527"/>
      <w:bookmarkEnd w:id="52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bookmarkStart w:id="529" w:name="_Toc18401"/>
      <w:bookmarkStart w:id="53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9"/>
      <w:bookmarkEnd w:id="530"/>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bookmarkStart w:id="531" w:name="_Toc7576"/>
      <w:bookmarkStart w:id="532" w:name="_Toc20808"/>
      <w:bookmarkStart w:id="533" w:name="_Toc5063"/>
      <w:bookmarkStart w:id="534" w:name="_Toc28906"/>
      <w:bookmarkStart w:id="535" w:name="_Toc12254"/>
      <w:bookmarkStart w:id="53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31"/>
      <w:bookmarkEnd w:id="532"/>
      <w:bookmarkEnd w:id="533"/>
      <w:bookmarkEnd w:id="534"/>
      <w:bookmarkEnd w:id="535"/>
      <w:bookmarkEnd w:id="53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highlight w:val="none"/>
        </w:rPr>
      </w:pPr>
      <w:bookmarkStart w:id="537" w:name="_Toc30599"/>
      <w:bookmarkStart w:id="538" w:name="_Toc10145"/>
      <w:bookmarkStart w:id="539" w:name="_Toc18540"/>
      <w:bookmarkStart w:id="540" w:name="_Toc4355"/>
      <w:r>
        <w:rPr>
          <w:rFonts w:hint="eastAsia" w:ascii="宋体" w:hAnsi="宋体" w:cs="宋体"/>
          <w:b/>
          <w:color w:val="auto"/>
          <w:sz w:val="24"/>
          <w:highlight w:val="none"/>
        </w:rPr>
        <w:t>2.18 计量单位</w:t>
      </w:r>
      <w:bookmarkEnd w:id="537"/>
      <w:bookmarkEnd w:id="538"/>
      <w:bookmarkEnd w:id="539"/>
      <w:bookmarkEnd w:id="54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rPr>
          <w:rFonts w:ascii="宋体" w:hAnsi="宋体" w:cs="宋体"/>
          <w:b/>
          <w:color w:val="auto"/>
          <w:sz w:val="24"/>
          <w:highlight w:val="none"/>
        </w:rPr>
      </w:pPr>
      <w:r>
        <w:rPr>
          <w:rFonts w:hint="eastAsia" w:ascii="宋体" w:hAnsi="宋体" w:cs="宋体"/>
          <w:color w:val="auto"/>
          <w:kern w:val="0"/>
          <w:highlight w:val="none"/>
        </w:rPr>
        <w:br w:type="page"/>
      </w:r>
      <w:bookmarkStart w:id="541" w:name="_Toc331685784"/>
      <w:r>
        <w:rPr>
          <w:rFonts w:hint="eastAsia" w:ascii="宋体" w:hAnsi="宋体" w:cs="宋体"/>
          <w:b/>
          <w:color w:val="auto"/>
          <w:sz w:val="24"/>
          <w:highlight w:val="none"/>
        </w:rPr>
        <w:t xml:space="preserve"> </w:t>
      </w:r>
      <w:bookmarkEnd w:id="541"/>
      <w:bookmarkStart w:id="542" w:name="_Toc20076"/>
      <w:r>
        <w:rPr>
          <w:rFonts w:hint="eastAsia" w:ascii="宋体" w:hAnsi="宋体" w:cs="宋体"/>
          <w:b/>
          <w:color w:val="auto"/>
          <w:sz w:val="24"/>
          <w:highlight w:val="none"/>
        </w:rPr>
        <w:t>第三部分  合同专用条款</w:t>
      </w:r>
      <w:bookmarkEnd w:id="542"/>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1、履约保证金金额：合同金额的1%，于合同签订后7个工作日内支付；</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2、履约保证金形式：现金、银行汇票（电汇）、银行保函、保险保单或支票（仅限于使用宁波大市区范围内的银行开具的支票）等形式；</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3、担保收件人：</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4、履约保证金的退取：项目全部验收合格并且工程竣工资料和结算资料按要求提交后，根据实际履约情况扣除相应违约金及赔偿金后七个工作日内无息退还履约保证金（如</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未能履行合同规定的任何义务，</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有权从履约保证金中进行相应款项的扣除，对不足部分有权追偿）。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1、设计费：</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（1）在合同签订生效及具备实施条件后7个工作日内，支付设计费合同总价的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2、布展费：</w:t>
            </w:r>
          </w:p>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（1）在合同签订生效及具备实施条件后7个工作日内，7个工作日内支付布展费合同总价的40%；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1、设计费：</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（1）在合同签订生效及具备实施条件后7个工作日内，支付设计费合同总价的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（2）施工图完成并通过审查后，7个工作日内支付至设计费合同总价的80%；</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（3）待整个项目竣工验收合格后，7个工作日内支付至设计费合同总价的100%。</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2、布展费：</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（1）在合同签订生效及具备实施条件后7个工作日内，7个工作日内支付布展费合同总价的40%；</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（2）开始布展（制作）后，7个工作日内支付至布展合同总价的50%；</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（3）布展安装施工预验收合格后，7个工作日内支付至布展合同总价的80%；</w:t>
            </w:r>
          </w:p>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（4）待整个项目竣工验收合格后，7个工作日内支付至项目结算审定价的100%。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个月内完工。</w:t>
            </w:r>
            <w:bookmarkStart w:id="555" w:name="_GoBack"/>
            <w:bookmarkEnd w:id="55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宁波市范围内甲方指定地点。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pStyle w:val="2"/>
              <w:keepNext w:val="0"/>
              <w:keepLines w:val="0"/>
              <w:pageBreakBefore w:val="0"/>
              <w:widowControl w:val="0"/>
              <w:kinsoku/>
              <w:wordWrap/>
              <w:overflowPunct/>
              <w:topLinePunct w:val="0"/>
              <w:bidi w:val="0"/>
              <w:adjustRightInd w:val="0"/>
              <w:snapToGrid/>
              <w:spacing w:line="240" w:lineRule="auto"/>
              <w:textAlignment w:val="auto"/>
              <w:rPr>
                <w:color w:val="auto"/>
                <w:highlight w:val="none"/>
              </w:rPr>
            </w:pPr>
            <w:r>
              <w:rPr>
                <w:rFonts w:hint="eastAsia"/>
                <w:color w:val="auto"/>
                <w:highlight w:val="none"/>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宁波市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宁波市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合同涉及技术成果归甲方所有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1.合同</w:t>
            </w:r>
            <w:r>
              <w:rPr>
                <w:rFonts w:hint="eastAsia" w:ascii="宋体" w:hAnsi="宋体" w:eastAsia="宋体" w:cs="宋体"/>
                <w:b w:val="0"/>
                <w:bCs/>
                <w:spacing w:val="10"/>
                <w:sz w:val="24"/>
                <w:szCs w:val="24"/>
              </w:rPr>
              <w:t>价款</w:t>
            </w:r>
            <w:r>
              <w:rPr>
                <w:rFonts w:hint="eastAsia" w:ascii="宋体" w:hAnsi="宋体" w:eastAsia="宋体" w:cs="宋体"/>
                <w:b w:val="0"/>
                <w:bCs/>
                <w:sz w:val="24"/>
                <w:szCs w:val="24"/>
              </w:rPr>
              <w:t>：招标范围内全部工作内容的价格表现，包括但不仅限于：设计</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深化设计</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费、布展施工费（施工中发生的水、电、垃圾处理、环保费用、临时设施费用等）、设备费、材料费、竣工资料的整理、有关部门的检测、检验、整改、验收、运输费、保险费、安装调试费以及质保期内的维护费及规费、税（金）及政策性文件规定的各项应有明示或暗示的费用。现场安全措施、工期保证、质量保证以及受到各种不利因素的影响产生的措施及风险费用、招标代理服务费等全部费用。</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b w:val="0"/>
                <w:bCs/>
                <w:spacing w:val="10"/>
                <w:sz w:val="24"/>
                <w:szCs w:val="24"/>
              </w:rPr>
            </w:pPr>
            <w:r>
              <w:rPr>
                <w:rFonts w:hint="eastAsia" w:ascii="宋体" w:hAnsi="宋体" w:eastAsia="宋体" w:cs="宋体"/>
                <w:b w:val="0"/>
                <w:bCs/>
                <w:spacing w:val="10"/>
                <w:sz w:val="24"/>
                <w:szCs w:val="24"/>
              </w:rPr>
              <w:t>2.暂定合同价款和调整后的合同价款</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b w:val="0"/>
                <w:bCs/>
                <w:spacing w:val="10"/>
                <w:sz w:val="24"/>
                <w:szCs w:val="24"/>
                <w:highlight w:val="none"/>
              </w:rPr>
            </w:pPr>
            <w:r>
              <w:rPr>
                <w:rFonts w:hint="eastAsia" w:ascii="宋体" w:hAnsi="宋体" w:eastAsia="宋体" w:cs="宋体"/>
                <w:b w:val="0"/>
                <w:bCs/>
                <w:spacing w:val="10"/>
                <w:sz w:val="24"/>
                <w:szCs w:val="24"/>
                <w:highlight w:val="none"/>
              </w:rPr>
              <w:t>2.1本合同的暂定合同价款为中标总金额，其中包括设计费、暂定</w:t>
            </w:r>
            <w:r>
              <w:rPr>
                <w:rFonts w:hint="eastAsia" w:ascii="宋体" w:hAnsi="宋体" w:eastAsia="宋体" w:cs="宋体"/>
                <w:b w:val="0"/>
                <w:bCs/>
                <w:spacing w:val="10"/>
                <w:sz w:val="24"/>
                <w:szCs w:val="24"/>
                <w:highlight w:val="none"/>
                <w:lang w:eastAsia="zh-CN"/>
              </w:rPr>
              <w:t>布展</w:t>
            </w:r>
            <w:r>
              <w:rPr>
                <w:rFonts w:hint="eastAsia" w:ascii="宋体" w:hAnsi="宋体" w:eastAsia="宋体" w:cs="宋体"/>
                <w:b w:val="0"/>
                <w:bCs/>
                <w:spacing w:val="10"/>
                <w:sz w:val="24"/>
                <w:szCs w:val="24"/>
                <w:highlight w:val="none"/>
              </w:rPr>
              <w:t>费</w:t>
            </w:r>
            <w:r>
              <w:rPr>
                <w:rFonts w:hint="eastAsia" w:ascii="宋体" w:hAnsi="宋体" w:eastAsia="宋体" w:cs="宋体"/>
                <w:b w:val="0"/>
                <w:bCs/>
                <w:sz w:val="24"/>
                <w:szCs w:val="24"/>
                <w:highlight w:val="none"/>
                <w:lang w:val="en-US" w:eastAsia="zh-CN"/>
              </w:rPr>
              <w:t>二</w:t>
            </w:r>
            <w:r>
              <w:rPr>
                <w:rFonts w:hint="eastAsia" w:ascii="宋体" w:hAnsi="宋体" w:eastAsia="宋体" w:cs="宋体"/>
                <w:b w:val="0"/>
                <w:bCs/>
                <w:spacing w:val="10"/>
                <w:sz w:val="24"/>
                <w:szCs w:val="24"/>
                <w:highlight w:val="none"/>
              </w:rPr>
              <w:t>部分（包含</w:t>
            </w:r>
            <w:r>
              <w:rPr>
                <w:rFonts w:hint="eastAsia" w:ascii="宋体" w:hAnsi="宋体" w:cs="宋体"/>
                <w:b w:val="0"/>
                <w:bCs/>
                <w:spacing w:val="10"/>
                <w:sz w:val="24"/>
                <w:szCs w:val="24"/>
                <w:highlight w:val="none"/>
                <w:lang w:eastAsia="zh-CN"/>
              </w:rPr>
              <w:t>“1.合同价款”</w:t>
            </w:r>
            <w:r>
              <w:rPr>
                <w:rFonts w:hint="eastAsia" w:ascii="宋体" w:hAnsi="宋体" w:eastAsia="宋体" w:cs="宋体"/>
                <w:b w:val="0"/>
                <w:bCs/>
                <w:spacing w:val="10"/>
                <w:sz w:val="24"/>
                <w:szCs w:val="24"/>
                <w:highlight w:val="none"/>
              </w:rPr>
              <w:t>所列全部工作）。</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b w:val="0"/>
                <w:bCs/>
                <w:spacing w:val="10"/>
                <w:sz w:val="24"/>
                <w:szCs w:val="24"/>
              </w:rPr>
            </w:pPr>
            <w:r>
              <w:rPr>
                <w:rFonts w:hint="eastAsia" w:ascii="宋体" w:hAnsi="宋体" w:eastAsia="宋体" w:cs="宋体"/>
                <w:b w:val="0"/>
                <w:bCs/>
                <w:spacing w:val="10"/>
                <w:sz w:val="24"/>
                <w:szCs w:val="24"/>
              </w:rPr>
              <w:t>本合同的暂定合同价款为人民币（大写）：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（小写）：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 xml:space="preserve"> 元。</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b w:val="0"/>
                <w:bCs/>
                <w:spacing w:val="10"/>
                <w:sz w:val="24"/>
                <w:szCs w:val="24"/>
                <w:lang w:eastAsia="zh-CN"/>
              </w:rPr>
            </w:pPr>
            <w:r>
              <w:rPr>
                <w:rFonts w:hint="eastAsia" w:ascii="宋体" w:hAnsi="宋体" w:eastAsia="宋体" w:cs="宋体"/>
                <w:b w:val="0"/>
                <w:bCs/>
                <w:spacing w:val="10"/>
                <w:sz w:val="24"/>
                <w:szCs w:val="24"/>
              </w:rPr>
              <w:t>其中：设计费合同价款为人民币（大写）：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（小写）：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 xml:space="preserve"> 元</w:t>
            </w:r>
            <w:r>
              <w:rPr>
                <w:rFonts w:hint="eastAsia" w:ascii="宋体" w:hAnsi="宋体" w:eastAsia="宋体" w:cs="宋体"/>
                <w:b w:val="0"/>
                <w:bCs/>
                <w:spacing w:val="10"/>
                <w:sz w:val="24"/>
                <w:szCs w:val="24"/>
                <w:lang w:eastAsia="zh-CN"/>
              </w:rPr>
              <w:t>。</w:t>
            </w:r>
          </w:p>
          <w:p>
            <w:pPr>
              <w:keepNext w:val="0"/>
              <w:keepLines w:val="0"/>
              <w:pageBreakBefore w:val="0"/>
              <w:widowControl w:val="0"/>
              <w:kinsoku/>
              <w:wordWrap/>
              <w:overflowPunct/>
              <w:topLinePunct w:val="0"/>
              <w:bidi w:val="0"/>
              <w:adjustRightInd/>
              <w:snapToGrid/>
              <w:spacing w:line="240" w:lineRule="auto"/>
              <w:ind w:firstLine="1300" w:firstLineChars="500"/>
              <w:textAlignment w:val="auto"/>
              <w:rPr>
                <w:rFonts w:hint="eastAsia" w:ascii="宋体" w:hAnsi="宋体" w:eastAsia="宋体" w:cs="宋体"/>
                <w:b w:val="0"/>
                <w:bCs/>
                <w:spacing w:val="10"/>
                <w:sz w:val="24"/>
                <w:szCs w:val="24"/>
                <w:lang w:eastAsia="zh-CN"/>
              </w:rPr>
            </w:pPr>
            <w:r>
              <w:rPr>
                <w:rFonts w:hint="eastAsia" w:ascii="宋体" w:hAnsi="宋体" w:eastAsia="宋体" w:cs="宋体"/>
                <w:b w:val="0"/>
                <w:bCs/>
                <w:spacing w:val="10"/>
                <w:sz w:val="24"/>
                <w:szCs w:val="24"/>
              </w:rPr>
              <w:t>暂定</w:t>
            </w:r>
            <w:r>
              <w:rPr>
                <w:rFonts w:hint="eastAsia" w:ascii="宋体" w:hAnsi="宋体" w:eastAsia="宋体" w:cs="宋体"/>
                <w:b w:val="0"/>
                <w:bCs/>
                <w:spacing w:val="10"/>
                <w:sz w:val="24"/>
                <w:szCs w:val="24"/>
                <w:lang w:eastAsia="zh-CN"/>
              </w:rPr>
              <w:t>布展</w:t>
            </w:r>
            <w:r>
              <w:rPr>
                <w:rFonts w:hint="eastAsia" w:ascii="宋体" w:hAnsi="宋体" w:eastAsia="宋体" w:cs="宋体"/>
                <w:b w:val="0"/>
                <w:bCs/>
                <w:spacing w:val="10"/>
                <w:sz w:val="24"/>
                <w:szCs w:val="24"/>
              </w:rPr>
              <w:t>费为人民币（大写）：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 xml:space="preserve"> （小写）：</w:t>
            </w:r>
            <w:r>
              <w:rPr>
                <w:rFonts w:hint="eastAsia" w:ascii="宋体" w:hAnsi="宋体" w:eastAsia="宋体" w:cs="宋体"/>
                <w:b w:val="0"/>
                <w:bCs/>
                <w:spacing w:val="10"/>
                <w:sz w:val="24"/>
                <w:szCs w:val="24"/>
                <w:u w:val="single"/>
              </w:rPr>
              <w:t xml:space="preserve">        </w:t>
            </w:r>
            <w:r>
              <w:rPr>
                <w:rFonts w:hint="eastAsia" w:ascii="宋体" w:hAnsi="宋体" w:eastAsia="宋体" w:cs="宋体"/>
                <w:b w:val="0"/>
                <w:bCs/>
                <w:spacing w:val="10"/>
                <w:sz w:val="24"/>
                <w:szCs w:val="24"/>
              </w:rPr>
              <w:t>元</w:t>
            </w:r>
            <w:r>
              <w:rPr>
                <w:rFonts w:hint="eastAsia" w:ascii="宋体" w:hAnsi="宋体" w:eastAsia="宋体" w:cs="宋体"/>
                <w:b w:val="0"/>
                <w:bCs/>
                <w:spacing w:val="10"/>
                <w:sz w:val="24"/>
                <w:szCs w:val="24"/>
                <w:lang w:eastAsia="zh-CN"/>
              </w:rPr>
              <w:t>。</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b w:val="0"/>
                <w:bCs/>
                <w:spacing w:val="10"/>
                <w:sz w:val="24"/>
                <w:szCs w:val="24"/>
              </w:rPr>
            </w:pPr>
            <w:r>
              <w:rPr>
                <w:rFonts w:hint="eastAsia" w:ascii="宋体" w:hAnsi="宋体" w:eastAsia="宋体" w:cs="宋体"/>
                <w:b w:val="0"/>
                <w:bCs/>
                <w:spacing w:val="10"/>
                <w:sz w:val="24"/>
                <w:szCs w:val="24"/>
              </w:rPr>
              <w:t>说明：</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（1）中标浮动率（%）为：</w:t>
            </w:r>
            <w:r>
              <w:rPr>
                <w:rFonts w:hint="eastAsia" w:ascii="宋体" w:hAnsi="宋体" w:eastAsia="宋体" w:cs="宋体"/>
                <w:spacing w:val="10"/>
                <w:sz w:val="24"/>
                <w:szCs w:val="24"/>
                <w:u w:val="single"/>
              </w:rPr>
              <w:t>（</w:t>
            </w:r>
            <w:r>
              <w:rPr>
                <w:rFonts w:hint="eastAsia" w:ascii="宋体" w:hAnsi="宋体" w:eastAsia="宋体" w:cs="宋体"/>
                <w:spacing w:val="10"/>
                <w:sz w:val="24"/>
                <w:szCs w:val="24"/>
                <w:u w:val="single"/>
                <w:lang w:eastAsia="zh-CN"/>
              </w:rPr>
              <w:t>布展</w:t>
            </w:r>
            <w:r>
              <w:rPr>
                <w:rFonts w:hint="eastAsia" w:ascii="宋体" w:hAnsi="宋体" w:eastAsia="宋体" w:cs="宋体"/>
                <w:spacing w:val="10"/>
                <w:sz w:val="24"/>
                <w:szCs w:val="24"/>
                <w:u w:val="single"/>
              </w:rPr>
              <w:t>费</w:t>
            </w:r>
            <w:r>
              <w:rPr>
                <w:rFonts w:hint="eastAsia" w:ascii="宋体" w:hAnsi="宋体" w:eastAsia="宋体" w:cs="宋体"/>
                <w:spacing w:val="10"/>
                <w:sz w:val="24"/>
                <w:szCs w:val="24"/>
                <w:u w:val="single"/>
                <w:lang w:val="en-US" w:eastAsia="zh-CN"/>
              </w:rPr>
              <w:t>最高限价</w:t>
            </w:r>
            <w:r>
              <w:rPr>
                <w:rFonts w:hint="eastAsia" w:ascii="宋体" w:hAnsi="宋体" w:eastAsia="宋体" w:cs="宋体"/>
                <w:spacing w:val="10"/>
                <w:sz w:val="24"/>
                <w:szCs w:val="24"/>
                <w:u w:val="single"/>
              </w:rPr>
              <w:t>金额</w:t>
            </w:r>
            <w:r>
              <w:rPr>
                <w:rFonts w:hint="eastAsia" w:ascii="宋体" w:hAnsi="宋体" w:cs="宋体"/>
                <w:spacing w:val="10"/>
                <w:sz w:val="24"/>
                <w:szCs w:val="24"/>
                <w:u w:val="single"/>
                <w:lang w:val="en-US" w:eastAsia="zh-CN"/>
              </w:rPr>
              <w:t>-</w:t>
            </w:r>
            <w:r>
              <w:rPr>
                <w:rFonts w:hint="eastAsia" w:ascii="宋体" w:hAnsi="宋体" w:eastAsia="宋体" w:cs="宋体"/>
                <w:spacing w:val="10"/>
                <w:sz w:val="24"/>
                <w:szCs w:val="24"/>
                <w:u w:val="single"/>
                <w:lang w:eastAsia="zh-CN"/>
              </w:rPr>
              <w:t>布展</w:t>
            </w:r>
            <w:r>
              <w:rPr>
                <w:rFonts w:hint="eastAsia" w:ascii="宋体" w:hAnsi="宋体" w:eastAsia="宋体" w:cs="宋体"/>
                <w:spacing w:val="10"/>
                <w:sz w:val="24"/>
                <w:szCs w:val="24"/>
                <w:u w:val="single"/>
              </w:rPr>
              <w:t>费中标价）/</w:t>
            </w:r>
            <w:r>
              <w:rPr>
                <w:rFonts w:hint="eastAsia" w:ascii="宋体" w:hAnsi="宋体" w:eastAsia="宋体" w:cs="宋体"/>
                <w:spacing w:val="10"/>
                <w:sz w:val="24"/>
                <w:szCs w:val="24"/>
                <w:u w:val="single"/>
                <w:lang w:eastAsia="zh-CN"/>
              </w:rPr>
              <w:t>布展</w:t>
            </w:r>
            <w:r>
              <w:rPr>
                <w:rFonts w:hint="eastAsia" w:ascii="宋体" w:hAnsi="宋体" w:eastAsia="宋体" w:cs="宋体"/>
                <w:spacing w:val="10"/>
                <w:sz w:val="24"/>
                <w:szCs w:val="24"/>
                <w:u w:val="single"/>
              </w:rPr>
              <w:t>费</w:t>
            </w:r>
            <w:r>
              <w:rPr>
                <w:rFonts w:hint="eastAsia" w:ascii="宋体" w:hAnsi="宋体" w:eastAsia="宋体" w:cs="宋体"/>
                <w:spacing w:val="10"/>
                <w:sz w:val="24"/>
                <w:szCs w:val="24"/>
                <w:u w:val="single"/>
                <w:lang w:val="en-US" w:eastAsia="zh-CN"/>
              </w:rPr>
              <w:t>最高限价</w:t>
            </w:r>
            <w:r>
              <w:rPr>
                <w:rFonts w:hint="eastAsia" w:ascii="宋体" w:hAnsi="宋体" w:eastAsia="宋体" w:cs="宋体"/>
                <w:spacing w:val="10"/>
                <w:sz w:val="24"/>
                <w:szCs w:val="24"/>
                <w:u w:val="single"/>
              </w:rPr>
              <w:t>金额</w:t>
            </w:r>
            <w:r>
              <w:rPr>
                <w:rFonts w:hint="default" w:ascii="Arial" w:hAnsi="Arial" w:eastAsia="宋体" w:cs="Arial"/>
                <w:spacing w:val="10"/>
                <w:sz w:val="24"/>
                <w:szCs w:val="24"/>
                <w:u w:val="single"/>
              </w:rPr>
              <w:t>×</w:t>
            </w:r>
            <w:r>
              <w:rPr>
                <w:rFonts w:hint="eastAsia" w:ascii="宋体" w:hAnsi="宋体" w:eastAsia="宋体" w:cs="宋体"/>
                <w:spacing w:val="10"/>
                <w:sz w:val="24"/>
                <w:szCs w:val="24"/>
                <w:u w:val="single"/>
              </w:rPr>
              <w:t>100</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费中标价=中标总金额-设计费</w:t>
            </w:r>
            <w:r>
              <w:rPr>
                <w:rFonts w:hint="eastAsia" w:ascii="宋体" w:hAnsi="宋体" w:eastAsia="宋体" w:cs="宋体"/>
                <w:spacing w:val="10"/>
                <w:sz w:val="24"/>
                <w:szCs w:val="24"/>
                <w:lang w:val="en-US" w:eastAsia="zh-CN"/>
              </w:rPr>
              <w:t>中标价</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费</w:t>
            </w:r>
            <w:r>
              <w:rPr>
                <w:rFonts w:hint="eastAsia" w:ascii="宋体" w:hAnsi="宋体" w:eastAsia="宋体" w:cs="宋体"/>
                <w:spacing w:val="10"/>
                <w:sz w:val="24"/>
                <w:szCs w:val="24"/>
                <w:highlight w:val="none"/>
                <w:lang w:val="en-US" w:eastAsia="zh-CN"/>
              </w:rPr>
              <w:t>最高限价</w:t>
            </w:r>
            <w:r>
              <w:rPr>
                <w:rFonts w:hint="eastAsia" w:ascii="宋体" w:hAnsi="宋体" w:eastAsia="宋体" w:cs="宋体"/>
                <w:spacing w:val="10"/>
                <w:sz w:val="24"/>
                <w:szCs w:val="24"/>
                <w:highlight w:val="none"/>
              </w:rPr>
              <w:t>金额（万元）=采购最高限价金额</w:t>
            </w:r>
            <w:r>
              <w:rPr>
                <w:rFonts w:hint="eastAsia" w:ascii="宋体" w:hAnsi="宋体" w:eastAsia="宋体" w:cs="宋体"/>
                <w:spacing w:val="10"/>
                <w:sz w:val="24"/>
                <w:szCs w:val="24"/>
                <w:highlight w:val="none"/>
                <w:lang w:eastAsia="zh-CN"/>
              </w:rPr>
              <w:t>（</w:t>
            </w:r>
            <w:r>
              <w:rPr>
                <w:rFonts w:hint="eastAsia" w:ascii="宋体" w:hAnsi="宋体" w:cs="宋体"/>
                <w:spacing w:val="10"/>
                <w:sz w:val="24"/>
                <w:szCs w:val="24"/>
                <w:highlight w:val="none"/>
                <w:lang w:val="en-US" w:eastAsia="zh-CN"/>
              </w:rPr>
              <w:t>630</w:t>
            </w:r>
            <w:r>
              <w:rPr>
                <w:rFonts w:hint="eastAsia" w:ascii="宋体" w:hAnsi="宋体" w:eastAsia="宋体" w:cs="宋体"/>
                <w:spacing w:val="10"/>
                <w:sz w:val="24"/>
                <w:szCs w:val="24"/>
                <w:highlight w:val="none"/>
                <w:lang w:eastAsia="zh-CN"/>
              </w:rPr>
              <w:t>万元）</w:t>
            </w:r>
            <w:r>
              <w:rPr>
                <w:rFonts w:hint="eastAsia" w:ascii="宋体" w:hAnsi="宋体" w:eastAsia="宋体" w:cs="宋体"/>
                <w:spacing w:val="10"/>
                <w:sz w:val="24"/>
                <w:szCs w:val="24"/>
                <w:highlight w:val="none"/>
              </w:rPr>
              <w:t>-设计费</w:t>
            </w:r>
            <w:r>
              <w:rPr>
                <w:rFonts w:hint="eastAsia" w:ascii="宋体" w:hAnsi="宋体" w:eastAsia="宋体" w:cs="宋体"/>
                <w:spacing w:val="10"/>
                <w:sz w:val="24"/>
                <w:szCs w:val="24"/>
                <w:highlight w:val="none"/>
                <w:lang w:val="en-US" w:eastAsia="zh-CN"/>
              </w:rPr>
              <w:t>最高限价</w:t>
            </w:r>
            <w:r>
              <w:rPr>
                <w:rFonts w:hint="eastAsia" w:ascii="宋体" w:hAnsi="宋体" w:eastAsia="宋体" w:cs="宋体"/>
                <w:spacing w:val="10"/>
                <w:sz w:val="24"/>
                <w:szCs w:val="24"/>
                <w:highlight w:val="none"/>
              </w:rPr>
              <w:t>金额（23.4</w:t>
            </w:r>
            <w:r>
              <w:rPr>
                <w:rFonts w:hint="eastAsia" w:ascii="宋体" w:hAnsi="宋体" w:eastAsia="宋体" w:cs="宋体"/>
                <w:spacing w:val="10"/>
                <w:sz w:val="24"/>
                <w:szCs w:val="24"/>
                <w:highlight w:val="none"/>
                <w:lang w:val="en-US" w:eastAsia="zh-CN"/>
              </w:rPr>
              <w:t>万元</w:t>
            </w:r>
            <w:r>
              <w:rPr>
                <w:rFonts w:hint="eastAsia" w:ascii="宋体" w:hAnsi="宋体" w:eastAsia="宋体" w:cs="宋体"/>
                <w:spacing w:val="10"/>
                <w:sz w:val="24"/>
                <w:szCs w:val="24"/>
                <w:highlight w:val="none"/>
              </w:rPr>
              <w:t>）=</w:t>
            </w:r>
            <w:r>
              <w:rPr>
                <w:rFonts w:hint="eastAsia" w:ascii="宋体" w:hAnsi="宋体" w:cs="宋体"/>
                <w:spacing w:val="10"/>
                <w:sz w:val="24"/>
                <w:szCs w:val="24"/>
                <w:highlight w:val="none"/>
                <w:lang w:val="en-US" w:eastAsia="zh-CN"/>
              </w:rPr>
              <w:t>606.6</w:t>
            </w:r>
            <w:r>
              <w:rPr>
                <w:rFonts w:hint="eastAsia" w:ascii="宋体" w:hAnsi="宋体" w:eastAsia="宋体" w:cs="宋体"/>
                <w:spacing w:val="10"/>
                <w:sz w:val="24"/>
                <w:szCs w:val="24"/>
                <w:highlight w:val="none"/>
              </w:rPr>
              <w:t>万元</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暂定</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费即为</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费中标价。</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（2）设计费合同价款按</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highlight w:val="none"/>
              </w:rPr>
              <w:t>投标报价一次性包干，不作调整。</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2.2</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highlight w:val="none"/>
              </w:rPr>
              <w:t>在提供设计方案、材料选择的同时须提供各方案的造价分析报告，报监理单位和</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highlight w:val="none"/>
              </w:rPr>
              <w:t>审批。</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2.3</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highlight w:val="none"/>
              </w:rPr>
              <w:t>须提供主要材料的品牌、规格、型号、参数、价格报监理单位和</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highlight w:val="none"/>
              </w:rPr>
              <w:t>审批。</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2.4在设计阶段</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highlight w:val="none"/>
              </w:rPr>
              <w:t>按暂定</w:t>
            </w: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费进行限额设计。</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2.5调整后的合同价款</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（1）本项目调整后的合同价款为</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rPr>
              <w:t>元（大写：</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rPr>
              <w:t>），其中包括设计费、调整后的</w:t>
            </w: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费</w:t>
            </w:r>
            <w:r>
              <w:rPr>
                <w:rFonts w:hint="eastAsia" w:ascii="宋体" w:hAnsi="宋体" w:eastAsia="宋体" w:cs="宋体"/>
                <w:spacing w:val="10"/>
                <w:sz w:val="24"/>
                <w:szCs w:val="24"/>
                <w:highlight w:val="none"/>
                <w:lang w:val="en-US" w:eastAsia="zh-CN"/>
              </w:rPr>
              <w:t>二</w:t>
            </w:r>
            <w:r>
              <w:rPr>
                <w:rFonts w:hint="eastAsia" w:ascii="宋体" w:hAnsi="宋体" w:eastAsia="宋体" w:cs="宋体"/>
                <w:spacing w:val="10"/>
                <w:sz w:val="24"/>
                <w:szCs w:val="24"/>
                <w:highlight w:val="none"/>
              </w:rPr>
              <w:t>部分。</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highlight w:val="none"/>
              </w:rPr>
              <w:t>（2）本项目调整后的</w:t>
            </w:r>
            <w:r>
              <w:rPr>
                <w:rFonts w:hint="eastAsia" w:ascii="宋体" w:hAnsi="宋体" w:eastAsia="宋体" w:cs="宋体"/>
                <w:spacing w:val="10"/>
                <w:sz w:val="24"/>
                <w:szCs w:val="24"/>
                <w:highlight w:val="none"/>
                <w:lang w:eastAsia="zh-CN"/>
              </w:rPr>
              <w:t>布展</w:t>
            </w:r>
            <w:r>
              <w:rPr>
                <w:rFonts w:hint="eastAsia" w:ascii="宋体" w:hAnsi="宋体" w:eastAsia="宋体" w:cs="宋体"/>
                <w:spacing w:val="10"/>
                <w:sz w:val="24"/>
                <w:szCs w:val="24"/>
                <w:highlight w:val="none"/>
              </w:rPr>
              <w:t xml:space="preserve">费为 </w:t>
            </w:r>
            <w:r>
              <w:rPr>
                <w:rFonts w:hint="eastAsia" w:ascii="宋体" w:hAnsi="宋体" w:eastAsia="宋体" w:cs="宋体"/>
                <w:spacing w:val="10"/>
                <w:sz w:val="24"/>
                <w:szCs w:val="24"/>
                <w:highlight w:val="none"/>
                <w:u w:val="single"/>
              </w:rPr>
              <w:t xml:space="preserve">                 元</w:t>
            </w:r>
            <w:r>
              <w:rPr>
                <w:rFonts w:hint="eastAsia" w:ascii="宋体" w:hAnsi="宋体" w:eastAsia="宋体" w:cs="宋体"/>
                <w:spacing w:val="10"/>
                <w:sz w:val="24"/>
                <w:szCs w:val="24"/>
                <w:highlight w:val="none"/>
              </w:rPr>
              <w:t xml:space="preserve"> 。</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highlight w:val="none"/>
              </w:rPr>
              <w:t>根据投标方案及</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highlight w:val="none"/>
              </w:rPr>
              <w:t>的技术条件、方案优化要求、施工图深化设计的要求进行施工图设计并经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highlight w:val="none"/>
              </w:rPr>
              <w:t>审核确认。</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highlight w:val="none"/>
              </w:rPr>
              <w:t>根据</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highlight w:val="none"/>
              </w:rPr>
              <w:t>审核确认后的施工图纸编</w:t>
            </w:r>
            <w:r>
              <w:rPr>
                <w:rFonts w:hint="eastAsia" w:ascii="宋体" w:hAnsi="宋体" w:eastAsia="宋体" w:cs="宋体"/>
                <w:spacing w:val="10"/>
                <w:sz w:val="24"/>
                <w:szCs w:val="24"/>
              </w:rPr>
              <w:t>制施工图预算并按</w:t>
            </w:r>
            <w:r>
              <w:rPr>
                <w:rFonts w:hint="eastAsia" w:ascii="宋体" w:hAnsi="宋体" w:eastAsia="宋体" w:cs="宋体"/>
                <w:spacing w:val="10"/>
                <w:sz w:val="24"/>
                <w:szCs w:val="24"/>
                <w:u w:val="single"/>
              </w:rPr>
              <w:t>中标浮动率</w:t>
            </w:r>
            <w:r>
              <w:rPr>
                <w:rFonts w:hint="eastAsia" w:ascii="宋体" w:hAnsi="宋体" w:eastAsia="宋体" w:cs="宋体"/>
                <w:spacing w:val="10"/>
                <w:sz w:val="24"/>
                <w:szCs w:val="24"/>
              </w:rPr>
              <w:t>下浮，经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审定的施工图预算价作为调整后的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费为施工图范围内的包干总价。</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）施工图预算的编制原则：</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应根据经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审定的设计方案并依审定的施工设计图纸</w:t>
            </w:r>
            <w:r>
              <w:rPr>
                <w:rFonts w:hint="eastAsia" w:ascii="宋体" w:hAnsi="宋体" w:eastAsia="宋体" w:cs="宋体"/>
                <w:spacing w:val="10"/>
                <w:sz w:val="24"/>
                <w:szCs w:val="24"/>
                <w:u w:val="none"/>
              </w:rPr>
              <w:t>，</w:t>
            </w:r>
            <w:r>
              <w:rPr>
                <w:rFonts w:hint="eastAsia" w:ascii="宋体" w:hAnsi="宋体" w:eastAsia="宋体" w:cs="宋体"/>
                <w:spacing w:val="10"/>
                <w:sz w:val="24"/>
                <w:szCs w:val="24"/>
              </w:rPr>
              <w:t>按</w:t>
            </w:r>
            <w:r>
              <w:rPr>
                <w:rFonts w:hint="eastAsia" w:ascii="宋体" w:hAnsi="宋体" w:eastAsia="宋体" w:cs="宋体"/>
                <w:spacing w:val="10"/>
                <w:sz w:val="24"/>
                <w:szCs w:val="24"/>
                <w:lang w:val="en-US" w:eastAsia="zh-CN"/>
              </w:rPr>
              <w:t>最新</w:t>
            </w:r>
            <w:r>
              <w:rPr>
                <w:rFonts w:hint="eastAsia" w:ascii="宋体" w:hAnsi="宋体" w:eastAsia="宋体" w:cs="宋体"/>
                <w:spacing w:val="10"/>
                <w:sz w:val="24"/>
                <w:szCs w:val="24"/>
              </w:rPr>
              <w:t>计价规范</w:t>
            </w:r>
            <w:r>
              <w:rPr>
                <w:rFonts w:hint="eastAsia" w:ascii="宋体" w:hAnsi="宋体" w:eastAsia="宋体" w:cs="宋体"/>
                <w:spacing w:val="10"/>
                <w:sz w:val="24"/>
                <w:szCs w:val="24"/>
                <w:lang w:val="en-US" w:eastAsia="zh-CN"/>
              </w:rPr>
              <w:t>、</w:t>
            </w:r>
            <w:r>
              <w:rPr>
                <w:rFonts w:hint="eastAsia" w:ascii="宋体" w:hAnsi="宋体" w:eastAsia="宋体" w:cs="宋体"/>
                <w:spacing w:val="10"/>
                <w:sz w:val="24"/>
                <w:szCs w:val="24"/>
              </w:rPr>
              <w:t>预算定额以及与之配套的解释</w:t>
            </w:r>
            <w:r>
              <w:rPr>
                <w:rFonts w:hint="eastAsia" w:ascii="宋体" w:hAnsi="宋体" w:eastAsia="宋体" w:cs="宋体"/>
                <w:sz w:val="24"/>
                <w:szCs w:val="24"/>
              </w:rPr>
              <w:t>、规定、说明等及其他政策文件</w:t>
            </w:r>
            <w:r>
              <w:rPr>
                <w:rFonts w:hint="eastAsia" w:ascii="宋体" w:hAnsi="宋体" w:eastAsia="宋体" w:cs="宋体"/>
                <w:spacing w:val="10"/>
                <w:sz w:val="24"/>
                <w:szCs w:val="24"/>
              </w:rPr>
              <w:t>，定额中没有的子目由</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与</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共同协商确定。主要材料价格参考投标时期《</w:t>
            </w:r>
            <w:r>
              <w:rPr>
                <w:rFonts w:hint="eastAsia" w:ascii="宋体" w:hAnsi="宋体" w:eastAsia="宋体" w:cs="宋体"/>
                <w:sz w:val="24"/>
                <w:szCs w:val="24"/>
              </w:rPr>
              <w:t>宁波市建设工程造价信息》中发布的</w:t>
            </w:r>
            <w:r>
              <w:rPr>
                <w:rFonts w:hint="eastAsia" w:ascii="宋体" w:hAnsi="宋体" w:eastAsia="宋体" w:cs="宋体"/>
                <w:sz w:val="24"/>
                <w:szCs w:val="24"/>
                <w:lang w:val="en-US" w:eastAsia="zh-CN"/>
              </w:rPr>
              <w:t>宁波市市场信息价</w:t>
            </w:r>
            <w:r>
              <w:rPr>
                <w:rFonts w:hint="eastAsia" w:ascii="宋体" w:hAnsi="宋体" w:eastAsia="宋体" w:cs="宋体"/>
                <w:sz w:val="24"/>
                <w:szCs w:val="24"/>
              </w:rPr>
              <w:t>(无宁波市造价信息的参照浙江省造价信息)，主要材料应</w:t>
            </w:r>
            <w:r>
              <w:rPr>
                <w:rFonts w:hint="eastAsia" w:ascii="宋体" w:hAnsi="宋体" w:eastAsia="宋体" w:cs="宋体"/>
                <w:spacing w:val="10"/>
                <w:sz w:val="24"/>
                <w:szCs w:val="24"/>
              </w:rPr>
              <w:t>附上相关的材料的规格、品牌、厂家、报价单、联系电话等资料</w:t>
            </w:r>
            <w:r>
              <w:rPr>
                <w:rFonts w:hint="eastAsia" w:ascii="宋体" w:hAnsi="宋体" w:eastAsia="宋体" w:cs="宋体"/>
                <w:sz w:val="24"/>
                <w:szCs w:val="24"/>
              </w:rPr>
              <w:t>；</w:t>
            </w:r>
            <w:r>
              <w:rPr>
                <w:rFonts w:hint="eastAsia" w:ascii="宋体" w:hAnsi="宋体" w:eastAsia="宋体" w:cs="宋体"/>
                <w:spacing w:val="10"/>
                <w:sz w:val="24"/>
                <w:szCs w:val="24"/>
              </w:rPr>
              <w:t>无信息价材料由</w:t>
            </w:r>
            <w:r>
              <w:rPr>
                <w:rFonts w:hint="eastAsia" w:ascii="宋体" w:hAnsi="宋体" w:eastAsia="宋体" w:cs="宋体"/>
                <w:spacing w:val="10"/>
                <w:sz w:val="24"/>
                <w:szCs w:val="24"/>
                <w:lang w:eastAsia="zh-CN"/>
              </w:rPr>
              <w:t>中标人</w:t>
            </w:r>
            <w:r>
              <w:rPr>
                <w:rFonts w:hint="eastAsia" w:ascii="宋体" w:hAnsi="宋体" w:eastAsia="宋体" w:cs="宋体"/>
                <w:spacing w:val="10"/>
                <w:sz w:val="24"/>
                <w:szCs w:val="24"/>
              </w:rPr>
              <w:t>根据市场价报价，并附上相关的材料的规格、品牌、厂家、报价单、联系电话等资料，最终经监理单位</w:t>
            </w:r>
            <w:r>
              <w:rPr>
                <w:rFonts w:hint="eastAsia" w:ascii="宋体" w:hAnsi="宋体" w:eastAsia="宋体" w:cs="宋体"/>
                <w:spacing w:val="10"/>
                <w:sz w:val="24"/>
                <w:szCs w:val="24"/>
                <w:lang w:val="en-US" w:eastAsia="zh-CN"/>
              </w:rPr>
              <w:t>审核</w:t>
            </w:r>
            <w:r>
              <w:rPr>
                <w:rFonts w:hint="eastAsia" w:ascii="宋体" w:hAnsi="宋体" w:eastAsia="宋体" w:cs="宋体"/>
                <w:spacing w:val="10"/>
                <w:sz w:val="24"/>
                <w:szCs w:val="24"/>
              </w:rPr>
              <w:t>并经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审批后才能作为调整后的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费的依据。</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2.6编制和审核预算书时，应按照批准的设计文件、政府或行业有关价格规定和当前市场价格信息及经由</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批准的设备、材料价格执行。</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2.7</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对</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提交的设计文件及图纸进行认真而严格的审查。对于设计文件和图纸验收不合格或需要调整的，</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必须在</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规定的期限内完成相应的设计文件和图纸的修改、完善与调整，对预算价有影响的则还须对相应的施工图预算书进行修正。修改完善后的设计文件和图纸及相应的施工图预算书须重新提交，由</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组织进行再次审查。</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2.8设计文件和图纸经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审查通过后，</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编制施工图预算书并上报给</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委托工程造价咨询机构进行审核。工程造价咨询机构对</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提交的预算书提出审核意见后，报</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予以审核。</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根据工程造价咨询机构的意见对</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提交的预算书提出综合的预算书审核意见。</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2.9对通不过审核的</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预算书，</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有权根据工程造价咨询机构意见直接对其进行调整，或要求</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根据预算书审核意见在规定的期限内完成预算书的调整，并重新按上述程序向工程造价咨询机构报审。预算未获得审核通过的，则设计不能认定已完成。</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2.10如施工图预算价格超出暂定</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必须在规定期限内无条件完成设计的修改与调整，并调整相应的施工图预算书后按上述程序重新报审，以使本调整后的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费控制在暂定</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费内，且该修改不改变有关</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认可的设计方案的原则、内容与要求，不降低使用功能、效果以及设计质量标准；否则视为</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违约。</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2.11如施工图预算最终经</w:t>
            </w:r>
            <w:r>
              <w:rPr>
                <w:rFonts w:hint="eastAsia" w:ascii="宋体" w:hAnsi="宋体" w:eastAsia="宋体" w:cs="宋体"/>
                <w:spacing w:val="10"/>
                <w:sz w:val="24"/>
                <w:szCs w:val="24"/>
                <w:lang w:eastAsia="zh-CN"/>
              </w:rPr>
              <w:t>采购人</w:t>
            </w:r>
            <w:r>
              <w:rPr>
                <w:rFonts w:hint="eastAsia" w:ascii="宋体" w:hAnsi="宋体" w:eastAsia="宋体" w:cs="宋体"/>
                <w:spacing w:val="10"/>
                <w:sz w:val="24"/>
                <w:szCs w:val="24"/>
              </w:rPr>
              <w:t>审批通过，</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和</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必须依据设计成果，就合同的修改及完善签订补充协议，内容包括对主要材料设备的品牌、规格型号及调整后的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费等进行确认。</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2.12在上述确认合同价款的补充协议签订后，</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必须严格按本合同的调整后的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费控制</w:t>
            </w:r>
            <w:r>
              <w:rPr>
                <w:rFonts w:hint="eastAsia" w:ascii="宋体" w:hAnsi="宋体" w:eastAsia="宋体" w:cs="宋体"/>
                <w:spacing w:val="10"/>
                <w:sz w:val="24"/>
                <w:szCs w:val="24"/>
                <w:lang w:val="en-US" w:eastAsia="zh-CN"/>
              </w:rPr>
              <w:t>工程</w:t>
            </w:r>
            <w:r>
              <w:rPr>
                <w:rFonts w:hint="eastAsia" w:ascii="宋体" w:hAnsi="宋体" w:eastAsia="宋体" w:cs="宋体"/>
                <w:spacing w:val="10"/>
                <w:sz w:val="24"/>
                <w:szCs w:val="24"/>
              </w:rPr>
              <w:t>造价，不得突破</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投标时的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费投标报价。</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2.13当调整后的合同价款确定后，合同价格不再作调整，只有当此后因</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原因而引起工程造价产生实际变动，且经监理单位、工程造价咨询机构审核并获</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确认的，则本合同的预算价格将根据实际情况作相应的增加或减少。</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3.确定变更价款</w:t>
            </w:r>
          </w:p>
          <w:p>
            <w:pPr>
              <w:keepNext w:val="0"/>
              <w:keepLines w:val="0"/>
              <w:pageBreakBefore w:val="0"/>
              <w:widowControl w:val="0"/>
              <w:kinsoku/>
              <w:wordWrap/>
              <w:overflowPunct/>
              <w:topLinePunct w:val="0"/>
              <w:bidi w:val="0"/>
              <w:adjustRightInd/>
              <w:snapToGrid/>
              <w:spacing w:line="240" w:lineRule="auto"/>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3.1合同履行过程中发生工程变更的，工程变更权限按以下文件执行：</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3.1.1.结算调整范围和方式按招标文件的有关规定及合同相关条款执行。</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3.1.2.本项目的主要材料、设备变更处理办法：经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审定的施工图纸，</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无条件进行</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施工并达到设计效果，所有的主要材料、设备采购前，</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必须提前10天（或不影响</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施工计划）提供主要材料的采购计划，并提供样品进行参选，待</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定样后才能正式采购。当实际</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施工时，</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发现所选用的材料效果达不到设计效果，则</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有权要求</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重新选用符合要求的材料施工，即使所选定的材料价比原预算价高费用也不作调整，所发生的费用已包含在合同价款内。</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本项目的设计变更的处理方法：本</w:t>
            </w:r>
            <w:r>
              <w:rPr>
                <w:rFonts w:hint="eastAsia" w:ascii="宋体" w:hAnsi="宋体" w:eastAsia="宋体" w:cs="宋体"/>
                <w:spacing w:val="10"/>
                <w:sz w:val="24"/>
                <w:szCs w:val="24"/>
                <w:lang w:eastAsia="zh-CN"/>
              </w:rPr>
              <w:t>项目</w:t>
            </w:r>
            <w:r>
              <w:rPr>
                <w:rFonts w:hint="eastAsia" w:ascii="宋体" w:hAnsi="宋体" w:eastAsia="宋体" w:cs="宋体"/>
                <w:spacing w:val="10"/>
                <w:sz w:val="24"/>
                <w:szCs w:val="24"/>
              </w:rPr>
              <w:t>采用包方案设计、施工图设计的总价包干的方式承包，</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提供的</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施工产品必须满足</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使用要求，所有</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为了达到设计效果、</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施工质量而采取的变更，均属于合同价内包含的措施费用；</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如感觉到</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设计的</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施工产品没有达到</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招标文件的要求，</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必须修改设计直到满足</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要求为止。设计费包含在合同价款中，结算时不作调整。</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当发生如下情况时可调整合同造价：1）由于</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原因，对已经确认的施工图纸进行变更（包括材料及工艺的变更）的；</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另外增加项目内容，且该内容完全不属于本次招标范围。上述增加的费用参考施工图预算的编制原则的计价方式进行结算。</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3.2</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在双方确定变更后14天内不向</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提出变更工程价款报告时，视为该项变更不涉及合同价款的变更。</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3.3</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应在收到变更工程价款报告之日起14天内予以确认，</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无正当理由不确认时，自变更工程价款报告送达之日起14天后视为变更工程价款报告已被确认。</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3.4</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不同意</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提出的变更价款，按本合同关于争议的约定处理。</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3.5因</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自身原因导致的工程变更，</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无权要求追加合同价款。</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4.结算原则</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4.1结算原则：</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本项目措施费按调整后的合同价款中的措施费一次性包干，结算时不作调整；</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4.2变更及新增工程结算方式</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（1）在经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审核确认的预算中有的项目，按照预算单价乘以变更工程量进行结算。</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（2）在经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审核确认的预算中有相类似的项目，按照预算单价换算乘以变更工程量进行结算。</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（3）在经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审核确认的预算中没有或没有相类似的项目，按</w:t>
            </w:r>
            <w:r>
              <w:rPr>
                <w:rFonts w:hint="eastAsia" w:ascii="宋体" w:hAnsi="宋体" w:eastAsia="宋体" w:cs="宋体"/>
                <w:spacing w:val="10"/>
                <w:sz w:val="24"/>
                <w:szCs w:val="24"/>
                <w:lang w:val="en-US" w:eastAsia="zh-CN"/>
              </w:rPr>
              <w:t>最新</w:t>
            </w:r>
            <w:r>
              <w:rPr>
                <w:rFonts w:hint="eastAsia" w:ascii="宋体" w:hAnsi="宋体" w:eastAsia="宋体" w:cs="宋体"/>
                <w:sz w:val="24"/>
                <w:szCs w:val="24"/>
              </w:rPr>
              <w:t>计价规范</w:t>
            </w:r>
            <w:r>
              <w:rPr>
                <w:rFonts w:hint="eastAsia" w:ascii="宋体" w:hAnsi="宋体" w:eastAsia="宋体" w:cs="宋体"/>
                <w:sz w:val="24"/>
                <w:szCs w:val="24"/>
                <w:lang w:val="en-US" w:eastAsia="zh-CN"/>
              </w:rPr>
              <w:t>、</w:t>
            </w:r>
            <w:r>
              <w:rPr>
                <w:rFonts w:hint="eastAsia" w:ascii="宋体" w:hAnsi="宋体" w:eastAsia="宋体" w:cs="宋体"/>
                <w:sz w:val="24"/>
                <w:szCs w:val="24"/>
              </w:rPr>
              <w:t>预算定额以及与之配套的解释、规定、说明等及其他政策文件</w:t>
            </w:r>
            <w:r>
              <w:rPr>
                <w:rFonts w:hint="eastAsia" w:ascii="宋体" w:hAnsi="宋体" w:eastAsia="宋体" w:cs="宋体"/>
                <w:spacing w:val="10"/>
                <w:sz w:val="24"/>
                <w:szCs w:val="24"/>
              </w:rPr>
              <w:t>的相关规定执行及中标浮动率进行结算，主要材料价格参考投标时期《</w:t>
            </w:r>
            <w:r>
              <w:rPr>
                <w:rFonts w:hint="eastAsia" w:ascii="宋体" w:hAnsi="宋体" w:eastAsia="宋体" w:cs="宋体"/>
                <w:sz w:val="24"/>
                <w:szCs w:val="24"/>
              </w:rPr>
              <w:t>宁波市建设工程造价信息》(无宁波市造价信息的参照浙江省造价信息)，</w:t>
            </w:r>
            <w:r>
              <w:rPr>
                <w:rFonts w:hint="eastAsia" w:ascii="宋体" w:hAnsi="宋体" w:eastAsia="宋体" w:cs="宋体"/>
                <w:sz w:val="24"/>
                <w:szCs w:val="24"/>
                <w:lang w:eastAsia="zh-CN"/>
              </w:rPr>
              <w:t>中标人</w:t>
            </w:r>
            <w:r>
              <w:rPr>
                <w:rFonts w:hint="eastAsia" w:ascii="宋体" w:hAnsi="宋体" w:eastAsia="宋体" w:cs="宋体"/>
                <w:sz w:val="24"/>
                <w:szCs w:val="24"/>
              </w:rPr>
              <w:t>应向</w:t>
            </w:r>
            <w:r>
              <w:rPr>
                <w:rFonts w:hint="eastAsia" w:ascii="宋体" w:hAnsi="宋体" w:eastAsia="宋体" w:cs="宋体"/>
                <w:sz w:val="24"/>
                <w:szCs w:val="24"/>
                <w:lang w:eastAsia="zh-CN"/>
              </w:rPr>
              <w:t>采购人</w:t>
            </w:r>
            <w:r>
              <w:rPr>
                <w:rFonts w:hint="eastAsia" w:ascii="宋体" w:hAnsi="宋体" w:eastAsia="宋体" w:cs="宋体"/>
                <w:sz w:val="24"/>
                <w:szCs w:val="24"/>
              </w:rPr>
              <w:t>提供主要材料</w:t>
            </w:r>
            <w:r>
              <w:rPr>
                <w:rFonts w:hint="eastAsia" w:ascii="宋体" w:hAnsi="宋体" w:eastAsia="宋体" w:cs="宋体"/>
                <w:spacing w:val="10"/>
                <w:sz w:val="24"/>
                <w:szCs w:val="24"/>
              </w:rPr>
              <w:t>的规格、品牌、厂家、报价单、联系电话等资料</w:t>
            </w:r>
            <w:r>
              <w:rPr>
                <w:rFonts w:hint="eastAsia" w:ascii="宋体" w:hAnsi="宋体" w:eastAsia="宋体" w:cs="宋体"/>
                <w:sz w:val="24"/>
                <w:szCs w:val="24"/>
              </w:rPr>
              <w:t>；</w:t>
            </w:r>
            <w:r>
              <w:rPr>
                <w:rFonts w:hint="eastAsia" w:ascii="宋体" w:hAnsi="宋体" w:eastAsia="宋体" w:cs="宋体"/>
                <w:spacing w:val="10"/>
                <w:sz w:val="24"/>
                <w:szCs w:val="24"/>
              </w:rPr>
              <w:t>无信息价材料由</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根据市场价报价，并附上相关的材料的规格、品牌、厂家、报价单、联系电话等资料，最终经监理单位审核并经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审批后才能作为结算价格的依据。</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（4）在经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审核确认的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预算中没有或没有相类似且无相关定额的项目，</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按照</w:t>
            </w:r>
            <w:r>
              <w:rPr>
                <w:rFonts w:hint="eastAsia" w:ascii="宋体" w:hAnsi="宋体" w:eastAsia="宋体" w:cs="宋体"/>
                <w:spacing w:val="10"/>
                <w:sz w:val="24"/>
                <w:szCs w:val="24"/>
                <w:lang w:val="en-US" w:eastAsia="zh-CN"/>
              </w:rPr>
              <w:t>布展</w:t>
            </w:r>
            <w:r>
              <w:rPr>
                <w:rFonts w:hint="eastAsia" w:ascii="宋体" w:hAnsi="宋体" w:eastAsia="宋体" w:cs="宋体"/>
                <w:spacing w:val="10"/>
                <w:sz w:val="24"/>
                <w:szCs w:val="24"/>
              </w:rPr>
              <w:t>施工当时的市场价格编制预算，由</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审定的价格作为结算依据。</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5设备材料结算方式：</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5.1乙供材料设备</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（1）在经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审核确认的</w:t>
            </w:r>
            <w:r>
              <w:rPr>
                <w:rFonts w:hint="eastAsia" w:ascii="宋体" w:hAnsi="宋体" w:eastAsia="宋体" w:cs="宋体"/>
                <w:spacing w:val="10"/>
                <w:sz w:val="24"/>
                <w:szCs w:val="24"/>
                <w:lang w:eastAsia="zh-CN"/>
              </w:rPr>
              <w:t>布展</w:t>
            </w:r>
            <w:r>
              <w:rPr>
                <w:rFonts w:hint="eastAsia" w:ascii="宋体" w:hAnsi="宋体" w:eastAsia="宋体" w:cs="宋体"/>
                <w:spacing w:val="10"/>
                <w:sz w:val="24"/>
                <w:szCs w:val="24"/>
              </w:rPr>
              <w:t>预算中有的材料设备按照审定的预算价结算。</w:t>
            </w:r>
          </w:p>
          <w:p>
            <w:pPr>
              <w:keepNext w:val="0"/>
              <w:keepLines w:val="0"/>
              <w:pageBreakBefore w:val="0"/>
              <w:widowControl w:val="0"/>
              <w:kinsoku/>
              <w:wordWrap/>
              <w:overflowPunct/>
              <w:topLinePunct w:val="0"/>
              <w:bidi w:val="0"/>
              <w:adjustRightInd/>
              <w:snapToGrid/>
              <w:spacing w:line="240" w:lineRule="auto"/>
              <w:ind w:firstLine="52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spacing w:val="10"/>
                <w:sz w:val="24"/>
                <w:szCs w:val="24"/>
              </w:rPr>
              <w:t>（2）在经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审核确认的预算中没有的设备材料，其设备材料价格参考投标时期《</w:t>
            </w:r>
            <w:r>
              <w:rPr>
                <w:rFonts w:hint="eastAsia" w:ascii="宋体" w:hAnsi="宋体" w:eastAsia="宋体" w:cs="宋体"/>
                <w:sz w:val="24"/>
                <w:szCs w:val="24"/>
              </w:rPr>
              <w:t>宁波市建设工程造价信息》(无宁波市造价信息的参照浙江省造价信息)，</w:t>
            </w:r>
            <w:r>
              <w:rPr>
                <w:rFonts w:hint="eastAsia" w:ascii="宋体" w:hAnsi="宋体" w:cs="宋体"/>
                <w:spacing w:val="10"/>
                <w:sz w:val="24"/>
                <w:szCs w:val="24"/>
                <w:highlight w:val="none"/>
                <w:lang w:val="en-US" w:eastAsia="zh-CN"/>
              </w:rPr>
              <w:t>乙方</w:t>
            </w:r>
            <w:r>
              <w:rPr>
                <w:rFonts w:hint="eastAsia" w:ascii="宋体" w:hAnsi="宋体" w:eastAsia="宋体" w:cs="宋体"/>
                <w:sz w:val="24"/>
                <w:szCs w:val="24"/>
              </w:rPr>
              <w:t>应向</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提供</w:t>
            </w:r>
            <w:r>
              <w:rPr>
                <w:rFonts w:hint="eastAsia" w:ascii="宋体" w:hAnsi="宋体" w:eastAsia="宋体" w:cs="宋体"/>
                <w:sz w:val="24"/>
                <w:szCs w:val="24"/>
              </w:rPr>
              <w:t>主要材料</w:t>
            </w:r>
            <w:r>
              <w:rPr>
                <w:rFonts w:hint="eastAsia" w:ascii="宋体" w:hAnsi="宋体" w:eastAsia="宋体" w:cs="宋体"/>
                <w:spacing w:val="10"/>
                <w:sz w:val="24"/>
                <w:szCs w:val="24"/>
              </w:rPr>
              <w:t>的规格、品牌、厂家、报价单、联系电话等资料</w:t>
            </w:r>
            <w:r>
              <w:rPr>
                <w:rFonts w:hint="eastAsia" w:ascii="宋体" w:hAnsi="宋体" w:eastAsia="宋体" w:cs="宋体"/>
                <w:sz w:val="24"/>
                <w:szCs w:val="24"/>
              </w:rPr>
              <w:t>。无信息价</w:t>
            </w:r>
            <w:r>
              <w:rPr>
                <w:rFonts w:hint="eastAsia" w:ascii="宋体" w:hAnsi="宋体" w:eastAsia="宋体" w:cs="宋体"/>
                <w:spacing w:val="10"/>
                <w:sz w:val="24"/>
                <w:szCs w:val="24"/>
              </w:rPr>
              <w:t>设备材料价格由</w:t>
            </w:r>
            <w:r>
              <w:rPr>
                <w:rFonts w:hint="eastAsia" w:ascii="宋体" w:hAnsi="宋体" w:cs="宋体"/>
                <w:spacing w:val="10"/>
                <w:sz w:val="24"/>
                <w:szCs w:val="24"/>
                <w:highlight w:val="none"/>
                <w:lang w:val="en-US" w:eastAsia="zh-CN"/>
              </w:rPr>
              <w:t>乙方</w:t>
            </w:r>
            <w:r>
              <w:rPr>
                <w:rFonts w:hint="eastAsia" w:ascii="宋体" w:hAnsi="宋体" w:eastAsia="宋体" w:cs="宋体"/>
                <w:spacing w:val="10"/>
                <w:sz w:val="24"/>
                <w:szCs w:val="24"/>
              </w:rPr>
              <w:t>根据市场价报价，并附上相关的材料的规格、品牌、厂家、报价单、联系电话等资料，最终经监理公司审核并经</w:t>
            </w:r>
            <w:r>
              <w:rPr>
                <w:rFonts w:hint="eastAsia" w:ascii="宋体" w:hAnsi="宋体" w:cs="宋体"/>
                <w:spacing w:val="10"/>
                <w:sz w:val="24"/>
                <w:szCs w:val="24"/>
                <w:highlight w:val="none"/>
                <w:lang w:val="en-US" w:eastAsia="zh-CN"/>
              </w:rPr>
              <w:t>甲方</w:t>
            </w:r>
            <w:r>
              <w:rPr>
                <w:rFonts w:hint="eastAsia" w:ascii="宋体" w:hAnsi="宋体" w:eastAsia="宋体" w:cs="宋体"/>
                <w:spacing w:val="10"/>
                <w:sz w:val="24"/>
                <w:szCs w:val="24"/>
              </w:rPr>
              <w:t>审批后才能作为结算价的依据。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4"/>
                <w:highlight w:val="none"/>
              </w:rPr>
            </w:pPr>
            <w:r>
              <w:rPr>
                <w:rFonts w:ascii="宋体" w:hAnsi="宋体" w:cs="宋体"/>
                <w:color w:val="auto"/>
                <w:sz w:val="24"/>
                <w:highlight w:val="none"/>
              </w:rPr>
              <w:t>一式</w:t>
            </w:r>
            <w:r>
              <w:rPr>
                <w:rFonts w:hint="eastAsia" w:ascii="宋体" w:hAnsi="宋体" w:cs="宋体"/>
                <w:color w:val="auto"/>
                <w:sz w:val="24"/>
                <w:highlight w:val="none"/>
                <w:u w:val="single"/>
              </w:rPr>
              <w:t xml:space="preserve">  </w:t>
            </w:r>
            <w:r>
              <w:rPr>
                <w:rFonts w:ascii="宋体" w:hAnsi="宋体" w:cs="宋体"/>
                <w:color w:val="auto"/>
                <w:sz w:val="24"/>
                <w:highlight w:val="none"/>
              </w:rPr>
              <w:t>份</w:t>
            </w:r>
            <w:r>
              <w:rPr>
                <w:rFonts w:hint="eastAsia" w:ascii="宋体" w:hAnsi="宋体" w:cs="宋体"/>
                <w:color w:val="auto"/>
                <w:sz w:val="24"/>
                <w:highlight w:val="none"/>
              </w:rPr>
              <w:t>，</w:t>
            </w:r>
            <w:r>
              <w:rPr>
                <w:rFonts w:ascii="宋体" w:hAnsi="宋体" w:cs="宋体"/>
                <w:color w:val="auto"/>
                <w:sz w:val="24"/>
                <w:highlight w:val="none"/>
              </w:rPr>
              <w:t>双方各</w:t>
            </w:r>
            <w:r>
              <w:rPr>
                <w:rFonts w:hint="eastAsia" w:ascii="宋体" w:hAnsi="宋体" w:cs="宋体"/>
                <w:color w:val="auto"/>
                <w:sz w:val="24"/>
                <w:highlight w:val="none"/>
              </w:rPr>
              <w:t>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tc>
      </w:tr>
    </w:tbl>
    <w:p>
      <w:pPr>
        <w:pStyle w:val="61"/>
        <w:ind w:firstLine="420"/>
        <w:rPr>
          <w:color w:val="auto"/>
          <w:highlight w:val="none"/>
        </w:rPr>
      </w:pPr>
    </w:p>
    <w:p>
      <w:pPr>
        <w:widowControl/>
        <w:adjustRightInd/>
        <w:jc w:val="center"/>
        <w:rPr>
          <w:rFonts w:ascii="宋体" w:hAnsi="宋体" w:cs="宋体"/>
          <w:b/>
          <w:color w:val="auto"/>
          <w:sz w:val="36"/>
          <w:szCs w:val="20"/>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widowControl/>
        <w:adjustRightInd/>
        <w:jc w:val="center"/>
        <w:outlineLvl w:val="0"/>
        <w:rPr>
          <w:rFonts w:ascii="宋体" w:hAnsi="宋体" w:cs="宋体"/>
          <w:b/>
          <w:color w:val="auto"/>
          <w:sz w:val="36"/>
          <w:szCs w:val="20"/>
          <w:highlight w:val="none"/>
        </w:rPr>
      </w:pPr>
      <w:bookmarkStart w:id="543" w:name="_Toc22409"/>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bookmarkEnd w:id="543"/>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4" w:name="_Hlk101257010"/>
      <w:r>
        <w:rPr>
          <w:rFonts w:hint="eastAsia" w:ascii="宋体" w:hAnsi="宋体" w:cs="宋体"/>
          <w:color w:val="auto"/>
          <w:sz w:val="24"/>
          <w:highlight w:val="none"/>
        </w:rPr>
        <w:t>（如果有）</w:t>
      </w:r>
      <w:bookmarkEnd w:id="54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2.3.3投标分项报价表。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系指实质性要求条款，招标文件无其他实质性要求的，无需提供）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区</w:t>
      </w:r>
      <w:r>
        <w:rPr>
          <w:rFonts w:hint="eastAsia" w:ascii="宋体" w:hAnsi="宋体" w:cs="宋体"/>
          <w:color w:val="auto"/>
          <w:kern w:val="0"/>
          <w:sz w:val="24"/>
          <w:highlight w:val="none"/>
          <w:lang w:val="zh-CN"/>
        </w:rPr>
        <w:t>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pStyle w:val="2"/>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）投标分项报价表………………………………………………………………（页码）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545" w:name="_Toc7970"/>
      <w:r>
        <w:rPr>
          <w:rFonts w:hint="eastAsia" w:ascii="宋体" w:hAnsi="宋体" w:eastAsia="宋体" w:cs="宋体"/>
          <w:color w:val="auto"/>
          <w:kern w:val="2"/>
          <w:sz w:val="32"/>
          <w:szCs w:val="32"/>
          <w:highlight w:val="none"/>
        </w:rPr>
        <w:t>一、开标一览表（报价表）</w:t>
      </w:r>
      <w:bookmarkEnd w:id="545"/>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天一阁秦氏支祠展陈项目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ind w:left="48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1332"/>
        <w:gridCol w:w="4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ascii="宋体" w:hAnsi="宋体"/>
                <w:color w:val="auto"/>
                <w:sz w:val="24"/>
                <w:highlight w:val="none"/>
              </w:rPr>
            </w:pPr>
            <w:r>
              <w:rPr>
                <w:rFonts w:hint="eastAsia" w:ascii="宋体" w:hAnsi="宋体" w:cs="宋体"/>
                <w:color w:val="auto"/>
                <w:sz w:val="24"/>
                <w:highlight w:val="none"/>
              </w:rPr>
              <w:t>序号</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ascii="宋体" w:hAnsi="宋体"/>
                <w:color w:val="auto"/>
                <w:sz w:val="24"/>
                <w:highlight w:val="none"/>
              </w:rPr>
            </w:pPr>
            <w:r>
              <w:rPr>
                <w:rFonts w:hint="eastAsia" w:ascii="宋体" w:hAnsi="宋体" w:cs="宋体"/>
                <w:color w:val="auto"/>
                <w:sz w:val="24"/>
                <w:highlight w:val="none"/>
              </w:rPr>
              <w:t>项目名称</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ascii="宋体" w:hAnsi="宋体"/>
                <w:color w:val="auto"/>
                <w:sz w:val="24"/>
                <w:highlight w:val="none"/>
              </w:rPr>
            </w:pPr>
            <w:r>
              <w:rPr>
                <w:rFonts w:hint="eastAsia" w:ascii="宋体" w:hAnsi="宋体"/>
                <w:color w:val="auto"/>
                <w:sz w:val="24"/>
                <w:highlight w:val="none"/>
              </w:rPr>
              <w:t>数量</w:t>
            </w:r>
          </w:p>
        </w:tc>
        <w:tc>
          <w:tcPr>
            <w:tcW w:w="4050"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ascii="宋体" w:hAnsi="宋体" w:cs="宋体"/>
                <w:color w:val="auto"/>
                <w:sz w:val="24"/>
                <w:highlight w:val="none"/>
              </w:rPr>
            </w:pPr>
            <w:r>
              <w:rPr>
                <w:rFonts w:hint="eastAsia" w:ascii="宋体" w:hAnsi="宋体"/>
                <w:color w:val="auto"/>
                <w:sz w:val="24"/>
                <w:highlight w:val="none"/>
              </w:rPr>
              <w:t>合同履约期限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347" w:type="dxa"/>
            <w:tcBorders>
              <w:top w:val="single" w:color="auto" w:sz="4" w:space="0"/>
              <w:left w:val="single" w:color="auto" w:sz="4" w:space="0"/>
              <w:right w:val="single" w:color="auto" w:sz="4" w:space="0"/>
            </w:tcBorders>
            <w:vAlign w:val="center"/>
          </w:tcPr>
          <w:p>
            <w:pPr>
              <w:adjustRightInd/>
              <w:snapToGrid w:val="0"/>
              <w:spacing w:before="50" w:after="50"/>
              <w:jc w:val="center"/>
              <w:rPr>
                <w:rFonts w:ascii="宋体" w:hAnsi="宋体"/>
                <w:color w:val="auto"/>
                <w:sz w:val="24"/>
                <w:highlight w:val="none"/>
              </w:rPr>
            </w:pPr>
            <w:r>
              <w:rPr>
                <w:rFonts w:hint="eastAsia" w:ascii="宋体" w:hAnsi="宋体" w:cs="宋体"/>
                <w:color w:val="auto"/>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hint="eastAsia" w:eastAsia="宋体"/>
                <w:color w:val="auto"/>
                <w:sz w:val="24"/>
                <w:highlight w:val="none"/>
                <w:lang w:eastAsia="zh-CN"/>
              </w:rPr>
            </w:pPr>
            <w:r>
              <w:rPr>
                <w:rFonts w:hint="eastAsia" w:cs="宋体"/>
                <w:color w:val="auto"/>
                <w:sz w:val="24"/>
                <w:highlight w:val="none"/>
                <w:lang w:eastAsia="zh-CN"/>
              </w:rPr>
              <w:t>天一阁秦氏支祠展陈项目</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1项</w:t>
            </w:r>
          </w:p>
        </w:tc>
        <w:tc>
          <w:tcPr>
            <w:tcW w:w="4050"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pPr>
              <w:adjustRightInd/>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设计费</w:t>
            </w:r>
            <w:r>
              <w:rPr>
                <w:rFonts w:hint="eastAsia" w:ascii="宋体" w:hAnsi="宋体" w:cs="宋体"/>
                <w:color w:val="auto"/>
                <w:sz w:val="24"/>
                <w:highlight w:val="none"/>
              </w:rPr>
              <w:t>（元）</w:t>
            </w:r>
          </w:p>
        </w:tc>
        <w:tc>
          <w:tcPr>
            <w:tcW w:w="5382" w:type="dxa"/>
            <w:gridSpan w:val="2"/>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pPr>
              <w:adjustRightInd/>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布展费</w:t>
            </w:r>
            <w:r>
              <w:rPr>
                <w:rFonts w:hint="eastAsia" w:ascii="宋体" w:hAnsi="宋体" w:cs="宋体"/>
                <w:color w:val="auto"/>
                <w:sz w:val="24"/>
                <w:highlight w:val="none"/>
              </w:rPr>
              <w:t>（元）</w:t>
            </w:r>
          </w:p>
        </w:tc>
        <w:tc>
          <w:tcPr>
            <w:tcW w:w="5382" w:type="dxa"/>
            <w:gridSpan w:val="2"/>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3397" w:type="dxa"/>
            <w:gridSpan w:val="2"/>
            <w:tcBorders>
              <w:top w:val="single" w:color="auto" w:sz="4" w:space="0"/>
              <w:left w:val="single" w:color="auto" w:sz="4" w:space="0"/>
              <w:right w:val="single" w:color="auto" w:sz="4" w:space="0"/>
            </w:tcBorders>
            <w:vAlign w:val="center"/>
          </w:tcPr>
          <w:p>
            <w:pPr>
              <w:adjustRightInd/>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投标总价（元）</w:t>
            </w:r>
          </w:p>
          <w:p>
            <w:pPr>
              <w:adjustRightInd/>
              <w:snapToGrid w:val="0"/>
              <w:spacing w:before="50" w:after="50"/>
              <w:jc w:val="center"/>
              <w:rPr>
                <w:rFonts w:hint="eastAsia"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设计费+布展费</w:t>
            </w:r>
            <w:r>
              <w:rPr>
                <w:rFonts w:hint="eastAsia" w:ascii="宋体" w:hAnsi="宋体" w:cs="宋体"/>
                <w:color w:val="auto"/>
                <w:sz w:val="24"/>
                <w:highlight w:val="none"/>
                <w:lang w:eastAsia="zh-CN"/>
              </w:rPr>
              <w:t>）</w:t>
            </w:r>
          </w:p>
        </w:tc>
        <w:tc>
          <w:tcPr>
            <w:tcW w:w="5382" w:type="dxa"/>
            <w:gridSpan w:val="2"/>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left"/>
              <w:rPr>
                <w:rFonts w:ascii="宋体" w:hAnsi="宋体"/>
                <w:color w:val="auto"/>
                <w:sz w:val="24"/>
                <w:highlight w:val="none"/>
              </w:rPr>
            </w:pPr>
            <w:r>
              <w:rPr>
                <w:rFonts w:hint="eastAsia" w:ascii="宋体" w:hAnsi="宋体"/>
                <w:color w:val="auto"/>
                <w:sz w:val="24"/>
                <w:highlight w:val="none"/>
              </w:rPr>
              <w:t>大写：</w:t>
            </w:r>
          </w:p>
          <w:p>
            <w:pPr>
              <w:adjustRightInd/>
              <w:snapToGrid w:val="0"/>
              <w:spacing w:before="50" w:after="50"/>
              <w:jc w:val="left"/>
              <w:rPr>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jc w:val="center"/>
              <w:rPr>
                <w:color w:val="auto"/>
                <w:sz w:val="24"/>
                <w:highlight w:val="none"/>
              </w:rPr>
            </w:pPr>
            <w:r>
              <w:rPr>
                <w:rFonts w:hint="eastAsia"/>
                <w:color w:val="auto"/>
                <w:sz w:val="24"/>
                <w:highlight w:val="none"/>
              </w:rPr>
              <w:t>投标声明</w:t>
            </w:r>
          </w:p>
        </w:tc>
        <w:tc>
          <w:tcPr>
            <w:tcW w:w="7432" w:type="dxa"/>
            <w:gridSpan w:val="3"/>
            <w:tcBorders>
              <w:top w:val="single" w:color="auto" w:sz="4" w:space="0"/>
              <w:left w:val="single" w:color="auto" w:sz="4" w:space="0"/>
              <w:bottom w:val="single" w:color="auto" w:sz="4" w:space="0"/>
              <w:right w:val="single" w:color="auto" w:sz="4" w:space="0"/>
            </w:tcBorders>
            <w:vAlign w:val="center"/>
          </w:tcPr>
          <w:p>
            <w:pPr>
              <w:adjustRightInd/>
              <w:snapToGrid w:val="0"/>
              <w:spacing w:before="50" w:after="50"/>
              <w:rPr>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1"/>
        <w:keepNext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546" w:name="_Toc19767"/>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54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numPr>
          <w:ilvl w:val="0"/>
          <w:numId w:val="2"/>
        </w:numPr>
        <w:tabs>
          <w:tab w:val="clear" w:pos="720"/>
        </w:tabs>
        <w:snapToGrid w:val="0"/>
        <w:spacing w:before="120" w:after="120"/>
        <w:ind w:firstLine="643"/>
        <w:outlineLvl w:val="9"/>
        <w:rPr>
          <w:rFonts w:ascii="宋体" w:hAnsi="宋体" w:eastAsia="宋体" w:cs="宋体"/>
          <w:color w:val="auto"/>
          <w:sz w:val="32"/>
          <w:szCs w:val="32"/>
          <w:highlight w:val="none"/>
        </w:rPr>
      </w:pPr>
      <w:bookmarkStart w:id="547" w:name="_Toc27462"/>
      <w:r>
        <w:rPr>
          <w:rFonts w:hint="eastAsia" w:ascii="宋体" w:hAnsi="宋体" w:eastAsia="宋体" w:cs="宋体"/>
          <w:color w:val="auto"/>
          <w:sz w:val="32"/>
          <w:szCs w:val="32"/>
          <w:highlight w:val="none"/>
        </w:rPr>
        <w:t>投标分项报价表</w:t>
      </w:r>
      <w:bookmarkEnd w:id="547"/>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宁波市天一阁博物院</w:t>
      </w:r>
      <w:r>
        <w:rPr>
          <w:rFonts w:hint="eastAsia" w:ascii="宋体" w:hAnsi="宋体" w:cs="宋体"/>
          <w:color w:val="auto"/>
          <w:sz w:val="24"/>
          <w:highlight w:val="none"/>
        </w:rPr>
        <w:t>、宁波中基国际招标有限公司：</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按你方招标文件要求，我们，本投标文件签字方，谨此向你方发出要约如下：如你方接受本投标，我方承诺按照如下投标分项报价表的价格完成</w:t>
      </w:r>
      <w:r>
        <w:rPr>
          <w:rFonts w:hint="eastAsia" w:ascii="宋体" w:hAnsi="宋体" w:cs="宋体"/>
          <w:color w:val="auto"/>
          <w:sz w:val="24"/>
          <w:highlight w:val="none"/>
          <w:lang w:eastAsia="zh-CN"/>
        </w:rPr>
        <w:t>天一阁秦氏支祠展陈项目</w:t>
      </w:r>
      <w:r>
        <w:rPr>
          <w:rFonts w:hint="eastAsia" w:ascii="宋体" w:hAnsi="宋体" w:cs="宋体"/>
          <w:color w:val="auto"/>
          <w:kern w:val="0"/>
          <w:sz w:val="24"/>
          <w:highlight w:val="none"/>
          <w:lang w:val="zh-CN"/>
        </w:rPr>
        <w:t>【招标编号：CBNB-20246064G】的实施。</w:t>
      </w:r>
    </w:p>
    <w:tbl>
      <w:tblPr>
        <w:tblStyle w:val="62"/>
        <w:tblW w:w="0" w:type="auto"/>
        <w:jc w:val="center"/>
        <w:tblLayout w:type="fixed"/>
        <w:tblCellMar>
          <w:top w:w="0" w:type="dxa"/>
          <w:left w:w="108" w:type="dxa"/>
          <w:bottom w:w="0" w:type="dxa"/>
          <w:right w:w="108" w:type="dxa"/>
        </w:tblCellMar>
      </w:tblPr>
      <w:tblGrid>
        <w:gridCol w:w="810"/>
        <w:gridCol w:w="4253"/>
        <w:gridCol w:w="992"/>
        <w:gridCol w:w="1120"/>
        <w:gridCol w:w="1351"/>
      </w:tblGrid>
      <w:tr>
        <w:tblPrEx>
          <w:tblCellMar>
            <w:top w:w="0" w:type="dxa"/>
            <w:left w:w="108" w:type="dxa"/>
            <w:bottom w:w="0" w:type="dxa"/>
            <w:right w:w="108" w:type="dxa"/>
          </w:tblCellMar>
        </w:tblPrEx>
        <w:trPr>
          <w:trHeight w:val="6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before="50" w:after="50" w:line="360" w:lineRule="auto"/>
              <w:jc w:val="center"/>
              <w:rPr>
                <w:rFonts w:ascii="宋体" w:hAnsi="宋体" w:cs="宋体"/>
                <w:color w:val="auto"/>
                <w:spacing w:val="20"/>
                <w:kern w:val="0"/>
                <w:szCs w:val="21"/>
                <w:highlight w:val="none"/>
              </w:rPr>
            </w:pPr>
            <w:r>
              <w:rPr>
                <w:rFonts w:hint="eastAsia" w:ascii="宋体" w:hAnsi="宋体" w:cs="宋体"/>
                <w:color w:val="auto"/>
                <w:kern w:val="0"/>
                <w:szCs w:val="21"/>
                <w:highlight w:val="none"/>
              </w:rPr>
              <w:t>序号</w:t>
            </w: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r>
              <w:rPr>
                <w:rFonts w:hint="eastAsia" w:ascii="宋体" w:hAnsi="宋体" w:cs="宋体"/>
                <w:color w:val="auto"/>
                <w:spacing w:val="20"/>
                <w:kern w:val="0"/>
                <w:szCs w:val="21"/>
                <w:highlight w:val="none"/>
              </w:rPr>
              <w:t>费用类别</w:t>
            </w:r>
          </w:p>
        </w:tc>
        <w:tc>
          <w:tcPr>
            <w:tcW w:w="992" w:type="dxa"/>
            <w:tcBorders>
              <w:top w:val="single" w:color="auto" w:sz="4" w:space="0"/>
              <w:left w:val="nil"/>
              <w:bottom w:val="single" w:color="auto" w:sz="4" w:space="0"/>
              <w:right w:val="single" w:color="auto" w:sz="4" w:space="0"/>
            </w:tcBorders>
            <w:vAlign w:val="center"/>
          </w:tcPr>
          <w:p>
            <w:pPr>
              <w:widowControl/>
              <w:adjustRightInd/>
              <w:snapToGrid w:val="0"/>
              <w:spacing w:before="50" w:after="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120" w:type="dxa"/>
            <w:tcBorders>
              <w:top w:val="single" w:color="auto" w:sz="4" w:space="0"/>
              <w:left w:val="nil"/>
              <w:bottom w:val="single" w:color="auto" w:sz="4" w:space="0"/>
              <w:right w:val="single" w:color="auto" w:sz="4" w:space="0"/>
            </w:tcBorders>
            <w:vAlign w:val="center"/>
          </w:tcPr>
          <w:p>
            <w:pPr>
              <w:widowControl/>
              <w:adjustRightInd/>
              <w:snapToGrid w:val="0"/>
              <w:spacing w:before="50" w:after="50" w:line="360" w:lineRule="auto"/>
              <w:jc w:val="center"/>
              <w:rPr>
                <w:rFonts w:ascii="宋体" w:hAnsi="宋体" w:cs="宋体"/>
                <w:color w:val="auto"/>
                <w:spacing w:val="20"/>
                <w:kern w:val="0"/>
                <w:szCs w:val="21"/>
                <w:highlight w:val="none"/>
              </w:rPr>
            </w:pPr>
            <w:r>
              <w:rPr>
                <w:rFonts w:hint="eastAsia" w:ascii="宋体" w:hAnsi="宋体" w:cs="宋体"/>
                <w:color w:val="auto"/>
                <w:kern w:val="0"/>
                <w:szCs w:val="21"/>
                <w:highlight w:val="none"/>
              </w:rPr>
              <w:t>单价（元）</w:t>
            </w:r>
          </w:p>
        </w:tc>
        <w:tc>
          <w:tcPr>
            <w:tcW w:w="1351" w:type="dxa"/>
            <w:tcBorders>
              <w:top w:val="single" w:color="auto" w:sz="4" w:space="0"/>
              <w:left w:val="nil"/>
              <w:bottom w:val="single" w:color="auto" w:sz="4" w:space="0"/>
              <w:right w:val="single" w:color="auto" w:sz="4" w:space="0"/>
            </w:tcBorders>
            <w:vAlign w:val="center"/>
          </w:tcPr>
          <w:p>
            <w:pPr>
              <w:widowControl/>
              <w:adjustRightInd/>
              <w:snapToGrid w:val="0"/>
              <w:spacing w:before="50" w:after="50" w:line="360" w:lineRule="auto"/>
              <w:jc w:val="center"/>
              <w:rPr>
                <w:rFonts w:ascii="宋体" w:hAnsi="宋体" w:cs="宋体"/>
                <w:color w:val="auto"/>
                <w:spacing w:val="20"/>
                <w:kern w:val="0"/>
                <w:szCs w:val="21"/>
                <w:highlight w:val="none"/>
              </w:rPr>
            </w:pPr>
            <w:r>
              <w:rPr>
                <w:rFonts w:hint="eastAsia" w:ascii="宋体" w:hAnsi="宋体" w:cs="宋体"/>
                <w:color w:val="auto"/>
                <w:spacing w:val="20"/>
                <w:kern w:val="0"/>
                <w:szCs w:val="21"/>
                <w:highlight w:val="none"/>
              </w:rPr>
              <w:t>合计</w:t>
            </w:r>
            <w:r>
              <w:rPr>
                <w:rFonts w:hint="eastAsia" w:ascii="宋体" w:hAnsi="宋体" w:cs="宋体"/>
                <w:color w:val="auto"/>
                <w:kern w:val="0"/>
                <w:szCs w:val="21"/>
                <w:highlight w:val="none"/>
              </w:rPr>
              <w:t>（元）</w:t>
            </w: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jc w:val="center"/>
              <w:textAlignment w:val="center"/>
              <w:rPr>
                <w:rFonts w:ascii="宋体" w:hAnsi="宋体" w:cs="宋体"/>
                <w:color w:val="auto"/>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pPr>
              <w:widowControl/>
              <w:adjustRightInd/>
              <w:jc w:val="center"/>
              <w:textAlignment w:val="center"/>
              <w:rPr>
                <w:rFonts w:ascii="宋体" w:hAnsi="宋体" w:cs="宋体"/>
                <w:color w:val="auto"/>
                <w:kern w:val="0"/>
                <w:szCs w:val="21"/>
                <w:highlight w:val="none"/>
              </w:rPr>
            </w:pPr>
          </w:p>
        </w:tc>
        <w:tc>
          <w:tcPr>
            <w:tcW w:w="992"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5063" w:type="dxa"/>
            <w:gridSpan w:val="2"/>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宋体" w:hAnsi="宋体" w:cs="宋体"/>
                <w:b/>
                <w:color w:val="auto"/>
                <w:kern w:val="0"/>
                <w:szCs w:val="21"/>
                <w:highlight w:val="none"/>
              </w:rPr>
            </w:pPr>
            <w:r>
              <w:rPr>
                <w:rFonts w:hint="eastAsia" w:ascii="宋体" w:hAnsi="宋体" w:cs="宋体"/>
                <w:color w:val="auto"/>
                <w:highlight w:val="none"/>
              </w:rPr>
              <w:t>投标总价（元）</w:t>
            </w:r>
          </w:p>
        </w:tc>
        <w:tc>
          <w:tcPr>
            <w:tcW w:w="3463" w:type="dxa"/>
            <w:gridSpan w:val="3"/>
            <w:tcBorders>
              <w:top w:val="single" w:color="auto" w:sz="4" w:space="0"/>
              <w:left w:val="single" w:color="auto" w:sz="4" w:space="0"/>
              <w:bottom w:val="single" w:color="auto" w:sz="4" w:space="0"/>
              <w:right w:val="single" w:color="auto" w:sz="4" w:space="0"/>
            </w:tcBorders>
          </w:tcPr>
          <w:p>
            <w:pPr>
              <w:widowControl/>
              <w:adjustRightInd/>
              <w:snapToGrid w:val="0"/>
              <w:spacing w:before="50" w:after="50" w:line="360" w:lineRule="auto"/>
              <w:jc w:val="center"/>
              <w:rPr>
                <w:rFonts w:ascii="宋体" w:hAnsi="宋体" w:cs="宋体"/>
                <w:color w:val="auto"/>
                <w:spacing w:val="20"/>
                <w:kern w:val="0"/>
                <w:szCs w:val="21"/>
                <w:highlight w:val="none"/>
              </w:rPr>
            </w:pPr>
          </w:p>
        </w:tc>
      </w:tr>
    </w:tbl>
    <w:p>
      <w:pPr>
        <w:widowControl/>
        <w:adjustRightInd/>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备注：1）本表格供参考，供应商可根据项目实际情况自拟表格。</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ageBreakBefore/>
        <w:widowControl/>
        <w:spacing w:before="100" w:beforeAutospacing="1" w:after="100" w:afterAutospacing="1" w:line="360" w:lineRule="auto"/>
        <w:ind w:left="1290" w:firstLine="1470"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8" w:name="OLE_LINK13"/>
      <w:bookmarkStart w:id="549" w:name="OLE_LINK14"/>
      <w:r>
        <w:rPr>
          <w:rFonts w:hint="eastAsia" w:ascii="宋体" w:hAnsi="宋体" w:cs="宋体"/>
          <w:b/>
          <w:color w:val="auto"/>
          <w:spacing w:val="6"/>
          <w:sz w:val="32"/>
          <w:szCs w:val="32"/>
          <w:highlight w:val="none"/>
        </w:rPr>
        <w:t>残疾人福利性单位声明函</w:t>
      </w:r>
    </w:p>
    <w:bookmarkEnd w:id="548"/>
    <w:bookmarkEnd w:id="54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天一阁秦氏支祠展陈项目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rPr>
          <w:rFonts w:ascii="宋体" w:hAnsi="宋体" w:cs="宋体"/>
          <w:color w:val="auto"/>
          <w:highlight w:val="none"/>
        </w:rPr>
      </w:pPr>
      <w:r>
        <w:rPr>
          <w:rFonts w:ascii="宋体" w:hAnsi="宋体" w:cs="宋体"/>
          <w:color w:val="auto"/>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宁波市天一阁博物院</w:t>
      </w:r>
      <w:r>
        <w:rPr>
          <w:rFonts w:hint="eastAsia" w:ascii="宋体" w:hAnsi="宋体" w:cs="宋体"/>
          <w:color w:val="auto"/>
          <w:sz w:val="24"/>
          <w:highlight w:val="none"/>
          <w:u w:val="single"/>
        </w:rPr>
        <w:t>、宁波中基国际招标有限公司：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5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5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5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5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5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天一阁秦氏支祠展陈项目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CBNB-20246064G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1"/>
        <w:rPr>
          <w:rFonts w:ascii="宋体" w:hAnsi="宋体" w:cs="宋体"/>
          <w:b/>
          <w:color w:val="auto"/>
          <w:sz w:val="36"/>
          <w:szCs w:val="20"/>
          <w:highlight w:val="none"/>
        </w:rPr>
      </w:pPr>
      <w:bookmarkStart w:id="553" w:name="_Toc25251"/>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bookmarkEnd w:id="553"/>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bookmarkStart w:id="554" w:name="_Toc13008"/>
      <w:r>
        <w:rPr>
          <w:rFonts w:hint="eastAsia" w:ascii="宋体" w:hAnsi="宋体" w:cs="宋体"/>
          <w:b/>
          <w:color w:val="auto"/>
          <w:sz w:val="32"/>
          <w:szCs w:val="32"/>
          <w:highlight w:val="none"/>
        </w:rPr>
        <w:t>中小企业声明函（服务）</w:t>
      </w:r>
      <w:bookmarkEnd w:id="554"/>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宁波市天一阁博物院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天一阁秦氏支祠展陈项目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天一阁秦氏支祠展陈</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color w:val="auto"/>
          <w:highlight w:val="none"/>
        </w:rPr>
      </w:pPr>
      <w:r>
        <w:rPr>
          <w:rFonts w:hint="eastAsia" w:ascii="宋体" w:hAnsi="宋体" w:cs="宋体"/>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pPr>
        <w:pStyle w:val="2"/>
        <w:rPr>
          <w:color w:val="auto"/>
          <w:highlight w:val="none"/>
        </w:rPr>
      </w:pPr>
    </w:p>
    <w:p>
      <w:pPr>
        <w:rPr>
          <w:rFonts w:ascii="宋体" w:hAnsi="宋体" w:cs="宋体"/>
          <w:color w:val="auto"/>
          <w:highlight w:val="none"/>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65</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40</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63</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val="0"/>
        <w:i/>
        <w:sz w:val="18"/>
        <w:u w:val="single"/>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 xml:space="preserve">                                  宁波市政府采购公开招标文件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7B039"/>
    <w:multiLevelType w:val="singleLevel"/>
    <w:tmpl w:val="B347B039"/>
    <w:lvl w:ilvl="0" w:tentative="0">
      <w:start w:val="1"/>
      <w:numFmt w:val="bullet"/>
      <w:lvlText w:val=""/>
      <w:lvlJc w:val="left"/>
      <w:pPr>
        <w:ind w:left="420" w:hanging="420"/>
      </w:pPr>
      <w:rPr>
        <w:rFonts w:hint="default" w:ascii="Wingdings" w:hAnsi="Wingdings"/>
      </w:rPr>
    </w:lvl>
  </w:abstractNum>
  <w:abstractNum w:abstractNumId="1">
    <w:nsid w:val="4CE008B6"/>
    <w:multiLevelType w:val="singleLevel"/>
    <w:tmpl w:val="4CE008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MWZiOWRlMTk0MzBjYTg0NWY0YjkzOWFjNDAyNm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6AFB"/>
    <w:rsid w:val="019F7441"/>
    <w:rsid w:val="01AE427A"/>
    <w:rsid w:val="01B37585"/>
    <w:rsid w:val="01D55165"/>
    <w:rsid w:val="01D9415D"/>
    <w:rsid w:val="01DF6BF8"/>
    <w:rsid w:val="01EC2C57"/>
    <w:rsid w:val="02106473"/>
    <w:rsid w:val="025F0711"/>
    <w:rsid w:val="026B2E25"/>
    <w:rsid w:val="02824D4D"/>
    <w:rsid w:val="02A136AB"/>
    <w:rsid w:val="02DC4B10"/>
    <w:rsid w:val="02DD76CE"/>
    <w:rsid w:val="02F36323"/>
    <w:rsid w:val="02F5619C"/>
    <w:rsid w:val="0326446A"/>
    <w:rsid w:val="032D5555"/>
    <w:rsid w:val="035F4B52"/>
    <w:rsid w:val="036634D2"/>
    <w:rsid w:val="03736735"/>
    <w:rsid w:val="037B196F"/>
    <w:rsid w:val="03DD35E4"/>
    <w:rsid w:val="04076900"/>
    <w:rsid w:val="041A5A3B"/>
    <w:rsid w:val="042311BA"/>
    <w:rsid w:val="042B157A"/>
    <w:rsid w:val="048F763B"/>
    <w:rsid w:val="049F330E"/>
    <w:rsid w:val="04AA775C"/>
    <w:rsid w:val="04AF1889"/>
    <w:rsid w:val="04E804B4"/>
    <w:rsid w:val="04F66F48"/>
    <w:rsid w:val="05251E14"/>
    <w:rsid w:val="05A16594"/>
    <w:rsid w:val="05A7762D"/>
    <w:rsid w:val="060B66D9"/>
    <w:rsid w:val="060E5941"/>
    <w:rsid w:val="06110FAF"/>
    <w:rsid w:val="06493CA7"/>
    <w:rsid w:val="064E7FAD"/>
    <w:rsid w:val="065A6178"/>
    <w:rsid w:val="066F1CF3"/>
    <w:rsid w:val="06930BB8"/>
    <w:rsid w:val="06992BB4"/>
    <w:rsid w:val="06F723B4"/>
    <w:rsid w:val="07245D42"/>
    <w:rsid w:val="07264C62"/>
    <w:rsid w:val="073605FB"/>
    <w:rsid w:val="0779354C"/>
    <w:rsid w:val="08061376"/>
    <w:rsid w:val="08452D77"/>
    <w:rsid w:val="086401F8"/>
    <w:rsid w:val="08751CAA"/>
    <w:rsid w:val="087E4C40"/>
    <w:rsid w:val="08A871D0"/>
    <w:rsid w:val="08D66AD6"/>
    <w:rsid w:val="08D72270"/>
    <w:rsid w:val="08DA33A3"/>
    <w:rsid w:val="08E80F13"/>
    <w:rsid w:val="09335624"/>
    <w:rsid w:val="0944690F"/>
    <w:rsid w:val="09535675"/>
    <w:rsid w:val="095F057D"/>
    <w:rsid w:val="09642282"/>
    <w:rsid w:val="09733572"/>
    <w:rsid w:val="09772C16"/>
    <w:rsid w:val="098353B5"/>
    <w:rsid w:val="09A92330"/>
    <w:rsid w:val="09B06B87"/>
    <w:rsid w:val="09C13146"/>
    <w:rsid w:val="09DD68B6"/>
    <w:rsid w:val="09E04166"/>
    <w:rsid w:val="0A0F49F4"/>
    <w:rsid w:val="0A1C0718"/>
    <w:rsid w:val="0A27015B"/>
    <w:rsid w:val="0A3E7710"/>
    <w:rsid w:val="0A5B7E63"/>
    <w:rsid w:val="0A767C7A"/>
    <w:rsid w:val="0AA374A5"/>
    <w:rsid w:val="0AAB7649"/>
    <w:rsid w:val="0ABC5606"/>
    <w:rsid w:val="0AFE0859"/>
    <w:rsid w:val="0B30404E"/>
    <w:rsid w:val="0B4C6C14"/>
    <w:rsid w:val="0B547599"/>
    <w:rsid w:val="0B631A88"/>
    <w:rsid w:val="0B683D45"/>
    <w:rsid w:val="0B7F3F11"/>
    <w:rsid w:val="0B884417"/>
    <w:rsid w:val="0BDB378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44CF6"/>
    <w:rsid w:val="0DD63300"/>
    <w:rsid w:val="0DEE4501"/>
    <w:rsid w:val="0DF50604"/>
    <w:rsid w:val="0DF702FE"/>
    <w:rsid w:val="0E05778A"/>
    <w:rsid w:val="0E060E51"/>
    <w:rsid w:val="0E3C02DF"/>
    <w:rsid w:val="0E5604B2"/>
    <w:rsid w:val="0E592082"/>
    <w:rsid w:val="0E6D5D79"/>
    <w:rsid w:val="0E9D0089"/>
    <w:rsid w:val="0EB803EE"/>
    <w:rsid w:val="0EF94D4B"/>
    <w:rsid w:val="0F0D1356"/>
    <w:rsid w:val="0F4958DC"/>
    <w:rsid w:val="0F515DF7"/>
    <w:rsid w:val="0F596BA8"/>
    <w:rsid w:val="0F6248D2"/>
    <w:rsid w:val="0F693536"/>
    <w:rsid w:val="0F6B16B8"/>
    <w:rsid w:val="0F7B0511"/>
    <w:rsid w:val="0F7B76D9"/>
    <w:rsid w:val="0F816ACD"/>
    <w:rsid w:val="0F9832DB"/>
    <w:rsid w:val="0FA9345E"/>
    <w:rsid w:val="0FBF3FD2"/>
    <w:rsid w:val="0FBF7FF3"/>
    <w:rsid w:val="0FDD3B4C"/>
    <w:rsid w:val="10646583"/>
    <w:rsid w:val="107D4B15"/>
    <w:rsid w:val="108A3C80"/>
    <w:rsid w:val="10C26171"/>
    <w:rsid w:val="10CA380B"/>
    <w:rsid w:val="10EA0134"/>
    <w:rsid w:val="10F33360"/>
    <w:rsid w:val="10FC16EA"/>
    <w:rsid w:val="110F1D40"/>
    <w:rsid w:val="11266F33"/>
    <w:rsid w:val="118963A1"/>
    <w:rsid w:val="11C6522A"/>
    <w:rsid w:val="11E104CC"/>
    <w:rsid w:val="11E20309"/>
    <w:rsid w:val="12255233"/>
    <w:rsid w:val="122D6FF0"/>
    <w:rsid w:val="12530213"/>
    <w:rsid w:val="127723A9"/>
    <w:rsid w:val="12862074"/>
    <w:rsid w:val="12883966"/>
    <w:rsid w:val="128E7A56"/>
    <w:rsid w:val="129E45B4"/>
    <w:rsid w:val="12D81596"/>
    <w:rsid w:val="12EE37B7"/>
    <w:rsid w:val="13072A44"/>
    <w:rsid w:val="1326697D"/>
    <w:rsid w:val="135F4BE2"/>
    <w:rsid w:val="13965B71"/>
    <w:rsid w:val="139B1A0A"/>
    <w:rsid w:val="139D25C7"/>
    <w:rsid w:val="13BF3CE4"/>
    <w:rsid w:val="13E521CB"/>
    <w:rsid w:val="13F552E3"/>
    <w:rsid w:val="13FE0FC9"/>
    <w:rsid w:val="141008D8"/>
    <w:rsid w:val="14125FE6"/>
    <w:rsid w:val="146D271E"/>
    <w:rsid w:val="14982588"/>
    <w:rsid w:val="149A5AD9"/>
    <w:rsid w:val="14A7619D"/>
    <w:rsid w:val="150536C3"/>
    <w:rsid w:val="150C1963"/>
    <w:rsid w:val="151447A0"/>
    <w:rsid w:val="154A6454"/>
    <w:rsid w:val="15762120"/>
    <w:rsid w:val="157B6F93"/>
    <w:rsid w:val="158B65C1"/>
    <w:rsid w:val="16A8729C"/>
    <w:rsid w:val="16B33777"/>
    <w:rsid w:val="16BC70A7"/>
    <w:rsid w:val="16C6339E"/>
    <w:rsid w:val="16FB6BF7"/>
    <w:rsid w:val="172F2D79"/>
    <w:rsid w:val="17557BEF"/>
    <w:rsid w:val="17D349C1"/>
    <w:rsid w:val="1830729E"/>
    <w:rsid w:val="18491A32"/>
    <w:rsid w:val="1870062C"/>
    <w:rsid w:val="18817102"/>
    <w:rsid w:val="18830A15"/>
    <w:rsid w:val="18852B28"/>
    <w:rsid w:val="188B5321"/>
    <w:rsid w:val="19932372"/>
    <w:rsid w:val="199E0BE3"/>
    <w:rsid w:val="19A20DD5"/>
    <w:rsid w:val="19A757E8"/>
    <w:rsid w:val="19AE03F1"/>
    <w:rsid w:val="1A071A03"/>
    <w:rsid w:val="1A1F16AE"/>
    <w:rsid w:val="1A3B5C77"/>
    <w:rsid w:val="1A984BAD"/>
    <w:rsid w:val="1AB8220E"/>
    <w:rsid w:val="1AE4166C"/>
    <w:rsid w:val="1AF06CFB"/>
    <w:rsid w:val="1AF11B8D"/>
    <w:rsid w:val="1B11359C"/>
    <w:rsid w:val="1B2A271F"/>
    <w:rsid w:val="1B4344D5"/>
    <w:rsid w:val="1B530544"/>
    <w:rsid w:val="1B713184"/>
    <w:rsid w:val="1BA209CF"/>
    <w:rsid w:val="1BB4777D"/>
    <w:rsid w:val="1BD75AB8"/>
    <w:rsid w:val="1C0459C2"/>
    <w:rsid w:val="1C1B3B4A"/>
    <w:rsid w:val="1C88086E"/>
    <w:rsid w:val="1C8A3C63"/>
    <w:rsid w:val="1D266CE1"/>
    <w:rsid w:val="1D3963AF"/>
    <w:rsid w:val="1D622F76"/>
    <w:rsid w:val="1D6A673C"/>
    <w:rsid w:val="1D9247AE"/>
    <w:rsid w:val="1DB567EC"/>
    <w:rsid w:val="1DF51A98"/>
    <w:rsid w:val="1E3456C7"/>
    <w:rsid w:val="1E3D060F"/>
    <w:rsid w:val="1E3F7D2E"/>
    <w:rsid w:val="1E4134E4"/>
    <w:rsid w:val="1E5062B3"/>
    <w:rsid w:val="1E523514"/>
    <w:rsid w:val="1E714A66"/>
    <w:rsid w:val="1E802593"/>
    <w:rsid w:val="1E8B6156"/>
    <w:rsid w:val="1EA703CC"/>
    <w:rsid w:val="1EB7330C"/>
    <w:rsid w:val="1F0A0FF3"/>
    <w:rsid w:val="1F204CD0"/>
    <w:rsid w:val="1F5771FF"/>
    <w:rsid w:val="1FD52DD5"/>
    <w:rsid w:val="1FE868A9"/>
    <w:rsid w:val="20034907"/>
    <w:rsid w:val="20173E4B"/>
    <w:rsid w:val="20325F9E"/>
    <w:rsid w:val="204E48BC"/>
    <w:rsid w:val="208921B3"/>
    <w:rsid w:val="20973DEB"/>
    <w:rsid w:val="20B26522"/>
    <w:rsid w:val="20B44310"/>
    <w:rsid w:val="20F052F3"/>
    <w:rsid w:val="211116EB"/>
    <w:rsid w:val="216133FC"/>
    <w:rsid w:val="216C6661"/>
    <w:rsid w:val="21B1549F"/>
    <w:rsid w:val="21D56769"/>
    <w:rsid w:val="21E52EF3"/>
    <w:rsid w:val="21FB5D7B"/>
    <w:rsid w:val="22015E94"/>
    <w:rsid w:val="220B1C3D"/>
    <w:rsid w:val="221D1D20"/>
    <w:rsid w:val="22334A87"/>
    <w:rsid w:val="22496CD1"/>
    <w:rsid w:val="228367B7"/>
    <w:rsid w:val="22B1477A"/>
    <w:rsid w:val="22BE6801"/>
    <w:rsid w:val="22E57078"/>
    <w:rsid w:val="233500BF"/>
    <w:rsid w:val="23377FF7"/>
    <w:rsid w:val="236B425F"/>
    <w:rsid w:val="23836192"/>
    <w:rsid w:val="23901F29"/>
    <w:rsid w:val="239C0061"/>
    <w:rsid w:val="23B908A4"/>
    <w:rsid w:val="23E073EA"/>
    <w:rsid w:val="23E95BEF"/>
    <w:rsid w:val="23FD0064"/>
    <w:rsid w:val="245375B0"/>
    <w:rsid w:val="24642C0A"/>
    <w:rsid w:val="249206AE"/>
    <w:rsid w:val="24B22173"/>
    <w:rsid w:val="24B67ED8"/>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F276F"/>
    <w:rsid w:val="27044A29"/>
    <w:rsid w:val="271D34C8"/>
    <w:rsid w:val="276142BF"/>
    <w:rsid w:val="27783712"/>
    <w:rsid w:val="278A4A4A"/>
    <w:rsid w:val="27907362"/>
    <w:rsid w:val="27AC2F71"/>
    <w:rsid w:val="27B54BA0"/>
    <w:rsid w:val="27CD2FC0"/>
    <w:rsid w:val="281E2337"/>
    <w:rsid w:val="28333E1D"/>
    <w:rsid w:val="28432A8E"/>
    <w:rsid w:val="28454BD6"/>
    <w:rsid w:val="28455253"/>
    <w:rsid w:val="28551971"/>
    <w:rsid w:val="285B1C53"/>
    <w:rsid w:val="289F7086"/>
    <w:rsid w:val="28C32028"/>
    <w:rsid w:val="28CC490F"/>
    <w:rsid w:val="28CE2768"/>
    <w:rsid w:val="28DE40AA"/>
    <w:rsid w:val="28E53925"/>
    <w:rsid w:val="29345E77"/>
    <w:rsid w:val="294C65AD"/>
    <w:rsid w:val="29806583"/>
    <w:rsid w:val="298B3C4C"/>
    <w:rsid w:val="29925ABA"/>
    <w:rsid w:val="29F26D24"/>
    <w:rsid w:val="2A15033F"/>
    <w:rsid w:val="2A1662C1"/>
    <w:rsid w:val="2A1C7367"/>
    <w:rsid w:val="2A2815FA"/>
    <w:rsid w:val="2A6D6092"/>
    <w:rsid w:val="2A7D76B4"/>
    <w:rsid w:val="2AE412F9"/>
    <w:rsid w:val="2B437463"/>
    <w:rsid w:val="2B7807EE"/>
    <w:rsid w:val="2BA50BF7"/>
    <w:rsid w:val="2BBF00EC"/>
    <w:rsid w:val="2BC37CFD"/>
    <w:rsid w:val="2BD5237F"/>
    <w:rsid w:val="2BE536CE"/>
    <w:rsid w:val="2BE758D9"/>
    <w:rsid w:val="2C09049E"/>
    <w:rsid w:val="2C0A653C"/>
    <w:rsid w:val="2C107FEF"/>
    <w:rsid w:val="2C191F85"/>
    <w:rsid w:val="2CE82D6F"/>
    <w:rsid w:val="2D343236"/>
    <w:rsid w:val="2D5C23F2"/>
    <w:rsid w:val="2D963DBE"/>
    <w:rsid w:val="2DD15014"/>
    <w:rsid w:val="2DE33AEA"/>
    <w:rsid w:val="2DF72DE4"/>
    <w:rsid w:val="2E0220AF"/>
    <w:rsid w:val="2E0401E9"/>
    <w:rsid w:val="2E4B082A"/>
    <w:rsid w:val="2E5A34E4"/>
    <w:rsid w:val="2E5D4E86"/>
    <w:rsid w:val="2E5D790B"/>
    <w:rsid w:val="2E8539AE"/>
    <w:rsid w:val="2E933897"/>
    <w:rsid w:val="2E9A3C18"/>
    <w:rsid w:val="2EBB0FEE"/>
    <w:rsid w:val="2EC63002"/>
    <w:rsid w:val="2F0A6B38"/>
    <w:rsid w:val="2F8969B2"/>
    <w:rsid w:val="2F946CCB"/>
    <w:rsid w:val="2FD25781"/>
    <w:rsid w:val="2FDC745C"/>
    <w:rsid w:val="2FF73CD3"/>
    <w:rsid w:val="2FFD7934"/>
    <w:rsid w:val="30733ACD"/>
    <w:rsid w:val="30836420"/>
    <w:rsid w:val="308C3862"/>
    <w:rsid w:val="309379D8"/>
    <w:rsid w:val="30A270F7"/>
    <w:rsid w:val="30DF1478"/>
    <w:rsid w:val="30EC586F"/>
    <w:rsid w:val="310976CB"/>
    <w:rsid w:val="314550B7"/>
    <w:rsid w:val="319C6071"/>
    <w:rsid w:val="31AC537E"/>
    <w:rsid w:val="31E3679B"/>
    <w:rsid w:val="31E732FD"/>
    <w:rsid w:val="32517576"/>
    <w:rsid w:val="327A6D4B"/>
    <w:rsid w:val="32BE5C2C"/>
    <w:rsid w:val="32E16410"/>
    <w:rsid w:val="32FB6478"/>
    <w:rsid w:val="33263B3F"/>
    <w:rsid w:val="336963EB"/>
    <w:rsid w:val="33816EEB"/>
    <w:rsid w:val="33EB55CD"/>
    <w:rsid w:val="33EC4C02"/>
    <w:rsid w:val="340D2360"/>
    <w:rsid w:val="3410665D"/>
    <w:rsid w:val="34211214"/>
    <w:rsid w:val="342E63AB"/>
    <w:rsid w:val="34474DD2"/>
    <w:rsid w:val="34950E68"/>
    <w:rsid w:val="34986E94"/>
    <w:rsid w:val="34AF62C9"/>
    <w:rsid w:val="34CB4388"/>
    <w:rsid w:val="34FA6E12"/>
    <w:rsid w:val="350F7902"/>
    <w:rsid w:val="35457E70"/>
    <w:rsid w:val="354D7158"/>
    <w:rsid w:val="357839D6"/>
    <w:rsid w:val="358D5588"/>
    <w:rsid w:val="363A3B40"/>
    <w:rsid w:val="365302AE"/>
    <w:rsid w:val="36607A0A"/>
    <w:rsid w:val="366A4AD4"/>
    <w:rsid w:val="366E227C"/>
    <w:rsid w:val="366F2E0D"/>
    <w:rsid w:val="36740CFD"/>
    <w:rsid w:val="367B6A5C"/>
    <w:rsid w:val="36A74ADA"/>
    <w:rsid w:val="36AD60D5"/>
    <w:rsid w:val="36B224F9"/>
    <w:rsid w:val="36BB77F4"/>
    <w:rsid w:val="36EC0CC9"/>
    <w:rsid w:val="36F6277F"/>
    <w:rsid w:val="373F410B"/>
    <w:rsid w:val="37EE7094"/>
    <w:rsid w:val="38296C89"/>
    <w:rsid w:val="383002EB"/>
    <w:rsid w:val="383A5B98"/>
    <w:rsid w:val="38586797"/>
    <w:rsid w:val="38BC0149"/>
    <w:rsid w:val="38CA7D80"/>
    <w:rsid w:val="38D87D1C"/>
    <w:rsid w:val="39636459"/>
    <w:rsid w:val="396B7F6C"/>
    <w:rsid w:val="398A0421"/>
    <w:rsid w:val="39AD6CE3"/>
    <w:rsid w:val="39B417A9"/>
    <w:rsid w:val="39C17AE2"/>
    <w:rsid w:val="39FC5695"/>
    <w:rsid w:val="3A006D8E"/>
    <w:rsid w:val="3A3651E5"/>
    <w:rsid w:val="3A744481"/>
    <w:rsid w:val="3A8C7BEF"/>
    <w:rsid w:val="3A906246"/>
    <w:rsid w:val="3B012A5E"/>
    <w:rsid w:val="3B2349B7"/>
    <w:rsid w:val="3B504F02"/>
    <w:rsid w:val="3B616CFF"/>
    <w:rsid w:val="3B6259F6"/>
    <w:rsid w:val="3B976654"/>
    <w:rsid w:val="3BC01EFC"/>
    <w:rsid w:val="3BCA786A"/>
    <w:rsid w:val="3BD31E2F"/>
    <w:rsid w:val="3BF15831"/>
    <w:rsid w:val="3C105946"/>
    <w:rsid w:val="3C265C15"/>
    <w:rsid w:val="3C471448"/>
    <w:rsid w:val="3C5F759A"/>
    <w:rsid w:val="3C6C525A"/>
    <w:rsid w:val="3C6F3555"/>
    <w:rsid w:val="3CCE23CB"/>
    <w:rsid w:val="3CD17D17"/>
    <w:rsid w:val="3CFD7B0F"/>
    <w:rsid w:val="3D3C7F39"/>
    <w:rsid w:val="3D440F09"/>
    <w:rsid w:val="3D4504A0"/>
    <w:rsid w:val="3D8734BB"/>
    <w:rsid w:val="3D9A11D4"/>
    <w:rsid w:val="3D9F2E1A"/>
    <w:rsid w:val="3DA16D89"/>
    <w:rsid w:val="3DA364BE"/>
    <w:rsid w:val="3DB0734E"/>
    <w:rsid w:val="3DE041CB"/>
    <w:rsid w:val="3E0D48F6"/>
    <w:rsid w:val="3E1868B4"/>
    <w:rsid w:val="3E377251"/>
    <w:rsid w:val="3E42664B"/>
    <w:rsid w:val="3E5A7334"/>
    <w:rsid w:val="3E7B5D6B"/>
    <w:rsid w:val="3E843E66"/>
    <w:rsid w:val="3E8F51FE"/>
    <w:rsid w:val="3E926F87"/>
    <w:rsid w:val="3E9A59DE"/>
    <w:rsid w:val="3EAF4836"/>
    <w:rsid w:val="3EC33DFA"/>
    <w:rsid w:val="3EE75167"/>
    <w:rsid w:val="3F060E16"/>
    <w:rsid w:val="3F1D1096"/>
    <w:rsid w:val="3F2F0234"/>
    <w:rsid w:val="3F6363FE"/>
    <w:rsid w:val="3F756B8F"/>
    <w:rsid w:val="3F95482B"/>
    <w:rsid w:val="4019356B"/>
    <w:rsid w:val="40257C17"/>
    <w:rsid w:val="40592157"/>
    <w:rsid w:val="406E1CAE"/>
    <w:rsid w:val="409174C7"/>
    <w:rsid w:val="40A0133A"/>
    <w:rsid w:val="40C31A53"/>
    <w:rsid w:val="40FF545D"/>
    <w:rsid w:val="41003C24"/>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95C97"/>
    <w:rsid w:val="46422483"/>
    <w:rsid w:val="4659254A"/>
    <w:rsid w:val="465B0637"/>
    <w:rsid w:val="465E3F0D"/>
    <w:rsid w:val="466A16E6"/>
    <w:rsid w:val="46893F2B"/>
    <w:rsid w:val="46A24123"/>
    <w:rsid w:val="46C4686E"/>
    <w:rsid w:val="46F45AF4"/>
    <w:rsid w:val="477B778F"/>
    <w:rsid w:val="478203EC"/>
    <w:rsid w:val="47B025FA"/>
    <w:rsid w:val="47B929E1"/>
    <w:rsid w:val="4809698F"/>
    <w:rsid w:val="480F6B9A"/>
    <w:rsid w:val="4811697D"/>
    <w:rsid w:val="487A3E25"/>
    <w:rsid w:val="488B5503"/>
    <w:rsid w:val="48937E21"/>
    <w:rsid w:val="489A0361"/>
    <w:rsid w:val="48B94FF3"/>
    <w:rsid w:val="48D5500A"/>
    <w:rsid w:val="48E37AAB"/>
    <w:rsid w:val="48FD4B4C"/>
    <w:rsid w:val="490A68E0"/>
    <w:rsid w:val="491055FE"/>
    <w:rsid w:val="49540830"/>
    <w:rsid w:val="495F5B3E"/>
    <w:rsid w:val="496F77D7"/>
    <w:rsid w:val="497654FD"/>
    <w:rsid w:val="49B64211"/>
    <w:rsid w:val="49D678FA"/>
    <w:rsid w:val="49E56AF9"/>
    <w:rsid w:val="49F6167F"/>
    <w:rsid w:val="4A064FA0"/>
    <w:rsid w:val="4A16615C"/>
    <w:rsid w:val="4A4424D7"/>
    <w:rsid w:val="4AB82D0F"/>
    <w:rsid w:val="4AC53A65"/>
    <w:rsid w:val="4AEB7664"/>
    <w:rsid w:val="4AFD7C19"/>
    <w:rsid w:val="4B0567D1"/>
    <w:rsid w:val="4B236AAE"/>
    <w:rsid w:val="4B27210C"/>
    <w:rsid w:val="4B707271"/>
    <w:rsid w:val="4B8A5F81"/>
    <w:rsid w:val="4B9739F7"/>
    <w:rsid w:val="4BCA1FA1"/>
    <w:rsid w:val="4BD44D46"/>
    <w:rsid w:val="4BEE2503"/>
    <w:rsid w:val="4C245A30"/>
    <w:rsid w:val="4CB6685F"/>
    <w:rsid w:val="4CC367FE"/>
    <w:rsid w:val="4D077F3C"/>
    <w:rsid w:val="4D123355"/>
    <w:rsid w:val="4D2A3B31"/>
    <w:rsid w:val="4D312C52"/>
    <w:rsid w:val="4D905305"/>
    <w:rsid w:val="4D964A72"/>
    <w:rsid w:val="4D9C1254"/>
    <w:rsid w:val="4E140605"/>
    <w:rsid w:val="4E793892"/>
    <w:rsid w:val="4E800872"/>
    <w:rsid w:val="4EC569ED"/>
    <w:rsid w:val="4ED50EA1"/>
    <w:rsid w:val="4EEC050C"/>
    <w:rsid w:val="4F104EC3"/>
    <w:rsid w:val="4F216E37"/>
    <w:rsid w:val="4F47354A"/>
    <w:rsid w:val="4F911C54"/>
    <w:rsid w:val="4F93241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324173"/>
    <w:rsid w:val="5244713B"/>
    <w:rsid w:val="52615633"/>
    <w:rsid w:val="526F4DE4"/>
    <w:rsid w:val="528A0F5A"/>
    <w:rsid w:val="52977FD4"/>
    <w:rsid w:val="52A25790"/>
    <w:rsid w:val="52A96B6F"/>
    <w:rsid w:val="52B45975"/>
    <w:rsid w:val="52D94AA4"/>
    <w:rsid w:val="52EA3A62"/>
    <w:rsid w:val="52F50BB8"/>
    <w:rsid w:val="53097272"/>
    <w:rsid w:val="53544462"/>
    <w:rsid w:val="5397158E"/>
    <w:rsid w:val="54013861"/>
    <w:rsid w:val="542C7307"/>
    <w:rsid w:val="54435396"/>
    <w:rsid w:val="54487265"/>
    <w:rsid w:val="544D6070"/>
    <w:rsid w:val="54605E1E"/>
    <w:rsid w:val="54B3506A"/>
    <w:rsid w:val="54B65C0D"/>
    <w:rsid w:val="54CA0D16"/>
    <w:rsid w:val="54DD4057"/>
    <w:rsid w:val="54E0475B"/>
    <w:rsid w:val="54E7490F"/>
    <w:rsid w:val="550764A4"/>
    <w:rsid w:val="550B2BF6"/>
    <w:rsid w:val="551D5098"/>
    <w:rsid w:val="55214EB5"/>
    <w:rsid w:val="55364EFD"/>
    <w:rsid w:val="555001B2"/>
    <w:rsid w:val="555D4828"/>
    <w:rsid w:val="557A4C8B"/>
    <w:rsid w:val="558931E1"/>
    <w:rsid w:val="55923347"/>
    <w:rsid w:val="55925180"/>
    <w:rsid w:val="55983B1B"/>
    <w:rsid w:val="55A8376B"/>
    <w:rsid w:val="55DC29B6"/>
    <w:rsid w:val="55DD4241"/>
    <w:rsid w:val="566B6D1E"/>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61C0D"/>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83AF9"/>
    <w:rsid w:val="5C02690E"/>
    <w:rsid w:val="5C196DA7"/>
    <w:rsid w:val="5C2A048C"/>
    <w:rsid w:val="5C560286"/>
    <w:rsid w:val="5C5B5E3F"/>
    <w:rsid w:val="5C80234E"/>
    <w:rsid w:val="5C8A680C"/>
    <w:rsid w:val="5CDD2672"/>
    <w:rsid w:val="5D0C4701"/>
    <w:rsid w:val="5D0F0395"/>
    <w:rsid w:val="5D221076"/>
    <w:rsid w:val="5D397964"/>
    <w:rsid w:val="5D4F6922"/>
    <w:rsid w:val="5D5A391C"/>
    <w:rsid w:val="5D5F10C0"/>
    <w:rsid w:val="5D891B7B"/>
    <w:rsid w:val="5DAD38EE"/>
    <w:rsid w:val="5E006862"/>
    <w:rsid w:val="5E0207B9"/>
    <w:rsid w:val="5E1834A1"/>
    <w:rsid w:val="5E261785"/>
    <w:rsid w:val="5E4A7017"/>
    <w:rsid w:val="5E552BBA"/>
    <w:rsid w:val="5E611C10"/>
    <w:rsid w:val="5E7A0F3F"/>
    <w:rsid w:val="5EF62DCD"/>
    <w:rsid w:val="5EFC7377"/>
    <w:rsid w:val="5F06174D"/>
    <w:rsid w:val="5F3A3602"/>
    <w:rsid w:val="5F45733B"/>
    <w:rsid w:val="5F6277C6"/>
    <w:rsid w:val="5F6D0B1D"/>
    <w:rsid w:val="5F8D0B82"/>
    <w:rsid w:val="5F9D4AAC"/>
    <w:rsid w:val="5FCC5339"/>
    <w:rsid w:val="5FE34A5B"/>
    <w:rsid w:val="5FFE1E36"/>
    <w:rsid w:val="601E438A"/>
    <w:rsid w:val="60232584"/>
    <w:rsid w:val="607330CE"/>
    <w:rsid w:val="60825176"/>
    <w:rsid w:val="60954C31"/>
    <w:rsid w:val="609F2AC4"/>
    <w:rsid w:val="60D36795"/>
    <w:rsid w:val="60FA2EE8"/>
    <w:rsid w:val="61054A27"/>
    <w:rsid w:val="610A52BC"/>
    <w:rsid w:val="611D2366"/>
    <w:rsid w:val="61421856"/>
    <w:rsid w:val="615227C4"/>
    <w:rsid w:val="615B5579"/>
    <w:rsid w:val="61654E3F"/>
    <w:rsid w:val="6182292A"/>
    <w:rsid w:val="619F7F92"/>
    <w:rsid w:val="61F94C26"/>
    <w:rsid w:val="62000E56"/>
    <w:rsid w:val="624F3E49"/>
    <w:rsid w:val="625540F2"/>
    <w:rsid w:val="62632286"/>
    <w:rsid w:val="62827EE8"/>
    <w:rsid w:val="62885958"/>
    <w:rsid w:val="62F40B65"/>
    <w:rsid w:val="62FC2CFE"/>
    <w:rsid w:val="63024505"/>
    <w:rsid w:val="635600A5"/>
    <w:rsid w:val="635B1DB5"/>
    <w:rsid w:val="63711FED"/>
    <w:rsid w:val="63880DDC"/>
    <w:rsid w:val="638D750D"/>
    <w:rsid w:val="63AC6CC0"/>
    <w:rsid w:val="64055776"/>
    <w:rsid w:val="64240056"/>
    <w:rsid w:val="643C1282"/>
    <w:rsid w:val="643E143A"/>
    <w:rsid w:val="64491666"/>
    <w:rsid w:val="648B6EEF"/>
    <w:rsid w:val="64946278"/>
    <w:rsid w:val="64C0351D"/>
    <w:rsid w:val="64C158BF"/>
    <w:rsid w:val="64CE2EAA"/>
    <w:rsid w:val="653C3090"/>
    <w:rsid w:val="65854376"/>
    <w:rsid w:val="658767BE"/>
    <w:rsid w:val="65892531"/>
    <w:rsid w:val="66195831"/>
    <w:rsid w:val="662E75B1"/>
    <w:rsid w:val="66342C2E"/>
    <w:rsid w:val="663E784C"/>
    <w:rsid w:val="668B6A45"/>
    <w:rsid w:val="67011F07"/>
    <w:rsid w:val="67041C7D"/>
    <w:rsid w:val="672F3F24"/>
    <w:rsid w:val="673E055F"/>
    <w:rsid w:val="67551CE3"/>
    <w:rsid w:val="679F4931"/>
    <w:rsid w:val="67A22552"/>
    <w:rsid w:val="67AC60A4"/>
    <w:rsid w:val="67B13D35"/>
    <w:rsid w:val="67B22DCC"/>
    <w:rsid w:val="67BE71AA"/>
    <w:rsid w:val="67CA6B60"/>
    <w:rsid w:val="67D90273"/>
    <w:rsid w:val="67DE5875"/>
    <w:rsid w:val="67E55852"/>
    <w:rsid w:val="67EB1AB4"/>
    <w:rsid w:val="67FA1285"/>
    <w:rsid w:val="683E759B"/>
    <w:rsid w:val="68551F4F"/>
    <w:rsid w:val="687C10C9"/>
    <w:rsid w:val="68840C16"/>
    <w:rsid w:val="68872541"/>
    <w:rsid w:val="68876EFB"/>
    <w:rsid w:val="68884654"/>
    <w:rsid w:val="689F444F"/>
    <w:rsid w:val="68B96DBB"/>
    <w:rsid w:val="68CA2805"/>
    <w:rsid w:val="68E937A3"/>
    <w:rsid w:val="69105EF6"/>
    <w:rsid w:val="691664E5"/>
    <w:rsid w:val="693E15D3"/>
    <w:rsid w:val="693F1811"/>
    <w:rsid w:val="695617B5"/>
    <w:rsid w:val="69627681"/>
    <w:rsid w:val="6977531D"/>
    <w:rsid w:val="69CC2BFF"/>
    <w:rsid w:val="69E84DCE"/>
    <w:rsid w:val="69FD55B8"/>
    <w:rsid w:val="6A0B1C62"/>
    <w:rsid w:val="6A2406C8"/>
    <w:rsid w:val="6ADE0BD1"/>
    <w:rsid w:val="6AE96859"/>
    <w:rsid w:val="6B147746"/>
    <w:rsid w:val="6B24787C"/>
    <w:rsid w:val="6B573233"/>
    <w:rsid w:val="6B5B6274"/>
    <w:rsid w:val="6B935D53"/>
    <w:rsid w:val="6C0F2D84"/>
    <w:rsid w:val="6C196F71"/>
    <w:rsid w:val="6C226FCB"/>
    <w:rsid w:val="6C31226F"/>
    <w:rsid w:val="6C406564"/>
    <w:rsid w:val="6C4E249B"/>
    <w:rsid w:val="6C53684F"/>
    <w:rsid w:val="6C552F0B"/>
    <w:rsid w:val="6C8C67B7"/>
    <w:rsid w:val="6C9D744C"/>
    <w:rsid w:val="6CF7007F"/>
    <w:rsid w:val="6D167928"/>
    <w:rsid w:val="6D26299B"/>
    <w:rsid w:val="6D3C2A7C"/>
    <w:rsid w:val="6D4772EC"/>
    <w:rsid w:val="6D552636"/>
    <w:rsid w:val="6D9078AF"/>
    <w:rsid w:val="6DAA3FEF"/>
    <w:rsid w:val="6DC0172B"/>
    <w:rsid w:val="6DCB690C"/>
    <w:rsid w:val="6DD41A5B"/>
    <w:rsid w:val="6DF43C2E"/>
    <w:rsid w:val="6DF51CA3"/>
    <w:rsid w:val="6E511F2C"/>
    <w:rsid w:val="6E8335BD"/>
    <w:rsid w:val="6E8E12EF"/>
    <w:rsid w:val="6E972936"/>
    <w:rsid w:val="6ED446C5"/>
    <w:rsid w:val="6ED742CE"/>
    <w:rsid w:val="6F2A7D94"/>
    <w:rsid w:val="6F8331F1"/>
    <w:rsid w:val="6FAE1A09"/>
    <w:rsid w:val="6FD75BF8"/>
    <w:rsid w:val="70607002"/>
    <w:rsid w:val="707723D0"/>
    <w:rsid w:val="70812E3F"/>
    <w:rsid w:val="70F326B5"/>
    <w:rsid w:val="70F5661B"/>
    <w:rsid w:val="71256B11"/>
    <w:rsid w:val="71360107"/>
    <w:rsid w:val="713B688E"/>
    <w:rsid w:val="71D43752"/>
    <w:rsid w:val="71F1796A"/>
    <w:rsid w:val="72154626"/>
    <w:rsid w:val="72262B5D"/>
    <w:rsid w:val="72283FF7"/>
    <w:rsid w:val="722E7212"/>
    <w:rsid w:val="723A0474"/>
    <w:rsid w:val="724D243E"/>
    <w:rsid w:val="725923E4"/>
    <w:rsid w:val="726151E3"/>
    <w:rsid w:val="72864BF7"/>
    <w:rsid w:val="729023FC"/>
    <w:rsid w:val="73572EBD"/>
    <w:rsid w:val="73C0646E"/>
    <w:rsid w:val="742222F5"/>
    <w:rsid w:val="743C3A55"/>
    <w:rsid w:val="74476126"/>
    <w:rsid w:val="74706664"/>
    <w:rsid w:val="747F3682"/>
    <w:rsid w:val="748B6871"/>
    <w:rsid w:val="749C4185"/>
    <w:rsid w:val="74A961AD"/>
    <w:rsid w:val="75067759"/>
    <w:rsid w:val="752E6DCD"/>
    <w:rsid w:val="7551380D"/>
    <w:rsid w:val="75600BE5"/>
    <w:rsid w:val="7564475C"/>
    <w:rsid w:val="7583797F"/>
    <w:rsid w:val="75D20F1D"/>
    <w:rsid w:val="75DA2C18"/>
    <w:rsid w:val="75F54412"/>
    <w:rsid w:val="761D08E0"/>
    <w:rsid w:val="762D4C0F"/>
    <w:rsid w:val="765D347C"/>
    <w:rsid w:val="76826699"/>
    <w:rsid w:val="76C87133"/>
    <w:rsid w:val="76CD08D5"/>
    <w:rsid w:val="76DB4B92"/>
    <w:rsid w:val="76FD013A"/>
    <w:rsid w:val="77052AA4"/>
    <w:rsid w:val="77136511"/>
    <w:rsid w:val="77340A39"/>
    <w:rsid w:val="77351FD0"/>
    <w:rsid w:val="77472422"/>
    <w:rsid w:val="777538C5"/>
    <w:rsid w:val="777C54EB"/>
    <w:rsid w:val="777F31F2"/>
    <w:rsid w:val="77D1700D"/>
    <w:rsid w:val="77EC04CC"/>
    <w:rsid w:val="78775729"/>
    <w:rsid w:val="78931961"/>
    <w:rsid w:val="78A42DB0"/>
    <w:rsid w:val="78A656AB"/>
    <w:rsid w:val="78B2245C"/>
    <w:rsid w:val="78DE0702"/>
    <w:rsid w:val="78E172CC"/>
    <w:rsid w:val="78EA1D1F"/>
    <w:rsid w:val="7904172F"/>
    <w:rsid w:val="790F7E27"/>
    <w:rsid w:val="792A231A"/>
    <w:rsid w:val="792F0F5E"/>
    <w:rsid w:val="79316829"/>
    <w:rsid w:val="797E66A9"/>
    <w:rsid w:val="798518A4"/>
    <w:rsid w:val="79A97383"/>
    <w:rsid w:val="79DC062F"/>
    <w:rsid w:val="79E27E8B"/>
    <w:rsid w:val="79F850CE"/>
    <w:rsid w:val="79FD443C"/>
    <w:rsid w:val="7A1D1975"/>
    <w:rsid w:val="7A3E5150"/>
    <w:rsid w:val="7A4670D6"/>
    <w:rsid w:val="7A534B63"/>
    <w:rsid w:val="7A615382"/>
    <w:rsid w:val="7A67303B"/>
    <w:rsid w:val="7AAB1D04"/>
    <w:rsid w:val="7AB62133"/>
    <w:rsid w:val="7ABA4368"/>
    <w:rsid w:val="7ACF4159"/>
    <w:rsid w:val="7AD05746"/>
    <w:rsid w:val="7B257FFD"/>
    <w:rsid w:val="7B273D20"/>
    <w:rsid w:val="7B343476"/>
    <w:rsid w:val="7B3B3C1E"/>
    <w:rsid w:val="7B5A2978"/>
    <w:rsid w:val="7B5A7E4C"/>
    <w:rsid w:val="7B667AF9"/>
    <w:rsid w:val="7B6C7E99"/>
    <w:rsid w:val="7B7468F8"/>
    <w:rsid w:val="7BCC5E22"/>
    <w:rsid w:val="7BEE0103"/>
    <w:rsid w:val="7C0A0FE4"/>
    <w:rsid w:val="7C254906"/>
    <w:rsid w:val="7C590818"/>
    <w:rsid w:val="7C7C10F6"/>
    <w:rsid w:val="7C853BEA"/>
    <w:rsid w:val="7C881368"/>
    <w:rsid w:val="7CE27788"/>
    <w:rsid w:val="7CF77FE5"/>
    <w:rsid w:val="7D0C32F1"/>
    <w:rsid w:val="7D0F408D"/>
    <w:rsid w:val="7D491C6C"/>
    <w:rsid w:val="7D5429C0"/>
    <w:rsid w:val="7D556D38"/>
    <w:rsid w:val="7D6E6D43"/>
    <w:rsid w:val="7D8E0949"/>
    <w:rsid w:val="7D93677B"/>
    <w:rsid w:val="7DB57A34"/>
    <w:rsid w:val="7DE60973"/>
    <w:rsid w:val="7DEF0916"/>
    <w:rsid w:val="7E1C6AC3"/>
    <w:rsid w:val="7E1E5218"/>
    <w:rsid w:val="7E9A4E1F"/>
    <w:rsid w:val="7EA7723A"/>
    <w:rsid w:val="7EF56FBB"/>
    <w:rsid w:val="7F0768EB"/>
    <w:rsid w:val="7F143BEC"/>
    <w:rsid w:val="7F6B6C6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next w:val="9"/>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3"/>
    <w:autoRedefine/>
    <w:qFormat/>
    <w:uiPriority w:val="0"/>
    <w:pPr>
      <w:spacing w:line="480" w:lineRule="exact"/>
      <w:ind w:firstLine="480" w:firstLineChars="200"/>
    </w:pPr>
    <w:rPr>
      <w:rFonts w:ascii="宋体" w:hAnsi="宋体"/>
      <w:sz w:val="24"/>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8"/>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1"/>
    <w:autoRedefine/>
    <w:qFormat/>
    <w:uiPriority w:val="0"/>
    <w:pPr>
      <w:shd w:val="clear" w:color="auto" w:fill="000080"/>
    </w:pPr>
  </w:style>
  <w:style w:type="paragraph" w:styleId="23">
    <w:name w:val="annotation text"/>
    <w:basedOn w:val="1"/>
    <w:link w:val="342"/>
    <w:autoRedefine/>
    <w:qFormat/>
    <w:uiPriority w:val="99"/>
    <w:pPr>
      <w:jc w:val="left"/>
    </w:pPr>
  </w:style>
  <w:style w:type="paragraph" w:styleId="24">
    <w:name w:val="Salutation"/>
    <w:basedOn w:val="1"/>
    <w:next w:val="1"/>
    <w:link w:val="296"/>
    <w:autoRedefine/>
    <w:qFormat/>
    <w:uiPriority w:val="0"/>
    <w:rPr>
      <w:rFonts w:ascii="仿宋_GB2312" w:eastAsia="仿宋_GB2312"/>
      <w:sz w:val="28"/>
      <w:szCs w:val="20"/>
    </w:rPr>
  </w:style>
  <w:style w:type="paragraph" w:styleId="25">
    <w:name w:val="Body Text 3"/>
    <w:basedOn w:val="1"/>
    <w:link w:val="328"/>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5"/>
    <w:autoRedefine/>
    <w:qFormat/>
    <w:uiPriority w:val="0"/>
    <w:rPr>
      <w:b/>
      <w:bCs/>
    </w:rPr>
  </w:style>
  <w:style w:type="paragraph" w:styleId="61">
    <w:name w:val="Body Text First Indent 2"/>
    <w:basedOn w:val="9"/>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2"/>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6"/>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5"/>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8"/>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2"/>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10"/>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20"/>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9"/>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basedOn w:val="69"/>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11"/>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4"/>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10"/>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3"/>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3"/>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10"/>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5"/>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3"/>
    <w:autoRedefine/>
    <w:qFormat/>
    <w:uiPriority w:val="99"/>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4"/>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8"/>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34"/>
    <w:next w:val="1"/>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7"/>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11"/>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0"/>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5"/>
    <w:autoRedefine/>
    <w:qFormat/>
    <w:uiPriority w:val="0"/>
    <w:pPr>
      <w:tabs>
        <w:tab w:val="left" w:pos="840"/>
      </w:tabs>
      <w:adjustRightInd/>
      <w:ind w:left="840" w:hanging="420"/>
    </w:pPr>
  </w:style>
  <w:style w:type="paragraph" w:customStyle="1" w:styleId="624">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2"/>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autoRedefine/>
    <w:qFormat/>
    <w:uiPriority w:val="0"/>
    <w:pPr>
      <w:tabs>
        <w:tab w:val="left" w:pos="1080"/>
      </w:tabs>
      <w:ind w:left="1080" w:hanging="1080"/>
    </w:pPr>
  </w:style>
  <w:style w:type="paragraph" w:customStyle="1" w:styleId="895">
    <w:name w:val="数字标题1"/>
    <w:basedOn w:val="5"/>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9"/>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basedOn w:val="69"/>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Text1I2"/>
    <w:basedOn w:val="964"/>
    <w:next w:val="1"/>
    <w:autoRedefine/>
    <w:qFormat/>
    <w:uiPriority w:val="0"/>
    <w:pPr>
      <w:ind w:firstLine="420"/>
    </w:pPr>
    <w:rPr>
      <w:rFonts w:ascii="Calibri" w:hAnsi="Calibri"/>
    </w:rPr>
  </w:style>
  <w:style w:type="paragraph" w:customStyle="1" w:styleId="964">
    <w:name w:val="BodyTextIndent"/>
    <w:basedOn w:val="1"/>
    <w:next w:val="1"/>
    <w:autoRedefine/>
    <w:qFormat/>
    <w:uiPriority w:val="0"/>
    <w:pPr>
      <w:spacing w:line="200" w:lineRule="exact"/>
      <w:ind w:firstLine="301"/>
      <w:textAlignment w:val="baseline"/>
    </w:pPr>
    <w:rPr>
      <w:rFonts w:ascii="宋体" w:hAnsi="Courier New"/>
      <w:spacing w:val="-4"/>
      <w:kern w:val="0"/>
      <w:sz w:val="18"/>
      <w:szCs w:val="20"/>
    </w:rPr>
  </w:style>
  <w:style w:type="paragraph" w:customStyle="1" w:styleId="965">
    <w:name w:val="正文+缩进"/>
    <w:basedOn w:val="1"/>
    <w:autoRedefine/>
    <w:qFormat/>
    <w:uiPriority w:val="0"/>
    <w:rPr>
      <w:rFonts w:ascii="宋体"/>
      <w:lang w:val="en-GB"/>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7111</Words>
  <Characters>40534</Characters>
  <Lines>337</Lines>
  <Paragraphs>95</Paragraphs>
  <TotalTime>9</TotalTime>
  <ScaleCrop>false</ScaleCrop>
  <LinksUpToDate>false</LinksUpToDate>
  <CharactersWithSpaces>47550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2023-12-04T00:08:00Z</dcterms:created>
  <dc:creator>玥</dc:creator>
  <cp:lastModifiedBy>jnkun</cp:lastModifiedBy>
  <cp:lastPrinted>2023-05-09T04:38:00Z</cp:lastPrinted>
  <dcterms:modified xsi:type="dcterms:W3CDTF">2024-02-07T02:11:25Z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D810B00428BC469BA27B5728220423DD_13</vt:lpwstr>
  </property>
</Properties>
</file>