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ind w:left="0" w:leftChars="0" w:right="0" w:rightChars="0"/>
        <w:rPr>
          <w:rFonts w:hint="eastAsia" w:ascii="宋体" w:hAnsi="宋体" w:eastAsia="宋体" w:cs="Times New Roman"/>
          <w:color w:val="auto"/>
          <w:sz w:val="44"/>
          <w:szCs w:val="20"/>
          <w:highlight w:val="none"/>
        </w:rPr>
      </w:pPr>
    </w:p>
    <w:p>
      <w:pPr>
        <w:pageBreakBefore w:val="0"/>
        <w:widowControl w:val="0"/>
        <w:kinsoku/>
        <w:wordWrap/>
        <w:overflowPunct/>
        <w:topLinePunct w:val="0"/>
        <w:autoSpaceDE/>
        <w:autoSpaceDN/>
        <w:bidi w:val="0"/>
        <w:ind w:left="0" w:leftChars="0" w:right="0" w:rightChars="0"/>
        <w:rPr>
          <w:rFonts w:hint="eastAsia" w:ascii="宋体" w:hAnsi="宋体" w:eastAsia="宋体" w:cs="Times New Roman"/>
          <w:color w:val="auto"/>
          <w:sz w:val="44"/>
          <w:szCs w:val="20"/>
          <w:highlight w:val="none"/>
        </w:rPr>
      </w:pPr>
    </w:p>
    <w:p>
      <w:pPr>
        <w:pageBreakBefore w:val="0"/>
        <w:widowControl w:val="0"/>
        <w:kinsoku/>
        <w:wordWrap/>
        <w:overflowPunct/>
        <w:topLinePunct w:val="0"/>
        <w:autoSpaceDE/>
        <w:autoSpaceDN/>
        <w:bidi w:val="0"/>
        <w:ind w:left="0" w:leftChars="0" w:right="0" w:rightChars="0"/>
        <w:rPr>
          <w:rFonts w:hint="eastAsia" w:ascii="宋体" w:hAnsi="宋体" w:eastAsia="宋体" w:cs="Times New Roman"/>
          <w:color w:val="auto"/>
          <w:sz w:val="52"/>
          <w:szCs w:val="52"/>
          <w:highlight w:val="none"/>
        </w:rPr>
      </w:pPr>
    </w:p>
    <w:p>
      <w:pPr>
        <w:spacing w:before="120" w:beforeLines="50"/>
        <w:jc w:val="center"/>
        <w:rPr>
          <w:rFonts w:hint="eastAsia" w:ascii="宋体" w:hAnsi="宋体"/>
          <w:b/>
          <w:sz w:val="52"/>
          <w:szCs w:val="52"/>
          <w:highlight w:val="none"/>
        </w:rPr>
      </w:pPr>
      <w:r>
        <w:rPr>
          <w:rFonts w:hint="eastAsia" w:ascii="方正小标宋简体" w:hAnsi="宋体" w:eastAsia="方正小标宋简体"/>
          <w:bCs/>
          <w:spacing w:val="3"/>
          <w:kern w:val="0"/>
          <w:sz w:val="52"/>
          <w:szCs w:val="52"/>
          <w:highlight w:val="none"/>
          <w:fitText w:val="7280" w:id="128212441"/>
          <w:lang w:eastAsia="zh-CN"/>
        </w:rPr>
        <w:t>2023-2025</w:t>
      </w:r>
      <w:r>
        <w:rPr>
          <w:rFonts w:hint="eastAsia" w:ascii="方正小标宋简体" w:hAnsi="宋体" w:eastAsia="方正小标宋简体"/>
          <w:bCs/>
          <w:spacing w:val="3"/>
          <w:kern w:val="0"/>
          <w:sz w:val="52"/>
          <w:szCs w:val="52"/>
          <w:highlight w:val="none"/>
          <w:fitText w:val="7280" w:id="128212441"/>
        </w:rPr>
        <w:t>年北仑区土地使用</w:t>
      </w:r>
      <w:r>
        <w:rPr>
          <w:rFonts w:hint="eastAsia" w:ascii="方正小标宋简体" w:hAnsi="宋体" w:eastAsia="方正小标宋简体"/>
          <w:bCs/>
          <w:spacing w:val="9"/>
          <w:kern w:val="0"/>
          <w:sz w:val="52"/>
          <w:szCs w:val="52"/>
          <w:highlight w:val="none"/>
          <w:fitText w:val="7280" w:id="128212441"/>
        </w:rPr>
        <w:t>权</w:t>
      </w:r>
      <w:r>
        <w:rPr>
          <w:rFonts w:hint="eastAsia" w:ascii="方正小标宋简体" w:hAnsi="宋体" w:eastAsia="方正小标宋简体"/>
          <w:bCs/>
          <w:spacing w:val="115"/>
          <w:kern w:val="0"/>
          <w:sz w:val="52"/>
          <w:szCs w:val="52"/>
          <w:highlight w:val="none"/>
          <w:fitText w:val="7280" w:id="460598575"/>
        </w:rPr>
        <w:t>出让地价委托评估项</w:t>
      </w:r>
      <w:r>
        <w:rPr>
          <w:rFonts w:hint="eastAsia" w:ascii="方正小标宋简体" w:hAnsi="宋体" w:eastAsia="方正小标宋简体"/>
          <w:bCs/>
          <w:spacing w:val="5"/>
          <w:kern w:val="0"/>
          <w:sz w:val="52"/>
          <w:szCs w:val="52"/>
          <w:highlight w:val="none"/>
          <w:fitText w:val="7280" w:id="460598575"/>
        </w:rPr>
        <w:t>目</w:t>
      </w:r>
    </w:p>
    <w:p>
      <w:pPr>
        <w:pageBreakBefore w:val="0"/>
        <w:widowControl w:val="0"/>
        <w:kinsoku/>
        <w:wordWrap/>
        <w:overflowPunct/>
        <w:topLinePunct w:val="0"/>
        <w:autoSpaceDE/>
        <w:autoSpaceDN/>
        <w:bidi w:val="0"/>
        <w:spacing w:before="120" w:beforeLines="50"/>
        <w:ind w:left="0" w:leftChars="0" w:right="0" w:rightChars="0"/>
        <w:jc w:val="distribute"/>
        <w:rPr>
          <w:rFonts w:hint="eastAsia" w:ascii="宋体" w:hAnsi="宋体" w:eastAsia="宋体" w:cs="Times New Roman"/>
          <w:b/>
          <w:color w:val="auto"/>
          <w:sz w:val="28"/>
          <w:szCs w:val="28"/>
          <w:highlight w:val="none"/>
        </w:rPr>
      </w:pPr>
    </w:p>
    <w:p>
      <w:pPr>
        <w:pageBreakBefore w:val="0"/>
        <w:widowControl w:val="0"/>
        <w:kinsoku/>
        <w:wordWrap/>
        <w:overflowPunct/>
        <w:topLinePunct w:val="0"/>
        <w:autoSpaceDE/>
        <w:autoSpaceDN/>
        <w:bidi w:val="0"/>
        <w:spacing w:before="120" w:beforeLines="50"/>
        <w:ind w:left="0" w:leftChars="0" w:right="0" w:rightChars="0"/>
        <w:jc w:val="center"/>
        <w:rPr>
          <w:rFonts w:hint="eastAsia" w:ascii="宋体" w:hAnsi="宋体" w:eastAsia="宋体" w:cs="Times New Roman"/>
          <w:b/>
          <w:color w:val="auto"/>
          <w:sz w:val="28"/>
          <w:szCs w:val="28"/>
          <w:highlight w:val="none"/>
        </w:rPr>
      </w:pPr>
    </w:p>
    <w:p>
      <w:pPr>
        <w:pageBreakBefore w:val="0"/>
        <w:widowControl w:val="0"/>
        <w:kinsoku/>
        <w:wordWrap/>
        <w:overflowPunct/>
        <w:topLinePunct w:val="0"/>
        <w:autoSpaceDE/>
        <w:autoSpaceDN/>
        <w:bidi w:val="0"/>
        <w:spacing w:before="120" w:beforeLines="50"/>
        <w:ind w:left="0" w:leftChars="0" w:right="0" w:rightChars="0"/>
        <w:jc w:val="center"/>
        <w:rPr>
          <w:rFonts w:hint="eastAsia" w:ascii="宋体" w:hAnsi="宋体" w:eastAsia="宋体" w:cs="Times New Roman"/>
          <w:b/>
          <w:color w:val="auto"/>
          <w:sz w:val="28"/>
          <w:szCs w:val="28"/>
          <w:highlight w:val="none"/>
        </w:rPr>
      </w:pPr>
    </w:p>
    <w:p>
      <w:pPr>
        <w:pageBreakBefore w:val="0"/>
        <w:widowControl w:val="0"/>
        <w:kinsoku/>
        <w:wordWrap/>
        <w:overflowPunct/>
        <w:topLinePunct w:val="0"/>
        <w:autoSpaceDE/>
        <w:autoSpaceDN/>
        <w:bidi w:val="0"/>
        <w:spacing w:before="120" w:beforeLines="50"/>
        <w:ind w:left="0" w:leftChars="0" w:right="0" w:rightChars="0"/>
        <w:jc w:val="center"/>
        <w:rPr>
          <w:rFonts w:hint="eastAsia" w:ascii="方正小标宋简体" w:hAnsi="宋体" w:eastAsia="方正小标宋简体" w:cs="Times New Roman"/>
          <w:color w:val="auto"/>
          <w:sz w:val="52"/>
          <w:szCs w:val="52"/>
          <w:highlight w:val="none"/>
        </w:rPr>
      </w:pPr>
      <w:r>
        <w:rPr>
          <w:rFonts w:hint="eastAsia" w:ascii="方正小标宋简体" w:hAnsi="宋体" w:eastAsia="方正小标宋简体" w:cs="Times New Roman"/>
          <w:color w:val="auto"/>
          <w:sz w:val="52"/>
          <w:szCs w:val="52"/>
          <w:highlight w:val="none"/>
        </w:rPr>
        <w:t>公 开 招 标 采 购 文 件</w:t>
      </w:r>
    </w:p>
    <w:p>
      <w:pPr>
        <w:pageBreakBefore w:val="0"/>
        <w:widowControl w:val="0"/>
        <w:kinsoku/>
        <w:wordWrap/>
        <w:overflowPunct/>
        <w:topLinePunct w:val="0"/>
        <w:autoSpaceDE/>
        <w:autoSpaceDN/>
        <w:bidi w:val="0"/>
        <w:snapToGrid w:val="0"/>
        <w:spacing w:before="120" w:beforeLines="50" w:line="360" w:lineRule="auto"/>
        <w:ind w:left="0" w:leftChars="0" w:right="0" w:rightChars="0"/>
        <w:rPr>
          <w:rFonts w:ascii="宋体" w:hAnsi="宋体" w:eastAsia="宋体" w:cs="Times New Roman"/>
          <w:color w:val="auto"/>
          <w:sz w:val="30"/>
          <w:szCs w:val="72"/>
          <w:highlight w:val="none"/>
        </w:rPr>
      </w:pPr>
    </w:p>
    <w:p>
      <w:pPr>
        <w:pStyle w:val="2"/>
        <w:pageBreakBefore w:val="0"/>
        <w:widowControl w:val="0"/>
        <w:kinsoku/>
        <w:wordWrap/>
        <w:overflowPunct/>
        <w:topLinePunct w:val="0"/>
        <w:autoSpaceDE/>
        <w:autoSpaceDN/>
        <w:bidi w:val="0"/>
        <w:snapToGrid w:val="0"/>
        <w:spacing w:before="120" w:beforeLines="0" w:after="120" w:afterLines="0" w:line="360" w:lineRule="auto"/>
        <w:ind w:left="0" w:leftChars="0" w:right="0" w:rightChars="0"/>
        <w:jc w:val="center"/>
        <w:rPr>
          <w:rFonts w:hint="eastAsia" w:hAnsi="宋体" w:eastAsia="宋体" w:cs="Arial"/>
          <w:bCs/>
          <w:color w:val="auto"/>
          <w:sz w:val="32"/>
          <w:szCs w:val="32"/>
          <w:highlight w:val="none"/>
        </w:rPr>
      </w:pPr>
      <w:r>
        <w:rPr>
          <w:rFonts w:hAnsi="宋体" w:eastAsia="宋体" w:cs="Times New Roman"/>
          <w:bCs/>
          <w:color w:val="auto"/>
          <w:sz w:val="30"/>
          <w:szCs w:val="30"/>
          <w:highlight w:val="none"/>
        </w:rPr>
        <w:t>项目编号：</w:t>
      </w:r>
      <w:r>
        <w:rPr>
          <w:rFonts w:hint="eastAsia" w:hAnsi="宋体" w:cs="Arial"/>
          <w:bCs/>
          <w:color w:val="auto"/>
          <w:sz w:val="32"/>
          <w:szCs w:val="32"/>
          <w:highlight w:val="none"/>
          <w:lang w:eastAsia="zh-CN"/>
        </w:rPr>
        <w:t>NBZX-20230120G-BL002</w:t>
      </w:r>
    </w:p>
    <w:p>
      <w:pPr>
        <w:pStyle w:val="2"/>
        <w:pageBreakBefore w:val="0"/>
        <w:widowControl w:val="0"/>
        <w:kinsoku/>
        <w:wordWrap/>
        <w:overflowPunct/>
        <w:topLinePunct w:val="0"/>
        <w:autoSpaceDE/>
        <w:autoSpaceDN/>
        <w:bidi w:val="0"/>
        <w:snapToGrid w:val="0"/>
        <w:spacing w:before="120" w:beforeLines="0" w:after="120" w:afterLines="0" w:line="360" w:lineRule="auto"/>
        <w:ind w:left="0" w:leftChars="0" w:right="0" w:rightChars="0"/>
        <w:jc w:val="left"/>
        <w:rPr>
          <w:rFonts w:hint="eastAsia" w:hAnsi="宋体" w:eastAsia="宋体" w:cs="Arial"/>
          <w:bCs/>
          <w:color w:val="auto"/>
          <w:sz w:val="32"/>
          <w:szCs w:val="32"/>
          <w:highlight w:val="none"/>
        </w:rPr>
      </w:pPr>
    </w:p>
    <w:p>
      <w:pPr>
        <w:pStyle w:val="2"/>
        <w:pageBreakBefore w:val="0"/>
        <w:widowControl w:val="0"/>
        <w:kinsoku/>
        <w:wordWrap/>
        <w:overflowPunct/>
        <w:topLinePunct w:val="0"/>
        <w:autoSpaceDE/>
        <w:autoSpaceDN/>
        <w:bidi w:val="0"/>
        <w:snapToGrid w:val="0"/>
        <w:spacing w:before="120" w:beforeLines="0" w:after="120" w:afterLines="0" w:line="360" w:lineRule="auto"/>
        <w:ind w:left="0" w:leftChars="0" w:right="0" w:rightChars="0"/>
        <w:jc w:val="left"/>
        <w:rPr>
          <w:rFonts w:hint="eastAsia" w:hAnsi="宋体" w:eastAsia="宋体" w:cs="Times New Roman"/>
          <w:bCs/>
          <w:color w:val="auto"/>
          <w:sz w:val="32"/>
          <w:szCs w:val="32"/>
          <w:highlight w:val="none"/>
        </w:rPr>
      </w:pPr>
    </w:p>
    <w:p>
      <w:pPr>
        <w:pStyle w:val="2"/>
        <w:pageBreakBefore w:val="0"/>
        <w:widowControl w:val="0"/>
        <w:kinsoku/>
        <w:wordWrap/>
        <w:overflowPunct/>
        <w:topLinePunct w:val="0"/>
        <w:autoSpaceDE/>
        <w:autoSpaceDN/>
        <w:bidi w:val="0"/>
        <w:snapToGrid w:val="0"/>
        <w:spacing w:before="120" w:beforeLines="0" w:after="120" w:afterLines="0" w:line="360" w:lineRule="auto"/>
        <w:ind w:left="0" w:leftChars="0" w:right="0" w:rightChars="0"/>
        <w:jc w:val="left"/>
        <w:rPr>
          <w:rFonts w:hint="eastAsia" w:hAnsi="宋体" w:eastAsia="宋体" w:cs="Times New Roman"/>
          <w:bCs/>
          <w:color w:val="auto"/>
          <w:sz w:val="32"/>
          <w:szCs w:val="32"/>
          <w:highlight w:val="none"/>
        </w:rPr>
      </w:pPr>
    </w:p>
    <w:p>
      <w:pPr>
        <w:pStyle w:val="2"/>
        <w:pageBreakBefore w:val="0"/>
        <w:widowControl w:val="0"/>
        <w:kinsoku/>
        <w:wordWrap/>
        <w:overflowPunct/>
        <w:topLinePunct w:val="0"/>
        <w:autoSpaceDE/>
        <w:autoSpaceDN/>
        <w:bidi w:val="0"/>
        <w:snapToGrid w:val="0"/>
        <w:spacing w:before="120" w:beforeLines="0" w:after="120" w:afterLines="0" w:line="360" w:lineRule="auto"/>
        <w:ind w:left="0" w:leftChars="0" w:right="0" w:rightChars="0"/>
        <w:jc w:val="left"/>
        <w:rPr>
          <w:rFonts w:hint="eastAsia" w:hAnsi="宋体" w:eastAsia="宋体" w:cs="Times New Roman"/>
          <w:bCs/>
          <w:color w:val="auto"/>
          <w:sz w:val="32"/>
          <w:szCs w:val="32"/>
          <w:highlight w:val="none"/>
        </w:rPr>
      </w:pPr>
    </w:p>
    <w:p>
      <w:pPr>
        <w:pStyle w:val="2"/>
        <w:pageBreakBefore w:val="0"/>
        <w:widowControl w:val="0"/>
        <w:kinsoku/>
        <w:wordWrap/>
        <w:overflowPunct/>
        <w:topLinePunct w:val="0"/>
        <w:autoSpaceDE/>
        <w:autoSpaceDN/>
        <w:bidi w:val="0"/>
        <w:snapToGrid w:val="0"/>
        <w:spacing w:before="120" w:beforeLines="0" w:after="120" w:afterLines="0" w:line="360" w:lineRule="auto"/>
        <w:ind w:left="0" w:leftChars="0" w:right="0" w:rightChars="0" w:firstLine="1200" w:firstLineChars="400"/>
        <w:jc w:val="left"/>
        <w:rPr>
          <w:rFonts w:hint="eastAsia" w:hAnsi="宋体" w:eastAsia="宋体" w:cs="Times New Roman"/>
          <w:bCs/>
          <w:color w:val="auto"/>
          <w:sz w:val="30"/>
          <w:szCs w:val="30"/>
          <w:highlight w:val="none"/>
          <w:lang w:eastAsia="zh-CN"/>
        </w:rPr>
      </w:pPr>
      <w:r>
        <w:rPr>
          <w:rFonts w:hAnsi="宋体" w:eastAsia="宋体" w:cs="Times New Roman"/>
          <w:bCs/>
          <w:color w:val="auto"/>
          <w:sz w:val="30"/>
          <w:szCs w:val="30"/>
          <w:highlight w:val="none"/>
        </w:rPr>
        <w:t>采购单位</w:t>
      </w:r>
      <w:r>
        <w:rPr>
          <w:rFonts w:hint="eastAsia" w:hAnsi="宋体" w:eastAsia="宋体" w:cs="Times New Roman"/>
          <w:bCs/>
          <w:color w:val="auto"/>
          <w:sz w:val="30"/>
          <w:szCs w:val="30"/>
          <w:highlight w:val="none"/>
        </w:rPr>
        <w:t>：宁波市自然资源和规划局</w:t>
      </w:r>
      <w:r>
        <w:rPr>
          <w:rFonts w:hint="eastAsia" w:hAnsi="宋体" w:cs="Times New Roman"/>
          <w:bCs/>
          <w:color w:val="auto"/>
          <w:sz w:val="30"/>
          <w:szCs w:val="30"/>
          <w:highlight w:val="none"/>
          <w:lang w:eastAsia="zh-CN"/>
        </w:rPr>
        <w:t>北仑分局</w:t>
      </w:r>
    </w:p>
    <w:p>
      <w:pPr>
        <w:pStyle w:val="2"/>
        <w:pageBreakBefore w:val="0"/>
        <w:widowControl w:val="0"/>
        <w:kinsoku/>
        <w:wordWrap/>
        <w:overflowPunct/>
        <w:topLinePunct w:val="0"/>
        <w:autoSpaceDE/>
        <w:autoSpaceDN/>
        <w:bidi w:val="0"/>
        <w:snapToGrid w:val="0"/>
        <w:spacing w:before="120" w:beforeLines="0" w:after="120" w:afterLines="0" w:line="360" w:lineRule="auto"/>
        <w:ind w:left="0" w:leftChars="0" w:right="0" w:rightChars="0" w:firstLine="1200" w:firstLineChars="400"/>
        <w:jc w:val="left"/>
        <w:rPr>
          <w:rFonts w:hint="eastAsia" w:hAnsi="宋体" w:eastAsia="宋体" w:cs="Times New Roman"/>
          <w:bCs/>
          <w:color w:val="auto"/>
          <w:sz w:val="30"/>
          <w:szCs w:val="30"/>
          <w:highlight w:val="none"/>
        </w:rPr>
      </w:pPr>
      <w:r>
        <w:rPr>
          <w:rFonts w:hAnsi="宋体" w:eastAsia="宋体" w:cs="Times New Roman"/>
          <w:bCs/>
          <w:color w:val="auto"/>
          <w:sz w:val="30"/>
          <w:szCs w:val="30"/>
          <w:highlight w:val="none"/>
        </w:rPr>
        <w:t>代理机构：</w:t>
      </w:r>
      <w:r>
        <w:rPr>
          <w:rFonts w:hint="eastAsia" w:hAnsi="宋体" w:eastAsia="宋体" w:cs="Times New Roman"/>
          <w:bCs/>
          <w:color w:val="auto"/>
          <w:sz w:val="30"/>
          <w:szCs w:val="30"/>
          <w:highlight w:val="none"/>
        </w:rPr>
        <w:t>宁波之新招标咨询有限公司</w:t>
      </w:r>
    </w:p>
    <w:p>
      <w:pPr>
        <w:pStyle w:val="2"/>
        <w:pageBreakBefore w:val="0"/>
        <w:widowControl w:val="0"/>
        <w:kinsoku/>
        <w:wordWrap/>
        <w:overflowPunct/>
        <w:topLinePunct w:val="0"/>
        <w:autoSpaceDE/>
        <w:autoSpaceDN/>
        <w:bidi w:val="0"/>
        <w:snapToGrid w:val="0"/>
        <w:spacing w:before="120" w:beforeLines="0" w:after="120" w:afterLines="0" w:line="360" w:lineRule="auto"/>
        <w:ind w:left="0" w:leftChars="0" w:right="0" w:rightChars="0" w:firstLine="1200" w:firstLineChars="400"/>
        <w:jc w:val="left"/>
        <w:rPr>
          <w:rFonts w:hint="eastAsia" w:hAnsi="宋体" w:eastAsia="宋体" w:cs="Times New Roman"/>
          <w:color w:val="auto"/>
          <w:sz w:val="30"/>
          <w:szCs w:val="20"/>
          <w:highlight w:val="none"/>
          <w:lang w:eastAsia="zh-CN"/>
        </w:rPr>
      </w:pPr>
      <w:r>
        <w:rPr>
          <w:rFonts w:hint="eastAsia" w:hAnsi="宋体" w:eastAsia="宋体" w:cs="Times New Roman"/>
          <w:bCs/>
          <w:color w:val="auto"/>
          <w:sz w:val="30"/>
          <w:szCs w:val="30"/>
          <w:highlight w:val="none"/>
        </w:rPr>
        <w:t>编制日期：</w:t>
      </w:r>
      <w:r>
        <w:rPr>
          <w:rFonts w:hint="eastAsia" w:hAnsi="宋体" w:cs="Times New Roman"/>
          <w:bCs/>
          <w:color w:val="auto"/>
          <w:w w:val="95"/>
          <w:sz w:val="30"/>
          <w:szCs w:val="30"/>
          <w:highlight w:val="none"/>
          <w:lang w:eastAsia="zh-CN"/>
        </w:rPr>
        <w:t>202</w:t>
      </w:r>
      <w:r>
        <w:rPr>
          <w:rFonts w:hint="eastAsia" w:hAnsi="宋体" w:cs="Times New Roman"/>
          <w:bCs/>
          <w:color w:val="auto"/>
          <w:w w:val="95"/>
          <w:sz w:val="30"/>
          <w:szCs w:val="30"/>
          <w:highlight w:val="none"/>
          <w:lang w:val="en-US" w:eastAsia="zh-CN"/>
        </w:rPr>
        <w:t>3</w:t>
      </w:r>
      <w:r>
        <w:rPr>
          <w:rFonts w:hint="eastAsia" w:hAnsi="宋体" w:cs="Times New Roman"/>
          <w:bCs/>
          <w:color w:val="auto"/>
          <w:w w:val="95"/>
          <w:sz w:val="30"/>
          <w:szCs w:val="30"/>
          <w:highlight w:val="none"/>
          <w:lang w:eastAsia="zh-CN"/>
        </w:rPr>
        <w:t>年</w:t>
      </w:r>
      <w:r>
        <w:rPr>
          <w:rFonts w:hint="eastAsia" w:hAnsi="宋体" w:cs="Times New Roman"/>
          <w:bCs/>
          <w:color w:val="auto"/>
          <w:w w:val="95"/>
          <w:sz w:val="30"/>
          <w:szCs w:val="30"/>
          <w:highlight w:val="none"/>
          <w:lang w:val="en-US" w:eastAsia="zh-CN"/>
        </w:rPr>
        <w:t xml:space="preserve"> 3 </w:t>
      </w:r>
      <w:r>
        <w:rPr>
          <w:rFonts w:hint="eastAsia" w:hAnsi="宋体" w:cs="Times New Roman"/>
          <w:bCs/>
          <w:color w:val="auto"/>
          <w:w w:val="95"/>
          <w:sz w:val="30"/>
          <w:szCs w:val="30"/>
          <w:highlight w:val="none"/>
          <w:lang w:eastAsia="zh-CN"/>
        </w:rPr>
        <w:t>月</w:t>
      </w:r>
    </w:p>
    <w:p>
      <w:pPr>
        <w:pageBreakBefore w:val="0"/>
        <w:widowControl w:val="0"/>
        <w:kinsoku/>
        <w:wordWrap/>
        <w:overflowPunct/>
        <w:topLinePunct w:val="0"/>
        <w:autoSpaceDE/>
        <w:autoSpaceDN/>
        <w:bidi w:val="0"/>
        <w:ind w:left="0" w:leftChars="0" w:right="0" w:rightChars="0"/>
        <w:jc w:val="center"/>
        <w:rPr>
          <w:rFonts w:ascii="宋体" w:hAnsi="宋体" w:eastAsia="宋体" w:cs="Times New Roman"/>
          <w:b/>
          <w:color w:val="auto"/>
          <w:sz w:val="36"/>
          <w:szCs w:val="36"/>
          <w:highlight w:val="none"/>
        </w:rPr>
      </w:pPr>
      <w:r>
        <w:rPr>
          <w:rFonts w:ascii="宋体" w:hAnsi="宋体" w:eastAsia="宋体" w:cs="Times New Roman"/>
          <w:color w:val="auto"/>
          <w:sz w:val="36"/>
          <w:highlight w:val="none"/>
        </w:rPr>
        <w:br w:type="page"/>
      </w:r>
    </w:p>
    <w:p>
      <w:pPr>
        <w:pageBreakBefore w:val="0"/>
        <w:kinsoku/>
        <w:wordWrap/>
        <w:overflowPunct/>
        <w:topLinePunct w:val="0"/>
        <w:autoSpaceDE/>
        <w:autoSpaceDN/>
        <w:bidi w:val="0"/>
        <w:spacing w:before="0" w:beforeLines="0" w:after="0" w:afterLines="0" w:line="480" w:lineRule="auto"/>
        <w:ind w:left="0" w:leftChars="0" w:right="0" w:rightChars="0" w:firstLine="0" w:firstLineChars="0"/>
        <w:jc w:val="center"/>
        <w:rPr>
          <w:rFonts w:ascii="Calibri" w:hAnsi="Calibri" w:eastAsia="宋体" w:cs="Times New Roman"/>
          <w:b/>
          <w:bCs/>
          <w:color w:val="auto"/>
          <w:sz w:val="48"/>
          <w:szCs w:val="56"/>
          <w:highlight w:val="none"/>
        </w:rPr>
      </w:pPr>
      <w:r>
        <w:rPr>
          <w:rFonts w:ascii="宋体" w:hAnsi="宋体" w:eastAsia="宋体" w:cs="Times New Roman"/>
          <w:b/>
          <w:bCs/>
          <w:color w:val="auto"/>
          <w:sz w:val="48"/>
          <w:szCs w:val="56"/>
          <w:highlight w:val="none"/>
        </w:rPr>
        <w:t>目</w:t>
      </w:r>
      <w:r>
        <w:rPr>
          <w:rFonts w:hint="eastAsia" w:ascii="宋体" w:hAnsi="宋体" w:eastAsia="宋体" w:cs="Times New Roman"/>
          <w:b/>
          <w:bCs/>
          <w:color w:val="auto"/>
          <w:sz w:val="48"/>
          <w:szCs w:val="56"/>
          <w:highlight w:val="none"/>
          <w:lang w:val="en-US" w:eastAsia="zh-CN"/>
        </w:rPr>
        <w:t xml:space="preserve">    </w:t>
      </w:r>
      <w:r>
        <w:rPr>
          <w:rFonts w:ascii="宋体" w:hAnsi="宋体" w:eastAsia="宋体" w:cs="Times New Roman"/>
          <w:b/>
          <w:bCs/>
          <w:color w:val="auto"/>
          <w:sz w:val="48"/>
          <w:szCs w:val="56"/>
          <w:highlight w:val="none"/>
        </w:rPr>
        <w:t>录</w:t>
      </w:r>
    </w:p>
    <w:p>
      <w:pPr>
        <w:pStyle w:val="29"/>
        <w:pageBreakBefore w:val="0"/>
        <w:tabs>
          <w:tab w:val="right" w:leader="dot" w:pos="8307"/>
        </w:tabs>
        <w:kinsoku/>
        <w:wordWrap/>
        <w:overflowPunct/>
        <w:topLinePunct w:val="0"/>
        <w:autoSpaceDE/>
        <w:autoSpaceDN/>
        <w:bidi w:val="0"/>
        <w:spacing w:line="480" w:lineRule="auto"/>
        <w:ind w:left="0" w:leftChars="0" w:right="0" w:rightChars="0"/>
        <w:rPr>
          <w:rFonts w:hint="eastAsia" w:ascii="宋体" w:hAnsi="宋体" w:eastAsia="宋体" w:cs="宋体"/>
          <w:color w:val="auto"/>
          <w:sz w:val="28"/>
          <w:szCs w:val="28"/>
          <w:highlight w:val="none"/>
        </w:rPr>
      </w:pPr>
      <w:r>
        <w:rPr>
          <w:rFonts w:hint="eastAsia" w:ascii="宋体" w:hAnsi="宋体" w:eastAsia="宋体" w:cs="宋体"/>
          <w:color w:val="auto"/>
          <w:sz w:val="44"/>
          <w:szCs w:val="44"/>
          <w:highlight w:val="none"/>
        </w:rPr>
        <w:fldChar w:fldCharType="begin"/>
      </w:r>
      <w:r>
        <w:rPr>
          <w:rFonts w:hint="eastAsia" w:ascii="宋体" w:hAnsi="宋体" w:eastAsia="宋体" w:cs="宋体"/>
          <w:color w:val="auto"/>
          <w:sz w:val="44"/>
          <w:szCs w:val="44"/>
          <w:highlight w:val="none"/>
        </w:rPr>
        <w:instrText xml:space="preserve">TOC \o "1-1" \h \u </w:instrText>
      </w:r>
      <w:r>
        <w:rPr>
          <w:rFonts w:hint="eastAsia" w:ascii="宋体" w:hAnsi="宋体" w:eastAsia="宋体" w:cs="宋体"/>
          <w:color w:val="auto"/>
          <w:sz w:val="44"/>
          <w:szCs w:val="44"/>
          <w:highlight w:val="none"/>
        </w:rPr>
        <w:fldChar w:fldCharType="separate"/>
      </w:r>
      <w:r>
        <w:rPr>
          <w:rFonts w:hint="eastAsia" w:ascii="宋体" w:hAnsi="宋体" w:eastAsia="宋体" w:cs="宋体"/>
          <w:color w:val="auto"/>
          <w:sz w:val="28"/>
          <w:szCs w:val="44"/>
          <w:highlight w:val="none"/>
        </w:rPr>
        <w:fldChar w:fldCharType="begin"/>
      </w:r>
      <w:r>
        <w:rPr>
          <w:rFonts w:hint="eastAsia" w:ascii="宋体" w:hAnsi="宋体" w:eastAsia="宋体" w:cs="宋体"/>
          <w:color w:val="auto"/>
          <w:sz w:val="28"/>
          <w:szCs w:val="44"/>
          <w:highlight w:val="none"/>
        </w:rPr>
        <w:instrText xml:space="preserve"> HYPERLINK \l _Toc21775 </w:instrText>
      </w:r>
      <w:r>
        <w:rPr>
          <w:rFonts w:hint="eastAsia" w:ascii="宋体" w:hAnsi="宋体" w:eastAsia="宋体" w:cs="宋体"/>
          <w:color w:val="auto"/>
          <w:sz w:val="28"/>
          <w:szCs w:val="44"/>
          <w:highlight w:val="none"/>
        </w:rPr>
        <w:fldChar w:fldCharType="separate"/>
      </w:r>
      <w:r>
        <w:rPr>
          <w:rFonts w:hint="eastAsia" w:ascii="宋体" w:hAnsi="宋体" w:eastAsia="宋体" w:cs="宋体"/>
          <w:color w:val="auto"/>
          <w:sz w:val="28"/>
          <w:szCs w:val="44"/>
          <w:highlight w:val="none"/>
        </w:rPr>
        <w:t>第一章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 xml:space="preserve"> 公开招标采购公告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_Toc21775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4"/>
          <w:highlight w:val="none"/>
        </w:rPr>
        <w:fldChar w:fldCharType="end"/>
      </w:r>
    </w:p>
    <w:p>
      <w:pPr>
        <w:pStyle w:val="29"/>
        <w:pageBreakBefore w:val="0"/>
        <w:tabs>
          <w:tab w:val="right" w:leader="dot" w:pos="8307"/>
        </w:tabs>
        <w:kinsoku/>
        <w:wordWrap/>
        <w:overflowPunct/>
        <w:topLinePunct w:val="0"/>
        <w:autoSpaceDE/>
        <w:autoSpaceDN/>
        <w:bidi w:val="0"/>
        <w:spacing w:line="480" w:lineRule="auto"/>
        <w:ind w:left="0" w:leftChars="0" w:right="0" w:rightChars="0"/>
        <w:rPr>
          <w:rFonts w:hint="eastAsia" w:ascii="宋体" w:hAnsi="宋体" w:eastAsia="宋体" w:cs="宋体"/>
          <w:color w:val="auto"/>
          <w:sz w:val="28"/>
          <w:szCs w:val="28"/>
          <w:highlight w:val="none"/>
        </w:rPr>
      </w:pPr>
      <w:r>
        <w:rPr>
          <w:rFonts w:hint="eastAsia" w:ascii="宋体" w:hAnsi="宋体" w:eastAsia="宋体" w:cs="宋体"/>
          <w:color w:val="auto"/>
          <w:sz w:val="28"/>
          <w:szCs w:val="44"/>
          <w:highlight w:val="none"/>
        </w:rPr>
        <w:fldChar w:fldCharType="begin"/>
      </w:r>
      <w:r>
        <w:rPr>
          <w:rFonts w:hint="eastAsia" w:ascii="宋体" w:hAnsi="宋体" w:eastAsia="宋体" w:cs="宋体"/>
          <w:color w:val="auto"/>
          <w:sz w:val="28"/>
          <w:szCs w:val="44"/>
          <w:highlight w:val="none"/>
        </w:rPr>
        <w:instrText xml:space="preserve"> HYPERLINK \l _Toc25243 </w:instrText>
      </w:r>
      <w:r>
        <w:rPr>
          <w:rFonts w:hint="eastAsia" w:ascii="宋体" w:hAnsi="宋体" w:eastAsia="宋体" w:cs="宋体"/>
          <w:color w:val="auto"/>
          <w:sz w:val="28"/>
          <w:szCs w:val="44"/>
          <w:highlight w:val="none"/>
        </w:rPr>
        <w:fldChar w:fldCharType="separate"/>
      </w:r>
      <w:r>
        <w:rPr>
          <w:rFonts w:hint="eastAsia" w:ascii="宋体" w:hAnsi="宋体" w:eastAsia="宋体" w:cs="宋体"/>
          <w:color w:val="auto"/>
          <w:sz w:val="28"/>
          <w:szCs w:val="44"/>
          <w:highlight w:val="none"/>
        </w:rPr>
        <w:t>第二章  招标需求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_Toc25243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4"/>
          <w:highlight w:val="none"/>
        </w:rPr>
        <w:fldChar w:fldCharType="end"/>
      </w:r>
    </w:p>
    <w:p>
      <w:pPr>
        <w:pStyle w:val="29"/>
        <w:pageBreakBefore w:val="0"/>
        <w:tabs>
          <w:tab w:val="right" w:leader="dot" w:pos="8307"/>
        </w:tabs>
        <w:kinsoku/>
        <w:wordWrap/>
        <w:overflowPunct/>
        <w:topLinePunct w:val="0"/>
        <w:autoSpaceDE/>
        <w:autoSpaceDN/>
        <w:bidi w:val="0"/>
        <w:spacing w:line="480" w:lineRule="auto"/>
        <w:ind w:left="0" w:leftChars="0" w:right="0" w:rightChars="0"/>
        <w:rPr>
          <w:rFonts w:hint="eastAsia" w:ascii="宋体" w:hAnsi="宋体" w:eastAsia="宋体" w:cs="宋体"/>
          <w:color w:val="auto"/>
          <w:sz w:val="28"/>
          <w:szCs w:val="28"/>
          <w:highlight w:val="none"/>
        </w:rPr>
      </w:pPr>
      <w:r>
        <w:rPr>
          <w:rFonts w:hint="eastAsia" w:ascii="宋体" w:hAnsi="宋体" w:eastAsia="宋体" w:cs="宋体"/>
          <w:color w:val="auto"/>
          <w:sz w:val="28"/>
          <w:szCs w:val="44"/>
          <w:highlight w:val="none"/>
        </w:rPr>
        <w:fldChar w:fldCharType="begin"/>
      </w:r>
      <w:r>
        <w:rPr>
          <w:rFonts w:hint="eastAsia" w:ascii="宋体" w:hAnsi="宋体" w:eastAsia="宋体" w:cs="宋体"/>
          <w:color w:val="auto"/>
          <w:sz w:val="28"/>
          <w:szCs w:val="44"/>
          <w:highlight w:val="none"/>
        </w:rPr>
        <w:instrText xml:space="preserve"> HYPERLINK \l _Toc29069 </w:instrText>
      </w:r>
      <w:r>
        <w:rPr>
          <w:rFonts w:hint="eastAsia" w:ascii="宋体" w:hAnsi="宋体" w:eastAsia="宋体" w:cs="宋体"/>
          <w:color w:val="auto"/>
          <w:sz w:val="28"/>
          <w:szCs w:val="44"/>
          <w:highlight w:val="none"/>
        </w:rPr>
        <w:fldChar w:fldCharType="separate"/>
      </w:r>
      <w:r>
        <w:rPr>
          <w:rFonts w:hint="eastAsia" w:ascii="宋体" w:hAnsi="宋体" w:eastAsia="宋体" w:cs="宋体"/>
          <w:color w:val="auto"/>
          <w:sz w:val="28"/>
          <w:szCs w:val="44"/>
          <w:highlight w:val="none"/>
        </w:rPr>
        <w:t>第三章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_Toc29069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4"/>
          <w:highlight w:val="none"/>
        </w:rPr>
        <w:fldChar w:fldCharType="end"/>
      </w:r>
    </w:p>
    <w:p>
      <w:pPr>
        <w:pStyle w:val="29"/>
        <w:pageBreakBefore w:val="0"/>
        <w:tabs>
          <w:tab w:val="right" w:leader="dot" w:pos="8307"/>
        </w:tabs>
        <w:kinsoku/>
        <w:wordWrap/>
        <w:overflowPunct/>
        <w:topLinePunct w:val="0"/>
        <w:autoSpaceDE/>
        <w:autoSpaceDN/>
        <w:bidi w:val="0"/>
        <w:spacing w:line="480" w:lineRule="auto"/>
        <w:ind w:left="0" w:leftChars="0" w:right="0" w:rightChars="0"/>
        <w:rPr>
          <w:rFonts w:hint="eastAsia" w:ascii="宋体" w:hAnsi="宋体" w:eastAsia="宋体" w:cs="宋体"/>
          <w:color w:val="auto"/>
          <w:sz w:val="28"/>
          <w:szCs w:val="28"/>
          <w:highlight w:val="none"/>
        </w:rPr>
      </w:pPr>
      <w:r>
        <w:rPr>
          <w:rFonts w:hint="eastAsia" w:ascii="宋体" w:hAnsi="宋体" w:eastAsia="宋体" w:cs="宋体"/>
          <w:color w:val="auto"/>
          <w:sz w:val="28"/>
          <w:szCs w:val="44"/>
          <w:highlight w:val="none"/>
        </w:rPr>
        <w:fldChar w:fldCharType="begin"/>
      </w:r>
      <w:r>
        <w:rPr>
          <w:rFonts w:hint="eastAsia" w:ascii="宋体" w:hAnsi="宋体" w:eastAsia="宋体" w:cs="宋体"/>
          <w:color w:val="auto"/>
          <w:sz w:val="28"/>
          <w:szCs w:val="44"/>
          <w:highlight w:val="none"/>
        </w:rPr>
        <w:instrText xml:space="preserve"> HYPERLINK \l _Toc18794 </w:instrText>
      </w:r>
      <w:r>
        <w:rPr>
          <w:rFonts w:hint="eastAsia" w:ascii="宋体" w:hAnsi="宋体" w:eastAsia="宋体" w:cs="宋体"/>
          <w:color w:val="auto"/>
          <w:sz w:val="28"/>
          <w:szCs w:val="44"/>
          <w:highlight w:val="none"/>
        </w:rPr>
        <w:fldChar w:fldCharType="separate"/>
      </w:r>
      <w:r>
        <w:rPr>
          <w:rFonts w:hint="eastAsia" w:ascii="宋体" w:hAnsi="宋体" w:eastAsia="宋体" w:cs="宋体"/>
          <w:color w:val="auto"/>
          <w:sz w:val="28"/>
          <w:szCs w:val="44"/>
          <w:highlight w:val="none"/>
        </w:rPr>
        <w:t>第四章  评标办法及评分标准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_Toc18794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4"/>
          <w:highlight w:val="none"/>
        </w:rPr>
        <w:fldChar w:fldCharType="end"/>
      </w:r>
    </w:p>
    <w:p>
      <w:pPr>
        <w:pStyle w:val="29"/>
        <w:pageBreakBefore w:val="0"/>
        <w:tabs>
          <w:tab w:val="right" w:leader="dot" w:pos="8307"/>
        </w:tabs>
        <w:kinsoku/>
        <w:wordWrap/>
        <w:overflowPunct/>
        <w:topLinePunct w:val="0"/>
        <w:autoSpaceDE/>
        <w:autoSpaceDN/>
        <w:bidi w:val="0"/>
        <w:spacing w:line="480" w:lineRule="auto"/>
        <w:ind w:left="0" w:leftChars="0" w:right="0" w:rightChars="0"/>
        <w:rPr>
          <w:rFonts w:hint="eastAsia" w:ascii="宋体" w:hAnsi="宋体" w:eastAsia="宋体" w:cs="宋体"/>
          <w:color w:val="auto"/>
          <w:sz w:val="28"/>
          <w:szCs w:val="28"/>
          <w:highlight w:val="none"/>
        </w:rPr>
      </w:pPr>
      <w:r>
        <w:rPr>
          <w:rFonts w:hint="eastAsia" w:ascii="宋体" w:hAnsi="宋体" w:eastAsia="宋体" w:cs="宋体"/>
          <w:color w:val="auto"/>
          <w:sz w:val="28"/>
          <w:szCs w:val="44"/>
          <w:highlight w:val="none"/>
        </w:rPr>
        <w:fldChar w:fldCharType="begin"/>
      </w:r>
      <w:r>
        <w:rPr>
          <w:rFonts w:hint="eastAsia" w:ascii="宋体" w:hAnsi="宋体" w:eastAsia="宋体" w:cs="宋体"/>
          <w:color w:val="auto"/>
          <w:sz w:val="28"/>
          <w:szCs w:val="44"/>
          <w:highlight w:val="none"/>
        </w:rPr>
        <w:instrText xml:space="preserve"> HYPERLINK \l _Toc29033 </w:instrText>
      </w:r>
      <w:r>
        <w:rPr>
          <w:rFonts w:hint="eastAsia" w:ascii="宋体" w:hAnsi="宋体" w:eastAsia="宋体" w:cs="宋体"/>
          <w:color w:val="auto"/>
          <w:sz w:val="28"/>
          <w:szCs w:val="44"/>
          <w:highlight w:val="none"/>
        </w:rPr>
        <w:fldChar w:fldCharType="separate"/>
      </w:r>
      <w:r>
        <w:rPr>
          <w:rFonts w:hint="eastAsia" w:ascii="宋体" w:hAnsi="宋体" w:eastAsia="宋体" w:cs="宋体"/>
          <w:color w:val="auto"/>
          <w:sz w:val="28"/>
          <w:szCs w:val="44"/>
          <w:highlight w:val="none"/>
        </w:rPr>
        <w:t>第五章  合同主要条款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_Toc29033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4"/>
          <w:highlight w:val="none"/>
        </w:rPr>
        <w:fldChar w:fldCharType="end"/>
      </w:r>
    </w:p>
    <w:p>
      <w:pPr>
        <w:pStyle w:val="29"/>
        <w:pageBreakBefore w:val="0"/>
        <w:tabs>
          <w:tab w:val="right" w:leader="dot" w:pos="8307"/>
        </w:tabs>
        <w:kinsoku/>
        <w:wordWrap/>
        <w:overflowPunct/>
        <w:topLinePunct w:val="0"/>
        <w:autoSpaceDE/>
        <w:autoSpaceDN/>
        <w:bidi w:val="0"/>
        <w:spacing w:line="480" w:lineRule="auto"/>
        <w:ind w:left="0" w:leftChars="0" w:right="0" w:rightChars="0"/>
        <w:rPr>
          <w:rFonts w:hint="eastAsia" w:ascii="宋体" w:hAnsi="宋体" w:eastAsia="宋体" w:cs="宋体"/>
          <w:color w:val="auto"/>
          <w:sz w:val="28"/>
          <w:szCs w:val="28"/>
          <w:highlight w:val="none"/>
        </w:rPr>
      </w:pPr>
      <w:r>
        <w:rPr>
          <w:rFonts w:hint="eastAsia" w:ascii="宋体" w:hAnsi="宋体" w:eastAsia="宋体" w:cs="宋体"/>
          <w:color w:val="auto"/>
          <w:sz w:val="28"/>
          <w:szCs w:val="44"/>
          <w:highlight w:val="none"/>
        </w:rPr>
        <w:fldChar w:fldCharType="begin"/>
      </w:r>
      <w:r>
        <w:rPr>
          <w:rFonts w:hint="eastAsia" w:ascii="宋体" w:hAnsi="宋体" w:eastAsia="宋体" w:cs="宋体"/>
          <w:color w:val="auto"/>
          <w:sz w:val="28"/>
          <w:szCs w:val="44"/>
          <w:highlight w:val="none"/>
        </w:rPr>
        <w:instrText xml:space="preserve"> HYPERLINK \l _Toc29084 </w:instrText>
      </w:r>
      <w:r>
        <w:rPr>
          <w:rFonts w:hint="eastAsia" w:ascii="宋体" w:hAnsi="宋体" w:eastAsia="宋体" w:cs="宋体"/>
          <w:color w:val="auto"/>
          <w:sz w:val="28"/>
          <w:szCs w:val="44"/>
          <w:highlight w:val="none"/>
        </w:rPr>
        <w:fldChar w:fldCharType="separate"/>
      </w:r>
      <w:r>
        <w:rPr>
          <w:rFonts w:hint="eastAsia" w:ascii="宋体" w:hAnsi="宋体" w:eastAsia="宋体" w:cs="宋体"/>
          <w:color w:val="auto"/>
          <w:sz w:val="28"/>
          <w:szCs w:val="44"/>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_Toc29084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4"/>
          <w:highlight w:val="none"/>
        </w:rPr>
        <w:fldChar w:fldCharType="end"/>
      </w:r>
    </w:p>
    <w:p>
      <w:pPr>
        <w:pageBreakBefore w:val="0"/>
        <w:widowControl w:val="0"/>
        <w:kinsoku/>
        <w:wordWrap/>
        <w:overflowPunct/>
        <w:topLinePunct w:val="0"/>
        <w:autoSpaceDE/>
        <w:autoSpaceDN/>
        <w:bidi w:val="0"/>
        <w:spacing w:line="480" w:lineRule="auto"/>
        <w:ind w:left="0" w:leftChars="0" w:right="0" w:rightChars="0"/>
        <w:rPr>
          <w:rFonts w:ascii="宋体" w:hAnsi="宋体"/>
          <w:color w:val="auto"/>
          <w:sz w:val="30"/>
          <w:szCs w:val="30"/>
          <w:highlight w:val="none"/>
        </w:rPr>
        <w:sectPr>
          <w:footerReference r:id="rId3" w:type="default"/>
          <w:pgSz w:w="11907" w:h="16840"/>
          <w:pgMar w:top="1440" w:right="1800" w:bottom="1440" w:left="1800" w:header="720" w:footer="720" w:gutter="0"/>
          <w:cols w:space="720" w:num="1"/>
          <w:docGrid w:linePitch="285" w:charSpace="0"/>
        </w:sectPr>
      </w:pPr>
      <w:r>
        <w:rPr>
          <w:rFonts w:hint="eastAsia" w:ascii="宋体" w:hAnsi="宋体" w:eastAsia="宋体" w:cs="宋体"/>
          <w:color w:val="auto"/>
          <w:sz w:val="32"/>
          <w:szCs w:val="44"/>
          <w:highlight w:val="none"/>
        </w:rPr>
        <w:fldChar w:fldCharType="end"/>
      </w:r>
    </w:p>
    <w:p>
      <w:pPr>
        <w:pStyle w:val="3"/>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color w:val="auto"/>
          <w:sz w:val="28"/>
          <w:szCs w:val="28"/>
          <w:highlight w:val="none"/>
        </w:rPr>
      </w:pPr>
      <w:bookmarkStart w:id="0" w:name="_Toc438734531"/>
      <w:bookmarkStart w:id="1" w:name="_Toc21775"/>
      <w:r>
        <w:rPr>
          <w:rFonts w:hint="eastAsia" w:ascii="宋体" w:hAnsi="宋体" w:eastAsia="宋体" w:cs="宋体"/>
          <w:color w:val="auto"/>
          <w:sz w:val="28"/>
          <w:szCs w:val="28"/>
          <w:highlight w:val="none"/>
        </w:rPr>
        <w:t>第一章 公开招标采购公告</w:t>
      </w:r>
      <w:bookmarkEnd w:id="0"/>
      <w:bookmarkEnd w:id="1"/>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top"/>
          </w:tcPr>
          <w:p>
            <w:pPr>
              <w:pageBreakBefore w:val="0"/>
              <w:widowControl w:val="0"/>
              <w:kinsoku/>
              <w:wordWrap/>
              <w:overflowPunct/>
              <w:topLinePunct w:val="0"/>
              <w:autoSpaceDE/>
              <w:autoSpaceDN/>
              <w:bidi w:val="0"/>
              <w:snapToGrid w:val="0"/>
              <w:spacing w:before="120" w:beforeLines="50" w:after="120" w:afterLines="50" w:line="360" w:lineRule="auto"/>
              <w:ind w:left="0" w:leftChars="0" w:right="0" w:rightChars="0" w:firstLine="422" w:firstLineChars="200"/>
              <w:jc w:val="both"/>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项目概况</w:t>
            </w:r>
          </w:p>
          <w:p>
            <w:pPr>
              <w:pageBreakBefore w:val="0"/>
              <w:widowControl w:val="0"/>
              <w:kinsoku/>
              <w:wordWrap/>
              <w:overflowPunct/>
              <w:topLinePunct w:val="0"/>
              <w:autoSpaceDE/>
              <w:autoSpaceDN/>
              <w:bidi w:val="0"/>
              <w:snapToGrid w:val="0"/>
              <w:spacing w:before="120" w:beforeLines="50" w:after="120" w:afterLines="50" w:line="360" w:lineRule="auto"/>
              <w:ind w:left="0" w:leftChars="0" w:right="0" w:rightChars="0" w:firstLine="420" w:firstLineChars="200"/>
              <w:jc w:val="both"/>
              <w:rPr>
                <w:rFonts w:hint="eastAsia" w:ascii="宋体" w:hAnsi="宋体" w:eastAsia="宋体" w:cs="Times New Roman"/>
                <w:b/>
                <w:color w:val="auto"/>
                <w:kern w:val="2"/>
                <w:sz w:val="21"/>
                <w:szCs w:val="21"/>
                <w:highlight w:val="none"/>
                <w:vertAlign w:val="baseline"/>
                <w:lang w:val="en-US" w:eastAsia="zh-CN" w:bidi="ar-SA"/>
              </w:rPr>
            </w:pPr>
            <w:r>
              <w:rPr>
                <w:rFonts w:hint="eastAsia" w:ascii="宋体" w:hAnsi="宋体" w:cs="Times New Roman"/>
                <w:bCs/>
                <w:color w:val="auto"/>
                <w:kern w:val="2"/>
                <w:sz w:val="21"/>
                <w:szCs w:val="21"/>
                <w:highlight w:val="none"/>
                <w:u w:val="none"/>
                <w:lang w:val="en-US" w:eastAsia="zh-CN" w:bidi="ar-SA"/>
              </w:rPr>
              <w:t>2023-2025年北仑区土地使用权出让地价委托评估项目</w:t>
            </w:r>
            <w:r>
              <w:rPr>
                <w:rFonts w:hint="eastAsia" w:ascii="宋体" w:hAnsi="宋体" w:eastAsia="宋体" w:cs="Times New Roman"/>
                <w:bCs/>
                <w:color w:val="auto"/>
                <w:kern w:val="2"/>
                <w:sz w:val="21"/>
                <w:szCs w:val="21"/>
                <w:highlight w:val="none"/>
                <w:u w:val="none"/>
                <w:lang w:val="en-US" w:eastAsia="zh-CN" w:bidi="ar-SA"/>
              </w:rPr>
              <w:t>招标项目</w:t>
            </w:r>
            <w:r>
              <w:rPr>
                <w:rFonts w:hint="eastAsia" w:ascii="宋体" w:hAnsi="宋体" w:eastAsia="宋体" w:cs="Times New Roman"/>
                <w:color w:val="auto"/>
                <w:kern w:val="2"/>
                <w:sz w:val="21"/>
                <w:szCs w:val="21"/>
                <w:highlight w:val="none"/>
                <w:u w:val="none"/>
                <w:lang w:val="en-US" w:eastAsia="zh-CN" w:bidi="ar-SA"/>
              </w:rPr>
              <w:t>的潜在投标人应在浙江政府采购云平台（http://www.zcygov.cn/）获取（下载）招标文件，并于</w:t>
            </w:r>
            <w:r>
              <w:rPr>
                <w:rFonts w:hint="eastAsia" w:ascii="宋体" w:hAnsi="宋体" w:cs="Times New Roman"/>
                <w:color w:val="auto"/>
                <w:kern w:val="2"/>
                <w:sz w:val="21"/>
                <w:szCs w:val="21"/>
                <w:highlight w:val="none"/>
                <w:u w:val="none"/>
                <w:lang w:val="en-US" w:eastAsia="zh-CN" w:bidi="ar-SA"/>
              </w:rPr>
              <w:t>2023年3月31日09</w:t>
            </w:r>
            <w:r>
              <w:rPr>
                <w:rFonts w:hint="eastAsia" w:ascii="宋体" w:hAnsi="宋体" w:eastAsia="宋体" w:cs="Times New Roman"/>
                <w:color w:val="auto"/>
                <w:kern w:val="2"/>
                <w:sz w:val="21"/>
                <w:szCs w:val="21"/>
                <w:highlight w:val="none"/>
                <w:u w:val="none"/>
                <w:lang w:val="en-US" w:eastAsia="zh-CN" w:bidi="ar-SA"/>
              </w:rPr>
              <w:t>:</w:t>
            </w:r>
            <w:r>
              <w:rPr>
                <w:rFonts w:hint="eastAsia" w:ascii="宋体" w:hAnsi="宋体" w:cs="Times New Roman"/>
                <w:color w:val="auto"/>
                <w:kern w:val="2"/>
                <w:sz w:val="21"/>
                <w:szCs w:val="21"/>
                <w:highlight w:val="none"/>
                <w:u w:val="none"/>
                <w:lang w:val="en-US" w:eastAsia="zh-CN" w:bidi="ar-SA"/>
              </w:rPr>
              <w:t>30</w:t>
            </w:r>
            <w:r>
              <w:rPr>
                <w:rFonts w:hint="eastAsia" w:ascii="宋体" w:hAnsi="宋体" w:eastAsia="宋体" w:cs="Times New Roman"/>
                <w:color w:val="auto"/>
                <w:kern w:val="2"/>
                <w:sz w:val="21"/>
                <w:szCs w:val="21"/>
                <w:highlight w:val="none"/>
                <w:u w:val="none"/>
                <w:lang w:val="en-US" w:eastAsia="zh-CN" w:bidi="ar-SA"/>
              </w:rPr>
              <w:t>（北京时间）前递交（上传）投标文件。</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240" w:beforeAutospacing="0" w:after="0" w:afterAutospacing="0" w:line="360" w:lineRule="auto"/>
        <w:ind w:left="0" w:leftChars="0" w:right="0" w:rightChars="0" w:firstLine="422"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caps w:val="0"/>
          <w:color w:val="auto"/>
          <w:spacing w:val="0"/>
          <w:kern w:val="0"/>
          <w:sz w:val="21"/>
          <w:szCs w:val="21"/>
          <w:highlight w:val="none"/>
          <w:shd w:val="clear" w:color="auto" w:fill="FFFFFF"/>
          <w:lang w:val="en-US" w:eastAsia="zh-CN" w:bidi="ar"/>
        </w:rPr>
        <w:t>一、项目基本情况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项目编号：</w:t>
      </w:r>
      <w:r>
        <w:rPr>
          <w:rFonts w:hint="eastAsia" w:ascii="宋体" w:hAnsi="宋体" w:cs="宋体"/>
          <w:i w:val="0"/>
          <w:caps w:val="0"/>
          <w:color w:val="auto"/>
          <w:spacing w:val="0"/>
          <w:kern w:val="0"/>
          <w:sz w:val="21"/>
          <w:szCs w:val="21"/>
          <w:highlight w:val="none"/>
          <w:shd w:val="clear" w:color="auto" w:fill="FFFFFF"/>
          <w:lang w:val="en-US" w:eastAsia="zh-CN" w:bidi="ar"/>
        </w:rPr>
        <w:t>NBZX-20230120G-BL002</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项目名称：</w:t>
      </w:r>
      <w:r>
        <w:rPr>
          <w:rFonts w:hint="eastAsia" w:ascii="宋体" w:hAnsi="宋体" w:cs="宋体"/>
          <w:i w:val="0"/>
          <w:caps w:val="0"/>
          <w:color w:val="auto"/>
          <w:spacing w:val="0"/>
          <w:kern w:val="0"/>
          <w:sz w:val="21"/>
          <w:szCs w:val="21"/>
          <w:highlight w:val="none"/>
          <w:shd w:val="clear" w:color="auto" w:fill="FFFFFF"/>
          <w:lang w:val="en-US" w:eastAsia="zh-CN" w:bidi="ar"/>
        </w:rPr>
        <w:t>2023-2025年北仑区土地使用权出让地价委托评估项目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预算金额（元）：</w:t>
      </w:r>
      <w:r>
        <w:rPr>
          <w:rFonts w:hint="eastAsia" w:ascii="宋体" w:hAnsi="宋体" w:cs="宋体"/>
          <w:i w:val="0"/>
          <w:caps w:val="0"/>
          <w:color w:val="auto"/>
          <w:spacing w:val="0"/>
          <w:kern w:val="0"/>
          <w:sz w:val="21"/>
          <w:szCs w:val="21"/>
          <w:highlight w:val="none"/>
          <w:shd w:val="clear" w:color="auto" w:fill="FFFFFF"/>
          <w:lang w:val="en-US" w:eastAsia="zh-CN" w:bidi="ar"/>
        </w:rPr>
        <w:t>600000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最高限价（元）：</w:t>
      </w:r>
      <w:r>
        <w:rPr>
          <w:rFonts w:hint="eastAsia" w:ascii="宋体" w:hAnsi="宋体" w:cs="宋体"/>
          <w:i w:val="0"/>
          <w:caps w:val="0"/>
          <w:color w:val="auto"/>
          <w:spacing w:val="0"/>
          <w:kern w:val="0"/>
          <w:sz w:val="21"/>
          <w:szCs w:val="21"/>
          <w:highlight w:val="none"/>
          <w:shd w:val="clear" w:color="auto" w:fill="FFFFFF"/>
          <w:lang w:val="en-US" w:eastAsia="zh-CN" w:bidi="ar"/>
        </w:rPr>
        <w:t>600000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采购需求：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标项名称:</w:t>
      </w:r>
      <w:r>
        <w:rPr>
          <w:rFonts w:hint="eastAsia" w:ascii="宋体" w:hAnsi="宋体" w:cs="宋体"/>
          <w:i w:val="0"/>
          <w:caps w:val="0"/>
          <w:color w:val="auto"/>
          <w:spacing w:val="0"/>
          <w:kern w:val="0"/>
          <w:sz w:val="21"/>
          <w:szCs w:val="21"/>
          <w:highlight w:val="none"/>
          <w:shd w:val="clear" w:color="auto" w:fill="FFFFFF"/>
          <w:lang w:val="en-US" w:eastAsia="zh-CN" w:bidi="ar"/>
        </w:rPr>
        <w:t>2023-2025年北仑区土地使用权出让地价委托评估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数量:1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default"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预算金额（元）:</w:t>
      </w:r>
      <w:r>
        <w:rPr>
          <w:rFonts w:hint="eastAsia" w:ascii="宋体" w:hAnsi="宋体" w:cs="宋体"/>
          <w:i w:val="0"/>
          <w:caps w:val="0"/>
          <w:color w:val="auto"/>
          <w:spacing w:val="0"/>
          <w:kern w:val="0"/>
          <w:sz w:val="21"/>
          <w:szCs w:val="21"/>
          <w:highlight w:val="none"/>
          <w:shd w:val="clear" w:color="auto" w:fill="FFFFFF"/>
          <w:lang w:val="en-US" w:eastAsia="zh-CN" w:bidi="ar"/>
        </w:rPr>
        <w:t>600000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简要规格描述或项目基本概况介绍、用途：对宁波市北仑区内（含大榭、保税区）的土地出让（含出租、收购等）（市局项目除外）地价委托评估，服务期限三年（2023年-2025年）</w:t>
      </w:r>
      <w:r>
        <w:rPr>
          <w:rFonts w:hint="eastAsia" w:ascii="宋体" w:hAnsi="宋体" w:cs="宋体"/>
          <w:i w:val="0"/>
          <w:caps w:val="0"/>
          <w:color w:val="auto"/>
          <w:spacing w:val="0"/>
          <w:kern w:val="0"/>
          <w:sz w:val="21"/>
          <w:szCs w:val="21"/>
          <w:highlight w:val="none"/>
          <w:shd w:val="clear" w:color="auto" w:fill="FFFFFF"/>
          <w:lang w:val="en-US" w:eastAsia="zh-CN" w:bidi="ar"/>
        </w:rPr>
        <w:t>；</w:t>
      </w:r>
      <w:r>
        <w:rPr>
          <w:rFonts w:hint="eastAsia" w:ascii="宋体" w:hAnsi="宋体" w:eastAsia="宋体" w:cs="宋体"/>
          <w:i w:val="0"/>
          <w:caps w:val="0"/>
          <w:color w:val="auto"/>
          <w:spacing w:val="0"/>
          <w:kern w:val="0"/>
          <w:sz w:val="21"/>
          <w:szCs w:val="21"/>
          <w:highlight w:val="none"/>
          <w:shd w:val="clear" w:color="auto" w:fill="FFFFFF"/>
          <w:lang w:val="en-US" w:eastAsia="zh-CN" w:bidi="ar"/>
        </w:rPr>
        <w:t>详见招标文件第二章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default" w:ascii="宋体" w:hAnsi="宋体" w:eastAsia="宋体" w:cs="宋体"/>
          <w:color w:val="FF0000"/>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备注：本标项采购预算人民币每年</w:t>
      </w:r>
      <w:r>
        <w:rPr>
          <w:rFonts w:hint="eastAsia" w:ascii="宋体" w:hAnsi="宋体" w:cs="宋体"/>
          <w:i w:val="0"/>
          <w:caps w:val="0"/>
          <w:color w:val="auto"/>
          <w:spacing w:val="0"/>
          <w:kern w:val="0"/>
          <w:sz w:val="21"/>
          <w:szCs w:val="21"/>
          <w:highlight w:val="none"/>
          <w:shd w:val="clear" w:color="auto" w:fill="FFFFFF"/>
          <w:lang w:val="en-US" w:eastAsia="zh-CN" w:bidi="ar"/>
        </w:rPr>
        <w:t>60</w:t>
      </w:r>
      <w:r>
        <w:rPr>
          <w:rFonts w:hint="eastAsia" w:ascii="宋体" w:hAnsi="宋体" w:eastAsia="宋体" w:cs="宋体"/>
          <w:i w:val="0"/>
          <w:caps w:val="0"/>
          <w:color w:val="auto"/>
          <w:spacing w:val="0"/>
          <w:kern w:val="0"/>
          <w:sz w:val="21"/>
          <w:szCs w:val="21"/>
          <w:highlight w:val="none"/>
          <w:shd w:val="clear" w:color="auto" w:fill="FFFFFF"/>
          <w:lang w:val="en-US" w:eastAsia="zh-CN" w:bidi="ar"/>
        </w:rPr>
        <w:t>万元，</w:t>
      </w:r>
      <w:r>
        <w:rPr>
          <w:rFonts w:hint="eastAsia" w:ascii="宋体" w:hAnsi="宋体" w:cs="宋体"/>
          <w:i w:val="0"/>
          <w:caps w:val="0"/>
          <w:color w:val="auto"/>
          <w:spacing w:val="0"/>
          <w:kern w:val="0"/>
          <w:sz w:val="21"/>
          <w:szCs w:val="21"/>
          <w:highlight w:val="none"/>
          <w:shd w:val="clear" w:color="auto" w:fill="FFFFFF"/>
          <w:lang w:val="en-US" w:eastAsia="zh-CN" w:bidi="ar"/>
        </w:rPr>
        <w:t>3</w:t>
      </w:r>
      <w:r>
        <w:rPr>
          <w:rFonts w:hint="eastAsia" w:ascii="宋体" w:hAnsi="宋体" w:eastAsia="宋体" w:cs="宋体"/>
          <w:i w:val="0"/>
          <w:caps w:val="0"/>
          <w:color w:val="auto"/>
          <w:spacing w:val="0"/>
          <w:kern w:val="0"/>
          <w:sz w:val="21"/>
          <w:szCs w:val="21"/>
          <w:highlight w:val="none"/>
          <w:shd w:val="clear" w:color="auto" w:fill="FFFFFF"/>
          <w:lang w:val="en-US" w:eastAsia="zh-CN" w:bidi="ar"/>
        </w:rPr>
        <w:t>年共</w:t>
      </w:r>
      <w:r>
        <w:rPr>
          <w:rFonts w:hint="eastAsia" w:ascii="宋体" w:hAnsi="宋体" w:cs="宋体"/>
          <w:i w:val="0"/>
          <w:caps w:val="0"/>
          <w:color w:val="auto"/>
          <w:spacing w:val="0"/>
          <w:kern w:val="0"/>
          <w:sz w:val="21"/>
          <w:szCs w:val="21"/>
          <w:highlight w:val="none"/>
          <w:shd w:val="clear" w:color="auto" w:fill="FFFFFF"/>
          <w:lang w:val="en-US" w:eastAsia="zh-CN" w:bidi="ar"/>
        </w:rPr>
        <w:t>180</w:t>
      </w:r>
      <w:r>
        <w:rPr>
          <w:rFonts w:hint="eastAsia" w:ascii="宋体" w:hAnsi="宋体" w:eastAsia="宋体" w:cs="宋体"/>
          <w:i w:val="0"/>
          <w:caps w:val="0"/>
          <w:color w:val="auto"/>
          <w:spacing w:val="0"/>
          <w:kern w:val="0"/>
          <w:sz w:val="21"/>
          <w:szCs w:val="21"/>
          <w:highlight w:val="none"/>
          <w:shd w:val="clear" w:color="auto" w:fill="FFFFFF"/>
          <w:lang w:val="en-US" w:eastAsia="zh-CN" w:bidi="ar"/>
        </w:rPr>
        <w:t>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default"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合同履约期限：3年</w:t>
      </w:r>
      <w:r>
        <w:rPr>
          <w:rFonts w:hint="eastAsia" w:ascii="宋体" w:hAnsi="宋体" w:cs="宋体"/>
          <w:i w:val="0"/>
          <w:caps w:val="0"/>
          <w:color w:val="auto"/>
          <w:spacing w:val="0"/>
          <w:kern w:val="0"/>
          <w:sz w:val="21"/>
          <w:szCs w:val="21"/>
          <w:highlight w:val="none"/>
          <w:shd w:val="clear" w:color="auto" w:fill="FFFFFF"/>
          <w:lang w:val="en-US" w:eastAsia="zh-CN" w:bidi="ar"/>
        </w:rPr>
        <w:t>，</w:t>
      </w:r>
      <w:r>
        <w:rPr>
          <w:rFonts w:hint="eastAsia" w:ascii="宋体" w:hAnsi="宋体" w:eastAsia="宋体" w:cs="宋体"/>
          <w:i w:val="0"/>
          <w:caps w:val="0"/>
          <w:color w:val="auto"/>
          <w:spacing w:val="0"/>
          <w:kern w:val="0"/>
          <w:sz w:val="21"/>
          <w:szCs w:val="21"/>
          <w:highlight w:val="none"/>
          <w:shd w:val="clear" w:color="auto" w:fill="FFFFFF"/>
          <w:lang w:val="en-US" w:eastAsia="zh-CN" w:bidi="ar"/>
        </w:rPr>
        <w:t>合同1年1签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本项目（</w:t>
      </w:r>
      <w:r>
        <w:rPr>
          <w:rFonts w:hint="eastAsia" w:ascii="宋体" w:hAnsi="宋体" w:cs="宋体"/>
          <w:i w:val="0"/>
          <w:caps w:val="0"/>
          <w:color w:val="auto"/>
          <w:spacing w:val="0"/>
          <w:kern w:val="0"/>
          <w:sz w:val="21"/>
          <w:szCs w:val="21"/>
          <w:highlight w:val="none"/>
          <w:shd w:val="clear" w:color="auto" w:fill="FFFFFF"/>
          <w:lang w:val="en-US" w:eastAsia="zh-CN" w:bidi="ar"/>
        </w:rPr>
        <w:t>是</w:t>
      </w:r>
      <w:r>
        <w:rPr>
          <w:rFonts w:hint="eastAsia" w:ascii="宋体" w:hAnsi="宋体" w:eastAsia="宋体" w:cs="宋体"/>
          <w:i w:val="0"/>
          <w:caps w:val="0"/>
          <w:color w:val="auto"/>
          <w:spacing w:val="0"/>
          <w:kern w:val="0"/>
          <w:sz w:val="21"/>
          <w:szCs w:val="21"/>
          <w:highlight w:val="none"/>
          <w:shd w:val="clear" w:color="auto" w:fill="FFFFFF"/>
          <w:lang w:val="en-US" w:eastAsia="zh-CN" w:bidi="ar"/>
        </w:rPr>
        <w:t>）接受联合体投标。</w:t>
      </w:r>
      <w:bookmarkStart w:id="37" w:name="_GoBack"/>
      <w:bookmarkEnd w:id="3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240" w:beforeAutospacing="0" w:after="0" w:afterAutospacing="0" w:line="360" w:lineRule="auto"/>
        <w:ind w:left="0" w:leftChars="0" w:right="0" w:rightChars="0" w:firstLine="422"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caps w:val="0"/>
          <w:color w:val="auto"/>
          <w:spacing w:val="0"/>
          <w:kern w:val="0"/>
          <w:sz w:val="21"/>
          <w:szCs w:val="21"/>
          <w:highlight w:val="none"/>
          <w:shd w:val="clear" w:color="auto" w:fill="FFFFFF"/>
          <w:lang w:val="en-US" w:eastAsia="zh-CN" w:bidi="ar"/>
        </w:rPr>
        <w:t>二、申请人的资格要求：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2.落实政府采购政策需满足的资格要求：标项1：</w:t>
      </w:r>
      <w:r>
        <w:rPr>
          <w:rFonts w:hint="eastAsia" w:ascii="宋体" w:hAnsi="宋体" w:cs="宋体"/>
          <w:color w:val="000000"/>
          <w:kern w:val="0"/>
          <w:szCs w:val="21"/>
          <w:highlight w:val="none"/>
          <w:lang w:bidi="ar"/>
        </w:rPr>
        <w:t>本项目属于专门面向中小企业采购的项目，供应商应为符合《政府采购促进中小企业发展管理办法》（财库﹝2020﹞46号）规定的中小企业（其中，小微企业包括视同为小型、微型企业的监狱企业、残疾人福利性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3.本项目的特定资格要求：【标项1】</w:t>
      </w:r>
      <w:r>
        <w:rPr>
          <w:rFonts w:hint="eastAsia" w:ascii="宋体" w:hAnsi="宋体"/>
          <w:szCs w:val="21"/>
          <w:highlight w:val="none"/>
        </w:rPr>
        <w:t>具有省级自然资源主管部门出具的土地估价机构备案证明且在有效期内。</w:t>
      </w:r>
      <w:r>
        <w:rPr>
          <w:rFonts w:hint="eastAsia" w:ascii="宋体" w:hAnsi="宋体"/>
          <w:szCs w:val="21"/>
          <w:highlight w:val="none"/>
          <w:lang w:eastAsia="zh-CN"/>
        </w:rPr>
        <w:t>（如为联合体投标，联合体成员单位都须具有该备案证明，联合体成员总数量最多2名，投标文件中须提供联合体协议，并明确联合体牵头人，联合体各方在同一招标项目中以自己名义单独投标或者参加其他联合体投标的，相关投标均无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240" w:beforeAutospacing="0" w:after="0" w:afterAutospacing="0" w:line="360" w:lineRule="auto"/>
        <w:ind w:left="0" w:leftChars="0" w:right="0" w:rightChars="0" w:firstLine="422"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caps w:val="0"/>
          <w:color w:val="auto"/>
          <w:spacing w:val="0"/>
          <w:kern w:val="0"/>
          <w:sz w:val="21"/>
          <w:szCs w:val="21"/>
          <w:highlight w:val="none"/>
          <w:shd w:val="clear" w:color="auto" w:fill="FFFFFF"/>
          <w:lang w:val="en-US" w:eastAsia="zh-CN" w:bidi="ar"/>
        </w:rPr>
        <w:t>三、获取招标文件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时间：</w:t>
      </w:r>
      <w:r>
        <w:rPr>
          <w:rFonts w:hint="eastAsia" w:ascii="宋体" w:hAnsi="宋体" w:cs="宋体"/>
          <w:i w:val="0"/>
          <w:caps w:val="0"/>
          <w:color w:val="auto"/>
          <w:spacing w:val="0"/>
          <w:kern w:val="0"/>
          <w:sz w:val="21"/>
          <w:szCs w:val="21"/>
          <w:highlight w:val="none"/>
          <w:u w:val="none"/>
          <w:shd w:val="clear" w:color="auto" w:fill="FFFFFF"/>
          <w:lang w:val="en-US" w:eastAsia="zh-CN" w:bidi="ar"/>
        </w:rPr>
        <w:t>/至2023年 3 月 31 日</w:t>
      </w: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，每天上午00:00至12:00，下午12:00至23:59（北京时间，线上获取法定节假日均可，线下获取文件法定节假日除外）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地点（网址）：浙江政府采购云平台（http://www.zcygov.cn/）</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方式：（1）供应商登录政府采购云平台的注册账号后，进入政采云系统“项目采购”模块“获取采购文件”菜单，在网上获取</w:t>
      </w:r>
      <w:r>
        <w:rPr>
          <w:rFonts w:hint="eastAsia" w:ascii="宋体" w:hAnsi="宋体" w:cs="宋体"/>
          <w:i w:val="0"/>
          <w:caps w:val="0"/>
          <w:color w:val="auto"/>
          <w:spacing w:val="0"/>
          <w:kern w:val="0"/>
          <w:sz w:val="21"/>
          <w:szCs w:val="21"/>
          <w:highlight w:val="none"/>
          <w:shd w:val="clear" w:color="auto" w:fill="FFFFFF"/>
          <w:lang w:val="en-US" w:eastAsia="zh-CN" w:bidi="ar"/>
        </w:rPr>
        <w:t>采购</w:t>
      </w:r>
      <w:r>
        <w:rPr>
          <w:rFonts w:hint="eastAsia" w:ascii="宋体" w:hAnsi="宋体" w:eastAsia="宋体" w:cs="宋体"/>
          <w:i w:val="0"/>
          <w:caps w:val="0"/>
          <w:color w:val="auto"/>
          <w:spacing w:val="0"/>
          <w:kern w:val="0"/>
          <w:sz w:val="21"/>
          <w:szCs w:val="21"/>
          <w:highlight w:val="none"/>
          <w:shd w:val="clear" w:color="auto" w:fill="FFFFFF"/>
          <w:lang w:val="en-US" w:eastAsia="zh-CN" w:bidi="ar"/>
        </w:rPr>
        <w:t>文件。（2）获取</w:t>
      </w:r>
      <w:r>
        <w:rPr>
          <w:rFonts w:hint="eastAsia" w:ascii="宋体" w:hAnsi="宋体" w:cs="宋体"/>
          <w:i w:val="0"/>
          <w:caps w:val="0"/>
          <w:color w:val="auto"/>
          <w:spacing w:val="0"/>
          <w:kern w:val="0"/>
          <w:sz w:val="21"/>
          <w:szCs w:val="21"/>
          <w:highlight w:val="none"/>
          <w:shd w:val="clear" w:color="auto" w:fill="FFFFFF"/>
          <w:lang w:val="en-US" w:eastAsia="zh-CN" w:bidi="ar"/>
        </w:rPr>
        <w:t>采购</w:t>
      </w:r>
      <w:r>
        <w:rPr>
          <w:rFonts w:hint="eastAsia" w:ascii="宋体" w:hAnsi="宋体" w:eastAsia="宋体" w:cs="宋体"/>
          <w:i w:val="0"/>
          <w:caps w:val="0"/>
          <w:color w:val="auto"/>
          <w:spacing w:val="0"/>
          <w:kern w:val="0"/>
          <w:sz w:val="21"/>
          <w:szCs w:val="21"/>
          <w:highlight w:val="none"/>
          <w:shd w:val="clear" w:color="auto" w:fill="FFFFFF"/>
          <w:lang w:val="en-US" w:eastAsia="zh-CN" w:bidi="ar"/>
        </w:rPr>
        <w:t>文件前，供应商应按照《浙江省政府采购供应商注册及诚信管理暂行办法》的规定在“浙江政府采购网”上进行供应商注册申请，并登记加入到“浙江省政府采购供应商库”。咨询电话：</w:t>
      </w:r>
      <w:r>
        <w:rPr>
          <w:rFonts w:hint="eastAsia" w:ascii="宋体" w:hAnsi="宋体" w:cs="宋体"/>
          <w:i w:val="0"/>
          <w:caps w:val="0"/>
          <w:color w:val="auto"/>
          <w:spacing w:val="0"/>
          <w:kern w:val="0"/>
          <w:sz w:val="21"/>
          <w:szCs w:val="21"/>
          <w:highlight w:val="none"/>
          <w:shd w:val="clear" w:color="auto" w:fill="FFFFFF"/>
          <w:lang w:val="en-US" w:eastAsia="zh-CN" w:bidi="ar"/>
        </w:rPr>
        <w:t>95763</w:t>
      </w:r>
      <w:r>
        <w:rPr>
          <w:rFonts w:hint="eastAsia" w:ascii="宋体" w:hAnsi="宋体" w:eastAsia="宋体" w:cs="宋体"/>
          <w:i w:val="0"/>
          <w:caps w:val="0"/>
          <w:color w:val="auto"/>
          <w:spacing w:val="0"/>
          <w:kern w:val="0"/>
          <w:sz w:val="21"/>
          <w:szCs w:val="21"/>
          <w:highlight w:val="none"/>
          <w:shd w:val="clear" w:color="auto" w:fill="FFFFFF"/>
          <w:lang w:val="en-US" w:eastAsia="zh-CN" w:bidi="ar"/>
        </w:rPr>
        <w:t>，如未注册的供应商，请注意注册所需时间。（3）本招标公告附件中的</w:t>
      </w:r>
      <w:r>
        <w:rPr>
          <w:rFonts w:hint="eastAsia" w:ascii="宋体" w:hAnsi="宋体" w:cs="宋体"/>
          <w:i w:val="0"/>
          <w:caps w:val="0"/>
          <w:color w:val="auto"/>
          <w:spacing w:val="0"/>
          <w:kern w:val="0"/>
          <w:sz w:val="21"/>
          <w:szCs w:val="21"/>
          <w:highlight w:val="none"/>
          <w:shd w:val="clear" w:color="auto" w:fill="FFFFFF"/>
          <w:lang w:val="en-US" w:eastAsia="zh-CN" w:bidi="ar"/>
        </w:rPr>
        <w:t>采购文件</w:t>
      </w:r>
      <w:r>
        <w:rPr>
          <w:rFonts w:hint="eastAsia" w:ascii="宋体" w:hAnsi="宋体" w:eastAsia="宋体" w:cs="宋体"/>
          <w:i w:val="0"/>
          <w:caps w:val="0"/>
          <w:color w:val="auto"/>
          <w:spacing w:val="0"/>
          <w:kern w:val="0"/>
          <w:sz w:val="21"/>
          <w:szCs w:val="21"/>
          <w:highlight w:val="none"/>
          <w:shd w:val="clear" w:color="auto" w:fill="FFFFFF"/>
          <w:lang w:val="en-US" w:eastAsia="zh-CN" w:bidi="ar"/>
        </w:rPr>
        <w:t>仅供阅览使用，供应商应在规定的</w:t>
      </w:r>
      <w:r>
        <w:rPr>
          <w:rFonts w:hint="eastAsia" w:ascii="宋体" w:hAnsi="宋体" w:cs="宋体"/>
          <w:i w:val="0"/>
          <w:caps w:val="0"/>
          <w:color w:val="auto"/>
          <w:spacing w:val="0"/>
          <w:kern w:val="0"/>
          <w:sz w:val="21"/>
          <w:szCs w:val="21"/>
          <w:highlight w:val="none"/>
          <w:shd w:val="clear" w:color="auto" w:fill="FFFFFF"/>
          <w:lang w:val="en-US" w:eastAsia="zh-CN" w:bidi="ar"/>
        </w:rPr>
        <w:t>采购文件</w:t>
      </w:r>
      <w:r>
        <w:rPr>
          <w:rFonts w:hint="eastAsia" w:ascii="宋体" w:hAnsi="宋体" w:eastAsia="宋体" w:cs="宋体"/>
          <w:i w:val="0"/>
          <w:caps w:val="0"/>
          <w:color w:val="auto"/>
          <w:spacing w:val="0"/>
          <w:kern w:val="0"/>
          <w:sz w:val="21"/>
          <w:szCs w:val="21"/>
          <w:highlight w:val="none"/>
          <w:shd w:val="clear" w:color="auto" w:fill="FFFFFF"/>
          <w:lang w:val="en-US" w:eastAsia="zh-CN" w:bidi="ar"/>
        </w:rPr>
        <w:t>提供期限内在政采云平台登录上述供应商注册的账号后获取</w:t>
      </w:r>
      <w:r>
        <w:rPr>
          <w:rFonts w:hint="eastAsia" w:ascii="宋体" w:hAnsi="宋体" w:cs="宋体"/>
          <w:i w:val="0"/>
          <w:caps w:val="0"/>
          <w:color w:val="auto"/>
          <w:spacing w:val="0"/>
          <w:kern w:val="0"/>
          <w:sz w:val="21"/>
          <w:szCs w:val="21"/>
          <w:highlight w:val="none"/>
          <w:shd w:val="clear" w:color="auto" w:fill="FFFFFF"/>
          <w:lang w:val="en-US" w:eastAsia="zh-CN" w:bidi="ar"/>
        </w:rPr>
        <w:t>采购文件</w:t>
      </w:r>
      <w:r>
        <w:rPr>
          <w:rFonts w:hint="eastAsia" w:ascii="宋体" w:hAnsi="宋体" w:eastAsia="宋体" w:cs="宋体"/>
          <w:i w:val="0"/>
          <w:caps w:val="0"/>
          <w:color w:val="auto"/>
          <w:spacing w:val="0"/>
          <w:kern w:val="0"/>
          <w:sz w:val="21"/>
          <w:szCs w:val="21"/>
          <w:highlight w:val="none"/>
          <w:shd w:val="clear" w:color="auto" w:fill="FFFFFF"/>
          <w:lang w:val="en-US" w:eastAsia="zh-CN" w:bidi="ar"/>
        </w:rPr>
        <w:t>，未在规定的</w:t>
      </w:r>
      <w:r>
        <w:rPr>
          <w:rFonts w:hint="eastAsia" w:ascii="宋体" w:hAnsi="宋体" w:cs="宋体"/>
          <w:i w:val="0"/>
          <w:caps w:val="0"/>
          <w:color w:val="auto"/>
          <w:spacing w:val="0"/>
          <w:kern w:val="0"/>
          <w:sz w:val="21"/>
          <w:szCs w:val="21"/>
          <w:highlight w:val="none"/>
          <w:shd w:val="clear" w:color="auto" w:fill="FFFFFF"/>
          <w:lang w:val="en-US" w:eastAsia="zh-CN" w:bidi="ar"/>
        </w:rPr>
        <w:t>采购文件</w:t>
      </w:r>
      <w:r>
        <w:rPr>
          <w:rFonts w:hint="eastAsia" w:ascii="宋体" w:hAnsi="宋体" w:eastAsia="宋体" w:cs="宋体"/>
          <w:i w:val="0"/>
          <w:caps w:val="0"/>
          <w:color w:val="auto"/>
          <w:spacing w:val="0"/>
          <w:kern w:val="0"/>
          <w:sz w:val="21"/>
          <w:szCs w:val="21"/>
          <w:highlight w:val="none"/>
          <w:shd w:val="clear" w:color="auto" w:fill="FFFFFF"/>
          <w:lang w:val="en-US" w:eastAsia="zh-CN" w:bidi="ar"/>
        </w:rPr>
        <w:t>提供期限内或未按上述方式获取</w:t>
      </w:r>
      <w:r>
        <w:rPr>
          <w:rFonts w:hint="eastAsia" w:ascii="宋体" w:hAnsi="宋体" w:cs="宋体"/>
          <w:i w:val="0"/>
          <w:caps w:val="0"/>
          <w:color w:val="auto"/>
          <w:spacing w:val="0"/>
          <w:kern w:val="0"/>
          <w:sz w:val="21"/>
          <w:szCs w:val="21"/>
          <w:highlight w:val="none"/>
          <w:shd w:val="clear" w:color="auto" w:fill="FFFFFF"/>
          <w:lang w:val="en-US" w:eastAsia="zh-CN" w:bidi="ar"/>
        </w:rPr>
        <w:t>采购文件</w:t>
      </w:r>
      <w:r>
        <w:rPr>
          <w:rFonts w:hint="eastAsia" w:ascii="宋体" w:hAnsi="宋体" w:eastAsia="宋体" w:cs="宋体"/>
          <w:i w:val="0"/>
          <w:caps w:val="0"/>
          <w:color w:val="auto"/>
          <w:spacing w:val="0"/>
          <w:kern w:val="0"/>
          <w:sz w:val="21"/>
          <w:szCs w:val="21"/>
          <w:highlight w:val="none"/>
          <w:shd w:val="clear" w:color="auto" w:fill="FFFFFF"/>
          <w:lang w:val="en-US" w:eastAsia="zh-CN" w:bidi="ar"/>
        </w:rPr>
        <w:t>的，其投标均视为无效，并不得对</w:t>
      </w:r>
      <w:r>
        <w:rPr>
          <w:rFonts w:hint="eastAsia" w:ascii="宋体" w:hAnsi="宋体" w:cs="宋体"/>
          <w:i w:val="0"/>
          <w:caps w:val="0"/>
          <w:color w:val="auto"/>
          <w:spacing w:val="0"/>
          <w:kern w:val="0"/>
          <w:sz w:val="21"/>
          <w:szCs w:val="21"/>
          <w:highlight w:val="none"/>
          <w:shd w:val="clear" w:color="auto" w:fill="FFFFFF"/>
          <w:lang w:val="en-US" w:eastAsia="zh-CN" w:bidi="ar"/>
        </w:rPr>
        <w:t>采购文件</w:t>
      </w:r>
      <w:r>
        <w:rPr>
          <w:rFonts w:hint="eastAsia" w:ascii="宋体" w:hAnsi="宋体" w:eastAsia="宋体" w:cs="宋体"/>
          <w:i w:val="0"/>
          <w:caps w:val="0"/>
          <w:color w:val="auto"/>
          <w:spacing w:val="0"/>
          <w:kern w:val="0"/>
          <w:sz w:val="21"/>
          <w:szCs w:val="21"/>
          <w:highlight w:val="none"/>
          <w:shd w:val="clear" w:color="auto" w:fill="FFFFFF"/>
          <w:lang w:val="en-US" w:eastAsia="zh-CN" w:bidi="ar"/>
        </w:rPr>
        <w:t>提起质疑投诉。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售价（元）：0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240" w:beforeAutospacing="0" w:after="0" w:afterAutospacing="0" w:line="360" w:lineRule="auto"/>
        <w:ind w:left="0" w:leftChars="0" w:right="0" w:rightChars="0" w:firstLine="422"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caps w:val="0"/>
          <w:color w:val="auto"/>
          <w:spacing w:val="0"/>
          <w:kern w:val="0"/>
          <w:sz w:val="21"/>
          <w:szCs w:val="21"/>
          <w:highlight w:val="none"/>
          <w:shd w:val="clear" w:color="auto" w:fill="FFFFFF"/>
          <w:lang w:val="en-US" w:eastAsia="zh-CN" w:bidi="ar"/>
        </w:rPr>
        <w:t>四、提交投标文件截止时间、开标时间和地点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提交投标文件截止时间：</w:t>
      </w:r>
      <w:r>
        <w:rPr>
          <w:rFonts w:hint="eastAsia" w:ascii="宋体" w:hAnsi="宋体" w:cs="宋体"/>
          <w:i w:val="0"/>
          <w:caps w:val="0"/>
          <w:color w:val="auto"/>
          <w:spacing w:val="0"/>
          <w:kern w:val="0"/>
          <w:sz w:val="21"/>
          <w:szCs w:val="21"/>
          <w:highlight w:val="none"/>
          <w:u w:val="none"/>
          <w:shd w:val="clear" w:color="auto" w:fill="FFFFFF"/>
          <w:lang w:val="en-US" w:eastAsia="zh-CN" w:bidi="ar"/>
        </w:rPr>
        <w:t>2023年 3 月 31 日09</w:t>
      </w: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w:t>
      </w:r>
      <w:r>
        <w:rPr>
          <w:rFonts w:hint="eastAsia" w:ascii="宋体" w:hAnsi="宋体" w:cs="宋体"/>
          <w:i w:val="0"/>
          <w:caps w:val="0"/>
          <w:color w:val="auto"/>
          <w:spacing w:val="0"/>
          <w:kern w:val="0"/>
          <w:sz w:val="21"/>
          <w:szCs w:val="21"/>
          <w:highlight w:val="none"/>
          <w:u w:val="none"/>
          <w:shd w:val="clear" w:color="auto" w:fill="FFFFFF"/>
          <w:lang w:val="en-US" w:eastAsia="zh-CN" w:bidi="ar"/>
        </w:rPr>
        <w:t>30</w:t>
      </w: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（北京时间）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iCs w:val="0"/>
          <w:caps w:val="0"/>
          <w:color w:val="auto"/>
          <w:spacing w:val="0"/>
          <w:kern w:val="0"/>
          <w:sz w:val="21"/>
          <w:szCs w:val="21"/>
          <w:highlight w:val="none"/>
          <w:u w:val="none"/>
          <w:lang w:val="en-US" w:eastAsia="zh-CN" w:bidi="ar"/>
        </w:rPr>
      </w:pP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投标地点（网址）：</w:t>
      </w:r>
      <w:r>
        <w:rPr>
          <w:rFonts w:hint="eastAsia" w:ascii="宋体" w:hAnsi="宋体" w:eastAsia="宋体" w:cs="宋体"/>
          <w:i w:val="0"/>
          <w:iCs w:val="0"/>
          <w:caps w:val="0"/>
          <w:color w:val="auto"/>
          <w:spacing w:val="0"/>
          <w:kern w:val="0"/>
          <w:sz w:val="21"/>
          <w:szCs w:val="21"/>
          <w:highlight w:val="none"/>
          <w:u w:val="none"/>
          <w:lang w:val="en-US" w:eastAsia="zh-CN" w:bidi="ar"/>
        </w:rPr>
        <w:t>北仑区新碶长江路1166号北仑行政大楼B座三楼招投标中心开标室</w:t>
      </w:r>
      <w:r>
        <w:rPr>
          <w:rFonts w:hint="eastAsia" w:ascii="宋体" w:hAnsi="宋体" w:cs="宋体"/>
          <w:i w:val="0"/>
          <w:iCs w:val="0"/>
          <w:caps w:val="0"/>
          <w:color w:val="auto"/>
          <w:spacing w:val="0"/>
          <w:kern w:val="0"/>
          <w:sz w:val="21"/>
          <w:szCs w:val="21"/>
          <w:highlight w:val="none"/>
          <w:u w:val="none"/>
          <w:lang w:val="en-US" w:eastAsia="zh-CN" w:bidi="ar"/>
        </w:rPr>
        <w:t>（</w:t>
      </w:r>
      <w:r>
        <w:rPr>
          <w:rFonts w:hint="eastAsia" w:ascii="宋体" w:hAnsi="宋体" w:eastAsia="宋体" w:cs="宋体"/>
          <w:i w:val="0"/>
          <w:iCs w:val="0"/>
          <w:caps w:val="0"/>
          <w:color w:val="auto"/>
          <w:spacing w:val="0"/>
          <w:kern w:val="0"/>
          <w:sz w:val="21"/>
          <w:szCs w:val="21"/>
          <w:highlight w:val="none"/>
          <w:lang w:val="en-US" w:eastAsia="zh-CN" w:bidi="ar"/>
        </w:rPr>
        <w:t>政采云平台（www.zcygov.cn）在线提交</w:t>
      </w:r>
      <w:r>
        <w:rPr>
          <w:rFonts w:hint="eastAsia" w:ascii="宋体" w:hAnsi="宋体" w:cs="宋体"/>
          <w:i w:val="0"/>
          <w:iCs w:val="0"/>
          <w:caps w:val="0"/>
          <w:color w:val="auto"/>
          <w:spacing w:val="0"/>
          <w:kern w:val="0"/>
          <w:sz w:val="21"/>
          <w:szCs w:val="21"/>
          <w:highlight w:val="none"/>
          <w:u w:val="none"/>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开标时间：</w:t>
      </w:r>
      <w:r>
        <w:rPr>
          <w:rFonts w:hint="eastAsia" w:ascii="宋体" w:hAnsi="宋体" w:cs="宋体"/>
          <w:i w:val="0"/>
          <w:caps w:val="0"/>
          <w:color w:val="auto"/>
          <w:spacing w:val="0"/>
          <w:kern w:val="0"/>
          <w:sz w:val="21"/>
          <w:szCs w:val="21"/>
          <w:highlight w:val="none"/>
          <w:u w:val="none"/>
          <w:shd w:val="clear" w:color="auto" w:fill="FFFFFF"/>
          <w:lang w:val="en-US" w:eastAsia="zh-CN" w:bidi="ar"/>
        </w:rPr>
        <w:t>2023年 3 月 31 日09</w:t>
      </w: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w:t>
      </w:r>
      <w:r>
        <w:rPr>
          <w:rFonts w:hint="eastAsia" w:ascii="宋体" w:hAnsi="宋体" w:cs="宋体"/>
          <w:i w:val="0"/>
          <w:caps w:val="0"/>
          <w:color w:val="auto"/>
          <w:spacing w:val="0"/>
          <w:kern w:val="0"/>
          <w:sz w:val="21"/>
          <w:szCs w:val="21"/>
          <w:highlight w:val="none"/>
          <w:u w:val="none"/>
          <w:shd w:val="clear" w:color="auto" w:fill="FFFFFF"/>
          <w:lang w:val="en-US" w:eastAsia="zh-CN" w:bidi="ar"/>
        </w:rPr>
        <w:t>3</w:t>
      </w: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0（北京时间）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u w:val="none"/>
          <w:shd w:val="clear" w:color="auto" w:fill="FFFFFF"/>
          <w:lang w:val="en-US" w:eastAsia="zh-CN" w:bidi="ar"/>
        </w:rPr>
        <w:t>开标地点（网址）：</w:t>
      </w:r>
      <w:r>
        <w:rPr>
          <w:rFonts w:hint="eastAsia" w:ascii="宋体" w:hAnsi="宋体" w:eastAsia="宋体" w:cs="宋体"/>
          <w:i w:val="0"/>
          <w:iCs w:val="0"/>
          <w:caps w:val="0"/>
          <w:color w:val="auto"/>
          <w:spacing w:val="0"/>
          <w:kern w:val="0"/>
          <w:sz w:val="21"/>
          <w:szCs w:val="21"/>
          <w:highlight w:val="none"/>
          <w:u w:val="none"/>
          <w:lang w:val="en-US" w:eastAsia="zh-CN" w:bidi="ar"/>
        </w:rPr>
        <w:t>北仑区新碶长江路1166号北仑行政大楼B座三楼招投标中心开标室</w:t>
      </w:r>
      <w:r>
        <w:rPr>
          <w:rFonts w:hint="eastAsia" w:ascii="宋体" w:hAnsi="宋体" w:eastAsia="宋体" w:cs="宋体"/>
          <w:i w:val="0"/>
          <w:iCs w:val="0"/>
          <w:caps w:val="0"/>
          <w:color w:val="auto"/>
          <w:spacing w:val="0"/>
          <w:kern w:val="0"/>
          <w:sz w:val="21"/>
          <w:szCs w:val="21"/>
          <w:highlight w:val="none"/>
          <w:lang w:val="en-US" w:eastAsia="zh-CN" w:bidi="ar"/>
        </w:rPr>
        <w:t>（线上开启：政采云平台（www.zcygov.cn））</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240" w:beforeAutospacing="0" w:after="0" w:afterAutospacing="0" w:line="360" w:lineRule="auto"/>
        <w:ind w:left="0" w:leftChars="0" w:right="0" w:rightChars="0" w:firstLine="422"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caps w:val="0"/>
          <w:color w:val="auto"/>
          <w:spacing w:val="0"/>
          <w:kern w:val="0"/>
          <w:sz w:val="21"/>
          <w:szCs w:val="21"/>
          <w:highlight w:val="none"/>
          <w:shd w:val="clear" w:color="auto" w:fill="FFFFFF"/>
          <w:lang w:val="en-US" w:eastAsia="zh-CN" w:bidi="ar"/>
        </w:rPr>
        <w:t>五、公告期限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自本公告发布之日起5个工作日。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240" w:beforeAutospacing="0" w:after="0" w:afterAutospacing="0" w:line="360" w:lineRule="auto"/>
        <w:ind w:left="0" w:leftChars="0" w:right="0" w:rightChars="0" w:firstLine="422"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caps w:val="0"/>
          <w:color w:val="auto"/>
          <w:spacing w:val="0"/>
          <w:kern w:val="0"/>
          <w:sz w:val="21"/>
          <w:szCs w:val="21"/>
          <w:highlight w:val="none"/>
          <w:shd w:val="clear" w:color="auto" w:fill="FFFFFF"/>
          <w:lang w:val="en-US" w:eastAsia="zh-CN" w:bidi="ar"/>
        </w:rPr>
        <w:t>六、其他补充事宜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2.其他事项：</w:t>
      </w:r>
    </w:p>
    <w:p>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2.1落实的政策：</w:t>
      </w:r>
    </w:p>
    <w:p>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2.1.1对小微企业的产品给予价格优惠（监狱企业、残疾人福利性单位视同小微企业；残疾人福利性单位属于小型、微型企业的，不重复享受政策）；</w:t>
      </w:r>
    </w:p>
    <w:p>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2.1.2优先采购节能环保产品（注：所采购的货物在政府采购节能产品、环境标志产品实施品目清单范围内，且具有国家确定的认证机构出具的、处于有效期之内的节能产品、环境标志产品认证证书）。</w:t>
      </w:r>
    </w:p>
    <w:p>
      <w:pPr>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2.2单位负责人为同一人或者存在直接控股、管理关系的不同投标人，不得参加同一标项的投标。为本项目提供整体设计、规范编制或者项目管理、监理、检测等服务的投标人，不得再参加本项目的投标。</w:t>
      </w:r>
    </w:p>
    <w:p>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供应商需按照《浙江省政府采购供应商注册及诚信管理暂行办法》的规定在“浙江政府采购网”政采云平台注册登记的，成为浙江省政府采购注册供应商。如未注册的供应商，请注意注册所需时间。</w:t>
      </w:r>
    </w:p>
    <w:p>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投标与开标注意事项</w:t>
      </w:r>
    </w:p>
    <w:p>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2.4</w:t>
      </w:r>
      <w:r>
        <w:rPr>
          <w:rFonts w:hint="eastAsia" w:ascii="宋体" w:hAnsi="宋体" w:cs="宋体"/>
          <w:color w:val="auto"/>
          <w:szCs w:val="21"/>
          <w:highlight w:val="none"/>
        </w:rPr>
        <w:t>.1本项目实行网上投标，采用电子投标文件。若供应商参与投标，自行承担投标一切费用。</w:t>
      </w:r>
    </w:p>
    <w:p>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2.4</w:t>
      </w:r>
      <w:r>
        <w:rPr>
          <w:rFonts w:hint="eastAsia" w:ascii="宋体" w:hAnsi="宋体" w:cs="宋体"/>
          <w:color w:val="auto"/>
          <w:szCs w:val="21"/>
          <w:highlight w:val="none"/>
        </w:rPr>
        <w:t>.2标前准备：各供应商应在开标前确保成为浙江政府采购网正式注册入库供应商，并完成CA数字证书办理。因未注册入库、未办理CA数字证书等原因造成无法投标或投标失败等后果由供应商自行承担。</w:t>
      </w:r>
    </w:p>
    <w:p>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2.4</w:t>
      </w:r>
      <w:r>
        <w:rPr>
          <w:rFonts w:hint="eastAsia" w:ascii="宋体" w:hAnsi="宋体" w:cs="宋体"/>
          <w:color w:val="auto"/>
          <w:szCs w:val="21"/>
          <w:highlight w:val="none"/>
        </w:rPr>
        <w:t>.3投标文件制作：</w:t>
      </w:r>
    </w:p>
    <w:p>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2.4</w:t>
      </w:r>
      <w:r>
        <w:rPr>
          <w:rFonts w:hint="eastAsia" w:ascii="宋体" w:hAnsi="宋体" w:cs="宋体"/>
          <w:color w:val="auto"/>
          <w:szCs w:val="21"/>
          <w:highlight w:val="none"/>
        </w:rPr>
        <w:t>.3.1应按照本项目招标文件和政府采购云平台的要求编制、加密并递交投标文件。供应商在使用系统进行投标的过程中遇到涉及平台使用的任何问题，可致电政府采购云平台技术支持热线咨询，联系方式：</w:t>
      </w:r>
      <w:r>
        <w:rPr>
          <w:rFonts w:hint="eastAsia" w:ascii="宋体" w:hAnsi="宋体" w:cs="宋体"/>
          <w:color w:val="auto"/>
          <w:szCs w:val="21"/>
          <w:highlight w:val="none"/>
          <w:lang w:eastAsia="zh-CN"/>
        </w:rPr>
        <w:t>95763</w:t>
      </w:r>
      <w:r>
        <w:rPr>
          <w:rFonts w:hint="eastAsia" w:ascii="宋体" w:hAnsi="宋体" w:cs="宋体"/>
          <w:color w:val="auto"/>
          <w:szCs w:val="21"/>
          <w:highlight w:val="none"/>
        </w:rPr>
        <w:t>。</w:t>
      </w:r>
    </w:p>
    <w:p>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2.4</w:t>
      </w:r>
      <w:r>
        <w:rPr>
          <w:rFonts w:hint="eastAsia" w:ascii="宋体" w:hAnsi="宋体" w:cs="宋体"/>
          <w:color w:val="auto"/>
          <w:szCs w:val="21"/>
          <w:highlight w:val="none"/>
        </w:rPr>
        <w:t>.3.2供应商通过政府采购云平台电子投标工具制作投标文件，电子投标工具请供应商自行前往浙江政府采购网下载并安装，投标文件制作具体流程详见政府采购云平台。</w:t>
      </w:r>
    </w:p>
    <w:p>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2.4</w:t>
      </w:r>
      <w:r>
        <w:rPr>
          <w:rFonts w:hint="eastAsia" w:ascii="宋体" w:hAnsi="宋体" w:cs="宋体"/>
          <w:color w:val="auto"/>
          <w:szCs w:val="21"/>
          <w:highlight w:val="none"/>
        </w:rPr>
        <w:t>.3.3以U盘存储的电子备份投标文件1份，按政府采购云平台要求制作的电子备份文件，以用于异常情况处理。</w:t>
      </w:r>
    </w:p>
    <w:p>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2.4</w:t>
      </w:r>
      <w:r>
        <w:rPr>
          <w:rFonts w:hint="eastAsia" w:ascii="宋体" w:hAnsi="宋体" w:cs="宋体"/>
          <w:color w:val="auto"/>
          <w:szCs w:val="21"/>
          <w:highlight w:val="none"/>
        </w:rPr>
        <w:t>.3.4本项目供应商仍应准备纸质投标文件。当电子开评标无法正常进行时，即转为线下评标。若在此种情况下，由于供应商未提交纸质投标文件而导致该供应商放弃投标，由供应商自行承担。</w:t>
      </w:r>
    </w:p>
    <w:p>
      <w:pPr>
        <w:pageBreakBefore w:val="0"/>
        <w:kinsoku/>
        <w:wordWrap/>
        <w:overflowPunct/>
        <w:topLinePunct w:val="0"/>
        <w:autoSpaceDE/>
        <w:autoSpaceDN/>
        <w:bidi w:val="0"/>
        <w:adjustRightInd/>
        <w:snapToGrid/>
        <w:spacing w:line="336" w:lineRule="auto"/>
        <w:ind w:firstLine="420"/>
        <w:textAlignment w:val="auto"/>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本招标公告附件中的招标文件仅供阅览使用，供应商应在规定的招标文件获取期限内在政采云平台登录供应商注册的账号后获取招标文件，未按上述方式获取招标文件的，不得对招标文件提起质疑投诉。</w:t>
      </w:r>
    </w:p>
    <w:p>
      <w:pPr>
        <w:pageBreakBefore w:val="0"/>
        <w:kinsoku/>
        <w:wordWrap/>
        <w:overflowPunct/>
        <w:topLinePunct w:val="0"/>
        <w:autoSpaceDE/>
        <w:autoSpaceDN/>
        <w:bidi w:val="0"/>
        <w:adjustRightInd/>
        <w:snapToGrid/>
        <w:spacing w:line="336" w:lineRule="auto"/>
        <w:ind w:firstLine="420" w:firstLineChars="20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供应商应于投标截止时间前将电子投标文件上传到政府采购云平台www.zcygov.cn，未上传电子投标文件，视为供应商放弃投标。</w:t>
      </w:r>
    </w:p>
    <w:p>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供应商如提供备份投标文件的，应于提交投标文件截止时间前，将以U盘存储的电子备份投标文件和纸质备份投标文件分别密封，递交至投标地点，逾期送达或未密封将予以拒收。供应商仅提供备份投标文件（包括以U盘存储的电子备份投标文件或纸质备份投标文件）的，投标无效。</w:t>
      </w:r>
    </w:p>
    <w:p>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w:t>
      </w:r>
    </w:p>
    <w:p>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供应商可采用邮寄（含快递）方式或现场方式递交备份投标文件。</w:t>
      </w:r>
    </w:p>
    <w:p>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.1采用邮寄方式递交备份投标文件，需按以下要求递交：</w:t>
      </w:r>
    </w:p>
    <w:p>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拟在202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3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30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：00之前到件的邮寄地址为：宁波市海曙区高桥镇秀丰路755号；拟在202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3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30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:00之后，202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3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31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0之前到件的邮寄地址为：</w:t>
      </w:r>
      <w:r>
        <w:rPr>
          <w:rFonts w:hint="eastAsia" w:ascii="宋体" w:hAnsi="宋体" w:eastAsia="宋体" w:cs="宋体"/>
          <w:i w:val="0"/>
          <w:iCs w:val="0"/>
          <w:caps w:val="0"/>
          <w:color w:val="auto"/>
          <w:spacing w:val="0"/>
          <w:kern w:val="0"/>
          <w:sz w:val="21"/>
          <w:szCs w:val="21"/>
          <w:highlight w:val="none"/>
          <w:u w:val="none"/>
          <w:lang w:val="en-US" w:eastAsia="zh-CN" w:bidi="ar"/>
        </w:rPr>
        <w:t>北仑区新碶长江路1166号北仑行政大楼B座三楼招投标中心开标室</w:t>
      </w:r>
      <w:r>
        <w:rPr>
          <w:rFonts w:hint="eastAsia" w:ascii="宋体" w:hAnsi="宋体" w:cs="宋体"/>
          <w:color w:val="auto"/>
          <w:szCs w:val="21"/>
          <w:highlight w:val="none"/>
          <w:lang w:eastAsia="zh-CN"/>
        </w:rPr>
        <w:t>；</w:t>
      </w:r>
    </w:p>
    <w:p>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收件人：邓平，联系方式：0574-87208638。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.2采用现场方式送达备份投标文件，需按以下要求递交：</w:t>
      </w:r>
    </w:p>
    <w:p>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lang w:eastAsia="zh-CN"/>
        </w:rPr>
        <w:t>可</w:t>
      </w:r>
      <w:r>
        <w:rPr>
          <w:rFonts w:hint="eastAsia" w:ascii="宋体" w:hAnsi="宋体" w:cs="宋体"/>
          <w:color w:val="auto"/>
          <w:szCs w:val="21"/>
          <w:highlight w:val="none"/>
        </w:rPr>
        <w:t>安排相关人员（原则上不超过一名）在投标截止时间前将备份投标文件送至投标地点。投标文件递交时需同时递交供应商的法定代表人（或其委托代理人）联系方式，并保证开标期间联系方式的畅通。</w:t>
      </w:r>
    </w:p>
    <w:p>
      <w:pPr>
        <w:pageBreakBefore w:val="0"/>
        <w:kinsoku/>
        <w:wordWrap/>
        <w:overflowPunct/>
        <w:topLinePunct w:val="0"/>
        <w:autoSpaceDE/>
        <w:autoSpaceDN/>
        <w:bidi w:val="0"/>
        <w:adjustRightInd/>
        <w:snapToGrid/>
        <w:spacing w:line="336" w:lineRule="auto"/>
        <w:ind w:firstLine="420"/>
        <w:textAlignment w:val="auto"/>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如本项目改为线下评标，供应商须在纸质备份投标文件（资格文件）中提供（1）指定作出澄清、说明或补正的电子邮箱、传真号码；（2）法定代表人或授权代表的微信号。评审过程中有关澄清、说明或者补正，采购代理机构将通过以下电子邮箱进行收发。</w:t>
      </w:r>
    </w:p>
    <w:p>
      <w:pPr>
        <w:pageBreakBefore w:val="0"/>
        <w:kinsoku/>
        <w:wordWrap/>
        <w:overflowPunct/>
        <w:topLinePunct w:val="0"/>
        <w:autoSpaceDE/>
        <w:autoSpaceDN/>
        <w:bidi w:val="0"/>
        <w:adjustRightInd/>
        <w:snapToGrid/>
        <w:spacing w:line="336" w:lineRule="auto"/>
        <w:ind w:firstLine="420"/>
        <w:textAlignment w:val="auto"/>
        <w:rPr>
          <w:rFonts w:ascii="宋体" w:hAnsi="宋体" w:cs="宋体"/>
          <w:bCs/>
          <w:color w:val="auto"/>
          <w:szCs w:val="21"/>
          <w:highlight w:val="none"/>
        </w:rPr>
      </w:pPr>
      <w:r>
        <w:rPr>
          <w:rFonts w:hint="eastAsia" w:ascii="宋体" w:hAnsi="宋体" w:cs="宋体"/>
          <w:bCs/>
          <w:color w:val="auto"/>
          <w:szCs w:val="21"/>
          <w:highlight w:val="none"/>
        </w:rPr>
        <w:t>电子邮箱：</w:t>
      </w:r>
      <w:r>
        <w:rPr>
          <w:rFonts w:hint="eastAsia" w:ascii="宋体" w:hAnsi="宋体" w:cs="宋体"/>
          <w:bCs/>
          <w:color w:val="auto"/>
          <w:szCs w:val="21"/>
          <w:highlight w:val="none"/>
          <w:lang w:val="en-US" w:eastAsia="zh-CN"/>
        </w:rPr>
        <w:t>57513052</w:t>
      </w:r>
      <w:r>
        <w:rPr>
          <w:rFonts w:hint="eastAsia" w:ascii="宋体" w:hAnsi="宋体" w:cs="宋体"/>
          <w:bCs/>
          <w:color w:val="auto"/>
          <w:szCs w:val="21"/>
          <w:highlight w:val="none"/>
        </w:rPr>
        <w:t>@qq.com</w:t>
      </w:r>
    </w:p>
    <w:p>
      <w:pPr>
        <w:pageBreakBefore w:val="0"/>
        <w:kinsoku/>
        <w:wordWrap/>
        <w:overflowPunct/>
        <w:topLinePunct w:val="0"/>
        <w:autoSpaceDE/>
        <w:autoSpaceDN/>
        <w:bidi w:val="0"/>
        <w:adjustRightInd/>
        <w:snapToGrid/>
        <w:spacing w:line="336" w:lineRule="auto"/>
        <w:ind w:firstLine="42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2.1</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肺炎防疫期间，请各供应商遵守宁波市</w:t>
      </w:r>
      <w:r>
        <w:rPr>
          <w:rFonts w:hint="eastAsia" w:ascii="宋体" w:hAnsi="宋体" w:cs="宋体"/>
          <w:bCs/>
          <w:color w:val="auto"/>
          <w:szCs w:val="21"/>
          <w:highlight w:val="none"/>
          <w:lang w:val="en-US" w:eastAsia="zh-CN"/>
        </w:rPr>
        <w:t>北仑</w:t>
      </w:r>
      <w:r>
        <w:rPr>
          <w:rFonts w:hint="eastAsia" w:ascii="宋体" w:hAnsi="宋体" w:cs="宋体"/>
          <w:bCs/>
          <w:color w:val="auto"/>
          <w:szCs w:val="21"/>
          <w:highlight w:val="none"/>
        </w:rPr>
        <w:t>区公共资源交易中心各项防疫措施规定。</w:t>
      </w:r>
    </w:p>
    <w:p>
      <w:pPr>
        <w:pageBreakBefore w:val="0"/>
        <w:kinsoku/>
        <w:wordWrap/>
        <w:overflowPunct/>
        <w:topLinePunct w:val="0"/>
        <w:autoSpaceDE/>
        <w:autoSpaceDN/>
        <w:bidi w:val="0"/>
        <w:adjustRightInd/>
        <w:snapToGrid/>
        <w:spacing w:line="336" w:lineRule="auto"/>
        <w:ind w:firstLine="420"/>
        <w:textAlignment w:val="auto"/>
        <w:rPr>
          <w:rFonts w:hint="eastAsia" w:ascii="宋体" w:hAnsi="宋体" w:cs="宋体"/>
          <w:color w:val="auto"/>
          <w:szCs w:val="21"/>
          <w:highlight w:val="none"/>
          <w:lang w:val="en-US" w:eastAsia="zh-CN"/>
        </w:rPr>
      </w:pPr>
      <w:r>
        <w:rPr>
          <w:rFonts w:hint="eastAsia" w:ascii="宋体" w:hAnsi="宋体" w:cs="宋体"/>
          <w:bCs/>
          <w:color w:val="auto"/>
          <w:szCs w:val="21"/>
          <w:highlight w:val="none"/>
        </w:rPr>
        <w:t>2.1</w:t>
      </w:r>
      <w:r>
        <w:rPr>
          <w:rFonts w:hint="eastAsia" w:ascii="宋体" w:hAnsi="宋体" w:cs="宋体"/>
          <w:bCs/>
          <w:color w:val="auto"/>
          <w:szCs w:val="21"/>
          <w:highlight w:val="none"/>
          <w:lang w:val="en-US" w:eastAsia="zh-CN"/>
        </w:rPr>
        <w:t>3</w:t>
      </w:r>
      <w:r>
        <w:rPr>
          <w:rFonts w:hint="eastAsia" w:ascii="宋体" w:hAnsi="宋体" w:eastAsia="宋体" w:cs="宋体"/>
          <w:i w:val="0"/>
          <w:iCs w:val="0"/>
          <w:caps w:val="0"/>
          <w:color w:val="auto"/>
          <w:spacing w:val="0"/>
          <w:kern w:val="0"/>
          <w:sz w:val="21"/>
          <w:szCs w:val="21"/>
          <w:highlight w:val="none"/>
          <w:lang w:val="en-US" w:eastAsia="zh-CN" w:bidi="ar"/>
        </w:rPr>
        <w:t>本次政府采购活动有关信息在“中国政府采购网(www.ccgp.gov.cn)、浙江政府采购网（zfcg.czt.zj.gov.cn）”、“宁波政府采购网（www.nbzfcg.cn/）”、“宁波公共资源交易网北仑区分网（http://beilun.nbggzy.cn）”网站上公布，公布信息视同送达所有潜在供应商。请各供应商根据本采购文件的要约邀请，进行要约响应并自觉遵守各项响应承诺；否则采购人有权根据《浙江省政府采购供应商注册及诚信管理暂行办法》的规定向财政部门上报供应商的诚信状况，给采购人造成损失的还应当予以赔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240" w:beforeAutospacing="0" w:after="0" w:afterAutospacing="0" w:line="360" w:lineRule="auto"/>
        <w:ind w:left="0" w:leftChars="0" w:right="0" w:rightChars="0" w:firstLine="422" w:firstLineChars="20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caps w:val="0"/>
          <w:color w:val="auto"/>
          <w:spacing w:val="0"/>
          <w:kern w:val="0"/>
          <w:sz w:val="21"/>
          <w:szCs w:val="21"/>
          <w:highlight w:val="none"/>
          <w:shd w:val="clear" w:color="auto" w:fill="FFFFFF"/>
          <w:lang w:val="en-US" w:eastAsia="zh-CN" w:bidi="ar"/>
        </w:rPr>
        <w:t>七、对本次采购提出询问、质疑、投诉，请按以下方式联系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1.采购人信息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名称：宁波市自然资源和规划局</w:t>
      </w:r>
      <w:r>
        <w:rPr>
          <w:rFonts w:hint="eastAsia" w:ascii="宋体" w:hAnsi="宋体" w:cs="宋体"/>
          <w:i w:val="0"/>
          <w:caps w:val="0"/>
          <w:color w:val="auto"/>
          <w:spacing w:val="0"/>
          <w:kern w:val="0"/>
          <w:sz w:val="21"/>
          <w:szCs w:val="21"/>
          <w:highlight w:val="none"/>
          <w:shd w:val="clear" w:color="auto" w:fill="FFFFFF"/>
          <w:lang w:val="en-US" w:eastAsia="zh-CN" w:bidi="ar"/>
        </w:rPr>
        <w:t>北仑分局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地址：</w:t>
      </w:r>
      <w:r>
        <w:rPr>
          <w:rFonts w:hint="eastAsia" w:ascii="宋体" w:hAnsi="宋体" w:cs="Arial"/>
          <w:kern w:val="0"/>
          <w:szCs w:val="21"/>
          <w:highlight w:val="none"/>
        </w:rPr>
        <w:t>北仑区四明山路700号太河商务大楼</w:t>
      </w:r>
      <w:r>
        <w:rPr>
          <w:rFonts w:ascii="宋体" w:hAnsi="宋体" w:cs="Arial"/>
          <w:kern w:val="0"/>
          <w:szCs w:val="21"/>
          <w:highlight w:val="none"/>
        </w:rPr>
        <w:t>8</w:t>
      </w:r>
      <w:r>
        <w:rPr>
          <w:rFonts w:hint="eastAsia" w:ascii="宋体" w:hAnsi="宋体" w:cs="Arial"/>
          <w:kern w:val="0"/>
          <w:szCs w:val="21"/>
          <w:highlight w:val="none"/>
        </w:rPr>
        <w:t>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传真：</w:t>
      </w:r>
      <w:r>
        <w:rPr>
          <w:rFonts w:hint="eastAsia" w:ascii="宋体" w:hAnsi="宋体" w:cs="宋体"/>
          <w:i w:val="0"/>
          <w:caps w:val="0"/>
          <w:color w:val="auto"/>
          <w:spacing w:val="0"/>
          <w:kern w:val="0"/>
          <w:sz w:val="21"/>
          <w:szCs w:val="21"/>
          <w:highlight w:val="none"/>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项目联系人（询问）：</w:t>
      </w:r>
      <w:r>
        <w:rPr>
          <w:rFonts w:hint="eastAsia" w:ascii="宋体" w:hAnsi="宋体" w:cs="Arial"/>
          <w:kern w:val="0"/>
          <w:szCs w:val="21"/>
          <w:highlight w:val="none"/>
        </w:rPr>
        <w:t>于老师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项目联系方式（询问）：</w:t>
      </w:r>
      <w:r>
        <w:rPr>
          <w:rFonts w:hint="eastAsia" w:ascii="宋体" w:hAnsi="宋体" w:cs="Arial"/>
          <w:kern w:val="0"/>
          <w:szCs w:val="21"/>
          <w:highlight w:val="none"/>
        </w:rPr>
        <w:t>0574-</w:t>
      </w:r>
      <w:r>
        <w:rPr>
          <w:rFonts w:ascii="宋体" w:hAnsi="宋体" w:cs="Arial"/>
          <w:kern w:val="0"/>
          <w:szCs w:val="21"/>
          <w:highlight w:val="none"/>
        </w:rPr>
        <w:t>89384370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质疑联系人：石</w:t>
      </w:r>
      <w:r>
        <w:rPr>
          <w:rFonts w:hint="eastAsia" w:ascii="宋体" w:hAnsi="宋体" w:cs="宋体"/>
          <w:i w:val="0"/>
          <w:caps w:val="0"/>
          <w:color w:val="auto"/>
          <w:spacing w:val="0"/>
          <w:kern w:val="0"/>
          <w:sz w:val="21"/>
          <w:szCs w:val="21"/>
          <w:highlight w:val="none"/>
          <w:shd w:val="clear" w:color="auto" w:fill="FFFFFF"/>
          <w:lang w:val="en-US" w:eastAsia="zh-CN" w:bidi="ar"/>
        </w:rPr>
        <w:t>老师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质疑联系方式：0574-89286893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16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2.采购代理机构信息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名称：宁波之新招标咨询有限公司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地址：宁波海曙区高桥镇秀丰路755号三楼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传真：/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项目联系人（询问）：</w:t>
      </w:r>
      <w:r>
        <w:rPr>
          <w:rFonts w:hint="eastAsia" w:ascii="宋体" w:hAnsi="宋体" w:cs="宋体"/>
          <w:i w:val="0"/>
          <w:caps w:val="0"/>
          <w:color w:val="auto"/>
          <w:spacing w:val="0"/>
          <w:kern w:val="0"/>
          <w:sz w:val="21"/>
          <w:szCs w:val="21"/>
          <w:highlight w:val="none"/>
          <w:shd w:val="clear" w:color="auto" w:fill="FFFFFF"/>
          <w:lang w:val="en-US" w:eastAsia="zh-CN" w:bidi="ar"/>
        </w:rPr>
        <w:t>邓平、徐斌、姜梅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项目联系方式（询问）：0574-87208638</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质疑联系人：</w:t>
      </w:r>
      <w:r>
        <w:rPr>
          <w:rFonts w:hint="eastAsia" w:ascii="宋体" w:hAnsi="宋体" w:cs="宋体"/>
          <w:i w:val="0"/>
          <w:caps w:val="0"/>
          <w:color w:val="auto"/>
          <w:spacing w:val="0"/>
          <w:kern w:val="0"/>
          <w:sz w:val="21"/>
          <w:szCs w:val="21"/>
          <w:highlight w:val="none"/>
          <w:shd w:val="clear" w:color="auto" w:fill="FFFFFF"/>
          <w:lang w:val="en-US" w:eastAsia="zh-CN" w:bidi="ar"/>
        </w:rPr>
        <w:t>江华波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质疑联系方式：0574-87208639</w:t>
      </w:r>
    </w:p>
    <w:p>
      <w:pPr>
        <w:keepNext w:val="0"/>
        <w:keepLines w:val="0"/>
        <w:pageBreakBefore w:val="0"/>
        <w:widowControl w:val="0"/>
        <w:suppressLineNumbers w:val="0"/>
        <w:kinsoku/>
        <w:wordWrap/>
        <w:overflowPunct/>
        <w:topLinePunct w:val="0"/>
        <w:autoSpaceDE/>
        <w:autoSpaceDN/>
        <w:bidi w:val="0"/>
        <w:adjustRightInd/>
        <w:snapToGrid w:val="0"/>
        <w:spacing w:before="12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3.同级政府采购监督管理部门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名称：宁波市北仑区财政局采购办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地址：宁波市北仑区长江路1166号6楼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传真：/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联系人：</w:t>
      </w:r>
      <w:r>
        <w:rPr>
          <w:rFonts w:hint="eastAsia" w:ascii="宋体" w:hAnsi="宋体" w:cs="宋体"/>
          <w:i w:val="0"/>
          <w:iCs w:val="0"/>
          <w:caps w:val="0"/>
          <w:color w:val="auto"/>
          <w:spacing w:val="0"/>
          <w:kern w:val="0"/>
          <w:sz w:val="21"/>
          <w:szCs w:val="21"/>
          <w:highlight w:val="none"/>
          <w:lang w:val="en-US" w:eastAsia="zh-CN" w:bidi="ar"/>
        </w:rPr>
        <w:t>田老师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监督投诉电话：0574-89383756</w:t>
      </w:r>
    </w:p>
    <w:p>
      <w:pPr>
        <w:pageBreakBefore w:val="0"/>
        <w:widowControl w:val="0"/>
        <w:kinsoku/>
        <w:wordWrap/>
        <w:overflowPunct/>
        <w:topLinePunct w:val="0"/>
        <w:autoSpaceDE/>
        <w:autoSpaceDN/>
        <w:bidi w:val="0"/>
        <w:spacing w:line="360" w:lineRule="auto"/>
        <w:ind w:right="0" w:rightChars="0"/>
        <w:rPr>
          <w:rFonts w:hint="eastAsia" w:ascii="宋体" w:hAnsi="宋体" w:eastAsia="宋体" w:cs="宋体"/>
          <w:color w:val="auto"/>
          <w:szCs w:val="21"/>
          <w:highlight w:val="none"/>
        </w:rPr>
      </w:pPr>
    </w:p>
    <w:p>
      <w:pPr>
        <w:pStyle w:val="26"/>
        <w:ind w:left="0" w:leftChars="0" w:firstLine="0" w:firstLineChars="0"/>
        <w:rPr>
          <w:rFonts w:hint="eastAsia"/>
          <w:color w:val="auto"/>
          <w:highlight w:val="none"/>
        </w:rPr>
      </w:pPr>
    </w:p>
    <w:p>
      <w:pPr>
        <w:pageBreakBefore w:val="0"/>
        <w:widowControl w:val="0"/>
        <w:kinsoku/>
        <w:wordWrap/>
        <w:overflowPunct/>
        <w:topLinePunct w:val="0"/>
        <w:autoSpaceDE/>
        <w:autoSpaceDN/>
        <w:bidi w:val="0"/>
        <w:spacing w:line="360" w:lineRule="auto"/>
        <w:ind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rPr>
        <w:t>获取热线服务帮助。</w:t>
      </w:r>
    </w:p>
    <w:p>
      <w:pPr>
        <w:pageBreakBefore w:val="0"/>
        <w:widowControl w:val="0"/>
        <w:kinsoku/>
        <w:wordWrap/>
        <w:overflowPunct/>
        <w:topLinePunct w:val="0"/>
        <w:autoSpaceDE/>
        <w:autoSpaceDN/>
        <w:bidi w:val="0"/>
        <w:spacing w:line="360" w:lineRule="auto"/>
        <w:ind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CA问题联系电话（人工）：汇信CA 400-888-4636；天谷CA 400-087-8198。</w:t>
      </w:r>
    </w:p>
    <w:p>
      <w:pPr>
        <w:pageBreakBefore w:val="0"/>
        <w:kinsoku/>
        <w:wordWrap/>
        <w:overflowPunct/>
        <w:topLinePunct w:val="0"/>
        <w:autoSpaceDE/>
        <w:autoSpaceDN/>
        <w:bidi w:val="0"/>
        <w:ind w:left="0" w:leftChars="0" w:right="0" w:rightChars="0"/>
        <w:rPr>
          <w:rFonts w:hint="eastAsia"/>
          <w:color w:val="auto"/>
          <w:highlight w:val="none"/>
        </w:rPr>
      </w:pPr>
    </w:p>
    <w:p>
      <w:pPr>
        <w:pageBreakBefore w:val="0"/>
        <w:widowControl w:val="0"/>
        <w:kinsoku/>
        <w:wordWrap/>
        <w:overflowPunct/>
        <w:topLinePunct w:val="0"/>
        <w:autoSpaceDE/>
        <w:autoSpaceDN/>
        <w:bidi w:val="0"/>
        <w:snapToGrid w:val="0"/>
        <w:spacing w:before="120" w:after="120" w:line="360" w:lineRule="auto"/>
        <w:ind w:left="0" w:leftChars="0" w:right="0" w:rightChars="0"/>
        <w:rPr>
          <w:rFonts w:hint="eastAsia" w:ascii="宋体" w:hAnsi="宋体" w:cs="宋体"/>
          <w:color w:val="auto"/>
          <w:szCs w:val="21"/>
          <w:highlight w:val="none"/>
        </w:rPr>
        <w:sectPr>
          <w:footerReference r:id="rId8" w:type="first"/>
          <w:headerReference r:id="rId4" w:type="default"/>
          <w:footerReference r:id="rId6" w:type="default"/>
          <w:headerReference r:id="rId5" w:type="even"/>
          <w:footerReference r:id="rId7" w:type="even"/>
          <w:pgSz w:w="11906" w:h="16838"/>
          <w:pgMar w:top="1440" w:right="1800" w:bottom="1440" w:left="1800" w:header="851" w:footer="680" w:gutter="0"/>
          <w:pgNumType w:start="1"/>
          <w:cols w:space="720" w:num="1"/>
          <w:titlePg/>
          <w:docGrid w:linePitch="312" w:charSpace="0"/>
        </w:sectPr>
      </w:pPr>
    </w:p>
    <w:p>
      <w:pPr>
        <w:pageBreakBefore w:val="0"/>
        <w:widowControl w:val="0"/>
        <w:kinsoku/>
        <w:wordWrap/>
        <w:overflowPunct/>
        <w:topLinePunct w:val="0"/>
        <w:autoSpaceDE/>
        <w:autoSpaceDN/>
        <w:bidi w:val="0"/>
        <w:snapToGrid w:val="0"/>
        <w:spacing w:before="120" w:after="120" w:line="360" w:lineRule="auto"/>
        <w:ind w:left="0" w:leftChars="0" w:right="0" w:rightChars="0"/>
        <w:jc w:val="center"/>
        <w:outlineLvl w:val="0"/>
        <w:rPr>
          <w:rFonts w:hint="eastAsia" w:ascii="宋体" w:hAnsi="宋体" w:eastAsia="宋体" w:cs="宋体"/>
          <w:b/>
          <w:color w:val="auto"/>
          <w:sz w:val="28"/>
          <w:szCs w:val="28"/>
          <w:highlight w:val="none"/>
        </w:rPr>
      </w:pPr>
      <w:bookmarkStart w:id="2" w:name="_Toc25243"/>
      <w:bookmarkStart w:id="3" w:name="_Toc438734532"/>
      <w:r>
        <w:rPr>
          <w:rFonts w:hint="eastAsia" w:ascii="宋体" w:hAnsi="宋体" w:eastAsia="宋体" w:cs="宋体"/>
          <w:b/>
          <w:color w:val="auto"/>
          <w:sz w:val="28"/>
          <w:szCs w:val="28"/>
          <w:highlight w:val="none"/>
        </w:rPr>
        <w:t>第二章  招标需求</w:t>
      </w:r>
      <w:bookmarkEnd w:id="2"/>
      <w:bookmarkEnd w:id="3"/>
    </w:p>
    <w:p>
      <w:pPr>
        <w:pageBreakBefore w:val="0"/>
        <w:widowControl w:val="0"/>
        <w:kinsoku/>
        <w:wordWrap/>
        <w:overflowPunct/>
        <w:topLinePunct w:val="0"/>
        <w:autoSpaceDE/>
        <w:autoSpaceDN/>
        <w:bidi w:val="0"/>
        <w:spacing w:line="360" w:lineRule="auto"/>
        <w:ind w:left="0" w:leftChars="0" w:right="0" w:rightChars="0"/>
        <w:rPr>
          <w:rFonts w:hint="eastAsia" w:ascii="宋体" w:hAnsi="宋体" w:eastAsia="宋体" w:cs="宋体"/>
          <w:color w:val="auto"/>
          <w:highlight w:val="none"/>
        </w:rPr>
      </w:pPr>
      <w:bookmarkStart w:id="4" w:name="_Toc397588695"/>
    </w:p>
    <w:bookmarkEnd w:id="4"/>
    <w:p>
      <w:pPr>
        <w:spacing w:line="360" w:lineRule="auto"/>
        <w:rPr>
          <w:rFonts w:hint="eastAsia" w:ascii="宋体" w:hAnsi="宋体" w:eastAsia="宋体" w:cs="Arial"/>
          <w:bCs/>
          <w:szCs w:val="21"/>
          <w:highlight w:val="none"/>
          <w:lang w:eastAsia="zh-CN"/>
        </w:rPr>
      </w:pPr>
      <w:bookmarkStart w:id="5" w:name="_Toc438734533"/>
      <w:r>
        <w:rPr>
          <w:rFonts w:hint="eastAsia" w:ascii="宋体" w:hAnsi="宋体"/>
          <w:highlight w:val="none"/>
        </w:rPr>
        <w:t>项目编号</w:t>
      </w:r>
      <w:r>
        <w:rPr>
          <w:rFonts w:ascii="宋体" w:hAnsi="宋体"/>
          <w:highlight w:val="none"/>
        </w:rPr>
        <w:t>：</w:t>
      </w:r>
      <w:r>
        <w:rPr>
          <w:rFonts w:hint="eastAsia" w:ascii="宋体" w:hAnsi="宋体" w:cs="Arial"/>
          <w:bCs/>
          <w:szCs w:val="21"/>
          <w:highlight w:val="none"/>
        </w:rPr>
        <w:t>NBZX-</w:t>
      </w:r>
      <w:r>
        <w:rPr>
          <w:rFonts w:hint="eastAsia" w:ascii="宋体" w:hAnsi="宋体" w:cs="Arial"/>
          <w:bCs/>
          <w:szCs w:val="21"/>
          <w:highlight w:val="none"/>
          <w:lang w:eastAsia="zh-CN"/>
        </w:rPr>
        <w:t>20230120G-BL002</w:t>
      </w:r>
    </w:p>
    <w:p>
      <w:pPr>
        <w:spacing w:line="360" w:lineRule="auto"/>
        <w:rPr>
          <w:rFonts w:hint="eastAsia" w:ascii="宋体" w:hAnsi="宋体"/>
          <w:highlight w:val="none"/>
        </w:rPr>
      </w:pPr>
      <w:r>
        <w:rPr>
          <w:rFonts w:hint="eastAsia" w:ascii="宋体" w:hAnsi="宋体" w:cs="Arial"/>
          <w:bCs/>
          <w:szCs w:val="21"/>
          <w:highlight w:val="none"/>
        </w:rPr>
        <w:t>项目名称：</w:t>
      </w:r>
      <w:r>
        <w:rPr>
          <w:rFonts w:hint="eastAsia" w:ascii="宋体" w:hAnsi="宋体"/>
          <w:bCs/>
          <w:szCs w:val="21"/>
          <w:highlight w:val="none"/>
          <w:lang w:eastAsia="zh-CN"/>
        </w:rPr>
        <w:t>2023-2025</w:t>
      </w:r>
      <w:r>
        <w:rPr>
          <w:rFonts w:hint="eastAsia" w:hAnsi="宋体"/>
          <w:bCs/>
          <w:szCs w:val="21"/>
          <w:highlight w:val="none"/>
        </w:rPr>
        <w:t>年北仑区土地使用权出让地价委托评估项目</w:t>
      </w:r>
    </w:p>
    <w:p>
      <w:pPr>
        <w:spacing w:line="360" w:lineRule="auto"/>
        <w:rPr>
          <w:rFonts w:ascii="宋体" w:hAnsi="宋体" w:cs="Arial"/>
          <w:kern w:val="0"/>
          <w:szCs w:val="21"/>
          <w:highlight w:val="none"/>
        </w:rPr>
      </w:pPr>
      <w:r>
        <w:rPr>
          <w:rFonts w:hint="eastAsia" w:ascii="宋体" w:hAnsi="宋体"/>
          <w:highlight w:val="none"/>
        </w:rPr>
        <w:t>采购单位</w:t>
      </w:r>
      <w:r>
        <w:rPr>
          <w:rFonts w:ascii="宋体" w:hAnsi="宋体"/>
          <w:highlight w:val="none"/>
        </w:rPr>
        <w:t>：</w:t>
      </w:r>
      <w:r>
        <w:rPr>
          <w:rFonts w:hint="eastAsia" w:ascii="宋体" w:hAnsi="宋体" w:cs="Arial"/>
          <w:kern w:val="0"/>
          <w:szCs w:val="21"/>
          <w:highlight w:val="none"/>
        </w:rPr>
        <w:t>宁波市自然资源和规划局北仑分局</w:t>
      </w:r>
    </w:p>
    <w:p>
      <w:pPr>
        <w:numPr>
          <w:ilvl w:val="0"/>
          <w:numId w:val="2"/>
        </w:numPr>
        <w:spacing w:line="360" w:lineRule="auto"/>
        <w:rPr>
          <w:rFonts w:hint="eastAsia" w:ascii="宋体" w:hAnsi="宋体" w:cs="Arial"/>
          <w:b/>
          <w:kern w:val="0"/>
          <w:szCs w:val="21"/>
          <w:highlight w:val="none"/>
          <w:lang w:val="en-US" w:eastAsia="zh-CN"/>
        </w:rPr>
      </w:pPr>
      <w:r>
        <w:rPr>
          <w:rFonts w:hint="eastAsia" w:ascii="宋体" w:hAnsi="宋体" w:cs="Arial"/>
          <w:b/>
          <w:kern w:val="0"/>
          <w:szCs w:val="21"/>
          <w:highlight w:val="none"/>
          <w:lang w:val="en-US" w:eastAsia="zh-CN"/>
        </w:rPr>
        <w:t>基本情况：</w:t>
      </w:r>
    </w:p>
    <w:p>
      <w:pPr>
        <w:spacing w:line="360" w:lineRule="auto"/>
        <w:ind w:firstLine="420" w:firstLineChars="200"/>
        <w:rPr>
          <w:rFonts w:hint="eastAsia" w:ascii="宋体" w:hAnsi="宋体" w:cs="Times New Roman"/>
          <w:bCs/>
          <w:highlight w:val="none"/>
          <w:lang w:val="en-US" w:eastAsia="zh-CN"/>
        </w:rPr>
      </w:pPr>
      <w:r>
        <w:rPr>
          <w:rFonts w:hint="eastAsia" w:ascii="宋体" w:hAnsi="宋体" w:cs="Times New Roman"/>
          <w:bCs/>
          <w:highlight w:val="none"/>
          <w:lang w:val="en-US" w:eastAsia="zh-CN"/>
        </w:rPr>
        <w:t>采购内容：</w:t>
      </w:r>
      <w:r>
        <w:rPr>
          <w:rFonts w:hint="eastAsia" w:ascii="宋体" w:hAnsi="宋体" w:cs="Times New Roman"/>
          <w:bCs/>
          <w:highlight w:val="none"/>
          <w:lang w:eastAsia="zh-CN"/>
        </w:rPr>
        <w:t>2023-2025</w:t>
      </w:r>
      <w:r>
        <w:rPr>
          <w:rFonts w:hint="eastAsia" w:ascii="宋体" w:hAnsi="宋体" w:cs="Times New Roman"/>
          <w:bCs/>
          <w:highlight w:val="none"/>
        </w:rPr>
        <w:t>年北仑区土地使用权出让地价委托评估服务</w:t>
      </w:r>
    </w:p>
    <w:p>
      <w:pPr>
        <w:spacing w:line="360" w:lineRule="auto"/>
        <w:ind w:firstLine="420" w:firstLineChars="200"/>
        <w:rPr>
          <w:rFonts w:hint="eastAsia" w:ascii="宋体" w:hAnsi="宋体" w:cs="Times New Roman"/>
          <w:bCs/>
          <w:highlight w:val="none"/>
          <w:lang w:val="en-US" w:eastAsia="zh-CN"/>
        </w:rPr>
      </w:pPr>
      <w:r>
        <w:rPr>
          <w:rFonts w:hint="eastAsia" w:ascii="宋体" w:hAnsi="宋体" w:cs="Times New Roman"/>
          <w:bCs/>
          <w:highlight w:val="none"/>
          <w:lang w:val="en-US" w:eastAsia="zh-CN"/>
        </w:rPr>
        <w:t>中标人数量：1家</w:t>
      </w:r>
    </w:p>
    <w:p>
      <w:pPr>
        <w:spacing w:line="360" w:lineRule="auto"/>
        <w:ind w:firstLine="420" w:firstLineChars="200"/>
        <w:rPr>
          <w:rFonts w:hint="default" w:ascii="宋体" w:hAnsi="宋体" w:cs="Times New Roman"/>
          <w:bCs/>
          <w:highlight w:val="none"/>
          <w:lang w:val="en-US" w:eastAsia="zh-CN"/>
        </w:rPr>
      </w:pPr>
      <w:r>
        <w:rPr>
          <w:rFonts w:hint="eastAsia" w:ascii="宋体" w:hAnsi="宋体" w:cs="Times New Roman"/>
          <w:bCs/>
          <w:highlight w:val="none"/>
          <w:lang w:val="en-US" w:eastAsia="zh-CN"/>
        </w:rPr>
        <w:t>服务期限：3年，合同1年1签</w:t>
      </w:r>
    </w:p>
    <w:p>
      <w:pPr>
        <w:numPr>
          <w:ilvl w:val="0"/>
          <w:numId w:val="3"/>
        </w:numPr>
        <w:spacing w:before="240" w:line="360" w:lineRule="auto"/>
        <w:rPr>
          <w:rFonts w:hint="eastAsia" w:ascii="宋体" w:hAnsi="宋体"/>
          <w:b/>
          <w:highlight w:val="none"/>
        </w:rPr>
      </w:pPr>
      <w:r>
        <w:rPr>
          <w:rFonts w:hint="eastAsia" w:ascii="宋体" w:hAnsi="宋体"/>
          <w:b/>
          <w:highlight w:val="none"/>
        </w:rPr>
        <w:t>商务要求</w:t>
      </w:r>
    </w:p>
    <w:p>
      <w:pPr>
        <w:spacing w:line="360" w:lineRule="auto"/>
        <w:ind w:firstLine="420" w:firstLineChars="200"/>
        <w:rPr>
          <w:rFonts w:hint="eastAsia" w:ascii="宋体" w:hAnsi="宋体"/>
          <w:bCs/>
          <w:highlight w:val="none"/>
        </w:rPr>
      </w:pPr>
      <w:r>
        <w:rPr>
          <w:rFonts w:hint="eastAsia" w:ascii="宋体" w:hAnsi="宋体"/>
          <w:bCs/>
          <w:highlight w:val="none"/>
        </w:rPr>
        <w:t>1、委托评估期限和合同签订：委托评估期限为3</w:t>
      </w:r>
      <w:r>
        <w:rPr>
          <w:rFonts w:hint="eastAsia" w:ascii="宋体" w:hAnsi="宋体"/>
          <w:highlight w:val="none"/>
        </w:rPr>
        <w:t>年，合同一年一签，第一年合同期满后，根据履约情况，经双方协商一致，可续签一年并报区采购办备案</w:t>
      </w:r>
      <w:r>
        <w:rPr>
          <w:rFonts w:hint="eastAsia" w:ascii="宋体" w:hAnsi="宋体"/>
          <w:bCs/>
          <w:highlight w:val="none"/>
        </w:rPr>
        <w:t>。</w:t>
      </w:r>
    </w:p>
    <w:p>
      <w:pPr>
        <w:spacing w:line="360" w:lineRule="auto"/>
        <w:ind w:firstLine="420" w:firstLineChars="200"/>
        <w:rPr>
          <w:rFonts w:hint="eastAsia" w:ascii="宋体" w:hAnsi="宋体"/>
          <w:bCs/>
          <w:highlight w:val="none"/>
        </w:rPr>
      </w:pPr>
      <w:r>
        <w:rPr>
          <w:rFonts w:hint="eastAsia" w:ascii="宋体" w:hAnsi="宋体"/>
          <w:bCs/>
          <w:highlight w:val="none"/>
        </w:rPr>
        <w:t>2、委托评估方式及时限要求：中标供应商必须在招标人指定时间内完成地价评估报告。</w:t>
      </w:r>
    </w:p>
    <w:p>
      <w:pPr>
        <w:spacing w:line="360" w:lineRule="auto"/>
        <w:ind w:firstLine="420" w:firstLineChars="200"/>
        <w:rPr>
          <w:rFonts w:hint="eastAsia" w:ascii="宋体" w:hAnsi="宋体"/>
          <w:bCs/>
          <w:highlight w:val="none"/>
        </w:rPr>
      </w:pPr>
      <w:r>
        <w:rPr>
          <w:rFonts w:hint="eastAsia" w:ascii="宋体" w:hAnsi="宋体"/>
          <w:bCs/>
          <w:highlight w:val="none"/>
        </w:rPr>
        <w:t>3、投标报价及评估服务费的结算方式：</w:t>
      </w:r>
    </w:p>
    <w:p>
      <w:pPr>
        <w:spacing w:line="360" w:lineRule="auto"/>
        <w:ind w:firstLine="420" w:firstLineChars="200"/>
        <w:rPr>
          <w:rFonts w:hint="eastAsia" w:ascii="宋体" w:hAnsi="宋体"/>
          <w:bCs/>
          <w:highlight w:val="none"/>
        </w:rPr>
      </w:pPr>
      <w:r>
        <w:rPr>
          <w:rFonts w:hint="eastAsia" w:ascii="宋体" w:hAnsi="宋体"/>
          <w:bCs/>
          <w:highlight w:val="none"/>
        </w:rPr>
        <w:t>*3.1</w:t>
      </w:r>
      <w:r>
        <w:rPr>
          <w:rFonts w:ascii="宋体" w:hAnsi="宋体"/>
          <w:bCs/>
          <w:highlight w:val="none"/>
        </w:rPr>
        <w:t xml:space="preserve"> </w:t>
      </w:r>
      <w:r>
        <w:rPr>
          <w:rFonts w:hint="eastAsia" w:ascii="宋体" w:hAnsi="宋体"/>
          <w:bCs/>
          <w:highlight w:val="none"/>
        </w:rPr>
        <w:t>投标报价：按浙江省物价局浙价服〔2005〕6号文件规定的收费标准的百分比例报价，最高不超过该规定标准的</w:t>
      </w:r>
      <w:r>
        <w:rPr>
          <w:rFonts w:hint="eastAsia" w:ascii="宋体" w:hAnsi="宋体"/>
          <w:bCs/>
          <w:highlight w:val="none"/>
          <w:lang w:eastAsia="zh-CN"/>
        </w:rPr>
        <w:t>60</w:t>
      </w:r>
      <w:r>
        <w:rPr>
          <w:rFonts w:hint="eastAsia" w:ascii="宋体" w:hAnsi="宋体"/>
          <w:bCs/>
          <w:highlight w:val="none"/>
        </w:rPr>
        <w:t>%，超过限价的投标报价按无效标处理。</w:t>
      </w:r>
    </w:p>
    <w:p>
      <w:pPr>
        <w:spacing w:line="360" w:lineRule="auto"/>
        <w:ind w:firstLine="420" w:firstLineChars="200"/>
        <w:rPr>
          <w:rFonts w:hint="eastAsia" w:ascii="宋体" w:hAnsi="宋体"/>
          <w:bCs/>
          <w:highlight w:val="none"/>
        </w:rPr>
      </w:pPr>
      <w:r>
        <w:rPr>
          <w:rFonts w:hint="eastAsia" w:ascii="宋体" w:hAnsi="宋体"/>
          <w:bCs/>
          <w:highlight w:val="none"/>
        </w:rPr>
        <w:t>3.2</w:t>
      </w:r>
      <w:r>
        <w:rPr>
          <w:rFonts w:ascii="宋体" w:hAnsi="宋体"/>
          <w:bCs/>
          <w:highlight w:val="none"/>
        </w:rPr>
        <w:t xml:space="preserve"> </w:t>
      </w:r>
      <w:r>
        <w:rPr>
          <w:rFonts w:hint="eastAsia" w:ascii="宋体" w:hAnsi="宋体"/>
          <w:bCs/>
          <w:highlight w:val="none"/>
        </w:rPr>
        <w:t>本项目投标报价应该包含所有与本采购服务相关的、应支付的所有费用（包括需要向第三方支付的专利权、版权、设计或其他知识产权一切费用以及交通、住宿、成果专家评审等费用）。</w:t>
      </w:r>
    </w:p>
    <w:p>
      <w:pPr>
        <w:spacing w:line="360" w:lineRule="auto"/>
        <w:ind w:firstLine="420" w:firstLineChars="200"/>
        <w:rPr>
          <w:rFonts w:hint="eastAsia" w:ascii="宋体"/>
          <w:szCs w:val="21"/>
          <w:highlight w:val="none"/>
        </w:rPr>
      </w:pPr>
      <w:r>
        <w:rPr>
          <w:rFonts w:hint="eastAsia" w:ascii="宋体" w:hAnsi="宋体"/>
          <w:bCs/>
          <w:highlight w:val="none"/>
        </w:rPr>
        <w:t>3.3</w:t>
      </w:r>
      <w:r>
        <w:rPr>
          <w:rFonts w:ascii="宋体" w:hAnsi="宋体"/>
          <w:bCs/>
          <w:highlight w:val="none"/>
        </w:rPr>
        <w:t xml:space="preserve"> </w:t>
      </w:r>
      <w:r>
        <w:rPr>
          <w:rFonts w:hint="eastAsia" w:ascii="宋体"/>
          <w:szCs w:val="21"/>
          <w:highlight w:val="none"/>
        </w:rPr>
        <w:t>付款方式：</w:t>
      </w:r>
    </w:p>
    <w:p>
      <w:pPr>
        <w:spacing w:line="360" w:lineRule="auto"/>
        <w:ind w:firstLine="420" w:firstLineChars="200"/>
        <w:rPr>
          <w:rFonts w:hint="eastAsia" w:ascii="宋体"/>
          <w:color w:val="auto"/>
          <w:szCs w:val="21"/>
          <w:highlight w:val="none"/>
        </w:rPr>
      </w:pPr>
      <w:r>
        <w:rPr>
          <w:rFonts w:hint="eastAsia" w:ascii="宋体"/>
          <w:color w:val="auto"/>
          <w:szCs w:val="21"/>
          <w:highlight w:val="none"/>
          <w:lang w:val="en-US" w:eastAsia="zh-CN"/>
        </w:rPr>
        <w:t>3.3.1</w:t>
      </w:r>
      <w:r>
        <w:rPr>
          <w:rFonts w:hint="eastAsia" w:ascii="宋体"/>
          <w:color w:val="auto"/>
          <w:szCs w:val="21"/>
          <w:highlight w:val="none"/>
        </w:rPr>
        <w:t>合同生效以及具备实施条件后7个工作日内，采购人支付合同金额</w:t>
      </w:r>
      <w:r>
        <w:rPr>
          <w:rFonts w:hint="eastAsia" w:ascii="宋体"/>
          <w:color w:val="auto"/>
          <w:szCs w:val="21"/>
          <w:highlight w:val="none"/>
          <w:lang w:eastAsia="zh-CN"/>
        </w:rPr>
        <w:t>（</w:t>
      </w:r>
      <w:r>
        <w:rPr>
          <w:rFonts w:hint="eastAsia" w:ascii="宋体"/>
          <w:color w:val="auto"/>
          <w:szCs w:val="21"/>
          <w:highlight w:val="none"/>
          <w:lang w:val="en-US" w:eastAsia="zh-CN"/>
        </w:rPr>
        <w:t>即该年度预算金额</w:t>
      </w:r>
      <w:r>
        <w:rPr>
          <w:rFonts w:hint="eastAsia" w:ascii="宋体"/>
          <w:color w:val="auto"/>
          <w:szCs w:val="21"/>
          <w:highlight w:val="none"/>
          <w:lang w:eastAsia="zh-CN"/>
        </w:rPr>
        <w:t>）</w:t>
      </w:r>
      <w:r>
        <w:rPr>
          <w:rFonts w:hint="eastAsia" w:ascii="宋体"/>
          <w:color w:val="auto"/>
          <w:szCs w:val="21"/>
          <w:highlight w:val="none"/>
        </w:rPr>
        <w:t>的40%。如中标人为非中小企业，或在签订合同时，中标人明确表示无需预付款的，可不预付合同款；如中标人主动要求降低预付款比例的，可降低预付款比例。</w:t>
      </w:r>
    </w:p>
    <w:p>
      <w:pPr>
        <w:spacing w:line="360" w:lineRule="auto"/>
        <w:ind w:firstLine="420" w:firstLineChars="200"/>
        <w:rPr>
          <w:rFonts w:hint="eastAsia" w:ascii="宋体" w:cs="Times New Roman"/>
          <w:color w:val="auto"/>
          <w:szCs w:val="21"/>
          <w:highlight w:val="none"/>
          <w:lang w:val="en-US" w:eastAsia="zh-CN"/>
        </w:rPr>
      </w:pPr>
      <w:r>
        <w:rPr>
          <w:rFonts w:hint="eastAsia" w:ascii="宋体" w:cs="Times New Roman"/>
          <w:color w:val="auto"/>
          <w:szCs w:val="21"/>
          <w:highlight w:val="none"/>
          <w:lang w:val="en-US" w:eastAsia="zh-CN"/>
        </w:rPr>
        <w:t>3.3.2余款在确认中标方有效履行当年度合同后据实结算，自收到发票后7个工作日内付清。</w:t>
      </w:r>
    </w:p>
    <w:p>
      <w:pPr>
        <w:spacing w:line="360" w:lineRule="auto"/>
        <w:ind w:firstLine="420" w:firstLineChars="200"/>
        <w:rPr>
          <w:rFonts w:hint="eastAsia" w:ascii="宋体" w:cs="Times New Roman"/>
          <w:color w:val="FF0000"/>
          <w:szCs w:val="21"/>
          <w:highlight w:val="none"/>
          <w:lang w:val="en-US" w:eastAsia="zh-CN"/>
        </w:rPr>
      </w:pPr>
      <w:r>
        <w:rPr>
          <w:rFonts w:hint="eastAsia" w:ascii="宋体" w:cs="Times New Roman"/>
          <w:color w:val="auto"/>
          <w:szCs w:val="21"/>
          <w:highlight w:val="none"/>
          <w:lang w:val="en-US" w:eastAsia="zh-CN"/>
        </w:rPr>
        <w:t>3.3.3项目评估报告上报不被上级部门批准或未经委托方会审通过不计付评估费。</w:t>
      </w:r>
    </w:p>
    <w:p>
      <w:pPr>
        <w:spacing w:line="360" w:lineRule="auto"/>
        <w:ind w:firstLine="420" w:firstLineChars="200"/>
        <w:rPr>
          <w:rFonts w:hint="eastAsia" w:ascii="宋体" w:hAnsi="宋体"/>
          <w:b/>
          <w:highlight w:val="none"/>
        </w:rPr>
      </w:pPr>
      <w:r>
        <w:rPr>
          <w:rFonts w:hint="eastAsia" w:ascii="宋体" w:hAnsi="宋体"/>
          <w:bCs/>
          <w:highlight w:val="none"/>
        </w:rPr>
        <w:t>4、违约责任：中标供应商需确保评估工作认真负责，廉洁诚信，若发生评估报告质量屡屡不高或者有不廉洁诚信行为，如出具虚假或严重失实报告、高额回扣商业贿赂等违法行为的，招标人有权终止委托合同，并将合同期内总评估服务费用的15%作为违约金，不予支付。</w:t>
      </w:r>
    </w:p>
    <w:p>
      <w:pPr>
        <w:spacing w:line="360" w:lineRule="auto"/>
        <w:rPr>
          <w:rFonts w:hint="eastAsia" w:ascii="宋体" w:hAnsi="宋体"/>
          <w:b/>
          <w:highlight w:val="none"/>
        </w:rPr>
      </w:pPr>
      <w:r>
        <w:rPr>
          <w:rFonts w:hint="eastAsia" w:ascii="宋体" w:hAnsi="宋体"/>
          <w:b/>
          <w:highlight w:val="none"/>
        </w:rPr>
        <w:t>三、项目范围</w:t>
      </w:r>
    </w:p>
    <w:p>
      <w:pPr>
        <w:spacing w:line="360" w:lineRule="auto"/>
        <w:rPr>
          <w:rFonts w:hint="eastAsia" w:ascii="宋体" w:hAnsi="宋体"/>
          <w:szCs w:val="21"/>
          <w:highlight w:val="none"/>
        </w:rPr>
      </w:pPr>
      <w:r>
        <w:rPr>
          <w:rFonts w:hint="eastAsia" w:ascii="宋体" w:hAnsi="宋体"/>
          <w:szCs w:val="21"/>
          <w:highlight w:val="none"/>
        </w:rPr>
        <w:t xml:space="preserve">    </w:t>
      </w:r>
      <w:r>
        <w:rPr>
          <w:rFonts w:hint="eastAsia" w:ascii="宋体" w:hAnsi="宋体" w:eastAsia="宋体" w:cs="宋体"/>
          <w:i w:val="0"/>
          <w:caps w:val="0"/>
          <w:color w:val="auto"/>
          <w:spacing w:val="0"/>
          <w:kern w:val="0"/>
          <w:sz w:val="21"/>
          <w:szCs w:val="21"/>
          <w:highlight w:val="none"/>
          <w:shd w:val="clear" w:color="auto" w:fill="FFFFFF"/>
          <w:lang w:val="en-US" w:eastAsia="zh-CN" w:bidi="ar"/>
        </w:rPr>
        <w:t>对宁波市北仑区内（含大榭、保税区）的土地出让（含出租、收购等）（市局项目除外）地价委托评估，</w:t>
      </w:r>
      <w:r>
        <w:rPr>
          <w:rFonts w:hint="eastAsia" w:ascii="宋体" w:hAnsi="宋体" w:cs="宋体"/>
          <w:szCs w:val="21"/>
          <w:highlight w:val="none"/>
        </w:rPr>
        <w:t>如遇</w:t>
      </w:r>
      <w:r>
        <w:rPr>
          <w:rFonts w:ascii="宋体" w:hAnsi="宋体" w:cs="宋体"/>
          <w:szCs w:val="21"/>
          <w:highlight w:val="none"/>
        </w:rPr>
        <w:t>政策调整或上级要求导致评估范围有调整的，中标人须无条件服从采购人的安排</w:t>
      </w:r>
      <w:r>
        <w:rPr>
          <w:rFonts w:hint="eastAsia" w:ascii="宋体" w:hAnsi="宋体"/>
          <w:szCs w:val="21"/>
          <w:highlight w:val="none"/>
        </w:rPr>
        <w:t>。</w:t>
      </w:r>
    </w:p>
    <w:p>
      <w:pPr>
        <w:spacing w:line="360" w:lineRule="auto"/>
        <w:rPr>
          <w:rFonts w:hint="eastAsia" w:ascii="宋体" w:hAnsi="宋体"/>
          <w:b/>
          <w:highlight w:val="none"/>
        </w:rPr>
      </w:pPr>
      <w:r>
        <w:rPr>
          <w:rFonts w:hint="eastAsia" w:ascii="宋体" w:hAnsi="宋体"/>
          <w:b/>
          <w:highlight w:val="none"/>
        </w:rPr>
        <w:t>四、招标技术要求</w:t>
      </w:r>
    </w:p>
    <w:p>
      <w:pPr>
        <w:spacing w:line="360" w:lineRule="auto"/>
        <w:rPr>
          <w:rFonts w:hint="eastAsia" w:ascii="宋体" w:hAnsi="宋体"/>
          <w:szCs w:val="21"/>
          <w:highlight w:val="none"/>
        </w:rPr>
      </w:pPr>
      <w:r>
        <w:rPr>
          <w:rFonts w:hint="eastAsia" w:ascii="宋体" w:hAnsi="宋体"/>
          <w:szCs w:val="21"/>
          <w:highlight w:val="none"/>
        </w:rPr>
        <w:t xml:space="preserve">    1、投标供应商必须保证足够的技术力量。</w:t>
      </w:r>
    </w:p>
    <w:p>
      <w:pPr>
        <w:spacing w:line="360" w:lineRule="auto"/>
        <w:rPr>
          <w:rFonts w:hint="eastAsia" w:ascii="宋体" w:hAnsi="宋体"/>
          <w:szCs w:val="21"/>
          <w:highlight w:val="none"/>
        </w:rPr>
      </w:pPr>
      <w:r>
        <w:rPr>
          <w:rFonts w:hint="eastAsia" w:ascii="宋体" w:hAnsi="宋体"/>
          <w:szCs w:val="21"/>
          <w:highlight w:val="none"/>
        </w:rPr>
        <w:t xml:space="preserve">    2、投标供应商必须按照招标人的委托事项进行评估。</w:t>
      </w:r>
    </w:p>
    <w:p>
      <w:pPr>
        <w:spacing w:line="360" w:lineRule="auto"/>
        <w:rPr>
          <w:rFonts w:hint="eastAsia" w:ascii="宋体" w:hAnsi="宋体"/>
          <w:szCs w:val="21"/>
          <w:highlight w:val="none"/>
        </w:rPr>
      </w:pPr>
      <w:r>
        <w:rPr>
          <w:rFonts w:hint="eastAsia" w:ascii="宋体" w:hAnsi="宋体"/>
          <w:szCs w:val="21"/>
          <w:highlight w:val="none"/>
        </w:rPr>
        <w:t xml:space="preserve">    3、要求中标评估机构严格遵守法律、法规，本着“客观、真实、公正”的原则， 根据委托方要求，按国家规定的土地估价技术规范要求进行评估，并对出具的土地估价报告(含技术报告)和土地估价结果独立承担法律责任。廉洁公正、诚实守信，不徇私舞弊，保证评估价格客观、公正、合理。</w:t>
      </w:r>
    </w:p>
    <w:p>
      <w:pPr>
        <w:spacing w:line="360" w:lineRule="auto"/>
        <w:rPr>
          <w:rFonts w:hint="eastAsia" w:ascii="宋体" w:hAnsi="宋体"/>
          <w:szCs w:val="21"/>
          <w:highlight w:val="none"/>
        </w:rPr>
      </w:pPr>
      <w:r>
        <w:rPr>
          <w:rFonts w:hint="eastAsia" w:ascii="宋体" w:hAnsi="宋体"/>
          <w:szCs w:val="21"/>
          <w:highlight w:val="none"/>
        </w:rPr>
        <w:t xml:space="preserve">    4、投标供应商对出具的报告的真实性、合法性和公正性负法律责任和经济责任，并对报告负有保密责任。</w:t>
      </w:r>
    </w:p>
    <w:p>
      <w:pPr>
        <w:spacing w:line="360" w:lineRule="auto"/>
        <w:ind w:firstLine="420"/>
        <w:rPr>
          <w:rFonts w:hint="eastAsia" w:ascii="宋体" w:hAnsi="宋体"/>
          <w:szCs w:val="21"/>
          <w:highlight w:val="none"/>
        </w:rPr>
      </w:pPr>
      <w:r>
        <w:rPr>
          <w:rFonts w:hint="eastAsia" w:ascii="宋体" w:hAnsi="宋体"/>
          <w:szCs w:val="21"/>
          <w:highlight w:val="none"/>
        </w:rPr>
        <w:t>5、投标供应商必须严格按照《城镇土地估价规程》、《国有建设用地使用权出让地价评估技术规范（试行）》的工作标准执行，进行拍照、存档等工作，所获数据真实可靠。</w:t>
      </w:r>
    </w:p>
    <w:p>
      <w:pPr>
        <w:spacing w:line="360" w:lineRule="auto"/>
        <w:ind w:firstLine="420" w:firstLineChars="200"/>
        <w:rPr>
          <w:rFonts w:hint="eastAsia" w:ascii="宋体" w:hAnsi="宋体"/>
          <w:szCs w:val="21"/>
          <w:highlight w:val="none"/>
        </w:rPr>
      </w:pPr>
      <w:r>
        <w:rPr>
          <w:rFonts w:hint="eastAsia" w:ascii="宋体" w:hAnsi="宋体"/>
          <w:szCs w:val="21"/>
          <w:highlight w:val="none"/>
        </w:rPr>
        <w:t>6、不允许转包和分包项目。</w:t>
      </w:r>
    </w:p>
    <w:p>
      <w:pPr>
        <w:spacing w:before="240" w:line="360" w:lineRule="auto"/>
        <w:jc w:val="left"/>
        <w:rPr>
          <w:rFonts w:ascii="宋体" w:hAnsi="宋体"/>
          <w:b/>
          <w:bCs/>
          <w:szCs w:val="21"/>
          <w:highlight w:val="none"/>
        </w:rPr>
      </w:pPr>
      <w:r>
        <w:rPr>
          <w:rFonts w:hint="eastAsia" w:ascii="宋体" w:hAnsi="宋体"/>
          <w:b/>
          <w:bCs/>
          <w:szCs w:val="21"/>
          <w:highlight w:val="none"/>
        </w:rPr>
        <w:t>五、其它要求</w:t>
      </w:r>
    </w:p>
    <w:p>
      <w:pPr>
        <w:spacing w:line="360" w:lineRule="auto"/>
        <w:ind w:firstLine="420"/>
        <w:rPr>
          <w:rFonts w:hint="eastAsia" w:ascii="宋体" w:hAnsi="宋体"/>
          <w:szCs w:val="21"/>
          <w:highlight w:val="none"/>
        </w:rPr>
      </w:pPr>
      <w:r>
        <w:rPr>
          <w:rFonts w:hint="eastAsia" w:ascii="宋体" w:hAnsi="宋体"/>
          <w:szCs w:val="21"/>
          <w:highlight w:val="none"/>
        </w:rPr>
        <w:t>投标供应商提供20</w:t>
      </w:r>
      <w:r>
        <w:rPr>
          <w:rFonts w:hint="eastAsia" w:ascii="宋体" w:hAnsi="宋体"/>
          <w:szCs w:val="21"/>
          <w:highlight w:val="none"/>
          <w:lang w:val="en-US" w:eastAsia="zh-CN"/>
        </w:rPr>
        <w:t>20</w:t>
      </w:r>
      <w:r>
        <w:rPr>
          <w:rFonts w:hint="eastAsia" w:ascii="宋体" w:hAnsi="宋体"/>
          <w:szCs w:val="21"/>
          <w:highlight w:val="none"/>
        </w:rPr>
        <w:t>年1月1日至今已评估过的一个土地出让地价评估报告（含技术报告）实例（复印件加盖投标人公章，以报告出具时间为准），要求格式规范，要件齐备，描述清楚，对本地地价影响因素及区域因素描述准确，评估过程客观、公正，评估结果合理</w:t>
      </w:r>
      <w:r>
        <w:rPr>
          <w:rFonts w:hint="eastAsia" w:ascii="宋体" w:hAnsi="宋体"/>
          <w:szCs w:val="21"/>
          <w:highlight w:val="none"/>
          <w:lang w:eastAsia="zh-CN"/>
        </w:rPr>
        <w:t>；</w:t>
      </w:r>
      <w:r>
        <w:rPr>
          <w:rFonts w:hint="eastAsia" w:ascii="宋体" w:hAnsi="宋体"/>
          <w:szCs w:val="21"/>
          <w:highlight w:val="none"/>
          <w:lang w:val="en-US" w:eastAsia="zh-CN"/>
        </w:rPr>
        <w:t>并提供相应评估项目的自然资源部门的备案号</w:t>
      </w:r>
      <w:r>
        <w:rPr>
          <w:rFonts w:hint="eastAsia" w:ascii="宋体" w:hAnsi="宋体"/>
          <w:szCs w:val="21"/>
          <w:highlight w:val="none"/>
        </w:rPr>
        <w:t>。</w:t>
      </w:r>
    </w:p>
    <w:p>
      <w:pPr>
        <w:spacing w:before="240" w:line="360" w:lineRule="auto"/>
        <w:jc w:val="left"/>
        <w:rPr>
          <w:rFonts w:hint="default" w:ascii="宋体" w:hAnsi="宋体" w:eastAsia="宋体"/>
          <w:b/>
          <w:bCs/>
          <w:szCs w:val="21"/>
          <w:highlight w:val="none"/>
          <w:lang w:val="en-US" w:eastAsia="zh-CN"/>
        </w:rPr>
      </w:pPr>
      <w:r>
        <w:rPr>
          <w:rFonts w:hint="eastAsia" w:ascii="宋体" w:hAnsi="宋体"/>
          <w:b/>
          <w:bCs/>
          <w:szCs w:val="21"/>
          <w:highlight w:val="none"/>
          <w:lang w:val="en-US" w:eastAsia="zh-CN"/>
        </w:rPr>
        <w:t>六</w:t>
      </w:r>
      <w:r>
        <w:rPr>
          <w:rFonts w:hint="eastAsia" w:ascii="宋体" w:hAnsi="宋体"/>
          <w:b/>
          <w:bCs/>
          <w:szCs w:val="21"/>
          <w:highlight w:val="none"/>
        </w:rPr>
        <w:t>、</w:t>
      </w:r>
      <w:r>
        <w:rPr>
          <w:rFonts w:hint="eastAsia" w:ascii="宋体" w:hAnsi="宋体"/>
          <w:b/>
          <w:bCs/>
          <w:szCs w:val="21"/>
          <w:highlight w:val="none"/>
          <w:lang w:val="en-US" w:eastAsia="zh-CN"/>
        </w:rPr>
        <w:t>违约责任</w:t>
      </w:r>
    </w:p>
    <w:p>
      <w:pPr>
        <w:autoSpaceDE w:val="0"/>
        <w:autoSpaceDN w:val="0"/>
        <w:spacing w:line="360" w:lineRule="auto"/>
        <w:ind w:firstLine="420" w:firstLineChars="200"/>
        <w:rPr>
          <w:rFonts w:hint="eastAsia" w:ascii="宋体"/>
          <w:color w:val="auto"/>
          <w:szCs w:val="21"/>
          <w:highlight w:val="none"/>
        </w:rPr>
      </w:pPr>
      <w:r>
        <w:rPr>
          <w:rFonts w:ascii="宋体"/>
          <w:color w:val="auto"/>
          <w:szCs w:val="21"/>
          <w:highlight w:val="none"/>
        </w:rPr>
        <w:t>1</w:t>
      </w:r>
      <w:r>
        <w:rPr>
          <w:rFonts w:hint="eastAsia" w:ascii="宋体"/>
          <w:color w:val="auto"/>
          <w:szCs w:val="21"/>
          <w:highlight w:val="none"/>
        </w:rPr>
        <w:t>、</w:t>
      </w:r>
      <w:r>
        <w:rPr>
          <w:rFonts w:hint="eastAsia" w:ascii="宋体"/>
          <w:bCs/>
          <w:color w:val="auto"/>
          <w:szCs w:val="21"/>
          <w:highlight w:val="none"/>
          <w:lang w:eastAsia="zh-CN"/>
        </w:rPr>
        <w:t>中标人</w:t>
      </w:r>
      <w:r>
        <w:rPr>
          <w:rFonts w:hint="eastAsia" w:ascii="宋体"/>
          <w:bCs/>
          <w:color w:val="auto"/>
          <w:szCs w:val="21"/>
          <w:highlight w:val="none"/>
        </w:rPr>
        <w:t>需确保评估工作认真负责，廉洁诚信，若发生评估报告质量屡屡不高或者有不廉洁诚信行为，如出具虚假或严重失实报告、高额回扣商业贿赂等违法行为的，</w:t>
      </w:r>
      <w:r>
        <w:rPr>
          <w:rFonts w:hint="eastAsia" w:ascii="宋体"/>
          <w:bCs/>
          <w:color w:val="auto"/>
          <w:szCs w:val="21"/>
          <w:highlight w:val="none"/>
          <w:lang w:eastAsia="zh-CN"/>
        </w:rPr>
        <w:t>采购人</w:t>
      </w:r>
      <w:r>
        <w:rPr>
          <w:rFonts w:hint="eastAsia" w:ascii="宋体"/>
          <w:bCs/>
          <w:color w:val="auto"/>
          <w:szCs w:val="21"/>
          <w:highlight w:val="none"/>
        </w:rPr>
        <w:t>有权终止委托合同，并将合同期内总评估服务费用的15%作为违约金，不予支付。</w:t>
      </w:r>
    </w:p>
    <w:p>
      <w:pPr>
        <w:autoSpaceDE w:val="0"/>
        <w:autoSpaceDN w:val="0"/>
        <w:spacing w:line="360" w:lineRule="auto"/>
        <w:ind w:firstLine="420" w:firstLineChars="200"/>
        <w:rPr>
          <w:rFonts w:ascii="宋体"/>
          <w:color w:val="auto"/>
          <w:szCs w:val="21"/>
          <w:highlight w:val="none"/>
        </w:rPr>
      </w:pPr>
      <w:r>
        <w:rPr>
          <w:rFonts w:ascii="宋体"/>
          <w:color w:val="auto"/>
          <w:szCs w:val="21"/>
          <w:highlight w:val="none"/>
        </w:rPr>
        <w:t>2</w:t>
      </w:r>
      <w:r>
        <w:rPr>
          <w:rFonts w:hint="eastAsia" w:ascii="宋体"/>
          <w:color w:val="auto"/>
          <w:szCs w:val="21"/>
          <w:highlight w:val="none"/>
        </w:rPr>
        <w:t>、本合同签订后，任何一方单方面解除或不履行本合同全部或部分条款从而造成对方的任何直接经济损失，均应由违约方承担。但</w:t>
      </w:r>
      <w:r>
        <w:rPr>
          <w:rFonts w:hint="eastAsia" w:ascii="宋体"/>
          <w:color w:val="auto"/>
          <w:szCs w:val="21"/>
          <w:highlight w:val="none"/>
          <w:lang w:eastAsia="zh-CN"/>
        </w:rPr>
        <w:t>中标人</w:t>
      </w:r>
      <w:r>
        <w:rPr>
          <w:rFonts w:hint="eastAsia" w:ascii="宋体"/>
          <w:color w:val="auto"/>
          <w:szCs w:val="21"/>
          <w:highlight w:val="none"/>
        </w:rPr>
        <w:t>评估工作中发生不廉洁诚信行为，</w:t>
      </w:r>
      <w:r>
        <w:rPr>
          <w:rFonts w:hint="eastAsia" w:ascii="宋体"/>
          <w:color w:val="auto"/>
          <w:szCs w:val="21"/>
          <w:highlight w:val="none"/>
          <w:lang w:eastAsia="zh-CN"/>
        </w:rPr>
        <w:t>采购人</w:t>
      </w:r>
      <w:r>
        <w:rPr>
          <w:rFonts w:hint="eastAsia" w:ascii="宋体"/>
          <w:color w:val="auto"/>
          <w:szCs w:val="21"/>
          <w:highlight w:val="none"/>
        </w:rPr>
        <w:t>有权终止合同，对</w:t>
      </w:r>
      <w:r>
        <w:rPr>
          <w:rFonts w:hint="eastAsia" w:ascii="宋体"/>
          <w:color w:val="auto"/>
          <w:szCs w:val="21"/>
          <w:highlight w:val="none"/>
          <w:lang w:eastAsia="zh-CN"/>
        </w:rPr>
        <w:t>中标人</w:t>
      </w:r>
      <w:r>
        <w:rPr>
          <w:rFonts w:hint="eastAsia" w:ascii="宋体"/>
          <w:color w:val="auto"/>
          <w:szCs w:val="21"/>
          <w:highlight w:val="none"/>
        </w:rPr>
        <w:t>的损失不予赔偿。</w:t>
      </w:r>
    </w:p>
    <w:p>
      <w:pPr>
        <w:autoSpaceDE w:val="0"/>
        <w:autoSpaceDN w:val="0"/>
        <w:spacing w:line="360" w:lineRule="auto"/>
        <w:ind w:firstLine="420" w:firstLineChars="200"/>
        <w:rPr>
          <w:rFonts w:hint="eastAsia" w:ascii="宋体"/>
          <w:color w:val="auto"/>
          <w:szCs w:val="21"/>
          <w:highlight w:val="none"/>
        </w:rPr>
      </w:pPr>
      <w:r>
        <w:rPr>
          <w:rFonts w:ascii="宋体"/>
          <w:color w:val="auto"/>
          <w:szCs w:val="21"/>
          <w:highlight w:val="none"/>
        </w:rPr>
        <w:t>3</w:t>
      </w:r>
      <w:r>
        <w:rPr>
          <w:rFonts w:hint="eastAsia" w:ascii="宋体"/>
          <w:color w:val="auto"/>
          <w:szCs w:val="21"/>
          <w:highlight w:val="none"/>
        </w:rPr>
        <w:t>、</w:t>
      </w:r>
      <w:r>
        <w:rPr>
          <w:rFonts w:hint="eastAsia" w:ascii="宋体"/>
          <w:color w:val="auto"/>
          <w:szCs w:val="21"/>
          <w:highlight w:val="none"/>
          <w:lang w:eastAsia="zh-CN"/>
        </w:rPr>
        <w:t>中标人</w:t>
      </w:r>
      <w:r>
        <w:rPr>
          <w:rFonts w:hint="eastAsia" w:ascii="宋体"/>
          <w:color w:val="auto"/>
          <w:szCs w:val="21"/>
          <w:highlight w:val="none"/>
        </w:rPr>
        <w:t>不能按约定及时提供评估报告，</w:t>
      </w:r>
      <w:r>
        <w:rPr>
          <w:rFonts w:hint="eastAsia" w:ascii="宋体"/>
          <w:color w:val="auto"/>
          <w:szCs w:val="21"/>
          <w:highlight w:val="none"/>
          <w:lang w:eastAsia="zh-CN"/>
        </w:rPr>
        <w:t>采购人</w:t>
      </w:r>
      <w:r>
        <w:rPr>
          <w:rFonts w:hint="eastAsia" w:ascii="宋体"/>
          <w:color w:val="auto"/>
          <w:szCs w:val="21"/>
          <w:highlight w:val="none"/>
        </w:rPr>
        <w:t>有权解除合同，给</w:t>
      </w:r>
      <w:r>
        <w:rPr>
          <w:rFonts w:hint="eastAsia" w:ascii="宋体"/>
          <w:color w:val="auto"/>
          <w:szCs w:val="21"/>
          <w:highlight w:val="none"/>
          <w:lang w:eastAsia="zh-CN"/>
        </w:rPr>
        <w:t>采购人</w:t>
      </w:r>
      <w:r>
        <w:rPr>
          <w:rFonts w:hint="eastAsia" w:ascii="宋体"/>
          <w:color w:val="auto"/>
          <w:szCs w:val="21"/>
          <w:highlight w:val="none"/>
        </w:rPr>
        <w:t>造成损失的应予赔偿。</w:t>
      </w:r>
    </w:p>
    <w:p>
      <w:pPr>
        <w:spacing w:before="240" w:line="360" w:lineRule="auto"/>
        <w:jc w:val="left"/>
        <w:rPr>
          <w:rFonts w:ascii="宋体" w:hAnsi="宋体"/>
          <w:b/>
          <w:bCs/>
          <w:color w:val="auto"/>
          <w:szCs w:val="21"/>
          <w:highlight w:val="none"/>
        </w:rPr>
      </w:pPr>
      <w:r>
        <w:rPr>
          <w:rFonts w:hint="eastAsia" w:ascii="宋体" w:hAnsi="宋体"/>
          <w:b/>
          <w:bCs/>
          <w:color w:val="auto"/>
          <w:szCs w:val="21"/>
          <w:highlight w:val="none"/>
          <w:lang w:val="en-US" w:eastAsia="zh-CN"/>
        </w:rPr>
        <w:t>七</w:t>
      </w:r>
      <w:r>
        <w:rPr>
          <w:rFonts w:ascii="宋体" w:hAnsi="宋体"/>
          <w:b/>
          <w:bCs/>
          <w:color w:val="auto"/>
          <w:szCs w:val="21"/>
          <w:highlight w:val="none"/>
        </w:rPr>
        <w:t>、收费标准</w:t>
      </w:r>
    </w:p>
    <w:p>
      <w:pPr>
        <w:spacing w:line="360" w:lineRule="auto"/>
        <w:jc w:val="center"/>
        <w:rPr>
          <w:rFonts w:hint="eastAsia" w:ascii="宋体" w:hAnsi="宋体"/>
          <w:b/>
          <w:color w:val="FF0000"/>
          <w:szCs w:val="21"/>
          <w:highlight w:val="none"/>
        </w:rPr>
      </w:pPr>
      <w:r>
        <w:rPr>
          <w:rFonts w:hint="eastAsia" w:ascii="宋体" w:hAnsi="宋体"/>
          <w:b/>
          <w:color w:val="auto"/>
          <w:szCs w:val="21"/>
          <w:highlight w:val="none"/>
        </w:rPr>
        <w:t>浙江省资产评估服务收费标准（</w:t>
      </w:r>
      <w:r>
        <w:rPr>
          <w:rFonts w:hint="eastAsia" w:ascii="宋体" w:hAnsi="宋体"/>
          <w:bCs/>
          <w:color w:val="auto"/>
          <w:highlight w:val="none"/>
        </w:rPr>
        <w:t>浙价服〔2005〕6号</w:t>
      </w:r>
      <w:r>
        <w:rPr>
          <w:rFonts w:hint="eastAsia" w:ascii="宋体" w:hAnsi="宋体"/>
          <w:b/>
          <w:color w:val="auto"/>
          <w:szCs w:val="21"/>
          <w:highlight w:val="none"/>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265"/>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548" w:type="dxa"/>
            <w:noWrap w:val="0"/>
            <w:vAlign w:val="center"/>
          </w:tcPr>
          <w:p>
            <w:pPr>
              <w:jc w:val="center"/>
              <w:rPr>
                <w:rFonts w:hint="eastAsia" w:ascii="宋体" w:hAnsi="宋体"/>
                <w:highlight w:val="none"/>
              </w:rPr>
            </w:pPr>
            <w:r>
              <w:rPr>
                <w:rFonts w:hint="eastAsia" w:ascii="宋体" w:hAnsi="宋体"/>
                <w:highlight w:val="none"/>
              </w:rPr>
              <w:t>序号</w:t>
            </w:r>
          </w:p>
        </w:tc>
        <w:tc>
          <w:tcPr>
            <w:tcW w:w="4265" w:type="dxa"/>
            <w:noWrap w:val="0"/>
            <w:vAlign w:val="center"/>
          </w:tcPr>
          <w:p>
            <w:pPr>
              <w:jc w:val="center"/>
              <w:rPr>
                <w:rFonts w:hint="eastAsia" w:ascii="宋体" w:hAnsi="宋体"/>
                <w:highlight w:val="none"/>
              </w:rPr>
            </w:pPr>
            <w:r>
              <w:rPr>
                <w:rFonts w:hint="eastAsia" w:ascii="宋体" w:hAnsi="宋体"/>
                <w:highlight w:val="none"/>
              </w:rPr>
              <w:t>计费档次（万元）</w:t>
            </w:r>
          </w:p>
        </w:tc>
        <w:tc>
          <w:tcPr>
            <w:tcW w:w="2907" w:type="dxa"/>
            <w:noWrap w:val="0"/>
            <w:vAlign w:val="center"/>
          </w:tcPr>
          <w:p>
            <w:pPr>
              <w:jc w:val="center"/>
              <w:rPr>
                <w:rFonts w:hint="eastAsia" w:ascii="宋体" w:hAnsi="宋体"/>
                <w:highlight w:val="none"/>
              </w:rPr>
            </w:pPr>
            <w:r>
              <w:rPr>
                <w:rFonts w:hint="eastAsia" w:ascii="宋体" w:hAnsi="宋体"/>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noWrap w:val="0"/>
            <w:vAlign w:val="center"/>
          </w:tcPr>
          <w:p>
            <w:pPr>
              <w:jc w:val="center"/>
              <w:rPr>
                <w:rFonts w:hint="eastAsia" w:ascii="宋体" w:hAnsi="宋体"/>
                <w:highlight w:val="none"/>
              </w:rPr>
            </w:pPr>
            <w:r>
              <w:rPr>
                <w:rFonts w:hint="eastAsia" w:ascii="宋体" w:hAnsi="宋体"/>
                <w:highlight w:val="none"/>
              </w:rPr>
              <w:t>1</w:t>
            </w:r>
          </w:p>
        </w:tc>
        <w:tc>
          <w:tcPr>
            <w:tcW w:w="4265" w:type="dxa"/>
            <w:noWrap w:val="0"/>
            <w:vAlign w:val="center"/>
          </w:tcPr>
          <w:p>
            <w:pPr>
              <w:jc w:val="center"/>
              <w:rPr>
                <w:rFonts w:hint="eastAsia" w:ascii="宋体" w:hAnsi="宋体"/>
                <w:highlight w:val="none"/>
              </w:rPr>
            </w:pPr>
            <w:r>
              <w:rPr>
                <w:rFonts w:hint="eastAsia" w:ascii="宋体" w:hAnsi="宋体"/>
                <w:highlight w:val="none"/>
              </w:rPr>
              <w:t>100以下（含100）</w:t>
            </w:r>
          </w:p>
        </w:tc>
        <w:tc>
          <w:tcPr>
            <w:tcW w:w="2907" w:type="dxa"/>
            <w:noWrap w:val="0"/>
            <w:vAlign w:val="center"/>
          </w:tcPr>
          <w:p>
            <w:pPr>
              <w:jc w:val="center"/>
              <w:rPr>
                <w:rFonts w:hint="eastAsia" w:ascii="宋体" w:hAnsi="宋体"/>
                <w:highlight w:val="none"/>
              </w:rPr>
            </w:pPr>
            <w:r>
              <w:rPr>
                <w:rFonts w:hint="eastAsia" w:ascii="宋体" w:hAnsi="宋体"/>
                <w:highlight w:val="none"/>
              </w:rPr>
              <w:t>3.</w:t>
            </w:r>
            <w:r>
              <w:rPr>
                <w:rFonts w:ascii="宋体" w:hAnsi="宋体"/>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noWrap w:val="0"/>
            <w:vAlign w:val="center"/>
          </w:tcPr>
          <w:p>
            <w:pPr>
              <w:jc w:val="center"/>
              <w:rPr>
                <w:rFonts w:hint="eastAsia" w:ascii="宋体" w:hAnsi="宋体"/>
                <w:highlight w:val="none"/>
              </w:rPr>
            </w:pPr>
            <w:r>
              <w:rPr>
                <w:rFonts w:hint="eastAsia" w:ascii="宋体" w:hAnsi="宋体"/>
                <w:highlight w:val="none"/>
              </w:rPr>
              <w:t>2</w:t>
            </w:r>
          </w:p>
        </w:tc>
        <w:tc>
          <w:tcPr>
            <w:tcW w:w="4265" w:type="dxa"/>
            <w:noWrap w:val="0"/>
            <w:vAlign w:val="center"/>
          </w:tcPr>
          <w:p>
            <w:pPr>
              <w:jc w:val="center"/>
              <w:rPr>
                <w:rFonts w:hint="eastAsia" w:ascii="宋体" w:hAnsi="宋体"/>
                <w:highlight w:val="none"/>
              </w:rPr>
            </w:pPr>
            <w:r>
              <w:rPr>
                <w:rFonts w:hint="eastAsia" w:ascii="宋体" w:hAnsi="宋体"/>
                <w:highlight w:val="none"/>
              </w:rPr>
              <w:t>100-500（含500）</w:t>
            </w:r>
          </w:p>
        </w:tc>
        <w:tc>
          <w:tcPr>
            <w:tcW w:w="2907" w:type="dxa"/>
            <w:noWrap w:val="0"/>
            <w:vAlign w:val="center"/>
          </w:tcPr>
          <w:p>
            <w:pPr>
              <w:jc w:val="center"/>
              <w:rPr>
                <w:rFonts w:hint="eastAsia" w:ascii="宋体" w:hAnsi="宋体"/>
                <w:highlight w:val="none"/>
              </w:rPr>
            </w:pPr>
            <w:r>
              <w:rPr>
                <w:rFonts w:hint="eastAsia" w:ascii="宋体" w:hAnsi="宋体"/>
                <w:highlight w:val="none"/>
              </w:rPr>
              <w:t>2.</w:t>
            </w:r>
            <w:r>
              <w:rPr>
                <w:rFonts w:ascii="宋体" w:hAnsi="宋体"/>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noWrap w:val="0"/>
            <w:vAlign w:val="center"/>
          </w:tcPr>
          <w:p>
            <w:pPr>
              <w:jc w:val="center"/>
              <w:rPr>
                <w:rFonts w:hint="eastAsia" w:ascii="宋体" w:hAnsi="宋体"/>
                <w:highlight w:val="none"/>
              </w:rPr>
            </w:pPr>
            <w:r>
              <w:rPr>
                <w:rFonts w:hint="eastAsia" w:ascii="宋体" w:hAnsi="宋体"/>
                <w:highlight w:val="none"/>
              </w:rPr>
              <w:t>3</w:t>
            </w:r>
          </w:p>
        </w:tc>
        <w:tc>
          <w:tcPr>
            <w:tcW w:w="4265" w:type="dxa"/>
            <w:noWrap w:val="0"/>
            <w:vAlign w:val="center"/>
          </w:tcPr>
          <w:p>
            <w:pPr>
              <w:jc w:val="center"/>
              <w:rPr>
                <w:rFonts w:hint="eastAsia" w:ascii="宋体" w:hAnsi="宋体"/>
                <w:highlight w:val="none"/>
              </w:rPr>
            </w:pPr>
            <w:r>
              <w:rPr>
                <w:rFonts w:hint="eastAsia" w:ascii="宋体" w:hAnsi="宋体"/>
                <w:highlight w:val="none"/>
              </w:rPr>
              <w:t>500-2000（含2000）</w:t>
            </w:r>
          </w:p>
        </w:tc>
        <w:tc>
          <w:tcPr>
            <w:tcW w:w="2907" w:type="dxa"/>
            <w:noWrap w:val="0"/>
            <w:vAlign w:val="center"/>
          </w:tcPr>
          <w:p>
            <w:pPr>
              <w:jc w:val="center"/>
              <w:rPr>
                <w:rFonts w:hint="eastAsia" w:ascii="宋体" w:hAnsi="宋体"/>
                <w:highlight w:val="none"/>
              </w:rPr>
            </w:pPr>
            <w:r>
              <w:rPr>
                <w:rFonts w:ascii="宋体" w:hAnsi="宋体"/>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noWrap w:val="0"/>
            <w:vAlign w:val="center"/>
          </w:tcPr>
          <w:p>
            <w:pPr>
              <w:jc w:val="center"/>
              <w:rPr>
                <w:rFonts w:hint="eastAsia" w:ascii="宋体" w:hAnsi="宋体"/>
                <w:highlight w:val="none"/>
              </w:rPr>
            </w:pPr>
            <w:r>
              <w:rPr>
                <w:rFonts w:hint="eastAsia" w:ascii="宋体" w:hAnsi="宋体"/>
                <w:highlight w:val="none"/>
              </w:rPr>
              <w:t>4</w:t>
            </w:r>
          </w:p>
        </w:tc>
        <w:tc>
          <w:tcPr>
            <w:tcW w:w="4265" w:type="dxa"/>
            <w:noWrap w:val="0"/>
            <w:vAlign w:val="center"/>
          </w:tcPr>
          <w:p>
            <w:pPr>
              <w:jc w:val="center"/>
              <w:rPr>
                <w:rFonts w:hint="eastAsia" w:ascii="宋体" w:hAnsi="宋体"/>
                <w:highlight w:val="none"/>
              </w:rPr>
            </w:pPr>
            <w:r>
              <w:rPr>
                <w:rFonts w:hint="eastAsia" w:ascii="宋体" w:hAnsi="宋体"/>
                <w:highlight w:val="none"/>
              </w:rPr>
              <w:t>2000-5000（含5000）</w:t>
            </w:r>
          </w:p>
        </w:tc>
        <w:tc>
          <w:tcPr>
            <w:tcW w:w="2907" w:type="dxa"/>
            <w:noWrap w:val="0"/>
            <w:vAlign w:val="center"/>
          </w:tcPr>
          <w:p>
            <w:pPr>
              <w:jc w:val="center"/>
              <w:rPr>
                <w:rFonts w:hint="eastAsia" w:ascii="宋体" w:hAnsi="宋体"/>
                <w:highlight w:val="none"/>
              </w:rPr>
            </w:pPr>
            <w:r>
              <w:rPr>
                <w:rFonts w:hint="eastAsia" w:ascii="宋体" w:hAnsi="宋体"/>
                <w:highlight w:val="none"/>
              </w:rPr>
              <w:t>0.</w:t>
            </w:r>
            <w:r>
              <w:rPr>
                <w:rFonts w:ascii="宋体" w:hAnsi="宋体"/>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8" w:type="dxa"/>
            <w:noWrap w:val="0"/>
            <w:vAlign w:val="center"/>
          </w:tcPr>
          <w:p>
            <w:pPr>
              <w:jc w:val="center"/>
              <w:rPr>
                <w:rFonts w:hint="eastAsia" w:ascii="宋体" w:hAnsi="宋体"/>
                <w:highlight w:val="none"/>
              </w:rPr>
            </w:pPr>
            <w:r>
              <w:rPr>
                <w:rFonts w:hint="eastAsia" w:ascii="宋体" w:hAnsi="宋体"/>
                <w:highlight w:val="none"/>
              </w:rPr>
              <w:t>5</w:t>
            </w:r>
          </w:p>
        </w:tc>
        <w:tc>
          <w:tcPr>
            <w:tcW w:w="4265" w:type="dxa"/>
            <w:noWrap w:val="0"/>
            <w:vAlign w:val="center"/>
          </w:tcPr>
          <w:p>
            <w:pPr>
              <w:jc w:val="center"/>
              <w:rPr>
                <w:rFonts w:hint="eastAsia" w:ascii="宋体" w:hAnsi="宋体"/>
                <w:highlight w:val="none"/>
              </w:rPr>
            </w:pPr>
            <w:r>
              <w:rPr>
                <w:rFonts w:hint="eastAsia" w:ascii="宋体" w:hAnsi="宋体"/>
                <w:highlight w:val="none"/>
              </w:rPr>
              <w:t>5000以上</w:t>
            </w:r>
          </w:p>
        </w:tc>
        <w:tc>
          <w:tcPr>
            <w:tcW w:w="2907" w:type="dxa"/>
            <w:noWrap w:val="0"/>
            <w:vAlign w:val="center"/>
          </w:tcPr>
          <w:p>
            <w:pPr>
              <w:jc w:val="center"/>
              <w:rPr>
                <w:rFonts w:hint="eastAsia" w:ascii="宋体" w:hAnsi="宋体"/>
                <w:highlight w:val="none"/>
              </w:rPr>
            </w:pPr>
            <w:r>
              <w:rPr>
                <w:rFonts w:hint="eastAsia" w:ascii="宋体" w:hAnsi="宋体"/>
                <w:highlight w:val="none"/>
              </w:rPr>
              <w:t>0.</w:t>
            </w:r>
            <w:r>
              <w:rPr>
                <w:rFonts w:ascii="宋体" w:hAnsi="宋体"/>
                <w:highlight w:val="none"/>
              </w:rPr>
              <w:t>1</w:t>
            </w:r>
          </w:p>
        </w:tc>
      </w:tr>
    </w:tbl>
    <w:p>
      <w:pPr>
        <w:rPr>
          <w:rFonts w:hint="eastAsia" w:ascii="宋体" w:hAnsi="宋体"/>
          <w:highlight w:val="none"/>
        </w:rPr>
      </w:pPr>
      <w:r>
        <w:rPr>
          <w:rFonts w:hint="eastAsia" w:ascii="宋体" w:hAnsi="宋体"/>
          <w:highlight w:val="none"/>
        </w:rPr>
        <w:t>注：采用差额定率累进计费办法，即按</w:t>
      </w:r>
      <w:r>
        <w:rPr>
          <w:rFonts w:hint="eastAsia" w:ascii="宋体" w:hAnsi="宋体"/>
          <w:b/>
          <w:bCs/>
          <w:highlight w:val="none"/>
        </w:rPr>
        <w:t>单宗土地评估</w:t>
      </w:r>
      <w:r>
        <w:rPr>
          <w:rFonts w:hint="eastAsia" w:ascii="宋体" w:hAnsi="宋体"/>
          <w:b/>
          <w:highlight w:val="none"/>
        </w:rPr>
        <w:t>价</w:t>
      </w:r>
      <w:r>
        <w:rPr>
          <w:rFonts w:hint="eastAsia" w:ascii="宋体" w:hAnsi="宋体"/>
          <w:highlight w:val="none"/>
        </w:rPr>
        <w:t>的大小划分收费档次，按档累进计费。</w:t>
      </w:r>
    </w:p>
    <w:p>
      <w:pPr>
        <w:rPr>
          <w:rFonts w:hint="eastAsia" w:ascii="宋体" w:hAnsi="宋体" w:eastAsia="宋体" w:cs="宋体"/>
          <w:color w:val="auto"/>
          <w:sz w:val="21"/>
          <w:highlight w:val="none"/>
        </w:rPr>
      </w:pPr>
    </w:p>
    <w:p>
      <w:pPr>
        <w:pageBreakBefore w:val="0"/>
        <w:widowControl w:val="0"/>
        <w:kinsoku/>
        <w:wordWrap/>
        <w:overflowPunct/>
        <w:topLinePunct w:val="0"/>
        <w:autoSpaceDE/>
        <w:autoSpaceDN/>
        <w:bidi w:val="0"/>
        <w:spacing w:before="240" w:line="360" w:lineRule="auto"/>
        <w:ind w:left="0" w:leftChars="0" w:right="0" w:rightChars="0"/>
        <w:jc w:val="center"/>
        <w:outlineLvl w:val="0"/>
        <w:rPr>
          <w:rFonts w:hint="eastAsia" w:ascii="宋体" w:hAnsi="宋体" w:eastAsia="宋体" w:cs="宋体"/>
          <w:b/>
          <w:color w:val="auto"/>
          <w:highlight w:val="none"/>
        </w:rPr>
      </w:pPr>
      <w:r>
        <w:rPr>
          <w:rFonts w:hint="eastAsia" w:ascii="宋体" w:hAnsi="宋体" w:eastAsia="宋体" w:cs="宋体"/>
          <w:b/>
          <w:color w:val="auto"/>
          <w:sz w:val="28"/>
          <w:szCs w:val="28"/>
          <w:highlight w:val="none"/>
        </w:rPr>
        <w:br w:type="page"/>
      </w:r>
      <w:bookmarkStart w:id="6" w:name="_Toc29069"/>
      <w:r>
        <w:rPr>
          <w:rFonts w:hint="eastAsia" w:ascii="宋体" w:hAnsi="宋体" w:eastAsia="宋体" w:cs="宋体"/>
          <w:b/>
          <w:color w:val="auto"/>
          <w:sz w:val="28"/>
          <w:szCs w:val="28"/>
          <w:highlight w:val="none"/>
        </w:rPr>
        <w:t>第三章  投标人须知</w:t>
      </w:r>
      <w:bookmarkEnd w:id="5"/>
      <w:bookmarkEnd w:id="6"/>
    </w:p>
    <w:p>
      <w:pPr>
        <w:pageBreakBefore w:val="0"/>
        <w:widowControl w:val="0"/>
        <w:kinsoku/>
        <w:wordWrap/>
        <w:overflowPunct/>
        <w:topLinePunct w:val="0"/>
        <w:autoSpaceDE/>
        <w:autoSpaceDN/>
        <w:bidi w:val="0"/>
        <w:spacing w:before="240" w:line="360" w:lineRule="auto"/>
        <w:ind w:left="0" w:leftChars="0" w:right="0" w:rightChars="0"/>
        <w:jc w:val="center"/>
        <w:rPr>
          <w:rFonts w:hint="eastAsia" w:ascii="宋体" w:hAnsi="宋体" w:eastAsia="宋体" w:cs="宋体"/>
          <w:b/>
          <w:color w:val="auto"/>
          <w:highlight w:val="none"/>
        </w:rPr>
      </w:pPr>
      <w:bookmarkStart w:id="7" w:name="_Toc397588699"/>
      <w:r>
        <w:rPr>
          <w:rFonts w:hint="eastAsia" w:ascii="宋体" w:hAnsi="宋体" w:eastAsia="宋体" w:cs="宋体"/>
          <w:b/>
          <w:color w:val="auto"/>
          <w:highlight w:val="none"/>
        </w:rPr>
        <w:t>前附表</w:t>
      </w:r>
      <w:bookmarkEnd w:id="7"/>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87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cs="宋体"/>
                <w:bCs/>
                <w:color w:val="auto"/>
                <w:szCs w:val="21"/>
                <w:highlight w:val="none"/>
                <w:lang w:eastAsia="zh-CN"/>
              </w:rPr>
              <w:t>2023-2025年北仑区土地使用权出让地价委托评估项目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采购内容：</w:t>
            </w:r>
            <w:r>
              <w:rPr>
                <w:rFonts w:hint="eastAsia" w:ascii="宋体" w:hAnsi="宋体" w:cs="宋体"/>
                <w:bCs/>
                <w:color w:val="auto"/>
                <w:szCs w:val="21"/>
                <w:highlight w:val="none"/>
                <w:lang w:eastAsia="zh-CN"/>
              </w:rPr>
              <w:t>2023-2025年北仑区土地使用权出让地价委托评估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3"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highlight w:val="none"/>
              </w:rPr>
            </w:pPr>
            <w:r>
              <w:rPr>
                <w:rFonts w:ascii="宋体" w:hAnsi="宋体"/>
                <w:szCs w:val="21"/>
                <w:highlight w:val="none"/>
              </w:rPr>
              <w:t>投标报价及费用：</w:t>
            </w:r>
          </w:p>
          <w:p>
            <w:pPr>
              <w:spacing w:line="360" w:lineRule="auto"/>
              <w:rPr>
                <w:rFonts w:hint="eastAsia" w:ascii="宋体" w:hAnsi="宋体"/>
                <w:bCs/>
                <w:highlight w:val="none"/>
              </w:rPr>
            </w:pPr>
            <w:r>
              <w:rPr>
                <w:rFonts w:hint="eastAsia" w:ascii="宋体" w:hAnsi="宋体"/>
                <w:bCs/>
                <w:highlight w:val="none"/>
              </w:rPr>
              <w:t>（1）投标报价：</w:t>
            </w:r>
            <w:r>
              <w:rPr>
                <w:rFonts w:hint="eastAsia" w:ascii="宋体" w:hAnsi="宋体"/>
                <w:highlight w:val="none"/>
              </w:rPr>
              <w:t>按浙江省物价局浙价服〔2005〕6号文件规定的收费标准的百分比例报价，最高不超过该规定标准的</w:t>
            </w:r>
            <w:r>
              <w:rPr>
                <w:rFonts w:hint="eastAsia" w:ascii="宋体" w:hAnsi="宋体"/>
                <w:highlight w:val="none"/>
                <w:lang w:eastAsia="zh-CN"/>
              </w:rPr>
              <w:t>60</w:t>
            </w:r>
            <w:r>
              <w:rPr>
                <w:rFonts w:hint="eastAsia" w:ascii="宋体" w:hAnsi="宋体"/>
                <w:highlight w:val="none"/>
              </w:rPr>
              <w:t>%，超过限价的投标报价按无效标处理。</w:t>
            </w:r>
          </w:p>
          <w:p>
            <w:pPr>
              <w:spacing w:line="360" w:lineRule="auto"/>
              <w:rPr>
                <w:rFonts w:hint="eastAsia" w:ascii="宋体" w:hAnsi="宋体"/>
                <w:szCs w:val="21"/>
                <w:highlight w:val="none"/>
              </w:rPr>
            </w:pPr>
            <w:r>
              <w:rPr>
                <w:rFonts w:hint="eastAsia" w:ascii="宋体" w:hAnsi="宋体"/>
                <w:szCs w:val="21"/>
                <w:highlight w:val="none"/>
              </w:rPr>
              <w:t>（2）本项目投标报价应该包含所有与本采购服务相关的、应支付的所有费用（包括需要向第三方支付的专利权、版权、设计或其他知识产权一切费用以及交通、住宿、成果专家评审等费用）。</w:t>
            </w:r>
          </w:p>
          <w:p>
            <w:pPr>
              <w:spacing w:line="360" w:lineRule="auto"/>
              <w:rPr>
                <w:rFonts w:hint="eastAsia" w:ascii="宋体" w:hAnsi="宋体"/>
                <w:szCs w:val="21"/>
                <w:highlight w:val="none"/>
              </w:rPr>
            </w:pPr>
            <w:r>
              <w:rPr>
                <w:rFonts w:hint="eastAsia" w:ascii="宋体" w:hAnsi="宋体"/>
                <w:szCs w:val="21"/>
                <w:highlight w:val="none"/>
              </w:rPr>
              <w:t>（3）不论投标结果如何，投标供应商均应自行承担所有与投标有关的全部费用。</w:t>
            </w:r>
          </w:p>
          <w:p>
            <w:pPr>
              <w:pStyle w:val="33"/>
              <w:numPr>
                <w:ilvl w:val="0"/>
                <w:numId w:val="0"/>
              </w:numPr>
              <w:spacing w:line="360" w:lineRule="exact"/>
              <w:rPr>
                <w:rFonts w:eastAsia="宋体" w:cs="Times New Roman"/>
                <w:szCs w:val="21"/>
                <w:highlight w:val="none"/>
              </w:rPr>
            </w:pPr>
            <w:r>
              <w:rPr>
                <w:rFonts w:hint="eastAsia" w:ascii="宋体" w:hAnsi="宋体"/>
                <w:szCs w:val="21"/>
                <w:highlight w:val="none"/>
              </w:rPr>
              <w:t>（4）</w:t>
            </w:r>
            <w:r>
              <w:rPr>
                <w:rFonts w:eastAsia="宋体" w:cs="Times New Roman"/>
                <w:szCs w:val="21"/>
                <w:highlight w:val="none"/>
              </w:rPr>
              <w:t>招标代理服务费的收取标准：</w:t>
            </w:r>
          </w:p>
          <w:tbl>
            <w:tblPr>
              <w:tblStyle w:val="2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671"/>
              <w:gridCol w:w="1671"/>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63" w:type="dxa"/>
                  <w:tcBorders>
                    <w:tl2br w:val="single" w:color="auto" w:sz="4" w:space="0"/>
                  </w:tcBorders>
                  <w:noWrap w:val="0"/>
                  <w:vAlign w:val="center"/>
                </w:tcPr>
                <w:p>
                  <w:pPr>
                    <w:tabs>
                      <w:tab w:val="center" w:pos="4153"/>
                      <w:tab w:val="right" w:pos="8306"/>
                    </w:tabs>
                    <w:snapToGrid w:val="0"/>
                    <w:jc w:val="right"/>
                    <w:rPr>
                      <w:rFonts w:ascii="Times New Roman" w:hAnsi="Times New Roman" w:eastAsia="宋体" w:cs="Times New Roman"/>
                      <w:color w:val="000000"/>
                      <w:w w:val="80"/>
                      <w:sz w:val="24"/>
                      <w:highlight w:val="none"/>
                    </w:rPr>
                  </w:pPr>
                  <w:r>
                    <w:rPr>
                      <w:rFonts w:ascii="Times New Roman" w:hAnsi="Times New Roman" w:eastAsia="宋体" w:cs="Times New Roman"/>
                      <w:color w:val="000000"/>
                      <w:w w:val="80"/>
                      <w:sz w:val="24"/>
                      <w:highlight w:val="none"/>
                    </w:rPr>
                    <w:t>费率</w:t>
                  </w:r>
                </w:p>
                <w:p>
                  <w:pPr>
                    <w:tabs>
                      <w:tab w:val="center" w:pos="4153"/>
                      <w:tab w:val="right" w:pos="8306"/>
                    </w:tabs>
                    <w:snapToGrid w:val="0"/>
                    <w:rPr>
                      <w:rFonts w:ascii="Times New Roman" w:hAnsi="Times New Roman" w:eastAsia="宋体" w:cs="Times New Roman"/>
                      <w:color w:val="000000"/>
                      <w:w w:val="80"/>
                      <w:sz w:val="24"/>
                      <w:highlight w:val="none"/>
                    </w:rPr>
                  </w:pPr>
                  <w:r>
                    <w:rPr>
                      <w:rFonts w:ascii="Times New Roman" w:hAnsi="Times New Roman" w:eastAsia="宋体" w:cs="Times New Roman"/>
                      <w:color w:val="000000"/>
                      <w:w w:val="80"/>
                      <w:sz w:val="24"/>
                      <w:highlight w:val="none"/>
                    </w:rPr>
                    <w:t>中标金额</w:t>
                  </w:r>
                </w:p>
              </w:tc>
              <w:tc>
                <w:tcPr>
                  <w:tcW w:w="1671" w:type="dxa"/>
                  <w:noWrap w:val="0"/>
                  <w:vAlign w:val="center"/>
                </w:tcPr>
                <w:p>
                  <w:pPr>
                    <w:tabs>
                      <w:tab w:val="center" w:pos="4153"/>
                      <w:tab w:val="right" w:pos="8306"/>
                    </w:tabs>
                    <w:snapToGrid w:val="0"/>
                    <w:ind w:leftChars="-23" w:hanging="48" w:hangingChars="25"/>
                    <w:jc w:val="center"/>
                    <w:rPr>
                      <w:rFonts w:ascii="Times New Roman" w:hAnsi="Times New Roman" w:eastAsia="宋体" w:cs="Times New Roman"/>
                      <w:color w:val="000000"/>
                      <w:w w:val="80"/>
                      <w:sz w:val="24"/>
                      <w:highlight w:val="none"/>
                    </w:rPr>
                  </w:pPr>
                  <w:r>
                    <w:rPr>
                      <w:rFonts w:ascii="Times New Roman" w:hAnsi="Times New Roman" w:eastAsia="宋体" w:cs="Times New Roman"/>
                      <w:color w:val="000000"/>
                      <w:w w:val="80"/>
                      <w:sz w:val="24"/>
                      <w:highlight w:val="none"/>
                    </w:rPr>
                    <w:t>货物招标</w:t>
                  </w:r>
                </w:p>
              </w:tc>
              <w:tc>
                <w:tcPr>
                  <w:tcW w:w="1671" w:type="dxa"/>
                  <w:noWrap w:val="0"/>
                  <w:vAlign w:val="center"/>
                </w:tcPr>
                <w:p>
                  <w:pPr>
                    <w:tabs>
                      <w:tab w:val="center" w:pos="4153"/>
                      <w:tab w:val="right" w:pos="8306"/>
                    </w:tabs>
                    <w:snapToGrid w:val="0"/>
                    <w:jc w:val="center"/>
                    <w:rPr>
                      <w:rFonts w:ascii="Times New Roman" w:hAnsi="Times New Roman" w:eastAsia="宋体" w:cs="Times New Roman"/>
                      <w:color w:val="000000"/>
                      <w:w w:val="80"/>
                      <w:sz w:val="24"/>
                      <w:highlight w:val="none"/>
                    </w:rPr>
                  </w:pPr>
                  <w:r>
                    <w:rPr>
                      <w:rFonts w:ascii="Times New Roman" w:hAnsi="Times New Roman" w:eastAsia="宋体" w:cs="Times New Roman"/>
                      <w:color w:val="000000"/>
                      <w:w w:val="80"/>
                      <w:sz w:val="24"/>
                      <w:highlight w:val="none"/>
                    </w:rPr>
                    <w:t>服务招标</w:t>
                  </w:r>
                </w:p>
              </w:tc>
              <w:tc>
                <w:tcPr>
                  <w:tcW w:w="1671" w:type="dxa"/>
                  <w:noWrap w:val="0"/>
                  <w:vAlign w:val="center"/>
                </w:tcPr>
                <w:p>
                  <w:pPr>
                    <w:tabs>
                      <w:tab w:val="center" w:pos="4153"/>
                      <w:tab w:val="right" w:pos="8306"/>
                    </w:tabs>
                    <w:snapToGrid w:val="0"/>
                    <w:jc w:val="center"/>
                    <w:rPr>
                      <w:rFonts w:ascii="Times New Roman" w:hAnsi="Times New Roman" w:eastAsia="宋体" w:cs="Times New Roman"/>
                      <w:color w:val="000000"/>
                      <w:w w:val="80"/>
                      <w:sz w:val="24"/>
                      <w:highlight w:val="none"/>
                    </w:rPr>
                  </w:pPr>
                  <w:r>
                    <w:rPr>
                      <w:rFonts w:ascii="Times New Roman" w:hAnsi="Times New Roman" w:eastAsia="宋体" w:cs="Times New Roman"/>
                      <w:color w:val="000000"/>
                      <w:w w:val="80"/>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63"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100万以下</w:t>
                  </w:r>
                </w:p>
              </w:tc>
              <w:tc>
                <w:tcPr>
                  <w:tcW w:w="1671"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kern w:val="0"/>
                      <w:szCs w:val="21"/>
                      <w:highlight w:val="none"/>
                    </w:rPr>
                    <w:t>1.5%</w:t>
                  </w:r>
                </w:p>
              </w:tc>
              <w:tc>
                <w:tcPr>
                  <w:tcW w:w="1671"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kern w:val="0"/>
                      <w:szCs w:val="21"/>
                      <w:highlight w:val="none"/>
                    </w:rPr>
                    <w:t>1.5%</w:t>
                  </w:r>
                </w:p>
              </w:tc>
              <w:tc>
                <w:tcPr>
                  <w:tcW w:w="1671"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63"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100～500万</w:t>
                  </w:r>
                </w:p>
              </w:tc>
              <w:tc>
                <w:tcPr>
                  <w:tcW w:w="1671"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kern w:val="0"/>
                      <w:szCs w:val="21"/>
                      <w:highlight w:val="none"/>
                    </w:rPr>
                    <w:t>1.1%</w:t>
                  </w:r>
                </w:p>
              </w:tc>
              <w:tc>
                <w:tcPr>
                  <w:tcW w:w="1671"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kern w:val="0"/>
                      <w:szCs w:val="21"/>
                      <w:highlight w:val="none"/>
                    </w:rPr>
                    <w:t>0.8%</w:t>
                  </w:r>
                </w:p>
              </w:tc>
              <w:tc>
                <w:tcPr>
                  <w:tcW w:w="1671"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kern w:val="0"/>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63"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500～1000万</w:t>
                  </w:r>
                </w:p>
              </w:tc>
              <w:tc>
                <w:tcPr>
                  <w:tcW w:w="1671"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kern w:val="0"/>
                      <w:szCs w:val="21"/>
                      <w:highlight w:val="none"/>
                    </w:rPr>
                    <w:t>0.8%</w:t>
                  </w:r>
                </w:p>
              </w:tc>
              <w:tc>
                <w:tcPr>
                  <w:tcW w:w="1671"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kern w:val="0"/>
                      <w:szCs w:val="21"/>
                      <w:highlight w:val="none"/>
                    </w:rPr>
                    <w:t>0.45%</w:t>
                  </w:r>
                </w:p>
              </w:tc>
              <w:tc>
                <w:tcPr>
                  <w:tcW w:w="1671"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63"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1000～5000万</w:t>
                  </w:r>
                </w:p>
              </w:tc>
              <w:tc>
                <w:tcPr>
                  <w:tcW w:w="1671"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kern w:val="0"/>
                      <w:szCs w:val="21"/>
                      <w:highlight w:val="none"/>
                    </w:rPr>
                    <w:t>0.5%</w:t>
                  </w:r>
                </w:p>
              </w:tc>
              <w:tc>
                <w:tcPr>
                  <w:tcW w:w="1671"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kern w:val="0"/>
                      <w:szCs w:val="21"/>
                      <w:highlight w:val="none"/>
                    </w:rPr>
                    <w:t>0.25%</w:t>
                  </w:r>
                </w:p>
              </w:tc>
              <w:tc>
                <w:tcPr>
                  <w:tcW w:w="1671"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kern w:val="0"/>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63"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5000万～1亿</w:t>
                  </w:r>
                </w:p>
              </w:tc>
              <w:tc>
                <w:tcPr>
                  <w:tcW w:w="1671"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kern w:val="0"/>
                      <w:szCs w:val="21"/>
                      <w:highlight w:val="none"/>
                    </w:rPr>
                    <w:t>0.25%</w:t>
                  </w:r>
                </w:p>
              </w:tc>
              <w:tc>
                <w:tcPr>
                  <w:tcW w:w="1671"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kern w:val="0"/>
                      <w:szCs w:val="21"/>
                      <w:highlight w:val="none"/>
                    </w:rPr>
                    <w:t>0.1%</w:t>
                  </w:r>
                </w:p>
              </w:tc>
              <w:tc>
                <w:tcPr>
                  <w:tcW w:w="1671"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63"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1～5亿</w:t>
                  </w:r>
                </w:p>
              </w:tc>
              <w:tc>
                <w:tcPr>
                  <w:tcW w:w="1671"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0.05%</w:t>
                  </w:r>
                </w:p>
              </w:tc>
              <w:tc>
                <w:tcPr>
                  <w:tcW w:w="1671"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0.05%</w:t>
                  </w:r>
                </w:p>
              </w:tc>
              <w:tc>
                <w:tcPr>
                  <w:tcW w:w="1671"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63"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5～10亿</w:t>
                  </w:r>
                </w:p>
              </w:tc>
              <w:tc>
                <w:tcPr>
                  <w:tcW w:w="1671"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0.035%</w:t>
                  </w:r>
                </w:p>
              </w:tc>
              <w:tc>
                <w:tcPr>
                  <w:tcW w:w="1671"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0.035%</w:t>
                  </w:r>
                </w:p>
              </w:tc>
              <w:tc>
                <w:tcPr>
                  <w:tcW w:w="1671" w:type="dxa"/>
                  <w:noWrap w:val="0"/>
                  <w:vAlign w:val="center"/>
                </w:tcPr>
                <w:p>
                  <w:pPr>
                    <w:tabs>
                      <w:tab w:val="center" w:pos="4153"/>
                      <w:tab w:val="right" w:pos="8306"/>
                    </w:tabs>
                    <w:snapToGrid w:val="0"/>
                    <w:jc w:val="center"/>
                    <w:rPr>
                      <w:rFonts w:ascii="Times New Roman" w:hAnsi="Times New Roman" w:eastAsia="宋体" w:cs="Times New Roman"/>
                      <w:snapToGrid w:val="0"/>
                      <w:szCs w:val="21"/>
                      <w:highlight w:val="none"/>
                    </w:rPr>
                  </w:pPr>
                  <w:r>
                    <w:rPr>
                      <w:rFonts w:ascii="Times New Roman" w:hAnsi="Times New Roman" w:eastAsia="宋体" w:cs="Times New Roman"/>
                      <w:snapToGrid w:val="0"/>
                      <w:szCs w:val="21"/>
                      <w:highlight w:val="none"/>
                    </w:rPr>
                    <w:t>0.035%</w:t>
                  </w:r>
                </w:p>
              </w:tc>
            </w:tr>
          </w:tbl>
          <w:p>
            <w:pPr>
              <w:numPr>
                <w:ilvl w:val="0"/>
                <w:numId w:val="4"/>
              </w:numPr>
              <w:spacing w:line="360" w:lineRule="auto"/>
              <w:rPr>
                <w:rFonts w:hint="eastAsia" w:ascii="宋体" w:hAnsi="宋体"/>
                <w:szCs w:val="21"/>
                <w:highlight w:val="none"/>
              </w:rPr>
            </w:pPr>
            <w:r>
              <w:rPr>
                <w:rFonts w:hint="eastAsia" w:ascii="宋体" w:hAnsi="宋体"/>
                <w:szCs w:val="21"/>
                <w:highlight w:val="none"/>
              </w:rPr>
              <w:t>中标单位在中标公示期结束后5个工作日内</w:t>
            </w:r>
            <w:r>
              <w:rPr>
                <w:rFonts w:hint="eastAsia" w:ascii="宋体" w:hAnsi="宋体"/>
                <w:szCs w:val="21"/>
                <w:highlight w:val="none"/>
                <w:lang w:eastAsia="zh-CN"/>
              </w:rPr>
              <w:t>按以上招标代理服务费的收取标准的“服务招标”，按预算总金额，</w:t>
            </w:r>
            <w:r>
              <w:rPr>
                <w:rFonts w:hint="eastAsia" w:ascii="宋体" w:hAnsi="宋体"/>
                <w:szCs w:val="21"/>
                <w:highlight w:val="none"/>
              </w:rPr>
              <w:t>以电汇方式向本招标代理机构支付中标服务费。</w:t>
            </w:r>
          </w:p>
          <w:p>
            <w:pPr>
              <w:numPr>
                <w:ilvl w:val="0"/>
                <w:numId w:val="4"/>
              </w:numPr>
              <w:spacing w:line="360" w:lineRule="auto"/>
              <w:rPr>
                <w:rFonts w:hint="eastAsia" w:ascii="宋体" w:hAnsi="宋体"/>
                <w:szCs w:val="21"/>
                <w:highlight w:val="none"/>
              </w:rPr>
            </w:pPr>
            <w:r>
              <w:rPr>
                <w:rFonts w:hint="eastAsia" w:ascii="宋体" w:hAnsi="宋体"/>
                <w:szCs w:val="21"/>
                <w:highlight w:val="none"/>
              </w:rPr>
              <w:t>服务费汇入账户：</w:t>
            </w:r>
          </w:p>
          <w:p>
            <w:pPr>
              <w:spacing w:line="360" w:lineRule="auto"/>
              <w:rPr>
                <w:rFonts w:hint="eastAsia" w:ascii="宋体" w:hAnsi="宋体"/>
                <w:szCs w:val="21"/>
                <w:highlight w:val="none"/>
              </w:rPr>
            </w:pPr>
            <w:r>
              <w:rPr>
                <w:rFonts w:hint="eastAsia" w:ascii="宋体" w:hAnsi="宋体"/>
                <w:szCs w:val="21"/>
                <w:highlight w:val="none"/>
              </w:rPr>
              <w:t>户名：宁波之新招标咨询有限公司</w:t>
            </w:r>
          </w:p>
          <w:p>
            <w:pPr>
              <w:spacing w:line="360" w:lineRule="auto"/>
              <w:rPr>
                <w:rFonts w:hint="eastAsia" w:ascii="宋体" w:hAnsi="宋体"/>
                <w:szCs w:val="21"/>
                <w:highlight w:val="none"/>
              </w:rPr>
            </w:pPr>
            <w:r>
              <w:rPr>
                <w:rFonts w:hint="eastAsia" w:ascii="宋体" w:hAnsi="宋体"/>
                <w:szCs w:val="21"/>
                <w:highlight w:val="none"/>
              </w:rPr>
              <w:t>开户行：宁波银行海西支行</w:t>
            </w:r>
          </w:p>
          <w:p>
            <w:pPr>
              <w:spacing w:line="360" w:lineRule="auto"/>
              <w:rPr>
                <w:rFonts w:hint="eastAsia" w:eastAsia="宋体"/>
                <w:color w:val="auto"/>
                <w:highlight w:val="none"/>
                <w:lang w:eastAsia="zh-CN"/>
              </w:rPr>
            </w:pPr>
            <w:r>
              <w:rPr>
                <w:rFonts w:hint="eastAsia" w:ascii="宋体" w:hAnsi="宋体"/>
                <w:szCs w:val="21"/>
                <w:highlight w:val="none"/>
              </w:rPr>
              <w:t>账号：2106 0122 0000 00137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现场踏勘：本项目不统一组织现场勘踏，投标人可自行前往现场踏勘，费用自理。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澄清或者修改：</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投标截止时间前，采购代理机构可以对已发出的采购文件进行必要的澄清或者修改。澄清或者修改的内容可能影响投标文件编制的，采购代理机构将在投标截止时间至少15日前，以书面形式通知所有获取采购文件的潜在投标人，不足15日的，采购代理机构将顺延提交投标文件的截止时间；澄清或者修改的内容不影响投标文件编制的，则不受15日的期限限制。澄清或者修改的内容为采购文件的组成部分，对所有投标人具有约束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4"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投标文件组成：</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本项目实行网上投标，供应商应准备以下投标文件：</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（1）供应商于“政采云”上提供电子投标文件。</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（2）以U盘等介质存储的数据电文形式提供的备份电子投标文件数量1份。</w:t>
            </w:r>
          </w:p>
          <w:p>
            <w:pPr>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（3）备份纸质投标文件：报价文件、资格证明文件及商务技术文件正本各1份，副本各1份。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投标截止时间及投标地点：按公开招标采购公告规定；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开标时间及开标地点：按公开招标采购公告规定；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评标结果公示：评标结束后，经采购单位确认，评标结果公示于招标公告发布网站。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投标保证金退还：本项目无投标保证金。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签订合同时间：中标通知书发出之日起30日内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履约保证金：</w:t>
            </w:r>
            <w:r>
              <w:rPr>
                <w:rFonts w:hint="eastAsia" w:ascii="宋体" w:hAnsi="宋体" w:cs="宋体"/>
                <w:color w:val="auto"/>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05"/>
                <w:tab w:val="center" w:pos="386"/>
              </w:tabs>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印发浙江省政府采购采购供应商注册及诚信管理暂行办法的通知》（浙财采购监字【2009】28号）文件的规定，投标人应于投标截止期前在浙江政府采购网（http://zfcg.czt.zj.gov.cn/）上成功注册，否则投标人将不能有效进入招标程序，由此产生的后果将由投标人自己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05"/>
                <w:tab w:val="center" w:pos="386"/>
              </w:tabs>
              <w:kinsoku/>
              <w:wordWrap/>
              <w:overflowPunct/>
              <w:topLinePunct w:val="0"/>
              <w:autoSpaceDE/>
              <w:autoSpaceDN/>
              <w:bidi w:val="0"/>
              <w:adjustRightInd/>
              <w:spacing w:line="360" w:lineRule="atLeast"/>
              <w:ind w:left="0" w:leftChars="0"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tLeast"/>
              <w:ind w:left="0" w:leftChars="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项目名称、公告标题等不影响对项目性质的认定；本采购文件的解释权属于招标采购单位。构成本采购文件的各个组成文件应互为解释，互为说明；如有不明确或不一致，构成合同文件组成内容的，以合同文件约定内容为准，且以专用合同条款约定的合同文件优先顺序解释；除采购文件中有特别规定外，仅适用于招标投标阶段的规定，按招标公告（投标邀请书）、投标人须知前附表、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采购单位负责解释。</w:t>
            </w:r>
          </w:p>
        </w:tc>
      </w:tr>
    </w:tbl>
    <w:p>
      <w:pPr>
        <w:pageBreakBefore w:val="0"/>
        <w:widowControl w:val="0"/>
        <w:kinsoku/>
        <w:wordWrap/>
        <w:overflowPunct/>
        <w:topLinePunct w:val="0"/>
        <w:autoSpaceDE/>
        <w:autoSpaceDN/>
        <w:bidi w:val="0"/>
        <w:spacing w:before="120" w:after="120" w:line="360" w:lineRule="auto"/>
        <w:ind w:left="0" w:leftChars="0" w:right="0" w:rightChars="0"/>
        <w:rPr>
          <w:rFonts w:hint="eastAsia" w:ascii="宋体" w:hAnsi="宋体" w:eastAsia="宋体" w:cs="宋体"/>
          <w:b/>
          <w:color w:val="auto"/>
          <w:szCs w:val="21"/>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Cs w:val="21"/>
          <w:highlight w:val="none"/>
        </w:rPr>
        <w:t>一、总  则</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rPr>
      </w:pPr>
      <w:bookmarkStart w:id="8" w:name="_Toc397588700"/>
      <w:r>
        <w:rPr>
          <w:rFonts w:hint="eastAsia" w:ascii="宋体" w:hAnsi="宋体" w:eastAsia="宋体" w:cs="宋体"/>
          <w:b/>
          <w:color w:val="auto"/>
          <w:szCs w:val="21"/>
          <w:highlight w:val="none"/>
        </w:rPr>
        <w:t>（一）适用范围</w:t>
      </w:r>
      <w:bookmarkEnd w:id="8"/>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本采购文件适用于</w:t>
      </w:r>
      <w:r>
        <w:rPr>
          <w:rFonts w:hint="eastAsia" w:ascii="宋体" w:hAnsi="宋体" w:cs="宋体"/>
          <w:bCs/>
          <w:color w:val="auto"/>
          <w:szCs w:val="21"/>
          <w:highlight w:val="none"/>
          <w:lang w:eastAsia="zh-CN"/>
        </w:rPr>
        <w:t>2023-2025年北仑区土地使用权出让地价委托评估项目</w:t>
      </w:r>
      <w:r>
        <w:rPr>
          <w:rFonts w:hint="eastAsia" w:ascii="宋体" w:hAnsi="宋体" w:eastAsia="宋体" w:cs="宋体"/>
          <w:color w:val="auto"/>
          <w:szCs w:val="21"/>
          <w:highlight w:val="none"/>
        </w:rPr>
        <w:t>的招标、投标、评标、定标、验收、合同履约、付款等行为（法律、法规另有规定的，从其规定）。</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rPr>
      </w:pPr>
      <w:bookmarkStart w:id="9" w:name="_Toc397588701"/>
      <w:r>
        <w:rPr>
          <w:rFonts w:hint="eastAsia" w:ascii="宋体" w:hAnsi="宋体" w:eastAsia="宋体" w:cs="宋体"/>
          <w:b/>
          <w:color w:val="auto"/>
          <w:szCs w:val="21"/>
          <w:highlight w:val="none"/>
        </w:rPr>
        <w:t>（二）定义</w:t>
      </w:r>
      <w:bookmarkEnd w:id="9"/>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1.招标采购单位系指组织本次招标的代理机构（“招标人”）和采购单位。</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2.“投标人”系指向招标方提交投标文件的单位或个人。</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3.“服务”系指采购文件规定投标人须承担的</w:t>
      </w:r>
      <w:r>
        <w:rPr>
          <w:rFonts w:hint="eastAsia" w:ascii="宋体" w:hAnsi="宋体" w:cs="宋体"/>
          <w:bCs/>
          <w:color w:val="auto"/>
          <w:szCs w:val="21"/>
          <w:highlight w:val="none"/>
          <w:lang w:eastAsia="zh-CN"/>
        </w:rPr>
        <w:t>2023-2025年北仑区土地使用权出让地价委托评估</w:t>
      </w:r>
      <w:r>
        <w:rPr>
          <w:rFonts w:hint="eastAsia" w:ascii="宋体" w:hAnsi="宋体" w:eastAsia="宋体" w:cs="宋体"/>
          <w:color w:val="auto"/>
          <w:szCs w:val="21"/>
          <w:highlight w:val="none"/>
        </w:rPr>
        <w:t>。</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4.“项目”系指投标人按采购文件规定向采购人提供的产品和服务。</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5.“书面形式”系指“政采云”平台、传真、电子邮件、信函、电报、在规定信息发布网站上发布公告等。</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6.“*”系指实质性要求条款</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rPr>
      </w:pPr>
      <w:bookmarkStart w:id="10" w:name="_Toc397588702"/>
      <w:r>
        <w:rPr>
          <w:rFonts w:hint="eastAsia" w:ascii="宋体" w:hAnsi="宋体" w:eastAsia="宋体" w:cs="宋体"/>
          <w:b/>
          <w:color w:val="auto"/>
          <w:szCs w:val="21"/>
          <w:highlight w:val="none"/>
        </w:rPr>
        <w:t>（三）招标方式</w:t>
      </w:r>
      <w:bookmarkEnd w:id="10"/>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本次招标采用公开招标方式进行。</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rPr>
      </w:pPr>
      <w:bookmarkStart w:id="11" w:name="_Toc397588703"/>
      <w:r>
        <w:rPr>
          <w:rFonts w:hint="eastAsia" w:ascii="宋体" w:hAnsi="宋体" w:eastAsia="宋体" w:cs="宋体"/>
          <w:b/>
          <w:color w:val="auto"/>
          <w:szCs w:val="21"/>
          <w:highlight w:val="none"/>
        </w:rPr>
        <w:t>（四）投标委托</w:t>
      </w:r>
      <w:bookmarkEnd w:id="11"/>
    </w:p>
    <w:p>
      <w:pPr>
        <w:pStyle w:val="11"/>
        <w:pageBreakBefore w:val="0"/>
        <w:widowControl w:val="0"/>
        <w:kinsoku/>
        <w:wordWrap/>
        <w:overflowPunct/>
        <w:topLinePunct w:val="0"/>
        <w:autoSpaceDE/>
        <w:autoSpaceDN/>
        <w:bidi w:val="0"/>
        <w:snapToGrid w:val="0"/>
        <w:spacing w:line="360" w:lineRule="auto"/>
        <w:ind w:left="0" w:leftChars="0" w:right="0" w:rightChars="0" w:firstLine="404" w:firstLineChars="200"/>
        <w:jc w:val="left"/>
        <w:rPr>
          <w:rFonts w:hint="eastAsia" w:hAnsi="宋体" w:cs="宋体"/>
          <w:color w:val="auto"/>
          <w:sz w:val="21"/>
          <w:szCs w:val="21"/>
          <w:highlight w:val="none"/>
        </w:rPr>
      </w:pPr>
      <w:r>
        <w:rPr>
          <w:rFonts w:hint="eastAsia" w:hAnsi="宋体" w:cs="宋体"/>
          <w:color w:val="auto"/>
          <w:sz w:val="21"/>
          <w:szCs w:val="21"/>
          <w:highlight w:val="none"/>
        </w:rPr>
        <w:t>投标人代表须携带有效身份证件。如投标人代表不是法定代表人，须有法定代表人出具的授权委托书（正本用原件，副本可用复印件，格式见第六章投标文件格式）。</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rPr>
      </w:pPr>
      <w:bookmarkStart w:id="12" w:name="_Toc397588704"/>
      <w:r>
        <w:rPr>
          <w:rFonts w:hint="eastAsia" w:ascii="宋体" w:hAnsi="宋体" w:eastAsia="宋体" w:cs="宋体"/>
          <w:b/>
          <w:color w:val="auto"/>
          <w:szCs w:val="21"/>
          <w:highlight w:val="none"/>
        </w:rPr>
        <w:t>（五）投标费用</w:t>
      </w:r>
      <w:bookmarkEnd w:id="12"/>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不论投标结果如何，投标人均应自行承担所有与投标有关的全部费用（采购文件有相关规定除外）。</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*（六）联合体投标</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本项目接受联合体投标</w:t>
      </w:r>
      <w:r>
        <w:rPr>
          <w:rFonts w:hint="eastAsia" w:ascii="宋体" w:hAnsi="宋体" w:eastAsia="宋体" w:cs="宋体"/>
          <w:color w:val="auto"/>
          <w:szCs w:val="21"/>
          <w:highlight w:val="none"/>
        </w:rPr>
        <w:t>。</w:t>
      </w:r>
      <w:r>
        <w:rPr>
          <w:rFonts w:hint="eastAsia" w:ascii="宋体" w:hAnsi="宋体" w:eastAsia="宋体" w:cs="宋体"/>
          <w:i w:val="0"/>
          <w:caps w:val="0"/>
          <w:color w:val="auto"/>
          <w:spacing w:val="0"/>
          <w:kern w:val="0"/>
          <w:sz w:val="21"/>
          <w:szCs w:val="21"/>
          <w:highlight w:val="none"/>
          <w:shd w:val="clear" w:color="auto" w:fill="FFFFFF"/>
          <w:lang w:val="en-US" w:eastAsia="zh-CN" w:bidi="ar"/>
        </w:rPr>
        <w:t>联合体成员总数量最多2名，投标文件中须提供联合体协议，并明确联合体牵头人，联合体各方在同一招标项目中以自己名义单独投标或者参加其他联合体投标的，相关投标均无效</w:t>
      </w:r>
      <w:r>
        <w:rPr>
          <w:rFonts w:hint="eastAsia" w:ascii="宋体" w:hAnsi="宋体" w:cs="宋体"/>
          <w:i w:val="0"/>
          <w:caps w:val="0"/>
          <w:color w:val="auto"/>
          <w:spacing w:val="0"/>
          <w:kern w:val="0"/>
          <w:sz w:val="21"/>
          <w:szCs w:val="21"/>
          <w:highlight w:val="none"/>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*（七）</w:t>
      </w:r>
      <w:r>
        <w:rPr>
          <w:rFonts w:hint="eastAsia" w:ascii="宋体" w:hAnsi="宋体" w:eastAsia="宋体" w:cs="宋体"/>
          <w:b/>
          <w:color w:val="auto"/>
          <w:kern w:val="0"/>
          <w:szCs w:val="21"/>
          <w:highlight w:val="none"/>
        </w:rPr>
        <w:t>转包与分包</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本项目不允许转包，未经采购单位同意，不允许分包或转让。</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rPr>
      </w:pPr>
      <w:bookmarkStart w:id="13" w:name="_Toc397588705"/>
      <w:r>
        <w:rPr>
          <w:rFonts w:hint="eastAsia" w:ascii="宋体" w:hAnsi="宋体" w:eastAsia="宋体" w:cs="宋体"/>
          <w:b/>
          <w:color w:val="auto"/>
          <w:szCs w:val="21"/>
          <w:highlight w:val="none"/>
        </w:rPr>
        <w:t>（八）特别说明：</w:t>
      </w:r>
      <w:bookmarkEnd w:id="13"/>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bookmarkStart w:id="14" w:name="_Toc397588709"/>
      <w:r>
        <w:rPr>
          <w:rFonts w:hint="eastAsia" w:ascii="宋体" w:hAnsi="宋体" w:eastAsia="宋体" w:cs="宋体"/>
          <w:bCs/>
          <w:color w:val="auto"/>
          <w:szCs w:val="21"/>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采购文件规定的方式确定一个参加评标的投标人，采购文件未规定的采取随机抽取方式确定，其他投标无效。</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非单一产品采购项目，多家投标人提供的核心产品品牌相同的，按前款处理。</w:t>
      </w:r>
    </w:p>
    <w:p>
      <w:pPr>
        <w:pStyle w:val="2"/>
        <w:pageBreakBefore w:val="0"/>
        <w:widowControl w:val="0"/>
        <w:kinsoku/>
        <w:wordWrap/>
        <w:overflowPunct/>
        <w:topLinePunct w:val="0"/>
        <w:autoSpaceDE/>
        <w:autoSpaceDN/>
        <w:bidi w:val="0"/>
        <w:snapToGrid w:val="0"/>
        <w:spacing w:before="120" w:after="120" w:afterLines="0" w:line="360" w:lineRule="auto"/>
        <w:ind w:left="0" w:leftChars="0" w:right="0" w:rightChars="0" w:firstLine="422" w:firstLineChars="200"/>
        <w:rPr>
          <w:rFonts w:hint="eastAsia" w:hAnsi="宋体" w:eastAsia="宋体" w:cs="宋体"/>
          <w:b/>
          <w:color w:val="auto"/>
          <w:sz w:val="21"/>
          <w:szCs w:val="21"/>
          <w:highlight w:val="none"/>
        </w:rPr>
      </w:pPr>
      <w:r>
        <w:rPr>
          <w:rFonts w:hint="eastAsia" w:hAnsi="宋体" w:eastAsia="宋体" w:cs="宋体"/>
          <w:b/>
          <w:color w:val="auto"/>
          <w:sz w:val="21"/>
          <w:szCs w:val="21"/>
          <w:highlight w:val="none"/>
        </w:rPr>
        <w:t>*2.</w:t>
      </w:r>
      <w:r>
        <w:rPr>
          <w:rFonts w:hint="eastAsia" w:hAnsi="宋体" w:eastAsia="宋体" w:cs="宋体"/>
          <w:b/>
          <w:bCs/>
          <w:color w:val="auto"/>
          <w:sz w:val="21"/>
          <w:szCs w:val="21"/>
          <w:highlight w:val="none"/>
        </w:rPr>
        <w:t>投标人投标所使用的资格、信誉、荣誉、业绩与企业认证必须为本法人所拥有。</w:t>
      </w:r>
    </w:p>
    <w:p>
      <w:pPr>
        <w:pStyle w:val="2"/>
        <w:pageBreakBefore w:val="0"/>
        <w:widowControl w:val="0"/>
        <w:kinsoku/>
        <w:wordWrap/>
        <w:overflowPunct/>
        <w:topLinePunct w:val="0"/>
        <w:autoSpaceDE/>
        <w:autoSpaceDN/>
        <w:bidi w:val="0"/>
        <w:snapToGrid w:val="0"/>
        <w:spacing w:before="120" w:beforeLines="0" w:after="120" w:afterLines="0" w:line="360" w:lineRule="auto"/>
        <w:ind w:left="0" w:leftChars="0" w:right="0" w:rightChars="0" w:firstLine="413" w:firstLineChars="196"/>
        <w:jc w:val="left"/>
        <w:outlineLvl w:val="1"/>
        <w:rPr>
          <w:rFonts w:hint="eastAsia" w:hAnsi="宋体" w:eastAsia="宋体" w:cs="宋体"/>
          <w:b/>
          <w:bCs/>
          <w:color w:val="auto"/>
          <w:sz w:val="21"/>
          <w:szCs w:val="21"/>
          <w:highlight w:val="none"/>
        </w:rPr>
      </w:pPr>
      <w:r>
        <w:rPr>
          <w:rFonts w:hint="eastAsia" w:hAnsi="宋体" w:eastAsia="宋体" w:cs="宋体"/>
          <w:b/>
          <w:bCs/>
          <w:color w:val="auto"/>
          <w:sz w:val="21"/>
          <w:szCs w:val="21"/>
          <w:highlight w:val="none"/>
        </w:rPr>
        <w:t>*3.投标人应仔细阅读采购文件的所有内容，按照采购文件的要求提交投标文件，并对所提供的全部资料的真实性承担法律责任。</w:t>
      </w:r>
    </w:p>
    <w:p>
      <w:pPr>
        <w:pStyle w:val="2"/>
        <w:pageBreakBefore w:val="0"/>
        <w:widowControl w:val="0"/>
        <w:kinsoku/>
        <w:wordWrap/>
        <w:overflowPunct/>
        <w:topLinePunct w:val="0"/>
        <w:autoSpaceDE/>
        <w:autoSpaceDN/>
        <w:bidi w:val="0"/>
        <w:snapToGrid w:val="0"/>
        <w:spacing w:before="120" w:beforeLines="0" w:after="120" w:afterLines="0" w:line="360" w:lineRule="auto"/>
        <w:ind w:left="0" w:leftChars="0" w:right="0" w:rightChars="0" w:firstLine="413" w:firstLineChars="196"/>
        <w:jc w:val="left"/>
        <w:outlineLvl w:val="1"/>
        <w:rPr>
          <w:rFonts w:hint="eastAsia" w:hAnsi="宋体" w:eastAsia="宋体" w:cs="宋体"/>
          <w:b/>
          <w:bCs/>
          <w:color w:val="auto"/>
          <w:sz w:val="21"/>
          <w:szCs w:val="21"/>
          <w:highlight w:val="none"/>
        </w:rPr>
      </w:pPr>
      <w:r>
        <w:rPr>
          <w:rFonts w:hint="eastAsia" w:hAnsi="宋体" w:eastAsia="宋体" w:cs="宋体"/>
          <w:b/>
          <w:bCs/>
          <w:color w:val="auto"/>
          <w:sz w:val="21"/>
          <w:szCs w:val="21"/>
          <w:highlight w:val="none"/>
        </w:rPr>
        <w:tab/>
      </w:r>
      <w:r>
        <w:rPr>
          <w:rFonts w:hint="eastAsia" w:hAnsi="宋体" w:eastAsia="宋体" w:cs="宋体"/>
          <w:b/>
          <w:bCs/>
          <w:color w:val="auto"/>
          <w:sz w:val="21"/>
          <w:szCs w:val="21"/>
          <w:highlight w:val="none"/>
        </w:rPr>
        <w:t>*4.投标人在投标活动中提供任何虚假材料</w:t>
      </w:r>
      <w:r>
        <w:rPr>
          <w:rFonts w:hint="eastAsia" w:hAnsi="宋体" w:eastAsia="宋体" w:cs="宋体"/>
          <w:b/>
          <w:bCs/>
          <w:color w:val="auto"/>
          <w:sz w:val="21"/>
          <w:szCs w:val="21"/>
          <w:highlight w:val="none"/>
          <w:lang w:eastAsia="zh-CN"/>
        </w:rPr>
        <w:t>，</w:t>
      </w:r>
      <w:r>
        <w:rPr>
          <w:rFonts w:hint="eastAsia" w:hAnsi="宋体" w:eastAsia="宋体" w:cs="宋体"/>
          <w:b/>
          <w:bCs/>
          <w:color w:val="auto"/>
          <w:sz w:val="21"/>
          <w:szCs w:val="21"/>
          <w:highlight w:val="none"/>
        </w:rPr>
        <w:t>其投标无效，并报监管部门查处。</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（九）询问、质疑和投诉</w:t>
      </w:r>
      <w:bookmarkEnd w:id="14"/>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bookmarkStart w:id="15" w:name="_Toc397588710"/>
      <w:r>
        <w:rPr>
          <w:rFonts w:hint="eastAsia" w:ascii="宋体" w:hAnsi="宋体" w:eastAsia="宋体" w:cs="宋体"/>
          <w:bCs/>
          <w:color w:val="auto"/>
          <w:szCs w:val="21"/>
          <w:highlight w:val="none"/>
        </w:rPr>
        <w:t>1.询问</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（1）投标人对政府采购活动事项有疑问的，可以向采购代理机构提出询问，询问可以口头方式提出，也可以书面方式提出。</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（2）采购代理机构在三个工作日内对投标人依法提出的询问作出答复，但答复的内容不涉及商业秘密。</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2.质疑</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（1）提出质疑的期限</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对可以质疑的采购文件提出质疑的，为采购文件公告期间或公告结束之日起七个工作日内；对采购过程提出质疑的，为各采购程序环节结束之日起七个工作日内；对中标或者成交结果提出质疑的，为中标或者成交结果公告期限届满之日起七个工作日内。</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（2）提出质疑的要求</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①以书面形式（加盖投标人公章）向采购代理机构提出质疑。投标人以电话、传真或电邮形式提交的质疑属于无效质疑。</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质疑书内容应包括具体的质疑事项、事实依据及相关确凿的证明材料、明确的请求、投标人名称及地址、授权代表姓名及其联系电话、传真、质疑时间。质疑书应当署名并由法定代表人或授权代表签字并加盖公章。</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③递交质疑书时需提供质疑书原件、法定代表人授权委托书（应载明委托代理的具体权限及事项）、营业执照、机构代码证、法定代表人及授权代表身份证复印件。</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④投标人质疑应当有明确的请求和必要的证明材料，捏造事实、提供虚假材料或者以非法手段取得证明材料不能作为质疑的证明材料。</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（3）质疑答复</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采购代理机构在收到投标人的书面质疑后7个工作日内作出答复，并以书面形式通知质疑投标人，但答复的内容不涉及商业秘密。</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3.投诉</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质疑投标人对采购代理机构的质疑答复不满意，或采购代理机构未在规定期限内作出答复的，可以在答复期满后十五个工作日内向同级政府采购监督管理部门提出投诉。</w:t>
      </w:r>
    </w:p>
    <w:p>
      <w:pPr>
        <w:pStyle w:val="2"/>
        <w:pageBreakBefore w:val="0"/>
        <w:widowControl w:val="0"/>
        <w:kinsoku/>
        <w:wordWrap/>
        <w:overflowPunct/>
        <w:topLinePunct w:val="0"/>
        <w:autoSpaceDE/>
        <w:autoSpaceDN/>
        <w:bidi w:val="0"/>
        <w:snapToGrid w:val="0"/>
        <w:spacing w:before="120" w:after="120" w:line="360" w:lineRule="auto"/>
        <w:ind w:left="0" w:leftChars="0" w:right="0" w:rightChars="0" w:firstLine="420" w:firstLineChars="200"/>
        <w:rPr>
          <w:rFonts w:hint="eastAsia" w:hAnsi="宋体" w:eastAsia="宋体" w:cs="宋体"/>
          <w:bCs/>
          <w:color w:val="auto"/>
          <w:sz w:val="21"/>
          <w:szCs w:val="21"/>
          <w:highlight w:val="none"/>
        </w:rPr>
      </w:pPr>
      <w:r>
        <w:rPr>
          <w:rFonts w:hint="eastAsia" w:hAnsi="宋体" w:eastAsia="宋体" w:cs="宋体"/>
          <w:bCs/>
          <w:color w:val="auto"/>
          <w:sz w:val="21"/>
          <w:szCs w:val="21"/>
          <w:highlight w:val="none"/>
        </w:rPr>
        <w:t>4.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（十）关于分公司投标</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浙江省财政厅关于规范政府采购供应商资格设定及资格审查的通知》（浙财采监[2013]24号）第6条规定，金融、保险、通讯等特定行业的全国性企业所设立的区域性分支机构，以及个体工商户、个人独资企业、合伙企业，获得总机构授权或能够提供房产权证或其他有效财产证明材料，证明其具备实际承担责任的能力和法定的缔结合同能力的，可独立参加本次采购活动，总公司取得的相关资质、荣誉等对分公司无效。</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（十一）关于知识产权</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2.投标报价应包含所有应向所有权人支付的专利权、商标权或其它知识产权的一切相关费用。</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3.系统软件、通用软件必须是具有在中国境内的合法使用权或版权的正版软件，涉及到第三方提出侵权或知识产权的起诉及支付版税等费用由投标人承担所有责任及费用。</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bCs/>
          <w:color w:val="auto"/>
          <w:szCs w:val="21"/>
          <w:highlight w:val="none"/>
        </w:rPr>
      </w:pPr>
    </w:p>
    <w:p>
      <w:pPr>
        <w:pageBreakBefore w:val="0"/>
        <w:widowControl w:val="0"/>
        <w:kinsoku/>
        <w:wordWrap/>
        <w:overflowPunct/>
        <w:topLinePunct w:val="0"/>
        <w:autoSpaceDE/>
        <w:autoSpaceDN/>
        <w:bidi w:val="0"/>
        <w:spacing w:before="120" w:after="120" w:line="360" w:lineRule="auto"/>
        <w:ind w:left="0" w:leftChars="0"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二、采购文件</w:t>
      </w:r>
      <w:bookmarkEnd w:id="15"/>
    </w:p>
    <w:p>
      <w:pPr>
        <w:pageBreakBefore w:val="0"/>
        <w:widowControl w:val="0"/>
        <w:kinsoku/>
        <w:wordWrap/>
        <w:overflowPunct/>
        <w:topLinePunct w:val="0"/>
        <w:autoSpaceDE/>
        <w:autoSpaceDN/>
        <w:bidi w:val="0"/>
        <w:snapToGrid w:val="0"/>
        <w:spacing w:line="360" w:lineRule="auto"/>
        <w:ind w:left="0" w:leftChars="0" w:right="0" w:rightChars="0" w:firstLine="413" w:firstLineChars="196"/>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（一）采购文件的构成。本采购文件由以下部分组成：</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1.公开招标采购公告</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2.招标需求</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3.投标人须知</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4.评标办法及评分标准</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5.合同主要条款</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6.投标文件格式</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7.本项目采购文件的澄清、答复、修改、补充的内容</w:t>
      </w:r>
    </w:p>
    <w:p>
      <w:pPr>
        <w:pageBreakBefore w:val="0"/>
        <w:widowControl w:val="0"/>
        <w:kinsoku/>
        <w:wordWrap/>
        <w:overflowPunct/>
        <w:topLinePunct w:val="0"/>
        <w:autoSpaceDE/>
        <w:autoSpaceDN/>
        <w:bidi w:val="0"/>
        <w:snapToGrid w:val="0"/>
        <w:spacing w:before="120" w:beforeLines="50" w:line="360" w:lineRule="auto"/>
        <w:ind w:left="0" w:leftChars="0" w:right="0" w:rightChars="0" w:firstLine="413" w:firstLineChars="196"/>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（二）投标人的风险</w:t>
      </w:r>
    </w:p>
    <w:p>
      <w:pPr>
        <w:pStyle w:val="17"/>
        <w:pageBreakBefore w:val="0"/>
        <w:widowControl w:val="0"/>
        <w:kinsoku/>
        <w:wordWrap/>
        <w:overflowPunct/>
        <w:topLinePunct w:val="0"/>
        <w:autoSpaceDE/>
        <w:autoSpaceDN/>
        <w:bidi w:val="0"/>
        <w:spacing w:line="360" w:lineRule="auto"/>
        <w:ind w:left="0" w:leftChars="0" w:right="0" w:rightChars="0" w:firstLine="420"/>
        <w:rPr>
          <w:rFonts w:hint="eastAsia" w:ascii="宋体" w:eastAsia="宋体" w:cs="宋体"/>
          <w:bCs/>
          <w:color w:val="auto"/>
          <w:sz w:val="21"/>
          <w:szCs w:val="21"/>
          <w:highlight w:val="none"/>
        </w:rPr>
      </w:pPr>
      <w:r>
        <w:rPr>
          <w:rFonts w:hint="eastAsia" w:ascii="宋体" w:eastAsia="宋体" w:cs="宋体"/>
          <w:bCs/>
          <w:color w:val="auto"/>
          <w:sz w:val="21"/>
          <w:szCs w:val="21"/>
          <w:highlight w:val="none"/>
        </w:rPr>
        <w:t>投标人没有按照采购文件要求提供全部资料，或者投标人没有对采购文件在各方面作出实质性响应是投标人的风险，并可能导致其投标被拒绝。</w:t>
      </w:r>
    </w:p>
    <w:p>
      <w:pPr>
        <w:pStyle w:val="6"/>
        <w:pageBreakBefore w:val="0"/>
        <w:widowControl w:val="0"/>
        <w:numPr>
          <w:ilvl w:val="-1"/>
          <w:numId w:val="0"/>
        </w:numPr>
        <w:tabs>
          <w:tab w:val="left" w:pos="720"/>
        </w:tabs>
        <w:kinsoku/>
        <w:wordWrap/>
        <w:overflowPunct/>
        <w:topLinePunct w:val="0"/>
        <w:autoSpaceDE/>
        <w:autoSpaceDN/>
        <w:bidi w:val="0"/>
        <w:snapToGrid w:val="0"/>
        <w:spacing w:before="120" w:beforeLines="50" w:after="120" w:afterLines="0" w:line="360" w:lineRule="auto"/>
        <w:ind w:left="0" w:leftChars="0" w:right="0" w:rightChars="0" w:firstLine="413" w:firstLineChars="196"/>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（三）采购文件的澄清与修改 </w:t>
      </w:r>
    </w:p>
    <w:p>
      <w:pPr>
        <w:pageBreakBefore w:val="0"/>
        <w:widowControl w:val="0"/>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1.任何要求对《采购文件》进行澄清的投标人，应以书面或传真形式通知采购代理机构。要求澄清的问题应盖投标人公章和注明日期。采购人视情况再以书面或传真形式作出答复。</w:t>
      </w:r>
    </w:p>
    <w:p>
      <w:pPr>
        <w:pageBreakBefore w:val="0"/>
        <w:widowControl w:val="0"/>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投标截止时间前，采购代理机构可以用补充文件或书面更改通知的方式对已发出的采购文件进行必要的修改，并及时通知购买采购文件的各潜在投标人。这些补充文件或通知是采购文件的组成部分，对所有投标人有约束力。</w:t>
      </w:r>
    </w:p>
    <w:p>
      <w:pPr>
        <w:pageBreakBefore w:val="0"/>
        <w:widowControl w:val="0"/>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使潜在投标人有足够的时间依据采购文件的“更改通知”修改投标文件，采购代理机构将在投标截止时间15日前以书面或传真的形式向已购买采购文件的每一潜在投标人发出采购文件修改通知。若发出“更改通知”日距公告的投标截止期不足15天，采购代理机构在通知书中将明确是否推迟投标截止和开标时间。若所有潜在投标人在第4条规定的回复中对不推迟投标截止和开标日期均明示同意，则按原定时间执行。</w:t>
      </w:r>
    </w:p>
    <w:p>
      <w:pPr>
        <w:pageBreakBefore w:val="0"/>
        <w:widowControl w:val="0"/>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4.潜在投标人收到采购文件澄清或修改通知，或推迟截标和开标时间通知后，应在通知单回执上明示意见、盖上投标人单位公章，以书面形式回复采购代理机构。</w:t>
      </w:r>
    </w:p>
    <w:p>
      <w:pPr>
        <w:pageBreakBefore w:val="0"/>
        <w:widowControl w:val="0"/>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5.没有提出异议且又参与了该项目投标的供应商将被视为完全认同采购文件。</w:t>
      </w:r>
    </w:p>
    <w:p>
      <w:pPr>
        <w:pageBreakBefore w:val="0"/>
        <w:widowControl w:val="0"/>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pacing w:before="120" w:after="120" w:line="360" w:lineRule="auto"/>
        <w:ind w:left="0" w:leftChars="0" w:right="0" w:rightChars="0"/>
        <w:rPr>
          <w:rFonts w:hint="eastAsia" w:ascii="宋体" w:hAnsi="宋体" w:eastAsia="宋体" w:cs="宋体"/>
          <w:b/>
          <w:color w:val="auto"/>
          <w:szCs w:val="21"/>
          <w:highlight w:val="none"/>
        </w:rPr>
      </w:pPr>
      <w:bookmarkStart w:id="16" w:name="_Toc397588711"/>
      <w:r>
        <w:rPr>
          <w:rFonts w:hint="eastAsia" w:ascii="宋体" w:hAnsi="宋体" w:eastAsia="宋体" w:cs="宋体"/>
          <w:b/>
          <w:color w:val="auto"/>
          <w:szCs w:val="21"/>
          <w:highlight w:val="none"/>
        </w:rPr>
        <w:t>三、投标文件的编制</w:t>
      </w:r>
      <w:bookmarkEnd w:id="16"/>
    </w:p>
    <w:p>
      <w:pPr>
        <w:pageBreakBefore w:val="0"/>
        <w:widowControl w:val="0"/>
        <w:kinsoku/>
        <w:wordWrap/>
        <w:overflowPunct/>
        <w:topLinePunct w:val="0"/>
        <w:autoSpaceDE/>
        <w:autoSpaceDN/>
        <w:bidi w:val="0"/>
        <w:snapToGrid w:val="0"/>
        <w:spacing w:line="360" w:lineRule="auto"/>
        <w:ind w:left="0" w:leftChars="0" w:right="0" w:rightChars="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重要提示：投标文件的形式和效力</w:t>
      </w:r>
    </w:p>
    <w:p>
      <w:pPr>
        <w:pageBreakBefore w:val="0"/>
        <w:widowControl w:val="0"/>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1.投标文件分为电子投标文件以及备份投标文件，备份文件分为以介质存储的数据电文形式的备份投标文件和纸质备份投标文件。</w:t>
      </w:r>
    </w:p>
    <w:p>
      <w:pPr>
        <w:pageBreakBefore w:val="0"/>
        <w:widowControl w:val="0"/>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2.电子投标文件，按“政采云供应商项目采购-电子招投标操作指南”及本采购文件要求制作、加密并递交。</w:t>
      </w:r>
    </w:p>
    <w:p>
      <w:pPr>
        <w:pageBreakBefore w:val="0"/>
        <w:widowControl w:val="0"/>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3.以介质存储的数据电文形式的备份投标文件，即电子投标文件按“政采云供应商项目采购-电子招投标操作指南”制作的备份文件。</w:t>
      </w:r>
    </w:p>
    <w:p>
      <w:pPr>
        <w:pageBreakBefore w:val="0"/>
        <w:widowControl w:val="0"/>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4.纸质备份投标文件按“投标文件的组成”编制。</w:t>
      </w:r>
    </w:p>
    <w:p>
      <w:pPr>
        <w:pageBreakBefore w:val="0"/>
        <w:widowControl w:val="0"/>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5.投标文件的效力</w:t>
      </w:r>
    </w:p>
    <w:p>
      <w:pPr>
        <w:pageBreakBefore w:val="0"/>
        <w:widowControl w:val="0"/>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投标文件的启用，按先后顺位分别为电子投标文件、以介质存储的数据电文形式的备份投标文件、纸质备份投标文件。在下一顺位的投标文件启用时，前一顺位的投标文件自动失效。</w:t>
      </w:r>
    </w:p>
    <w:p>
      <w:pPr>
        <w:pageBreakBefore w:val="0"/>
        <w:widowControl w:val="0"/>
        <w:tabs>
          <w:tab w:val="left" w:pos="518"/>
        </w:tabs>
        <w:kinsoku/>
        <w:wordWrap/>
        <w:overflowPunct/>
        <w:topLinePunct w:val="0"/>
        <w:autoSpaceDE/>
        <w:autoSpaceDN/>
        <w:bidi w:val="0"/>
        <w:adjustRightIn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投标、响应文件未按时解密，供应商提供了备份投标、响应文件的，以备份投标、响应文件作为依据，否则视为投标、响应文件撤回。投标、响应文件已按时解密的，备份投标、响应文件自动失效。</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（一）投标文件的组成：投标文件至少包含以下部分，提供格式的按照格式填写，未提供格式的由投标人自拟。</w:t>
      </w:r>
    </w:p>
    <w:p>
      <w:pPr>
        <w:pageBreakBefore w:val="0"/>
        <w:widowControl w:val="0"/>
        <w:kinsoku/>
        <w:wordWrap/>
        <w:overflowPunct/>
        <w:topLinePunct w:val="0"/>
        <w:autoSpaceDE/>
        <w:autoSpaceDN/>
        <w:bidi w:val="0"/>
        <w:spacing w:line="360" w:lineRule="auto"/>
        <w:ind w:left="0" w:leftChars="0" w:right="0" w:rightChars="0" w:firstLine="422" w:firstLineChars="200"/>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r>
        <w:rPr>
          <w:rFonts w:hint="eastAsia" w:ascii="宋体" w:hAnsi="宋体" w:eastAsia="宋体" w:cs="宋体"/>
          <w:b/>
          <w:bCs/>
          <w:color w:val="auto"/>
          <w:szCs w:val="21"/>
          <w:highlight w:val="none"/>
        </w:rPr>
        <w:t>报价文件</w:t>
      </w:r>
      <w:r>
        <w:rPr>
          <w:rFonts w:hint="eastAsia" w:ascii="宋体" w:hAnsi="宋体" w:eastAsia="宋体" w:cs="宋体"/>
          <w:b/>
          <w:color w:val="auto"/>
          <w:szCs w:val="21"/>
          <w:highlight w:val="none"/>
        </w:rPr>
        <w:t>：</w:t>
      </w:r>
    </w:p>
    <w:p>
      <w:pPr>
        <w:pageBreakBefore w:val="0"/>
        <w:widowControl w:val="0"/>
        <w:kinsoku/>
        <w:wordWrap/>
        <w:overflowPunct/>
        <w:topLinePunct w:val="0"/>
        <w:autoSpaceDE/>
        <w:autoSpaceDN/>
        <w:bidi w:val="0"/>
        <w:spacing w:line="360" w:lineRule="auto"/>
        <w:ind w:left="0" w:leftChars="0" w:right="0" w:rightChars="0" w:firstLine="420" w:firstLineChars="200"/>
        <w:jc w:val="left"/>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（1）开标一览表（格式见附件）；</w:t>
      </w:r>
    </w:p>
    <w:p>
      <w:pPr>
        <w:pageBreakBefore w:val="0"/>
        <w:widowControl w:val="0"/>
        <w:kinsoku/>
        <w:wordWrap/>
        <w:overflowPunct/>
        <w:topLinePunct w:val="0"/>
        <w:autoSpaceDE/>
        <w:autoSpaceDN/>
        <w:bidi w:val="0"/>
        <w:spacing w:line="360" w:lineRule="auto"/>
        <w:ind w:left="0" w:leftChars="0" w:right="0" w:rightChars="0" w:firstLine="420" w:firstLineChars="200"/>
        <w:jc w:val="left"/>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（2）投标报价明细表（格式自拟）；</w:t>
      </w:r>
    </w:p>
    <w:p>
      <w:pPr>
        <w:pageBreakBefore w:val="0"/>
        <w:widowControl w:val="0"/>
        <w:kinsoku/>
        <w:wordWrap/>
        <w:overflowPunct/>
        <w:topLinePunct w:val="0"/>
        <w:autoSpaceDE/>
        <w:autoSpaceDN/>
        <w:bidi w:val="0"/>
        <w:spacing w:line="360" w:lineRule="auto"/>
        <w:ind w:left="0" w:leftChars="0" w:right="0" w:rightChars="0" w:firstLine="420" w:firstLineChars="200"/>
        <w:jc w:val="left"/>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（3）政府采购统计基础信息表（格式见附件）；</w:t>
      </w:r>
    </w:p>
    <w:p>
      <w:pPr>
        <w:pageBreakBefore w:val="0"/>
        <w:widowControl w:val="0"/>
        <w:kinsoku/>
        <w:wordWrap/>
        <w:overflowPunct/>
        <w:topLinePunct w:val="0"/>
        <w:autoSpaceDE/>
        <w:autoSpaceDN/>
        <w:bidi w:val="0"/>
        <w:spacing w:line="360" w:lineRule="auto"/>
        <w:ind w:left="0" w:leftChars="0" w:right="0" w:rightChars="0" w:firstLine="420" w:firstLineChars="200"/>
        <w:jc w:val="left"/>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）投标人针对报价需要说明的其他文件和说明（如有，格式自拟）。</w:t>
      </w:r>
    </w:p>
    <w:p>
      <w:pPr>
        <w:pageBreakBefore w:val="0"/>
        <w:widowControl w:val="0"/>
        <w:kinsoku/>
        <w:wordWrap/>
        <w:overflowPunct/>
        <w:topLinePunct w:val="0"/>
        <w:autoSpaceDE/>
        <w:autoSpaceDN/>
        <w:bidi w:val="0"/>
        <w:spacing w:line="360" w:lineRule="auto"/>
        <w:ind w:left="0" w:leftChars="0" w:right="0" w:rightChars="0" w:firstLine="422" w:firstLineChars="200"/>
        <w:jc w:val="lef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2.资格证明文件：</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（1）资格条件自查表（格式见附件）；</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（2）投标人的营业执照副本复印件（加盖公章，原件备查）；</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（3）投标人的税务登记证复印件（加盖公章，原件备查）；</w:t>
      </w:r>
    </w:p>
    <w:p>
      <w:pPr>
        <w:pageBreakBefore w:val="0"/>
        <w:widowControl w:val="0"/>
        <w:kinsoku/>
        <w:wordWrap/>
        <w:overflowPunct/>
        <w:topLinePunct w:val="0"/>
        <w:autoSpaceDE/>
        <w:autoSpaceDN/>
        <w:bidi w:val="0"/>
        <w:snapToGrid w:val="0"/>
        <w:spacing w:line="360" w:lineRule="auto"/>
        <w:ind w:left="0" w:leftChars="0" w:right="0" w:rightChars="0"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注：已办理五证合一的投标人上述(2)、(3)条中的证件只需提供一本。</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）省级自然资源主管部门出具的</w:t>
      </w:r>
      <w:r>
        <w:rPr>
          <w:rFonts w:hint="eastAsia" w:ascii="宋体" w:hAnsi="宋体" w:eastAsia="宋体" w:cs="宋体"/>
          <w:color w:val="auto"/>
          <w:szCs w:val="21"/>
          <w:highlight w:val="none"/>
        </w:rPr>
        <w:t>土地估价机构备案证明复印件（加盖公章，原件备查）</w:t>
      </w:r>
      <w:r>
        <w:rPr>
          <w:rFonts w:hint="eastAsia" w:ascii="宋体" w:hAnsi="宋体" w:cs="宋体"/>
          <w:color w:val="auto"/>
          <w:szCs w:val="21"/>
          <w:highlight w:val="none"/>
          <w:lang w:eastAsia="zh-CN"/>
        </w:rPr>
        <w:t>；</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）投标声明书（格式见附件）</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）书面声明（格式见附件）；</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）中小企业声明函（</w:t>
      </w:r>
      <w:r>
        <w:rPr>
          <w:rFonts w:hint="eastAsia" w:ascii="宋体" w:hAnsi="宋体" w:eastAsia="宋体" w:cs="宋体"/>
          <w:color w:val="auto"/>
          <w:szCs w:val="21"/>
          <w:highlight w:val="none"/>
          <w:lang w:eastAsia="zh-CN"/>
        </w:rPr>
        <w:t>如是，</w:t>
      </w:r>
      <w:r>
        <w:rPr>
          <w:rFonts w:hint="eastAsia" w:ascii="宋体" w:hAnsi="宋体" w:eastAsia="宋体" w:cs="宋体"/>
          <w:color w:val="auto"/>
          <w:szCs w:val="21"/>
          <w:highlight w:val="none"/>
        </w:rPr>
        <w:t>格式见附件）；</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eastAsia="zh-CN"/>
        </w:rPr>
        <w:t>）联合体协议（如是，格式见附件）</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）采购文件规定的其他资格条件证明材料（如有）。</w:t>
      </w:r>
    </w:p>
    <w:p>
      <w:pPr>
        <w:pageBreakBefore w:val="0"/>
        <w:widowControl w:val="0"/>
        <w:kinsoku/>
        <w:wordWrap/>
        <w:overflowPunct/>
        <w:topLinePunct w:val="0"/>
        <w:autoSpaceDE/>
        <w:autoSpaceDN/>
        <w:bidi w:val="0"/>
        <w:spacing w:line="360" w:lineRule="auto"/>
        <w:ind w:left="0" w:leftChars="0" w:right="0" w:rightChars="0" w:firstLine="422" w:firstLineChars="200"/>
        <w:jc w:val="lef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3.商务技术文件：</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（1）符合性自查表（格式见附件）；</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（2）投标函（格式见附件）</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）法定代表人资格证明（格式见附件）及法定代表人身份证复印件（加盖公章，原件备查）；</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）法定代表人授权委托书（投标人的代表若为非法定代表人的，必须提交法定代表人授权委托书；格式见附件）、被授权人身份证正反面复印件（加盖公章，原件备查）；</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）供应商自觉抵制政府采购领域商业贿赂行为承诺书（格式见附件）；</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）商务响应表（格式见附件）；</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）技术响应表（格式见附件）；</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）拟派驻本项目管理负责人简历表（格式见附件）；</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）项目实施人员情况一览表（格式见附件）；</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）投标人业绩一览表（格式见附件）；</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）评分标准所需要的其他资料（格式自拟）；</w:t>
      </w:r>
    </w:p>
    <w:p>
      <w:pPr>
        <w:pageBreakBefore w:val="0"/>
        <w:widowControl w:val="0"/>
        <w:kinsoku/>
        <w:wordWrap/>
        <w:overflowPunct/>
        <w:topLinePunct w:val="0"/>
        <w:autoSpaceDE/>
        <w:autoSpaceDN/>
        <w:bidi w:val="0"/>
        <w:spacing w:line="360" w:lineRule="auto"/>
        <w:ind w:left="0" w:leftChars="0" w:right="0" w:rightChars="0" w:firstLine="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）采购文件要求的或投标人认为需要提供的其他证明材料（复印件加盖公章，投标时随带原件以备查验）；</w:t>
      </w:r>
    </w:p>
    <w:p>
      <w:pPr>
        <w:pageBreakBefore w:val="0"/>
        <w:widowControl w:val="0"/>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）投标人认为还需提供的资料（格式自拟）。</w:t>
      </w:r>
    </w:p>
    <w:p>
      <w:pPr>
        <w:pStyle w:val="18"/>
        <w:pageBreakBefore w:val="0"/>
        <w:widowControl w:val="0"/>
        <w:kinsoku/>
        <w:wordWrap/>
        <w:overflowPunct/>
        <w:topLinePunct w:val="0"/>
        <w:autoSpaceDE/>
        <w:autoSpaceDN/>
        <w:bidi w:val="0"/>
        <w:spacing w:before="0" w:after="0" w:afterLines="0" w:line="360" w:lineRule="auto"/>
        <w:ind w:left="0" w:leftChars="0" w:right="0" w:rightChars="0" w:firstLine="422" w:firstLineChars="200"/>
        <w:rPr>
          <w:rFonts w:hint="eastAsia" w:cs="宋体"/>
          <w:b/>
          <w:bCs/>
          <w:color w:val="auto"/>
          <w:sz w:val="21"/>
          <w:szCs w:val="21"/>
          <w:highlight w:val="none"/>
        </w:rPr>
      </w:pPr>
      <w:r>
        <w:rPr>
          <w:rFonts w:hint="eastAsia" w:cs="宋体"/>
          <w:b/>
          <w:bCs/>
          <w:color w:val="auto"/>
          <w:sz w:val="21"/>
          <w:szCs w:val="21"/>
          <w:highlight w:val="none"/>
        </w:rPr>
        <w:t>注：*1、法定代表人授权委托书、投标声明书、投标函、开标一览表必须由法定代表人或授权代表签名（或盖章）并加盖单位公章。</w:t>
      </w:r>
    </w:p>
    <w:p>
      <w:pPr>
        <w:pStyle w:val="18"/>
        <w:pageBreakBefore w:val="0"/>
        <w:widowControl w:val="0"/>
        <w:kinsoku/>
        <w:wordWrap/>
        <w:overflowPunct/>
        <w:topLinePunct w:val="0"/>
        <w:autoSpaceDE/>
        <w:autoSpaceDN/>
        <w:bidi w:val="0"/>
        <w:spacing w:before="0" w:after="0" w:afterLines="0" w:line="360" w:lineRule="auto"/>
        <w:ind w:left="0" w:leftChars="0" w:right="0" w:rightChars="0" w:firstLine="945" w:firstLineChars="450"/>
        <w:rPr>
          <w:rFonts w:hint="eastAsia" w:cs="宋体"/>
          <w:bCs/>
          <w:color w:val="auto"/>
          <w:sz w:val="21"/>
          <w:szCs w:val="21"/>
          <w:highlight w:val="none"/>
        </w:rPr>
      </w:pPr>
      <w:r>
        <w:rPr>
          <w:rFonts w:hint="eastAsia" w:cs="宋体"/>
          <w:bCs/>
          <w:color w:val="auto"/>
          <w:sz w:val="21"/>
          <w:szCs w:val="21"/>
          <w:highlight w:val="none"/>
        </w:rPr>
        <w:t>2、以上目录是编制投标文件的基本格式要求，各投标人可根据自身情况进一步细化。</w:t>
      </w:r>
    </w:p>
    <w:p>
      <w:pPr>
        <w:pStyle w:val="18"/>
        <w:pageBreakBefore w:val="0"/>
        <w:widowControl w:val="0"/>
        <w:kinsoku/>
        <w:wordWrap/>
        <w:overflowPunct/>
        <w:topLinePunct w:val="0"/>
        <w:autoSpaceDE/>
        <w:autoSpaceDN/>
        <w:bidi w:val="0"/>
        <w:spacing w:before="0" w:after="0" w:afterLines="0" w:line="360" w:lineRule="auto"/>
        <w:ind w:left="0" w:leftChars="0" w:right="0" w:rightChars="0" w:firstLine="945" w:firstLineChars="450"/>
        <w:rPr>
          <w:rFonts w:hint="eastAsia" w:cs="宋体"/>
          <w:bCs/>
          <w:color w:val="auto"/>
          <w:sz w:val="21"/>
          <w:szCs w:val="21"/>
          <w:highlight w:val="none"/>
        </w:rPr>
      </w:pPr>
      <w:r>
        <w:rPr>
          <w:rFonts w:hint="eastAsia" w:cs="宋体"/>
          <w:bCs/>
          <w:color w:val="auto"/>
          <w:sz w:val="21"/>
          <w:szCs w:val="21"/>
          <w:highlight w:val="none"/>
        </w:rPr>
        <w:t>3、投标文件在提供对投标产品技术条款响应表的应答时，对采购文件有技术数值要求的参数，必须以投标货物的具体技术数值据实应答；对于采购文件无数值要求的参数的应答，必须作出明确、直接、无导致两种理解可能的应答。</w:t>
      </w:r>
    </w:p>
    <w:p>
      <w:pPr>
        <w:pStyle w:val="2"/>
        <w:pageBreakBefore w:val="0"/>
        <w:widowControl w:val="0"/>
        <w:kinsoku/>
        <w:wordWrap/>
        <w:overflowPunct/>
        <w:topLinePunct w:val="0"/>
        <w:autoSpaceDE/>
        <w:autoSpaceDN/>
        <w:bidi w:val="0"/>
        <w:snapToGrid w:val="0"/>
        <w:spacing w:beforeLines="0" w:after="0" w:afterLines="0" w:line="360" w:lineRule="auto"/>
        <w:ind w:left="0" w:leftChars="0" w:right="0" w:rightChars="0" w:firstLine="422" w:firstLineChars="200"/>
        <w:jc w:val="left"/>
        <w:rPr>
          <w:rFonts w:hint="eastAsia" w:hAnsi="宋体" w:eastAsia="宋体" w:cs="宋体"/>
          <w:b/>
          <w:bCs/>
          <w:color w:val="auto"/>
          <w:sz w:val="21"/>
          <w:szCs w:val="21"/>
          <w:highlight w:val="none"/>
        </w:rPr>
      </w:pPr>
      <w:bookmarkStart w:id="17" w:name="_Toc397588712"/>
      <w:r>
        <w:rPr>
          <w:rFonts w:hint="eastAsia" w:hAnsi="宋体" w:eastAsia="宋体" w:cs="宋体"/>
          <w:b/>
          <w:bCs/>
          <w:color w:val="auto"/>
          <w:sz w:val="21"/>
          <w:szCs w:val="21"/>
          <w:highlight w:val="none"/>
        </w:rPr>
        <w:t>（二）投标文件的语言及计量</w:t>
      </w:r>
      <w:bookmarkEnd w:id="17"/>
    </w:p>
    <w:p>
      <w:pPr>
        <w:pageBreakBefore w:val="0"/>
        <w:widowControl w:val="0"/>
        <w:kinsoku/>
        <w:wordWrap/>
        <w:overflowPunct/>
        <w:topLinePunct w:val="0"/>
        <w:autoSpaceDE/>
        <w:autoSpaceDN/>
        <w:bidi w:val="0"/>
        <w:snapToGrid w:val="0"/>
        <w:spacing w:line="360" w:lineRule="auto"/>
        <w:ind w:left="0" w:leftChars="0" w:right="0" w:rightChars="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pPr>
        <w:pageBreakBefore w:val="0"/>
        <w:widowControl w:val="0"/>
        <w:kinsoku/>
        <w:wordWrap/>
        <w:overflowPunct/>
        <w:topLinePunct w:val="0"/>
        <w:autoSpaceDE/>
        <w:autoSpaceDN/>
        <w:bidi w:val="0"/>
        <w:snapToGrid w:val="0"/>
        <w:spacing w:line="360" w:lineRule="auto"/>
        <w:ind w:left="0" w:leftChars="0" w:right="0" w:rightChars="0" w:firstLine="422" w:firstLineChars="200"/>
        <w:jc w:val="left"/>
        <w:rPr>
          <w:rFonts w:hint="eastAsia" w:ascii="宋体" w:hAnsi="宋体" w:eastAsia="宋体" w:cs="宋体"/>
          <w:b/>
          <w:color w:val="auto"/>
          <w:szCs w:val="21"/>
          <w:highlight w:val="none"/>
        </w:rPr>
      </w:pPr>
      <w:bookmarkStart w:id="18" w:name="_Toc396115142"/>
      <w:bookmarkStart w:id="19" w:name="_Toc397588713"/>
      <w:r>
        <w:rPr>
          <w:rFonts w:hint="eastAsia" w:ascii="宋体" w:hAnsi="宋体" w:eastAsia="宋体" w:cs="宋体"/>
          <w:b/>
          <w:color w:val="auto"/>
          <w:szCs w:val="21"/>
          <w:highlight w:val="none"/>
        </w:rPr>
        <w:t>*2投标计量单位，采购文件已有明确规定的，使用采购文件规定的计量单位；采购文件没有规定的，应采用中华人民共和国法定计量单位（例如货币单位：人民币元），否则视同未响应。</w:t>
      </w:r>
    </w:p>
    <w:bookmarkEnd w:id="18"/>
    <w:p>
      <w:pPr>
        <w:pStyle w:val="2"/>
        <w:pageBreakBefore w:val="0"/>
        <w:widowControl w:val="0"/>
        <w:kinsoku/>
        <w:wordWrap/>
        <w:overflowPunct/>
        <w:topLinePunct w:val="0"/>
        <w:autoSpaceDE/>
        <w:autoSpaceDN/>
        <w:bidi w:val="0"/>
        <w:snapToGrid w:val="0"/>
        <w:spacing w:before="0" w:beforeLines="0" w:after="0" w:afterLines="0" w:line="360" w:lineRule="auto"/>
        <w:ind w:left="0" w:leftChars="0" w:right="0" w:rightChars="0" w:firstLine="422" w:firstLineChars="200"/>
        <w:jc w:val="left"/>
        <w:rPr>
          <w:rFonts w:hint="eastAsia" w:hAnsi="宋体" w:eastAsia="宋体" w:cs="宋体"/>
          <w:b/>
          <w:bCs/>
          <w:color w:val="auto"/>
          <w:sz w:val="21"/>
          <w:szCs w:val="21"/>
          <w:highlight w:val="none"/>
        </w:rPr>
      </w:pPr>
      <w:r>
        <w:rPr>
          <w:rFonts w:hint="eastAsia" w:hAnsi="宋体" w:eastAsia="宋体" w:cs="宋体"/>
          <w:b/>
          <w:bCs/>
          <w:color w:val="auto"/>
          <w:sz w:val="21"/>
          <w:szCs w:val="21"/>
          <w:highlight w:val="none"/>
        </w:rPr>
        <w:t>（三）投标报价</w:t>
      </w:r>
      <w:bookmarkEnd w:id="19"/>
    </w:p>
    <w:p>
      <w:pPr>
        <w:pStyle w:val="2"/>
        <w:pageBreakBefore w:val="0"/>
        <w:widowControl w:val="0"/>
        <w:kinsoku/>
        <w:wordWrap/>
        <w:overflowPunct/>
        <w:topLinePunct w:val="0"/>
        <w:autoSpaceDE/>
        <w:autoSpaceDN/>
        <w:bidi w:val="0"/>
        <w:snapToGrid w:val="0"/>
        <w:spacing w:before="0" w:beforeLines="0" w:after="0" w:afterLines="0" w:line="360" w:lineRule="auto"/>
        <w:ind w:left="0" w:leftChars="0" w:right="0" w:rightChars="0" w:firstLine="420" w:firstLineChars="200"/>
        <w:jc w:val="left"/>
        <w:rPr>
          <w:rFonts w:hint="eastAsia" w:hAnsi="宋体" w:eastAsia="宋体" w:cs="宋体"/>
          <w:color w:val="auto"/>
          <w:sz w:val="21"/>
          <w:szCs w:val="21"/>
          <w:highlight w:val="none"/>
        </w:rPr>
      </w:pPr>
      <w:bookmarkStart w:id="20" w:name="_Toc397588714"/>
      <w:r>
        <w:rPr>
          <w:rFonts w:hint="eastAsia" w:hAnsi="宋体" w:eastAsia="宋体" w:cs="宋体"/>
          <w:color w:val="auto"/>
          <w:sz w:val="21"/>
          <w:szCs w:val="21"/>
          <w:highlight w:val="none"/>
        </w:rPr>
        <w:t>1.投标报价应按采购文件中相关附表格式填写。</w:t>
      </w:r>
      <w:bookmarkEnd w:id="20"/>
    </w:p>
    <w:p>
      <w:pPr>
        <w:pStyle w:val="2"/>
        <w:pageBreakBefore w:val="0"/>
        <w:widowControl w:val="0"/>
        <w:kinsoku/>
        <w:wordWrap/>
        <w:overflowPunct/>
        <w:topLinePunct w:val="0"/>
        <w:autoSpaceDE/>
        <w:autoSpaceDN/>
        <w:bidi w:val="0"/>
        <w:snapToGrid w:val="0"/>
        <w:spacing w:before="0" w:beforeLines="0" w:after="0" w:afterLines="0" w:line="360" w:lineRule="auto"/>
        <w:ind w:left="0" w:leftChars="0" w:right="0" w:rightChars="0" w:firstLine="420" w:firstLineChars="200"/>
        <w:jc w:val="left"/>
        <w:rPr>
          <w:rFonts w:hint="eastAsia" w:hAnsi="宋体" w:eastAsia="宋体" w:cs="宋体"/>
          <w:color w:val="auto"/>
          <w:sz w:val="21"/>
          <w:szCs w:val="21"/>
          <w:highlight w:val="none"/>
        </w:rPr>
      </w:pPr>
      <w:bookmarkStart w:id="21" w:name="_Toc397588715"/>
      <w:r>
        <w:rPr>
          <w:rFonts w:hint="eastAsia" w:hAnsi="宋体" w:eastAsia="宋体" w:cs="宋体"/>
          <w:color w:val="auto"/>
          <w:sz w:val="21"/>
          <w:szCs w:val="21"/>
          <w:highlight w:val="none"/>
        </w:rPr>
        <w:t>2.</w:t>
      </w:r>
      <w:bookmarkEnd w:id="21"/>
      <w:r>
        <w:rPr>
          <w:rFonts w:hint="eastAsia" w:hAnsi="宋体" w:eastAsia="宋体" w:cs="宋体"/>
          <w:color w:val="auto"/>
          <w:sz w:val="21"/>
          <w:szCs w:val="21"/>
          <w:highlight w:val="none"/>
        </w:rPr>
        <w:t>本项目投标报价要求详见第三章  投标人须知 前附表第3条</w:t>
      </w:r>
    </w:p>
    <w:p>
      <w:pPr>
        <w:pStyle w:val="2"/>
        <w:pageBreakBefore w:val="0"/>
        <w:widowControl w:val="0"/>
        <w:kinsoku/>
        <w:wordWrap/>
        <w:overflowPunct/>
        <w:topLinePunct w:val="0"/>
        <w:autoSpaceDE/>
        <w:autoSpaceDN/>
        <w:bidi w:val="0"/>
        <w:snapToGrid w:val="0"/>
        <w:spacing w:before="0" w:beforeLines="0" w:after="0" w:afterLines="0" w:line="360" w:lineRule="auto"/>
        <w:ind w:left="0" w:leftChars="0" w:right="0" w:rightChars="0" w:firstLine="422" w:firstLineChars="200"/>
        <w:jc w:val="left"/>
        <w:rPr>
          <w:rFonts w:hint="eastAsia" w:hAnsi="宋体" w:eastAsia="宋体" w:cs="宋体"/>
          <w:b/>
          <w:color w:val="auto"/>
          <w:sz w:val="21"/>
          <w:szCs w:val="21"/>
          <w:highlight w:val="none"/>
        </w:rPr>
      </w:pPr>
      <w:bookmarkStart w:id="22" w:name="_Toc397588716"/>
      <w:r>
        <w:rPr>
          <w:rFonts w:hint="eastAsia" w:hAnsi="宋体" w:eastAsia="宋体" w:cs="宋体"/>
          <w:b/>
          <w:color w:val="auto"/>
          <w:sz w:val="21"/>
          <w:szCs w:val="21"/>
          <w:highlight w:val="none"/>
        </w:rPr>
        <w:t>*3.投标文件只允许有一个投标总价，有选择的或有条件的报价将不予接受。</w:t>
      </w:r>
      <w:bookmarkEnd w:id="22"/>
    </w:p>
    <w:p>
      <w:pPr>
        <w:pStyle w:val="2"/>
        <w:pageBreakBefore w:val="0"/>
        <w:widowControl w:val="0"/>
        <w:kinsoku/>
        <w:wordWrap/>
        <w:overflowPunct/>
        <w:topLinePunct w:val="0"/>
        <w:autoSpaceDE/>
        <w:autoSpaceDN/>
        <w:bidi w:val="0"/>
        <w:snapToGrid w:val="0"/>
        <w:spacing w:before="0" w:beforeLines="0" w:after="0" w:afterLines="0" w:line="360" w:lineRule="auto"/>
        <w:ind w:left="0" w:leftChars="0" w:right="0" w:rightChars="0" w:firstLine="422" w:firstLineChars="200"/>
        <w:jc w:val="left"/>
        <w:rPr>
          <w:rFonts w:hint="eastAsia" w:hAnsi="宋体" w:eastAsia="宋体" w:cs="宋体"/>
          <w:b/>
          <w:color w:val="auto"/>
          <w:sz w:val="21"/>
          <w:szCs w:val="21"/>
          <w:highlight w:val="none"/>
        </w:rPr>
      </w:pPr>
      <w:bookmarkStart w:id="23" w:name="_Toc397588717"/>
      <w:r>
        <w:rPr>
          <w:rFonts w:hint="eastAsia" w:hAnsi="宋体" w:eastAsia="宋体" w:cs="宋体"/>
          <w:b/>
          <w:color w:val="auto"/>
          <w:sz w:val="21"/>
          <w:szCs w:val="21"/>
          <w:highlight w:val="none"/>
        </w:rPr>
        <w:t>（四）投标文件的有效期</w:t>
      </w:r>
      <w:bookmarkEnd w:id="23"/>
    </w:p>
    <w:p>
      <w:pPr>
        <w:pStyle w:val="2"/>
        <w:pageBreakBefore w:val="0"/>
        <w:widowControl w:val="0"/>
        <w:kinsoku/>
        <w:wordWrap/>
        <w:overflowPunct/>
        <w:topLinePunct w:val="0"/>
        <w:autoSpaceDE/>
        <w:autoSpaceDN/>
        <w:bidi w:val="0"/>
        <w:snapToGrid w:val="0"/>
        <w:spacing w:before="0" w:beforeLines="0" w:after="0" w:afterLines="0" w:line="360" w:lineRule="auto"/>
        <w:ind w:left="0" w:leftChars="0" w:right="0" w:rightChars="0" w:firstLine="422" w:firstLineChars="200"/>
        <w:jc w:val="left"/>
        <w:rPr>
          <w:rFonts w:hint="eastAsia" w:hAnsi="宋体" w:eastAsia="宋体" w:cs="宋体"/>
          <w:b/>
          <w:color w:val="auto"/>
          <w:sz w:val="21"/>
          <w:szCs w:val="21"/>
          <w:highlight w:val="none"/>
        </w:rPr>
      </w:pPr>
      <w:r>
        <w:rPr>
          <w:rFonts w:hint="eastAsia" w:hAnsi="宋体" w:eastAsia="宋体" w:cs="宋体"/>
          <w:b/>
          <w:color w:val="auto"/>
          <w:sz w:val="21"/>
          <w:szCs w:val="21"/>
          <w:highlight w:val="none"/>
        </w:rPr>
        <w:t>*1.自投标截止日起90天投标文件应保持有效。有效期不足的投标文件将被拒绝。</w:t>
      </w:r>
    </w:p>
    <w:p>
      <w:pPr>
        <w:pStyle w:val="2"/>
        <w:pageBreakBefore w:val="0"/>
        <w:widowControl w:val="0"/>
        <w:kinsoku/>
        <w:wordWrap/>
        <w:overflowPunct/>
        <w:topLinePunct w:val="0"/>
        <w:autoSpaceDE/>
        <w:autoSpaceDN/>
        <w:bidi w:val="0"/>
        <w:snapToGrid w:val="0"/>
        <w:spacing w:before="0" w:beforeLines="0" w:after="0" w:afterLines="0" w:line="360" w:lineRule="auto"/>
        <w:ind w:left="0" w:leftChars="0" w:right="0" w:rightChars="0" w:firstLine="420" w:firstLineChars="200"/>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2.在特殊情况下，采购单位可与投标人协商延长投标书的有效期，这种要求和答复均以书面形式进行。</w:t>
      </w:r>
    </w:p>
    <w:p>
      <w:pPr>
        <w:pStyle w:val="2"/>
        <w:pageBreakBefore w:val="0"/>
        <w:widowControl w:val="0"/>
        <w:kinsoku/>
        <w:wordWrap/>
        <w:overflowPunct/>
        <w:topLinePunct w:val="0"/>
        <w:autoSpaceDE/>
        <w:autoSpaceDN/>
        <w:bidi w:val="0"/>
        <w:snapToGrid w:val="0"/>
        <w:spacing w:before="0" w:beforeLines="0" w:after="0" w:afterLines="0" w:line="360" w:lineRule="auto"/>
        <w:ind w:left="0" w:leftChars="0" w:right="0" w:rightChars="0" w:firstLine="420" w:firstLineChars="200"/>
        <w:jc w:val="left"/>
        <w:rPr>
          <w:rFonts w:hint="eastAsia" w:hAnsi="宋体" w:eastAsia="宋体" w:cs="宋体"/>
          <w:color w:val="auto"/>
          <w:sz w:val="21"/>
          <w:szCs w:val="21"/>
          <w:highlight w:val="none"/>
        </w:rPr>
      </w:pPr>
      <w:bookmarkStart w:id="24" w:name="_Toc397588718"/>
      <w:r>
        <w:rPr>
          <w:rFonts w:hint="eastAsia" w:hAnsi="宋体" w:eastAsia="宋体" w:cs="宋体"/>
          <w:color w:val="auto"/>
          <w:sz w:val="21"/>
          <w:szCs w:val="21"/>
          <w:highlight w:val="none"/>
        </w:rPr>
        <w:t>3.投标人可拒绝接受延期要求。同意延长有效期的投标人不能修改投标文件。</w:t>
      </w:r>
      <w:bookmarkEnd w:id="24"/>
      <w:r>
        <w:rPr>
          <w:rFonts w:hint="eastAsia" w:hAnsi="宋体" w:eastAsia="宋体" w:cs="宋体"/>
          <w:color w:val="auto"/>
          <w:sz w:val="21"/>
          <w:szCs w:val="21"/>
          <w:highlight w:val="none"/>
        </w:rPr>
        <w:t xml:space="preserve"> </w:t>
      </w:r>
    </w:p>
    <w:p>
      <w:pPr>
        <w:pStyle w:val="2"/>
        <w:pageBreakBefore w:val="0"/>
        <w:widowControl w:val="0"/>
        <w:kinsoku/>
        <w:wordWrap/>
        <w:overflowPunct/>
        <w:topLinePunct w:val="0"/>
        <w:autoSpaceDE/>
        <w:autoSpaceDN/>
        <w:bidi w:val="0"/>
        <w:snapToGrid w:val="0"/>
        <w:spacing w:before="0" w:beforeLines="0" w:after="0" w:afterLines="0" w:line="360" w:lineRule="auto"/>
        <w:ind w:left="0" w:leftChars="0" w:right="0" w:rightChars="0" w:firstLine="420" w:firstLineChars="200"/>
        <w:jc w:val="left"/>
        <w:rPr>
          <w:rFonts w:hint="eastAsia" w:hAnsi="宋体" w:eastAsia="宋体" w:cs="宋体"/>
          <w:color w:val="auto"/>
          <w:sz w:val="21"/>
          <w:szCs w:val="21"/>
          <w:highlight w:val="none"/>
        </w:rPr>
      </w:pPr>
      <w:bookmarkStart w:id="25" w:name="_Toc397588719"/>
      <w:r>
        <w:rPr>
          <w:rFonts w:hint="eastAsia" w:hAnsi="宋体" w:eastAsia="宋体" w:cs="宋体"/>
          <w:color w:val="auto"/>
          <w:sz w:val="21"/>
          <w:szCs w:val="21"/>
          <w:highlight w:val="none"/>
        </w:rPr>
        <w:t>4.中标人的投标文件自开标之日起至合同履行完毕止均应保持有效。</w:t>
      </w:r>
      <w:bookmarkEnd w:id="25"/>
    </w:p>
    <w:p>
      <w:pPr>
        <w:pStyle w:val="2"/>
        <w:pageBreakBefore w:val="0"/>
        <w:widowControl w:val="0"/>
        <w:kinsoku/>
        <w:wordWrap/>
        <w:overflowPunct/>
        <w:topLinePunct w:val="0"/>
        <w:autoSpaceDE/>
        <w:autoSpaceDN/>
        <w:bidi w:val="0"/>
        <w:snapToGrid w:val="0"/>
        <w:spacing w:before="0" w:beforeLines="0" w:after="0" w:afterLines="0" w:line="360" w:lineRule="auto"/>
        <w:ind w:left="0" w:leftChars="0" w:right="0" w:rightChars="0" w:firstLine="422" w:firstLineChars="200"/>
        <w:jc w:val="left"/>
        <w:rPr>
          <w:rFonts w:hint="eastAsia" w:hAnsi="宋体" w:eastAsia="宋体" w:cs="宋体"/>
          <w:b/>
          <w:color w:val="auto"/>
          <w:sz w:val="21"/>
          <w:szCs w:val="21"/>
          <w:highlight w:val="none"/>
        </w:rPr>
      </w:pPr>
      <w:bookmarkStart w:id="26" w:name="_Toc397588720"/>
      <w:r>
        <w:rPr>
          <w:rFonts w:hint="eastAsia" w:hAnsi="宋体" w:eastAsia="宋体" w:cs="宋体"/>
          <w:b/>
          <w:color w:val="auto"/>
          <w:sz w:val="21"/>
          <w:szCs w:val="21"/>
          <w:highlight w:val="none"/>
        </w:rPr>
        <w:t>（五）投标保证金</w:t>
      </w:r>
      <w:bookmarkEnd w:id="26"/>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本项目无投标保证金。</w:t>
      </w:r>
    </w:p>
    <w:p>
      <w:pPr>
        <w:pStyle w:val="2"/>
        <w:pageBreakBefore w:val="0"/>
        <w:widowControl w:val="0"/>
        <w:kinsoku/>
        <w:wordWrap/>
        <w:overflowPunct/>
        <w:topLinePunct w:val="0"/>
        <w:autoSpaceDE/>
        <w:autoSpaceDN/>
        <w:bidi w:val="0"/>
        <w:snapToGrid w:val="0"/>
        <w:spacing w:before="0" w:beforeLines="0" w:after="0" w:afterLines="0" w:line="360" w:lineRule="auto"/>
        <w:ind w:left="0" w:leftChars="0" w:right="0" w:rightChars="0" w:firstLine="422" w:firstLineChars="200"/>
        <w:jc w:val="left"/>
        <w:rPr>
          <w:rFonts w:hint="eastAsia" w:ascii="宋体" w:hAnsi="宋体" w:eastAsia="宋体" w:cs="宋体"/>
          <w:b/>
          <w:color w:val="auto"/>
          <w:sz w:val="21"/>
          <w:szCs w:val="21"/>
          <w:highlight w:val="none"/>
        </w:rPr>
      </w:pPr>
      <w:bookmarkStart w:id="27" w:name="_Toc397588721"/>
      <w:r>
        <w:rPr>
          <w:rFonts w:hint="eastAsia" w:ascii="宋体" w:hAnsi="宋体" w:eastAsia="宋体" w:cs="宋体"/>
          <w:b/>
          <w:color w:val="auto"/>
          <w:sz w:val="21"/>
          <w:szCs w:val="21"/>
          <w:highlight w:val="none"/>
        </w:rPr>
        <w:t>（六）投标文件的签署和份数</w:t>
      </w:r>
      <w:bookmarkEnd w:id="27"/>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1.投标人应按本采购文件规定的格式和顺序编制、装订投标文件并标注页码，投标文件内容不完整、编排混乱导致投标文件被误读、漏读或者查找不到相关内容的，是投标人的责任。</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2.投标人须在投标截止时间前将电子投标文件上传“政采云”平台，并提供纸质报价文件、资格证明文件及商务技术文件</w:t>
      </w:r>
      <w:r>
        <w:rPr>
          <w:rFonts w:hint="eastAsia" w:ascii="宋体" w:hAnsi="宋体" w:eastAsia="宋体" w:cs="宋体"/>
          <w:b/>
          <w:bCs/>
          <w:color w:val="auto"/>
          <w:szCs w:val="21"/>
          <w:highlight w:val="none"/>
        </w:rPr>
        <w:t>正本各1份，副本各1份</w:t>
      </w:r>
      <w:r>
        <w:rPr>
          <w:rFonts w:hint="eastAsia" w:ascii="宋体" w:hAnsi="宋体" w:eastAsia="宋体" w:cs="宋体"/>
          <w:color w:val="auto"/>
          <w:szCs w:val="21"/>
          <w:highlight w:val="none"/>
        </w:rPr>
        <w:t>；正副本分别装订成册，投标文件正副本的封面应注明“正本”、“副本”字样。以U盘等介质存储的数据电文形式提供的备份电子投标文件数量1份。</w:t>
      </w:r>
      <w:r>
        <w:rPr>
          <w:rFonts w:hint="eastAsia" w:ascii="宋体" w:hAnsi="宋体" w:eastAsia="宋体" w:cs="宋体"/>
          <w:b/>
          <w:bCs/>
          <w:color w:val="auto"/>
          <w:szCs w:val="21"/>
          <w:highlight w:val="none"/>
        </w:rPr>
        <w:t>一旦发现正本与副本，以正本为准。</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3.投标文件的正本需打印或用不褪色的墨水填写，投标文件正本除本《投标人须知》中规定的可提供复印件外均须提供原件。副本为正本的复印件。</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4.投标文件须由投标人在规定位置盖章并由法定代表人或法定代表人的授权委托人签署，投标人应写全称。</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5.投标文件不得涂改，若有修改错漏处，须加盖单位公章或者法定代表人或授权委托人签字或盖章。投标文件因字迹潦草或表达不清所引起的后果由投标人负责。</w:t>
      </w:r>
    </w:p>
    <w:p>
      <w:pPr>
        <w:pageBreakBefore w:val="0"/>
        <w:widowControl w:val="0"/>
        <w:kinsoku/>
        <w:wordWrap/>
        <w:overflowPunct/>
        <w:topLinePunct w:val="0"/>
        <w:autoSpaceDE/>
        <w:autoSpaceDN/>
        <w:bidi w:val="0"/>
        <w:snapToGrid w:val="0"/>
        <w:spacing w:before="120" w:beforeLines="50" w:line="360" w:lineRule="auto"/>
        <w:ind w:left="0" w:leftChars="0" w:right="0" w:rightChars="0"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（七）投标文件的包装、递交、修改和撤回</w:t>
      </w:r>
    </w:p>
    <w:p>
      <w:pPr>
        <w:pageBreakBefore w:val="0"/>
        <w:widowControl w:val="0"/>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1.投标文件由报价文件、资格证明文件、商务技术文件及电子投标文件（以介质存储的数据电文形式的备份投标文件）组成：</w:t>
      </w:r>
    </w:p>
    <w:p>
      <w:pPr>
        <w:pageBreakBefore w:val="0"/>
        <w:widowControl w:val="0"/>
        <w:kinsoku/>
        <w:wordWrap/>
        <w:overflowPunct/>
        <w:topLinePunct w:val="0"/>
        <w:autoSpaceDE/>
        <w:autoSpaceDN/>
        <w:bidi w:val="0"/>
        <w:spacing w:line="360" w:lineRule="auto"/>
        <w:ind w:left="0" w:leftChars="0" w:right="0" w:righ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*报价文件须单独密封封装，报价文件正本、副本可一并密封封装；</w:t>
      </w:r>
    </w:p>
    <w:p>
      <w:pPr>
        <w:pageBreakBefore w:val="0"/>
        <w:widowControl w:val="0"/>
        <w:kinsoku/>
        <w:wordWrap/>
        <w:overflowPunct/>
        <w:topLinePunct w:val="0"/>
        <w:autoSpaceDE/>
        <w:autoSpaceDN/>
        <w:bidi w:val="0"/>
        <w:spacing w:line="360" w:lineRule="auto"/>
        <w:ind w:left="0" w:leftChars="0" w:right="0" w:rightChars="0"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资格证明文件须单独密封封装，资格证明文件正本、副本可一并密封封装；</w:t>
      </w:r>
    </w:p>
    <w:p>
      <w:pPr>
        <w:pageBreakBefore w:val="0"/>
        <w:widowControl w:val="0"/>
        <w:kinsoku/>
        <w:wordWrap/>
        <w:overflowPunct/>
        <w:topLinePunct w:val="0"/>
        <w:autoSpaceDE/>
        <w:autoSpaceDN/>
        <w:bidi w:val="0"/>
        <w:spacing w:line="360" w:lineRule="auto"/>
        <w:ind w:left="0" w:leftChars="0" w:right="0" w:rightChars="0"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商务技术文件须单独密封封装，商务技术文件正本、副本可一并密封封装；</w:t>
      </w:r>
    </w:p>
    <w:p>
      <w:pPr>
        <w:pageBreakBefore w:val="0"/>
        <w:widowControl w:val="0"/>
        <w:kinsoku/>
        <w:wordWrap/>
        <w:overflowPunct/>
        <w:topLinePunct w:val="0"/>
        <w:autoSpaceDE/>
        <w:autoSpaceDN/>
        <w:bidi w:val="0"/>
        <w:spacing w:line="360" w:lineRule="auto"/>
        <w:ind w:left="0" w:leftChars="0" w:right="0" w:rightChars="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子文本一份（以介质存储的数据电文形式的备份投标文件）：投标人应根据“政采云供应商项目采购-电子招投标操作指南”及本采购文件规定的格式和顺序编制电子投标文件并进行关联定位。以U盘形式存储，并单独密封递交。</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包装封面上应注明</w:t>
      </w:r>
      <w:r>
        <w:rPr>
          <w:rFonts w:hint="eastAsia" w:ascii="宋体" w:hAnsi="宋体" w:eastAsia="宋体" w:cs="宋体"/>
          <w:color w:val="auto"/>
          <w:szCs w:val="21"/>
          <w:highlight w:val="none"/>
        </w:rPr>
        <w:t>报价文件（或资格证明文件或商务技术文件或以介质存储的数据电文形式的备份投标文件）</w:t>
      </w:r>
      <w:r>
        <w:rPr>
          <w:rFonts w:hint="eastAsia" w:ascii="宋体" w:hAnsi="宋体" w:eastAsia="宋体" w:cs="宋体"/>
          <w:bCs/>
          <w:color w:val="auto"/>
          <w:szCs w:val="21"/>
          <w:highlight w:val="none"/>
        </w:rPr>
        <w:t>投标项目名称、项目编号、投标人名称、投标人地址及“开标时启封”字样，并加盖投标人公章。</w:t>
      </w:r>
    </w:p>
    <w:p>
      <w:pPr>
        <w:pageBreakBefore w:val="0"/>
        <w:widowControl w:val="0"/>
        <w:kinsoku/>
        <w:wordWrap/>
        <w:overflowPunct/>
        <w:topLinePunct w:val="0"/>
        <w:autoSpaceDE/>
        <w:autoSpaceDN/>
        <w:bidi w:val="0"/>
        <w:snapToGrid w:val="0"/>
        <w:spacing w:line="360" w:lineRule="auto"/>
        <w:ind w:left="0" w:leftChars="0" w:right="0" w:rightChars="0" w:firstLine="42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人应当在采购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ageBreakBefore w:val="0"/>
        <w:widowControl w:val="0"/>
        <w:kinsoku/>
        <w:wordWrap/>
        <w:overflowPunct/>
        <w:topLinePunct w:val="0"/>
        <w:autoSpaceDE/>
        <w:autoSpaceDN/>
        <w:bidi w:val="0"/>
        <w:snapToGrid w:val="0"/>
        <w:spacing w:line="360" w:lineRule="auto"/>
        <w:ind w:left="0" w:leftChars="0" w:right="0" w:rightChars="0" w:firstLine="42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3.逾期送达或者未按照采购文件要求密封的投标文件，采购人、采购代理机构应当拒收。</w:t>
      </w:r>
    </w:p>
    <w:p>
      <w:pPr>
        <w:pageBreakBefore w:val="0"/>
        <w:widowControl w:val="0"/>
        <w:kinsoku/>
        <w:wordWrap/>
        <w:overflowPunct/>
        <w:topLinePunct w:val="0"/>
        <w:autoSpaceDE/>
        <w:autoSpaceDN/>
        <w:bidi w:val="0"/>
        <w:snapToGrid w:val="0"/>
        <w:spacing w:line="360" w:lineRule="auto"/>
        <w:ind w:left="0" w:leftChars="0" w:right="0" w:rightChars="0"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4.如果投标人未按上述要求密封或标记而造成投标文件被误投或提前拆封的风险由投标人承担。</w:t>
      </w:r>
    </w:p>
    <w:p>
      <w:pPr>
        <w:pageBreakBefore w:val="0"/>
        <w:widowControl w:val="0"/>
        <w:kinsoku/>
        <w:wordWrap/>
        <w:overflowPunct/>
        <w:topLinePunct w:val="0"/>
        <w:autoSpaceDE/>
        <w:autoSpaceDN/>
        <w:bidi w:val="0"/>
        <w:snapToGrid w:val="0"/>
        <w:spacing w:line="360" w:lineRule="auto"/>
        <w:ind w:left="0" w:leftChars="0" w:right="0" w:rightChars="0"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在投标截止时间之前，可以对已提交的投标文件进行修改或撤回，并书面通知招标采购单位；投标截止时间后，投标人不得撤回、修改投标文件。修改后重新递交的投标文件应当按本采购文件的要求签署、盖章和密封。</w:t>
      </w:r>
    </w:p>
    <w:p>
      <w:pPr>
        <w:pageBreakBefore w:val="0"/>
        <w:widowControl w:val="0"/>
        <w:kinsoku/>
        <w:wordWrap/>
        <w:overflowPunct/>
        <w:topLinePunct w:val="0"/>
        <w:autoSpaceDE/>
        <w:autoSpaceDN/>
        <w:bidi w:val="0"/>
        <w:snapToGrid w:val="0"/>
        <w:spacing w:line="360" w:lineRule="auto"/>
        <w:ind w:left="0" w:leftChars="0" w:right="0" w:rightChars="0" w:firstLine="420"/>
        <w:jc w:val="left"/>
        <w:rPr>
          <w:rFonts w:hint="eastAsia" w:ascii="宋体" w:hAnsi="宋体" w:eastAsia="宋体" w:cs="宋体"/>
          <w:b/>
          <w:color w:val="auto"/>
          <w:szCs w:val="21"/>
          <w:highlight w:val="none"/>
        </w:rPr>
      </w:pPr>
      <w:bookmarkStart w:id="28" w:name="_Toc397588722"/>
      <w:r>
        <w:rPr>
          <w:rFonts w:hint="eastAsia" w:ascii="宋体" w:hAnsi="宋体" w:eastAsia="宋体" w:cs="宋体"/>
          <w:b/>
          <w:color w:val="auto"/>
          <w:szCs w:val="21"/>
          <w:highlight w:val="none"/>
        </w:rPr>
        <w:t>（八）投标无效的情形</w:t>
      </w:r>
      <w:bookmarkEnd w:id="28"/>
    </w:p>
    <w:p>
      <w:pPr>
        <w:pageBreakBefore w:val="0"/>
        <w:widowControl w:val="0"/>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没有响应采购文件实质性要求的投标将被视为无效投标。投标人不得通过修正或撤消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ageBreakBefore w:val="0"/>
        <w:widowControl w:val="0"/>
        <w:kinsoku/>
        <w:wordWrap/>
        <w:overflowPunct/>
        <w:topLinePunct w:val="0"/>
        <w:autoSpaceDE/>
        <w:autoSpaceDN/>
        <w:bidi w:val="0"/>
        <w:snapToGrid w:val="0"/>
        <w:spacing w:line="360" w:lineRule="auto"/>
        <w:ind w:left="0" w:leftChars="0" w:right="0" w:rightChars="0" w:firstLine="413" w:firstLineChars="196"/>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1.资格评审：</w:t>
      </w:r>
    </w:p>
    <w:p>
      <w:pPr>
        <w:pageBreakBefore w:val="0"/>
        <w:widowControl w:val="0"/>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（1）资格证明文件不全的或者不符合采购文件标明的资格要求的；</w:t>
      </w:r>
    </w:p>
    <w:p>
      <w:pPr>
        <w:pageBreakBefore w:val="0"/>
        <w:widowControl w:val="0"/>
        <w:kinsoku/>
        <w:wordWrap/>
        <w:overflowPunct/>
        <w:topLinePunct w:val="0"/>
        <w:autoSpaceDE/>
        <w:autoSpaceDN/>
        <w:bidi w:val="0"/>
        <w:snapToGrid w:val="0"/>
        <w:spacing w:line="360" w:lineRule="auto"/>
        <w:ind w:left="0" w:leftChars="0" w:right="0" w:rightChars="0" w:firstLine="413" w:firstLineChars="196"/>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2.在符合性审查和商务评审时，如发现下列情形之一的，投标文件将被视为无效：</w:t>
      </w:r>
    </w:p>
    <w:p>
      <w:pPr>
        <w:pageBreakBefore w:val="0"/>
        <w:widowControl w:val="0"/>
        <w:kinsoku/>
        <w:wordWrap/>
        <w:overflowPunct/>
        <w:topLinePunct w:val="0"/>
        <w:autoSpaceDE/>
        <w:autoSpaceDN/>
        <w:bidi w:val="0"/>
        <w:snapToGrid w:val="0"/>
        <w:spacing w:line="360" w:lineRule="auto"/>
        <w:ind w:left="0" w:leftChars="0" w:right="0" w:rightChars="0"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（1）超出经营范围投标的；</w:t>
      </w:r>
    </w:p>
    <w:p>
      <w:pPr>
        <w:pageBreakBefore w:val="0"/>
        <w:widowControl w:val="0"/>
        <w:kinsoku/>
        <w:wordWrap/>
        <w:overflowPunct/>
        <w:topLinePunct w:val="0"/>
        <w:autoSpaceDE/>
        <w:autoSpaceDN/>
        <w:bidi w:val="0"/>
        <w:snapToGrid w:val="0"/>
        <w:spacing w:line="360" w:lineRule="auto"/>
        <w:ind w:left="0" w:leftChars="0" w:right="0" w:rightChars="0" w:firstLine="411" w:firstLineChars="196"/>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（2）投标文件无法定代表人签字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或未</w:t>
      </w:r>
      <w:r>
        <w:rPr>
          <w:rFonts w:hint="eastAsia" w:ascii="宋体" w:hAnsi="宋体" w:eastAsia="宋体" w:cs="宋体"/>
          <w:bCs/>
          <w:color w:val="auto"/>
          <w:kern w:val="0"/>
          <w:szCs w:val="21"/>
          <w:highlight w:val="none"/>
        </w:rPr>
        <w:t>提供法定代表人授权委托书、投标声明书或者填写项目不齐全的；</w:t>
      </w:r>
    </w:p>
    <w:p>
      <w:pPr>
        <w:pageBreakBefore w:val="0"/>
        <w:widowControl w:val="0"/>
        <w:kinsoku/>
        <w:wordWrap/>
        <w:overflowPunct/>
        <w:topLinePunct w:val="0"/>
        <w:autoSpaceDE/>
        <w:autoSpaceDN/>
        <w:bidi w:val="0"/>
        <w:snapToGrid w:val="0"/>
        <w:spacing w:line="360" w:lineRule="auto"/>
        <w:ind w:left="0" w:leftChars="0" w:right="0" w:rightChars="0"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（3）投标代表人未能出具身份证明或与法定代表人授权委托人身份不符的；</w:t>
      </w:r>
    </w:p>
    <w:p>
      <w:pPr>
        <w:pStyle w:val="11"/>
        <w:pageBreakBefore w:val="0"/>
        <w:widowControl w:val="0"/>
        <w:kinsoku/>
        <w:wordWrap/>
        <w:overflowPunct/>
        <w:topLinePunct w:val="0"/>
        <w:autoSpaceDE/>
        <w:autoSpaceDN/>
        <w:bidi w:val="0"/>
        <w:snapToGrid w:val="0"/>
        <w:spacing w:line="360" w:lineRule="auto"/>
        <w:ind w:left="0" w:leftChars="0" w:right="0" w:rightChars="0" w:firstLine="395" w:firstLineChars="196"/>
        <w:rPr>
          <w:rFonts w:hint="eastAsia" w:hAnsi="宋体" w:cs="宋体"/>
          <w:snapToGrid w:val="0"/>
          <w:color w:val="auto"/>
          <w:sz w:val="21"/>
          <w:szCs w:val="21"/>
          <w:highlight w:val="none"/>
        </w:rPr>
      </w:pPr>
      <w:r>
        <w:rPr>
          <w:rFonts w:hint="eastAsia" w:hAnsi="宋体" w:cs="宋体"/>
          <w:color w:val="auto"/>
          <w:sz w:val="21"/>
          <w:szCs w:val="21"/>
          <w:highlight w:val="none"/>
        </w:rPr>
        <w:t>（</w:t>
      </w:r>
      <w:r>
        <w:rPr>
          <w:rFonts w:hint="eastAsia" w:hAnsi="宋体" w:cs="宋体"/>
          <w:snapToGrid w:val="0"/>
          <w:color w:val="auto"/>
          <w:sz w:val="21"/>
          <w:szCs w:val="21"/>
          <w:highlight w:val="none"/>
        </w:rPr>
        <w:t>4）</w:t>
      </w:r>
      <w:r>
        <w:rPr>
          <w:rFonts w:hint="eastAsia" w:hAnsi="宋体" w:cs="宋体"/>
          <w:color w:val="auto"/>
          <w:sz w:val="21"/>
          <w:szCs w:val="21"/>
          <w:highlight w:val="none"/>
        </w:rPr>
        <w:t>投标文件格式不规范、项目不齐全或者内容虚假的；</w:t>
      </w:r>
    </w:p>
    <w:p>
      <w:pPr>
        <w:pStyle w:val="11"/>
        <w:pageBreakBefore w:val="0"/>
        <w:widowControl w:val="0"/>
        <w:kinsoku/>
        <w:wordWrap/>
        <w:overflowPunct/>
        <w:topLinePunct w:val="0"/>
        <w:autoSpaceDE/>
        <w:autoSpaceDN/>
        <w:bidi w:val="0"/>
        <w:snapToGrid w:val="0"/>
        <w:spacing w:line="360" w:lineRule="auto"/>
        <w:ind w:left="0" w:leftChars="0" w:right="0" w:rightChars="0" w:firstLine="395" w:firstLineChars="196"/>
        <w:rPr>
          <w:rFonts w:hint="eastAsia" w:hAnsi="宋体" w:cs="宋体"/>
          <w:snapToGrid w:val="0"/>
          <w:color w:val="auto"/>
          <w:sz w:val="21"/>
          <w:szCs w:val="21"/>
          <w:highlight w:val="none"/>
        </w:rPr>
      </w:pPr>
      <w:r>
        <w:rPr>
          <w:rFonts w:hint="eastAsia" w:hAnsi="宋体" w:cs="宋体"/>
          <w:color w:val="auto"/>
          <w:sz w:val="21"/>
          <w:szCs w:val="21"/>
          <w:highlight w:val="none"/>
        </w:rPr>
        <w:t>（5）投标文件的实质性内容未使用中文表述、意思表述不明确、前后矛盾或者使用计量单位不符合采购文件要求的（经评标委员会认定并允许其当场更正的笔误除外）；</w:t>
      </w:r>
    </w:p>
    <w:p>
      <w:pPr>
        <w:pStyle w:val="11"/>
        <w:pageBreakBefore w:val="0"/>
        <w:widowControl w:val="0"/>
        <w:kinsoku/>
        <w:wordWrap/>
        <w:overflowPunct/>
        <w:topLinePunct w:val="0"/>
        <w:autoSpaceDE/>
        <w:autoSpaceDN/>
        <w:bidi w:val="0"/>
        <w:snapToGrid w:val="0"/>
        <w:spacing w:line="360" w:lineRule="auto"/>
        <w:ind w:left="0" w:leftChars="0" w:right="0" w:rightChars="0" w:firstLine="395" w:firstLineChars="196"/>
        <w:rPr>
          <w:rFonts w:hint="eastAsia" w:hAnsi="宋体" w:cs="宋体"/>
          <w:snapToGrid w:val="0"/>
          <w:color w:val="auto"/>
          <w:sz w:val="21"/>
          <w:szCs w:val="21"/>
          <w:highlight w:val="none"/>
        </w:rPr>
      </w:pPr>
      <w:r>
        <w:rPr>
          <w:rFonts w:hint="eastAsia" w:hAnsi="宋体" w:cs="宋体"/>
          <w:color w:val="auto"/>
          <w:sz w:val="21"/>
          <w:szCs w:val="21"/>
          <w:highlight w:val="none"/>
        </w:rPr>
        <w:t>（</w:t>
      </w:r>
      <w:r>
        <w:rPr>
          <w:rFonts w:hint="eastAsia" w:hAnsi="宋体" w:cs="宋体"/>
          <w:snapToGrid w:val="0"/>
          <w:color w:val="auto"/>
          <w:sz w:val="21"/>
          <w:szCs w:val="21"/>
          <w:highlight w:val="none"/>
        </w:rPr>
        <w:t>6）投标有效期、质保期等打*的商务条款不能满足采购文件要求的；</w:t>
      </w:r>
    </w:p>
    <w:p>
      <w:pPr>
        <w:pageBreakBefore w:val="0"/>
        <w:widowControl w:val="0"/>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（7）带“*”的条款不能满足采购文件要求、未实质性响应采购文件要求或者投标文件有采购方不能接受的附加条件的；</w:t>
      </w:r>
    </w:p>
    <w:p>
      <w:pPr>
        <w:pageBreakBefore w:val="0"/>
        <w:widowControl w:val="0"/>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（8）投标文件的关键内容字迹模糊、无法辨认的，或者投标文件中经修正的内容字迹模糊难以辩认或者修改处未按规定签署、盖章的； </w:t>
      </w:r>
    </w:p>
    <w:p>
      <w:pPr>
        <w:pageBreakBefore w:val="0"/>
        <w:widowControl w:val="0"/>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（9）法律、法规和采购文件规定的其他无效情形；</w:t>
      </w:r>
    </w:p>
    <w:p>
      <w:pPr>
        <w:pStyle w:val="11"/>
        <w:pageBreakBefore w:val="0"/>
        <w:widowControl w:val="0"/>
        <w:kinsoku/>
        <w:wordWrap/>
        <w:overflowPunct/>
        <w:topLinePunct w:val="0"/>
        <w:autoSpaceDE/>
        <w:autoSpaceDN/>
        <w:bidi w:val="0"/>
        <w:snapToGrid w:val="0"/>
        <w:spacing w:line="360" w:lineRule="auto"/>
        <w:ind w:left="0" w:leftChars="0" w:right="0" w:rightChars="0" w:firstLine="398" w:firstLineChars="196"/>
        <w:rPr>
          <w:rFonts w:hint="eastAsia" w:hAnsi="宋体" w:cs="宋体"/>
          <w:b/>
          <w:bCs/>
          <w:color w:val="auto"/>
          <w:sz w:val="21"/>
          <w:szCs w:val="21"/>
          <w:highlight w:val="none"/>
        </w:rPr>
      </w:pPr>
      <w:r>
        <w:rPr>
          <w:rFonts w:hint="eastAsia" w:hAnsi="宋体" w:cs="宋体"/>
          <w:b/>
          <w:bCs/>
          <w:color w:val="auto"/>
          <w:sz w:val="21"/>
          <w:szCs w:val="21"/>
          <w:highlight w:val="none"/>
        </w:rPr>
        <w:t>3.在技术评审时，如发现下列情形之一的，投标文件将被视为无效：</w:t>
      </w:r>
    </w:p>
    <w:p>
      <w:pPr>
        <w:pStyle w:val="11"/>
        <w:pageBreakBefore w:val="0"/>
        <w:widowControl w:val="0"/>
        <w:kinsoku/>
        <w:wordWrap/>
        <w:overflowPunct/>
        <w:topLinePunct w:val="0"/>
        <w:autoSpaceDE/>
        <w:autoSpaceDN/>
        <w:bidi w:val="0"/>
        <w:snapToGrid w:val="0"/>
        <w:spacing w:line="360" w:lineRule="auto"/>
        <w:ind w:left="0" w:leftChars="0" w:right="0" w:rightChars="0" w:firstLine="395" w:firstLineChars="196"/>
        <w:rPr>
          <w:rFonts w:hint="eastAsia" w:hAnsi="宋体" w:cs="宋体"/>
          <w:color w:val="auto"/>
          <w:sz w:val="21"/>
          <w:szCs w:val="21"/>
          <w:highlight w:val="none"/>
        </w:rPr>
      </w:pPr>
      <w:r>
        <w:rPr>
          <w:rFonts w:hint="eastAsia" w:hAnsi="宋体" w:cs="宋体"/>
          <w:color w:val="auto"/>
          <w:sz w:val="21"/>
          <w:szCs w:val="21"/>
          <w:highlight w:val="none"/>
        </w:rPr>
        <w:t>（1）未提供或未如实提供投标货物的技术参数，或者投标文件标明的响应或偏离与事实不符或虚假投标的；</w:t>
      </w:r>
    </w:p>
    <w:p>
      <w:pPr>
        <w:pStyle w:val="11"/>
        <w:pageBreakBefore w:val="0"/>
        <w:widowControl w:val="0"/>
        <w:kinsoku/>
        <w:wordWrap/>
        <w:overflowPunct/>
        <w:topLinePunct w:val="0"/>
        <w:autoSpaceDE/>
        <w:autoSpaceDN/>
        <w:bidi w:val="0"/>
        <w:snapToGrid w:val="0"/>
        <w:spacing w:line="360" w:lineRule="auto"/>
        <w:ind w:left="0" w:leftChars="0" w:right="0" w:rightChars="0" w:firstLine="395" w:firstLineChars="196"/>
        <w:rPr>
          <w:rFonts w:hint="eastAsia" w:hAnsi="宋体" w:cs="宋体"/>
          <w:color w:val="auto"/>
          <w:sz w:val="21"/>
          <w:szCs w:val="21"/>
          <w:highlight w:val="none"/>
        </w:rPr>
      </w:pPr>
      <w:r>
        <w:rPr>
          <w:rFonts w:hint="eastAsia" w:hAnsi="宋体" w:cs="宋体"/>
          <w:color w:val="auto"/>
          <w:sz w:val="21"/>
          <w:szCs w:val="21"/>
          <w:highlight w:val="none"/>
        </w:rPr>
        <w:t>（2）</w:t>
      </w:r>
      <w:r>
        <w:rPr>
          <w:rFonts w:hint="eastAsia" w:hAnsi="宋体" w:cs="宋体"/>
          <w:snapToGrid w:val="0"/>
          <w:color w:val="auto"/>
          <w:sz w:val="21"/>
          <w:szCs w:val="21"/>
          <w:highlight w:val="none"/>
        </w:rPr>
        <w:t>明显不符合采购文件要求的规格型号、质量标准，或者与</w:t>
      </w:r>
      <w:r>
        <w:rPr>
          <w:rFonts w:hint="eastAsia" w:hAnsi="宋体" w:cs="宋体"/>
          <w:color w:val="auto"/>
          <w:sz w:val="21"/>
          <w:szCs w:val="21"/>
          <w:highlight w:val="none"/>
        </w:rPr>
        <w:t>采购文件中标“*”的技术指标、主要功能项目发生实质性偏离的；</w:t>
      </w:r>
    </w:p>
    <w:p>
      <w:pPr>
        <w:pStyle w:val="11"/>
        <w:pageBreakBefore w:val="0"/>
        <w:widowControl w:val="0"/>
        <w:kinsoku/>
        <w:wordWrap/>
        <w:overflowPunct/>
        <w:topLinePunct w:val="0"/>
        <w:autoSpaceDE/>
        <w:autoSpaceDN/>
        <w:bidi w:val="0"/>
        <w:snapToGrid w:val="0"/>
        <w:spacing w:line="360" w:lineRule="auto"/>
        <w:ind w:left="0" w:leftChars="0" w:right="0" w:rightChars="0" w:firstLine="395" w:firstLineChars="196"/>
        <w:rPr>
          <w:rFonts w:hint="eastAsia" w:hAnsi="宋体" w:cs="宋体"/>
          <w:color w:val="auto"/>
          <w:sz w:val="21"/>
          <w:szCs w:val="21"/>
          <w:highlight w:val="none"/>
        </w:rPr>
      </w:pPr>
      <w:r>
        <w:rPr>
          <w:rFonts w:hint="eastAsia" w:hAnsi="宋体" w:cs="宋体"/>
          <w:color w:val="auto"/>
          <w:sz w:val="21"/>
          <w:szCs w:val="21"/>
          <w:highlight w:val="none"/>
        </w:rPr>
        <w:t>（3）投标技术方案不明确，存在一个或一个以上备选（替代）投标方案的；</w:t>
      </w:r>
    </w:p>
    <w:p>
      <w:pPr>
        <w:pStyle w:val="11"/>
        <w:pageBreakBefore w:val="0"/>
        <w:widowControl w:val="0"/>
        <w:kinsoku/>
        <w:wordWrap/>
        <w:overflowPunct/>
        <w:topLinePunct w:val="0"/>
        <w:autoSpaceDE/>
        <w:autoSpaceDN/>
        <w:bidi w:val="0"/>
        <w:snapToGrid w:val="0"/>
        <w:spacing w:line="360" w:lineRule="auto"/>
        <w:ind w:left="0" w:leftChars="0" w:right="0" w:rightChars="0" w:firstLine="404" w:firstLineChars="200"/>
        <w:rPr>
          <w:rFonts w:hint="eastAsia" w:hAnsi="宋体" w:cs="宋体"/>
          <w:color w:val="auto"/>
          <w:sz w:val="21"/>
          <w:szCs w:val="21"/>
          <w:highlight w:val="none"/>
        </w:rPr>
      </w:pPr>
      <w:r>
        <w:rPr>
          <w:rFonts w:hint="eastAsia" w:hAnsi="宋体" w:cs="宋体"/>
          <w:color w:val="auto"/>
          <w:sz w:val="21"/>
          <w:szCs w:val="21"/>
          <w:highlight w:val="none"/>
        </w:rPr>
        <w:t>（4）与其他参加本次投标供应商的投标文件（技术文件）的文字表述内容相同连续20行以上或者差错相同2处以上的；</w:t>
      </w:r>
    </w:p>
    <w:p>
      <w:pPr>
        <w:pageBreakBefore w:val="0"/>
        <w:widowControl w:val="0"/>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（5）报价文件未单独密封封装的或资格证明文件或商务技术文件中出现报价（或单价）的。</w:t>
      </w:r>
    </w:p>
    <w:p>
      <w:pPr>
        <w:pStyle w:val="11"/>
        <w:pageBreakBefore w:val="0"/>
        <w:widowControl w:val="0"/>
        <w:kinsoku/>
        <w:wordWrap/>
        <w:overflowPunct/>
        <w:topLinePunct w:val="0"/>
        <w:autoSpaceDE/>
        <w:autoSpaceDN/>
        <w:bidi w:val="0"/>
        <w:snapToGrid w:val="0"/>
        <w:spacing w:line="360" w:lineRule="auto"/>
        <w:ind w:left="0" w:leftChars="0" w:right="0" w:rightChars="0" w:firstLine="398" w:firstLineChars="196"/>
        <w:rPr>
          <w:rFonts w:hint="eastAsia" w:hAnsi="宋体" w:cs="宋体"/>
          <w:b/>
          <w:bCs/>
          <w:color w:val="auto"/>
          <w:sz w:val="21"/>
          <w:szCs w:val="21"/>
          <w:highlight w:val="none"/>
        </w:rPr>
      </w:pPr>
      <w:r>
        <w:rPr>
          <w:rFonts w:hint="eastAsia" w:hAnsi="宋体" w:cs="宋体"/>
          <w:b/>
          <w:bCs/>
          <w:color w:val="auto"/>
          <w:sz w:val="21"/>
          <w:szCs w:val="21"/>
          <w:highlight w:val="none"/>
        </w:rPr>
        <w:t>4.在报价评审时，如发现下列情形之一的，投标文件将被视为无效：</w:t>
      </w:r>
    </w:p>
    <w:p>
      <w:pPr>
        <w:pStyle w:val="11"/>
        <w:pageBreakBefore w:val="0"/>
        <w:widowControl w:val="0"/>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rPr>
      </w:pPr>
      <w:r>
        <w:rPr>
          <w:rFonts w:hint="eastAsia" w:hAnsi="宋体" w:cs="宋体"/>
          <w:bCs/>
          <w:color w:val="auto"/>
          <w:sz w:val="21"/>
          <w:szCs w:val="21"/>
          <w:highlight w:val="none"/>
        </w:rPr>
        <w:t>（1）未采用人民币报价或者未按照采购文件标明的币种报价的；</w:t>
      </w:r>
    </w:p>
    <w:p>
      <w:pPr>
        <w:pStyle w:val="11"/>
        <w:pageBreakBefore w:val="0"/>
        <w:widowControl w:val="0"/>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rPr>
      </w:pPr>
      <w:r>
        <w:rPr>
          <w:rFonts w:hint="eastAsia" w:hAnsi="宋体" w:cs="宋体"/>
          <w:bCs/>
          <w:color w:val="auto"/>
          <w:sz w:val="21"/>
          <w:szCs w:val="21"/>
          <w:highlight w:val="none"/>
        </w:rPr>
        <w:t>（2）报价超出最高限价，或者超出采购预算金额(自主创新产品除外)，采购单位不能支付的；</w:t>
      </w:r>
    </w:p>
    <w:p>
      <w:pPr>
        <w:pStyle w:val="11"/>
        <w:pageBreakBefore w:val="0"/>
        <w:widowControl w:val="0"/>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rPr>
      </w:pPr>
      <w:r>
        <w:rPr>
          <w:rFonts w:hint="eastAsia" w:hAnsi="宋体" w:cs="宋体"/>
          <w:bCs/>
          <w:color w:val="auto"/>
          <w:sz w:val="21"/>
          <w:szCs w:val="21"/>
          <w:highlight w:val="none"/>
        </w:rPr>
        <w:t>（3）未采用投标文件要求的报价形式报价的；</w:t>
      </w:r>
    </w:p>
    <w:p>
      <w:pPr>
        <w:pStyle w:val="11"/>
        <w:pageBreakBefore w:val="0"/>
        <w:widowControl w:val="0"/>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rPr>
      </w:pPr>
      <w:r>
        <w:rPr>
          <w:rFonts w:hint="eastAsia" w:hAnsi="宋体" w:cs="宋体"/>
          <w:bCs/>
          <w:color w:val="auto"/>
          <w:sz w:val="21"/>
          <w:szCs w:val="21"/>
          <w:highlight w:val="none"/>
        </w:rPr>
        <w:t>（4）投标报价具有选择性，或者开标价格与投标文件承诺的优惠（折扣）价格不一致的；</w:t>
      </w:r>
    </w:p>
    <w:p>
      <w:pPr>
        <w:pStyle w:val="11"/>
        <w:pageBreakBefore w:val="0"/>
        <w:widowControl w:val="0"/>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rPr>
      </w:pPr>
      <w:r>
        <w:rPr>
          <w:rFonts w:hint="eastAsia" w:hAnsi="宋体" w:cs="宋体"/>
          <w:bCs/>
          <w:color w:val="auto"/>
          <w:sz w:val="21"/>
          <w:szCs w:val="21"/>
          <w:highlight w:val="none"/>
        </w:rPr>
        <w:t>（5）评委会一致认为报价明显不合理的（不平衡报价）；</w:t>
      </w:r>
    </w:p>
    <w:p>
      <w:pPr>
        <w:pStyle w:val="11"/>
        <w:pageBreakBefore w:val="0"/>
        <w:widowControl w:val="0"/>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rPr>
      </w:pPr>
      <w:r>
        <w:rPr>
          <w:rFonts w:hint="eastAsia" w:hAnsi="宋体" w:cs="宋体"/>
          <w:bCs/>
          <w:color w:val="auto"/>
          <w:sz w:val="21"/>
          <w:szCs w:val="21"/>
          <w:highlight w:val="none"/>
        </w:rPr>
        <w:t>（6）投标报价中出现重大缺项、漏项；</w:t>
      </w:r>
    </w:p>
    <w:p>
      <w:pPr>
        <w:pStyle w:val="11"/>
        <w:pageBreakBefore w:val="0"/>
        <w:widowControl w:val="0"/>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rPr>
      </w:pPr>
      <w:r>
        <w:rPr>
          <w:rFonts w:hint="eastAsia" w:hAnsi="宋体" w:cs="宋体"/>
          <w:bCs/>
          <w:color w:val="auto"/>
          <w:sz w:val="21"/>
          <w:szCs w:val="21"/>
          <w:highlight w:val="none"/>
        </w:rPr>
        <w:t>（7）评标委员会认为投标人的报价明显低于其他通过符合性审查投标人的报价，有可能影响产品质量或者不能诚信履约的，且不能在评标现场合理时间内提供相关证明材料说明其报价的合理性的。</w:t>
      </w:r>
    </w:p>
    <w:p>
      <w:pPr>
        <w:pStyle w:val="11"/>
        <w:pageBreakBefore w:val="0"/>
        <w:widowControl w:val="0"/>
        <w:kinsoku/>
        <w:wordWrap/>
        <w:overflowPunct/>
        <w:topLinePunct w:val="0"/>
        <w:autoSpaceDE/>
        <w:autoSpaceDN/>
        <w:bidi w:val="0"/>
        <w:snapToGrid w:val="0"/>
        <w:spacing w:line="360" w:lineRule="auto"/>
        <w:ind w:left="0" w:leftChars="0" w:right="0" w:rightChars="0" w:firstLine="398" w:firstLineChars="196"/>
        <w:rPr>
          <w:rFonts w:hint="eastAsia" w:hAnsi="宋体" w:cs="宋体"/>
          <w:b/>
          <w:bCs/>
          <w:color w:val="auto"/>
          <w:sz w:val="21"/>
          <w:szCs w:val="21"/>
          <w:highlight w:val="none"/>
        </w:rPr>
      </w:pPr>
      <w:r>
        <w:rPr>
          <w:rFonts w:hint="eastAsia" w:hAnsi="宋体" w:cs="宋体"/>
          <w:b/>
          <w:bCs/>
          <w:color w:val="auto"/>
          <w:sz w:val="21"/>
          <w:szCs w:val="21"/>
          <w:highlight w:val="none"/>
        </w:rPr>
        <w:t>5.被拒绝的投标文件为无效。</w:t>
      </w:r>
    </w:p>
    <w:p>
      <w:pPr>
        <w:pStyle w:val="11"/>
        <w:pageBreakBefore w:val="0"/>
        <w:widowControl w:val="0"/>
        <w:kinsoku/>
        <w:wordWrap/>
        <w:overflowPunct/>
        <w:topLinePunct w:val="0"/>
        <w:autoSpaceDE/>
        <w:autoSpaceDN/>
        <w:bidi w:val="0"/>
        <w:snapToGrid w:val="0"/>
        <w:spacing w:line="360" w:lineRule="auto"/>
        <w:ind w:left="0" w:leftChars="0" w:right="0" w:rightChars="0" w:firstLine="398" w:firstLineChars="196"/>
        <w:rPr>
          <w:rFonts w:hint="eastAsia" w:hAnsi="宋体" w:cs="宋体"/>
          <w:b/>
          <w:bCs/>
          <w:color w:val="auto"/>
          <w:sz w:val="21"/>
          <w:szCs w:val="21"/>
          <w:highlight w:val="none"/>
        </w:rPr>
      </w:pPr>
      <w:r>
        <w:rPr>
          <w:rFonts w:hint="eastAsia" w:hAnsi="宋体" w:cs="宋体"/>
          <w:b/>
          <w:bCs/>
          <w:color w:val="auto"/>
          <w:sz w:val="21"/>
          <w:szCs w:val="21"/>
          <w:highlight w:val="none"/>
        </w:rPr>
        <w:t>6.有行贿犯罪记录的投标人将被视为无效或取消中标资格。</w:t>
      </w:r>
    </w:p>
    <w:p>
      <w:pPr>
        <w:pStyle w:val="11"/>
        <w:pageBreakBefore w:val="0"/>
        <w:widowControl w:val="0"/>
        <w:kinsoku/>
        <w:wordWrap/>
        <w:overflowPunct/>
        <w:topLinePunct w:val="0"/>
        <w:autoSpaceDE/>
        <w:autoSpaceDN/>
        <w:bidi w:val="0"/>
        <w:snapToGrid w:val="0"/>
        <w:spacing w:line="360" w:lineRule="auto"/>
        <w:ind w:left="0" w:leftChars="0" w:right="0" w:rightChars="0" w:firstLine="398" w:firstLineChars="196"/>
        <w:rPr>
          <w:rFonts w:hint="eastAsia" w:hAnsi="宋体" w:cs="宋体"/>
          <w:b/>
          <w:bCs/>
          <w:color w:val="auto"/>
          <w:sz w:val="21"/>
          <w:szCs w:val="21"/>
          <w:highlight w:val="none"/>
        </w:rPr>
      </w:pPr>
      <w:r>
        <w:rPr>
          <w:rFonts w:hint="eastAsia" w:hAnsi="宋体" w:cs="宋体"/>
          <w:b/>
          <w:bCs/>
          <w:color w:val="auto"/>
          <w:sz w:val="21"/>
          <w:szCs w:val="21"/>
          <w:highlight w:val="none"/>
        </w:rPr>
        <w:t>7.电子投标文件解密失败的，且未在规定时间内提交备份投标文件的。</w:t>
      </w:r>
    </w:p>
    <w:p>
      <w:pPr>
        <w:pStyle w:val="11"/>
        <w:pageBreakBefore w:val="0"/>
        <w:widowControl w:val="0"/>
        <w:kinsoku/>
        <w:wordWrap/>
        <w:overflowPunct/>
        <w:topLinePunct w:val="0"/>
        <w:autoSpaceDE/>
        <w:autoSpaceDN/>
        <w:bidi w:val="0"/>
        <w:snapToGrid w:val="0"/>
        <w:spacing w:line="360" w:lineRule="auto"/>
        <w:ind w:left="0" w:leftChars="0" w:right="0" w:rightChars="0" w:firstLine="398" w:firstLineChars="196"/>
        <w:rPr>
          <w:rFonts w:hint="eastAsia" w:hAnsi="宋体" w:cs="宋体"/>
          <w:b/>
          <w:bCs/>
          <w:color w:val="auto"/>
          <w:sz w:val="21"/>
          <w:szCs w:val="21"/>
          <w:highlight w:val="none"/>
        </w:rPr>
      </w:pPr>
      <w:r>
        <w:rPr>
          <w:rFonts w:hint="eastAsia" w:hAnsi="宋体" w:cs="宋体"/>
          <w:b/>
          <w:bCs/>
          <w:color w:val="auto"/>
          <w:sz w:val="21"/>
          <w:szCs w:val="21"/>
          <w:highlight w:val="none"/>
        </w:rPr>
        <w:t>8.不同投标人的投标文件出自同一终端设备或在相同Internet主机分配地址（相同IP地址）网上报名投标。</w:t>
      </w:r>
    </w:p>
    <w:p>
      <w:pPr>
        <w:pStyle w:val="11"/>
        <w:pageBreakBefore w:val="0"/>
        <w:widowControl w:val="0"/>
        <w:kinsoku/>
        <w:wordWrap/>
        <w:overflowPunct/>
        <w:topLinePunct w:val="0"/>
        <w:autoSpaceDE/>
        <w:autoSpaceDN/>
        <w:bidi w:val="0"/>
        <w:snapToGrid w:val="0"/>
        <w:spacing w:line="360" w:lineRule="auto"/>
        <w:ind w:left="0" w:leftChars="0" w:right="0" w:rightChars="0" w:firstLine="398" w:firstLineChars="196"/>
        <w:rPr>
          <w:rFonts w:hint="eastAsia" w:hAnsi="宋体" w:cs="宋体"/>
          <w:b/>
          <w:bCs/>
          <w:color w:val="auto"/>
          <w:sz w:val="21"/>
          <w:szCs w:val="21"/>
          <w:highlight w:val="none"/>
        </w:rPr>
      </w:pPr>
    </w:p>
    <w:p>
      <w:pPr>
        <w:pageBreakBefore w:val="0"/>
        <w:widowControl w:val="0"/>
        <w:kinsoku/>
        <w:wordWrap/>
        <w:overflowPunct/>
        <w:topLinePunct w:val="0"/>
        <w:autoSpaceDE/>
        <w:autoSpaceDN/>
        <w:bidi w:val="0"/>
        <w:spacing w:before="120" w:after="120" w:line="360" w:lineRule="auto"/>
        <w:ind w:left="0" w:leftChars="0"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四、开标</w:t>
      </w:r>
    </w:p>
    <w:p>
      <w:pPr>
        <w:keepNext w:val="0"/>
        <w:keepLines w:val="0"/>
        <w:pageBreakBefore w:val="0"/>
        <w:widowControl w:val="0"/>
        <w:kinsoku/>
        <w:overflowPunct/>
        <w:topLinePunct w:val="0"/>
        <w:autoSpaceDE/>
        <w:autoSpaceDN/>
        <w:bidi w:val="0"/>
        <w:snapToGrid w:val="0"/>
        <w:spacing w:line="360" w:lineRule="auto"/>
        <w:ind w:firstLine="310" w:firstLineChars="147"/>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（一）开标准备</w:t>
      </w:r>
    </w:p>
    <w:p>
      <w:pPr>
        <w:keepNext w:val="0"/>
        <w:keepLines w:val="0"/>
        <w:pageBreakBefore w:val="0"/>
        <w:widowControl w:val="0"/>
        <w:kinsoku/>
        <w:overflowPunct/>
        <w:topLinePunct w:val="0"/>
        <w:autoSpaceDE/>
        <w:autoSpaceDN/>
        <w:bidi w:val="0"/>
        <w:snapToGrid w:val="0"/>
        <w:spacing w:before="0" w:beforeLines="0" w:after="120" w:afterLines="50" w:line="360" w:lineRule="auto"/>
        <w:ind w:left="105" w:leftChars="50" w:right="105" w:rightChars="50" w:firstLine="420" w:firstLineChars="200"/>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采购代理机构按招标文件规定的时间、地点主持公开开标。</w:t>
      </w:r>
    </w:p>
    <w:p>
      <w:pPr>
        <w:keepNext w:val="0"/>
        <w:keepLines w:val="0"/>
        <w:pageBreakBefore w:val="0"/>
        <w:widowControl w:val="0"/>
        <w:kinsoku/>
        <w:overflowPunct/>
        <w:topLinePunct w:val="0"/>
        <w:autoSpaceDE/>
        <w:autoSpaceDN/>
        <w:bidi w:val="0"/>
        <w:snapToGrid w:val="0"/>
        <w:spacing w:before="120" w:beforeLines="50"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（二）电子招投标开标及评审程序</w:t>
      </w:r>
    </w:p>
    <w:p>
      <w:pPr>
        <w:keepNext w:val="0"/>
        <w:keepLines w:val="0"/>
        <w:pageBreakBefore w:val="0"/>
        <w:widowControl w:val="0"/>
        <w:kinsoku/>
        <w:overflowPunct/>
        <w:topLinePunct w:val="0"/>
        <w:autoSpaceDE/>
        <w:autoSpaceDN/>
        <w:bidi w:val="0"/>
        <w:snapToGrid w:val="0"/>
        <w:spacing w:line="360" w:lineRule="auto"/>
        <w:ind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1.投标截止时间后，投标人登录政采云平台，用“项目采购-开标评标”功能对电子投标文件进行在线解密。在线解密电子投标文件时间为开标时间起30分钟内。</w:t>
      </w:r>
    </w:p>
    <w:p>
      <w:pPr>
        <w:keepNext w:val="0"/>
        <w:keepLines w:val="0"/>
        <w:pageBreakBefore w:val="0"/>
        <w:widowControl w:val="0"/>
        <w:kinsoku/>
        <w:overflowPunct/>
        <w:topLinePunct w:val="0"/>
        <w:autoSpaceDE/>
        <w:autoSpaceDN/>
        <w:bidi w:val="0"/>
        <w:snapToGrid w:val="0"/>
        <w:spacing w:line="360" w:lineRule="auto"/>
        <w:ind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2.评标委员会对商务技术响应文件进行评审；</w:t>
      </w:r>
    </w:p>
    <w:p>
      <w:pPr>
        <w:keepNext w:val="0"/>
        <w:keepLines w:val="0"/>
        <w:pageBreakBefore w:val="0"/>
        <w:widowControl w:val="0"/>
        <w:kinsoku/>
        <w:overflowPunct/>
        <w:topLinePunct w:val="0"/>
        <w:autoSpaceDE/>
        <w:autoSpaceDN/>
        <w:bidi w:val="0"/>
        <w:snapToGrid w:val="0"/>
        <w:spacing w:line="360" w:lineRule="auto"/>
        <w:ind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3.在系统上公开资格和商务技术评审结果；</w:t>
      </w:r>
    </w:p>
    <w:p>
      <w:pPr>
        <w:keepNext w:val="0"/>
        <w:keepLines w:val="0"/>
        <w:pageBreakBefore w:val="0"/>
        <w:widowControl w:val="0"/>
        <w:kinsoku/>
        <w:overflowPunct/>
        <w:topLinePunct w:val="0"/>
        <w:autoSpaceDE/>
        <w:autoSpaceDN/>
        <w:bidi w:val="0"/>
        <w:snapToGrid w:val="0"/>
        <w:spacing w:line="360" w:lineRule="auto"/>
        <w:ind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4.在系统上公开报价开标情况；</w:t>
      </w:r>
    </w:p>
    <w:p>
      <w:pPr>
        <w:keepNext w:val="0"/>
        <w:keepLines w:val="0"/>
        <w:pageBreakBefore w:val="0"/>
        <w:widowControl w:val="0"/>
        <w:kinsoku/>
        <w:overflowPunct/>
        <w:topLinePunct w:val="0"/>
        <w:autoSpaceDE/>
        <w:autoSpaceDN/>
        <w:bidi w:val="0"/>
        <w:snapToGrid w:val="0"/>
        <w:spacing w:line="360" w:lineRule="auto"/>
        <w:ind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5.评标委员会对报价情况进行评审；</w:t>
      </w:r>
    </w:p>
    <w:p>
      <w:pPr>
        <w:keepNext w:val="0"/>
        <w:keepLines w:val="0"/>
        <w:pageBreakBefore w:val="0"/>
        <w:widowControl w:val="0"/>
        <w:kinsoku/>
        <w:overflowPunct/>
        <w:topLinePunct w:val="0"/>
        <w:autoSpaceDE/>
        <w:autoSpaceDN/>
        <w:bidi w:val="0"/>
        <w:snapToGrid w:val="0"/>
        <w:spacing w:line="360" w:lineRule="auto"/>
        <w:ind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6.在系统上公布评审结果。</w:t>
      </w:r>
    </w:p>
    <w:p>
      <w:pPr>
        <w:keepNext w:val="0"/>
        <w:keepLines w:val="0"/>
        <w:pageBreakBefore w:val="0"/>
        <w:widowControl w:val="0"/>
        <w:kinsoku/>
        <w:overflowPunct/>
        <w:topLinePunct w:val="0"/>
        <w:autoSpaceDE/>
        <w:autoSpaceDN/>
        <w:bidi w:val="0"/>
        <w:snapToGrid w:val="0"/>
        <w:spacing w:line="360" w:lineRule="auto"/>
        <w:ind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特别说明：政采云公司如对电子化开标及评审程序有调整的，按调整后的程序操作。</w:t>
      </w:r>
    </w:p>
    <w:p>
      <w:pPr>
        <w:keepNext w:val="0"/>
        <w:keepLines w:val="0"/>
        <w:pageBreakBefore w:val="0"/>
        <w:widowControl w:val="0"/>
        <w:kinsoku/>
        <w:overflowPunct/>
        <w:topLinePunct w:val="0"/>
        <w:autoSpaceDE/>
        <w:autoSpaceDN/>
        <w:bidi w:val="0"/>
        <w:snapToGrid w:val="0"/>
        <w:spacing w:before="120" w:beforeLines="50"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（三）特别说明</w:t>
      </w:r>
    </w:p>
    <w:p>
      <w:pPr>
        <w:keepNext w:val="0"/>
        <w:keepLines w:val="0"/>
        <w:pageBreakBefore w:val="0"/>
        <w:widowControl w:val="0"/>
        <w:kinsoku/>
        <w:overflowPunct/>
        <w:topLinePunct w:val="0"/>
        <w:autoSpaceDE/>
        <w:autoSpaceDN/>
        <w:bidi w:val="0"/>
        <w:snapToGrid w:val="0"/>
        <w:spacing w:line="360" w:lineRule="auto"/>
        <w:ind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1.本项目原则上采用政采云电子招投标开标及评审程序，但有下情形之一的，按以下情况处理：</w:t>
      </w:r>
    </w:p>
    <w:p>
      <w:pPr>
        <w:keepNext w:val="0"/>
        <w:keepLines w:val="0"/>
        <w:pageBreakBefore w:val="0"/>
        <w:widowControl w:val="0"/>
        <w:kinsoku/>
        <w:overflowPunct/>
        <w:topLinePunct w:val="0"/>
        <w:autoSpaceDE/>
        <w:autoSpaceDN/>
        <w:bidi w:val="0"/>
        <w:snapToGrid w:val="0"/>
        <w:spacing w:line="360" w:lineRule="auto"/>
        <w:ind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（1）若投标人在规定时间内无法解密或解密失败，采购组织机构开启所有投标人递交的以介质存储的数据电文形式的备份投标文件，上传至政采云平台项目采购模块，以完成开标，电子投标文件自动失效。</w:t>
      </w:r>
    </w:p>
    <w:p>
      <w:pPr>
        <w:keepNext w:val="0"/>
        <w:keepLines w:val="0"/>
        <w:pageBreakBefore w:val="0"/>
        <w:widowControl w:val="0"/>
        <w:kinsoku/>
        <w:overflowPunct/>
        <w:topLinePunct w:val="0"/>
        <w:autoSpaceDE/>
        <w:autoSpaceDN/>
        <w:bidi w:val="0"/>
        <w:snapToGrid w:val="0"/>
        <w:spacing w:line="360" w:lineRule="auto"/>
        <w:ind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（2）若因政采云平台原因无法读取或电子开评标无法正常进行，采购组织机构将开启所有投标人递交的纸质备份投标文件，以完成开标，电子投标文件及以介质存储的数据电文形式的备份投标文件自动失效。</w:t>
      </w:r>
    </w:p>
    <w:p>
      <w:pPr>
        <w:keepNext w:val="0"/>
        <w:keepLines w:val="0"/>
        <w:pageBreakBefore w:val="0"/>
        <w:widowControl w:val="0"/>
        <w:kinsoku/>
        <w:overflowPunct/>
        <w:topLinePunct w:val="0"/>
        <w:autoSpaceDE/>
        <w:autoSpaceDN/>
        <w:bidi w:val="0"/>
        <w:snapToGrid w:val="0"/>
        <w:spacing w:line="360" w:lineRule="auto"/>
        <w:ind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（3）采购过程中出现以下情形，导致电子交易平台无法正常运行，或者无法保证电子交易的公平、公正和安全时，采购组织机构可中止电子交易活动：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overflowPunct/>
        <w:topLinePunct w:val="0"/>
        <w:autoSpaceDE/>
        <w:autoSpaceDN/>
        <w:bidi w:val="0"/>
        <w:snapToGrid w:val="0"/>
        <w:spacing w:line="360" w:lineRule="auto"/>
        <w:ind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a.电子交易平台发生故障而无法登录访问的；</w:t>
      </w:r>
    </w:p>
    <w:p>
      <w:pPr>
        <w:keepNext w:val="0"/>
        <w:keepLines w:val="0"/>
        <w:pageBreakBefore w:val="0"/>
        <w:widowControl w:val="0"/>
        <w:kinsoku/>
        <w:overflowPunct/>
        <w:topLinePunct w:val="0"/>
        <w:autoSpaceDE/>
        <w:autoSpaceDN/>
        <w:bidi w:val="0"/>
        <w:snapToGrid w:val="0"/>
        <w:spacing w:line="360" w:lineRule="auto"/>
        <w:ind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b.电子交易平台应用或数据库出现错误，不能进行正常操作的；</w:t>
      </w:r>
    </w:p>
    <w:p>
      <w:pPr>
        <w:keepNext w:val="0"/>
        <w:keepLines w:val="0"/>
        <w:pageBreakBefore w:val="0"/>
        <w:widowControl w:val="0"/>
        <w:kinsoku/>
        <w:overflowPunct/>
        <w:topLinePunct w:val="0"/>
        <w:autoSpaceDE/>
        <w:autoSpaceDN/>
        <w:bidi w:val="0"/>
        <w:snapToGrid w:val="0"/>
        <w:spacing w:line="360" w:lineRule="auto"/>
        <w:ind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c.电子交易平台发现严重安全漏洞，有潜在泄密危险的；</w:t>
      </w:r>
    </w:p>
    <w:p>
      <w:pPr>
        <w:keepNext w:val="0"/>
        <w:keepLines w:val="0"/>
        <w:pageBreakBefore w:val="0"/>
        <w:widowControl w:val="0"/>
        <w:kinsoku/>
        <w:overflowPunct/>
        <w:topLinePunct w:val="0"/>
        <w:autoSpaceDE/>
        <w:autoSpaceDN/>
        <w:bidi w:val="0"/>
        <w:snapToGrid w:val="0"/>
        <w:spacing w:line="360" w:lineRule="auto"/>
        <w:ind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d.病毒发作导致不能进行正常操作的；</w:t>
      </w:r>
    </w:p>
    <w:p>
      <w:pPr>
        <w:keepNext w:val="0"/>
        <w:keepLines w:val="0"/>
        <w:pageBreakBefore w:val="0"/>
        <w:widowControl w:val="0"/>
        <w:kinsoku/>
        <w:overflowPunct/>
        <w:topLinePunct w:val="0"/>
        <w:autoSpaceDE/>
        <w:autoSpaceDN/>
        <w:bidi w:val="0"/>
        <w:snapToGrid w:val="0"/>
        <w:spacing w:line="360" w:lineRule="auto"/>
        <w:ind w:firstLine="395" w:firstLineChars="196"/>
        <w:jc w:val="both"/>
        <w:rPr>
          <w:rFonts w:hint="eastAsia"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e.其他无法保证电子交易的公平、公正和安全的情况。</w:t>
      </w:r>
    </w:p>
    <w:p>
      <w:pPr>
        <w:keepNext w:val="0"/>
        <w:keepLines w:val="0"/>
        <w:pageBreakBefore w:val="0"/>
        <w:widowControl w:val="0"/>
        <w:kinsoku/>
        <w:overflowPunct/>
        <w:topLinePunct w:val="0"/>
        <w:autoSpaceDE/>
        <w:autoSpaceDN/>
        <w:bidi w:val="0"/>
        <w:snapToGrid w:val="0"/>
        <w:spacing w:line="360" w:lineRule="auto"/>
        <w:ind w:firstLine="395" w:firstLineChars="196"/>
        <w:jc w:val="both"/>
        <w:rPr>
          <w:rFonts w:ascii="宋体" w:hAnsi="宋体" w:eastAsia="宋体" w:cs="Times New Roman"/>
          <w:bCs/>
          <w:color w:val="auto"/>
          <w:spacing w:val="-4"/>
          <w:kern w:val="2"/>
          <w:sz w:val="21"/>
          <w:szCs w:val="21"/>
          <w:highlight w:val="none"/>
          <w:lang w:val="en-US" w:eastAsia="zh-CN" w:bidi="ar-SA"/>
        </w:rPr>
      </w:pPr>
      <w:r>
        <w:rPr>
          <w:rFonts w:hint="eastAsia" w:ascii="宋体" w:hAnsi="宋体" w:eastAsia="宋体" w:cs="Times New Roman"/>
          <w:bCs/>
          <w:color w:val="auto"/>
          <w:spacing w:val="-4"/>
          <w:kern w:val="2"/>
          <w:sz w:val="21"/>
          <w:szCs w:val="21"/>
          <w:highlight w:val="none"/>
          <w:lang w:val="en-US" w:eastAsia="zh-CN" w:bidi="ar-SA"/>
        </w:rPr>
        <w:t>出现前款规定情形，不影响采购公平、公正性的，采购组织机构可以待上述情形消除后继续组织电子交易活动，也可以决定某些环节以纸质形式进行。</w:t>
      </w:r>
    </w:p>
    <w:p>
      <w:pPr>
        <w:keepNext w:val="0"/>
        <w:keepLines w:val="0"/>
        <w:pageBreakBefore w:val="0"/>
        <w:widowControl w:val="0"/>
        <w:kinsoku/>
        <w:overflowPunct/>
        <w:topLinePunct w:val="0"/>
        <w:autoSpaceDE/>
        <w:autoSpaceDN/>
        <w:bidi w:val="0"/>
        <w:spacing w:line="360" w:lineRule="auto"/>
        <w:ind w:firstLine="422" w:firstLineChars="200"/>
        <w:rPr>
          <w:rFonts w:hint="eastAsia" w:ascii="宋体" w:hAnsi="宋体" w:eastAsia="宋体" w:cs="Times New Roman"/>
          <w:b/>
          <w:color w:val="auto"/>
          <w:szCs w:val="21"/>
          <w:highlight w:val="none"/>
        </w:rPr>
      </w:pPr>
    </w:p>
    <w:p>
      <w:pPr>
        <w:keepNext w:val="0"/>
        <w:keepLines w:val="0"/>
        <w:pageBreakBefore w:val="0"/>
        <w:widowControl w:val="0"/>
        <w:kinsoku/>
        <w:overflowPunct/>
        <w:topLinePunct w:val="0"/>
        <w:autoSpaceDE/>
        <w:autoSpaceDN/>
        <w:bidi w:val="0"/>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五、评标</w:t>
      </w:r>
    </w:p>
    <w:p>
      <w:pPr>
        <w:keepNext w:val="0"/>
        <w:keepLines w:val="0"/>
        <w:pageBreakBefore w:val="0"/>
        <w:widowControl w:val="0"/>
        <w:kinsoku/>
        <w:overflowPunct/>
        <w:topLinePunct w:val="0"/>
        <w:autoSpaceDE/>
        <w:autoSpaceDN/>
        <w:bidi w:val="0"/>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（一）组建评标委员会</w:t>
      </w:r>
    </w:p>
    <w:p>
      <w:pPr>
        <w:keepNext w:val="0"/>
        <w:keepLines w:val="0"/>
        <w:pageBreakBefore w:val="0"/>
        <w:widowControl w:val="0"/>
        <w:kinsoku/>
        <w:overflowPunct/>
        <w:topLinePunct w:val="0"/>
        <w:autoSpaceDE/>
        <w:autoSpaceDN/>
        <w:bidi w:val="0"/>
        <w:snapToGrid w:val="0"/>
        <w:spacing w:before="0" w:beforeLines="0" w:after="0" w:afterLines="0" w:line="360" w:lineRule="auto"/>
        <w:ind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r>
        <w:rPr>
          <w:rFonts w:ascii="宋体" w:hAnsi="宋体" w:eastAsia="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采购单位和采购机构根据采购项目的内容特点按照规定组建评标委员会。</w:t>
      </w:r>
    </w:p>
    <w:p>
      <w:pPr>
        <w:keepNext w:val="0"/>
        <w:keepLines w:val="0"/>
        <w:pageBreakBefore w:val="0"/>
        <w:widowControl w:val="0"/>
        <w:kinsoku/>
        <w:overflowPunct/>
        <w:topLinePunct w:val="0"/>
        <w:autoSpaceDE/>
        <w:autoSpaceDN/>
        <w:bidi w:val="0"/>
        <w:snapToGrid w:val="0"/>
        <w:spacing w:before="0" w:beforeLines="0" w:after="0" w:afterLines="0" w:line="360" w:lineRule="auto"/>
        <w:ind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w:t>
      </w:r>
      <w:r>
        <w:rPr>
          <w:rFonts w:ascii="宋体" w:hAnsi="宋体" w:eastAsia="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keepNext w:val="0"/>
        <w:keepLines w:val="0"/>
        <w:pageBreakBefore w:val="0"/>
        <w:widowControl w:val="0"/>
        <w:kinsoku/>
        <w:overflowPunct/>
        <w:topLinePunct w:val="0"/>
        <w:autoSpaceDE/>
        <w:autoSpaceDN/>
        <w:bidi w:val="0"/>
        <w:snapToGrid w:val="0"/>
        <w:spacing w:before="0" w:beforeLines="0" w:after="0" w:afterLines="0" w:line="360" w:lineRule="auto"/>
        <w:ind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w:t>
      </w:r>
      <w:r>
        <w:rPr>
          <w:rFonts w:ascii="宋体" w:hAnsi="宋体" w:eastAsia="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评审专家有下列情形之一的，受到邀请应主动提出回避，采购当事人也可以要求该评审专家回避：</w:t>
      </w:r>
    </w:p>
    <w:p>
      <w:pPr>
        <w:keepNext w:val="0"/>
        <w:keepLines w:val="0"/>
        <w:pageBreakBefore w:val="0"/>
        <w:widowControl w:val="0"/>
        <w:kinsoku/>
        <w:overflowPunct/>
        <w:topLinePunct w:val="0"/>
        <w:autoSpaceDE/>
        <w:autoSpaceDN/>
        <w:bidi w:val="0"/>
        <w:snapToGrid w:val="0"/>
        <w:spacing w:before="0" w:beforeLines="0" w:after="0" w:afterLines="0" w:line="360" w:lineRule="auto"/>
        <w:ind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（1）本人、配偶或直系亲属3年内曾在参加该采购项目的投标人中任职（包括一般工作）或担任顾问，或与参加该采购项目的投标人发生过法律纠纷；</w:t>
      </w:r>
    </w:p>
    <w:p>
      <w:pPr>
        <w:keepNext w:val="0"/>
        <w:keepLines w:val="0"/>
        <w:pageBreakBefore w:val="0"/>
        <w:widowControl w:val="0"/>
        <w:kinsoku/>
        <w:overflowPunct/>
        <w:topLinePunct w:val="0"/>
        <w:autoSpaceDE/>
        <w:autoSpaceDN/>
        <w:bidi w:val="0"/>
        <w:snapToGrid w:val="0"/>
        <w:spacing w:before="0" w:beforeLines="0" w:after="0" w:afterLines="0" w:line="360" w:lineRule="auto"/>
        <w:ind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（2）任职单位与采购人或参加该采购项目投标人存在行政隶属关系；</w:t>
      </w:r>
    </w:p>
    <w:p>
      <w:pPr>
        <w:keepNext w:val="0"/>
        <w:keepLines w:val="0"/>
        <w:pageBreakBefore w:val="0"/>
        <w:widowControl w:val="0"/>
        <w:kinsoku/>
        <w:overflowPunct/>
        <w:topLinePunct w:val="0"/>
        <w:autoSpaceDE/>
        <w:autoSpaceDN/>
        <w:bidi w:val="0"/>
        <w:snapToGrid w:val="0"/>
        <w:spacing w:before="0" w:beforeLines="0" w:after="0" w:afterLines="0" w:line="360" w:lineRule="auto"/>
        <w:ind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（3）曾经参加过该采购项目的进口产品或招标文件、采购需求、采购方式的论证和咨询服务工作；</w:t>
      </w:r>
    </w:p>
    <w:p>
      <w:pPr>
        <w:keepNext w:val="0"/>
        <w:keepLines w:val="0"/>
        <w:pageBreakBefore w:val="0"/>
        <w:widowControl w:val="0"/>
        <w:kinsoku/>
        <w:overflowPunct/>
        <w:topLinePunct w:val="0"/>
        <w:autoSpaceDE/>
        <w:autoSpaceDN/>
        <w:bidi w:val="0"/>
        <w:snapToGrid w:val="0"/>
        <w:spacing w:before="0" w:beforeLines="0" w:after="0" w:afterLines="0" w:line="360" w:lineRule="auto"/>
        <w:ind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（4）是参加该采购项目投标人的上级主管部门、控股或参股单位的工作人员，或与该投标人存在其他经济利益关系；</w:t>
      </w:r>
    </w:p>
    <w:p>
      <w:pPr>
        <w:keepNext w:val="0"/>
        <w:keepLines w:val="0"/>
        <w:pageBreakBefore w:val="0"/>
        <w:widowControl w:val="0"/>
        <w:kinsoku/>
        <w:overflowPunct/>
        <w:topLinePunct w:val="0"/>
        <w:autoSpaceDE/>
        <w:autoSpaceDN/>
        <w:bidi w:val="0"/>
        <w:snapToGrid w:val="0"/>
        <w:spacing w:before="0" w:beforeLines="0" w:after="0" w:afterLines="0" w:line="360" w:lineRule="auto"/>
        <w:ind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（5）评审委员会成员之间具有配偶、近亲属关系；</w:t>
      </w:r>
    </w:p>
    <w:p>
      <w:pPr>
        <w:keepNext w:val="0"/>
        <w:keepLines w:val="0"/>
        <w:pageBreakBefore w:val="0"/>
        <w:widowControl w:val="0"/>
        <w:kinsoku/>
        <w:overflowPunct/>
        <w:topLinePunct w:val="0"/>
        <w:autoSpaceDE/>
        <w:autoSpaceDN/>
        <w:bidi w:val="0"/>
        <w:snapToGrid w:val="0"/>
        <w:spacing w:before="0" w:beforeLines="0" w:after="0" w:afterLines="0" w:line="360" w:lineRule="auto"/>
        <w:ind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（6）同一单位的评审专家在同一项目评审委员会成员中超过一名；</w:t>
      </w:r>
    </w:p>
    <w:p>
      <w:pPr>
        <w:keepNext w:val="0"/>
        <w:keepLines w:val="0"/>
        <w:pageBreakBefore w:val="0"/>
        <w:widowControl w:val="0"/>
        <w:kinsoku/>
        <w:overflowPunct/>
        <w:topLinePunct w:val="0"/>
        <w:autoSpaceDE/>
        <w:autoSpaceDN/>
        <w:bidi w:val="0"/>
        <w:snapToGrid w:val="0"/>
        <w:spacing w:before="0" w:beforeLines="0" w:after="0" w:afterLines="0" w:line="360" w:lineRule="auto"/>
        <w:ind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（7）法律、法规、规章规定应当回避以及其他可能影响公正评审的。</w:t>
      </w:r>
    </w:p>
    <w:p>
      <w:pPr>
        <w:keepNext w:val="0"/>
        <w:keepLines w:val="0"/>
        <w:pageBreakBefore w:val="0"/>
        <w:widowControl w:val="0"/>
        <w:kinsoku/>
        <w:overflowPunct/>
        <w:topLinePunct w:val="0"/>
        <w:autoSpaceDE/>
        <w:autoSpaceDN/>
        <w:bidi w:val="0"/>
        <w:snapToGrid w:val="0"/>
        <w:spacing w:before="0" w:beforeLines="0" w:after="0" w:afterLines="0" w:line="360" w:lineRule="auto"/>
        <w:ind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4.评标委员会判断投标文件的有效性、合格性和响应情况，仅依据投标人所递交一切文件的真实表述，不受与本项目无直接关联的外部信息、传言而影响自身的专业判断。</w:t>
      </w:r>
    </w:p>
    <w:p>
      <w:pPr>
        <w:keepNext w:val="0"/>
        <w:keepLines w:val="0"/>
        <w:pageBreakBefore w:val="0"/>
        <w:widowControl w:val="0"/>
        <w:kinsoku/>
        <w:overflowPunct/>
        <w:topLinePunct w:val="0"/>
        <w:autoSpaceDE/>
        <w:autoSpaceDN/>
        <w:bidi w:val="0"/>
        <w:snapToGrid w:val="0"/>
        <w:spacing w:before="0" w:beforeLines="0" w:after="0" w:afterLines="0" w:line="360" w:lineRule="auto"/>
        <w:ind w:firstLine="420" w:firstLineChars="200"/>
        <w:jc w:val="both"/>
        <w:outlineLvl w:val="1"/>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keepNext w:val="0"/>
        <w:keepLines w:val="0"/>
        <w:pageBreakBefore w:val="0"/>
        <w:widowControl w:val="0"/>
        <w:kinsoku/>
        <w:overflowPunct/>
        <w:topLinePunct w:val="0"/>
        <w:autoSpaceDE/>
        <w:autoSpaceDN/>
        <w:bidi w:val="0"/>
        <w:snapToGrid w:val="0"/>
        <w:spacing w:line="360" w:lineRule="auto"/>
        <w:ind w:firstLine="310" w:firstLineChars="147"/>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（二）评标的方式</w:t>
      </w:r>
    </w:p>
    <w:p>
      <w:pPr>
        <w:keepNext w:val="0"/>
        <w:keepLines w:val="0"/>
        <w:pageBreakBefore w:val="0"/>
        <w:widowControl w:val="0"/>
        <w:kinsoku/>
        <w:overflowPunct/>
        <w:topLinePunct w:val="0"/>
        <w:autoSpaceDE/>
        <w:autoSpaceDN/>
        <w:bidi w:val="0"/>
        <w:snapToGrid w:val="0"/>
        <w:spacing w:before="0" w:beforeLines="0" w:after="0" w:afterLines="0" w:line="360" w:lineRule="auto"/>
        <w:ind w:left="105" w:leftChars="5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本项目采用不公开方式评标，评标的依据为招标文件和投标文件。</w:t>
      </w:r>
    </w:p>
    <w:p>
      <w:pPr>
        <w:keepNext w:val="0"/>
        <w:keepLines w:val="0"/>
        <w:pageBreakBefore w:val="0"/>
        <w:widowControl w:val="0"/>
        <w:kinsoku/>
        <w:overflowPunct/>
        <w:topLinePunct w:val="0"/>
        <w:autoSpaceDE/>
        <w:autoSpaceDN/>
        <w:bidi w:val="0"/>
        <w:snapToGrid w:val="0"/>
        <w:spacing w:line="360" w:lineRule="auto"/>
        <w:ind w:firstLine="310" w:firstLineChars="147"/>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（三）评标程序</w:t>
      </w:r>
    </w:p>
    <w:p>
      <w:pPr>
        <w:keepNext w:val="0"/>
        <w:keepLines w:val="0"/>
        <w:pageBreakBefore w:val="0"/>
        <w:widowControl w:val="0"/>
        <w:kinsoku/>
        <w:overflowPunct/>
        <w:topLinePunct w:val="0"/>
        <w:autoSpaceDE/>
        <w:autoSpaceDN/>
        <w:bidi w:val="0"/>
        <w:spacing w:line="360" w:lineRule="auto"/>
        <w:ind w:firstLine="517" w:firstLineChars="245"/>
        <w:jc w:val="left"/>
        <w:outlineLvl w:val="1"/>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1.资格审查</w:t>
      </w:r>
    </w:p>
    <w:p>
      <w:pPr>
        <w:keepNext w:val="0"/>
        <w:keepLines w:val="0"/>
        <w:pageBreakBefore w:val="0"/>
        <w:widowControl w:val="0"/>
        <w:kinsoku/>
        <w:overflowPunct/>
        <w:topLinePunct w:val="0"/>
        <w:autoSpaceDE/>
        <w:autoSpaceDN/>
        <w:bidi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采购人或者采购代理机构对投标人的资格进行审查。</w:t>
      </w:r>
    </w:p>
    <w:p>
      <w:pPr>
        <w:keepNext w:val="0"/>
        <w:keepLines w:val="0"/>
        <w:pageBreakBefore w:val="0"/>
        <w:widowControl w:val="0"/>
        <w:kinsoku/>
        <w:overflowPunct/>
        <w:topLinePunct w:val="0"/>
        <w:autoSpaceDE/>
        <w:autoSpaceDN/>
        <w:bidi w:val="0"/>
        <w:spacing w:line="360" w:lineRule="auto"/>
        <w:ind w:left="422"/>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2.符合性审查与比较</w:t>
      </w:r>
    </w:p>
    <w:p>
      <w:pPr>
        <w:keepNext w:val="0"/>
        <w:keepLines w:val="0"/>
        <w:pageBreakBefore w:val="0"/>
        <w:widowControl w:val="0"/>
        <w:kinsoku/>
        <w:overflowPunct/>
        <w:topLinePunct w:val="0"/>
        <w:autoSpaceDE/>
        <w:autoSpaceDN/>
        <w:bidi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（1）评标委员会审查投标文件的实质性内容是否符合招标文件的实质性要求。</w:t>
      </w:r>
    </w:p>
    <w:p>
      <w:pPr>
        <w:keepNext w:val="0"/>
        <w:keepLines w:val="0"/>
        <w:pageBreakBefore w:val="0"/>
        <w:widowControl w:val="0"/>
        <w:kinsoku/>
        <w:overflowPunct/>
        <w:topLinePunct w:val="0"/>
        <w:autoSpaceDE/>
        <w:autoSpaceDN/>
        <w:bidi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（2）评标委员会将根据投标人的投标文件进行审查、核对，如有疑问，将对投标人进行询标，投标人要向评标委员会澄清有关问题，并最终以书面形式进行答复。</w:t>
      </w:r>
    </w:p>
    <w:p>
      <w:pPr>
        <w:keepNext w:val="0"/>
        <w:keepLines w:val="0"/>
        <w:pageBreakBefore w:val="0"/>
        <w:widowControl w:val="0"/>
        <w:kinsoku/>
        <w:overflowPunct/>
        <w:topLinePunct w:val="0"/>
        <w:autoSpaceDE/>
        <w:autoSpaceDN/>
        <w:bidi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投标人代表未到场或者拒绝澄清或者澄清的内容改变了投标文件的实质性内容的，评标委员会有权对该投标文件作出不利于投标人的评判。</w:t>
      </w:r>
    </w:p>
    <w:p>
      <w:pPr>
        <w:keepNext w:val="0"/>
        <w:keepLines w:val="0"/>
        <w:pageBreakBefore w:val="0"/>
        <w:widowControl w:val="0"/>
        <w:kinsoku/>
        <w:overflowPunct/>
        <w:topLinePunct w:val="0"/>
        <w:autoSpaceDE/>
        <w:autoSpaceDN/>
        <w:bidi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（3）各投标人的技术商务得分为所有评委的有效评分的算术平均数，由指定专人进行计算复核。</w:t>
      </w:r>
    </w:p>
    <w:p>
      <w:pPr>
        <w:keepNext w:val="0"/>
        <w:keepLines w:val="0"/>
        <w:pageBreakBefore w:val="0"/>
        <w:widowControl w:val="0"/>
        <w:kinsoku/>
        <w:overflowPunct/>
        <w:topLinePunct w:val="0"/>
        <w:autoSpaceDE/>
        <w:autoSpaceDN/>
        <w:bidi w:val="0"/>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（4）采购代理机构工作人员协助评标委员会根据本项目的评分标准计算各投标人的价格得分。</w:t>
      </w:r>
    </w:p>
    <w:p>
      <w:pPr>
        <w:keepNext w:val="0"/>
        <w:keepLines w:val="0"/>
        <w:pageBreakBefore w:val="0"/>
        <w:widowControl w:val="0"/>
        <w:kinsoku/>
        <w:overflowPunct/>
        <w:topLinePunct w:val="0"/>
        <w:autoSpaceDE/>
        <w:autoSpaceDN/>
        <w:bidi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（5）评标委员会完成评标后，评委对各部分得分汇总，计算出本项目最终得分。评标委员会按评标原则推荐中标候选人同时起草评标报告。</w:t>
      </w:r>
    </w:p>
    <w:p>
      <w:pPr>
        <w:keepNext w:val="0"/>
        <w:keepLines w:val="0"/>
        <w:pageBreakBefore w:val="0"/>
        <w:widowControl w:val="0"/>
        <w:kinsoku/>
        <w:overflowPunct/>
        <w:topLinePunct w:val="0"/>
        <w:autoSpaceDE/>
        <w:autoSpaceDN/>
        <w:bidi w:val="0"/>
        <w:snapToGrid w:val="0"/>
        <w:spacing w:before="120" w:beforeLines="50" w:line="360" w:lineRule="auto"/>
        <w:ind w:firstLine="310" w:firstLineChars="147"/>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（四）澄清问题的形式</w:t>
      </w:r>
    </w:p>
    <w:p>
      <w:pPr>
        <w:keepNext w:val="0"/>
        <w:keepLines w:val="0"/>
        <w:pageBreakBefore w:val="0"/>
        <w:widowControl w:val="0"/>
        <w:kinsoku/>
        <w:overflowPunct/>
        <w:topLinePunct w:val="0"/>
        <w:autoSpaceDE/>
        <w:autoSpaceDN/>
        <w:bidi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对于投标文件中含义不明确、同类问题表述不一致或者有明显文字和计算错误的内容，评标委员会可通过“政采云”平台在线询标要求投标人作出必要的澄清、说明或者补正。</w:t>
      </w:r>
    </w:p>
    <w:p>
      <w:pPr>
        <w:keepNext w:val="0"/>
        <w:keepLines w:val="0"/>
        <w:pageBreakBefore w:val="0"/>
        <w:widowControl w:val="0"/>
        <w:kinsoku/>
        <w:overflowPunct/>
        <w:topLinePunct w:val="0"/>
        <w:autoSpaceDE/>
        <w:autoSpaceDN/>
        <w:bidi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投标人的澄清、说明或者补正应当通过“政采云”平台在线答复形式，在澄清截止时间前上传澄清文件，并对澄清文件进行签章。</w:t>
      </w:r>
    </w:p>
    <w:p>
      <w:pPr>
        <w:keepNext w:val="0"/>
        <w:keepLines w:val="0"/>
        <w:pageBreakBefore w:val="0"/>
        <w:widowControl w:val="0"/>
        <w:kinsoku/>
        <w:overflowPunct/>
        <w:topLinePunct w:val="0"/>
        <w:autoSpaceDE/>
        <w:autoSpaceDN/>
        <w:bidi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如电子评标无法正常进行，则评标委员会可通过书面形式要求投标人作出必要的澄清、说明或者补正。投标人的澄清、说明或者补正应当采用书面形式提交，并加盖公章，或者由法定代表人或其授权代表签字确认。</w:t>
      </w:r>
    </w:p>
    <w:p>
      <w:pPr>
        <w:keepNext w:val="0"/>
        <w:keepLines w:val="0"/>
        <w:pageBreakBefore w:val="0"/>
        <w:widowControl w:val="0"/>
        <w:kinsoku/>
        <w:overflowPunct/>
        <w:topLinePunct w:val="0"/>
        <w:autoSpaceDE/>
        <w:autoSpaceDN/>
        <w:bidi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投标人的澄清、说明或者补正不得超出投标文件的范围或者改变投标文件的实质性内容。</w:t>
      </w:r>
    </w:p>
    <w:p>
      <w:pPr>
        <w:keepNext w:val="0"/>
        <w:keepLines w:val="0"/>
        <w:pageBreakBefore w:val="0"/>
        <w:widowControl w:val="0"/>
        <w:kinsoku/>
        <w:overflowPunct/>
        <w:topLinePunct w:val="0"/>
        <w:autoSpaceDE/>
        <w:autoSpaceDN/>
        <w:bidi w:val="0"/>
        <w:snapToGrid w:val="0"/>
        <w:spacing w:before="120" w:beforeLines="50" w:line="360" w:lineRule="auto"/>
        <w:ind w:firstLine="310" w:firstLineChars="147"/>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（五）错误修正</w:t>
      </w:r>
    </w:p>
    <w:p>
      <w:pPr>
        <w:keepNext w:val="0"/>
        <w:keepLines w:val="0"/>
        <w:pageBreakBefore w:val="0"/>
        <w:widowControl w:val="0"/>
        <w:kinsoku/>
        <w:overflowPunct/>
        <w:topLinePunct w:val="0"/>
        <w:autoSpaceDE/>
        <w:autoSpaceDN/>
        <w:bidi w:val="0"/>
        <w:adjustRightInd/>
        <w:spacing w:line="360" w:lineRule="auto"/>
        <w:ind w:left="689" w:leftChars="228" w:hanging="210" w:hangingChars="10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投标文件报价出现前后不一致的，除招标文件另有规定外，按照下列规定修正：</w:t>
      </w:r>
    </w:p>
    <w:p>
      <w:pPr>
        <w:keepNext w:val="0"/>
        <w:keepLines w:val="0"/>
        <w:pageBreakBefore w:val="0"/>
        <w:widowControl w:val="0"/>
        <w:numPr>
          <w:ilvl w:val="0"/>
          <w:numId w:val="5"/>
        </w:numPr>
        <w:kinsoku/>
        <w:overflowPunct/>
        <w:topLinePunct w:val="0"/>
        <w:autoSpaceDE/>
        <w:autoSpaceDN/>
        <w:bidi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投标文件中开标一览表（报价表）内容与投标文件中相应内容不一致的，以开标一览表（报价表）为准；</w:t>
      </w:r>
    </w:p>
    <w:p>
      <w:pPr>
        <w:keepNext w:val="0"/>
        <w:keepLines w:val="0"/>
        <w:pageBreakBefore w:val="0"/>
        <w:widowControl w:val="0"/>
        <w:numPr>
          <w:ilvl w:val="0"/>
          <w:numId w:val="5"/>
        </w:numPr>
        <w:kinsoku/>
        <w:overflowPunct/>
        <w:topLinePunct w:val="0"/>
        <w:autoSpaceDE/>
        <w:autoSpaceDN/>
        <w:bidi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大写金额和小写金额不一致的，以大写金额为准；</w:t>
      </w:r>
    </w:p>
    <w:p>
      <w:pPr>
        <w:keepNext w:val="0"/>
        <w:keepLines w:val="0"/>
        <w:pageBreakBefore w:val="0"/>
        <w:widowControl w:val="0"/>
        <w:numPr>
          <w:ilvl w:val="0"/>
          <w:numId w:val="5"/>
        </w:numPr>
        <w:kinsoku/>
        <w:overflowPunct/>
        <w:topLinePunct w:val="0"/>
        <w:autoSpaceDE/>
        <w:autoSpaceDN/>
        <w:bidi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单价金额小数点或者百分比有明显错位的，以开标一览表的总价为准，并修改单价；</w:t>
      </w:r>
    </w:p>
    <w:p>
      <w:pPr>
        <w:keepNext w:val="0"/>
        <w:keepLines w:val="0"/>
        <w:pageBreakBefore w:val="0"/>
        <w:widowControl w:val="0"/>
        <w:numPr>
          <w:ilvl w:val="0"/>
          <w:numId w:val="5"/>
        </w:numPr>
        <w:kinsoku/>
        <w:overflowPunct/>
        <w:topLinePunct w:val="0"/>
        <w:autoSpaceDE/>
        <w:autoSpaceDN/>
        <w:bidi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总价金额与按单价汇总金额不一致的，以单价金额计算结果为准；</w:t>
      </w:r>
    </w:p>
    <w:p>
      <w:pPr>
        <w:keepNext w:val="0"/>
        <w:keepLines w:val="0"/>
        <w:pageBreakBefore w:val="0"/>
        <w:widowControl w:val="0"/>
        <w:kinsoku/>
        <w:overflowPunct/>
        <w:topLinePunct w:val="0"/>
        <w:autoSpaceDE/>
        <w:autoSpaceDN/>
        <w:bidi w:val="0"/>
        <w:snapToGrid w:val="0"/>
        <w:spacing w:before="120" w:beforeLines="50" w:after="120" w:afterLines="50" w:line="360" w:lineRule="auto"/>
        <w:ind w:right="105" w:rightChars="50" w:firstLine="413" w:firstLineChars="196"/>
        <w:jc w:val="both"/>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同时出现两种以上不一致的，按照前款规定的顺序修正。修正后的报价经投标人确认后具有约束力，若投标人不确认的，则其投标无效。</w:t>
      </w:r>
    </w:p>
    <w:p>
      <w:pPr>
        <w:keepNext w:val="0"/>
        <w:keepLines w:val="0"/>
        <w:pageBreakBefore w:val="0"/>
        <w:widowControl w:val="0"/>
        <w:kinsoku/>
        <w:overflowPunct/>
        <w:topLinePunct w:val="0"/>
        <w:autoSpaceDE/>
        <w:autoSpaceDN/>
        <w:bidi w:val="0"/>
        <w:snapToGrid w:val="0"/>
        <w:spacing w:before="120" w:beforeLines="50" w:line="360" w:lineRule="auto"/>
        <w:ind w:firstLine="310" w:firstLineChars="147"/>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（六）评标原则和评标办法</w:t>
      </w:r>
    </w:p>
    <w:p>
      <w:pPr>
        <w:keepNext w:val="0"/>
        <w:keepLines w:val="0"/>
        <w:pageBreakBefore w:val="0"/>
        <w:widowControl w:val="0"/>
        <w:kinsoku/>
        <w:overflowPunct/>
        <w:topLinePunct w:val="0"/>
        <w:autoSpaceDE/>
        <w:autoSpaceDN/>
        <w:bidi w:val="0"/>
        <w:snapToGrid w:val="0"/>
        <w:spacing w:before="0" w:beforeLines="0" w:after="0" w:afterLines="0" w:line="360" w:lineRule="auto"/>
        <w:ind w:left="105" w:leftChars="5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widowControl w:val="0"/>
        <w:kinsoku/>
        <w:overflowPunct/>
        <w:topLinePunct w:val="0"/>
        <w:autoSpaceDE/>
        <w:autoSpaceDN/>
        <w:bidi w:val="0"/>
        <w:snapToGrid w:val="0"/>
        <w:spacing w:before="0" w:beforeLines="0" w:after="0" w:afterLines="0" w:line="360" w:lineRule="auto"/>
        <w:ind w:left="105" w:leftChars="5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2.评标办法。本项目评标办法是</w:t>
      </w:r>
      <w:r>
        <w:rPr>
          <w:rFonts w:hint="eastAsia" w:ascii="宋体" w:hAnsi="宋体" w:eastAsia="宋体" w:cs="Times New Roman"/>
          <w:color w:val="auto"/>
          <w:kern w:val="2"/>
          <w:sz w:val="21"/>
          <w:szCs w:val="21"/>
          <w:highlight w:val="none"/>
          <w:u w:val="single"/>
          <w:lang w:val="en-US" w:eastAsia="zh-CN" w:bidi="ar-SA"/>
        </w:rPr>
        <w:t>综合评分法</w:t>
      </w:r>
      <w:r>
        <w:rPr>
          <w:rFonts w:hint="eastAsia" w:ascii="宋体" w:hAnsi="宋体" w:eastAsia="宋体" w:cs="Times New Roman"/>
          <w:color w:val="auto"/>
          <w:kern w:val="2"/>
          <w:sz w:val="21"/>
          <w:szCs w:val="21"/>
          <w:highlight w:val="none"/>
          <w:lang w:val="en-US" w:eastAsia="zh-CN" w:bidi="ar-SA"/>
        </w:rPr>
        <w:t>，具体评标内容及评分标准等详见《第四章：评标办法及评分标准》。</w:t>
      </w:r>
    </w:p>
    <w:p>
      <w:pPr>
        <w:keepNext w:val="0"/>
        <w:keepLines w:val="0"/>
        <w:pageBreakBefore w:val="0"/>
        <w:widowControl w:val="0"/>
        <w:kinsoku/>
        <w:overflowPunct/>
        <w:topLinePunct w:val="0"/>
        <w:autoSpaceDE/>
        <w:autoSpaceDN/>
        <w:bidi w:val="0"/>
        <w:snapToGrid w:val="0"/>
        <w:spacing w:before="0" w:beforeLines="0" w:after="0" w:afterLines="0" w:line="360" w:lineRule="auto"/>
        <w:ind w:left="105" w:leftChars="5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napToGrid w:val="0"/>
        <w:spacing w:before="0" w:beforeLines="0" w:after="0" w:afterLines="0" w:line="360" w:lineRule="auto"/>
        <w:ind w:firstLine="422"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六、定标</w:t>
      </w:r>
    </w:p>
    <w:p>
      <w:pPr>
        <w:keepNext w:val="0"/>
        <w:keepLines w:val="0"/>
        <w:pageBreakBefore w:val="0"/>
        <w:widowControl w:val="0"/>
        <w:kinsoku/>
        <w:overflowPunct/>
        <w:topLinePunct w:val="0"/>
        <w:autoSpaceDE/>
        <w:autoSpaceDN/>
        <w:bidi w:val="0"/>
        <w:snapToGrid w:val="0"/>
        <w:spacing w:before="0" w:beforeLines="0" w:after="0" w:afterLines="0" w:line="360" w:lineRule="auto"/>
        <w:ind w:left="105" w:leftChars="5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1.确定中标人。本项目由评标委员会推荐中标候选人。</w:t>
      </w:r>
    </w:p>
    <w:p>
      <w:pPr>
        <w:keepNext w:val="0"/>
        <w:keepLines w:val="0"/>
        <w:pageBreakBefore w:val="0"/>
        <w:widowControl w:val="0"/>
        <w:kinsoku/>
        <w:overflowPunct/>
        <w:topLinePunct w:val="0"/>
        <w:autoSpaceDE/>
        <w:autoSpaceDN/>
        <w:bidi w:val="0"/>
        <w:snapToGrid w:val="0"/>
        <w:spacing w:before="0" w:beforeLines="0" w:after="0" w:afterLines="0" w:line="360" w:lineRule="auto"/>
        <w:ind w:left="105" w:leftChars="5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keepNext w:val="0"/>
        <w:keepLines w:val="0"/>
        <w:pageBreakBefore w:val="0"/>
        <w:widowControl w:val="0"/>
        <w:kinsoku/>
        <w:overflowPunct/>
        <w:topLinePunct w:val="0"/>
        <w:autoSpaceDE/>
        <w:autoSpaceDN/>
        <w:bidi w:val="0"/>
        <w:snapToGrid w:val="0"/>
        <w:spacing w:before="0" w:beforeLines="0" w:after="0" w:afterLines="0" w:line="360" w:lineRule="auto"/>
        <w:ind w:left="105" w:leftChars="5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3.采购代理机构自中标人确定之日起2个工作日内，在发布招标公告的网站上对中标结果进行公示，中标结果公告期限为1个工作日。</w:t>
      </w:r>
    </w:p>
    <w:p>
      <w:pPr>
        <w:keepNext w:val="0"/>
        <w:keepLines w:val="0"/>
        <w:pageBreakBefore w:val="0"/>
        <w:widowControl w:val="0"/>
        <w:kinsoku/>
        <w:overflowPunct/>
        <w:topLinePunct w:val="0"/>
        <w:autoSpaceDE/>
        <w:autoSpaceDN/>
        <w:bidi w:val="0"/>
        <w:snapToGrid w:val="0"/>
        <w:spacing w:before="0" w:beforeLines="0" w:after="0" w:afterLines="0" w:line="360" w:lineRule="auto"/>
        <w:ind w:left="105" w:leftChars="5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4.凡发现中标人有下列行为之一的，将移交政府采购监督管理部门依法处理：</w:t>
      </w:r>
    </w:p>
    <w:p>
      <w:pPr>
        <w:keepNext w:val="0"/>
        <w:keepLines w:val="0"/>
        <w:pageBreakBefore w:val="0"/>
        <w:widowControl w:val="0"/>
        <w:kinsoku/>
        <w:overflowPunct/>
        <w:topLinePunct w:val="0"/>
        <w:autoSpaceDE/>
        <w:autoSpaceDN/>
        <w:bidi w:val="0"/>
        <w:snapToGrid w:val="0"/>
        <w:spacing w:before="0" w:beforeLines="0" w:after="0" w:afterLines="0" w:line="360" w:lineRule="auto"/>
        <w:ind w:left="105" w:leftChars="5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（1）提供虚假材料谋取中标的；</w:t>
      </w:r>
    </w:p>
    <w:p>
      <w:pPr>
        <w:keepNext w:val="0"/>
        <w:keepLines w:val="0"/>
        <w:pageBreakBefore w:val="0"/>
        <w:widowControl w:val="0"/>
        <w:kinsoku/>
        <w:overflowPunct/>
        <w:topLinePunct w:val="0"/>
        <w:autoSpaceDE/>
        <w:autoSpaceDN/>
        <w:bidi w:val="0"/>
        <w:snapToGrid w:val="0"/>
        <w:spacing w:before="0" w:beforeLines="0" w:after="0" w:afterLines="0" w:line="360" w:lineRule="auto"/>
        <w:ind w:left="105" w:leftChars="5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（2）采取不正当手段诋毁、排挤其他投标人的；</w:t>
      </w:r>
    </w:p>
    <w:p>
      <w:pPr>
        <w:keepNext w:val="0"/>
        <w:keepLines w:val="0"/>
        <w:pageBreakBefore w:val="0"/>
        <w:widowControl w:val="0"/>
        <w:kinsoku/>
        <w:overflowPunct/>
        <w:topLinePunct w:val="0"/>
        <w:autoSpaceDE/>
        <w:autoSpaceDN/>
        <w:bidi w:val="0"/>
        <w:snapToGrid w:val="0"/>
        <w:spacing w:before="0" w:beforeLines="0" w:after="0" w:afterLines="0" w:line="360" w:lineRule="auto"/>
        <w:ind w:left="105" w:leftChars="5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（3）与采购人、其他投标人或者采购代理机构工作人员恶意串通的；</w:t>
      </w:r>
    </w:p>
    <w:p>
      <w:pPr>
        <w:keepNext w:val="0"/>
        <w:keepLines w:val="0"/>
        <w:pageBreakBefore w:val="0"/>
        <w:widowControl w:val="0"/>
        <w:kinsoku/>
        <w:overflowPunct/>
        <w:topLinePunct w:val="0"/>
        <w:autoSpaceDE/>
        <w:autoSpaceDN/>
        <w:bidi w:val="0"/>
        <w:snapToGrid w:val="0"/>
        <w:spacing w:before="0" w:beforeLines="0" w:after="0" w:afterLines="0" w:line="360" w:lineRule="auto"/>
        <w:ind w:left="105" w:leftChars="5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（4）向采购人或采购代理机构人员行贿或者提供其他不正当利益的；</w:t>
      </w:r>
    </w:p>
    <w:p>
      <w:pPr>
        <w:keepNext w:val="0"/>
        <w:keepLines w:val="0"/>
        <w:pageBreakBefore w:val="0"/>
        <w:widowControl w:val="0"/>
        <w:kinsoku/>
        <w:overflowPunct/>
        <w:topLinePunct w:val="0"/>
        <w:autoSpaceDE/>
        <w:autoSpaceDN/>
        <w:bidi w:val="0"/>
        <w:snapToGrid w:val="0"/>
        <w:spacing w:before="0" w:beforeLines="0" w:after="0" w:afterLines="0" w:line="360" w:lineRule="auto"/>
        <w:ind w:left="105" w:leftChars="5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（5）拒绝有关部门监督检查或者提供虚假情况的；</w:t>
      </w:r>
    </w:p>
    <w:p>
      <w:pPr>
        <w:keepNext w:val="0"/>
        <w:keepLines w:val="0"/>
        <w:pageBreakBefore w:val="0"/>
        <w:widowControl w:val="0"/>
        <w:kinsoku/>
        <w:overflowPunct/>
        <w:topLinePunct w:val="0"/>
        <w:autoSpaceDE/>
        <w:autoSpaceDN/>
        <w:bidi w:val="0"/>
        <w:snapToGrid w:val="0"/>
        <w:spacing w:before="0" w:beforeLines="0" w:after="0" w:afterLines="0" w:line="360" w:lineRule="auto"/>
        <w:ind w:left="105" w:leftChars="5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（6）有法律、法规规定的其他损害采购人利益和社会公共利益情形的。</w:t>
      </w:r>
    </w:p>
    <w:p>
      <w:pPr>
        <w:keepNext w:val="0"/>
        <w:keepLines w:val="0"/>
        <w:pageBreakBefore w:val="0"/>
        <w:widowControl w:val="0"/>
        <w:kinsoku/>
        <w:overflowPunct/>
        <w:topLinePunct w:val="0"/>
        <w:autoSpaceDE/>
        <w:autoSpaceDN/>
        <w:bidi w:val="0"/>
        <w:snapToGrid w:val="0"/>
        <w:spacing w:before="0" w:beforeLines="0" w:after="0" w:afterLines="0" w:line="360" w:lineRule="auto"/>
        <w:ind w:left="105" w:leftChars="50" w:right="105" w:rightChars="50" w:firstLine="420" w:firstLineChars="2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5.若中标供应商放弃中标，或因不可抗力提出不能履行合同，或不按招标文件规定提交履约担保，或其它原因被依法撤销中标资格，则采购人可确定排名紧后的中标候选人为中标供应商或重新组织招标。</w:t>
      </w:r>
    </w:p>
    <w:p>
      <w:pPr>
        <w:keepNext w:val="0"/>
        <w:keepLines w:val="0"/>
        <w:pageBreakBefore w:val="0"/>
        <w:widowControl w:val="0"/>
        <w:kinsoku/>
        <w:overflowPunct/>
        <w:topLinePunct w:val="0"/>
        <w:autoSpaceDE/>
        <w:autoSpaceDN/>
        <w:bidi w:val="0"/>
        <w:snapToGrid w:val="0"/>
        <w:spacing w:before="0" w:beforeLines="0" w:after="0" w:afterLines="0" w:line="360" w:lineRule="auto"/>
        <w:ind w:left="105" w:leftChars="5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napToGrid w:val="0"/>
        <w:spacing w:before="0" w:beforeLines="0" w:after="0" w:afterLines="0" w:line="360" w:lineRule="auto"/>
        <w:ind w:firstLine="422" w:firstLineChars="200"/>
        <w:jc w:val="both"/>
        <w:rPr>
          <w:rFonts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七、采购方式变更</w:t>
      </w:r>
    </w:p>
    <w:p>
      <w:pPr>
        <w:keepNext w:val="0"/>
        <w:keepLines w:val="0"/>
        <w:pageBreakBefore w:val="0"/>
        <w:widowControl w:val="0"/>
        <w:kinsoku/>
        <w:overflowPunct/>
        <w:topLinePunct w:val="0"/>
        <w:autoSpaceDE/>
        <w:autoSpaceDN/>
        <w:bidi w:val="0"/>
        <w:snapToGrid w:val="0"/>
        <w:spacing w:before="0" w:beforeLines="0" w:after="0" w:afterLines="0" w:line="360" w:lineRule="auto"/>
        <w:ind w:left="105" w:leftChars="50" w:right="105" w:rightChars="50" w:firstLine="420" w:firstLineChars="2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政府采购的国内公开招标，采购响应截止时间至或评审期间，出现参与采购响应或者对招标文件作出实质性响应的投标人不足</w:t>
      </w:r>
      <w:r>
        <w:rPr>
          <w:rFonts w:ascii="宋体" w:hAnsi="宋体" w:eastAsia="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家的情况，招标人有权全部或部分终止招标。经相关财政部门批准，招标人可以按照原招标文件确定的采购方式进行，或者改用其他采购方式采购。</w:t>
      </w:r>
    </w:p>
    <w:p>
      <w:pPr>
        <w:keepNext w:val="0"/>
        <w:keepLines w:val="0"/>
        <w:pageBreakBefore w:val="0"/>
        <w:widowControl w:val="0"/>
        <w:kinsoku/>
        <w:overflowPunct/>
        <w:topLinePunct w:val="0"/>
        <w:autoSpaceDE/>
        <w:autoSpaceDN/>
        <w:bidi w:val="0"/>
        <w:snapToGrid w:val="0"/>
        <w:spacing w:before="0" w:beforeLines="0" w:after="0" w:afterLines="0" w:line="360" w:lineRule="auto"/>
        <w:ind w:left="105" w:leftChars="5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napToGrid w:val="0"/>
        <w:spacing w:before="0" w:beforeLines="0" w:after="0" w:afterLines="0" w:line="360" w:lineRule="auto"/>
        <w:ind w:firstLine="422" w:firstLineChars="200"/>
        <w:jc w:val="both"/>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八、评标过程的监控与保密</w:t>
      </w:r>
    </w:p>
    <w:p>
      <w:pPr>
        <w:keepNext w:val="0"/>
        <w:keepLines w:val="0"/>
        <w:pageBreakBefore w:val="0"/>
        <w:widowControl w:val="0"/>
        <w:kinsoku/>
        <w:overflowPunct/>
        <w:topLinePunct w:val="0"/>
        <w:autoSpaceDE/>
        <w:autoSpaceDN/>
        <w:bidi w:val="0"/>
        <w:snapToGrid w:val="0"/>
        <w:spacing w:before="0" w:beforeLines="0" w:after="0" w:afterLines="0" w:line="360" w:lineRule="auto"/>
        <w:ind w:left="105" w:leftChars="5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1.本项目评标过程实行全程录音、录像监控，投标人在评标过程中所进行的试图影响评标结果的不公正活动，可能导致其投标被拒绝。</w:t>
      </w:r>
    </w:p>
    <w:p>
      <w:pPr>
        <w:keepNext w:val="0"/>
        <w:keepLines w:val="0"/>
        <w:pageBreakBefore w:val="0"/>
        <w:widowControl w:val="0"/>
        <w:kinsoku/>
        <w:overflowPunct/>
        <w:topLinePunct w:val="0"/>
        <w:autoSpaceDE/>
        <w:autoSpaceDN/>
        <w:bidi w:val="0"/>
        <w:snapToGrid w:val="0"/>
        <w:spacing w:before="0" w:beforeLines="0" w:after="0" w:afterLines="0" w:line="360" w:lineRule="auto"/>
        <w:ind w:left="105" w:leftChars="50" w:right="105" w:rightChars="50" w:firstLine="420" w:firstLineChars="2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2.开标后到中标通知书发出之前，所有涉及评标委员会名单以及对投标文件的澄清、评价、比较等情况，评标委员会成员、采购人和采购代理机构的有关人员均不得向投标人或其他无关人员透露。</w:t>
      </w:r>
    </w:p>
    <w:p>
      <w:pPr>
        <w:keepNext w:val="0"/>
        <w:keepLines w:val="0"/>
        <w:pageBreakBefore w:val="0"/>
        <w:widowControl w:val="0"/>
        <w:kinsoku/>
        <w:overflowPunct/>
        <w:topLinePunct w:val="0"/>
        <w:autoSpaceDE/>
        <w:autoSpaceDN/>
        <w:bidi w:val="0"/>
        <w:snapToGrid w:val="0"/>
        <w:spacing w:before="0" w:beforeLines="0" w:after="0" w:afterLines="0" w:line="360" w:lineRule="auto"/>
        <w:ind w:left="105" w:leftChars="50" w:right="105" w:rightChars="50" w:firstLine="420" w:firstLineChars="200"/>
        <w:jc w:val="both"/>
        <w:rPr>
          <w:rFonts w:hint="eastAsia" w:ascii="宋体" w:hAnsi="宋体" w:eastAsia="宋体" w:cs="Times New Roman"/>
          <w:color w:val="auto"/>
          <w:kern w:val="2"/>
          <w:sz w:val="21"/>
          <w:szCs w:val="21"/>
          <w:highlight w:val="none"/>
          <w:lang w:val="en-US" w:eastAsia="zh-CN" w:bidi="ar-SA"/>
        </w:rPr>
      </w:pPr>
    </w:p>
    <w:p>
      <w:pPr>
        <w:keepNext w:val="0"/>
        <w:keepLines w:val="0"/>
        <w:pageBreakBefore w:val="0"/>
        <w:widowControl w:val="0"/>
        <w:kinsoku/>
        <w:overflowPunct/>
        <w:topLinePunct w:val="0"/>
        <w:autoSpaceDE/>
        <w:autoSpaceDN/>
        <w:bidi w:val="0"/>
        <w:snapToGrid w:val="0"/>
        <w:spacing w:before="0" w:beforeLines="0" w:after="0" w:afterLines="0" w:line="360" w:lineRule="auto"/>
        <w:ind w:firstLine="422" w:firstLineChars="200"/>
        <w:jc w:val="both"/>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九、合同授予</w:t>
      </w:r>
    </w:p>
    <w:p>
      <w:pPr>
        <w:keepNext w:val="0"/>
        <w:keepLines w:val="0"/>
        <w:pageBreakBefore w:val="0"/>
        <w:widowControl w:val="0"/>
        <w:kinsoku/>
        <w:overflowPunct/>
        <w:topLinePunct w:val="0"/>
        <w:autoSpaceDE/>
        <w:autoSpaceDN/>
        <w:bidi w:val="0"/>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（一）签订合同</w:t>
      </w:r>
    </w:p>
    <w:p>
      <w:pPr>
        <w:keepNext w:val="0"/>
        <w:keepLines w:val="0"/>
        <w:pageBreakBefore w:val="0"/>
        <w:widowControl w:val="0"/>
        <w:kinsoku/>
        <w:overflowPunct/>
        <w:topLinePunct w:val="0"/>
        <w:autoSpaceDE/>
        <w:autoSpaceDN/>
        <w:bidi w:val="0"/>
        <w:spacing w:line="360"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1</w:t>
      </w:r>
      <w:r>
        <w:rPr>
          <w:rFonts w:hint="eastAsia" w:ascii="宋体" w:hAnsi="宋体" w:eastAsia="宋体" w:cs="Times New Roman"/>
          <w:bCs/>
          <w:color w:val="auto"/>
          <w:szCs w:val="21"/>
          <w:highlight w:val="none"/>
        </w:rPr>
        <w:t>.采购单位与</w:t>
      </w:r>
      <w:r>
        <w:rPr>
          <w:rFonts w:ascii="宋体" w:hAnsi="宋体" w:eastAsia="宋体" w:cs="Times New Roman"/>
          <w:bCs/>
          <w:color w:val="auto"/>
          <w:szCs w:val="21"/>
          <w:highlight w:val="none"/>
        </w:rPr>
        <w:t>中标人应</w:t>
      </w:r>
      <w:r>
        <w:rPr>
          <w:rFonts w:hint="eastAsia" w:ascii="宋体" w:hAnsi="宋体" w:eastAsia="宋体" w:cs="Times New Roman"/>
          <w:bCs/>
          <w:color w:val="auto"/>
          <w:szCs w:val="21"/>
          <w:highlight w:val="none"/>
        </w:rPr>
        <w:t>当在《</w:t>
      </w:r>
      <w:r>
        <w:rPr>
          <w:rFonts w:ascii="宋体" w:hAnsi="宋体" w:eastAsia="宋体" w:cs="Times New Roman"/>
          <w:bCs/>
          <w:color w:val="auto"/>
          <w:szCs w:val="21"/>
          <w:highlight w:val="none"/>
        </w:rPr>
        <w:t>中标通知书</w:t>
      </w:r>
      <w:r>
        <w:rPr>
          <w:rFonts w:hint="eastAsia" w:ascii="宋体" w:hAnsi="宋体" w:eastAsia="宋体" w:cs="Times New Roman"/>
          <w:bCs/>
          <w:color w:val="auto"/>
          <w:szCs w:val="21"/>
          <w:highlight w:val="none"/>
        </w:rPr>
        <w:t>》发出之日起</w:t>
      </w:r>
      <w:r>
        <w:rPr>
          <w:rFonts w:hint="eastAsia" w:ascii="宋体" w:hAnsi="宋体" w:eastAsia="宋体" w:cs="Times New Roman"/>
          <w:bCs/>
          <w:color w:val="auto"/>
          <w:szCs w:val="21"/>
          <w:highlight w:val="none"/>
          <w:u w:val="single"/>
        </w:rPr>
        <w:t>30</w:t>
      </w:r>
      <w:r>
        <w:rPr>
          <w:rFonts w:hint="eastAsia" w:ascii="宋体" w:hAnsi="宋体" w:eastAsia="宋体" w:cs="Times New Roman"/>
          <w:bCs/>
          <w:color w:val="auto"/>
          <w:szCs w:val="21"/>
          <w:highlight w:val="none"/>
        </w:rPr>
        <w:t>日内签订合同。同时，采购代理机构对合同内容进行审查，如发现与采购结果和投标承诺内容不一致的，应予以纠正。</w:t>
      </w:r>
    </w:p>
    <w:p>
      <w:pPr>
        <w:keepNext w:val="0"/>
        <w:keepLines w:val="0"/>
        <w:pageBreakBefore w:val="0"/>
        <w:widowControl w:val="0"/>
        <w:kinsoku/>
        <w:overflowPunct/>
        <w:topLinePunct w:val="0"/>
        <w:autoSpaceDE/>
        <w:autoSpaceDN/>
        <w:bidi w:val="0"/>
        <w:spacing w:line="360"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2</w:t>
      </w:r>
      <w:r>
        <w:rPr>
          <w:rFonts w:hint="eastAsia" w:ascii="宋体" w:hAnsi="宋体" w:eastAsia="宋体" w:cs="Times New Roman"/>
          <w:bCs/>
          <w:color w:val="auto"/>
          <w:szCs w:val="21"/>
          <w:highlight w:val="none"/>
        </w:rPr>
        <w:t>.</w:t>
      </w:r>
      <w:r>
        <w:rPr>
          <w:rFonts w:ascii="宋体" w:hAnsi="宋体" w:eastAsia="宋体" w:cs="Times New Roman"/>
          <w:bCs/>
          <w:color w:val="auto"/>
          <w:szCs w:val="21"/>
          <w:highlight w:val="none"/>
        </w:rPr>
        <w:t>中标人拖延、拒签合同的,将被扣罚投标保证金并取消中标资格。</w:t>
      </w:r>
    </w:p>
    <w:p>
      <w:pPr>
        <w:keepNext w:val="0"/>
        <w:keepLines w:val="0"/>
        <w:pageBreakBefore w:val="0"/>
        <w:widowControl w:val="0"/>
        <w:kinsoku/>
        <w:overflowPunct/>
        <w:topLinePunct w:val="0"/>
        <w:autoSpaceDE/>
        <w:autoSpaceDN/>
        <w:bidi w:val="0"/>
        <w:spacing w:line="360" w:lineRule="auto"/>
        <w:ind w:firstLine="422" w:firstLineChars="200"/>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（二）履约保证金及质保金</w:t>
      </w:r>
    </w:p>
    <w:p>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cs="Times New Roman"/>
          <w:bCs/>
          <w:color w:val="auto"/>
          <w:szCs w:val="21"/>
          <w:highlight w:val="none"/>
          <w:lang w:val="en-US" w:eastAsia="zh-CN"/>
        </w:rPr>
        <w:t>1.本项目无</w:t>
      </w:r>
      <w:r>
        <w:rPr>
          <w:rFonts w:hint="eastAsia" w:ascii="宋体" w:hAnsi="宋体" w:eastAsia="宋体" w:cs="Times New Roman"/>
          <w:bCs/>
          <w:color w:val="auto"/>
          <w:szCs w:val="21"/>
          <w:highlight w:val="none"/>
        </w:rPr>
        <w:t>履约保证金。</w:t>
      </w:r>
    </w:p>
    <w:p>
      <w:pPr>
        <w:keepNext w:val="0"/>
        <w:keepLines w:val="0"/>
        <w:pageBreakBefore w:val="0"/>
        <w:widowControl w:val="0"/>
        <w:kinsoku/>
        <w:overflowPunct/>
        <w:topLinePunct w:val="0"/>
        <w:autoSpaceDE/>
        <w:autoSpaceDN/>
        <w:bidi w:val="0"/>
        <w:spacing w:line="360" w:lineRule="auto"/>
        <w:ind w:firstLine="420" w:firstLineChars="200"/>
        <w:rPr>
          <w:rFonts w:hint="eastAsia" w:ascii="宋体" w:hAnsi="宋体" w:eastAsia="宋体" w:cs="Times New Roman"/>
          <w:bCs/>
          <w:color w:val="auto"/>
          <w:szCs w:val="21"/>
          <w:highlight w:val="none"/>
          <w:lang w:eastAsia="zh-CN"/>
        </w:rPr>
      </w:pPr>
      <w:r>
        <w:rPr>
          <w:rFonts w:hint="eastAsia" w:ascii="宋体" w:hAnsi="宋体" w:cs="Times New Roman"/>
          <w:bCs/>
          <w:color w:val="auto"/>
          <w:szCs w:val="21"/>
          <w:highlight w:val="none"/>
          <w:lang w:val="en-US" w:eastAsia="zh-CN"/>
        </w:rPr>
        <w:t>2.</w:t>
      </w:r>
      <w:r>
        <w:rPr>
          <w:rFonts w:hint="eastAsia" w:ascii="宋体" w:hAnsi="宋体" w:eastAsia="宋体" w:cs="Times New Roman"/>
          <w:bCs/>
          <w:color w:val="auto"/>
          <w:szCs w:val="21"/>
          <w:highlight w:val="none"/>
          <w:lang w:eastAsia="zh-CN"/>
        </w:rPr>
        <w:t>本项目无质保金。</w:t>
      </w:r>
    </w:p>
    <w:p>
      <w:pPr>
        <w:keepNext w:val="0"/>
        <w:keepLines w:val="0"/>
        <w:pageBreakBefore w:val="0"/>
        <w:widowControl w:val="0"/>
        <w:kinsoku/>
        <w:overflowPunct/>
        <w:topLinePunct w:val="0"/>
        <w:autoSpaceDE/>
        <w:autoSpaceDN/>
        <w:bidi w:val="0"/>
        <w:snapToGrid w:val="0"/>
        <w:spacing w:line="360" w:lineRule="auto"/>
        <w:ind w:firstLine="420" w:firstLineChars="200"/>
        <w:rPr>
          <w:rFonts w:hint="eastAsia" w:ascii="宋体" w:hAnsi="宋体" w:eastAsia="宋体" w:cs="Times New Roman"/>
          <w:color w:val="auto"/>
          <w:szCs w:val="21"/>
          <w:highlight w:val="none"/>
        </w:rPr>
      </w:pPr>
    </w:p>
    <w:p>
      <w:pPr>
        <w:keepNext w:val="0"/>
        <w:keepLines w:val="0"/>
        <w:pageBreakBefore w:val="0"/>
        <w:widowControl w:val="0"/>
        <w:kinsoku/>
        <w:overflowPunct/>
        <w:topLinePunct w:val="0"/>
        <w:autoSpaceDE/>
        <w:autoSpaceDN/>
        <w:bidi w:val="0"/>
        <w:snapToGrid w:val="0"/>
        <w:spacing w:before="0" w:beforeLines="0" w:after="0" w:afterLines="0" w:line="360" w:lineRule="auto"/>
        <w:ind w:firstLine="422" w:firstLineChars="200"/>
        <w:jc w:val="both"/>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十、履约验收</w:t>
      </w:r>
    </w:p>
    <w:p>
      <w:pPr>
        <w:keepNext w:val="0"/>
        <w:keepLines w:val="0"/>
        <w:pageBreakBefore w:val="0"/>
        <w:widowControl w:val="0"/>
        <w:kinsoku/>
        <w:overflowPunct/>
        <w:topLinePunct w:val="0"/>
        <w:autoSpaceDE/>
        <w:autoSpaceDN/>
        <w:bidi w:val="0"/>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采购人负责对中标人的履约行为进行验收，验收标准为本项目的招标文件以及中标人的投标文件，要求验收必须符合相关政策法规和地方标准。</w:t>
      </w:r>
    </w:p>
    <w:p>
      <w:pPr>
        <w:pageBreakBefore w:val="0"/>
        <w:widowControl w:val="0"/>
        <w:kinsoku/>
        <w:wordWrap/>
        <w:overflowPunct/>
        <w:topLinePunct w:val="0"/>
        <w:autoSpaceDE/>
        <w:autoSpaceDN/>
        <w:bidi w:val="0"/>
        <w:snapToGrid w:val="0"/>
        <w:ind w:left="0" w:leftChars="0" w:right="0" w:rightChars="0" w:firstLine="420" w:firstLineChars="200"/>
        <w:rPr>
          <w:rFonts w:hint="eastAsia" w:ascii="宋体" w:hAnsi="宋体" w:eastAsia="宋体" w:cs="宋体"/>
          <w:color w:val="auto"/>
          <w:szCs w:val="21"/>
          <w:highlight w:val="none"/>
        </w:rPr>
      </w:pPr>
    </w:p>
    <w:p>
      <w:pPr>
        <w:keepNext w:val="0"/>
        <w:keepLines w:val="0"/>
        <w:pageBreakBefore w:val="0"/>
        <w:widowControl w:val="0"/>
        <w:kinsoku/>
        <w:overflowPunct/>
        <w:topLinePunct w:val="0"/>
        <w:autoSpaceDE/>
        <w:autoSpaceDN/>
        <w:bidi w:val="0"/>
        <w:snapToGrid w:val="0"/>
        <w:spacing w:before="0" w:beforeLines="0" w:after="0" w:afterLines="0" w:line="360" w:lineRule="auto"/>
        <w:ind w:firstLine="422" w:firstLineChars="200"/>
        <w:jc w:val="both"/>
        <w:rPr>
          <w:rFonts w:hint="eastAsia" w:ascii="宋体" w:hAnsi="宋体" w:eastAsia="宋体" w:cs="Times New Roman"/>
          <w:b/>
          <w:color w:val="auto"/>
          <w:kern w:val="2"/>
          <w:sz w:val="21"/>
          <w:szCs w:val="21"/>
          <w:highlight w:val="none"/>
          <w:lang w:val="en-US" w:eastAsia="zh-CN" w:bidi="ar-SA"/>
        </w:rPr>
      </w:pPr>
      <w:r>
        <w:rPr>
          <w:rFonts w:hint="eastAsia" w:ascii="宋体" w:hAnsi="宋体" w:cs="Times New Roman"/>
          <w:b/>
          <w:color w:val="auto"/>
          <w:kern w:val="2"/>
          <w:sz w:val="21"/>
          <w:szCs w:val="21"/>
          <w:highlight w:val="none"/>
          <w:lang w:val="en-US" w:eastAsia="zh-CN" w:bidi="ar-SA"/>
        </w:rPr>
        <w:t>十一、</w:t>
      </w:r>
      <w:r>
        <w:rPr>
          <w:rFonts w:hint="eastAsia" w:ascii="宋体" w:hAnsi="宋体" w:eastAsia="宋体" w:cs="Times New Roman"/>
          <w:b/>
          <w:color w:val="auto"/>
          <w:kern w:val="2"/>
          <w:sz w:val="21"/>
          <w:szCs w:val="21"/>
          <w:highlight w:val="none"/>
          <w:lang w:val="en-US" w:eastAsia="zh-CN" w:bidi="ar-SA"/>
        </w:rPr>
        <w:t>中小企业特别说明</w:t>
      </w:r>
    </w:p>
    <w:p>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2" w:firstLineChars="200"/>
        <w:jc w:val="both"/>
        <w:rPr>
          <w:rFonts w:ascii="宋体" w:hAnsi="宋体" w:eastAsia="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1、政府采购活动中有关中小企业的相关规定</w:t>
      </w:r>
    </w:p>
    <w:p>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2" w:firstLineChars="200"/>
        <w:jc w:val="both"/>
        <w:rPr>
          <w:rFonts w:ascii="宋体" w:hAnsi="宋体" w:eastAsia="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1.1本项目</w:t>
      </w:r>
      <w:r>
        <w:rPr>
          <w:rFonts w:hint="eastAsia" w:ascii="宋体" w:hAnsi="宋体" w:eastAsia="宋体" w:cs="宋体"/>
          <w:b/>
          <w:bCs/>
          <w:color w:val="auto"/>
          <w:kern w:val="0"/>
          <w:sz w:val="21"/>
          <w:szCs w:val="21"/>
          <w:highlight w:val="none"/>
          <w:u w:val="single"/>
          <w:shd w:val="clear" w:color="auto" w:fill="FFFFFF"/>
          <w:lang w:val="en-US" w:eastAsia="zh-CN" w:bidi="ar-SA"/>
        </w:rPr>
        <w:t xml:space="preserve"> </w:t>
      </w:r>
      <w:r>
        <w:rPr>
          <w:rFonts w:hint="eastAsia" w:ascii="宋体" w:hAnsi="宋体" w:cs="宋体"/>
          <w:b/>
          <w:bCs/>
          <w:color w:val="auto"/>
          <w:kern w:val="0"/>
          <w:sz w:val="21"/>
          <w:szCs w:val="21"/>
          <w:highlight w:val="none"/>
          <w:u w:val="single"/>
          <w:shd w:val="clear" w:color="auto" w:fill="FFFFFF"/>
          <w:lang w:val="en-US" w:eastAsia="zh-CN" w:bidi="ar-SA"/>
        </w:rPr>
        <w:t>是</w:t>
      </w:r>
      <w:r>
        <w:rPr>
          <w:rFonts w:hint="eastAsia" w:ascii="宋体" w:hAnsi="宋体" w:eastAsia="宋体" w:cs="宋体"/>
          <w:b/>
          <w:bCs/>
          <w:color w:val="auto"/>
          <w:kern w:val="0"/>
          <w:sz w:val="21"/>
          <w:szCs w:val="21"/>
          <w:highlight w:val="none"/>
          <w:u w:val="single"/>
          <w:shd w:val="clear" w:color="auto" w:fill="FFFFFF"/>
          <w:lang w:val="en-US" w:eastAsia="zh-CN" w:bidi="ar-SA"/>
        </w:rPr>
        <w:t xml:space="preserve"> </w:t>
      </w:r>
      <w:r>
        <w:rPr>
          <w:rFonts w:hint="eastAsia" w:ascii="宋体" w:hAnsi="宋体" w:eastAsia="宋体" w:cs="宋体"/>
          <w:b/>
          <w:bCs/>
          <w:color w:val="auto"/>
          <w:kern w:val="0"/>
          <w:sz w:val="21"/>
          <w:szCs w:val="21"/>
          <w:highlight w:val="none"/>
          <w:shd w:val="clear" w:color="auto" w:fill="FFFFFF"/>
          <w:lang w:val="en-US" w:eastAsia="zh-CN" w:bidi="ar-SA"/>
        </w:rPr>
        <w:t>专门面向中小企业采购。</w:t>
      </w:r>
    </w:p>
    <w:p>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1.2本项目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符合中小企业划分标准的个体工商户，在政府采购活动中视同中小企业。</w:t>
      </w:r>
    </w:p>
    <w:p>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2" w:firstLineChars="200"/>
        <w:jc w:val="both"/>
        <w:rPr>
          <w:rFonts w:ascii="宋体" w:hAnsi="宋体" w:eastAsia="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中小企业划分标准详见工信部联企业[2011]300号。</w:t>
      </w:r>
    </w:p>
    <w:p>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1.3在政府采购活动中，供应商提供的货物、工程或者服务符合下列情形的，享受《政府采购促进中小企业发展管理办法》（财库[2020]46号）、《财政部关于进一步加大政府采购支持中小企业力度的通知》（财库[2022]19号）等规定的中小企业扶持政策：</w:t>
      </w:r>
    </w:p>
    <w:p>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（一）在货物采购项目中，货物由中小企业制造，即货物由中小企业生产且使用该中小企业商号或者注册商标；</w:t>
      </w:r>
    </w:p>
    <w:p>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（二）在工程采购项目中，工程由中小企业承建，即工程施工单位为中小企业；</w:t>
      </w:r>
    </w:p>
    <w:p>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（三）在服务采购项目中，服务由中小企业承接，即提供服务的人员为中小企业依照《中华人民共和国劳动合同法》订立劳动合同的从业人员。</w:t>
      </w:r>
    </w:p>
    <w:p>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在货物采购项目中，供应商提供的货物既有中小企业制造货物，也有大型企业制造货物的，不享受本办法规定的中小企业扶持政策。</w:t>
      </w:r>
    </w:p>
    <w:p>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以联合体形式参加政府采购活动，联合体各方均为中小企业的，联合体视同中小企业。其中，联合体各方均为小微企业的，联合体视同小微企业。</w:t>
      </w:r>
    </w:p>
    <w:p>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1.4对于经主管预算单位统筹后未预留份额专门面向中小企业采购的采购项目，以及预留份额项目中的非预留部分采购包，采购人、采购代理机构应当对符合《政府采购促进中小企业发展管理办法》规定的小微企业报价给予</w:t>
      </w:r>
      <w:r>
        <w:rPr>
          <w:rFonts w:hint="eastAsia" w:ascii="宋体" w:hAnsi="宋体" w:cs="宋体"/>
          <w:color w:val="auto"/>
          <w:kern w:val="0"/>
          <w:sz w:val="21"/>
          <w:szCs w:val="21"/>
          <w:highlight w:val="none"/>
          <w:shd w:val="clear" w:color="auto" w:fill="FFFFFF"/>
          <w:lang w:val="en-US" w:eastAsia="zh-CN" w:bidi="ar-SA"/>
        </w:rPr>
        <w:t>10%</w:t>
      </w:r>
      <w:r>
        <w:rPr>
          <w:rFonts w:hint="eastAsia" w:ascii="宋体" w:hAnsi="宋体" w:eastAsia="宋体" w:cs="宋体"/>
          <w:color w:val="auto"/>
          <w:kern w:val="0"/>
          <w:sz w:val="21"/>
          <w:szCs w:val="21"/>
          <w:highlight w:val="none"/>
          <w:shd w:val="clear" w:color="auto" w:fill="FFFFFF"/>
          <w:lang w:val="en-US" w:eastAsia="zh-CN" w:bidi="ar-SA"/>
        </w:rPr>
        <w:t>（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cs="宋体"/>
          <w:color w:val="auto"/>
          <w:kern w:val="0"/>
          <w:sz w:val="21"/>
          <w:szCs w:val="21"/>
          <w:highlight w:val="none"/>
          <w:shd w:val="clear" w:color="auto" w:fill="FFFFFF"/>
          <w:lang w:val="en-US" w:eastAsia="zh-CN" w:bidi="ar-SA"/>
        </w:rPr>
        <w:t>4</w:t>
      </w:r>
      <w:r>
        <w:rPr>
          <w:rFonts w:hint="eastAsia" w:ascii="宋体" w:hAnsi="宋体" w:eastAsia="宋体" w:cs="宋体"/>
          <w:color w:val="auto"/>
          <w:kern w:val="0"/>
          <w:sz w:val="21"/>
          <w:szCs w:val="21"/>
          <w:highlight w:val="none"/>
          <w:shd w:val="clear" w:color="auto" w:fill="FFFFFF"/>
          <w:lang w:val="en-US" w:eastAsia="zh-CN" w:bidi="ar-SA"/>
        </w:rPr>
        <w:t>%（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价格扣除比例或者价格分加分比例对小型企业和微型企业同等对待，不作区分。</w:t>
      </w:r>
    </w:p>
    <w:p>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b w:val="0"/>
          <w:bCs w:val="0"/>
          <w:color w:val="auto"/>
          <w:kern w:val="0"/>
          <w:sz w:val="21"/>
          <w:szCs w:val="21"/>
          <w:highlight w:val="none"/>
          <w:shd w:val="clear" w:color="auto" w:fill="FFFFFF"/>
          <w:lang w:val="en-US" w:eastAsia="zh-CN" w:bidi="ar-SA"/>
        </w:rPr>
      </w:pPr>
      <w:r>
        <w:rPr>
          <w:rFonts w:hint="eastAsia" w:ascii="宋体" w:hAnsi="宋体" w:eastAsia="宋体" w:cs="宋体"/>
          <w:b w:val="0"/>
          <w:bCs w:val="0"/>
          <w:color w:val="auto"/>
          <w:kern w:val="0"/>
          <w:sz w:val="21"/>
          <w:szCs w:val="21"/>
          <w:highlight w:val="none"/>
          <w:shd w:val="clear" w:color="auto" w:fill="FFFFFF"/>
          <w:lang w:val="en-US" w:eastAsia="zh-CN" w:bidi="ar-SA"/>
        </w:rPr>
        <w:t>本项目具体扣除比例见本采购文件 第四章 评标办法及评分标准。</w:t>
      </w:r>
    </w:p>
    <w:p>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1.5中小企业参加政府采购活动，应当出具《政府采购促进中小企业发展管理办法》（财库[2020]46号）规定的《中小企业声明函》（详见响应文件格式部分），否则不得享受相关中小企业扶持政策。任何单位和个人不得要求供应商提供《中小企业声明函》之外的中小企业身份证明文件。</w:t>
      </w:r>
    </w:p>
    <w:p>
      <w:pPr>
        <w:keepNext w:val="0"/>
        <w:keepLines w:val="0"/>
        <w:pageBreakBefore w:val="0"/>
        <w:widowControl w:val="0"/>
        <w:shd w:val="clear"/>
        <w:kinsoku/>
        <w:wordWrap/>
        <w:overflowPunct/>
        <w:topLinePunct w:val="0"/>
        <w:bidi w:val="0"/>
        <w:snapToGrid w:val="0"/>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1.6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pPr>
        <w:keepNext w:val="0"/>
        <w:keepLines w:val="0"/>
        <w:pageBreakBefore w:val="0"/>
        <w:widowControl w:val="0"/>
        <w:shd w:val="clear"/>
        <w:kinsoku/>
        <w:wordWrap/>
        <w:overflowPunct/>
        <w:topLinePunct w:val="0"/>
        <w:bidi w:val="0"/>
        <w:snapToGrid w:val="0"/>
        <w:spacing w:line="360" w:lineRule="auto"/>
        <w:ind w:firstLine="420" w:firstLineChars="200"/>
        <w:jc w:val="left"/>
        <w:rPr>
          <w:rFonts w:ascii="宋体" w:hAnsi="宋体" w:cs="Times New Roman"/>
          <w:color w:val="auto"/>
          <w:szCs w:val="21"/>
          <w:highlight w:val="none"/>
          <w:lang w:bidi="ar"/>
        </w:rPr>
      </w:pPr>
      <w:r>
        <w:rPr>
          <w:rFonts w:hint="eastAsia" w:ascii="宋体" w:hAnsi="宋体" w:cs="Times New Roman"/>
          <w:color w:val="auto"/>
          <w:szCs w:val="21"/>
          <w:highlight w:val="none"/>
          <w:lang w:bidi="ar"/>
        </w:rPr>
        <w:t>1.7</w:t>
      </w:r>
      <w:r>
        <w:rPr>
          <w:rFonts w:ascii="宋体" w:hAnsi="宋体" w:cs="Times New Roman"/>
          <w:color w:val="auto"/>
          <w:szCs w:val="21"/>
          <w:highlight w:val="none"/>
          <w:lang w:bidi="ar"/>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r>
        <w:rPr>
          <w:rFonts w:hint="eastAsia" w:ascii="宋体" w:hAnsi="宋体" w:cs="Times New Roman"/>
          <w:color w:val="auto"/>
          <w:szCs w:val="21"/>
          <w:highlight w:val="none"/>
          <w:lang w:bidi="ar"/>
        </w:rPr>
        <w:t>。</w:t>
      </w:r>
    </w:p>
    <w:p>
      <w:pPr>
        <w:keepNext w:val="0"/>
        <w:keepLines w:val="0"/>
        <w:pageBreakBefore w:val="0"/>
        <w:widowControl w:val="0"/>
        <w:shd w:val="clear"/>
        <w:kinsoku/>
        <w:wordWrap/>
        <w:overflowPunct/>
        <w:topLinePunct w:val="0"/>
        <w:bidi w:val="0"/>
        <w:snapToGrid w:val="0"/>
        <w:spacing w:line="360" w:lineRule="auto"/>
        <w:ind w:firstLine="420" w:firstLineChars="200"/>
        <w:jc w:val="left"/>
        <w:rPr>
          <w:rFonts w:ascii="宋体" w:hAnsi="宋体" w:cs="Times New Roman"/>
          <w:color w:val="auto"/>
          <w:szCs w:val="21"/>
          <w:highlight w:val="none"/>
          <w:lang w:bidi="ar"/>
        </w:rPr>
      </w:pPr>
      <w:r>
        <w:rPr>
          <w:rFonts w:hint="eastAsia" w:ascii="宋体" w:hAnsi="宋体" w:cs="Times New Roman"/>
          <w:color w:val="auto"/>
          <w:szCs w:val="21"/>
          <w:highlight w:val="none"/>
          <w:lang w:bidi="ar"/>
        </w:rPr>
        <w:t>1.8</w:t>
      </w:r>
      <w:r>
        <w:rPr>
          <w:rFonts w:ascii="宋体" w:hAnsi="宋体" w:cs="Times New Roman"/>
          <w:color w:val="auto"/>
          <w:szCs w:val="21"/>
          <w:highlight w:val="none"/>
          <w:lang w:bidi="ar"/>
        </w:rPr>
        <w:t>根据《关于促进残疾人就业政府采购政策的通知》（财库[2017]141号）规定，在政府采购活动中，残疾人福利性单位视同小型、微型企业。残疾人福利性单位参加政府采购活动时，提供《残疾人福利性单位声明函》。</w:t>
      </w:r>
    </w:p>
    <w:p>
      <w:pPr>
        <w:keepNext w:val="0"/>
        <w:keepLines w:val="0"/>
        <w:pageBreakBefore w:val="0"/>
        <w:widowControl w:val="0"/>
        <w:numPr>
          <w:ilvl w:val="0"/>
          <w:numId w:val="0"/>
        </w:numPr>
        <w:shd w:val="clear"/>
        <w:kinsoku/>
        <w:wordWrap/>
        <w:overflowPunct/>
        <w:topLinePunct w:val="0"/>
        <w:bidi w:val="0"/>
        <w:spacing w:line="360" w:lineRule="auto"/>
        <w:ind w:firstLine="420" w:firstLineChars="200"/>
        <w:contextualSpacing/>
        <w:jc w:val="left"/>
        <w:rPr>
          <w:rFonts w:hint="eastAsia" w:ascii="宋体" w:hAnsi="宋体" w:cs="Times New Roman"/>
          <w:b w:val="0"/>
          <w:bCs w:val="0"/>
          <w:color w:val="auto"/>
          <w:szCs w:val="21"/>
          <w:highlight w:val="none"/>
          <w:lang w:bidi="ar"/>
        </w:rPr>
      </w:pPr>
      <w:r>
        <w:rPr>
          <w:rFonts w:hint="eastAsia" w:ascii="宋体" w:hAnsi="宋体" w:cs="Times New Roman"/>
          <w:b w:val="0"/>
          <w:bCs w:val="0"/>
          <w:color w:val="auto"/>
          <w:szCs w:val="21"/>
          <w:highlight w:val="none"/>
          <w:lang w:val="en-US" w:eastAsia="zh-CN" w:bidi="ar"/>
        </w:rPr>
        <w:t>2、</w:t>
      </w:r>
      <w:r>
        <w:rPr>
          <w:rFonts w:hint="eastAsia" w:ascii="宋体" w:hAnsi="宋体" w:cs="Times New Roman"/>
          <w:b w:val="0"/>
          <w:bCs w:val="0"/>
          <w:color w:val="auto"/>
          <w:szCs w:val="21"/>
          <w:highlight w:val="none"/>
          <w:lang w:bidi="ar"/>
        </w:rPr>
        <w:t>本项目为政府采购</w:t>
      </w:r>
      <w:r>
        <w:rPr>
          <w:rFonts w:hint="eastAsia" w:ascii="宋体" w:hAnsi="宋体" w:cs="Times New Roman"/>
          <w:b/>
          <w:bCs/>
          <w:color w:val="auto"/>
          <w:szCs w:val="21"/>
          <w:highlight w:val="none"/>
          <w:u w:val="single"/>
          <w:lang w:val="en-US" w:eastAsia="zh-CN" w:bidi="ar"/>
        </w:rPr>
        <w:t xml:space="preserve"> </w:t>
      </w:r>
      <w:r>
        <w:rPr>
          <w:rFonts w:hint="eastAsia" w:ascii="宋体" w:hAnsi="宋体" w:cs="Times New Roman"/>
          <w:b/>
          <w:bCs/>
          <w:color w:val="auto"/>
          <w:szCs w:val="21"/>
          <w:highlight w:val="none"/>
          <w:u w:val="single"/>
          <w:lang w:eastAsia="zh-CN" w:bidi="ar"/>
        </w:rPr>
        <w:t>服务</w:t>
      </w:r>
      <w:r>
        <w:rPr>
          <w:rFonts w:hint="eastAsia" w:ascii="宋体" w:hAnsi="宋体" w:cs="Times New Roman"/>
          <w:b/>
          <w:bCs/>
          <w:color w:val="auto"/>
          <w:szCs w:val="21"/>
          <w:highlight w:val="none"/>
          <w:u w:val="single"/>
          <w:lang w:val="en-US" w:eastAsia="zh-CN" w:bidi="ar"/>
        </w:rPr>
        <w:t xml:space="preserve"> </w:t>
      </w:r>
      <w:r>
        <w:rPr>
          <w:rFonts w:hint="eastAsia" w:ascii="宋体" w:hAnsi="宋体" w:cs="Times New Roman"/>
          <w:b w:val="0"/>
          <w:bCs w:val="0"/>
          <w:color w:val="auto"/>
          <w:szCs w:val="21"/>
          <w:highlight w:val="none"/>
          <w:lang w:bidi="ar"/>
        </w:rPr>
        <w:t>项目，属于</w:t>
      </w:r>
      <w:r>
        <w:rPr>
          <w:rFonts w:hint="eastAsia" w:ascii="宋体" w:hAnsi="宋体" w:cs="宋体"/>
          <w:b w:val="0"/>
          <w:bCs w:val="0"/>
          <w:color w:val="auto"/>
          <w:szCs w:val="21"/>
          <w:highlight w:val="none"/>
          <w:shd w:val="clear" w:color="auto" w:fill="FFFFFF"/>
        </w:rPr>
        <w:t>工信部联企业[2011]300号规定</w:t>
      </w:r>
      <w:r>
        <w:rPr>
          <w:rFonts w:hint="eastAsia" w:ascii="宋体" w:hAnsi="宋体" w:cs="Times New Roman"/>
          <w:b w:val="0"/>
          <w:bCs w:val="0"/>
          <w:color w:val="auto"/>
          <w:szCs w:val="21"/>
          <w:highlight w:val="none"/>
          <w:u w:val="single"/>
          <w:lang w:val="en-US" w:eastAsia="zh-CN" w:bidi="ar"/>
        </w:rPr>
        <w:t xml:space="preserve"> </w:t>
      </w:r>
      <w:r>
        <w:rPr>
          <w:rFonts w:hint="eastAsia" w:ascii="宋体" w:hAnsi="宋体" w:cs="Times New Roman"/>
          <w:b/>
          <w:bCs/>
          <w:color w:val="auto"/>
          <w:szCs w:val="21"/>
          <w:highlight w:val="none"/>
          <w:u w:val="single"/>
          <w:lang w:val="en-US" w:eastAsia="zh-CN" w:bidi="ar"/>
        </w:rPr>
        <w:t>其他未列明行业</w:t>
      </w:r>
      <w:r>
        <w:rPr>
          <w:rFonts w:hint="eastAsia" w:ascii="宋体" w:hAnsi="宋体" w:cs="Times New Roman"/>
          <w:b w:val="0"/>
          <w:bCs w:val="0"/>
          <w:color w:val="auto"/>
          <w:szCs w:val="21"/>
          <w:highlight w:val="none"/>
          <w:u w:val="single"/>
          <w:lang w:val="en-US" w:eastAsia="zh-CN" w:bidi="ar"/>
        </w:rPr>
        <w:t xml:space="preserve"> </w:t>
      </w:r>
      <w:r>
        <w:rPr>
          <w:rFonts w:hint="eastAsia" w:ascii="宋体" w:hAnsi="宋体" w:cs="Times New Roman"/>
          <w:b w:val="0"/>
          <w:bCs w:val="0"/>
          <w:color w:val="auto"/>
          <w:szCs w:val="21"/>
          <w:highlight w:val="none"/>
          <w:lang w:bidi="ar"/>
        </w:rPr>
        <w:t>。</w:t>
      </w:r>
    </w:p>
    <w:p>
      <w:pPr>
        <w:keepNext w:val="0"/>
        <w:keepLines w:val="0"/>
        <w:pageBreakBefore w:val="0"/>
        <w:widowControl w:val="0"/>
        <w:numPr>
          <w:ilvl w:val="0"/>
          <w:numId w:val="0"/>
        </w:numPr>
        <w:shd w:val="clear"/>
        <w:kinsoku/>
        <w:wordWrap/>
        <w:overflowPunct/>
        <w:topLinePunct w:val="0"/>
        <w:bidi w:val="0"/>
        <w:spacing w:line="360" w:lineRule="auto"/>
        <w:ind w:firstLine="422" w:firstLineChars="200"/>
        <w:contextualSpacing/>
        <w:jc w:val="left"/>
        <w:rPr>
          <w:rFonts w:ascii="Times New Roman" w:hAnsi="Times New Roman" w:cs="Times New Roman"/>
          <w:color w:val="auto"/>
          <w:highlight w:val="none"/>
        </w:rPr>
      </w:pPr>
      <w:r>
        <w:rPr>
          <w:rFonts w:hint="eastAsia" w:ascii="宋体" w:hAnsi="宋体" w:cs="Times New Roman"/>
          <w:b/>
          <w:bCs/>
          <w:color w:val="auto"/>
          <w:szCs w:val="21"/>
          <w:highlight w:val="none"/>
          <w:lang w:val="en-US" w:eastAsia="zh-CN" w:bidi="ar"/>
        </w:rPr>
        <w:t>3、</w:t>
      </w:r>
      <w:r>
        <w:rPr>
          <w:rFonts w:hint="eastAsia" w:ascii="宋体" w:hAnsi="宋体" w:cs="Times New Roman"/>
          <w:b/>
          <w:bCs/>
          <w:color w:val="auto"/>
          <w:szCs w:val="21"/>
          <w:highlight w:val="none"/>
          <w:lang w:bidi="ar"/>
        </w:rPr>
        <w:t>供应商按照《政府采购促进中小企业发展管理办法》（财库[2020]46号）规定提供声明函内容不实的，属于提供虚假材料谋取中标、成交，依照《中华人民共和国政府采购法》等国家有关规定追究相应责任</w:t>
      </w:r>
      <w:r>
        <w:rPr>
          <w:rFonts w:hint="eastAsia" w:ascii="宋体" w:hAnsi="宋体" w:cs="Times New Roman"/>
          <w:b/>
          <w:bCs/>
          <w:color w:val="auto"/>
          <w:szCs w:val="21"/>
          <w:highlight w:val="none"/>
          <w:lang w:eastAsia="zh-CN" w:bidi="ar"/>
        </w:rPr>
        <w:t>。</w:t>
      </w:r>
    </w:p>
    <w:p>
      <w:pPr>
        <w:pStyle w:val="11"/>
        <w:pageBreakBefore w:val="0"/>
        <w:widowControl w:val="0"/>
        <w:kinsoku/>
        <w:wordWrap/>
        <w:overflowPunct/>
        <w:topLinePunct w:val="0"/>
        <w:autoSpaceDE/>
        <w:autoSpaceDN/>
        <w:bidi w:val="0"/>
        <w:snapToGrid w:val="0"/>
        <w:spacing w:line="360" w:lineRule="auto"/>
        <w:ind w:left="0" w:leftChars="0" w:right="0" w:rightChars="0" w:firstLine="395" w:firstLineChars="196"/>
        <w:rPr>
          <w:rFonts w:hint="eastAsia" w:hAnsi="宋体" w:cs="宋体"/>
          <w:bCs/>
          <w:color w:val="auto"/>
          <w:sz w:val="21"/>
          <w:szCs w:val="21"/>
          <w:highlight w:val="none"/>
        </w:rPr>
      </w:pPr>
    </w:p>
    <w:p>
      <w:pPr>
        <w:pStyle w:val="3"/>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color w:val="auto"/>
          <w:sz w:val="28"/>
          <w:szCs w:val="28"/>
          <w:highlight w:val="none"/>
        </w:rPr>
      </w:pPr>
      <w:r>
        <w:rPr>
          <w:rFonts w:hint="eastAsia" w:ascii="宋体" w:hAnsi="宋体" w:eastAsia="宋体" w:cs="宋体"/>
          <w:color w:val="auto"/>
          <w:sz w:val="30"/>
          <w:highlight w:val="none"/>
        </w:rPr>
        <w:br w:type="page"/>
      </w:r>
      <w:bookmarkStart w:id="29" w:name="_Toc438734534"/>
      <w:bookmarkStart w:id="30" w:name="_Toc18794"/>
      <w:r>
        <w:rPr>
          <w:rFonts w:hint="eastAsia" w:ascii="宋体" w:hAnsi="宋体" w:eastAsia="宋体" w:cs="宋体"/>
          <w:color w:val="auto"/>
          <w:sz w:val="28"/>
          <w:szCs w:val="28"/>
          <w:highlight w:val="none"/>
        </w:rPr>
        <w:t>第四章  评标办法及评分标准</w:t>
      </w:r>
      <w:bookmarkEnd w:id="29"/>
      <w:bookmarkEnd w:id="30"/>
    </w:p>
    <w:p>
      <w:pPr>
        <w:pStyle w:val="14"/>
        <w:pageBreakBefore w:val="0"/>
        <w:widowControl w:val="0"/>
        <w:kinsoku/>
        <w:wordWrap/>
        <w:overflowPunct/>
        <w:topLinePunct w:val="0"/>
        <w:autoSpaceDE/>
        <w:autoSpaceDN/>
        <w:bidi w:val="0"/>
        <w:spacing w:line="360" w:lineRule="auto"/>
        <w:ind w:left="0" w:leftChars="0" w:right="0" w:rightChars="0" w:firstLine="626" w:firstLineChars="297"/>
        <w:rPr>
          <w:rFonts w:hint="eastAsia" w:ascii="宋体" w:cs="宋体"/>
          <w:color w:val="auto"/>
          <w:sz w:val="21"/>
          <w:szCs w:val="21"/>
          <w:highlight w:val="none"/>
        </w:rPr>
      </w:pPr>
      <w:r>
        <w:rPr>
          <w:rFonts w:hint="eastAsia" w:ascii="宋体" w:cs="宋体"/>
          <w:color w:val="auto"/>
          <w:sz w:val="21"/>
          <w:szCs w:val="21"/>
          <w:highlight w:val="none"/>
        </w:rPr>
        <w:t>本办法根据《中华人民共和国政府采购法》、《中华人民共和国政府采购法实施条例》、《政府采购货物和服务招标投标管理办法》，结合项目所在地政府有关政府采购规定和项目的实际情况制定。</w:t>
      </w:r>
    </w:p>
    <w:p>
      <w:pPr>
        <w:keepNext w:val="0"/>
        <w:keepLines w:val="0"/>
        <w:pageBreakBefore w:val="0"/>
        <w:widowControl w:val="0"/>
        <w:kinsoku/>
        <w:wordWrap/>
        <w:overflowPunct/>
        <w:topLinePunct w:val="0"/>
        <w:autoSpaceDE/>
        <w:autoSpaceDN/>
        <w:bidi w:val="0"/>
        <w:adjustRightInd/>
        <w:snapToGrid/>
        <w:spacing w:before="240" w:line="360" w:lineRule="auto"/>
        <w:ind w:left="0" w:leftChars="0" w:right="0" w:rightChars="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一、总则</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招标活动遵循公平、公正、科学、择优的原则依法进行，招标活动及当事人接受依法实施的监督。本次招标采用综合评分法。</w:t>
      </w:r>
    </w:p>
    <w:p>
      <w:pPr>
        <w:keepNext w:val="0"/>
        <w:keepLines w:val="0"/>
        <w:pageBreakBefore w:val="0"/>
        <w:widowControl w:val="0"/>
        <w:kinsoku/>
        <w:wordWrap/>
        <w:overflowPunct/>
        <w:topLinePunct w:val="0"/>
        <w:autoSpaceDE/>
        <w:autoSpaceDN/>
        <w:bidi w:val="0"/>
        <w:adjustRightInd/>
        <w:snapToGrid/>
        <w:spacing w:before="240" w:line="360" w:lineRule="auto"/>
        <w:ind w:left="0" w:leftChars="0" w:right="0" w:rightChars="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二、评标组织</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评标委员会：本项目评标委员会依法组建。</w:t>
      </w:r>
    </w:p>
    <w:p>
      <w:pPr>
        <w:keepNext w:val="0"/>
        <w:keepLines w:val="0"/>
        <w:pageBreakBefore w:val="0"/>
        <w:widowControl w:val="0"/>
        <w:kinsoku/>
        <w:wordWrap/>
        <w:overflowPunct/>
        <w:topLinePunct w:val="0"/>
        <w:autoSpaceDE/>
        <w:autoSpaceDN/>
        <w:bidi w:val="0"/>
        <w:adjustRightInd/>
        <w:snapToGrid/>
        <w:spacing w:before="240" w:line="360" w:lineRule="auto"/>
        <w:ind w:left="0" w:leftChars="0" w:right="0" w:rightChars="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三、评标程序</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369" w:firstLineChars="17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1.采购机构按《采购文件》规定的时间、地点组织进行开标。投标人的法定代表人或全权代表应携带本人身份证出席开标会议，开标会议由采购机构组织，按《采购文件》的规定对投标人的基本情况进行审核。</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369" w:firstLineChars="17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2.本次公开招标投标文件</w:t>
      </w:r>
      <w:r>
        <w:rPr>
          <w:rFonts w:hint="eastAsia" w:ascii="宋体" w:hAnsi="宋体" w:eastAsia="宋体" w:cs="宋体"/>
          <w:color w:val="auto"/>
          <w:highlight w:val="none"/>
        </w:rPr>
        <w:t>先开资信证明文件及商务技术文件，公布商务技术结果后，再开报价文件。</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w:t>
      </w:r>
      <w:r>
        <w:rPr>
          <w:rFonts w:hint="eastAsia" w:ascii="宋体" w:hAnsi="宋体" w:eastAsia="宋体" w:cs="宋体"/>
          <w:bCs/>
          <w:color w:val="auto"/>
          <w:szCs w:val="21"/>
          <w:highlight w:val="none"/>
        </w:rPr>
        <w:t>投标人的综合得分排名</w:t>
      </w:r>
      <w:r>
        <w:rPr>
          <w:rFonts w:hint="eastAsia" w:ascii="宋体" w:hAnsi="宋体" w:eastAsia="宋体" w:cs="宋体"/>
          <w:color w:val="auto"/>
          <w:szCs w:val="21"/>
          <w:highlight w:val="none"/>
        </w:rPr>
        <w:t>，评标委员会推荐中标候选人，并由采购代理机构宣布中标候选人推荐情况。</w:t>
      </w:r>
    </w:p>
    <w:p>
      <w:pPr>
        <w:keepNext w:val="0"/>
        <w:keepLines w:val="0"/>
        <w:pageBreakBefore w:val="0"/>
        <w:widowControl w:val="0"/>
        <w:kinsoku/>
        <w:wordWrap/>
        <w:overflowPunct/>
        <w:topLinePunct w:val="0"/>
        <w:autoSpaceDE/>
        <w:autoSpaceDN/>
        <w:bidi w:val="0"/>
        <w:adjustRightInd/>
        <w:snapToGrid/>
        <w:spacing w:before="240" w:line="360" w:lineRule="auto"/>
        <w:ind w:left="0" w:leftChars="0" w:right="0" w:rightChars="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四、评标过程</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（一）评标程序</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1.资格条件审查</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由采购人或代理机构对投标人的资格进行审查。合格投标人不足3家的，不得评标。</w:t>
      </w:r>
    </w:p>
    <w:tbl>
      <w:tblPr>
        <w:tblStyle w:val="20"/>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9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noWrap w:val="0"/>
            <w:vAlign w:val="center"/>
          </w:tcPr>
          <w:p>
            <w:pPr>
              <w:pageBreakBefore w:val="0"/>
              <w:widowControl w:val="0"/>
              <w:kinsoku/>
              <w:wordWrap/>
              <w:overflowPunct/>
              <w:topLinePunct w:val="0"/>
              <w:autoSpaceDE/>
              <w:autoSpaceDN/>
              <w:bidi w:val="0"/>
              <w:ind w:left="0" w:leftChars="0" w:right="0" w:right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审查类别</w:t>
            </w:r>
          </w:p>
        </w:tc>
        <w:tc>
          <w:tcPr>
            <w:tcW w:w="7937" w:type="dxa"/>
            <w:noWrap w:val="0"/>
            <w:vAlign w:val="center"/>
          </w:tcPr>
          <w:p>
            <w:pPr>
              <w:pageBreakBefore w:val="0"/>
              <w:widowControl w:val="0"/>
              <w:kinsoku/>
              <w:wordWrap/>
              <w:overflowPunct/>
              <w:topLinePunct w:val="0"/>
              <w:autoSpaceDE/>
              <w:autoSpaceDN/>
              <w:bidi w:val="0"/>
              <w:ind w:left="0" w:leftChars="0" w:right="0" w:right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restart"/>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w:t>
            </w:r>
          </w:p>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w:t>
            </w:r>
          </w:p>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w:t>
            </w:r>
          </w:p>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p>
        </w:tc>
        <w:tc>
          <w:tcPr>
            <w:tcW w:w="7937" w:type="dxa"/>
            <w:noWrap w:val="0"/>
            <w:vAlign w:val="center"/>
          </w:tcPr>
          <w:p>
            <w:pPr>
              <w:pageBreakBefore w:val="0"/>
              <w:widowControl w:val="0"/>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1、投标人的营业执照副本复印件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7937" w:type="dxa"/>
            <w:noWrap w:val="0"/>
            <w:vAlign w:val="center"/>
          </w:tcPr>
          <w:p>
            <w:pPr>
              <w:pageBreakBefore w:val="0"/>
              <w:widowControl w:val="0"/>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2、书面声明（参考投标文件格式相关内容）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7937" w:type="dxa"/>
            <w:noWrap w:val="0"/>
            <w:vAlign w:val="center"/>
          </w:tcPr>
          <w:p>
            <w:pPr>
              <w:pageBreakBefore w:val="0"/>
              <w:widowControl w:val="0"/>
              <w:kinsoku/>
              <w:wordWrap/>
              <w:overflowPunct/>
              <w:topLinePunct w:val="0"/>
              <w:autoSpaceDE/>
              <w:autoSpaceDN/>
              <w:bidi w:val="0"/>
              <w:ind w:left="0" w:leftChars="0" w:right="0" w:rightChars="0"/>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w:t>
            </w:r>
            <w:r>
              <w:rPr>
                <w:rFonts w:hint="eastAsia" w:ascii="宋体" w:hAnsi="宋体" w:cs="宋体"/>
                <w:szCs w:val="21"/>
                <w:highlight w:val="none"/>
              </w:rPr>
              <w:t>具有省级自然资源主管部门出具的土地估价机构备案证明且在有效期内。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7937" w:type="dxa"/>
            <w:noWrap w:val="0"/>
            <w:vAlign w:val="center"/>
          </w:tcPr>
          <w:p>
            <w:pPr>
              <w:widowControl/>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4、①中小企业声明函（如是，请提供。格式见附件）；</w:t>
            </w:r>
          </w:p>
          <w:p>
            <w:pPr>
              <w:widowControl/>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或②供应商为监狱企业的证明文件：省级以上监狱管理局、戒毒管理局（含新疆生产建设兵团）出具（如是，请提供。格式自拟）；</w:t>
            </w:r>
          </w:p>
          <w:p>
            <w:pPr>
              <w:pageBreakBefore w:val="0"/>
              <w:widowControl w:val="0"/>
              <w:kinsoku/>
              <w:wordWrap/>
              <w:overflowPunct/>
              <w:topLinePunct w:val="0"/>
              <w:autoSpaceDE/>
              <w:autoSpaceDN/>
              <w:bidi w:val="0"/>
              <w:ind w:left="0" w:leftChars="0" w:right="0" w:rightChars="0"/>
              <w:jc w:val="left"/>
              <w:textAlignment w:val="center"/>
              <w:rPr>
                <w:rFonts w:hint="eastAsia" w:ascii="宋体" w:hAnsi="宋体" w:eastAsia="宋体" w:cs="宋体"/>
                <w:color w:val="auto"/>
                <w:kern w:val="0"/>
                <w:szCs w:val="21"/>
                <w:highlight w:val="none"/>
                <w:lang w:bidi="ar"/>
              </w:rPr>
            </w:pPr>
            <w:r>
              <w:rPr>
                <w:rFonts w:hint="eastAsia" w:ascii="宋体" w:hAnsi="宋体" w:cs="宋体"/>
                <w:color w:val="000000"/>
                <w:kern w:val="0"/>
                <w:szCs w:val="21"/>
                <w:highlight w:val="none"/>
                <w:lang w:val="en-US" w:eastAsia="zh-CN" w:bidi="ar"/>
              </w:rPr>
              <w:t>或③残疾人福利性单位声明函（如是，请提供。格式见附件）。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1417" w:type="dxa"/>
            <w:vMerge w:val="continue"/>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7937" w:type="dxa"/>
            <w:noWrap w:val="0"/>
            <w:vAlign w:val="center"/>
          </w:tcPr>
          <w:p>
            <w:pPr>
              <w:pageBreakBefore w:val="0"/>
              <w:widowControl w:val="0"/>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投标人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7937" w:type="dxa"/>
            <w:noWrap w:val="0"/>
            <w:vAlign w:val="center"/>
          </w:tcPr>
          <w:p>
            <w:pPr>
              <w:pageBreakBefore w:val="0"/>
              <w:widowControl w:val="0"/>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bidi="ar"/>
              </w:rPr>
              <w:t>6</w:t>
            </w:r>
            <w:r>
              <w:rPr>
                <w:rFonts w:hint="eastAsia" w:ascii="宋体" w:hAnsi="宋体" w:eastAsia="宋体" w:cs="宋体"/>
                <w:color w:val="auto"/>
                <w:kern w:val="0"/>
                <w:szCs w:val="21"/>
                <w:highlight w:val="none"/>
                <w:lang w:bidi="ar"/>
              </w:rPr>
              <w:t>、本项目接受联合体投标，实行资格后审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7937" w:type="dxa"/>
            <w:noWrap w:val="0"/>
            <w:vAlign w:val="center"/>
          </w:tcPr>
          <w:p>
            <w:pPr>
              <w:pageBreakBefore w:val="0"/>
              <w:widowControl w:val="0"/>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bidi="ar"/>
              </w:rPr>
              <w:t>7</w:t>
            </w:r>
            <w:r>
              <w:rPr>
                <w:rFonts w:hint="eastAsia" w:ascii="宋体" w:hAnsi="宋体" w:eastAsia="宋体" w:cs="宋体"/>
                <w:color w:val="auto"/>
                <w:kern w:val="0"/>
                <w:szCs w:val="21"/>
                <w:highlight w:val="none"/>
                <w:lang w:bidi="ar"/>
              </w:rPr>
              <w:t>、招标文件规定的其他资格条件（如有）</w:t>
            </w:r>
          </w:p>
        </w:tc>
      </w:tr>
    </w:tbl>
    <w:p>
      <w:pPr>
        <w:pageBreakBefore w:val="0"/>
        <w:widowControl w:val="0"/>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bCs/>
          <w:color w:val="auto"/>
          <w:szCs w:val="21"/>
          <w:highlight w:val="none"/>
        </w:rPr>
      </w:pPr>
    </w:p>
    <w:p>
      <w:pPr>
        <w:pageBreakBefore w:val="0"/>
        <w:widowControl w:val="0"/>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2.符合性审查</w:t>
      </w:r>
    </w:p>
    <w:p>
      <w:pPr>
        <w:pageBreakBefore w:val="0"/>
        <w:widowControl w:val="0"/>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评标委员会应当对符合资格的投标人的投标文件进行符合性审查，以确定其是否满足采购文件的实质性要求</w:t>
      </w:r>
      <w:r>
        <w:rPr>
          <w:rFonts w:hint="eastAsia" w:ascii="宋体" w:hAnsi="宋体" w:eastAsia="宋体" w:cs="宋体"/>
          <w:bCs/>
          <w:color w:val="auto"/>
          <w:szCs w:val="21"/>
          <w:highlight w:val="none"/>
        </w:rPr>
        <w:t>。</w:t>
      </w:r>
    </w:p>
    <w:tbl>
      <w:tblPr>
        <w:tblStyle w:val="20"/>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546"/>
        <w:gridCol w:w="74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1890" w:type="dxa"/>
            <w:gridSpan w:val="2"/>
            <w:noWrap w:val="0"/>
            <w:vAlign w:val="center"/>
          </w:tcPr>
          <w:p>
            <w:pPr>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审查类别</w:t>
            </w:r>
          </w:p>
        </w:tc>
        <w:tc>
          <w:tcPr>
            <w:tcW w:w="7464" w:type="dxa"/>
            <w:noWrap w:val="0"/>
            <w:vAlign w:val="center"/>
          </w:tcPr>
          <w:p>
            <w:pPr>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restart"/>
            <w:noWrap w:val="0"/>
            <w:vAlign w:val="center"/>
          </w:tcPr>
          <w:p>
            <w:pPr>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符</w:t>
            </w:r>
          </w:p>
          <w:p>
            <w:pPr>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合</w:t>
            </w:r>
          </w:p>
          <w:p>
            <w:pPr>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性</w:t>
            </w:r>
          </w:p>
          <w:p>
            <w:pPr>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审</w:t>
            </w:r>
          </w:p>
          <w:p>
            <w:pPr>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查</w:t>
            </w:r>
          </w:p>
        </w:tc>
        <w:tc>
          <w:tcPr>
            <w:tcW w:w="546" w:type="dxa"/>
            <w:vMerge w:val="restart"/>
            <w:noWrap w:val="0"/>
            <w:vAlign w:val="center"/>
          </w:tcPr>
          <w:p>
            <w:pP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商务资信</w:t>
            </w:r>
          </w:p>
        </w:tc>
        <w:tc>
          <w:tcPr>
            <w:tcW w:w="7464" w:type="dxa"/>
            <w:noWrap w:val="0"/>
            <w:vAlign w:val="center"/>
          </w:tcPr>
          <w:p>
            <w:pPr>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按照招标文件规定要求签署、盖章</w:t>
            </w:r>
            <w:r>
              <w:rPr>
                <w:rFonts w:hint="eastAsia" w:ascii="宋体" w:hAnsi="宋体" w:eastAsia="宋体" w:cs="宋体"/>
                <w:color w:val="auto"/>
                <w:kern w:val="0"/>
                <w:szCs w:val="21"/>
                <w:highlight w:val="none"/>
                <w:lang w:eastAsia="zh-CN" w:bidi="ar"/>
              </w:rPr>
              <w:t>并</w:t>
            </w:r>
            <w:r>
              <w:rPr>
                <w:rFonts w:hint="eastAsia" w:ascii="宋体" w:hAnsi="宋体" w:eastAsia="宋体" w:cs="宋体"/>
                <w:color w:val="auto"/>
                <w:kern w:val="0"/>
                <w:szCs w:val="21"/>
                <w:highlight w:val="none"/>
                <w:lang w:bidi="ar"/>
              </w:rPr>
              <w:t>提供法定代表人资格证明/法定代表人授权委托书</w:t>
            </w:r>
            <w:r>
              <w:rPr>
                <w:rFonts w:hint="eastAsia" w:ascii="宋体" w:hAnsi="宋体" w:eastAsia="宋体" w:cs="宋体"/>
                <w:bCs/>
                <w:color w:val="auto"/>
                <w:kern w:val="0"/>
                <w:szCs w:val="21"/>
                <w:highlight w:val="none"/>
              </w:rPr>
              <w:t>、投标声明书</w:t>
            </w:r>
            <w:r>
              <w:rPr>
                <w:rFonts w:hint="eastAsia" w:ascii="宋体" w:hAnsi="宋体" w:eastAsia="宋体" w:cs="宋体"/>
                <w:bCs/>
                <w:color w:val="auto"/>
                <w:kern w:val="0"/>
                <w:szCs w:val="21"/>
                <w:highlight w:val="none"/>
                <w:lang w:eastAsia="zh-CN"/>
              </w:rPr>
              <w:t>且</w:t>
            </w:r>
            <w:r>
              <w:rPr>
                <w:rFonts w:hint="eastAsia" w:ascii="宋体" w:hAnsi="宋体" w:eastAsia="宋体" w:cs="宋体"/>
                <w:bCs/>
                <w:color w:val="auto"/>
                <w:kern w:val="0"/>
                <w:szCs w:val="21"/>
                <w:highlight w:val="none"/>
              </w:rPr>
              <w:t>填写项目齐全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pPr>
              <w:jc w:val="center"/>
              <w:rPr>
                <w:rFonts w:hint="eastAsia" w:ascii="宋体" w:hAnsi="宋体" w:eastAsia="宋体" w:cs="宋体"/>
                <w:bCs/>
                <w:color w:val="auto"/>
                <w:szCs w:val="21"/>
                <w:highlight w:val="none"/>
              </w:rPr>
            </w:pPr>
          </w:p>
        </w:tc>
        <w:tc>
          <w:tcPr>
            <w:tcW w:w="546" w:type="dxa"/>
            <w:vMerge w:val="continue"/>
            <w:noWrap w:val="0"/>
            <w:vAlign w:val="center"/>
          </w:tcPr>
          <w:p>
            <w:pPr>
              <w:textAlignment w:val="center"/>
              <w:rPr>
                <w:rFonts w:hint="eastAsia" w:ascii="宋体" w:hAnsi="宋体" w:eastAsia="宋体" w:cs="宋体"/>
                <w:color w:val="auto"/>
                <w:kern w:val="0"/>
                <w:szCs w:val="21"/>
                <w:highlight w:val="none"/>
                <w:lang w:val="en-US" w:eastAsia="zh-CN" w:bidi="ar"/>
              </w:rPr>
            </w:pPr>
          </w:p>
        </w:tc>
        <w:tc>
          <w:tcPr>
            <w:tcW w:w="7464" w:type="dxa"/>
            <w:noWrap w:val="0"/>
            <w:vAlign w:val="center"/>
          </w:tcPr>
          <w:p>
            <w:pP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szCs w:val="21"/>
                <w:highlight w:val="none"/>
              </w:rPr>
              <w:t>投标代表人出具身份证明</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与法定代表人授权委托人身份</w:t>
            </w:r>
            <w:r>
              <w:rPr>
                <w:rFonts w:hint="eastAsia" w:ascii="宋体" w:hAnsi="宋体" w:eastAsia="宋体" w:cs="宋体"/>
                <w:color w:val="auto"/>
                <w:szCs w:val="21"/>
                <w:highlight w:val="none"/>
                <w:lang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pPr>
              <w:jc w:val="center"/>
              <w:rPr>
                <w:rFonts w:hint="eastAsia" w:ascii="宋体" w:hAnsi="宋体" w:eastAsia="宋体" w:cs="宋体"/>
                <w:bCs/>
                <w:color w:val="auto"/>
                <w:szCs w:val="21"/>
                <w:highlight w:val="none"/>
              </w:rPr>
            </w:pPr>
          </w:p>
        </w:tc>
        <w:tc>
          <w:tcPr>
            <w:tcW w:w="546" w:type="dxa"/>
            <w:vMerge w:val="continue"/>
            <w:noWrap w:val="0"/>
            <w:vAlign w:val="center"/>
          </w:tcPr>
          <w:p>
            <w:pPr>
              <w:textAlignment w:val="center"/>
              <w:rPr>
                <w:rFonts w:hint="eastAsia" w:ascii="宋体" w:hAnsi="宋体" w:eastAsia="宋体" w:cs="宋体"/>
                <w:color w:val="auto"/>
                <w:kern w:val="0"/>
                <w:szCs w:val="21"/>
                <w:highlight w:val="none"/>
                <w:lang w:val="en-US" w:eastAsia="zh-CN" w:bidi="ar"/>
              </w:rPr>
            </w:pPr>
          </w:p>
        </w:tc>
        <w:tc>
          <w:tcPr>
            <w:tcW w:w="7464" w:type="dxa"/>
            <w:noWrap w:val="0"/>
            <w:vAlign w:val="center"/>
          </w:tcPr>
          <w:p>
            <w:pP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w:t>
            </w:r>
            <w:r>
              <w:rPr>
                <w:rFonts w:hint="eastAsia" w:ascii="Calibri" w:hAnsi="宋体" w:eastAsia="宋体" w:cs="宋体"/>
                <w:color w:val="auto"/>
                <w:sz w:val="21"/>
                <w:szCs w:val="21"/>
                <w:highlight w:val="none"/>
              </w:rPr>
              <w:t>投标文件格式规范、项目齐全</w:t>
            </w:r>
            <w:r>
              <w:rPr>
                <w:rFonts w:hint="eastAsia" w:ascii="Calibri" w:hAnsi="宋体" w:eastAsia="宋体" w:cs="宋体"/>
                <w:color w:val="auto"/>
                <w:sz w:val="21"/>
                <w:szCs w:val="21"/>
                <w:highlight w:val="none"/>
                <w:lang w:eastAsia="zh-CN"/>
              </w:rPr>
              <w:t>且不存在</w:t>
            </w:r>
            <w:r>
              <w:rPr>
                <w:rFonts w:hint="eastAsia" w:ascii="Calibri" w:hAnsi="宋体" w:eastAsia="宋体" w:cs="宋体"/>
                <w:color w:val="auto"/>
                <w:sz w:val="21"/>
                <w:szCs w:val="21"/>
                <w:highlight w:val="none"/>
              </w:rPr>
              <w:t>内容</w:t>
            </w:r>
            <w:r>
              <w:rPr>
                <w:rFonts w:hint="eastAsia" w:ascii="Calibri" w:hAnsi="宋体" w:eastAsia="宋体" w:cs="宋体"/>
                <w:color w:val="auto"/>
                <w:sz w:val="21"/>
                <w:szCs w:val="21"/>
                <w:highlight w:val="none"/>
                <w:lang w:eastAsia="zh-CN"/>
              </w:rPr>
              <w:t>虚假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pPr>
              <w:jc w:val="center"/>
              <w:rPr>
                <w:rFonts w:hint="eastAsia" w:ascii="宋体" w:hAnsi="宋体" w:eastAsia="宋体" w:cs="宋体"/>
                <w:bCs/>
                <w:color w:val="auto"/>
                <w:szCs w:val="21"/>
                <w:highlight w:val="none"/>
              </w:rPr>
            </w:pPr>
          </w:p>
        </w:tc>
        <w:tc>
          <w:tcPr>
            <w:tcW w:w="546" w:type="dxa"/>
            <w:vMerge w:val="continue"/>
            <w:noWrap w:val="0"/>
            <w:vAlign w:val="center"/>
          </w:tcPr>
          <w:p>
            <w:pPr>
              <w:textAlignment w:val="center"/>
              <w:rPr>
                <w:rFonts w:hint="eastAsia" w:ascii="宋体" w:hAnsi="宋体" w:eastAsia="宋体" w:cs="宋体"/>
                <w:color w:val="auto"/>
                <w:kern w:val="0"/>
                <w:szCs w:val="21"/>
                <w:highlight w:val="none"/>
                <w:lang w:val="en-US" w:eastAsia="zh-CN" w:bidi="ar"/>
              </w:rPr>
            </w:pPr>
          </w:p>
        </w:tc>
        <w:tc>
          <w:tcPr>
            <w:tcW w:w="7464" w:type="dxa"/>
            <w:noWrap w:val="0"/>
            <w:vAlign w:val="center"/>
          </w:tcPr>
          <w:p>
            <w:pP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w:t>
            </w:r>
            <w:r>
              <w:rPr>
                <w:rFonts w:hint="eastAsia" w:ascii="Calibri" w:hAnsi="宋体" w:eastAsia="宋体" w:cs="宋体"/>
                <w:color w:val="auto"/>
                <w:sz w:val="21"/>
                <w:szCs w:val="21"/>
                <w:highlight w:val="none"/>
              </w:rPr>
              <w:t>投标文件的实质性内容使用中文表述、意思表述明确、</w:t>
            </w:r>
            <w:r>
              <w:rPr>
                <w:rFonts w:hint="eastAsia" w:ascii="Calibri" w:hAnsi="宋体" w:eastAsia="宋体" w:cs="宋体"/>
                <w:color w:val="auto"/>
                <w:sz w:val="21"/>
                <w:szCs w:val="21"/>
                <w:highlight w:val="none"/>
                <w:lang w:eastAsia="zh-CN"/>
              </w:rPr>
              <w:t>无</w:t>
            </w:r>
            <w:r>
              <w:rPr>
                <w:rFonts w:hint="eastAsia" w:ascii="Calibri" w:hAnsi="宋体" w:eastAsia="宋体" w:cs="宋体"/>
                <w:color w:val="auto"/>
                <w:sz w:val="21"/>
                <w:szCs w:val="21"/>
                <w:highlight w:val="none"/>
              </w:rPr>
              <w:t>前后矛盾</w:t>
            </w:r>
            <w:r>
              <w:rPr>
                <w:rFonts w:hint="eastAsia" w:ascii="Calibri" w:hAnsi="宋体" w:eastAsia="宋体" w:cs="宋体"/>
                <w:color w:val="auto"/>
                <w:sz w:val="21"/>
                <w:szCs w:val="21"/>
                <w:highlight w:val="none"/>
                <w:lang w:eastAsia="zh-CN"/>
              </w:rPr>
              <w:t>且</w:t>
            </w:r>
            <w:r>
              <w:rPr>
                <w:rFonts w:hint="eastAsia" w:ascii="Calibri" w:hAnsi="宋体" w:eastAsia="宋体" w:cs="宋体"/>
                <w:color w:val="auto"/>
                <w:sz w:val="21"/>
                <w:szCs w:val="21"/>
                <w:highlight w:val="none"/>
              </w:rPr>
              <w:t>使用计量单位符合采购文件要求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pPr>
              <w:jc w:val="center"/>
              <w:rPr>
                <w:rFonts w:hint="eastAsia" w:ascii="宋体" w:hAnsi="宋体" w:eastAsia="宋体" w:cs="宋体"/>
                <w:bCs/>
                <w:color w:val="auto"/>
                <w:szCs w:val="21"/>
                <w:highlight w:val="none"/>
              </w:rPr>
            </w:pPr>
          </w:p>
        </w:tc>
        <w:tc>
          <w:tcPr>
            <w:tcW w:w="546" w:type="dxa"/>
            <w:vMerge w:val="continue"/>
            <w:noWrap w:val="0"/>
            <w:vAlign w:val="center"/>
          </w:tcPr>
          <w:p>
            <w:pPr>
              <w:textAlignment w:val="center"/>
              <w:rPr>
                <w:rFonts w:hint="eastAsia" w:ascii="宋体" w:hAnsi="宋体" w:eastAsia="宋体" w:cs="宋体"/>
                <w:color w:val="auto"/>
                <w:kern w:val="0"/>
                <w:szCs w:val="21"/>
                <w:highlight w:val="none"/>
                <w:lang w:val="en-US" w:eastAsia="zh-CN" w:bidi="ar"/>
              </w:rPr>
            </w:pPr>
          </w:p>
        </w:tc>
        <w:tc>
          <w:tcPr>
            <w:tcW w:w="7464" w:type="dxa"/>
            <w:noWrap w:val="0"/>
            <w:vAlign w:val="center"/>
          </w:tcPr>
          <w:p>
            <w:pP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w:t>
            </w:r>
            <w:r>
              <w:rPr>
                <w:rFonts w:hint="eastAsia" w:ascii="Calibri" w:hAnsi="宋体" w:eastAsia="宋体" w:cs="宋体"/>
                <w:snapToGrid w:val="0"/>
                <w:color w:val="auto"/>
                <w:sz w:val="21"/>
                <w:szCs w:val="21"/>
                <w:highlight w:val="none"/>
              </w:rPr>
              <w:t>投标有效期、质保期等打*的商务条款满足采购文件要求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pPr>
              <w:jc w:val="center"/>
              <w:rPr>
                <w:rFonts w:hint="eastAsia" w:ascii="宋体" w:hAnsi="宋体" w:eastAsia="宋体" w:cs="宋体"/>
                <w:bCs/>
                <w:color w:val="auto"/>
                <w:szCs w:val="21"/>
                <w:highlight w:val="none"/>
              </w:rPr>
            </w:pPr>
          </w:p>
        </w:tc>
        <w:tc>
          <w:tcPr>
            <w:tcW w:w="546" w:type="dxa"/>
            <w:vMerge w:val="continue"/>
            <w:noWrap w:val="0"/>
            <w:vAlign w:val="center"/>
          </w:tcPr>
          <w:p>
            <w:pPr>
              <w:textAlignment w:val="center"/>
              <w:rPr>
                <w:rFonts w:hint="eastAsia" w:ascii="宋体" w:hAnsi="宋体" w:eastAsia="宋体" w:cs="宋体"/>
                <w:color w:val="auto"/>
                <w:kern w:val="0"/>
                <w:szCs w:val="21"/>
                <w:highlight w:val="none"/>
                <w:lang w:val="en-US" w:eastAsia="zh-CN" w:bidi="ar"/>
              </w:rPr>
            </w:pPr>
          </w:p>
        </w:tc>
        <w:tc>
          <w:tcPr>
            <w:tcW w:w="7464" w:type="dxa"/>
            <w:noWrap w:val="0"/>
            <w:vAlign w:val="center"/>
          </w:tcPr>
          <w:p>
            <w:pP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6、</w:t>
            </w:r>
            <w:r>
              <w:rPr>
                <w:rFonts w:hint="eastAsia" w:ascii="宋体" w:hAnsi="宋体" w:eastAsia="宋体" w:cs="宋体"/>
                <w:color w:val="auto"/>
                <w:szCs w:val="21"/>
                <w:highlight w:val="none"/>
              </w:rPr>
              <w:t>带“*”的条款满足采购文件要求、实质性响应采购文件要求</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投标文件</w:t>
            </w:r>
            <w:r>
              <w:rPr>
                <w:rFonts w:hint="eastAsia" w:ascii="宋体" w:hAnsi="宋体" w:eastAsia="宋体" w:cs="宋体"/>
                <w:color w:val="auto"/>
                <w:szCs w:val="21"/>
                <w:highlight w:val="none"/>
                <w:lang w:eastAsia="zh-CN"/>
              </w:rPr>
              <w:t>没</w:t>
            </w:r>
            <w:r>
              <w:rPr>
                <w:rFonts w:hint="eastAsia" w:ascii="宋体" w:hAnsi="宋体" w:eastAsia="宋体" w:cs="宋体"/>
                <w:color w:val="auto"/>
                <w:szCs w:val="21"/>
                <w:highlight w:val="none"/>
              </w:rPr>
              <w:t>有采购方不能接受的附加条件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pPr>
              <w:jc w:val="center"/>
              <w:rPr>
                <w:rFonts w:hint="eastAsia" w:ascii="宋体" w:hAnsi="宋体" w:eastAsia="宋体" w:cs="宋体"/>
                <w:bCs/>
                <w:color w:val="auto"/>
                <w:szCs w:val="21"/>
                <w:highlight w:val="none"/>
              </w:rPr>
            </w:pPr>
          </w:p>
        </w:tc>
        <w:tc>
          <w:tcPr>
            <w:tcW w:w="546" w:type="dxa"/>
            <w:vMerge w:val="continue"/>
            <w:noWrap w:val="0"/>
            <w:vAlign w:val="center"/>
          </w:tcPr>
          <w:p>
            <w:pPr>
              <w:textAlignment w:val="center"/>
              <w:rPr>
                <w:rFonts w:hint="eastAsia" w:ascii="宋体" w:hAnsi="宋体" w:eastAsia="宋体" w:cs="宋体"/>
                <w:color w:val="auto"/>
                <w:kern w:val="0"/>
                <w:szCs w:val="21"/>
                <w:highlight w:val="none"/>
                <w:lang w:val="en-US" w:eastAsia="zh-CN" w:bidi="ar"/>
              </w:rPr>
            </w:pPr>
          </w:p>
        </w:tc>
        <w:tc>
          <w:tcPr>
            <w:tcW w:w="7464" w:type="dxa"/>
            <w:noWrap w:val="0"/>
            <w:vAlign w:val="center"/>
          </w:tcPr>
          <w:p>
            <w:pP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7、</w:t>
            </w:r>
            <w:r>
              <w:rPr>
                <w:rFonts w:hint="eastAsia" w:ascii="宋体" w:hAnsi="宋体" w:eastAsia="宋体" w:cs="宋体"/>
                <w:color w:val="auto"/>
                <w:szCs w:val="21"/>
                <w:highlight w:val="none"/>
              </w:rPr>
              <w:t>投标文件的关键内容字迹</w:t>
            </w:r>
            <w:r>
              <w:rPr>
                <w:rFonts w:hint="eastAsia" w:ascii="宋体" w:hAnsi="宋体" w:eastAsia="宋体" w:cs="宋体"/>
                <w:color w:val="auto"/>
                <w:szCs w:val="21"/>
                <w:highlight w:val="none"/>
                <w:lang w:eastAsia="zh-CN"/>
              </w:rPr>
              <w:t>清晰可</w:t>
            </w:r>
            <w:r>
              <w:rPr>
                <w:rFonts w:hint="eastAsia" w:ascii="宋体" w:hAnsi="宋体" w:eastAsia="宋体" w:cs="宋体"/>
                <w:color w:val="auto"/>
                <w:szCs w:val="21"/>
                <w:highlight w:val="none"/>
              </w:rPr>
              <w:t>辨认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投标文件中经修正的内容字迹</w:t>
            </w:r>
            <w:r>
              <w:rPr>
                <w:rFonts w:hint="eastAsia" w:ascii="宋体" w:hAnsi="宋体" w:eastAsia="宋体" w:cs="宋体"/>
                <w:color w:val="auto"/>
                <w:szCs w:val="21"/>
                <w:highlight w:val="none"/>
                <w:lang w:eastAsia="zh-CN"/>
              </w:rPr>
              <w:t>清晰可辨认且</w:t>
            </w:r>
            <w:r>
              <w:rPr>
                <w:rFonts w:hint="eastAsia" w:ascii="宋体" w:hAnsi="宋体" w:eastAsia="宋体" w:cs="宋体"/>
                <w:color w:val="auto"/>
                <w:szCs w:val="21"/>
                <w:highlight w:val="none"/>
              </w:rPr>
              <w:t>修改处按规定签署、盖章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pPr>
              <w:jc w:val="center"/>
              <w:rPr>
                <w:rFonts w:hint="eastAsia" w:ascii="宋体" w:hAnsi="宋体" w:eastAsia="宋体" w:cs="宋体"/>
                <w:bCs/>
                <w:color w:val="auto"/>
                <w:szCs w:val="21"/>
                <w:highlight w:val="none"/>
              </w:rPr>
            </w:pPr>
          </w:p>
        </w:tc>
        <w:tc>
          <w:tcPr>
            <w:tcW w:w="546" w:type="dxa"/>
            <w:vMerge w:val="continue"/>
            <w:noWrap w:val="0"/>
            <w:vAlign w:val="center"/>
          </w:tcPr>
          <w:p>
            <w:pPr>
              <w:textAlignment w:val="center"/>
              <w:rPr>
                <w:rFonts w:hint="eastAsia" w:ascii="宋体" w:hAnsi="宋体" w:eastAsia="宋体" w:cs="宋体"/>
                <w:color w:val="auto"/>
                <w:kern w:val="0"/>
                <w:szCs w:val="21"/>
                <w:highlight w:val="none"/>
                <w:lang w:val="en-US" w:eastAsia="zh-CN" w:bidi="ar"/>
              </w:rPr>
            </w:pPr>
          </w:p>
        </w:tc>
        <w:tc>
          <w:tcPr>
            <w:tcW w:w="7464" w:type="dxa"/>
            <w:noWrap w:val="0"/>
            <w:vAlign w:val="center"/>
          </w:tcPr>
          <w:p>
            <w:pP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8、不存在</w:t>
            </w:r>
            <w:r>
              <w:rPr>
                <w:rFonts w:hint="eastAsia" w:ascii="宋体" w:hAnsi="宋体" w:eastAsia="宋体" w:cs="宋体"/>
                <w:color w:val="auto"/>
                <w:szCs w:val="21"/>
                <w:highlight w:val="none"/>
              </w:rPr>
              <w:t>法律、法规和采购文件规定的其他无效情形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pPr>
              <w:jc w:val="center"/>
              <w:rPr>
                <w:rFonts w:hint="eastAsia" w:ascii="宋体" w:hAnsi="宋体" w:eastAsia="宋体" w:cs="宋体"/>
                <w:bCs/>
                <w:color w:val="auto"/>
                <w:szCs w:val="21"/>
                <w:highlight w:val="none"/>
              </w:rPr>
            </w:pPr>
          </w:p>
        </w:tc>
        <w:tc>
          <w:tcPr>
            <w:tcW w:w="546" w:type="dxa"/>
            <w:vMerge w:val="restart"/>
            <w:noWrap w:val="0"/>
            <w:vAlign w:val="center"/>
          </w:tcPr>
          <w:p>
            <w:pP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技术</w:t>
            </w:r>
          </w:p>
        </w:tc>
        <w:tc>
          <w:tcPr>
            <w:tcW w:w="7464" w:type="dxa"/>
            <w:noWrap w:val="0"/>
            <w:vAlign w:val="center"/>
          </w:tcPr>
          <w:p>
            <w:pP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9、</w:t>
            </w:r>
            <w:r>
              <w:rPr>
                <w:rFonts w:hint="eastAsia" w:ascii="Calibri" w:hAnsi="宋体" w:eastAsia="宋体" w:cs="宋体"/>
                <w:color w:val="auto"/>
                <w:sz w:val="21"/>
                <w:szCs w:val="21"/>
                <w:highlight w:val="none"/>
              </w:rPr>
              <w:t>如实提供投标货物的技术参数，</w:t>
            </w:r>
            <w:r>
              <w:rPr>
                <w:rFonts w:hint="eastAsia" w:ascii="Calibri" w:hAnsi="宋体" w:eastAsia="宋体" w:cs="宋体"/>
                <w:color w:val="auto"/>
                <w:sz w:val="21"/>
                <w:szCs w:val="21"/>
                <w:highlight w:val="none"/>
                <w:lang w:eastAsia="zh-CN"/>
              </w:rPr>
              <w:t>且</w:t>
            </w:r>
            <w:r>
              <w:rPr>
                <w:rFonts w:hint="eastAsia" w:ascii="Calibri" w:hAnsi="宋体" w:eastAsia="宋体" w:cs="宋体"/>
                <w:color w:val="auto"/>
                <w:sz w:val="21"/>
                <w:szCs w:val="21"/>
                <w:highlight w:val="none"/>
              </w:rPr>
              <w:t>投标文件标明的响应或偏离与事实</w:t>
            </w:r>
            <w:r>
              <w:rPr>
                <w:rFonts w:hint="eastAsia" w:ascii="Calibri" w:hAnsi="宋体" w:eastAsia="宋体" w:cs="宋体"/>
                <w:color w:val="auto"/>
                <w:sz w:val="21"/>
                <w:szCs w:val="21"/>
                <w:highlight w:val="none"/>
                <w:lang w:eastAsia="zh-CN"/>
              </w:rPr>
              <w:t>相符，不存在</w:t>
            </w:r>
            <w:r>
              <w:rPr>
                <w:rFonts w:hint="eastAsia" w:ascii="Calibri" w:hAnsi="宋体" w:eastAsia="宋体" w:cs="宋体"/>
                <w:color w:val="auto"/>
                <w:sz w:val="21"/>
                <w:szCs w:val="21"/>
                <w:highlight w:val="none"/>
              </w:rPr>
              <w:t>虚假投标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pPr>
              <w:jc w:val="center"/>
              <w:rPr>
                <w:rFonts w:hint="eastAsia" w:ascii="宋体" w:hAnsi="宋体" w:eastAsia="宋体" w:cs="宋体"/>
                <w:bCs/>
                <w:color w:val="auto"/>
                <w:szCs w:val="21"/>
                <w:highlight w:val="none"/>
              </w:rPr>
            </w:pPr>
          </w:p>
        </w:tc>
        <w:tc>
          <w:tcPr>
            <w:tcW w:w="546" w:type="dxa"/>
            <w:vMerge w:val="continue"/>
            <w:noWrap w:val="0"/>
            <w:vAlign w:val="center"/>
          </w:tcPr>
          <w:p>
            <w:pPr>
              <w:textAlignment w:val="center"/>
              <w:rPr>
                <w:rFonts w:hint="eastAsia" w:ascii="宋体" w:hAnsi="宋体" w:eastAsia="宋体" w:cs="宋体"/>
                <w:color w:val="auto"/>
                <w:kern w:val="0"/>
                <w:szCs w:val="21"/>
                <w:highlight w:val="none"/>
                <w:lang w:val="en-US" w:eastAsia="zh-CN" w:bidi="ar"/>
              </w:rPr>
            </w:pPr>
          </w:p>
        </w:tc>
        <w:tc>
          <w:tcPr>
            <w:tcW w:w="7464" w:type="dxa"/>
            <w:noWrap w:val="0"/>
            <w:vAlign w:val="center"/>
          </w:tcPr>
          <w:p>
            <w:pP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10、</w:t>
            </w:r>
            <w:r>
              <w:rPr>
                <w:rFonts w:hint="eastAsia" w:ascii="Calibri" w:hAnsi="宋体" w:eastAsia="宋体" w:cs="宋体"/>
                <w:snapToGrid w:val="0"/>
                <w:color w:val="auto"/>
                <w:sz w:val="21"/>
                <w:szCs w:val="21"/>
                <w:highlight w:val="none"/>
              </w:rPr>
              <w:t>符合采购文件要求的规格型号、质量标准，</w:t>
            </w:r>
            <w:r>
              <w:rPr>
                <w:rFonts w:hint="eastAsia" w:ascii="Calibri" w:hAnsi="宋体" w:eastAsia="宋体" w:cs="宋体"/>
                <w:snapToGrid w:val="0"/>
                <w:color w:val="auto"/>
                <w:sz w:val="21"/>
                <w:szCs w:val="21"/>
                <w:highlight w:val="none"/>
                <w:lang w:eastAsia="zh-CN"/>
              </w:rPr>
              <w:t>且</w:t>
            </w:r>
            <w:r>
              <w:rPr>
                <w:rFonts w:hint="eastAsia" w:ascii="Calibri" w:hAnsi="宋体" w:eastAsia="宋体" w:cs="宋体"/>
                <w:snapToGrid w:val="0"/>
                <w:color w:val="auto"/>
                <w:sz w:val="21"/>
                <w:szCs w:val="21"/>
                <w:highlight w:val="none"/>
              </w:rPr>
              <w:t>与</w:t>
            </w:r>
            <w:r>
              <w:rPr>
                <w:rFonts w:hint="eastAsia" w:ascii="Calibri" w:hAnsi="宋体" w:eastAsia="宋体" w:cs="宋体"/>
                <w:color w:val="auto"/>
                <w:sz w:val="21"/>
                <w:szCs w:val="21"/>
                <w:highlight w:val="none"/>
              </w:rPr>
              <w:t>采购文件中标“*”的技术指标、主要功能项目</w:t>
            </w:r>
            <w:r>
              <w:rPr>
                <w:rFonts w:hint="eastAsia" w:ascii="Calibri" w:hAnsi="宋体" w:eastAsia="宋体" w:cs="宋体"/>
                <w:color w:val="auto"/>
                <w:sz w:val="21"/>
                <w:szCs w:val="21"/>
                <w:highlight w:val="none"/>
                <w:lang w:eastAsia="zh-CN"/>
              </w:rPr>
              <w:t>无</w:t>
            </w:r>
            <w:r>
              <w:rPr>
                <w:rFonts w:hint="eastAsia" w:ascii="Calibri" w:hAnsi="宋体" w:eastAsia="宋体" w:cs="宋体"/>
                <w:color w:val="auto"/>
                <w:sz w:val="21"/>
                <w:szCs w:val="21"/>
                <w:highlight w:val="none"/>
              </w:rPr>
              <w:t>实质性偏离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pPr>
              <w:jc w:val="center"/>
              <w:rPr>
                <w:rFonts w:hint="eastAsia" w:ascii="宋体" w:hAnsi="宋体" w:eastAsia="宋体" w:cs="宋体"/>
                <w:bCs/>
                <w:color w:val="auto"/>
                <w:szCs w:val="21"/>
                <w:highlight w:val="none"/>
              </w:rPr>
            </w:pPr>
          </w:p>
        </w:tc>
        <w:tc>
          <w:tcPr>
            <w:tcW w:w="546" w:type="dxa"/>
            <w:vMerge w:val="continue"/>
            <w:noWrap w:val="0"/>
            <w:vAlign w:val="center"/>
          </w:tcPr>
          <w:p>
            <w:pPr>
              <w:textAlignment w:val="center"/>
              <w:rPr>
                <w:rFonts w:hint="eastAsia" w:ascii="宋体" w:hAnsi="宋体" w:eastAsia="宋体" w:cs="宋体"/>
                <w:color w:val="auto"/>
                <w:kern w:val="0"/>
                <w:szCs w:val="21"/>
                <w:highlight w:val="none"/>
                <w:lang w:val="en-US" w:eastAsia="zh-CN" w:bidi="ar"/>
              </w:rPr>
            </w:pPr>
          </w:p>
        </w:tc>
        <w:tc>
          <w:tcPr>
            <w:tcW w:w="7464" w:type="dxa"/>
            <w:noWrap w:val="0"/>
            <w:vAlign w:val="center"/>
          </w:tcPr>
          <w:p>
            <w:pP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11、</w:t>
            </w:r>
            <w:r>
              <w:rPr>
                <w:rFonts w:hint="eastAsia" w:ascii="Calibri" w:hAnsi="宋体" w:eastAsia="宋体" w:cs="宋体"/>
                <w:color w:val="auto"/>
                <w:sz w:val="21"/>
                <w:szCs w:val="21"/>
                <w:highlight w:val="none"/>
              </w:rPr>
              <w:t>投标技术方案明确，</w:t>
            </w:r>
            <w:r>
              <w:rPr>
                <w:rFonts w:hint="eastAsia" w:ascii="Calibri" w:hAnsi="宋体" w:eastAsia="宋体" w:cs="宋体"/>
                <w:color w:val="auto"/>
                <w:sz w:val="21"/>
                <w:szCs w:val="21"/>
                <w:highlight w:val="none"/>
                <w:lang w:eastAsia="zh-CN"/>
              </w:rPr>
              <w:t>不存在</w:t>
            </w:r>
            <w:r>
              <w:rPr>
                <w:rFonts w:hint="eastAsia" w:ascii="Calibri" w:hAnsi="宋体" w:eastAsia="宋体" w:cs="宋体"/>
                <w:color w:val="auto"/>
                <w:sz w:val="21"/>
                <w:szCs w:val="21"/>
                <w:highlight w:val="none"/>
              </w:rPr>
              <w:t>一个或一个以上备选（替代）投标方案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pPr>
              <w:jc w:val="center"/>
              <w:rPr>
                <w:rFonts w:hint="eastAsia" w:ascii="宋体" w:hAnsi="宋体" w:eastAsia="宋体" w:cs="宋体"/>
                <w:bCs/>
                <w:color w:val="auto"/>
                <w:szCs w:val="21"/>
                <w:highlight w:val="none"/>
              </w:rPr>
            </w:pPr>
          </w:p>
        </w:tc>
        <w:tc>
          <w:tcPr>
            <w:tcW w:w="546" w:type="dxa"/>
            <w:vMerge w:val="continue"/>
            <w:noWrap w:val="0"/>
            <w:vAlign w:val="center"/>
          </w:tcPr>
          <w:p>
            <w:pPr>
              <w:textAlignment w:val="center"/>
              <w:rPr>
                <w:rFonts w:hint="eastAsia" w:ascii="宋体" w:hAnsi="宋体" w:eastAsia="宋体" w:cs="宋体"/>
                <w:color w:val="auto"/>
                <w:kern w:val="0"/>
                <w:szCs w:val="21"/>
                <w:highlight w:val="none"/>
                <w:lang w:val="en-US" w:eastAsia="zh-CN" w:bidi="ar"/>
              </w:rPr>
            </w:pPr>
          </w:p>
        </w:tc>
        <w:tc>
          <w:tcPr>
            <w:tcW w:w="7464" w:type="dxa"/>
            <w:noWrap w:val="0"/>
            <w:vAlign w:val="center"/>
          </w:tcPr>
          <w:p>
            <w:pP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12、不存在</w:t>
            </w:r>
            <w:r>
              <w:rPr>
                <w:rFonts w:hint="eastAsia" w:ascii="Calibri" w:hAnsi="宋体" w:eastAsia="宋体" w:cs="宋体"/>
                <w:color w:val="auto"/>
                <w:sz w:val="21"/>
                <w:szCs w:val="21"/>
                <w:highlight w:val="none"/>
              </w:rPr>
              <w:t>与其他参加本次投标供应商的投标文件（技术文件）的文字表述内容相同连续20行以上或者差错相同2处以上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pPr>
              <w:jc w:val="center"/>
              <w:rPr>
                <w:rFonts w:hint="eastAsia" w:ascii="宋体" w:hAnsi="宋体" w:eastAsia="宋体" w:cs="宋体"/>
                <w:bCs/>
                <w:color w:val="auto"/>
                <w:szCs w:val="21"/>
                <w:highlight w:val="none"/>
              </w:rPr>
            </w:pPr>
          </w:p>
        </w:tc>
        <w:tc>
          <w:tcPr>
            <w:tcW w:w="546" w:type="dxa"/>
            <w:vMerge w:val="continue"/>
            <w:noWrap w:val="0"/>
            <w:vAlign w:val="center"/>
          </w:tcPr>
          <w:p>
            <w:pPr>
              <w:textAlignment w:val="center"/>
              <w:rPr>
                <w:rFonts w:hint="eastAsia" w:ascii="宋体" w:hAnsi="宋体" w:eastAsia="宋体" w:cs="宋体"/>
                <w:color w:val="auto"/>
                <w:kern w:val="0"/>
                <w:szCs w:val="21"/>
                <w:highlight w:val="none"/>
                <w:lang w:val="en-US" w:eastAsia="zh-CN" w:bidi="ar"/>
              </w:rPr>
            </w:pPr>
          </w:p>
        </w:tc>
        <w:tc>
          <w:tcPr>
            <w:tcW w:w="7464" w:type="dxa"/>
            <w:noWrap w:val="0"/>
            <w:vAlign w:val="center"/>
          </w:tcPr>
          <w:p>
            <w:pP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13、报价文件单独密</w:t>
            </w:r>
            <w:r>
              <w:rPr>
                <w:rFonts w:hint="eastAsia" w:ascii="宋体" w:hAnsi="宋体" w:eastAsia="宋体" w:cs="宋体"/>
                <w:color w:val="auto"/>
                <w:szCs w:val="21"/>
                <w:highlight w:val="none"/>
              </w:rPr>
              <w:t>封封装</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资格证明文件或商务技术文件中</w:t>
            </w:r>
            <w:r>
              <w:rPr>
                <w:rFonts w:hint="eastAsia" w:ascii="宋体" w:hAnsi="宋体" w:eastAsia="宋体" w:cs="宋体"/>
                <w:color w:val="auto"/>
                <w:szCs w:val="21"/>
                <w:highlight w:val="none"/>
                <w:lang w:eastAsia="zh-CN"/>
              </w:rPr>
              <w:t>未</w:t>
            </w:r>
            <w:r>
              <w:rPr>
                <w:rFonts w:hint="eastAsia" w:ascii="宋体" w:hAnsi="宋体" w:eastAsia="宋体" w:cs="宋体"/>
                <w:color w:val="auto"/>
                <w:szCs w:val="21"/>
                <w:highlight w:val="none"/>
              </w:rPr>
              <w:t>出现报价（或单价）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pPr>
              <w:jc w:val="center"/>
              <w:rPr>
                <w:rFonts w:ascii="宋体" w:hAnsi="宋体" w:eastAsia="宋体" w:cs="宋体"/>
                <w:bCs/>
                <w:color w:val="auto"/>
                <w:szCs w:val="21"/>
                <w:highlight w:val="none"/>
              </w:rPr>
            </w:pPr>
          </w:p>
        </w:tc>
        <w:tc>
          <w:tcPr>
            <w:tcW w:w="546" w:type="dxa"/>
            <w:vMerge w:val="restart"/>
            <w:noWrap w:val="0"/>
            <w:vAlign w:val="center"/>
          </w:tcPr>
          <w:p>
            <w:pPr>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报价</w:t>
            </w:r>
          </w:p>
        </w:tc>
        <w:tc>
          <w:tcPr>
            <w:tcW w:w="7464" w:type="dxa"/>
            <w:noWrap w:val="0"/>
            <w:vAlign w:val="center"/>
          </w:tcPr>
          <w:p>
            <w:pPr>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14、</w:t>
            </w:r>
            <w:r>
              <w:rPr>
                <w:rFonts w:hint="eastAsia" w:ascii="Calibri" w:hAnsi="宋体" w:eastAsia="宋体" w:cs="宋体"/>
                <w:bCs/>
                <w:color w:val="auto"/>
                <w:sz w:val="21"/>
                <w:szCs w:val="21"/>
                <w:highlight w:val="none"/>
              </w:rPr>
              <w:t>采用人民币报价</w:t>
            </w:r>
            <w:r>
              <w:rPr>
                <w:rFonts w:hint="eastAsia" w:ascii="Calibri" w:hAnsi="宋体" w:eastAsia="宋体" w:cs="宋体"/>
                <w:bCs/>
                <w:color w:val="auto"/>
                <w:sz w:val="21"/>
                <w:szCs w:val="21"/>
                <w:highlight w:val="none"/>
                <w:lang w:eastAsia="zh-CN"/>
              </w:rPr>
              <w:t>且</w:t>
            </w:r>
            <w:r>
              <w:rPr>
                <w:rFonts w:hint="eastAsia" w:ascii="Calibri" w:hAnsi="宋体" w:eastAsia="宋体" w:cs="宋体"/>
                <w:bCs/>
                <w:color w:val="auto"/>
                <w:sz w:val="21"/>
                <w:szCs w:val="21"/>
                <w:highlight w:val="none"/>
              </w:rPr>
              <w:t>按照采购文件标明的币种报价的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pPr>
              <w:rPr>
                <w:rFonts w:ascii="宋体" w:hAnsi="宋体" w:eastAsia="宋体" w:cs="宋体"/>
                <w:bCs/>
                <w:color w:val="auto"/>
                <w:szCs w:val="21"/>
                <w:highlight w:val="none"/>
              </w:rPr>
            </w:pPr>
          </w:p>
        </w:tc>
        <w:tc>
          <w:tcPr>
            <w:tcW w:w="546" w:type="dxa"/>
            <w:vMerge w:val="continue"/>
            <w:noWrap w:val="0"/>
            <w:vAlign w:val="center"/>
          </w:tcPr>
          <w:p>
            <w:pPr>
              <w:textAlignment w:val="center"/>
              <w:rPr>
                <w:rFonts w:hint="eastAsia" w:ascii="宋体" w:hAnsi="宋体" w:eastAsia="宋体" w:cs="宋体"/>
                <w:bCs/>
                <w:color w:val="auto"/>
                <w:szCs w:val="21"/>
                <w:highlight w:val="none"/>
                <w:lang w:val="en-US" w:eastAsia="zh-CN"/>
              </w:rPr>
            </w:pPr>
          </w:p>
        </w:tc>
        <w:tc>
          <w:tcPr>
            <w:tcW w:w="7464" w:type="dxa"/>
            <w:noWrap w:val="0"/>
            <w:vAlign w:val="center"/>
          </w:tcPr>
          <w:p>
            <w:pPr>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15、</w:t>
            </w:r>
            <w:r>
              <w:rPr>
                <w:rFonts w:hint="eastAsia" w:ascii="Calibri" w:hAnsi="宋体" w:eastAsia="宋体" w:cs="宋体"/>
                <w:bCs/>
                <w:color w:val="auto"/>
                <w:sz w:val="21"/>
                <w:szCs w:val="21"/>
                <w:highlight w:val="none"/>
              </w:rPr>
              <w:t>报价</w:t>
            </w:r>
            <w:r>
              <w:rPr>
                <w:rFonts w:hint="eastAsia" w:ascii="Calibri" w:hAnsi="宋体" w:eastAsia="宋体" w:cs="宋体"/>
                <w:bCs/>
                <w:color w:val="auto"/>
                <w:sz w:val="21"/>
                <w:szCs w:val="21"/>
                <w:highlight w:val="none"/>
                <w:lang w:eastAsia="zh-CN"/>
              </w:rPr>
              <w:t>未</w:t>
            </w:r>
            <w:r>
              <w:rPr>
                <w:rFonts w:hint="eastAsia" w:ascii="Calibri" w:hAnsi="宋体" w:eastAsia="宋体" w:cs="宋体"/>
                <w:bCs/>
                <w:color w:val="auto"/>
                <w:sz w:val="21"/>
                <w:szCs w:val="21"/>
                <w:highlight w:val="none"/>
              </w:rPr>
              <w:t>超出最高限价，</w:t>
            </w:r>
            <w:r>
              <w:rPr>
                <w:rFonts w:hint="eastAsia" w:ascii="Calibri" w:hAnsi="宋体" w:eastAsia="宋体" w:cs="宋体"/>
                <w:bCs/>
                <w:color w:val="auto"/>
                <w:sz w:val="21"/>
                <w:szCs w:val="21"/>
                <w:highlight w:val="none"/>
                <w:lang w:eastAsia="zh-CN"/>
              </w:rPr>
              <w:t>且未</w:t>
            </w:r>
            <w:r>
              <w:rPr>
                <w:rFonts w:hint="eastAsia" w:ascii="Calibri" w:hAnsi="宋体" w:eastAsia="宋体" w:cs="宋体"/>
                <w:bCs/>
                <w:color w:val="auto"/>
                <w:sz w:val="21"/>
                <w:szCs w:val="21"/>
                <w:highlight w:val="none"/>
              </w:rPr>
              <w:t>超出采购预算金额(自主创新产品除外)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pPr>
              <w:rPr>
                <w:rFonts w:ascii="宋体" w:hAnsi="宋体" w:eastAsia="宋体" w:cs="宋体"/>
                <w:bCs/>
                <w:color w:val="auto"/>
                <w:szCs w:val="21"/>
                <w:highlight w:val="none"/>
              </w:rPr>
            </w:pPr>
          </w:p>
        </w:tc>
        <w:tc>
          <w:tcPr>
            <w:tcW w:w="546" w:type="dxa"/>
            <w:vMerge w:val="continue"/>
            <w:noWrap w:val="0"/>
            <w:vAlign w:val="center"/>
          </w:tcPr>
          <w:p>
            <w:pPr>
              <w:textAlignment w:val="center"/>
              <w:rPr>
                <w:rFonts w:hint="eastAsia" w:ascii="宋体" w:hAnsi="宋体" w:eastAsia="宋体" w:cs="宋体"/>
                <w:bCs/>
                <w:color w:val="auto"/>
                <w:szCs w:val="21"/>
                <w:highlight w:val="none"/>
                <w:lang w:val="en-US" w:eastAsia="zh-CN"/>
              </w:rPr>
            </w:pPr>
          </w:p>
        </w:tc>
        <w:tc>
          <w:tcPr>
            <w:tcW w:w="7464" w:type="dxa"/>
            <w:noWrap w:val="0"/>
            <w:vAlign w:val="center"/>
          </w:tcPr>
          <w:p>
            <w:pPr>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16、</w:t>
            </w:r>
            <w:r>
              <w:rPr>
                <w:rFonts w:hint="eastAsia" w:ascii="Calibri" w:hAnsi="宋体" w:eastAsia="宋体" w:cs="宋体"/>
                <w:bCs/>
                <w:color w:val="auto"/>
                <w:sz w:val="21"/>
                <w:szCs w:val="21"/>
                <w:highlight w:val="none"/>
              </w:rPr>
              <w:t>采用投标文件要求的报价形式报价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pPr>
              <w:rPr>
                <w:rFonts w:ascii="宋体" w:hAnsi="宋体" w:eastAsia="宋体" w:cs="宋体"/>
                <w:bCs/>
                <w:color w:val="auto"/>
                <w:szCs w:val="21"/>
                <w:highlight w:val="none"/>
              </w:rPr>
            </w:pPr>
          </w:p>
        </w:tc>
        <w:tc>
          <w:tcPr>
            <w:tcW w:w="546" w:type="dxa"/>
            <w:vMerge w:val="continue"/>
            <w:noWrap w:val="0"/>
            <w:vAlign w:val="center"/>
          </w:tcPr>
          <w:p>
            <w:pPr>
              <w:textAlignment w:val="center"/>
              <w:rPr>
                <w:rFonts w:hint="eastAsia" w:ascii="宋体" w:hAnsi="宋体" w:eastAsia="宋体" w:cs="宋体"/>
                <w:bCs/>
                <w:color w:val="auto"/>
                <w:szCs w:val="21"/>
                <w:highlight w:val="none"/>
                <w:lang w:val="en-US" w:eastAsia="zh-CN"/>
              </w:rPr>
            </w:pPr>
          </w:p>
        </w:tc>
        <w:tc>
          <w:tcPr>
            <w:tcW w:w="7464" w:type="dxa"/>
            <w:noWrap w:val="0"/>
            <w:vAlign w:val="center"/>
          </w:tcPr>
          <w:p>
            <w:pPr>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17、</w:t>
            </w:r>
            <w:r>
              <w:rPr>
                <w:rFonts w:hint="eastAsia" w:ascii="Calibri" w:hAnsi="宋体" w:eastAsia="宋体" w:cs="宋体"/>
                <w:bCs/>
                <w:color w:val="auto"/>
                <w:sz w:val="21"/>
                <w:szCs w:val="21"/>
                <w:highlight w:val="none"/>
              </w:rPr>
              <w:t>投标报价</w:t>
            </w:r>
            <w:r>
              <w:rPr>
                <w:rFonts w:hint="eastAsia" w:ascii="Calibri" w:hAnsi="宋体" w:eastAsia="宋体" w:cs="宋体"/>
                <w:bCs/>
                <w:color w:val="auto"/>
                <w:sz w:val="21"/>
                <w:szCs w:val="21"/>
                <w:highlight w:val="none"/>
                <w:lang w:eastAsia="zh-CN"/>
              </w:rPr>
              <w:t>唯一且</w:t>
            </w:r>
            <w:r>
              <w:rPr>
                <w:rFonts w:hint="eastAsia" w:ascii="Calibri" w:hAnsi="宋体" w:eastAsia="宋体" w:cs="宋体"/>
                <w:bCs/>
                <w:color w:val="auto"/>
                <w:sz w:val="21"/>
                <w:szCs w:val="21"/>
                <w:highlight w:val="none"/>
              </w:rPr>
              <w:t>开标价格与投标文件承诺的优惠（折扣）价格一致的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pPr>
              <w:rPr>
                <w:rFonts w:ascii="宋体" w:hAnsi="宋体" w:eastAsia="宋体" w:cs="宋体"/>
                <w:bCs/>
                <w:color w:val="auto"/>
                <w:szCs w:val="21"/>
                <w:highlight w:val="none"/>
              </w:rPr>
            </w:pPr>
          </w:p>
        </w:tc>
        <w:tc>
          <w:tcPr>
            <w:tcW w:w="546" w:type="dxa"/>
            <w:vMerge w:val="continue"/>
            <w:noWrap w:val="0"/>
            <w:vAlign w:val="center"/>
          </w:tcPr>
          <w:p>
            <w:pPr>
              <w:textAlignment w:val="center"/>
              <w:rPr>
                <w:rFonts w:hint="eastAsia" w:ascii="宋体" w:hAnsi="宋体" w:eastAsia="宋体" w:cs="宋体"/>
                <w:bCs/>
                <w:color w:val="auto"/>
                <w:szCs w:val="21"/>
                <w:highlight w:val="none"/>
                <w:lang w:val="en-US" w:eastAsia="zh-CN"/>
              </w:rPr>
            </w:pPr>
          </w:p>
        </w:tc>
        <w:tc>
          <w:tcPr>
            <w:tcW w:w="7464" w:type="dxa"/>
            <w:noWrap w:val="0"/>
            <w:vAlign w:val="center"/>
          </w:tcPr>
          <w:p>
            <w:pPr>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18、</w:t>
            </w:r>
            <w:r>
              <w:rPr>
                <w:rFonts w:hint="eastAsia" w:ascii="Calibri" w:hAnsi="宋体" w:eastAsia="宋体" w:cs="宋体"/>
                <w:bCs/>
                <w:color w:val="auto"/>
                <w:sz w:val="21"/>
                <w:szCs w:val="21"/>
                <w:highlight w:val="none"/>
              </w:rPr>
              <w:t>报价合理</w:t>
            </w:r>
            <w:r>
              <w:rPr>
                <w:rFonts w:hint="eastAsia" w:ascii="Calibri" w:hAnsi="宋体" w:eastAsia="宋体" w:cs="宋体"/>
                <w:bCs/>
                <w:color w:val="auto"/>
                <w:sz w:val="21"/>
                <w:szCs w:val="21"/>
                <w:highlight w:val="none"/>
                <w:lang w:eastAsia="zh-CN"/>
              </w:rPr>
              <w:t>，不存在</w:t>
            </w:r>
            <w:r>
              <w:rPr>
                <w:rFonts w:hint="eastAsia" w:ascii="Calibri" w:hAnsi="宋体" w:eastAsia="宋体" w:cs="宋体"/>
                <w:bCs/>
                <w:color w:val="auto"/>
                <w:sz w:val="21"/>
                <w:szCs w:val="21"/>
                <w:highlight w:val="none"/>
              </w:rPr>
              <w:t>不平衡报价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pPr>
              <w:rPr>
                <w:rFonts w:ascii="宋体" w:hAnsi="宋体" w:eastAsia="宋体" w:cs="宋体"/>
                <w:bCs/>
                <w:color w:val="auto"/>
                <w:szCs w:val="21"/>
                <w:highlight w:val="none"/>
              </w:rPr>
            </w:pPr>
          </w:p>
        </w:tc>
        <w:tc>
          <w:tcPr>
            <w:tcW w:w="546" w:type="dxa"/>
            <w:vMerge w:val="continue"/>
            <w:noWrap w:val="0"/>
            <w:vAlign w:val="center"/>
          </w:tcPr>
          <w:p>
            <w:pPr>
              <w:textAlignment w:val="center"/>
              <w:rPr>
                <w:rFonts w:hint="eastAsia" w:ascii="宋体" w:hAnsi="宋体" w:eastAsia="宋体" w:cs="宋体"/>
                <w:bCs/>
                <w:color w:val="auto"/>
                <w:szCs w:val="21"/>
                <w:highlight w:val="none"/>
                <w:lang w:val="en-US" w:eastAsia="zh-CN"/>
              </w:rPr>
            </w:pPr>
          </w:p>
        </w:tc>
        <w:tc>
          <w:tcPr>
            <w:tcW w:w="7464" w:type="dxa"/>
            <w:noWrap w:val="0"/>
            <w:vAlign w:val="center"/>
          </w:tcPr>
          <w:p>
            <w:pPr>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19、</w:t>
            </w:r>
            <w:r>
              <w:rPr>
                <w:rFonts w:hint="eastAsia" w:ascii="Calibri" w:hAnsi="宋体" w:eastAsia="宋体" w:cs="宋体"/>
                <w:bCs/>
                <w:color w:val="auto"/>
                <w:sz w:val="21"/>
                <w:szCs w:val="21"/>
                <w:highlight w:val="none"/>
              </w:rPr>
              <w:t>投标报价中</w:t>
            </w:r>
            <w:r>
              <w:rPr>
                <w:rFonts w:hint="eastAsia" w:ascii="Calibri" w:hAnsi="宋体" w:eastAsia="宋体" w:cs="宋体"/>
                <w:bCs/>
                <w:color w:val="auto"/>
                <w:sz w:val="21"/>
                <w:szCs w:val="21"/>
                <w:highlight w:val="none"/>
                <w:lang w:eastAsia="zh-CN"/>
              </w:rPr>
              <w:t>未</w:t>
            </w:r>
            <w:r>
              <w:rPr>
                <w:rFonts w:hint="eastAsia" w:ascii="Calibri" w:hAnsi="宋体" w:eastAsia="宋体" w:cs="宋体"/>
                <w:bCs/>
                <w:color w:val="auto"/>
                <w:sz w:val="21"/>
                <w:szCs w:val="21"/>
                <w:highlight w:val="none"/>
              </w:rPr>
              <w:t>出现重大缺项、漏项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dxa"/>
            <w:vMerge w:val="continue"/>
            <w:noWrap w:val="0"/>
            <w:vAlign w:val="center"/>
          </w:tcPr>
          <w:p>
            <w:pPr>
              <w:rPr>
                <w:rFonts w:ascii="宋体" w:hAnsi="宋体" w:eastAsia="宋体" w:cs="宋体"/>
                <w:bCs/>
                <w:color w:val="auto"/>
                <w:szCs w:val="21"/>
                <w:highlight w:val="none"/>
              </w:rPr>
            </w:pPr>
          </w:p>
        </w:tc>
        <w:tc>
          <w:tcPr>
            <w:tcW w:w="546" w:type="dxa"/>
            <w:vMerge w:val="continue"/>
            <w:noWrap w:val="0"/>
            <w:vAlign w:val="center"/>
          </w:tcPr>
          <w:p>
            <w:pPr>
              <w:textAlignment w:val="center"/>
              <w:rPr>
                <w:rFonts w:hint="eastAsia" w:ascii="宋体" w:hAnsi="宋体" w:eastAsia="宋体" w:cs="宋体"/>
                <w:bCs/>
                <w:color w:val="auto"/>
                <w:szCs w:val="21"/>
                <w:highlight w:val="none"/>
                <w:lang w:val="en-US" w:eastAsia="zh-CN"/>
              </w:rPr>
            </w:pPr>
          </w:p>
        </w:tc>
        <w:tc>
          <w:tcPr>
            <w:tcW w:w="7464" w:type="dxa"/>
            <w:noWrap w:val="0"/>
            <w:vAlign w:val="center"/>
          </w:tcPr>
          <w:p>
            <w:pPr>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20、</w:t>
            </w:r>
            <w:r>
              <w:rPr>
                <w:rFonts w:hint="eastAsia" w:ascii="Calibri" w:hAnsi="宋体" w:eastAsia="宋体" w:cs="宋体"/>
                <w:bCs/>
                <w:color w:val="auto"/>
                <w:sz w:val="21"/>
                <w:szCs w:val="21"/>
                <w:highlight w:val="none"/>
              </w:rPr>
              <w:t>投标人的报价</w:t>
            </w:r>
            <w:r>
              <w:rPr>
                <w:rFonts w:hint="eastAsia" w:ascii="Calibri" w:hAnsi="宋体" w:eastAsia="宋体" w:cs="宋体"/>
                <w:bCs/>
                <w:color w:val="auto"/>
                <w:sz w:val="21"/>
                <w:szCs w:val="21"/>
                <w:highlight w:val="none"/>
                <w:lang w:eastAsia="zh-CN"/>
              </w:rPr>
              <w:t>未</w:t>
            </w:r>
            <w:r>
              <w:rPr>
                <w:rFonts w:hint="eastAsia" w:ascii="Calibri" w:hAnsi="宋体" w:eastAsia="宋体" w:cs="宋体"/>
                <w:bCs/>
                <w:color w:val="auto"/>
                <w:sz w:val="21"/>
                <w:szCs w:val="21"/>
                <w:highlight w:val="none"/>
              </w:rPr>
              <w:t>明显低于其他通过符合性审查投标人的报价，</w:t>
            </w:r>
            <w:r>
              <w:rPr>
                <w:rFonts w:hint="eastAsia" w:ascii="Calibri" w:hAnsi="宋体" w:eastAsia="宋体" w:cs="宋体"/>
                <w:bCs/>
                <w:color w:val="auto"/>
                <w:sz w:val="21"/>
                <w:szCs w:val="21"/>
                <w:highlight w:val="none"/>
                <w:lang w:eastAsia="zh-CN"/>
              </w:rPr>
              <w:t>如</w:t>
            </w:r>
            <w:r>
              <w:rPr>
                <w:rFonts w:hint="eastAsia" w:ascii="Calibri" w:hAnsi="宋体" w:eastAsia="宋体" w:cs="宋体"/>
                <w:bCs/>
                <w:color w:val="auto"/>
                <w:sz w:val="21"/>
                <w:szCs w:val="21"/>
                <w:highlight w:val="none"/>
              </w:rPr>
              <w:t>有可能影响产品质量或者不能诚信履约的，在评标现场合理时间内提供相关证明材料说明其报价合理</w:t>
            </w:r>
          </w:p>
        </w:tc>
      </w:tr>
    </w:tbl>
    <w:p>
      <w:pPr>
        <w:pageBreakBefore w:val="0"/>
        <w:widowControl w:val="0"/>
        <w:kinsoku/>
        <w:wordWrap/>
        <w:overflowPunct/>
        <w:topLinePunct w:val="0"/>
        <w:autoSpaceDE/>
        <w:autoSpaceDN/>
        <w:bidi w:val="0"/>
        <w:spacing w:line="400" w:lineRule="exact"/>
        <w:ind w:left="0" w:leftChars="0" w:right="0" w:rightChars="0"/>
        <w:rPr>
          <w:rFonts w:hint="eastAsia" w:ascii="宋体" w:hAnsi="宋体" w:eastAsia="宋体" w:cs="宋体"/>
          <w:bCs/>
          <w:color w:val="auto"/>
          <w:szCs w:val="21"/>
          <w:highlight w:val="none"/>
        </w:rPr>
      </w:pPr>
    </w:p>
    <w:p>
      <w:pPr>
        <w:pStyle w:val="14"/>
        <w:pageBreakBefore w:val="0"/>
        <w:widowControl w:val="0"/>
        <w:numPr>
          <w:ilvl w:val="0"/>
          <w:numId w:val="6"/>
        </w:numPr>
        <w:kinsoku/>
        <w:wordWrap/>
        <w:overflowPunct/>
        <w:topLinePunct w:val="0"/>
        <w:autoSpaceDE/>
        <w:autoSpaceDN/>
        <w:bidi w:val="0"/>
        <w:spacing w:line="360" w:lineRule="auto"/>
        <w:ind w:left="0" w:leftChars="0" w:right="0" w:rightChars="0" w:firstLine="420" w:firstLineChars="200"/>
        <w:rPr>
          <w:rFonts w:hint="eastAsia" w:ascii="宋体" w:cs="宋体"/>
          <w:b w:val="0"/>
          <w:color w:val="auto"/>
          <w:sz w:val="21"/>
          <w:szCs w:val="21"/>
          <w:highlight w:val="none"/>
        </w:rPr>
      </w:pPr>
      <w:r>
        <w:rPr>
          <w:rFonts w:hint="eastAsia" w:ascii="宋体" w:cs="宋体"/>
          <w:b w:val="0"/>
          <w:color w:val="auto"/>
          <w:sz w:val="21"/>
          <w:szCs w:val="21"/>
          <w:highlight w:val="none"/>
        </w:rPr>
        <w:t>详细评审</w:t>
      </w:r>
    </w:p>
    <w:p>
      <w:pPr>
        <w:pStyle w:val="14"/>
        <w:pageBreakBefore w:val="0"/>
        <w:widowControl w:val="0"/>
        <w:kinsoku/>
        <w:wordWrap/>
        <w:overflowPunct/>
        <w:topLinePunct w:val="0"/>
        <w:autoSpaceDE/>
        <w:autoSpaceDN/>
        <w:bidi w:val="0"/>
        <w:spacing w:line="360" w:lineRule="auto"/>
        <w:ind w:left="0" w:leftChars="0" w:right="0" w:rightChars="0" w:firstLine="420" w:firstLineChars="200"/>
        <w:rPr>
          <w:rFonts w:hint="eastAsia" w:ascii="宋体" w:cs="宋体"/>
          <w:b w:val="0"/>
          <w:color w:val="auto"/>
          <w:sz w:val="21"/>
          <w:szCs w:val="21"/>
          <w:highlight w:val="none"/>
        </w:rPr>
      </w:pPr>
      <w:r>
        <w:rPr>
          <w:rFonts w:hint="eastAsia" w:ascii="宋体" w:cs="宋体"/>
          <w:b w:val="0"/>
          <w:color w:val="auto"/>
          <w:sz w:val="21"/>
          <w:szCs w:val="21"/>
          <w:highlight w:val="none"/>
        </w:rPr>
        <w:t>评标委员会对通过符合性审查的投标文件，依照本办法对技术、商务内容作进一步评审、比较。评标委员会成员经过阅标、审标和询标，对各投标人进行综合打分。</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评委打分参照本部分附表：评分标准表。技术商务得分由各评标委员会成员打分，根据投标人的投标文件及相关澄清文件，进行独立打分。价格分由评标委员会统一核算。评委打分采用记名方式，取所有评委汇总得分的算术平均分（小数点后保留二位小数）。</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注：评标委员会认为投标文件无效的，应组织相关投标人代表进行陈述、澄清或申辩。</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可协助评标委员会主任评委对打分结果进行校对、核对并汇总统计；对明显畸高、畸低的评分（其总评分偏离平均分30%以上的），评标委员会主任评委应提醒相关评标委员会成员进行复核或书面说明理由，评标委员会成员拒绝说明的，由现场监督员据实记录；评标委员会成员的评审、修改记录应保留原件，随项目其他资料一并存档。</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4.中标原则</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评委会按照各投标人总分由高到低顺序推荐中标候选人，如投标人综合得分相同的，按投标报价由低到高顺序排列；综合得分、报价、技术得分均相同时，则抽签决定，先抽中者排名在前。</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如评标过程中出现本采购文件未尽事宜，则由评标委员会讨论决定。</w:t>
      </w: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5.中标结果</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采购代理机构将中标结果在发布招标公告的网站上公示，并向中标人发出中标通知书。</w:t>
      </w:r>
    </w:p>
    <w:p>
      <w:pPr>
        <w:keepNext w:val="0"/>
        <w:keepLines w:val="0"/>
        <w:pageBreakBefore w:val="0"/>
        <w:widowControl w:val="0"/>
        <w:tabs>
          <w:tab w:val="left" w:pos="1036"/>
        </w:tabs>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color w:val="auto"/>
          <w:sz w:val="24"/>
          <w:szCs w:val="24"/>
          <w:highlight w:val="none"/>
        </w:rPr>
      </w:pPr>
      <w:bookmarkStart w:id="31" w:name="_Toc317116871"/>
      <w:bookmarkStart w:id="32" w:name="_Toc438734535"/>
      <w:r>
        <w:rPr>
          <w:rFonts w:hint="eastAsia" w:ascii="宋体" w:hAnsi="宋体" w:eastAsia="宋体" w:cs="宋体"/>
          <w:b/>
          <w:color w:val="auto"/>
          <w:szCs w:val="21"/>
          <w:highlight w:val="none"/>
        </w:rPr>
        <w:br w:type="page"/>
      </w:r>
      <w:r>
        <w:rPr>
          <w:rFonts w:hint="eastAsia" w:ascii="宋体" w:hAnsi="宋体" w:eastAsia="宋体" w:cs="宋体"/>
          <w:b/>
          <w:color w:val="auto"/>
          <w:sz w:val="24"/>
          <w:szCs w:val="24"/>
          <w:highlight w:val="none"/>
        </w:rPr>
        <w:t>评分标准</w:t>
      </w:r>
    </w:p>
    <w:tbl>
      <w:tblPr>
        <w:tblStyle w:val="20"/>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37"/>
        <w:gridCol w:w="922"/>
        <w:gridCol w:w="2797"/>
        <w:gridCol w:w="385"/>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735" w:type="dxa"/>
            <w:noWrap w:val="0"/>
            <w:vAlign w:val="center"/>
          </w:tcPr>
          <w:p>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737" w:type="dxa"/>
            <w:noWrap w:val="0"/>
            <w:vAlign w:val="center"/>
          </w:tcPr>
          <w:p>
            <w:pPr>
              <w:spacing w:line="276"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内容</w:t>
            </w:r>
          </w:p>
        </w:tc>
        <w:tc>
          <w:tcPr>
            <w:tcW w:w="922" w:type="dxa"/>
            <w:noWrap w:val="0"/>
            <w:vAlign w:val="center"/>
          </w:tcPr>
          <w:p>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分值</w:t>
            </w:r>
          </w:p>
        </w:tc>
        <w:tc>
          <w:tcPr>
            <w:tcW w:w="5962" w:type="dxa"/>
            <w:gridSpan w:val="3"/>
            <w:noWrap w:val="0"/>
            <w:vAlign w:val="center"/>
          </w:tcPr>
          <w:p>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735" w:type="dxa"/>
            <w:noWrap w:val="0"/>
            <w:vAlign w:val="center"/>
          </w:tcPr>
          <w:p>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737" w:type="dxa"/>
            <w:noWrap w:val="0"/>
            <w:vAlign w:val="center"/>
          </w:tcPr>
          <w:p>
            <w:pPr>
              <w:spacing w:line="276"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价格分</w:t>
            </w:r>
          </w:p>
          <w:p>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分）</w:t>
            </w:r>
          </w:p>
        </w:tc>
        <w:tc>
          <w:tcPr>
            <w:tcW w:w="922" w:type="dxa"/>
            <w:noWrap w:val="0"/>
            <w:vAlign w:val="center"/>
          </w:tcPr>
          <w:p>
            <w:pPr>
              <w:spacing w:line="276"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5</w:t>
            </w:r>
          </w:p>
        </w:tc>
        <w:tc>
          <w:tcPr>
            <w:tcW w:w="5962" w:type="dxa"/>
            <w:gridSpan w:val="3"/>
            <w:noWrap w:val="0"/>
            <w:vAlign w:val="center"/>
          </w:tcPr>
          <w:p>
            <w:pPr>
              <w:tabs>
                <w:tab w:val="left" w:pos="420"/>
                <w:tab w:val="left" w:pos="2214"/>
                <w:tab w:val="left" w:pos="4854"/>
                <w:tab w:val="left" w:pos="7374"/>
                <w:tab w:val="left" w:pos="9414"/>
                <w:tab w:val="left" w:pos="11895"/>
              </w:tabs>
              <w:spacing w:line="276" w:lineRule="auto"/>
              <w:rPr>
                <w:rFonts w:hint="eastAsia" w:ascii="宋体" w:hAnsi="宋体" w:cs="宋体"/>
                <w:snapToGrid w:val="0"/>
                <w:color w:val="auto"/>
                <w:szCs w:val="21"/>
                <w:highlight w:val="none"/>
              </w:rPr>
            </w:pPr>
            <w:r>
              <w:rPr>
                <w:rFonts w:hint="eastAsia" w:ascii="宋体" w:hAnsi="宋体" w:cs="宋体"/>
                <w:snapToGrid w:val="0"/>
                <w:color w:val="auto"/>
                <w:szCs w:val="21"/>
                <w:highlight w:val="none"/>
                <w:lang w:val="en-US" w:eastAsia="zh-CN"/>
              </w:rPr>
              <w:t>1</w:t>
            </w:r>
            <w:r>
              <w:rPr>
                <w:rFonts w:hint="eastAsia" w:ascii="宋体" w:hAnsi="宋体" w:cs="宋体"/>
                <w:snapToGrid w:val="0"/>
                <w:color w:val="auto"/>
                <w:szCs w:val="21"/>
                <w:highlight w:val="none"/>
              </w:rPr>
              <w:t>、基准价=合格投标中的最低评审价，得满分</w:t>
            </w:r>
            <w:r>
              <w:rPr>
                <w:rFonts w:hint="eastAsia" w:ascii="宋体" w:hAnsi="宋体" w:cs="宋体"/>
                <w:snapToGrid w:val="0"/>
                <w:color w:val="auto"/>
                <w:szCs w:val="21"/>
                <w:highlight w:val="none"/>
                <w:lang w:val="en-US" w:eastAsia="zh-CN"/>
              </w:rPr>
              <w:t>15</w:t>
            </w:r>
            <w:r>
              <w:rPr>
                <w:rFonts w:hint="eastAsia" w:ascii="宋体" w:hAnsi="宋体" w:cs="宋体"/>
                <w:snapToGrid w:val="0"/>
                <w:color w:val="auto"/>
                <w:szCs w:val="21"/>
                <w:highlight w:val="none"/>
              </w:rPr>
              <w:t>分</w:t>
            </w:r>
          </w:p>
          <w:p>
            <w:pPr>
              <w:tabs>
                <w:tab w:val="left" w:pos="420"/>
                <w:tab w:val="left" w:pos="2214"/>
                <w:tab w:val="left" w:pos="4854"/>
                <w:tab w:val="left" w:pos="7374"/>
                <w:tab w:val="left" w:pos="9414"/>
                <w:tab w:val="left" w:pos="11895"/>
              </w:tabs>
              <w:spacing w:line="276" w:lineRule="auto"/>
              <w:rPr>
                <w:rFonts w:hint="eastAsia" w:ascii="宋体" w:hAnsi="宋体" w:cs="宋体"/>
                <w:snapToGrid w:val="0"/>
                <w:color w:val="auto"/>
                <w:szCs w:val="21"/>
                <w:highlight w:val="none"/>
              </w:rPr>
            </w:pPr>
            <w:r>
              <w:rPr>
                <w:rFonts w:hint="eastAsia" w:ascii="宋体" w:hAnsi="宋体" w:cs="宋体"/>
                <w:snapToGrid w:val="0"/>
                <w:color w:val="auto"/>
                <w:szCs w:val="21"/>
                <w:highlight w:val="none"/>
                <w:lang w:val="en-US" w:eastAsia="zh-CN"/>
              </w:rPr>
              <w:t>2</w:t>
            </w:r>
            <w:r>
              <w:rPr>
                <w:rFonts w:hint="eastAsia" w:ascii="宋体" w:hAnsi="宋体" w:cs="宋体"/>
                <w:snapToGrid w:val="0"/>
                <w:color w:val="auto"/>
                <w:szCs w:val="21"/>
                <w:highlight w:val="none"/>
              </w:rPr>
              <w:t>、投标报价得分=（基准价/</w:t>
            </w:r>
            <w:r>
              <w:rPr>
                <w:rFonts w:hint="eastAsia" w:ascii="宋体" w:hAnsi="宋体" w:cs="宋体"/>
                <w:snapToGrid w:val="0"/>
                <w:color w:val="auto"/>
                <w:szCs w:val="21"/>
                <w:highlight w:val="none"/>
                <w:lang w:eastAsia="zh-CN"/>
              </w:rPr>
              <w:t>投标报价</w:t>
            </w:r>
            <w:r>
              <w:rPr>
                <w:rFonts w:hint="eastAsia" w:ascii="宋体" w:hAnsi="宋体" w:cs="宋体"/>
                <w:snapToGrid w:val="0"/>
                <w:color w:val="auto"/>
                <w:szCs w:val="21"/>
                <w:highlight w:val="none"/>
              </w:rPr>
              <w:t>）×1</w:t>
            </w:r>
            <w:r>
              <w:rPr>
                <w:rFonts w:hint="eastAsia" w:ascii="宋体" w:hAnsi="宋体" w:cs="宋体"/>
                <w:snapToGrid w:val="0"/>
                <w:color w:val="auto"/>
                <w:szCs w:val="21"/>
                <w:highlight w:val="none"/>
                <w:lang w:val="en-US" w:eastAsia="zh-CN"/>
              </w:rPr>
              <w:t>5</w:t>
            </w:r>
            <w:r>
              <w:rPr>
                <w:rFonts w:hint="eastAsia" w:ascii="宋体" w:hAnsi="宋体" w:cs="宋体"/>
                <w:snapToGrid w:val="0"/>
                <w:color w:val="auto"/>
                <w:szCs w:val="21"/>
                <w:highlight w:val="none"/>
              </w:rPr>
              <w:t>×100%</w:t>
            </w:r>
          </w:p>
          <w:p>
            <w:pPr>
              <w:tabs>
                <w:tab w:val="left" w:pos="420"/>
                <w:tab w:val="left" w:pos="2214"/>
                <w:tab w:val="left" w:pos="4854"/>
                <w:tab w:val="left" w:pos="7374"/>
                <w:tab w:val="left" w:pos="9414"/>
                <w:tab w:val="left" w:pos="11895"/>
              </w:tabs>
              <w:spacing w:line="276" w:lineRule="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(投标报价得分以四舍五入方法整合到小数点后两位)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5" w:type="dxa"/>
            <w:vMerge w:val="restart"/>
            <w:noWrap w:val="0"/>
            <w:vAlign w:val="center"/>
          </w:tcPr>
          <w:p>
            <w:pPr>
              <w:spacing w:line="276" w:lineRule="auto"/>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1737" w:type="dxa"/>
            <w:vMerge w:val="restart"/>
            <w:noWrap w:val="0"/>
            <w:vAlign w:val="center"/>
          </w:tcPr>
          <w:p>
            <w:pPr>
              <w:spacing w:line="276"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技术方案</w:t>
            </w:r>
          </w:p>
          <w:p>
            <w:pPr>
              <w:spacing w:line="276"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及服务保障、基础数据支撑</w:t>
            </w:r>
          </w:p>
          <w:p>
            <w:pPr>
              <w:spacing w:line="276"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24</w:t>
            </w:r>
            <w:r>
              <w:rPr>
                <w:rFonts w:hint="eastAsia" w:ascii="宋体" w:hAnsi="宋体" w:cs="宋体"/>
                <w:bCs/>
                <w:color w:val="auto"/>
                <w:szCs w:val="21"/>
                <w:highlight w:val="none"/>
              </w:rPr>
              <w:t>分）</w:t>
            </w:r>
          </w:p>
        </w:tc>
        <w:tc>
          <w:tcPr>
            <w:tcW w:w="922" w:type="dxa"/>
            <w:noWrap w:val="0"/>
            <w:vAlign w:val="center"/>
          </w:tcPr>
          <w:p>
            <w:pPr>
              <w:spacing w:line="276"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5</w:t>
            </w:r>
          </w:p>
        </w:tc>
        <w:tc>
          <w:tcPr>
            <w:tcW w:w="5962" w:type="dxa"/>
            <w:gridSpan w:val="3"/>
            <w:noWrap w:val="0"/>
            <w:vAlign w:val="center"/>
          </w:tcPr>
          <w:p>
            <w:pPr>
              <w:snapToGrid w:val="0"/>
              <w:spacing w:line="276" w:lineRule="auto"/>
              <w:rPr>
                <w:rFonts w:hint="eastAsia" w:ascii="宋体" w:hAnsi="宋体" w:eastAsia="宋体" w:cs="Times New Roman"/>
                <w:color w:val="auto"/>
                <w:kern w:val="2"/>
                <w:sz w:val="21"/>
                <w:szCs w:val="24"/>
                <w:highlight w:val="none"/>
                <w:lang w:val="en-US" w:eastAsia="zh-CN" w:bidi="ar-SA"/>
              </w:rPr>
            </w:pPr>
            <w:r>
              <w:rPr>
                <w:rFonts w:hint="eastAsia" w:ascii="宋体" w:hAnsi="宋体"/>
                <w:color w:val="auto"/>
                <w:szCs w:val="21"/>
                <w:highlight w:val="none"/>
              </w:rPr>
              <w:t>服务实施方案（包括但不</w:t>
            </w:r>
            <w:r>
              <w:rPr>
                <w:rFonts w:ascii="宋体" w:hAnsi="宋体"/>
                <w:color w:val="auto"/>
                <w:szCs w:val="21"/>
                <w:highlight w:val="none"/>
              </w:rPr>
              <w:t>限于</w:t>
            </w:r>
            <w:r>
              <w:rPr>
                <w:rFonts w:hint="eastAsia" w:ascii="宋体" w:hAnsi="宋体"/>
                <w:color w:val="auto"/>
                <w:szCs w:val="21"/>
                <w:highlight w:val="none"/>
                <w:lang w:eastAsia="zh-CN"/>
              </w:rPr>
              <w:t>实施方案、工作方法、人员安排、工作步骤</w:t>
            </w:r>
            <w:r>
              <w:rPr>
                <w:rFonts w:hint="eastAsia" w:ascii="宋体" w:hAnsi="宋体"/>
                <w:color w:val="auto"/>
                <w:szCs w:val="21"/>
                <w:highlight w:val="none"/>
              </w:rPr>
              <w:t>、工作纪律）</w:t>
            </w:r>
            <w:r>
              <w:rPr>
                <w:rFonts w:hint="eastAsia" w:ascii="宋体" w:hAnsi="宋体"/>
                <w:color w:val="auto"/>
                <w:szCs w:val="21"/>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5" w:type="dxa"/>
            <w:vMerge w:val="continue"/>
            <w:noWrap w:val="0"/>
            <w:vAlign w:val="center"/>
          </w:tcPr>
          <w:p>
            <w:pPr>
              <w:spacing w:line="276" w:lineRule="auto"/>
              <w:jc w:val="center"/>
              <w:rPr>
                <w:rFonts w:hint="eastAsia" w:ascii="宋体" w:hAnsi="宋体" w:cs="宋体"/>
                <w:bCs/>
                <w:color w:val="auto"/>
                <w:szCs w:val="21"/>
                <w:highlight w:val="none"/>
              </w:rPr>
            </w:pPr>
          </w:p>
        </w:tc>
        <w:tc>
          <w:tcPr>
            <w:tcW w:w="1737" w:type="dxa"/>
            <w:vMerge w:val="continue"/>
            <w:noWrap w:val="0"/>
            <w:vAlign w:val="center"/>
          </w:tcPr>
          <w:p>
            <w:pPr>
              <w:spacing w:line="276" w:lineRule="auto"/>
              <w:jc w:val="center"/>
              <w:rPr>
                <w:rFonts w:hint="eastAsia" w:ascii="宋体" w:hAnsi="宋体" w:cs="宋体"/>
                <w:bCs/>
                <w:color w:val="auto"/>
                <w:szCs w:val="21"/>
                <w:highlight w:val="none"/>
              </w:rPr>
            </w:pPr>
          </w:p>
        </w:tc>
        <w:tc>
          <w:tcPr>
            <w:tcW w:w="922" w:type="dxa"/>
            <w:noWrap w:val="0"/>
            <w:vAlign w:val="center"/>
          </w:tcPr>
          <w:p>
            <w:pPr>
              <w:spacing w:line="276"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5</w:t>
            </w:r>
          </w:p>
        </w:tc>
        <w:tc>
          <w:tcPr>
            <w:tcW w:w="5962" w:type="dxa"/>
            <w:gridSpan w:val="3"/>
            <w:noWrap w:val="0"/>
            <w:vAlign w:val="center"/>
          </w:tcPr>
          <w:p>
            <w:pPr>
              <w:widowControl/>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lang w:val="en-US" w:eastAsia="zh-CN"/>
              </w:rPr>
              <w:t>对</w:t>
            </w:r>
            <w:r>
              <w:rPr>
                <w:rFonts w:hint="eastAsia" w:ascii="宋体" w:hAnsi="宋体" w:eastAsia="宋体" w:cs="Times New Roman"/>
                <w:color w:val="auto"/>
                <w:szCs w:val="21"/>
                <w:highlight w:val="none"/>
              </w:rPr>
              <w:t>《城镇土地估价规程》等技术规范</w:t>
            </w:r>
            <w:r>
              <w:rPr>
                <w:rFonts w:hint="eastAsia" w:ascii="宋体" w:hAnsi="宋体" w:eastAsia="宋体" w:cs="Times New Roman"/>
                <w:color w:val="auto"/>
                <w:szCs w:val="21"/>
                <w:highlight w:val="none"/>
                <w:lang w:val="en-US" w:eastAsia="zh-CN"/>
              </w:rPr>
              <w:t>的分析运用方案对</w:t>
            </w:r>
            <w:r>
              <w:rPr>
                <w:rFonts w:hint="eastAsia" w:ascii="宋体" w:hAnsi="宋体" w:eastAsia="宋体" w:cs="Times New Roman"/>
                <w:color w:val="auto"/>
                <w:szCs w:val="21"/>
                <w:highlight w:val="none"/>
              </w:rPr>
              <w:t>土地估价原则和分析</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影响土地价格因素的</w:t>
            </w:r>
            <w:r>
              <w:rPr>
                <w:rFonts w:hint="eastAsia" w:ascii="宋体" w:hAnsi="宋体" w:eastAsia="宋体" w:cs="Times New Roman"/>
                <w:color w:val="auto"/>
                <w:szCs w:val="21"/>
                <w:highlight w:val="none"/>
                <w:lang w:val="en-US" w:eastAsia="zh-CN"/>
              </w:rPr>
              <w:t>分析</w:t>
            </w:r>
            <w:r>
              <w:rPr>
                <w:rFonts w:hint="eastAsia" w:ascii="宋体" w:hAnsi="宋体" w:eastAsia="宋体" w:cs="Times New Roman"/>
                <w:color w:val="auto"/>
                <w:szCs w:val="21"/>
                <w:highlight w:val="none"/>
              </w:rPr>
              <w:t>运用</w:t>
            </w:r>
            <w:r>
              <w:rPr>
                <w:rFonts w:hint="eastAsia" w:ascii="宋体" w:hAnsi="宋体" w:eastAsia="宋体" w:cs="Times New Roman"/>
                <w:color w:val="auto"/>
                <w:szCs w:val="21"/>
                <w:highlight w:val="none"/>
                <w:lang w:val="en-US"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735" w:type="dxa"/>
            <w:vMerge w:val="continue"/>
            <w:noWrap w:val="0"/>
            <w:vAlign w:val="center"/>
          </w:tcPr>
          <w:p>
            <w:pPr>
              <w:spacing w:line="276" w:lineRule="auto"/>
              <w:jc w:val="center"/>
              <w:rPr>
                <w:rFonts w:hint="eastAsia" w:ascii="宋体" w:hAnsi="宋体" w:cs="宋体"/>
                <w:bCs/>
                <w:color w:val="auto"/>
                <w:szCs w:val="21"/>
                <w:highlight w:val="none"/>
              </w:rPr>
            </w:pPr>
          </w:p>
        </w:tc>
        <w:tc>
          <w:tcPr>
            <w:tcW w:w="1737" w:type="dxa"/>
            <w:vMerge w:val="continue"/>
            <w:noWrap w:val="0"/>
            <w:vAlign w:val="center"/>
          </w:tcPr>
          <w:p>
            <w:pPr>
              <w:spacing w:line="276" w:lineRule="auto"/>
              <w:jc w:val="center"/>
              <w:rPr>
                <w:rFonts w:hint="eastAsia" w:ascii="宋体" w:hAnsi="宋体" w:cs="宋体"/>
                <w:bCs/>
                <w:color w:val="auto"/>
                <w:szCs w:val="21"/>
                <w:highlight w:val="none"/>
              </w:rPr>
            </w:pPr>
          </w:p>
        </w:tc>
        <w:tc>
          <w:tcPr>
            <w:tcW w:w="922" w:type="dxa"/>
            <w:noWrap w:val="0"/>
            <w:vAlign w:val="center"/>
          </w:tcPr>
          <w:p>
            <w:pPr>
              <w:spacing w:line="276"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3</w:t>
            </w:r>
          </w:p>
        </w:tc>
        <w:tc>
          <w:tcPr>
            <w:tcW w:w="5962" w:type="dxa"/>
            <w:gridSpan w:val="3"/>
            <w:noWrap w:val="0"/>
            <w:vAlign w:val="center"/>
          </w:tcPr>
          <w:p>
            <w:pPr>
              <w:widowControl/>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lang w:eastAsia="zh-CN"/>
              </w:rPr>
              <w:t>进度保障</w:t>
            </w:r>
            <w:r>
              <w:rPr>
                <w:rFonts w:hint="eastAsia" w:ascii="宋体" w:hAnsi="宋体" w:cs="Times New Roman"/>
                <w:color w:val="auto"/>
                <w:szCs w:val="21"/>
                <w:highlight w:val="none"/>
                <w:lang w:val="en-US" w:eastAsia="zh-CN"/>
              </w:rPr>
              <w:t>方案及措施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735" w:type="dxa"/>
            <w:vMerge w:val="continue"/>
            <w:noWrap w:val="0"/>
            <w:vAlign w:val="center"/>
          </w:tcPr>
          <w:p>
            <w:pPr>
              <w:spacing w:line="276" w:lineRule="auto"/>
              <w:jc w:val="center"/>
              <w:rPr>
                <w:rFonts w:hint="eastAsia" w:ascii="宋体" w:hAnsi="宋体" w:cs="宋体"/>
                <w:bCs/>
                <w:color w:val="auto"/>
                <w:szCs w:val="21"/>
                <w:highlight w:val="none"/>
              </w:rPr>
            </w:pPr>
          </w:p>
        </w:tc>
        <w:tc>
          <w:tcPr>
            <w:tcW w:w="1737" w:type="dxa"/>
            <w:vMerge w:val="continue"/>
            <w:noWrap w:val="0"/>
            <w:vAlign w:val="center"/>
          </w:tcPr>
          <w:p>
            <w:pPr>
              <w:spacing w:line="276" w:lineRule="auto"/>
              <w:jc w:val="center"/>
              <w:rPr>
                <w:rFonts w:hint="eastAsia" w:ascii="宋体" w:hAnsi="宋体" w:cs="宋体"/>
                <w:bCs/>
                <w:color w:val="auto"/>
                <w:szCs w:val="21"/>
                <w:highlight w:val="none"/>
              </w:rPr>
            </w:pPr>
          </w:p>
        </w:tc>
        <w:tc>
          <w:tcPr>
            <w:tcW w:w="922" w:type="dxa"/>
            <w:noWrap w:val="0"/>
            <w:vAlign w:val="center"/>
          </w:tcPr>
          <w:p>
            <w:pPr>
              <w:spacing w:line="276" w:lineRule="auto"/>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c>
          <w:tcPr>
            <w:tcW w:w="5962" w:type="dxa"/>
            <w:gridSpan w:val="3"/>
            <w:noWrap w:val="0"/>
            <w:vAlign w:val="center"/>
          </w:tcPr>
          <w:p>
            <w:pPr>
              <w:widowControl/>
              <w:jc w:val="left"/>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质量保障</w:t>
            </w:r>
            <w:r>
              <w:rPr>
                <w:rFonts w:hint="eastAsia" w:ascii="宋体" w:hAnsi="宋体" w:cs="Times New Roman"/>
                <w:color w:val="auto"/>
                <w:szCs w:val="21"/>
                <w:highlight w:val="none"/>
                <w:lang w:val="en-US" w:eastAsia="zh-CN"/>
              </w:rPr>
              <w:t>方案及措施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5" w:type="dxa"/>
            <w:vMerge w:val="continue"/>
            <w:noWrap w:val="0"/>
            <w:vAlign w:val="center"/>
          </w:tcPr>
          <w:p>
            <w:pPr>
              <w:spacing w:line="276" w:lineRule="auto"/>
              <w:ind w:firstLine="210" w:firstLineChars="100"/>
              <w:rPr>
                <w:rFonts w:hint="eastAsia" w:ascii="宋体" w:hAnsi="宋体" w:cs="宋体"/>
                <w:bCs/>
                <w:color w:val="auto"/>
                <w:szCs w:val="21"/>
                <w:highlight w:val="none"/>
              </w:rPr>
            </w:pPr>
          </w:p>
        </w:tc>
        <w:tc>
          <w:tcPr>
            <w:tcW w:w="1737" w:type="dxa"/>
            <w:vMerge w:val="continue"/>
            <w:noWrap w:val="0"/>
            <w:vAlign w:val="center"/>
          </w:tcPr>
          <w:p>
            <w:pPr>
              <w:spacing w:line="276" w:lineRule="auto"/>
              <w:jc w:val="center"/>
              <w:rPr>
                <w:rFonts w:hint="eastAsia" w:ascii="宋体" w:hAnsi="宋体" w:cs="宋体"/>
                <w:bCs/>
                <w:color w:val="auto"/>
                <w:szCs w:val="21"/>
                <w:highlight w:val="none"/>
              </w:rPr>
            </w:pPr>
          </w:p>
        </w:tc>
        <w:tc>
          <w:tcPr>
            <w:tcW w:w="922" w:type="dxa"/>
            <w:noWrap w:val="0"/>
            <w:vAlign w:val="center"/>
          </w:tcPr>
          <w:p>
            <w:pPr>
              <w:spacing w:line="276"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4</w:t>
            </w:r>
          </w:p>
        </w:tc>
        <w:tc>
          <w:tcPr>
            <w:tcW w:w="5962" w:type="dxa"/>
            <w:gridSpan w:val="3"/>
            <w:noWrap w:val="0"/>
            <w:vAlign w:val="center"/>
          </w:tcPr>
          <w:p>
            <w:pPr>
              <w:widowControl/>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投标人具有地价动态监测服务能力的得</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分</w:t>
            </w:r>
          </w:p>
          <w:p>
            <w:pPr>
              <w:widowControl/>
              <w:jc w:val="left"/>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lang w:val="en-US" w:eastAsia="zh-CN"/>
              </w:rPr>
              <w:t>提供承接过相关服务的合同复印件加盖投标人公章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5" w:type="dxa"/>
            <w:vMerge w:val="continue"/>
            <w:noWrap w:val="0"/>
            <w:vAlign w:val="center"/>
          </w:tcPr>
          <w:p>
            <w:pPr>
              <w:spacing w:line="276" w:lineRule="auto"/>
              <w:ind w:firstLine="210" w:firstLineChars="100"/>
              <w:rPr>
                <w:rFonts w:hint="eastAsia" w:ascii="宋体" w:hAnsi="宋体" w:cs="宋体"/>
                <w:bCs/>
                <w:color w:val="auto"/>
                <w:szCs w:val="21"/>
                <w:highlight w:val="none"/>
              </w:rPr>
            </w:pPr>
          </w:p>
        </w:tc>
        <w:tc>
          <w:tcPr>
            <w:tcW w:w="1737" w:type="dxa"/>
            <w:vMerge w:val="continue"/>
            <w:noWrap w:val="0"/>
            <w:vAlign w:val="center"/>
          </w:tcPr>
          <w:p>
            <w:pPr>
              <w:spacing w:line="276" w:lineRule="auto"/>
              <w:jc w:val="center"/>
              <w:rPr>
                <w:rFonts w:hint="eastAsia" w:ascii="宋体" w:hAnsi="宋体" w:cs="宋体"/>
                <w:bCs/>
                <w:color w:val="auto"/>
                <w:szCs w:val="21"/>
                <w:highlight w:val="none"/>
              </w:rPr>
            </w:pPr>
          </w:p>
        </w:tc>
        <w:tc>
          <w:tcPr>
            <w:tcW w:w="922" w:type="dxa"/>
            <w:noWrap w:val="0"/>
            <w:vAlign w:val="center"/>
          </w:tcPr>
          <w:p>
            <w:pPr>
              <w:spacing w:line="276" w:lineRule="auto"/>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4</w:t>
            </w:r>
          </w:p>
        </w:tc>
        <w:tc>
          <w:tcPr>
            <w:tcW w:w="5962" w:type="dxa"/>
            <w:gridSpan w:val="3"/>
            <w:noWrap w:val="0"/>
            <w:vAlign w:val="center"/>
          </w:tcPr>
          <w:p>
            <w:pPr>
              <w:widowControl/>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投标人具有公示地价项目相关能力的得</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分</w:t>
            </w:r>
          </w:p>
          <w:p>
            <w:pPr>
              <w:widowControl/>
              <w:jc w:val="left"/>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lang w:val="en-US" w:eastAsia="zh-CN"/>
              </w:rPr>
              <w:t>提供承接过相关服务的合同复印件加盖投标人公章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5" w:type="dxa"/>
            <w:vMerge w:val="restart"/>
            <w:noWrap w:val="0"/>
            <w:vAlign w:val="center"/>
          </w:tcPr>
          <w:p>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1737" w:type="dxa"/>
            <w:vMerge w:val="restart"/>
            <w:noWrap w:val="0"/>
            <w:vAlign w:val="center"/>
          </w:tcPr>
          <w:p>
            <w:pPr>
              <w:spacing w:line="276"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对</w:t>
            </w:r>
            <w:r>
              <w:rPr>
                <w:rFonts w:hint="eastAsia" w:ascii="宋体" w:hAnsi="宋体" w:cs="宋体"/>
                <w:bCs/>
                <w:color w:val="auto"/>
                <w:szCs w:val="21"/>
                <w:highlight w:val="none"/>
                <w:lang w:val="en-US" w:eastAsia="zh-CN"/>
              </w:rPr>
              <w:t>项目地</w:t>
            </w:r>
            <w:r>
              <w:rPr>
                <w:rFonts w:hint="eastAsia" w:ascii="宋体" w:hAnsi="宋体" w:cs="宋体"/>
                <w:bCs/>
                <w:color w:val="auto"/>
                <w:szCs w:val="21"/>
                <w:highlight w:val="none"/>
              </w:rPr>
              <w:t>地价评估的熟悉程度及专业研究能力</w:t>
            </w:r>
          </w:p>
          <w:p>
            <w:pPr>
              <w:spacing w:line="276"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p>
        </w:tc>
        <w:tc>
          <w:tcPr>
            <w:tcW w:w="922" w:type="dxa"/>
            <w:noWrap w:val="0"/>
            <w:vAlign w:val="center"/>
          </w:tcPr>
          <w:p>
            <w:pPr>
              <w:spacing w:line="276"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4</w:t>
            </w:r>
          </w:p>
        </w:tc>
        <w:tc>
          <w:tcPr>
            <w:tcW w:w="5962" w:type="dxa"/>
            <w:gridSpan w:val="3"/>
            <w:noWrap w:val="0"/>
            <w:vAlign w:val="center"/>
          </w:tcPr>
          <w:p>
            <w:pPr>
              <w:tabs>
                <w:tab w:val="left" w:pos="420"/>
                <w:tab w:val="left" w:pos="2214"/>
                <w:tab w:val="left" w:pos="4854"/>
                <w:tab w:val="left" w:pos="7374"/>
                <w:tab w:val="left" w:pos="9414"/>
                <w:tab w:val="left" w:pos="11895"/>
              </w:tabs>
              <w:spacing w:line="276" w:lineRule="auto"/>
              <w:rPr>
                <w:rFonts w:ascii="宋体" w:hAnsi="宋体" w:cs="宋体"/>
                <w:snapToGrid w:val="0"/>
                <w:color w:val="auto"/>
                <w:szCs w:val="21"/>
                <w:highlight w:val="none"/>
              </w:rPr>
            </w:pPr>
            <w:r>
              <w:rPr>
                <w:rFonts w:hint="eastAsia" w:ascii="宋体" w:hAnsi="宋体" w:cs="宋体"/>
                <w:color w:val="auto"/>
                <w:kern w:val="0"/>
                <w:szCs w:val="21"/>
                <w:highlight w:val="none"/>
              </w:rPr>
              <w:t>根据</w:t>
            </w:r>
            <w:r>
              <w:rPr>
                <w:rFonts w:ascii="宋体" w:hAnsi="宋体" w:cs="宋体"/>
                <w:color w:val="auto"/>
                <w:kern w:val="0"/>
                <w:szCs w:val="21"/>
                <w:highlight w:val="none"/>
              </w:rPr>
              <w:t>投标人</w:t>
            </w:r>
            <w:r>
              <w:rPr>
                <w:rFonts w:hint="eastAsia" w:ascii="宋体" w:hAnsi="宋体" w:cs="宋体"/>
                <w:color w:val="auto"/>
                <w:kern w:val="0"/>
                <w:szCs w:val="21"/>
                <w:highlight w:val="none"/>
              </w:rPr>
              <w:t>对</w:t>
            </w:r>
            <w:r>
              <w:rPr>
                <w:rFonts w:hint="eastAsia" w:ascii="宋体" w:hAnsi="宋体" w:cs="宋体"/>
                <w:color w:val="auto"/>
                <w:kern w:val="0"/>
                <w:szCs w:val="21"/>
                <w:highlight w:val="none"/>
                <w:lang w:val="en-US" w:eastAsia="zh-CN"/>
              </w:rPr>
              <w:t>项目地</w:t>
            </w:r>
            <w:r>
              <w:rPr>
                <w:rFonts w:hint="eastAsia" w:ascii="宋体" w:hAnsi="宋体" w:cs="宋体"/>
                <w:color w:val="auto"/>
                <w:kern w:val="0"/>
                <w:szCs w:val="21"/>
                <w:highlight w:val="none"/>
              </w:rPr>
              <w:t>房地产、土地市场行情和</w:t>
            </w:r>
            <w:r>
              <w:rPr>
                <w:rFonts w:ascii="宋体" w:hAnsi="宋体" w:cs="宋体"/>
                <w:color w:val="auto"/>
                <w:kern w:val="0"/>
                <w:szCs w:val="21"/>
                <w:highlight w:val="none"/>
              </w:rPr>
              <w:t>地价</w:t>
            </w:r>
            <w:r>
              <w:rPr>
                <w:rFonts w:hint="eastAsia" w:ascii="宋体" w:hAnsi="宋体" w:cs="宋体"/>
                <w:color w:val="auto"/>
                <w:kern w:val="0"/>
                <w:szCs w:val="21"/>
                <w:highlight w:val="none"/>
              </w:rPr>
              <w:t>管理政策的了解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5" w:type="dxa"/>
            <w:vMerge w:val="continue"/>
            <w:noWrap w:val="0"/>
            <w:vAlign w:val="center"/>
          </w:tcPr>
          <w:p>
            <w:pPr>
              <w:spacing w:line="276" w:lineRule="auto"/>
              <w:jc w:val="center"/>
              <w:rPr>
                <w:rFonts w:hint="eastAsia" w:ascii="宋体" w:hAnsi="宋体" w:cs="宋体"/>
                <w:bCs/>
                <w:color w:val="auto"/>
                <w:szCs w:val="21"/>
                <w:highlight w:val="none"/>
              </w:rPr>
            </w:pPr>
          </w:p>
        </w:tc>
        <w:tc>
          <w:tcPr>
            <w:tcW w:w="1737" w:type="dxa"/>
            <w:vMerge w:val="continue"/>
            <w:noWrap w:val="0"/>
            <w:vAlign w:val="center"/>
          </w:tcPr>
          <w:p>
            <w:pPr>
              <w:spacing w:line="276" w:lineRule="auto"/>
              <w:jc w:val="center"/>
              <w:rPr>
                <w:rFonts w:hint="eastAsia" w:ascii="宋体" w:hAnsi="宋体" w:cs="宋体"/>
                <w:bCs/>
                <w:color w:val="auto"/>
                <w:szCs w:val="21"/>
                <w:highlight w:val="none"/>
              </w:rPr>
            </w:pPr>
          </w:p>
        </w:tc>
        <w:tc>
          <w:tcPr>
            <w:tcW w:w="922" w:type="dxa"/>
            <w:noWrap w:val="0"/>
            <w:vAlign w:val="center"/>
          </w:tcPr>
          <w:p>
            <w:pPr>
              <w:spacing w:line="276" w:lineRule="auto"/>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w:t>
            </w:r>
          </w:p>
        </w:tc>
        <w:tc>
          <w:tcPr>
            <w:tcW w:w="5962" w:type="dxa"/>
            <w:gridSpan w:val="3"/>
            <w:noWrap w:val="0"/>
            <w:vAlign w:val="center"/>
          </w:tcPr>
          <w:p>
            <w:pPr>
              <w:tabs>
                <w:tab w:val="left" w:pos="420"/>
                <w:tab w:val="left" w:pos="2214"/>
                <w:tab w:val="left" w:pos="4854"/>
                <w:tab w:val="left" w:pos="7374"/>
                <w:tab w:val="left" w:pos="9414"/>
                <w:tab w:val="left" w:pos="11895"/>
              </w:tabs>
              <w:spacing w:line="276" w:lineRule="auto"/>
              <w:rPr>
                <w:rFonts w:hint="default" w:ascii="宋体" w:hAnsi="宋体" w:eastAsia="宋体"/>
                <w:color w:val="auto"/>
                <w:szCs w:val="21"/>
                <w:highlight w:val="none"/>
                <w:lang w:val="en-US" w:eastAsia="zh-CN"/>
              </w:rPr>
            </w:pPr>
            <w:r>
              <w:rPr>
                <w:rFonts w:hint="eastAsia" w:ascii="宋体" w:hAnsi="宋体" w:cs="宋体"/>
                <w:color w:val="auto"/>
                <w:kern w:val="0"/>
                <w:szCs w:val="21"/>
                <w:highlight w:val="none"/>
              </w:rPr>
              <w:t>地价评估信息化建设</w:t>
            </w:r>
            <w:r>
              <w:rPr>
                <w:rFonts w:hint="eastAsia" w:ascii="宋体" w:hAnsi="宋体" w:cs="宋体"/>
                <w:color w:val="auto"/>
                <w:kern w:val="0"/>
                <w:szCs w:val="21"/>
                <w:highlight w:val="none"/>
                <w:lang w:val="en-US" w:eastAsia="zh-CN"/>
              </w:rPr>
              <w:t>服务水平的建设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5" w:type="dxa"/>
            <w:vMerge w:val="continue"/>
            <w:noWrap w:val="0"/>
            <w:vAlign w:val="center"/>
          </w:tcPr>
          <w:p>
            <w:pPr>
              <w:spacing w:line="276" w:lineRule="auto"/>
              <w:jc w:val="center"/>
              <w:rPr>
                <w:rFonts w:hint="eastAsia" w:ascii="宋体" w:hAnsi="宋体" w:cs="宋体"/>
                <w:bCs/>
                <w:color w:val="auto"/>
                <w:szCs w:val="21"/>
                <w:highlight w:val="none"/>
              </w:rPr>
            </w:pPr>
          </w:p>
        </w:tc>
        <w:tc>
          <w:tcPr>
            <w:tcW w:w="1737" w:type="dxa"/>
            <w:vMerge w:val="continue"/>
            <w:noWrap w:val="0"/>
            <w:vAlign w:val="center"/>
          </w:tcPr>
          <w:p>
            <w:pPr>
              <w:spacing w:line="276" w:lineRule="auto"/>
              <w:jc w:val="center"/>
              <w:rPr>
                <w:rFonts w:hint="eastAsia" w:ascii="宋体" w:hAnsi="宋体" w:cs="宋体"/>
                <w:bCs/>
                <w:color w:val="auto"/>
                <w:szCs w:val="21"/>
                <w:highlight w:val="none"/>
              </w:rPr>
            </w:pPr>
          </w:p>
        </w:tc>
        <w:tc>
          <w:tcPr>
            <w:tcW w:w="922" w:type="dxa"/>
            <w:noWrap w:val="0"/>
            <w:vAlign w:val="center"/>
          </w:tcPr>
          <w:p>
            <w:pPr>
              <w:spacing w:line="276" w:lineRule="auto"/>
              <w:jc w:val="center"/>
              <w:rPr>
                <w:rFonts w:hint="eastAsia" w:ascii="宋体" w:hAnsi="宋体" w:cs="宋体"/>
                <w:bCs/>
                <w:color w:val="auto"/>
                <w:szCs w:val="21"/>
                <w:highlight w:val="none"/>
              </w:rPr>
            </w:pPr>
            <w:r>
              <w:rPr>
                <w:rFonts w:ascii="宋体" w:hAnsi="宋体" w:cs="宋体"/>
                <w:bCs/>
                <w:color w:val="auto"/>
                <w:szCs w:val="21"/>
                <w:highlight w:val="none"/>
              </w:rPr>
              <w:t>6</w:t>
            </w:r>
          </w:p>
        </w:tc>
        <w:tc>
          <w:tcPr>
            <w:tcW w:w="5962" w:type="dxa"/>
            <w:gridSpan w:val="3"/>
            <w:noWrap w:val="0"/>
            <w:vAlign w:val="center"/>
          </w:tcPr>
          <w:p>
            <w:pPr>
              <w:tabs>
                <w:tab w:val="left" w:pos="0"/>
              </w:tabs>
              <w:spacing w:line="276" w:lineRule="auto"/>
              <w:rPr>
                <w:rFonts w:hint="eastAsia" w:ascii="宋体" w:hAnsi="宋体" w:cs="宋体"/>
                <w:snapToGrid w:val="0"/>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或项目实施人员</w:t>
            </w:r>
            <w:r>
              <w:rPr>
                <w:rFonts w:hint="eastAsia" w:ascii="宋体" w:hAnsi="宋体"/>
                <w:color w:val="auto"/>
                <w:szCs w:val="21"/>
                <w:highlight w:val="none"/>
              </w:rPr>
              <w:t>在省级（含）以上主管部门或协会公开发表地价评估、地价研究领域的论文、著作、文章，省级</w:t>
            </w:r>
            <w:r>
              <w:rPr>
                <w:rFonts w:hint="eastAsia" w:ascii="宋体" w:hAnsi="宋体" w:cs="宋体"/>
                <w:color w:val="auto"/>
                <w:szCs w:val="21"/>
                <w:highlight w:val="none"/>
                <w:lang w:val="zh-CN"/>
              </w:rPr>
              <w:t>得</w:t>
            </w:r>
            <w:r>
              <w:rPr>
                <w:rFonts w:hint="eastAsia" w:ascii="宋体" w:hAnsi="宋体" w:cs="宋体"/>
                <w:color w:val="auto"/>
                <w:szCs w:val="21"/>
                <w:highlight w:val="none"/>
              </w:rPr>
              <w:t>1分</w:t>
            </w:r>
            <w:r>
              <w:rPr>
                <w:rFonts w:hint="eastAsia" w:ascii="宋体" w:hAnsi="宋体" w:cs="宋体"/>
                <w:color w:val="auto"/>
                <w:szCs w:val="21"/>
                <w:highlight w:val="none"/>
                <w:lang w:val="zh-CN"/>
              </w:rPr>
              <w:t>，</w:t>
            </w:r>
            <w:r>
              <w:rPr>
                <w:rFonts w:hint="eastAsia" w:ascii="宋体" w:hAnsi="宋体" w:cs="宋体"/>
                <w:color w:val="auto"/>
                <w:szCs w:val="21"/>
                <w:highlight w:val="none"/>
              </w:rPr>
              <w:t>国家级</w:t>
            </w:r>
            <w:r>
              <w:rPr>
                <w:rFonts w:hint="eastAsia" w:ascii="宋体" w:hAnsi="宋体" w:cs="宋体"/>
                <w:color w:val="auto"/>
                <w:szCs w:val="21"/>
                <w:highlight w:val="none"/>
                <w:lang w:val="zh-CN"/>
              </w:rPr>
              <w:t>得</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r>
              <w:rPr>
                <w:rFonts w:hint="eastAsia" w:ascii="宋体" w:hAnsi="宋体"/>
                <w:color w:val="auto"/>
                <w:szCs w:val="21"/>
                <w:highlight w:val="none"/>
              </w:rPr>
              <w:t>论文、著作、文章</w:t>
            </w:r>
            <w:r>
              <w:rPr>
                <w:rFonts w:hint="eastAsia" w:ascii="宋体" w:hAnsi="宋体" w:cs="宋体"/>
                <w:color w:val="auto"/>
                <w:szCs w:val="21"/>
                <w:highlight w:val="none"/>
                <w:lang w:val="zh-CN"/>
              </w:rPr>
              <w:t>获得</w:t>
            </w:r>
            <w:r>
              <w:rPr>
                <w:rFonts w:ascii="宋体" w:hAnsi="宋体" w:cs="宋体"/>
                <w:color w:val="auto"/>
                <w:szCs w:val="21"/>
                <w:highlight w:val="none"/>
                <w:lang w:val="zh-CN"/>
              </w:rPr>
              <w:t>省级</w:t>
            </w:r>
            <w:r>
              <w:rPr>
                <w:rFonts w:hint="eastAsia" w:ascii="宋体" w:hAnsi="宋体" w:cs="宋体"/>
                <w:color w:val="auto"/>
                <w:szCs w:val="21"/>
                <w:highlight w:val="none"/>
                <w:lang w:val="zh-CN"/>
              </w:rPr>
              <w:t>（含）</w:t>
            </w:r>
            <w:r>
              <w:rPr>
                <w:rFonts w:ascii="宋体" w:hAnsi="宋体" w:cs="宋体"/>
                <w:color w:val="auto"/>
                <w:szCs w:val="21"/>
                <w:highlight w:val="none"/>
                <w:lang w:val="zh-CN"/>
              </w:rPr>
              <w:t>以上</w:t>
            </w:r>
            <w:r>
              <w:rPr>
                <w:rFonts w:hint="eastAsia" w:ascii="宋体" w:hAnsi="宋体"/>
                <w:color w:val="auto"/>
                <w:szCs w:val="21"/>
                <w:highlight w:val="none"/>
              </w:rPr>
              <w:t>主管部门或协会相关</w:t>
            </w:r>
            <w:r>
              <w:rPr>
                <w:rFonts w:ascii="宋体" w:hAnsi="宋体"/>
                <w:color w:val="auto"/>
                <w:szCs w:val="21"/>
                <w:highlight w:val="none"/>
              </w:rPr>
              <w:t>荣誉的，省级加</w:t>
            </w:r>
            <w:r>
              <w:rPr>
                <w:rFonts w:hint="eastAsia" w:ascii="宋体" w:hAnsi="宋体"/>
                <w:color w:val="auto"/>
                <w:szCs w:val="21"/>
                <w:highlight w:val="none"/>
              </w:rPr>
              <w:t>1分</w:t>
            </w:r>
            <w:r>
              <w:rPr>
                <w:rFonts w:ascii="宋体" w:hAnsi="宋体"/>
                <w:color w:val="auto"/>
                <w:szCs w:val="21"/>
                <w:highlight w:val="none"/>
              </w:rPr>
              <w:t>，国家级加</w:t>
            </w:r>
            <w:r>
              <w:rPr>
                <w:rFonts w:hint="eastAsia" w:ascii="宋体" w:hAnsi="宋体"/>
                <w:color w:val="auto"/>
                <w:szCs w:val="21"/>
                <w:highlight w:val="none"/>
              </w:rPr>
              <w:t>3分，就高计取，不累计加分。</w:t>
            </w:r>
            <w:r>
              <w:rPr>
                <w:rFonts w:hint="eastAsia" w:ascii="宋体" w:hAnsi="宋体" w:cs="宋体"/>
                <w:color w:val="auto"/>
                <w:szCs w:val="21"/>
                <w:highlight w:val="none"/>
                <w:lang w:val="zh-CN"/>
              </w:rPr>
              <w:t>【若</w:t>
            </w:r>
            <w:r>
              <w:rPr>
                <w:rFonts w:ascii="宋体" w:hAnsi="宋体" w:cs="宋体"/>
                <w:color w:val="auto"/>
                <w:szCs w:val="21"/>
                <w:highlight w:val="none"/>
                <w:lang w:val="zh-CN"/>
              </w:rPr>
              <w:t>为</w:t>
            </w:r>
            <w:r>
              <w:rPr>
                <w:rFonts w:ascii="宋体" w:hAnsi="宋体"/>
                <w:color w:val="auto"/>
                <w:szCs w:val="21"/>
                <w:highlight w:val="none"/>
              </w:rPr>
              <w:t>项目实施人员</w:t>
            </w:r>
            <w:r>
              <w:rPr>
                <w:rFonts w:hint="eastAsia" w:ascii="宋体" w:hAnsi="宋体"/>
                <w:color w:val="auto"/>
                <w:szCs w:val="21"/>
                <w:highlight w:val="none"/>
              </w:rPr>
              <w:t>发表</w:t>
            </w:r>
            <w:r>
              <w:rPr>
                <w:rFonts w:ascii="宋体" w:hAnsi="宋体"/>
                <w:color w:val="auto"/>
                <w:szCs w:val="21"/>
                <w:highlight w:val="none"/>
              </w:rPr>
              <w:t>的</w:t>
            </w:r>
            <w:r>
              <w:rPr>
                <w:rFonts w:hint="eastAsia" w:ascii="宋体" w:hAnsi="宋体"/>
                <w:color w:val="auto"/>
                <w:szCs w:val="21"/>
                <w:highlight w:val="none"/>
              </w:rPr>
              <w:t>论文、著作、文章，须</w:t>
            </w:r>
            <w:r>
              <w:rPr>
                <w:rFonts w:ascii="宋体" w:hAnsi="宋体"/>
                <w:color w:val="auto"/>
                <w:szCs w:val="21"/>
                <w:highlight w:val="none"/>
              </w:rPr>
              <w:t>提供</w:t>
            </w:r>
            <w:r>
              <w:rPr>
                <w:rFonts w:hint="eastAsia" w:ascii="宋体" w:hAnsi="宋体"/>
                <w:color w:val="auto"/>
                <w:szCs w:val="21"/>
                <w:highlight w:val="none"/>
              </w:rPr>
              <w:t>20</w:t>
            </w:r>
            <w:r>
              <w:rPr>
                <w:rFonts w:hint="eastAsia" w:ascii="宋体" w:hAnsi="宋体"/>
                <w:color w:val="auto"/>
                <w:szCs w:val="21"/>
                <w:highlight w:val="none"/>
                <w:lang w:val="en-US" w:eastAsia="zh-CN"/>
              </w:rPr>
              <w:t>22</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月至20</w:t>
            </w:r>
            <w:r>
              <w:rPr>
                <w:rFonts w:hint="eastAsia" w:ascii="宋体" w:hAnsi="宋体"/>
                <w:color w:val="auto"/>
                <w:szCs w:val="21"/>
                <w:highlight w:val="none"/>
                <w:lang w:val="en-US" w:eastAsia="zh-CN"/>
              </w:rPr>
              <w:t>22</w:t>
            </w:r>
            <w:r>
              <w:rPr>
                <w:rFonts w:hint="eastAsia" w:ascii="宋体" w:hAnsi="宋体"/>
                <w:color w:val="auto"/>
                <w:szCs w:val="21"/>
                <w:highlight w:val="none"/>
              </w:rPr>
              <w:t>年</w:t>
            </w:r>
            <w:r>
              <w:rPr>
                <w:rFonts w:hint="eastAsia" w:ascii="宋体" w:hAnsi="宋体"/>
                <w:color w:val="auto"/>
                <w:szCs w:val="21"/>
                <w:highlight w:val="none"/>
                <w:lang w:val="en-US" w:eastAsia="zh-CN"/>
              </w:rPr>
              <w:t>12</w:t>
            </w:r>
            <w:r>
              <w:rPr>
                <w:rFonts w:hint="eastAsia" w:ascii="宋体" w:hAnsi="宋体"/>
                <w:color w:val="auto"/>
                <w:szCs w:val="21"/>
                <w:highlight w:val="none"/>
              </w:rPr>
              <w:t>月连续三个月由县（市、区）级及以上社保部门出具的参保证明复印件加盖</w:t>
            </w:r>
            <w:r>
              <w:rPr>
                <w:rFonts w:ascii="宋体" w:hAnsi="宋体"/>
                <w:color w:val="auto"/>
                <w:szCs w:val="21"/>
                <w:highlight w:val="none"/>
              </w:rPr>
              <w:t>投标人公章</w:t>
            </w:r>
            <w:r>
              <w:rPr>
                <w:rFonts w:hint="eastAsia" w:ascii="宋体" w:hAnsi="宋体" w:cs="宋体"/>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2" w:hRule="atLeast"/>
          <w:jc w:val="center"/>
        </w:trPr>
        <w:tc>
          <w:tcPr>
            <w:tcW w:w="735" w:type="dxa"/>
            <w:vMerge w:val="restart"/>
            <w:noWrap w:val="0"/>
            <w:vAlign w:val="center"/>
          </w:tcPr>
          <w:p>
            <w:pPr>
              <w:spacing w:line="276"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737" w:type="dxa"/>
            <w:vMerge w:val="restart"/>
            <w:noWrap w:val="0"/>
            <w:vAlign w:val="center"/>
          </w:tcPr>
          <w:p>
            <w:pPr>
              <w:spacing w:line="276" w:lineRule="auto"/>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服务便利措施及售后服务方案</w:t>
            </w:r>
          </w:p>
          <w:p>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13</w:t>
            </w:r>
            <w:r>
              <w:rPr>
                <w:rFonts w:hint="eastAsia" w:ascii="宋体" w:hAnsi="宋体" w:cs="宋体"/>
                <w:bCs/>
                <w:color w:val="auto"/>
                <w:szCs w:val="21"/>
                <w:highlight w:val="none"/>
              </w:rPr>
              <w:t>分）</w:t>
            </w:r>
          </w:p>
        </w:tc>
        <w:tc>
          <w:tcPr>
            <w:tcW w:w="922" w:type="dxa"/>
            <w:noWrap w:val="0"/>
            <w:vAlign w:val="center"/>
          </w:tcPr>
          <w:p>
            <w:pPr>
              <w:spacing w:line="276"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4</w:t>
            </w:r>
          </w:p>
        </w:tc>
        <w:tc>
          <w:tcPr>
            <w:tcW w:w="2797" w:type="dxa"/>
            <w:noWrap w:val="0"/>
            <w:vAlign w:val="center"/>
          </w:tcPr>
          <w:p>
            <w:pPr>
              <w:tabs>
                <w:tab w:val="left" w:pos="0"/>
              </w:tabs>
              <w:spacing w:line="276" w:lineRule="auto"/>
              <w:rPr>
                <w:rFonts w:ascii="宋体" w:hAnsi="宋体"/>
                <w:color w:val="auto"/>
                <w:szCs w:val="21"/>
                <w:highlight w:val="none"/>
              </w:rPr>
            </w:pPr>
            <w:r>
              <w:rPr>
                <w:rFonts w:hint="eastAsia" w:ascii="宋体" w:hAnsi="宋体"/>
                <w:color w:val="auto"/>
                <w:szCs w:val="21"/>
                <w:highlight w:val="none"/>
                <w:lang w:val="en-US" w:eastAsia="zh-CN"/>
              </w:rPr>
              <w:t>服务便利性保障方案及措施</w:t>
            </w:r>
          </w:p>
        </w:tc>
        <w:tc>
          <w:tcPr>
            <w:tcW w:w="3165" w:type="dxa"/>
            <w:gridSpan w:val="2"/>
            <w:vMerge w:val="restart"/>
            <w:noWrap w:val="0"/>
            <w:vAlign w:val="center"/>
          </w:tcPr>
          <w:p>
            <w:pPr>
              <w:tabs>
                <w:tab w:val="left" w:pos="0"/>
              </w:tabs>
              <w:spacing w:line="276" w:lineRule="auto"/>
              <w:rPr>
                <w:rFonts w:hint="eastAsia" w:ascii="宋体" w:hAnsi="宋体"/>
                <w:color w:val="auto"/>
                <w:szCs w:val="21"/>
                <w:highlight w:val="none"/>
                <w:lang w:val="en-US" w:eastAsia="zh-CN"/>
              </w:rPr>
            </w:pPr>
            <w:r>
              <w:rPr>
                <w:rFonts w:hint="eastAsia" w:ascii="宋体" w:hAnsi="宋体"/>
                <w:color w:val="auto"/>
                <w:szCs w:val="21"/>
                <w:highlight w:val="none"/>
              </w:rPr>
              <w:t>【</w:t>
            </w:r>
            <w:r>
              <w:rPr>
                <w:rFonts w:hint="eastAsia" w:ascii="宋体" w:hAnsi="宋体"/>
                <w:bCs/>
                <w:color w:val="auto"/>
                <w:szCs w:val="21"/>
                <w:highlight w:val="none"/>
                <w:lang w:val="en-US" w:eastAsia="zh-CN"/>
              </w:rPr>
              <w:t>相关</w:t>
            </w:r>
            <w:r>
              <w:rPr>
                <w:rFonts w:hint="eastAsia" w:ascii="宋体" w:hAnsi="宋体"/>
                <w:bCs/>
                <w:color w:val="auto"/>
                <w:szCs w:val="21"/>
                <w:highlight w:val="none"/>
              </w:rPr>
              <w:t>办公场所涉及到自有房产的，</w:t>
            </w:r>
            <w:r>
              <w:rPr>
                <w:rFonts w:hint="eastAsia" w:ascii="宋体" w:hAnsi="宋体"/>
                <w:color w:val="auto"/>
                <w:szCs w:val="21"/>
                <w:highlight w:val="none"/>
              </w:rPr>
              <w:t>须提供房产证（不动产权证）（复印件加盖投标人公章，原件备查），所有权人名称须与投标人（分支机构）名称保持一致；租赁房产的须提供租房合同及租房发票（复印件加盖投标人公章，原件备查），分支机构须在所在地进行工商注册并得取土地估价备案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2" w:hRule="atLeast"/>
          <w:jc w:val="center"/>
        </w:trPr>
        <w:tc>
          <w:tcPr>
            <w:tcW w:w="735" w:type="dxa"/>
            <w:vMerge w:val="continue"/>
            <w:noWrap w:val="0"/>
            <w:vAlign w:val="center"/>
          </w:tcPr>
          <w:p>
            <w:pPr>
              <w:spacing w:line="276" w:lineRule="auto"/>
              <w:jc w:val="center"/>
              <w:rPr>
                <w:rFonts w:hint="eastAsia" w:ascii="宋体" w:hAnsi="宋体" w:cs="宋体"/>
                <w:bCs/>
                <w:color w:val="auto"/>
                <w:szCs w:val="21"/>
                <w:highlight w:val="none"/>
              </w:rPr>
            </w:pPr>
          </w:p>
        </w:tc>
        <w:tc>
          <w:tcPr>
            <w:tcW w:w="1737" w:type="dxa"/>
            <w:vMerge w:val="continue"/>
            <w:noWrap w:val="0"/>
            <w:vAlign w:val="center"/>
          </w:tcPr>
          <w:p>
            <w:pPr>
              <w:spacing w:line="276" w:lineRule="auto"/>
              <w:jc w:val="center"/>
              <w:rPr>
                <w:rFonts w:hint="eastAsia" w:ascii="宋体" w:hAnsi="宋体" w:cs="宋体"/>
                <w:bCs/>
                <w:color w:val="auto"/>
                <w:szCs w:val="21"/>
                <w:highlight w:val="none"/>
              </w:rPr>
            </w:pPr>
          </w:p>
        </w:tc>
        <w:tc>
          <w:tcPr>
            <w:tcW w:w="922" w:type="dxa"/>
            <w:noWrap w:val="0"/>
            <w:vAlign w:val="center"/>
          </w:tcPr>
          <w:p>
            <w:pPr>
              <w:spacing w:line="276" w:lineRule="auto"/>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5</w:t>
            </w:r>
          </w:p>
        </w:tc>
        <w:tc>
          <w:tcPr>
            <w:tcW w:w="2797" w:type="dxa"/>
            <w:noWrap w:val="0"/>
            <w:vAlign w:val="center"/>
          </w:tcPr>
          <w:p>
            <w:pPr>
              <w:tabs>
                <w:tab w:val="left" w:pos="0"/>
              </w:tabs>
              <w:spacing w:line="276" w:lineRule="auto"/>
              <w:rPr>
                <w:rFonts w:hint="eastAsia" w:ascii="宋体" w:hAnsi="宋体"/>
                <w:color w:val="auto"/>
                <w:szCs w:val="21"/>
                <w:highlight w:val="none"/>
              </w:rPr>
            </w:pPr>
            <w:r>
              <w:rPr>
                <w:rFonts w:hint="eastAsia" w:ascii="宋体" w:hAnsi="宋体" w:cs="Times New Roman"/>
                <w:color w:val="auto"/>
                <w:szCs w:val="21"/>
                <w:highlight w:val="none"/>
                <w:lang w:eastAsia="zh-CN"/>
              </w:rPr>
              <w:t>对项目的响应时间及</w:t>
            </w:r>
            <w:r>
              <w:rPr>
                <w:rFonts w:hint="eastAsia" w:ascii="宋体" w:hAnsi="宋体" w:eastAsia="宋体" w:cs="Times New Roman"/>
                <w:color w:val="auto"/>
                <w:szCs w:val="21"/>
                <w:highlight w:val="none"/>
              </w:rPr>
              <w:t>遇紧急、特殊项目的应急响应制度、保障措施</w:t>
            </w:r>
          </w:p>
        </w:tc>
        <w:tc>
          <w:tcPr>
            <w:tcW w:w="3165" w:type="dxa"/>
            <w:gridSpan w:val="2"/>
            <w:vMerge w:val="continue"/>
            <w:noWrap w:val="0"/>
            <w:vAlign w:val="center"/>
          </w:tcPr>
          <w:p>
            <w:pPr>
              <w:tabs>
                <w:tab w:val="left" w:pos="0"/>
              </w:tabs>
              <w:spacing w:line="276" w:lineRule="auto"/>
              <w:rPr>
                <w:rFonts w:hint="eastAsia" w:ascii="宋体" w:hAnsi="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5" w:type="dxa"/>
            <w:vMerge w:val="continue"/>
            <w:noWrap w:val="0"/>
            <w:vAlign w:val="center"/>
          </w:tcPr>
          <w:p>
            <w:pPr>
              <w:spacing w:line="276" w:lineRule="auto"/>
              <w:jc w:val="center"/>
              <w:rPr>
                <w:rFonts w:hint="eastAsia" w:ascii="宋体" w:hAnsi="宋体" w:cs="宋体"/>
                <w:bCs/>
                <w:color w:val="auto"/>
                <w:szCs w:val="21"/>
                <w:highlight w:val="none"/>
              </w:rPr>
            </w:pPr>
          </w:p>
        </w:tc>
        <w:tc>
          <w:tcPr>
            <w:tcW w:w="1737" w:type="dxa"/>
            <w:vMerge w:val="continue"/>
            <w:noWrap w:val="0"/>
            <w:vAlign w:val="center"/>
          </w:tcPr>
          <w:p>
            <w:pPr>
              <w:spacing w:line="276" w:lineRule="auto"/>
              <w:jc w:val="center"/>
              <w:rPr>
                <w:rFonts w:hint="eastAsia" w:ascii="宋体" w:hAnsi="宋体" w:cs="宋体"/>
                <w:bCs/>
                <w:color w:val="auto"/>
                <w:szCs w:val="21"/>
                <w:highlight w:val="none"/>
              </w:rPr>
            </w:pPr>
          </w:p>
        </w:tc>
        <w:tc>
          <w:tcPr>
            <w:tcW w:w="922" w:type="dxa"/>
            <w:noWrap w:val="0"/>
            <w:vAlign w:val="center"/>
          </w:tcPr>
          <w:p>
            <w:pPr>
              <w:spacing w:line="276"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4</w:t>
            </w:r>
          </w:p>
        </w:tc>
        <w:tc>
          <w:tcPr>
            <w:tcW w:w="5962" w:type="dxa"/>
            <w:gridSpan w:val="3"/>
            <w:noWrap w:val="0"/>
            <w:vAlign w:val="center"/>
          </w:tcPr>
          <w:p>
            <w:pPr>
              <w:widowControl/>
              <w:jc w:val="left"/>
              <w:rPr>
                <w:rFonts w:hint="eastAsia" w:ascii="宋体" w:hAnsi="宋体"/>
                <w:color w:val="auto"/>
                <w:szCs w:val="21"/>
                <w:highlight w:val="none"/>
              </w:rPr>
            </w:pPr>
            <w:r>
              <w:rPr>
                <w:rFonts w:hint="eastAsia" w:ascii="宋体" w:hAnsi="宋体" w:cs="宋体"/>
                <w:snapToGrid w:val="0"/>
                <w:color w:val="auto"/>
                <w:szCs w:val="21"/>
                <w:highlight w:val="none"/>
              </w:rPr>
              <w:t>售后服务方案、售后服务承诺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5" w:type="dxa"/>
            <w:vMerge w:val="restart"/>
            <w:noWrap w:val="0"/>
            <w:vAlign w:val="center"/>
          </w:tcPr>
          <w:p>
            <w:pPr>
              <w:spacing w:line="276"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1737" w:type="dxa"/>
            <w:vMerge w:val="restart"/>
            <w:noWrap w:val="0"/>
            <w:vAlign w:val="center"/>
          </w:tcPr>
          <w:p>
            <w:pPr>
              <w:spacing w:line="276"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本项目人员配备情况</w:t>
            </w:r>
          </w:p>
          <w:p>
            <w:pPr>
              <w:spacing w:line="276"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14.5</w:t>
            </w:r>
            <w:r>
              <w:rPr>
                <w:rFonts w:hint="eastAsia" w:ascii="宋体" w:hAnsi="宋体" w:cs="宋体"/>
                <w:bCs/>
                <w:color w:val="auto"/>
                <w:szCs w:val="21"/>
                <w:highlight w:val="none"/>
              </w:rPr>
              <w:t>分）</w:t>
            </w:r>
          </w:p>
        </w:tc>
        <w:tc>
          <w:tcPr>
            <w:tcW w:w="922" w:type="dxa"/>
            <w:vMerge w:val="restart"/>
            <w:noWrap w:val="0"/>
            <w:vAlign w:val="center"/>
          </w:tcPr>
          <w:p>
            <w:pPr>
              <w:spacing w:line="276"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6</w:t>
            </w:r>
          </w:p>
        </w:tc>
        <w:tc>
          <w:tcPr>
            <w:tcW w:w="3182" w:type="dxa"/>
            <w:gridSpan w:val="2"/>
            <w:noWrap w:val="0"/>
            <w:vAlign w:val="center"/>
          </w:tcPr>
          <w:p>
            <w:pPr>
              <w:spacing w:line="32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拟派</w:t>
            </w:r>
            <w:r>
              <w:rPr>
                <w:rFonts w:hint="eastAsia" w:ascii="宋体" w:hAnsi="宋体" w:eastAsia="宋体" w:cs="宋体"/>
                <w:color w:val="auto"/>
                <w:sz w:val="21"/>
                <w:szCs w:val="21"/>
                <w:highlight w:val="none"/>
              </w:rPr>
              <w:t>项目负责人为省级及以上土地估价师行业协会资深会员的得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为</w:t>
            </w:r>
            <w:r>
              <w:rPr>
                <w:rFonts w:hint="eastAsia" w:ascii="宋体" w:hAnsi="宋体" w:cs="宋体"/>
                <w:color w:val="auto"/>
                <w:sz w:val="21"/>
                <w:szCs w:val="21"/>
                <w:highlight w:val="none"/>
                <w:lang w:val="en-US" w:eastAsia="zh-CN"/>
              </w:rPr>
              <w:t>市级</w:t>
            </w:r>
            <w:r>
              <w:rPr>
                <w:rFonts w:hint="eastAsia" w:ascii="宋体" w:hAnsi="宋体" w:eastAsia="宋体" w:cs="宋体"/>
                <w:color w:val="auto"/>
                <w:sz w:val="21"/>
                <w:szCs w:val="21"/>
                <w:highlight w:val="none"/>
              </w:rPr>
              <w:t>土地估价师行业协会资深会员的得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2780" w:type="dxa"/>
            <w:vMerge w:val="restart"/>
            <w:noWrap w:val="0"/>
            <w:vAlign w:val="center"/>
          </w:tcPr>
          <w:p>
            <w:pPr>
              <w:spacing w:line="320" w:lineRule="exact"/>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rPr>
              <w:t>【须提供：项目负责人的土地估价师资格证书、</w:t>
            </w:r>
            <w:r>
              <w:rPr>
                <w:rFonts w:hint="eastAsia" w:ascii="宋体" w:hAnsi="宋体" w:eastAsia="宋体" w:cs="宋体"/>
                <w:color w:val="auto"/>
                <w:sz w:val="21"/>
                <w:szCs w:val="21"/>
                <w:highlight w:val="none"/>
              </w:rPr>
              <w:t>资深会员</w:t>
            </w:r>
            <w:r>
              <w:rPr>
                <w:rFonts w:hint="eastAsia" w:ascii="宋体" w:hAnsi="宋体" w:eastAsia="宋体" w:cs="宋体"/>
                <w:color w:val="auto"/>
                <w:sz w:val="21"/>
                <w:szCs w:val="21"/>
                <w:highlight w:val="none"/>
                <w:lang w:val="en-US" w:eastAsia="zh-CN"/>
              </w:rPr>
              <w:t>证书、</w:t>
            </w:r>
            <w:r>
              <w:rPr>
                <w:rFonts w:hint="eastAsia" w:ascii="宋体" w:hAnsi="宋体"/>
                <w:color w:val="auto"/>
                <w:szCs w:val="21"/>
                <w:highlight w:val="none"/>
              </w:rPr>
              <w:t>劳动合同</w:t>
            </w:r>
            <w:r>
              <w:rPr>
                <w:rFonts w:hint="eastAsia" w:ascii="宋体" w:hAnsi="宋体"/>
                <w:color w:val="auto"/>
                <w:szCs w:val="21"/>
                <w:highlight w:val="none"/>
                <w:lang w:val="en-US" w:eastAsia="zh-CN"/>
              </w:rPr>
              <w:t>以及</w:t>
            </w:r>
            <w:r>
              <w:rPr>
                <w:rFonts w:hint="eastAsia" w:ascii="宋体" w:hAnsi="宋体"/>
                <w:color w:val="auto"/>
                <w:szCs w:val="21"/>
                <w:highlight w:val="none"/>
              </w:rPr>
              <w:t>由县（市、区）级及以上社保部门出具的20</w:t>
            </w:r>
            <w:r>
              <w:rPr>
                <w:rFonts w:hint="eastAsia" w:ascii="宋体" w:hAnsi="宋体"/>
                <w:color w:val="auto"/>
                <w:szCs w:val="21"/>
                <w:highlight w:val="none"/>
                <w:lang w:val="en-US" w:eastAsia="zh-CN"/>
              </w:rPr>
              <w:t>22</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月至20</w:t>
            </w:r>
            <w:r>
              <w:rPr>
                <w:rFonts w:hint="eastAsia" w:ascii="宋体" w:hAnsi="宋体"/>
                <w:color w:val="auto"/>
                <w:szCs w:val="21"/>
                <w:highlight w:val="none"/>
                <w:lang w:val="en-US" w:eastAsia="zh-CN"/>
              </w:rPr>
              <w:t>22</w:t>
            </w:r>
            <w:r>
              <w:rPr>
                <w:rFonts w:hint="eastAsia" w:ascii="宋体" w:hAnsi="宋体"/>
                <w:color w:val="auto"/>
                <w:szCs w:val="21"/>
                <w:highlight w:val="none"/>
              </w:rPr>
              <w:t>年</w:t>
            </w:r>
            <w:r>
              <w:rPr>
                <w:rFonts w:hint="eastAsia" w:ascii="宋体" w:hAnsi="宋体"/>
                <w:color w:val="auto"/>
                <w:szCs w:val="21"/>
                <w:highlight w:val="none"/>
                <w:lang w:val="en-US" w:eastAsia="zh-CN"/>
              </w:rPr>
              <w:t>12</w:t>
            </w:r>
            <w:r>
              <w:rPr>
                <w:rFonts w:hint="eastAsia" w:ascii="宋体" w:hAnsi="宋体"/>
                <w:color w:val="auto"/>
                <w:szCs w:val="21"/>
                <w:highlight w:val="none"/>
              </w:rPr>
              <w:t>月投标人为项目负责人缴纳的参保证明及其他证明资料复印件加盖投标人公章，原件备查】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5" w:type="dxa"/>
            <w:vMerge w:val="continue"/>
            <w:noWrap w:val="0"/>
            <w:vAlign w:val="center"/>
          </w:tcPr>
          <w:p>
            <w:pPr>
              <w:spacing w:line="276" w:lineRule="auto"/>
              <w:jc w:val="center"/>
              <w:rPr>
                <w:rFonts w:hint="eastAsia" w:ascii="宋体" w:hAnsi="宋体" w:cs="宋体"/>
                <w:bCs/>
                <w:color w:val="auto"/>
                <w:szCs w:val="21"/>
                <w:highlight w:val="none"/>
                <w:lang w:val="en-US" w:eastAsia="zh-CN"/>
              </w:rPr>
            </w:pPr>
          </w:p>
        </w:tc>
        <w:tc>
          <w:tcPr>
            <w:tcW w:w="1737" w:type="dxa"/>
            <w:vMerge w:val="continue"/>
            <w:noWrap w:val="0"/>
            <w:vAlign w:val="center"/>
          </w:tcPr>
          <w:p>
            <w:pPr>
              <w:spacing w:line="276" w:lineRule="auto"/>
              <w:jc w:val="center"/>
              <w:rPr>
                <w:rFonts w:hint="eastAsia" w:ascii="宋体" w:hAnsi="宋体" w:cs="宋体"/>
                <w:bCs/>
                <w:color w:val="auto"/>
                <w:szCs w:val="21"/>
                <w:highlight w:val="none"/>
              </w:rPr>
            </w:pPr>
          </w:p>
        </w:tc>
        <w:tc>
          <w:tcPr>
            <w:tcW w:w="922" w:type="dxa"/>
            <w:vMerge w:val="continue"/>
            <w:noWrap w:val="0"/>
            <w:vAlign w:val="center"/>
          </w:tcPr>
          <w:p>
            <w:pPr>
              <w:spacing w:line="276" w:lineRule="auto"/>
              <w:jc w:val="center"/>
              <w:rPr>
                <w:rFonts w:hint="eastAsia" w:ascii="宋体" w:hAnsi="宋体" w:cs="宋体"/>
                <w:bCs/>
                <w:color w:val="auto"/>
                <w:szCs w:val="21"/>
                <w:highlight w:val="none"/>
                <w:lang w:val="en-US" w:eastAsia="zh-CN"/>
              </w:rPr>
            </w:pPr>
          </w:p>
        </w:tc>
        <w:tc>
          <w:tcPr>
            <w:tcW w:w="3182" w:type="dxa"/>
            <w:gridSpan w:val="2"/>
            <w:noWrap w:val="0"/>
            <w:vAlign w:val="center"/>
          </w:tcPr>
          <w:p>
            <w:pPr>
              <w:spacing w:line="320" w:lineRule="exact"/>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lang w:val="en-US" w:eastAsia="zh-CN"/>
              </w:rPr>
              <w:t>拟派</w:t>
            </w:r>
            <w:r>
              <w:rPr>
                <w:rFonts w:ascii="宋体" w:hAnsi="宋体"/>
                <w:color w:val="auto"/>
                <w:szCs w:val="21"/>
                <w:highlight w:val="none"/>
              </w:rPr>
              <w:t>项</w:t>
            </w:r>
            <w:r>
              <w:rPr>
                <w:rFonts w:hint="eastAsia" w:ascii="宋体" w:hAnsi="宋体" w:cs="宋体"/>
                <w:color w:val="auto"/>
                <w:szCs w:val="21"/>
                <w:highlight w:val="none"/>
              </w:rPr>
              <w:t>目负责人从事土地评估工作的资历、开展地价评估、研究的相关履历（</w:t>
            </w: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履历表和相关资料等）</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最高得3分</w:t>
            </w:r>
          </w:p>
        </w:tc>
        <w:tc>
          <w:tcPr>
            <w:tcW w:w="2780" w:type="dxa"/>
            <w:vMerge w:val="continue"/>
            <w:noWrap w:val="0"/>
            <w:vAlign w:val="center"/>
          </w:tcPr>
          <w:p>
            <w:pPr>
              <w:spacing w:line="320" w:lineRule="exact"/>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735" w:type="dxa"/>
            <w:vMerge w:val="continue"/>
            <w:noWrap w:val="0"/>
            <w:vAlign w:val="center"/>
          </w:tcPr>
          <w:p>
            <w:pPr>
              <w:spacing w:line="276" w:lineRule="auto"/>
              <w:jc w:val="center"/>
              <w:rPr>
                <w:rFonts w:hint="eastAsia" w:ascii="宋体" w:hAnsi="宋体" w:cs="宋体"/>
                <w:bCs/>
                <w:color w:val="auto"/>
                <w:szCs w:val="21"/>
                <w:highlight w:val="none"/>
              </w:rPr>
            </w:pPr>
          </w:p>
        </w:tc>
        <w:tc>
          <w:tcPr>
            <w:tcW w:w="1737" w:type="dxa"/>
            <w:vMerge w:val="continue"/>
            <w:noWrap w:val="0"/>
            <w:vAlign w:val="center"/>
          </w:tcPr>
          <w:p>
            <w:pPr>
              <w:spacing w:line="276" w:lineRule="auto"/>
              <w:jc w:val="center"/>
              <w:rPr>
                <w:rFonts w:hint="eastAsia" w:ascii="宋体" w:hAnsi="宋体" w:cs="宋体"/>
                <w:bCs/>
                <w:color w:val="auto"/>
                <w:szCs w:val="21"/>
                <w:highlight w:val="none"/>
              </w:rPr>
            </w:pPr>
          </w:p>
        </w:tc>
        <w:tc>
          <w:tcPr>
            <w:tcW w:w="922" w:type="dxa"/>
            <w:noWrap w:val="0"/>
            <w:vAlign w:val="center"/>
          </w:tcPr>
          <w:p>
            <w:pPr>
              <w:spacing w:line="276" w:lineRule="auto"/>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3.5</w:t>
            </w:r>
          </w:p>
        </w:tc>
        <w:tc>
          <w:tcPr>
            <w:tcW w:w="3182" w:type="dxa"/>
            <w:gridSpan w:val="2"/>
            <w:noWrap w:val="0"/>
            <w:vAlign w:val="center"/>
          </w:tcPr>
          <w:p>
            <w:pPr>
              <w:spacing w:line="32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除项目负责人外的</w:t>
            </w:r>
            <w:r>
              <w:rPr>
                <w:rFonts w:hint="eastAsia" w:ascii="宋体" w:hAnsi="宋体" w:cs="宋体"/>
                <w:color w:val="auto"/>
                <w:szCs w:val="21"/>
                <w:highlight w:val="none"/>
              </w:rPr>
              <w:t>项目组实施人员的执业资格、技术能力</w:t>
            </w:r>
            <w:r>
              <w:rPr>
                <w:rFonts w:hint="eastAsia" w:ascii="宋体" w:hAnsi="宋体" w:cs="宋体"/>
                <w:color w:val="auto"/>
                <w:szCs w:val="21"/>
                <w:highlight w:val="none"/>
                <w:lang w:eastAsia="zh-CN"/>
              </w:rPr>
              <w:t>：</w:t>
            </w:r>
          </w:p>
          <w:p>
            <w:pPr>
              <w:spacing w:line="320" w:lineRule="exact"/>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Cs w:val="21"/>
                <w:highlight w:val="none"/>
              </w:rPr>
              <w:t>每</w:t>
            </w:r>
            <w:r>
              <w:rPr>
                <w:rFonts w:hint="eastAsia" w:ascii="宋体" w:hAnsi="宋体" w:cs="宋体"/>
                <w:b w:val="0"/>
                <w:bCs w:val="0"/>
                <w:color w:val="auto"/>
                <w:szCs w:val="21"/>
                <w:highlight w:val="none"/>
                <w:lang w:val="en-US" w:eastAsia="zh-CN"/>
              </w:rPr>
              <w:t>投入一个</w:t>
            </w:r>
            <w:r>
              <w:rPr>
                <w:rFonts w:hint="eastAsia" w:ascii="宋体" w:hAnsi="宋体" w:cs="宋体"/>
                <w:b w:val="0"/>
                <w:bCs w:val="0"/>
                <w:color w:val="auto"/>
                <w:szCs w:val="21"/>
                <w:highlight w:val="none"/>
              </w:rPr>
              <w:t>土地估价师</w:t>
            </w:r>
            <w:r>
              <w:rPr>
                <w:rFonts w:hint="eastAsia" w:ascii="宋体" w:hAnsi="宋体" w:cs="宋体"/>
                <w:b w:val="0"/>
                <w:bCs w:val="0"/>
                <w:color w:val="auto"/>
                <w:szCs w:val="21"/>
                <w:highlight w:val="none"/>
                <w:lang w:val="en-US" w:eastAsia="zh-CN"/>
              </w:rPr>
              <w:t>得0.5分，最高得3.5分；</w:t>
            </w:r>
          </w:p>
        </w:tc>
        <w:tc>
          <w:tcPr>
            <w:tcW w:w="2780" w:type="dxa"/>
            <w:vMerge w:val="restart"/>
            <w:noWrap w:val="0"/>
            <w:vAlign w:val="center"/>
          </w:tcPr>
          <w:p>
            <w:pPr>
              <w:spacing w:line="320" w:lineRule="exact"/>
              <w:rPr>
                <w:rFonts w:hint="eastAsia" w:ascii="宋体" w:hAnsi="宋体"/>
                <w:color w:val="auto"/>
                <w:szCs w:val="21"/>
                <w:highlight w:val="none"/>
                <w:lang w:val="en-US" w:eastAsia="zh-CN"/>
              </w:rPr>
            </w:pPr>
            <w:r>
              <w:rPr>
                <w:rFonts w:hint="eastAsia" w:ascii="宋体" w:hAnsi="宋体"/>
                <w:color w:val="auto"/>
                <w:szCs w:val="21"/>
                <w:highlight w:val="none"/>
              </w:rPr>
              <w:t>【须提供：1、项目实施人员的土地估价师（不包括非土地估价师，如房地产估价师或资产评估师）资格证书、劳动合同</w:t>
            </w:r>
            <w:r>
              <w:rPr>
                <w:rFonts w:hint="eastAsia" w:ascii="宋体" w:hAnsi="宋体"/>
                <w:color w:val="auto"/>
                <w:szCs w:val="21"/>
                <w:highlight w:val="none"/>
                <w:lang w:eastAsia="zh-CN"/>
              </w:rPr>
              <w:t>、</w:t>
            </w:r>
            <w:r>
              <w:rPr>
                <w:rFonts w:hint="eastAsia" w:ascii="宋体" w:hAnsi="宋体"/>
                <w:color w:val="auto"/>
                <w:szCs w:val="21"/>
                <w:highlight w:val="none"/>
              </w:rPr>
              <w:t>由县（市、区）级及以上社保部门出具的20</w:t>
            </w:r>
            <w:r>
              <w:rPr>
                <w:rFonts w:hint="eastAsia" w:ascii="宋体" w:hAnsi="宋体"/>
                <w:color w:val="auto"/>
                <w:szCs w:val="21"/>
                <w:highlight w:val="none"/>
                <w:lang w:val="en-US" w:eastAsia="zh-CN"/>
              </w:rPr>
              <w:t>22</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月至20</w:t>
            </w:r>
            <w:r>
              <w:rPr>
                <w:rFonts w:hint="eastAsia" w:ascii="宋体" w:hAnsi="宋体"/>
                <w:color w:val="auto"/>
                <w:szCs w:val="21"/>
                <w:highlight w:val="none"/>
                <w:lang w:val="en-US" w:eastAsia="zh-CN"/>
              </w:rPr>
              <w:t>22</w:t>
            </w:r>
            <w:r>
              <w:rPr>
                <w:rFonts w:hint="eastAsia" w:ascii="宋体" w:hAnsi="宋体"/>
                <w:color w:val="auto"/>
                <w:szCs w:val="21"/>
                <w:highlight w:val="none"/>
              </w:rPr>
              <w:t>年</w:t>
            </w:r>
            <w:r>
              <w:rPr>
                <w:rFonts w:hint="eastAsia" w:ascii="宋体" w:hAnsi="宋体"/>
                <w:color w:val="auto"/>
                <w:szCs w:val="21"/>
                <w:highlight w:val="none"/>
                <w:lang w:val="en-US" w:eastAsia="zh-CN"/>
              </w:rPr>
              <w:t>12</w:t>
            </w:r>
            <w:r>
              <w:rPr>
                <w:rFonts w:hint="eastAsia" w:ascii="宋体" w:hAnsi="宋体"/>
                <w:color w:val="auto"/>
                <w:szCs w:val="21"/>
                <w:highlight w:val="none"/>
              </w:rPr>
              <w:t>月投标人为项目实施人员缴纳的参保证明及其他证明资料复印件加盖投标人公章，原件备查；2、土地估价机构备案函复印件加盖投标人公章】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735" w:type="dxa"/>
            <w:vMerge w:val="continue"/>
            <w:noWrap w:val="0"/>
            <w:vAlign w:val="center"/>
          </w:tcPr>
          <w:p>
            <w:pPr>
              <w:spacing w:line="276" w:lineRule="auto"/>
              <w:jc w:val="center"/>
              <w:rPr>
                <w:rFonts w:hint="eastAsia" w:ascii="宋体" w:hAnsi="宋体" w:cs="宋体"/>
                <w:bCs/>
                <w:color w:val="auto"/>
                <w:szCs w:val="21"/>
                <w:highlight w:val="none"/>
              </w:rPr>
            </w:pPr>
          </w:p>
        </w:tc>
        <w:tc>
          <w:tcPr>
            <w:tcW w:w="1737" w:type="dxa"/>
            <w:vMerge w:val="continue"/>
            <w:noWrap w:val="0"/>
            <w:vAlign w:val="center"/>
          </w:tcPr>
          <w:p>
            <w:pPr>
              <w:spacing w:line="276" w:lineRule="auto"/>
              <w:jc w:val="center"/>
              <w:rPr>
                <w:rFonts w:hint="eastAsia" w:ascii="宋体" w:hAnsi="宋体" w:cs="宋体"/>
                <w:bCs/>
                <w:color w:val="auto"/>
                <w:szCs w:val="21"/>
                <w:highlight w:val="none"/>
              </w:rPr>
            </w:pPr>
          </w:p>
        </w:tc>
        <w:tc>
          <w:tcPr>
            <w:tcW w:w="922" w:type="dxa"/>
            <w:noWrap w:val="0"/>
            <w:vAlign w:val="center"/>
          </w:tcPr>
          <w:p>
            <w:pPr>
              <w:spacing w:line="276" w:lineRule="auto"/>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5</w:t>
            </w:r>
          </w:p>
        </w:tc>
        <w:tc>
          <w:tcPr>
            <w:tcW w:w="3182" w:type="dxa"/>
            <w:gridSpan w:val="2"/>
            <w:noWrap w:val="0"/>
            <w:vAlign w:val="center"/>
          </w:tcPr>
          <w:p>
            <w:pPr>
              <w:spacing w:line="32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除项目负责人外的</w:t>
            </w:r>
            <w:r>
              <w:rPr>
                <w:rFonts w:hint="eastAsia" w:ascii="宋体" w:hAnsi="宋体"/>
                <w:color w:val="auto"/>
                <w:szCs w:val="21"/>
                <w:highlight w:val="none"/>
              </w:rPr>
              <w:t>项目组</w:t>
            </w:r>
            <w:r>
              <w:rPr>
                <w:rFonts w:hint="eastAsia" w:ascii="宋体" w:hAnsi="宋体" w:cs="Tahoma"/>
                <w:color w:val="auto"/>
                <w:szCs w:val="21"/>
                <w:highlight w:val="none"/>
              </w:rPr>
              <w:t>实施人员的从事出让土地评估的</w:t>
            </w:r>
            <w:r>
              <w:rPr>
                <w:rFonts w:hint="eastAsia" w:ascii="宋体" w:hAnsi="宋体"/>
                <w:color w:val="auto"/>
                <w:szCs w:val="21"/>
                <w:highlight w:val="none"/>
              </w:rPr>
              <w:t>经验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工作年限</w:t>
            </w:r>
          </w:p>
        </w:tc>
        <w:tc>
          <w:tcPr>
            <w:tcW w:w="2780" w:type="dxa"/>
            <w:vMerge w:val="continue"/>
            <w:noWrap w:val="0"/>
            <w:vAlign w:val="center"/>
          </w:tcPr>
          <w:p>
            <w:pPr>
              <w:spacing w:line="320" w:lineRule="exact"/>
              <w:rPr>
                <w:rFonts w:hint="eastAsia" w:ascii="宋体" w:hAns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5" w:type="dxa"/>
            <w:vMerge w:val="restart"/>
            <w:noWrap w:val="0"/>
            <w:vAlign w:val="center"/>
          </w:tcPr>
          <w:p>
            <w:pPr>
              <w:spacing w:line="276"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6</w:t>
            </w:r>
          </w:p>
        </w:tc>
        <w:tc>
          <w:tcPr>
            <w:tcW w:w="1737" w:type="dxa"/>
            <w:vMerge w:val="restart"/>
            <w:noWrap w:val="0"/>
            <w:vAlign w:val="center"/>
          </w:tcPr>
          <w:p>
            <w:pPr>
              <w:spacing w:line="276" w:lineRule="auto"/>
              <w:ind w:firstLine="105" w:firstLineChars="50"/>
              <w:jc w:val="center"/>
              <w:rPr>
                <w:rFonts w:hint="eastAsia" w:ascii="宋体" w:hAnsi="宋体"/>
                <w:color w:val="auto"/>
                <w:szCs w:val="21"/>
                <w:highlight w:val="none"/>
              </w:rPr>
            </w:pPr>
            <w:r>
              <w:rPr>
                <w:rFonts w:hint="eastAsia" w:ascii="宋体" w:hAnsi="宋体"/>
                <w:color w:val="auto"/>
                <w:szCs w:val="21"/>
                <w:highlight w:val="none"/>
              </w:rPr>
              <w:t>评估报告质量</w:t>
            </w:r>
          </w:p>
          <w:p>
            <w:pPr>
              <w:spacing w:line="276" w:lineRule="auto"/>
              <w:ind w:firstLine="105" w:firstLineChars="50"/>
              <w:jc w:val="center"/>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922" w:type="dxa"/>
            <w:noWrap w:val="0"/>
            <w:vAlign w:val="center"/>
          </w:tcPr>
          <w:p>
            <w:pPr>
              <w:spacing w:line="276"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5962" w:type="dxa"/>
            <w:gridSpan w:val="3"/>
            <w:noWrap w:val="0"/>
            <w:vAlign w:val="center"/>
          </w:tcPr>
          <w:p>
            <w:pPr>
              <w:spacing w:line="276" w:lineRule="auto"/>
              <w:rPr>
                <w:rFonts w:hint="eastAsia" w:ascii="宋体" w:hAnsi="宋体"/>
                <w:color w:val="auto"/>
                <w:szCs w:val="21"/>
                <w:highlight w:val="none"/>
              </w:rPr>
            </w:pPr>
            <w:r>
              <w:rPr>
                <w:rFonts w:hint="eastAsia" w:ascii="宋体" w:hAnsi="宋体"/>
                <w:color w:val="auto"/>
                <w:szCs w:val="21"/>
                <w:highlight w:val="none"/>
              </w:rPr>
              <w:t>根据20</w:t>
            </w:r>
            <w:r>
              <w:rPr>
                <w:rFonts w:hint="eastAsia" w:ascii="宋体" w:hAnsi="宋体"/>
                <w:color w:val="auto"/>
                <w:szCs w:val="21"/>
                <w:highlight w:val="none"/>
                <w:lang w:val="en-US" w:eastAsia="zh-CN"/>
              </w:rPr>
              <w:t>21</w:t>
            </w:r>
            <w:r>
              <w:rPr>
                <w:rFonts w:hint="eastAsia" w:ascii="宋体" w:hAnsi="宋体"/>
                <w:color w:val="auto"/>
                <w:szCs w:val="21"/>
                <w:highlight w:val="none"/>
              </w:rPr>
              <w:t>年或20</w:t>
            </w:r>
            <w:r>
              <w:rPr>
                <w:rFonts w:hint="eastAsia" w:ascii="宋体" w:hAnsi="宋体"/>
                <w:color w:val="auto"/>
                <w:szCs w:val="21"/>
                <w:highlight w:val="none"/>
                <w:lang w:val="en-US" w:eastAsia="zh-CN"/>
              </w:rPr>
              <w:t>22</w:t>
            </w:r>
            <w:r>
              <w:rPr>
                <w:rFonts w:hint="eastAsia" w:ascii="宋体" w:hAnsi="宋体"/>
                <w:color w:val="auto"/>
                <w:szCs w:val="21"/>
                <w:highlight w:val="none"/>
              </w:rPr>
              <w:t>年土地估价师协会报告评估抽查评审结果进行打分。</w:t>
            </w:r>
          </w:p>
          <w:p>
            <w:pPr>
              <w:spacing w:line="276" w:lineRule="auto"/>
              <w:rPr>
                <w:rFonts w:hint="eastAsia" w:ascii="宋体" w:hAnsi="宋体" w:eastAsia="宋体"/>
                <w:color w:val="auto"/>
                <w:szCs w:val="21"/>
                <w:highlight w:val="none"/>
                <w:lang w:eastAsia="zh-CN"/>
              </w:rPr>
            </w:pPr>
            <w:r>
              <w:rPr>
                <w:rFonts w:hint="eastAsia" w:ascii="宋体" w:hAnsi="宋体"/>
                <w:color w:val="auto"/>
                <w:szCs w:val="21"/>
                <w:highlight w:val="none"/>
              </w:rPr>
              <w:t>省级（含）以上土地估价师协会报告评估抽查评审结果</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85</w:t>
            </w:r>
            <w:r>
              <w:rPr>
                <w:rFonts w:hint="eastAsia" w:ascii="宋体" w:hAnsi="宋体"/>
                <w:color w:val="auto"/>
                <w:szCs w:val="21"/>
                <w:highlight w:val="none"/>
              </w:rPr>
              <w:t>分（含）以上得</w:t>
            </w:r>
            <w:r>
              <w:rPr>
                <w:rFonts w:hint="eastAsia" w:ascii="宋体" w:hAnsi="宋体"/>
                <w:color w:val="auto"/>
                <w:szCs w:val="21"/>
                <w:highlight w:val="none"/>
                <w:lang w:val="en-US" w:eastAsia="zh-CN"/>
              </w:rPr>
              <w:t>5</w:t>
            </w:r>
            <w:r>
              <w:rPr>
                <w:rFonts w:hint="eastAsia" w:ascii="宋体" w:hAnsi="宋体"/>
                <w:color w:val="auto"/>
                <w:szCs w:val="21"/>
                <w:highlight w:val="none"/>
              </w:rPr>
              <w:t>分,80（含）</w:t>
            </w:r>
            <w:r>
              <w:rPr>
                <w:rFonts w:hint="eastAsia" w:ascii="宋体" w:hAnsi="宋体" w:cs="宋体"/>
                <w:snapToGrid w:val="0"/>
                <w:color w:val="auto"/>
                <w:szCs w:val="21"/>
                <w:highlight w:val="none"/>
              </w:rPr>
              <w:t>～</w:t>
            </w:r>
            <w:r>
              <w:rPr>
                <w:rFonts w:hint="eastAsia" w:ascii="宋体" w:hAnsi="宋体"/>
                <w:color w:val="auto"/>
                <w:szCs w:val="21"/>
                <w:highlight w:val="none"/>
                <w:lang w:val="en-US" w:eastAsia="zh-CN"/>
              </w:rPr>
              <w:t>85</w:t>
            </w:r>
            <w:r>
              <w:rPr>
                <w:rFonts w:hint="eastAsia" w:ascii="宋体" w:hAnsi="宋体"/>
                <w:color w:val="auto"/>
                <w:szCs w:val="21"/>
                <w:highlight w:val="none"/>
              </w:rPr>
              <w:t>分（不含）得</w:t>
            </w:r>
            <w:r>
              <w:rPr>
                <w:rFonts w:hint="eastAsia" w:ascii="宋体" w:hAnsi="宋体"/>
                <w:color w:val="auto"/>
                <w:szCs w:val="21"/>
                <w:highlight w:val="none"/>
                <w:lang w:val="en-US" w:eastAsia="zh-CN"/>
              </w:rPr>
              <w:t>3</w:t>
            </w:r>
            <w:r>
              <w:rPr>
                <w:rFonts w:hint="eastAsia" w:ascii="宋体" w:hAnsi="宋体"/>
                <w:color w:val="auto"/>
                <w:szCs w:val="21"/>
                <w:highlight w:val="none"/>
              </w:rPr>
              <w:t>分,7</w:t>
            </w:r>
            <w:r>
              <w:rPr>
                <w:rFonts w:hint="eastAsia" w:ascii="宋体" w:hAnsi="宋体"/>
                <w:color w:val="auto"/>
                <w:szCs w:val="21"/>
                <w:highlight w:val="none"/>
                <w:lang w:val="en-US" w:eastAsia="zh-CN"/>
              </w:rPr>
              <w:t>5</w:t>
            </w:r>
            <w:r>
              <w:rPr>
                <w:rFonts w:hint="eastAsia" w:ascii="宋体" w:hAnsi="宋体"/>
                <w:color w:val="auto"/>
                <w:szCs w:val="21"/>
                <w:highlight w:val="none"/>
              </w:rPr>
              <w:t>（含）</w:t>
            </w:r>
            <w:r>
              <w:rPr>
                <w:rFonts w:hint="eastAsia" w:ascii="宋体" w:hAnsi="宋体" w:cs="宋体"/>
                <w:snapToGrid w:val="0"/>
                <w:color w:val="auto"/>
                <w:szCs w:val="21"/>
                <w:highlight w:val="none"/>
              </w:rPr>
              <w:t>～</w:t>
            </w:r>
            <w:r>
              <w:rPr>
                <w:rFonts w:hint="eastAsia" w:ascii="宋体" w:hAnsi="宋体"/>
                <w:color w:val="auto"/>
                <w:szCs w:val="21"/>
                <w:highlight w:val="none"/>
              </w:rPr>
              <w:t>8</w:t>
            </w:r>
            <w:r>
              <w:rPr>
                <w:rFonts w:ascii="宋体" w:hAnsi="宋体"/>
                <w:color w:val="auto"/>
                <w:szCs w:val="21"/>
                <w:highlight w:val="none"/>
              </w:rPr>
              <w:t>0</w:t>
            </w:r>
            <w:r>
              <w:rPr>
                <w:rFonts w:hint="eastAsia" w:ascii="宋体" w:hAnsi="宋体"/>
                <w:color w:val="auto"/>
                <w:szCs w:val="21"/>
                <w:highlight w:val="none"/>
              </w:rPr>
              <w:t>（不含）得</w:t>
            </w:r>
            <w:r>
              <w:rPr>
                <w:rFonts w:hint="eastAsia" w:ascii="宋体" w:hAnsi="宋体"/>
                <w:color w:val="auto"/>
                <w:szCs w:val="21"/>
                <w:highlight w:val="none"/>
                <w:lang w:val="en-US" w:eastAsia="zh-CN"/>
              </w:rPr>
              <w:t>1</w:t>
            </w:r>
            <w:r>
              <w:rPr>
                <w:rFonts w:hint="eastAsia" w:ascii="宋体" w:hAnsi="宋体"/>
                <w:color w:val="auto"/>
                <w:szCs w:val="21"/>
                <w:highlight w:val="none"/>
              </w:rPr>
              <w:t>分</w:t>
            </w:r>
            <w:r>
              <w:rPr>
                <w:rFonts w:hint="eastAsia" w:ascii="宋体" w:hAnsi="宋体"/>
                <w:color w:val="auto"/>
                <w:szCs w:val="21"/>
                <w:highlight w:val="none"/>
                <w:lang w:eastAsia="zh-CN"/>
              </w:rPr>
              <w:t>；</w:t>
            </w:r>
          </w:p>
          <w:p>
            <w:pPr>
              <w:spacing w:line="276" w:lineRule="auto"/>
              <w:rPr>
                <w:rFonts w:hint="eastAsia" w:ascii="宋体" w:hAnsi="宋体"/>
                <w:color w:val="auto"/>
                <w:szCs w:val="21"/>
                <w:highlight w:val="none"/>
              </w:rPr>
            </w:pPr>
            <w:r>
              <w:rPr>
                <w:rFonts w:hint="eastAsia" w:ascii="宋体" w:hAnsi="宋体"/>
                <w:color w:val="auto"/>
                <w:szCs w:val="21"/>
                <w:highlight w:val="none"/>
                <w:lang w:val="en-US" w:eastAsia="zh-CN"/>
              </w:rPr>
              <w:t>市级</w:t>
            </w:r>
            <w:r>
              <w:rPr>
                <w:rFonts w:hint="eastAsia" w:ascii="宋体" w:hAnsi="宋体"/>
                <w:color w:val="auto"/>
                <w:szCs w:val="21"/>
                <w:highlight w:val="none"/>
              </w:rPr>
              <w:t>土地估价师协会报告评估抽查评审结果</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85</w:t>
            </w:r>
            <w:r>
              <w:rPr>
                <w:rFonts w:hint="eastAsia" w:ascii="宋体" w:hAnsi="宋体"/>
                <w:color w:val="auto"/>
                <w:szCs w:val="21"/>
                <w:highlight w:val="none"/>
              </w:rPr>
              <w:t>分（含）以上得</w:t>
            </w:r>
            <w:r>
              <w:rPr>
                <w:rFonts w:hint="eastAsia" w:ascii="宋体" w:hAnsi="宋体"/>
                <w:color w:val="auto"/>
                <w:szCs w:val="21"/>
                <w:highlight w:val="none"/>
                <w:lang w:val="en-US" w:eastAsia="zh-CN"/>
              </w:rPr>
              <w:t>3</w:t>
            </w:r>
            <w:r>
              <w:rPr>
                <w:rFonts w:hint="eastAsia" w:ascii="宋体" w:hAnsi="宋体"/>
                <w:color w:val="auto"/>
                <w:szCs w:val="21"/>
                <w:highlight w:val="none"/>
              </w:rPr>
              <w:t>分,80（含）</w:t>
            </w:r>
            <w:r>
              <w:rPr>
                <w:rFonts w:hint="eastAsia" w:ascii="宋体" w:hAnsi="宋体" w:cs="宋体"/>
                <w:snapToGrid w:val="0"/>
                <w:color w:val="auto"/>
                <w:szCs w:val="21"/>
                <w:highlight w:val="none"/>
              </w:rPr>
              <w:t>～</w:t>
            </w:r>
            <w:r>
              <w:rPr>
                <w:rFonts w:hint="eastAsia" w:ascii="宋体" w:hAnsi="宋体"/>
                <w:color w:val="auto"/>
                <w:szCs w:val="21"/>
                <w:highlight w:val="none"/>
                <w:lang w:val="en-US" w:eastAsia="zh-CN"/>
              </w:rPr>
              <w:t>85</w:t>
            </w:r>
            <w:r>
              <w:rPr>
                <w:rFonts w:hint="eastAsia" w:ascii="宋体" w:hAnsi="宋体"/>
                <w:color w:val="auto"/>
                <w:szCs w:val="21"/>
                <w:highlight w:val="none"/>
              </w:rPr>
              <w:t>分（不含）得</w:t>
            </w:r>
            <w:r>
              <w:rPr>
                <w:rFonts w:hint="eastAsia" w:ascii="宋体" w:hAnsi="宋体"/>
                <w:color w:val="auto"/>
                <w:szCs w:val="21"/>
                <w:highlight w:val="none"/>
                <w:lang w:val="en-US" w:eastAsia="zh-CN"/>
              </w:rPr>
              <w:t>1</w:t>
            </w:r>
            <w:r>
              <w:rPr>
                <w:rFonts w:hint="eastAsia" w:ascii="宋体" w:hAnsi="宋体"/>
                <w:color w:val="auto"/>
                <w:szCs w:val="21"/>
                <w:highlight w:val="none"/>
              </w:rPr>
              <w:t>分,</w:t>
            </w:r>
            <w:r>
              <w:rPr>
                <w:rFonts w:hint="eastAsia" w:ascii="宋体" w:hAnsi="宋体"/>
                <w:color w:val="auto"/>
                <w:szCs w:val="21"/>
                <w:highlight w:val="none"/>
                <w:lang w:val="en-US" w:eastAsia="zh-CN"/>
              </w:rPr>
              <w:t>75</w:t>
            </w:r>
            <w:r>
              <w:rPr>
                <w:rFonts w:hint="eastAsia" w:ascii="宋体" w:hAnsi="宋体"/>
                <w:color w:val="auto"/>
                <w:szCs w:val="21"/>
                <w:highlight w:val="none"/>
              </w:rPr>
              <w:t>（含）</w:t>
            </w:r>
            <w:r>
              <w:rPr>
                <w:rFonts w:hint="eastAsia" w:ascii="宋体" w:hAnsi="宋体" w:cs="宋体"/>
                <w:snapToGrid w:val="0"/>
                <w:color w:val="auto"/>
                <w:szCs w:val="21"/>
                <w:highlight w:val="none"/>
              </w:rPr>
              <w:t>～</w:t>
            </w:r>
            <w:r>
              <w:rPr>
                <w:rFonts w:hint="eastAsia" w:ascii="宋体" w:hAnsi="宋体"/>
                <w:color w:val="auto"/>
                <w:szCs w:val="21"/>
                <w:highlight w:val="none"/>
              </w:rPr>
              <w:t>8</w:t>
            </w:r>
            <w:r>
              <w:rPr>
                <w:rFonts w:ascii="宋体" w:hAnsi="宋体"/>
                <w:color w:val="auto"/>
                <w:szCs w:val="21"/>
                <w:highlight w:val="none"/>
              </w:rPr>
              <w:t>0</w:t>
            </w:r>
            <w:r>
              <w:rPr>
                <w:rFonts w:hint="eastAsia" w:ascii="宋体" w:hAnsi="宋体"/>
                <w:color w:val="auto"/>
                <w:szCs w:val="21"/>
                <w:highlight w:val="none"/>
              </w:rPr>
              <w:t>（不含）得0.</w:t>
            </w:r>
            <w:r>
              <w:rPr>
                <w:rFonts w:hint="eastAsia" w:ascii="宋体" w:hAnsi="宋体"/>
                <w:color w:val="auto"/>
                <w:szCs w:val="21"/>
                <w:highlight w:val="none"/>
                <w:lang w:val="en-US" w:eastAsia="zh-CN"/>
              </w:rPr>
              <w:t>5</w:t>
            </w:r>
            <w:r>
              <w:rPr>
                <w:rFonts w:hint="eastAsia" w:ascii="宋体" w:hAnsi="宋体"/>
                <w:color w:val="auto"/>
                <w:szCs w:val="21"/>
                <w:highlight w:val="none"/>
              </w:rPr>
              <w:t>分</w:t>
            </w:r>
          </w:p>
          <w:p>
            <w:pPr>
              <w:spacing w:line="276" w:lineRule="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提供</w:t>
            </w:r>
            <w:r>
              <w:rPr>
                <w:rFonts w:hint="eastAsia" w:ascii="宋体" w:hAnsi="宋体"/>
                <w:color w:val="auto"/>
                <w:szCs w:val="21"/>
                <w:highlight w:val="none"/>
              </w:rPr>
              <w:t>土地估价师协会证明</w:t>
            </w:r>
            <w:r>
              <w:rPr>
                <w:rFonts w:hint="eastAsia" w:ascii="宋体" w:hAnsi="宋体"/>
                <w:color w:val="auto"/>
                <w:szCs w:val="21"/>
                <w:highlight w:val="none"/>
                <w:lang w:val="en-US" w:eastAsia="zh-CN"/>
              </w:rPr>
              <w:t>复印件或者官网截图，加盖投标人公章</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35" w:type="dxa"/>
            <w:vMerge w:val="continue"/>
            <w:noWrap w:val="0"/>
            <w:vAlign w:val="center"/>
          </w:tcPr>
          <w:p>
            <w:pPr>
              <w:spacing w:line="276" w:lineRule="auto"/>
              <w:jc w:val="center"/>
              <w:rPr>
                <w:rFonts w:hint="eastAsia" w:ascii="宋体" w:hAnsi="宋体" w:cs="宋体"/>
                <w:bCs/>
                <w:color w:val="auto"/>
                <w:szCs w:val="21"/>
                <w:highlight w:val="none"/>
              </w:rPr>
            </w:pPr>
          </w:p>
        </w:tc>
        <w:tc>
          <w:tcPr>
            <w:tcW w:w="1737" w:type="dxa"/>
            <w:vMerge w:val="continue"/>
            <w:noWrap w:val="0"/>
            <w:vAlign w:val="center"/>
          </w:tcPr>
          <w:p>
            <w:pPr>
              <w:spacing w:line="276" w:lineRule="auto"/>
              <w:ind w:firstLine="105" w:firstLineChars="50"/>
              <w:jc w:val="center"/>
              <w:rPr>
                <w:rFonts w:hint="eastAsia" w:ascii="宋体" w:hAnsi="宋体"/>
                <w:color w:val="auto"/>
                <w:szCs w:val="21"/>
                <w:highlight w:val="none"/>
              </w:rPr>
            </w:pPr>
          </w:p>
        </w:tc>
        <w:tc>
          <w:tcPr>
            <w:tcW w:w="922" w:type="dxa"/>
            <w:noWrap w:val="0"/>
            <w:vAlign w:val="center"/>
          </w:tcPr>
          <w:p>
            <w:pPr>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5962" w:type="dxa"/>
            <w:gridSpan w:val="3"/>
            <w:noWrap w:val="0"/>
            <w:vAlign w:val="center"/>
          </w:tcPr>
          <w:p>
            <w:pPr>
              <w:spacing w:line="276" w:lineRule="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rPr>
              <w:t>土地估价报告（含技术报告）</w:t>
            </w:r>
            <w:r>
              <w:rPr>
                <w:rFonts w:hint="eastAsia" w:ascii="宋体" w:hAnsi="宋体" w:cs="Times New Roman"/>
                <w:color w:val="auto"/>
                <w:szCs w:val="21"/>
                <w:highlight w:val="none"/>
                <w:lang w:val="en-US" w:eastAsia="zh-CN"/>
              </w:rPr>
              <w:t>的</w:t>
            </w:r>
            <w:r>
              <w:rPr>
                <w:rFonts w:hint="eastAsia" w:ascii="宋体" w:hAnsi="宋体" w:cs="Times New Roman"/>
                <w:color w:val="auto"/>
                <w:szCs w:val="21"/>
                <w:highlight w:val="none"/>
              </w:rPr>
              <w:t>规范性、关键资料完整性、方法合理性、评估过程客观公正性、评估结果合理性</w:t>
            </w:r>
            <w:r>
              <w:rPr>
                <w:rFonts w:hint="eastAsia" w:ascii="宋体" w:hAnsi="宋体" w:cs="Times New Roman"/>
                <w:color w:val="auto"/>
                <w:szCs w:val="21"/>
                <w:highlight w:val="none"/>
                <w:lang w:val="en-US" w:eastAsia="zh-CN"/>
              </w:rPr>
              <w:t>等。</w:t>
            </w:r>
          </w:p>
          <w:p>
            <w:pPr>
              <w:spacing w:line="276" w:lineRule="auto"/>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rPr>
              <w:t>提供20</w:t>
            </w:r>
            <w:r>
              <w:rPr>
                <w:rFonts w:hint="eastAsia" w:ascii="宋体" w:hAnsi="宋体" w:cs="Times New Roman"/>
                <w:color w:val="auto"/>
                <w:szCs w:val="21"/>
                <w:highlight w:val="none"/>
                <w:lang w:val="en-US" w:eastAsia="zh-CN"/>
              </w:rPr>
              <w:t>20</w:t>
            </w:r>
            <w:r>
              <w:rPr>
                <w:rFonts w:hint="eastAsia" w:ascii="宋体" w:hAnsi="宋体" w:cs="Times New Roman"/>
                <w:color w:val="auto"/>
                <w:szCs w:val="21"/>
                <w:highlight w:val="none"/>
              </w:rPr>
              <w:t>年1月1日至今已评估过的一份土地出让估价报告（含技术报告）（复印件加盖投标人公章，原件备查，以报告出具时间为准）</w:t>
            </w:r>
            <w:r>
              <w:rPr>
                <w:rFonts w:hint="eastAsia" w:ascii="宋体" w:hAnsi="宋体" w:cs="Times New Roman"/>
                <w:color w:val="auto"/>
                <w:szCs w:val="21"/>
                <w:highlight w:val="none"/>
                <w:lang w:eastAsia="zh-CN"/>
              </w:rPr>
              <w:t>，</w:t>
            </w:r>
            <w:r>
              <w:rPr>
                <w:rFonts w:hint="eastAsia" w:ascii="宋体" w:hAnsi="宋体"/>
                <w:color w:val="auto"/>
                <w:szCs w:val="21"/>
                <w:highlight w:val="none"/>
                <w:lang w:val="en-US" w:eastAsia="zh-CN"/>
              </w:rPr>
              <w:t>并提供相应评估项目的自然资源部门的备案号</w:t>
            </w:r>
            <w:r>
              <w:rPr>
                <w:rFonts w:hint="eastAsia" w:ascii="宋体" w:hAnsi="宋体" w:cs="Times New Roman"/>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5" w:type="dxa"/>
            <w:vMerge w:val="continue"/>
            <w:noWrap w:val="0"/>
            <w:vAlign w:val="center"/>
          </w:tcPr>
          <w:p>
            <w:pPr>
              <w:spacing w:line="276" w:lineRule="auto"/>
              <w:jc w:val="center"/>
              <w:rPr>
                <w:rFonts w:hint="eastAsia" w:ascii="宋体" w:hAnsi="宋体" w:cs="宋体"/>
                <w:bCs/>
                <w:color w:val="auto"/>
                <w:szCs w:val="21"/>
                <w:highlight w:val="none"/>
              </w:rPr>
            </w:pPr>
          </w:p>
        </w:tc>
        <w:tc>
          <w:tcPr>
            <w:tcW w:w="1737" w:type="dxa"/>
            <w:vMerge w:val="continue"/>
            <w:noWrap w:val="0"/>
            <w:vAlign w:val="center"/>
          </w:tcPr>
          <w:p>
            <w:pPr>
              <w:spacing w:line="276" w:lineRule="auto"/>
              <w:ind w:firstLine="105" w:firstLineChars="50"/>
              <w:jc w:val="center"/>
              <w:rPr>
                <w:rFonts w:hint="eastAsia" w:ascii="宋体" w:hAnsi="宋体"/>
                <w:color w:val="auto"/>
                <w:szCs w:val="21"/>
                <w:highlight w:val="none"/>
              </w:rPr>
            </w:pPr>
          </w:p>
        </w:tc>
        <w:tc>
          <w:tcPr>
            <w:tcW w:w="922" w:type="dxa"/>
            <w:noWrap w:val="0"/>
            <w:vAlign w:val="center"/>
          </w:tcPr>
          <w:p>
            <w:pPr>
              <w:spacing w:line="276"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5962" w:type="dxa"/>
            <w:gridSpan w:val="3"/>
            <w:noWrap w:val="0"/>
            <w:vAlign w:val="center"/>
          </w:tcPr>
          <w:p>
            <w:pPr>
              <w:spacing w:line="320" w:lineRule="exact"/>
              <w:rPr>
                <w:rFonts w:hint="eastAsia" w:ascii="宋体" w:hAnsi="宋体"/>
                <w:color w:val="auto"/>
                <w:szCs w:val="21"/>
                <w:highlight w:val="none"/>
              </w:rPr>
            </w:pPr>
            <w:r>
              <w:rPr>
                <w:rFonts w:hint="eastAsia" w:ascii="宋体" w:hAnsi="宋体"/>
                <w:color w:val="auto"/>
                <w:szCs w:val="21"/>
                <w:highlight w:val="none"/>
              </w:rPr>
              <w:t>2018年1月1日至今投标人被省级(含）以上行业主管部门或估价行业协会表彰获奖（报告类）的得</w:t>
            </w:r>
            <w:r>
              <w:rPr>
                <w:rFonts w:hint="eastAsia" w:ascii="宋体" w:hAnsi="宋体"/>
                <w:color w:val="auto"/>
                <w:szCs w:val="21"/>
                <w:highlight w:val="none"/>
                <w:lang w:val="en-US" w:eastAsia="zh-CN"/>
              </w:rPr>
              <w:t>5</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rPr>
              <w:t>被</w:t>
            </w:r>
            <w:r>
              <w:rPr>
                <w:rFonts w:hint="eastAsia" w:ascii="宋体" w:hAnsi="宋体"/>
                <w:color w:val="auto"/>
                <w:szCs w:val="21"/>
                <w:highlight w:val="none"/>
                <w:lang w:val="en-US" w:eastAsia="zh-CN"/>
              </w:rPr>
              <w:t>市</w:t>
            </w:r>
            <w:r>
              <w:rPr>
                <w:rFonts w:hint="eastAsia" w:ascii="宋体" w:hAnsi="宋体"/>
                <w:color w:val="auto"/>
                <w:szCs w:val="21"/>
                <w:highlight w:val="none"/>
              </w:rPr>
              <w:t>级行业主管部门或估价行业协会表彰获奖（报告类）的得</w:t>
            </w:r>
            <w:r>
              <w:rPr>
                <w:rFonts w:hint="eastAsia" w:ascii="宋体" w:hAnsi="宋体"/>
                <w:color w:val="auto"/>
                <w:szCs w:val="21"/>
                <w:highlight w:val="none"/>
                <w:lang w:val="en-US" w:eastAsia="zh-CN"/>
              </w:rPr>
              <w:t>3</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就高计取，不累计得分</w:t>
            </w:r>
            <w:r>
              <w:rPr>
                <w:rFonts w:hint="eastAsia" w:ascii="宋体" w:hAnsi="宋体"/>
                <w:color w:val="auto"/>
                <w:szCs w:val="21"/>
                <w:highlight w:val="none"/>
              </w:rPr>
              <w:t>。</w:t>
            </w:r>
          </w:p>
          <w:p>
            <w:pPr>
              <w:tabs>
                <w:tab w:val="left" w:pos="0"/>
              </w:tabs>
              <w:spacing w:line="276" w:lineRule="auto"/>
              <w:rPr>
                <w:rFonts w:hint="eastAsia" w:ascii="宋体" w:hAnsi="宋体" w:cs="仿宋_GB2312"/>
                <w:color w:val="auto"/>
                <w:szCs w:val="21"/>
                <w:highlight w:val="none"/>
              </w:rPr>
            </w:pPr>
            <w:r>
              <w:rPr>
                <w:rFonts w:hint="eastAsia" w:ascii="宋体" w:hAnsi="宋体"/>
                <w:color w:val="auto"/>
                <w:szCs w:val="21"/>
                <w:highlight w:val="none"/>
              </w:rPr>
              <w:t>【以荣誉证书签发时间为准，须提供荣誉证书的复印件加盖投标人公章，原件备查】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5" w:type="dxa"/>
            <w:noWrap w:val="0"/>
            <w:vAlign w:val="center"/>
          </w:tcPr>
          <w:p>
            <w:pPr>
              <w:spacing w:line="276"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7</w:t>
            </w:r>
          </w:p>
        </w:tc>
        <w:tc>
          <w:tcPr>
            <w:tcW w:w="1737" w:type="dxa"/>
            <w:noWrap w:val="0"/>
            <w:vAlign w:val="center"/>
          </w:tcPr>
          <w:p>
            <w:pPr>
              <w:spacing w:line="276" w:lineRule="auto"/>
              <w:jc w:val="center"/>
              <w:rPr>
                <w:rFonts w:hint="eastAsia" w:ascii="宋体" w:hAnsi="宋体"/>
                <w:color w:val="auto"/>
                <w:szCs w:val="21"/>
                <w:highlight w:val="none"/>
              </w:rPr>
            </w:pPr>
            <w:r>
              <w:rPr>
                <w:rFonts w:hint="eastAsia" w:ascii="宋体" w:hAnsi="宋体"/>
                <w:color w:val="auto"/>
                <w:szCs w:val="21"/>
                <w:highlight w:val="none"/>
              </w:rPr>
              <w:t>资信等级</w:t>
            </w:r>
          </w:p>
          <w:p>
            <w:pPr>
              <w:spacing w:line="276" w:lineRule="auto"/>
              <w:jc w:val="center"/>
              <w:rPr>
                <w:rFonts w:hint="eastAsia" w:ascii="宋体" w:hAnsi="宋体"/>
                <w:color w:val="auto"/>
                <w:szCs w:val="21"/>
                <w:highlight w:val="none"/>
              </w:rPr>
            </w:pPr>
            <w:r>
              <w:rPr>
                <w:rFonts w:hint="eastAsia" w:ascii="宋体" w:hAnsi="宋体"/>
                <w:color w:val="auto"/>
                <w:szCs w:val="21"/>
                <w:highlight w:val="none"/>
              </w:rPr>
              <w:t>（3分）</w:t>
            </w:r>
          </w:p>
        </w:tc>
        <w:tc>
          <w:tcPr>
            <w:tcW w:w="922" w:type="dxa"/>
            <w:noWrap w:val="0"/>
            <w:vAlign w:val="center"/>
          </w:tcPr>
          <w:p>
            <w:pPr>
              <w:spacing w:line="276"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5962" w:type="dxa"/>
            <w:gridSpan w:val="3"/>
            <w:noWrap w:val="0"/>
            <w:vAlign w:val="center"/>
          </w:tcPr>
          <w:p>
            <w:pPr>
              <w:spacing w:line="3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投标人提供有效期内由土地估价师协会颁发的土地评估中介机构资信等级证书，</w:t>
            </w:r>
            <w:r>
              <w:rPr>
                <w:rFonts w:hint="eastAsia" w:ascii="宋体" w:hAnsi="宋体" w:cs="宋体"/>
                <w:color w:val="auto"/>
                <w:szCs w:val="21"/>
                <w:highlight w:val="none"/>
              </w:rPr>
              <w:t>中估协A级得3分；</w:t>
            </w:r>
            <w:r>
              <w:rPr>
                <w:rFonts w:hint="eastAsia" w:ascii="宋体" w:hAnsi="宋体" w:cs="宋体"/>
                <w:color w:val="auto"/>
                <w:kern w:val="0"/>
                <w:szCs w:val="21"/>
                <w:highlight w:val="none"/>
              </w:rPr>
              <w:t>省一级的得1分，省二级的得0.5分，其余不得分。</w:t>
            </w:r>
          </w:p>
          <w:p>
            <w:pPr>
              <w:tabs>
                <w:tab w:val="left" w:pos="9751"/>
              </w:tabs>
              <w:spacing w:line="276" w:lineRule="auto"/>
              <w:jc w:val="left"/>
              <w:rPr>
                <w:rFonts w:ascii="宋体" w:hAnsi="宋体" w:cs="宋体"/>
                <w:color w:val="auto"/>
                <w:szCs w:val="21"/>
                <w:highlight w:val="none"/>
              </w:rPr>
            </w:pPr>
            <w:r>
              <w:rPr>
                <w:rFonts w:hint="eastAsia" w:ascii="宋体" w:hAnsi="宋体" w:cs="宋体"/>
                <w:color w:val="auto"/>
                <w:kern w:val="0"/>
                <w:szCs w:val="21"/>
                <w:highlight w:val="none"/>
              </w:rPr>
              <w:t>【复印件加盖投标人公章，原件备查】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5" w:type="dxa"/>
            <w:noWrap w:val="0"/>
            <w:vAlign w:val="center"/>
          </w:tcPr>
          <w:p>
            <w:pPr>
              <w:spacing w:line="276"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8</w:t>
            </w:r>
          </w:p>
        </w:tc>
        <w:tc>
          <w:tcPr>
            <w:tcW w:w="1737" w:type="dxa"/>
            <w:noWrap w:val="0"/>
            <w:vAlign w:val="center"/>
          </w:tcPr>
          <w:p>
            <w:pPr>
              <w:spacing w:line="276"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同类业绩</w:t>
            </w:r>
          </w:p>
          <w:p>
            <w:pPr>
              <w:spacing w:line="276" w:lineRule="auto"/>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tc>
        <w:tc>
          <w:tcPr>
            <w:tcW w:w="922" w:type="dxa"/>
            <w:noWrap w:val="0"/>
            <w:vAlign w:val="center"/>
          </w:tcPr>
          <w:p>
            <w:pPr>
              <w:spacing w:line="276" w:lineRule="auto"/>
              <w:ind w:firstLine="210" w:firstLineChars="10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1.5</w:t>
            </w:r>
          </w:p>
        </w:tc>
        <w:tc>
          <w:tcPr>
            <w:tcW w:w="5962" w:type="dxa"/>
            <w:gridSpan w:val="3"/>
            <w:noWrap w:val="0"/>
            <w:vAlign w:val="center"/>
          </w:tcPr>
          <w:p>
            <w:pPr>
              <w:spacing w:line="3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评委根据投标人20</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年1月1日至今</w:t>
            </w:r>
            <w:r>
              <w:rPr>
                <w:rFonts w:hint="eastAsia" w:ascii="宋体" w:hAnsi="宋体" w:cs="宋体"/>
                <w:color w:val="auto"/>
                <w:kern w:val="0"/>
                <w:szCs w:val="21"/>
                <w:highlight w:val="none"/>
                <w:lang w:val="en-US" w:eastAsia="zh-CN"/>
              </w:rPr>
              <w:t>承接</w:t>
            </w:r>
            <w:r>
              <w:rPr>
                <w:rFonts w:hint="eastAsia" w:ascii="宋体" w:hAnsi="宋体" w:cs="宋体"/>
                <w:color w:val="auto"/>
                <w:kern w:val="0"/>
                <w:szCs w:val="21"/>
                <w:highlight w:val="none"/>
              </w:rPr>
              <w:t>的土地出让地价评估</w:t>
            </w:r>
            <w:r>
              <w:rPr>
                <w:rFonts w:hint="eastAsia" w:ascii="宋体" w:hAnsi="宋体" w:cs="宋体"/>
                <w:color w:val="auto"/>
                <w:kern w:val="0"/>
                <w:szCs w:val="21"/>
                <w:highlight w:val="none"/>
                <w:lang w:val="en-US" w:eastAsia="zh-CN"/>
              </w:rPr>
              <w:t>业绩进行评议</w:t>
            </w:r>
            <w:r>
              <w:rPr>
                <w:rFonts w:hint="eastAsia" w:ascii="宋体" w:hAnsi="宋体" w:cs="宋体"/>
                <w:color w:val="auto"/>
                <w:kern w:val="0"/>
                <w:szCs w:val="21"/>
                <w:highlight w:val="none"/>
              </w:rPr>
              <w:t>。</w:t>
            </w:r>
          </w:p>
          <w:p>
            <w:pPr>
              <w:spacing w:line="3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每</w:t>
            </w:r>
            <w:r>
              <w:rPr>
                <w:rFonts w:hint="eastAsia" w:ascii="宋体" w:hAnsi="宋体" w:cs="宋体"/>
                <w:color w:val="auto"/>
                <w:kern w:val="0"/>
                <w:szCs w:val="21"/>
                <w:highlight w:val="none"/>
                <w:lang w:val="en-US" w:eastAsia="zh-CN"/>
              </w:rPr>
              <w:t>提供1个合同或者协议得</w:t>
            </w:r>
            <w:r>
              <w:rPr>
                <w:rFonts w:hint="eastAsia" w:ascii="宋体" w:hAnsi="宋体" w:cs="宋体"/>
                <w:color w:val="auto"/>
                <w:kern w:val="0"/>
                <w:szCs w:val="21"/>
                <w:highlight w:val="none"/>
              </w:rPr>
              <w:t>0.</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分，最高得</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分。</w:t>
            </w:r>
          </w:p>
          <w:p>
            <w:pPr>
              <w:spacing w:line="3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【须提供</w:t>
            </w:r>
            <w:r>
              <w:rPr>
                <w:rFonts w:hint="eastAsia" w:ascii="宋体" w:hAnsi="宋体" w:cs="宋体"/>
                <w:color w:val="auto"/>
                <w:kern w:val="0"/>
                <w:szCs w:val="21"/>
                <w:highlight w:val="none"/>
                <w:lang w:val="en-US" w:eastAsia="zh-CN"/>
              </w:rPr>
              <w:t>业绩合同复印件</w:t>
            </w:r>
            <w:r>
              <w:rPr>
                <w:rFonts w:hint="eastAsia" w:ascii="宋体" w:hAnsi="宋体" w:cs="宋体"/>
                <w:color w:val="auto"/>
                <w:kern w:val="0"/>
                <w:szCs w:val="21"/>
                <w:highlight w:val="none"/>
              </w:rPr>
              <w:t>加盖投标人公章,原件备查，</w:t>
            </w:r>
            <w:r>
              <w:rPr>
                <w:rFonts w:hint="eastAsia" w:ascii="宋体" w:hAnsi="宋体" w:cs="宋体"/>
                <w:color w:val="auto"/>
                <w:kern w:val="0"/>
                <w:szCs w:val="21"/>
                <w:highlight w:val="none"/>
                <w:lang w:val="en-US" w:eastAsia="zh-CN"/>
              </w:rPr>
              <w:t>时间以合同期限</w:t>
            </w:r>
            <w:r>
              <w:rPr>
                <w:rFonts w:hint="eastAsia" w:ascii="宋体" w:hAnsi="宋体" w:cs="宋体"/>
                <w:color w:val="auto"/>
                <w:kern w:val="0"/>
                <w:szCs w:val="21"/>
                <w:highlight w:val="none"/>
              </w:rPr>
              <w:t>为准</w:t>
            </w:r>
            <w:r>
              <w:rPr>
                <w:rFonts w:hint="eastAsia" w:ascii="宋体" w:hAnsi="宋体" w:cs="宋体"/>
                <w:color w:val="auto"/>
                <w:kern w:val="0"/>
                <w:szCs w:val="21"/>
                <w:highlight w:val="none"/>
                <w:lang w:eastAsia="zh-CN"/>
              </w:rPr>
              <w:t>，合同或协议不能体现项目特征的，需提供用户方出具的相关证明</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56" w:type="dxa"/>
            <w:gridSpan w:val="6"/>
            <w:noWrap w:val="0"/>
            <w:vAlign w:val="center"/>
          </w:tcPr>
          <w:p>
            <w:pPr>
              <w:adjustRightInd w:val="0"/>
              <w:snapToGrid w:val="0"/>
              <w:spacing w:line="320" w:lineRule="exact"/>
              <w:rPr>
                <w:rFonts w:hint="eastAsia" w:ascii="宋体" w:hAnsi="宋体" w:cs="宋体"/>
                <w:b/>
                <w:bCs/>
                <w:color w:val="auto"/>
                <w:szCs w:val="21"/>
                <w:highlight w:val="none"/>
              </w:rPr>
            </w:pPr>
            <w:r>
              <w:rPr>
                <w:rFonts w:hint="eastAsia" w:ascii="宋体" w:hAnsi="宋体" w:cs="宋体"/>
                <w:b/>
                <w:bCs/>
                <w:color w:val="auto"/>
                <w:szCs w:val="21"/>
                <w:highlight w:val="none"/>
              </w:rPr>
              <w:t>注：</w:t>
            </w:r>
          </w:p>
          <w:p>
            <w:pPr>
              <w:adjustRightInd w:val="0"/>
              <w:snapToGrid w:val="0"/>
              <w:spacing w:line="3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1、评委在上表设定的分值范围内打分(四舍五入保留一位小数)，对缺项的项目按零分计。分数汇总后，计算算术平均值做为资信技术分，平均分值计算四舍五入保留两位小数点。</w:t>
            </w:r>
          </w:p>
          <w:p>
            <w:pPr>
              <w:adjustRightInd w:val="0"/>
              <w:snapToGrid w:val="0"/>
              <w:spacing w:line="3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2、表中分值重叠数下限包括本数，上限不包括本数。</w:t>
            </w:r>
          </w:p>
          <w:p>
            <w:pPr>
              <w:adjustRightInd w:val="0"/>
              <w:snapToGrid w:val="0"/>
              <w:spacing w:line="3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3、相关证明资料要求“原件核查”的，投标时必须提交原件进行查验，未提供原件或原件与投标文件中的复印件不符的，对应项不得分。</w:t>
            </w:r>
          </w:p>
          <w:p>
            <w:pPr>
              <w:spacing w:line="320" w:lineRule="exact"/>
              <w:ind w:firstLine="422" w:firstLineChars="200"/>
              <w:rPr>
                <w:rFonts w:hint="eastAsia" w:ascii="宋体" w:hAnsi="宋体" w:cs="宋体"/>
                <w:color w:val="auto"/>
                <w:kern w:val="0"/>
                <w:szCs w:val="21"/>
                <w:highlight w:val="none"/>
              </w:rPr>
            </w:pPr>
            <w:r>
              <w:rPr>
                <w:rFonts w:hint="eastAsia" w:ascii="宋体" w:hAnsi="宋体" w:cs="宋体"/>
                <w:b/>
                <w:bCs/>
                <w:color w:val="auto"/>
                <w:szCs w:val="21"/>
                <w:highlight w:val="none"/>
              </w:rPr>
              <w:t>4、评委对需要共同认定的事项存在争议的，按照少数服从多数的原则做出结论。</w:t>
            </w:r>
          </w:p>
        </w:tc>
      </w:tr>
    </w:tbl>
    <w:p>
      <w:pPr>
        <w:pageBreakBefore w:val="0"/>
        <w:widowControl w:val="0"/>
        <w:tabs>
          <w:tab w:val="left" w:pos="1036"/>
        </w:tabs>
        <w:kinsoku/>
        <w:wordWrap/>
        <w:overflowPunct/>
        <w:topLinePunct w:val="0"/>
        <w:autoSpaceDE/>
        <w:autoSpaceDN/>
        <w:bidi w:val="0"/>
        <w:spacing w:before="60" w:after="240" w:line="360" w:lineRule="auto"/>
        <w:ind w:left="0" w:leftChars="0" w:right="0" w:rightChars="0" w:firstLine="0" w:firstLineChars="0"/>
        <w:jc w:val="center"/>
        <w:outlineLvl w:val="0"/>
        <w:rPr>
          <w:rFonts w:hint="eastAsia" w:ascii="宋体" w:hAnsi="宋体" w:eastAsia="宋体" w:cs="宋体"/>
          <w:b/>
          <w:color w:val="auto"/>
          <w:w w:val="80"/>
          <w:sz w:val="24"/>
          <w:highlight w:val="none"/>
        </w:rPr>
      </w:pPr>
      <w:r>
        <w:rPr>
          <w:rFonts w:hint="eastAsia" w:ascii="宋体" w:hAnsi="宋体" w:eastAsia="宋体" w:cs="宋体"/>
          <w:b/>
          <w:color w:val="auto"/>
          <w:szCs w:val="21"/>
          <w:highlight w:val="none"/>
        </w:rPr>
        <w:br w:type="page"/>
      </w:r>
      <w:bookmarkEnd w:id="31"/>
      <w:bookmarkEnd w:id="32"/>
      <w:bookmarkStart w:id="33" w:name="_Toc29033"/>
      <w:bookmarkStart w:id="34" w:name="_Toc438734536"/>
      <w:bookmarkStart w:id="35" w:name="_Toc317116872"/>
      <w:r>
        <w:rPr>
          <w:rFonts w:hint="eastAsia" w:ascii="宋体" w:hAnsi="宋体" w:eastAsia="宋体" w:cs="宋体"/>
          <w:b/>
          <w:color w:val="auto"/>
          <w:sz w:val="28"/>
          <w:szCs w:val="28"/>
          <w:highlight w:val="none"/>
        </w:rPr>
        <w:t>第五章  合同主要条款</w:t>
      </w:r>
      <w:bookmarkEnd w:id="33"/>
    </w:p>
    <w:p>
      <w:pPr>
        <w:pageBreakBefore w:val="0"/>
        <w:widowControl w:val="0"/>
        <w:kinsoku/>
        <w:wordWrap/>
        <w:overflowPunct/>
        <w:topLinePunct w:val="0"/>
        <w:autoSpaceDE/>
        <w:autoSpaceDN/>
        <w:bidi w:val="0"/>
        <w:spacing w:before="240" w:line="360" w:lineRule="auto"/>
        <w:ind w:left="0" w:leftChars="0" w:right="0" w:rightChars="0"/>
        <w:jc w:val="center"/>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（仅供参考；本合同为合同样稿，最终稿由甲乙双方协商后确定）</w:t>
      </w:r>
    </w:p>
    <w:p>
      <w:pPr>
        <w:pageBreakBefore w:val="0"/>
        <w:widowControl w:val="0"/>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rPr>
      </w:pPr>
    </w:p>
    <w:p>
      <w:pPr>
        <w:rPr>
          <w:rFonts w:ascii="宋体" w:hAnsi="宋体" w:eastAsia="宋体" w:cs="宋体"/>
          <w:color w:val="auto"/>
          <w:szCs w:val="21"/>
          <w:highlight w:val="none"/>
        </w:rPr>
      </w:pPr>
    </w:p>
    <w:p>
      <w:pPr>
        <w:spacing w:line="360" w:lineRule="auto"/>
        <w:rPr>
          <w:rFonts w:hint="eastAsia" w:ascii="宋体" w:hAnsi="宋体" w:eastAsia="宋体"/>
          <w:bCs/>
          <w:szCs w:val="21"/>
          <w:highlight w:val="none"/>
          <w:u w:val="single"/>
          <w:lang w:eastAsia="zh-CN"/>
        </w:rPr>
      </w:pPr>
      <w:r>
        <w:rPr>
          <w:rFonts w:hint="eastAsia" w:ascii="宋体" w:hAnsi="宋体"/>
          <w:szCs w:val="21"/>
          <w:highlight w:val="none"/>
        </w:rPr>
        <w:t>项目编号：</w:t>
      </w:r>
      <w:r>
        <w:rPr>
          <w:rFonts w:hint="eastAsia" w:ascii="宋体" w:hAnsi="宋体"/>
          <w:bCs/>
          <w:szCs w:val="21"/>
          <w:highlight w:val="none"/>
          <w:u w:val="single"/>
        </w:rPr>
        <w:t>NBZX-</w:t>
      </w:r>
      <w:r>
        <w:rPr>
          <w:rFonts w:hint="eastAsia" w:ascii="宋体" w:hAnsi="宋体"/>
          <w:bCs/>
          <w:szCs w:val="21"/>
          <w:highlight w:val="none"/>
          <w:u w:val="single"/>
          <w:lang w:eastAsia="zh-CN"/>
        </w:rPr>
        <w:t>20230120G-BL002</w:t>
      </w:r>
    </w:p>
    <w:p>
      <w:pPr>
        <w:spacing w:line="360" w:lineRule="auto"/>
        <w:rPr>
          <w:rFonts w:ascii="宋体" w:hAnsi="宋体"/>
          <w:bCs/>
          <w:szCs w:val="21"/>
          <w:highlight w:val="none"/>
          <w:u w:val="single"/>
        </w:rPr>
      </w:pPr>
      <w:r>
        <w:rPr>
          <w:rFonts w:hint="eastAsia" w:ascii="宋体" w:hAnsi="宋体"/>
          <w:szCs w:val="21"/>
          <w:highlight w:val="none"/>
        </w:rPr>
        <w:t>项目名称：</w:t>
      </w:r>
      <w:r>
        <w:rPr>
          <w:rFonts w:hint="eastAsia" w:ascii="宋体" w:hAnsi="宋体"/>
          <w:bCs/>
          <w:szCs w:val="21"/>
          <w:highlight w:val="none"/>
          <w:u w:val="single"/>
          <w:lang w:eastAsia="zh-CN"/>
        </w:rPr>
        <w:t>2023-2025</w:t>
      </w:r>
      <w:r>
        <w:rPr>
          <w:rFonts w:hint="eastAsia" w:ascii="宋体" w:hAnsi="宋体"/>
          <w:bCs/>
          <w:szCs w:val="21"/>
          <w:highlight w:val="none"/>
          <w:u w:val="single"/>
        </w:rPr>
        <w:t>年北仑区土地使用权出让地价委托评估项目</w:t>
      </w:r>
    </w:p>
    <w:p>
      <w:pPr>
        <w:spacing w:line="360" w:lineRule="auto"/>
        <w:rPr>
          <w:rFonts w:hint="eastAsia" w:ascii="宋体" w:hAnsi="宋体"/>
          <w:szCs w:val="21"/>
          <w:highlight w:val="none"/>
          <w:u w:val="single"/>
        </w:rPr>
      </w:pPr>
      <w:r>
        <w:rPr>
          <w:rFonts w:hint="eastAsia" w:ascii="宋体" w:hAnsi="宋体"/>
          <w:szCs w:val="21"/>
          <w:highlight w:val="none"/>
        </w:rPr>
        <w:t>合同编号：</w:t>
      </w:r>
      <w:r>
        <w:rPr>
          <w:rFonts w:hint="eastAsia" w:ascii="宋体" w:hAnsi="宋体"/>
          <w:szCs w:val="21"/>
          <w:highlight w:val="none"/>
          <w:u w:val="single"/>
        </w:rPr>
        <w:t xml:space="preserve">                        </w:t>
      </w:r>
    </w:p>
    <w:p>
      <w:pPr>
        <w:spacing w:line="360" w:lineRule="auto"/>
        <w:rPr>
          <w:rFonts w:hint="eastAsia" w:ascii="宋体" w:hAnsi="宋体"/>
          <w:szCs w:val="21"/>
          <w:highlight w:val="none"/>
        </w:rPr>
      </w:pPr>
    </w:p>
    <w:p>
      <w:pPr>
        <w:autoSpaceDE w:val="0"/>
        <w:autoSpaceDN w:val="0"/>
        <w:spacing w:line="360" w:lineRule="auto"/>
        <w:rPr>
          <w:rFonts w:ascii="宋体"/>
          <w:szCs w:val="21"/>
          <w:highlight w:val="none"/>
        </w:rPr>
      </w:pPr>
      <w:r>
        <w:rPr>
          <w:rFonts w:hint="eastAsia" w:ascii="宋体"/>
          <w:szCs w:val="21"/>
          <w:highlight w:val="none"/>
        </w:rPr>
        <w:t xml:space="preserve">委托单位:宁波市自然资源和规划局北仑分局 （以下简称甲方） </w:t>
      </w:r>
    </w:p>
    <w:p>
      <w:pPr>
        <w:autoSpaceDE w:val="0"/>
        <w:autoSpaceDN w:val="0"/>
        <w:spacing w:line="360" w:lineRule="auto"/>
        <w:rPr>
          <w:rFonts w:ascii="宋体"/>
          <w:szCs w:val="21"/>
          <w:highlight w:val="none"/>
        </w:rPr>
      </w:pPr>
      <w:r>
        <w:rPr>
          <w:rFonts w:hint="eastAsia" w:ascii="宋体"/>
          <w:szCs w:val="21"/>
          <w:highlight w:val="none"/>
        </w:rPr>
        <w:t xml:space="preserve">受托单位:                    公司  (以下简称乙方) </w:t>
      </w:r>
    </w:p>
    <w:p>
      <w:pPr>
        <w:autoSpaceDE w:val="0"/>
        <w:autoSpaceDN w:val="0"/>
        <w:spacing w:line="360" w:lineRule="auto"/>
        <w:rPr>
          <w:rFonts w:ascii="宋体"/>
          <w:szCs w:val="21"/>
          <w:highlight w:val="none"/>
        </w:rPr>
      </w:pPr>
    </w:p>
    <w:p>
      <w:pPr>
        <w:autoSpaceDE w:val="0"/>
        <w:autoSpaceDN w:val="0"/>
        <w:spacing w:line="360" w:lineRule="auto"/>
        <w:ind w:firstLine="420" w:firstLineChars="200"/>
        <w:rPr>
          <w:rFonts w:ascii="宋体"/>
          <w:szCs w:val="21"/>
          <w:highlight w:val="none"/>
        </w:rPr>
      </w:pPr>
      <w:r>
        <w:rPr>
          <w:rFonts w:hint="eastAsia" w:ascii="宋体"/>
          <w:szCs w:val="21"/>
          <w:highlight w:val="none"/>
        </w:rPr>
        <w:t>通过公开招标确定，甲方将</w:t>
      </w:r>
      <w:r>
        <w:rPr>
          <w:rFonts w:hint="eastAsia" w:ascii="宋体"/>
          <w:szCs w:val="21"/>
          <w:highlight w:val="none"/>
          <w:lang w:eastAsia="zh-CN"/>
        </w:rPr>
        <w:t>2023-2025</w:t>
      </w:r>
      <w:r>
        <w:rPr>
          <w:rFonts w:hint="eastAsia" w:ascii="宋体"/>
          <w:szCs w:val="21"/>
          <w:highlight w:val="none"/>
        </w:rPr>
        <w:t>年度</w:t>
      </w:r>
      <w:r>
        <w:rPr>
          <w:rFonts w:hint="eastAsia" w:ascii="宋体" w:hAnsi="宋体" w:eastAsia="宋体" w:cs="宋体"/>
          <w:i w:val="0"/>
          <w:caps w:val="0"/>
          <w:color w:val="auto"/>
          <w:spacing w:val="0"/>
          <w:kern w:val="0"/>
          <w:sz w:val="21"/>
          <w:szCs w:val="21"/>
          <w:highlight w:val="none"/>
          <w:shd w:val="clear" w:color="auto" w:fill="FFFFFF"/>
          <w:lang w:val="en-US" w:eastAsia="zh-CN" w:bidi="ar"/>
        </w:rPr>
        <w:t>对宁波市北仑区内（含大榭、保税区）的土地出让（含出租、收购等）（市局项目除外）</w:t>
      </w:r>
      <w:r>
        <w:rPr>
          <w:rFonts w:hint="eastAsia" w:ascii="宋体"/>
          <w:szCs w:val="21"/>
          <w:highlight w:val="none"/>
        </w:rPr>
        <w:t>涉及的土地使用权价格委托乙方进行评估，甲乙双方在平等、自愿、有偿和充分协作原则的基础上，为明确责任、分工协作特就土地估价事宜签订本合同，以便双方共同遵守。</w:t>
      </w:r>
    </w:p>
    <w:p>
      <w:pPr>
        <w:autoSpaceDE w:val="0"/>
        <w:autoSpaceDN w:val="0"/>
        <w:spacing w:line="360" w:lineRule="auto"/>
        <w:ind w:firstLine="422" w:firstLineChars="200"/>
        <w:rPr>
          <w:rFonts w:ascii="宋体"/>
          <w:b/>
          <w:szCs w:val="21"/>
          <w:highlight w:val="none"/>
        </w:rPr>
      </w:pPr>
      <w:r>
        <w:rPr>
          <w:rFonts w:hint="eastAsia" w:ascii="宋体"/>
          <w:b/>
          <w:szCs w:val="21"/>
          <w:highlight w:val="none"/>
        </w:rPr>
        <w:t>一</w:t>
      </w:r>
      <w:r>
        <w:rPr>
          <w:rFonts w:ascii="宋体"/>
          <w:b/>
          <w:szCs w:val="21"/>
          <w:highlight w:val="none"/>
        </w:rPr>
        <w:t>、合同期限</w:t>
      </w:r>
    </w:p>
    <w:p>
      <w:pPr>
        <w:autoSpaceDE w:val="0"/>
        <w:autoSpaceDN w:val="0"/>
        <w:spacing w:line="360" w:lineRule="auto"/>
        <w:ind w:firstLine="420" w:firstLineChars="200"/>
        <w:rPr>
          <w:rFonts w:hint="eastAsia" w:ascii="宋体"/>
          <w:szCs w:val="21"/>
          <w:highlight w:val="none"/>
        </w:rPr>
      </w:pPr>
      <w:r>
        <w:rPr>
          <w:rFonts w:hint="eastAsia" w:ascii="宋体"/>
          <w:szCs w:val="21"/>
          <w:highlight w:val="none"/>
        </w:rPr>
        <w:t>本项目委托评估期限为</w:t>
      </w:r>
      <w:r>
        <w:rPr>
          <w:rFonts w:hint="eastAsia" w:ascii="宋体"/>
          <w:szCs w:val="21"/>
          <w:highlight w:val="none"/>
          <w:u w:val="single"/>
        </w:rPr>
        <w:t xml:space="preserve"> </w:t>
      </w:r>
      <w:r>
        <w:rPr>
          <w:rFonts w:ascii="宋体"/>
          <w:szCs w:val="21"/>
          <w:highlight w:val="none"/>
          <w:u w:val="single"/>
        </w:rPr>
        <w:t xml:space="preserve">3 </w:t>
      </w:r>
      <w:r>
        <w:rPr>
          <w:rFonts w:hint="eastAsia" w:ascii="宋体"/>
          <w:szCs w:val="21"/>
          <w:highlight w:val="none"/>
        </w:rPr>
        <w:t>年，合同</w:t>
      </w:r>
      <w:r>
        <w:rPr>
          <w:rFonts w:hint="eastAsia" w:ascii="宋体"/>
          <w:szCs w:val="21"/>
          <w:highlight w:val="none"/>
          <w:u w:val="single"/>
        </w:rPr>
        <w:t xml:space="preserve"> 一 </w:t>
      </w:r>
      <w:r>
        <w:rPr>
          <w:rFonts w:hint="eastAsia" w:ascii="宋体"/>
          <w:szCs w:val="21"/>
          <w:highlight w:val="none"/>
        </w:rPr>
        <w:t>年一签，本合同自</w:t>
      </w:r>
      <w:r>
        <w:rPr>
          <w:rFonts w:hint="eastAsia" w:ascii="宋体"/>
          <w:szCs w:val="21"/>
          <w:highlight w:val="none"/>
          <w:u w:val="single"/>
        </w:rPr>
        <w:t>20</w:t>
      </w:r>
      <w:r>
        <w:rPr>
          <w:rFonts w:ascii="宋体"/>
          <w:szCs w:val="21"/>
          <w:highlight w:val="none"/>
          <w:u w:val="single"/>
        </w:rPr>
        <w:t xml:space="preserve"> </w:t>
      </w:r>
      <w:r>
        <w:rPr>
          <w:rFonts w:hint="eastAsia" w:ascii="宋体"/>
          <w:szCs w:val="21"/>
          <w:highlight w:val="none"/>
          <w:u w:val="single"/>
        </w:rPr>
        <w:t xml:space="preserve"> </w:t>
      </w:r>
      <w:r>
        <w:rPr>
          <w:rFonts w:hint="eastAsia" w:ascii="宋体"/>
          <w:szCs w:val="21"/>
          <w:highlight w:val="none"/>
        </w:rPr>
        <w:t>年</w:t>
      </w:r>
      <w:r>
        <w:rPr>
          <w:rFonts w:hint="eastAsia" w:ascii="宋体"/>
          <w:szCs w:val="21"/>
          <w:highlight w:val="none"/>
          <w:u w:val="single"/>
        </w:rPr>
        <w:t xml:space="preserve">   </w:t>
      </w:r>
      <w:r>
        <w:rPr>
          <w:rFonts w:hint="eastAsia" w:ascii="宋体"/>
          <w:szCs w:val="21"/>
          <w:highlight w:val="none"/>
        </w:rPr>
        <w:t>月</w:t>
      </w:r>
      <w:r>
        <w:rPr>
          <w:rFonts w:hint="eastAsia" w:ascii="宋体"/>
          <w:szCs w:val="21"/>
          <w:highlight w:val="none"/>
          <w:u w:val="single"/>
        </w:rPr>
        <w:t xml:space="preserve">   </w:t>
      </w:r>
      <w:r>
        <w:rPr>
          <w:rFonts w:hint="eastAsia" w:ascii="宋体"/>
          <w:szCs w:val="21"/>
          <w:highlight w:val="none"/>
        </w:rPr>
        <w:t>日至</w:t>
      </w:r>
      <w:r>
        <w:rPr>
          <w:rFonts w:hint="eastAsia" w:ascii="宋体"/>
          <w:szCs w:val="21"/>
          <w:highlight w:val="none"/>
          <w:u w:val="single"/>
        </w:rPr>
        <w:t xml:space="preserve"> 20</w:t>
      </w:r>
      <w:r>
        <w:rPr>
          <w:rFonts w:ascii="宋体"/>
          <w:szCs w:val="21"/>
          <w:highlight w:val="none"/>
          <w:u w:val="single"/>
        </w:rPr>
        <w:t xml:space="preserve">  </w:t>
      </w:r>
      <w:r>
        <w:rPr>
          <w:rFonts w:hint="eastAsia" w:ascii="宋体"/>
          <w:szCs w:val="21"/>
          <w:highlight w:val="none"/>
        </w:rPr>
        <w:t>年</w:t>
      </w:r>
      <w:r>
        <w:rPr>
          <w:rFonts w:hint="eastAsia" w:ascii="宋体"/>
          <w:szCs w:val="21"/>
          <w:highlight w:val="none"/>
          <w:u w:val="single"/>
        </w:rPr>
        <w:t xml:space="preserve">   </w:t>
      </w:r>
      <w:r>
        <w:rPr>
          <w:rFonts w:hint="eastAsia" w:ascii="宋体"/>
          <w:szCs w:val="21"/>
          <w:highlight w:val="none"/>
        </w:rPr>
        <w:t>月</w:t>
      </w:r>
      <w:r>
        <w:rPr>
          <w:rFonts w:hint="eastAsia" w:ascii="宋体"/>
          <w:szCs w:val="21"/>
          <w:highlight w:val="none"/>
          <w:u w:val="single"/>
        </w:rPr>
        <w:t xml:space="preserve">   </w:t>
      </w:r>
      <w:r>
        <w:rPr>
          <w:rFonts w:hint="eastAsia" w:ascii="宋体"/>
          <w:szCs w:val="21"/>
          <w:highlight w:val="none"/>
        </w:rPr>
        <w:t>日止。</w:t>
      </w:r>
    </w:p>
    <w:p>
      <w:pPr>
        <w:autoSpaceDE w:val="0"/>
        <w:autoSpaceDN w:val="0"/>
        <w:spacing w:line="360" w:lineRule="auto"/>
        <w:ind w:firstLine="422" w:firstLineChars="200"/>
        <w:rPr>
          <w:rFonts w:ascii="宋体"/>
          <w:b/>
          <w:szCs w:val="21"/>
          <w:highlight w:val="none"/>
        </w:rPr>
      </w:pPr>
      <w:r>
        <w:rPr>
          <w:rFonts w:hint="eastAsia" w:ascii="宋体"/>
          <w:b/>
          <w:szCs w:val="21"/>
          <w:highlight w:val="none"/>
        </w:rPr>
        <w:t>二</w:t>
      </w:r>
      <w:r>
        <w:rPr>
          <w:rFonts w:ascii="宋体"/>
          <w:b/>
          <w:szCs w:val="21"/>
          <w:highlight w:val="none"/>
        </w:rPr>
        <w:t>、项目范围</w:t>
      </w:r>
    </w:p>
    <w:p>
      <w:pPr>
        <w:autoSpaceDE w:val="0"/>
        <w:autoSpaceDN w:val="0"/>
        <w:spacing w:line="360" w:lineRule="auto"/>
        <w:ind w:firstLine="420" w:firstLineChars="200"/>
        <w:rPr>
          <w:rFonts w:ascii="宋体"/>
          <w:szCs w:val="21"/>
          <w:highlight w:val="none"/>
        </w:rPr>
      </w:pPr>
      <w:r>
        <w:rPr>
          <w:rFonts w:hint="eastAsia" w:ascii="宋体"/>
          <w:szCs w:val="21"/>
          <w:highlight w:val="none"/>
        </w:rPr>
        <w:t>对</w:t>
      </w:r>
      <w:r>
        <w:rPr>
          <w:rFonts w:hint="eastAsia" w:ascii="宋体" w:hAnsi="宋体" w:eastAsia="宋体" w:cs="宋体"/>
          <w:i w:val="0"/>
          <w:caps w:val="0"/>
          <w:color w:val="auto"/>
          <w:spacing w:val="0"/>
          <w:kern w:val="0"/>
          <w:sz w:val="21"/>
          <w:szCs w:val="21"/>
          <w:highlight w:val="none"/>
          <w:shd w:val="clear" w:color="auto" w:fill="FFFFFF"/>
          <w:lang w:val="en-US" w:eastAsia="zh-CN" w:bidi="ar"/>
        </w:rPr>
        <w:t>对宁波市北仑区内（含大榭、保税区）的土地出让（含出租、收购等）（市局项目除外）</w:t>
      </w:r>
      <w:r>
        <w:rPr>
          <w:rFonts w:hint="eastAsia" w:ascii="宋体"/>
          <w:szCs w:val="21"/>
          <w:highlight w:val="none"/>
        </w:rPr>
        <w:t>的参考地价委托评估，</w:t>
      </w:r>
      <w:r>
        <w:rPr>
          <w:rFonts w:hint="eastAsia" w:ascii="宋体" w:hAnsi="宋体" w:cs="宋体"/>
          <w:szCs w:val="21"/>
          <w:highlight w:val="none"/>
        </w:rPr>
        <w:t>如遇</w:t>
      </w:r>
      <w:r>
        <w:rPr>
          <w:rFonts w:ascii="宋体" w:hAnsi="宋体" w:cs="宋体"/>
          <w:szCs w:val="21"/>
          <w:highlight w:val="none"/>
        </w:rPr>
        <w:t>政策调整或上级要求导致评估范围有调整的，</w:t>
      </w:r>
      <w:r>
        <w:rPr>
          <w:rFonts w:hint="eastAsia" w:ascii="宋体" w:hAnsi="宋体" w:cs="宋体"/>
          <w:szCs w:val="21"/>
          <w:highlight w:val="none"/>
        </w:rPr>
        <w:t>乙方</w:t>
      </w:r>
      <w:r>
        <w:rPr>
          <w:rFonts w:ascii="宋体" w:hAnsi="宋体" w:cs="宋体"/>
          <w:szCs w:val="21"/>
          <w:highlight w:val="none"/>
        </w:rPr>
        <w:t>须无条件服从</w:t>
      </w:r>
      <w:r>
        <w:rPr>
          <w:rFonts w:hint="eastAsia" w:ascii="宋体" w:hAnsi="宋体" w:cs="宋体"/>
          <w:szCs w:val="21"/>
          <w:highlight w:val="none"/>
        </w:rPr>
        <w:t>甲方</w:t>
      </w:r>
      <w:r>
        <w:rPr>
          <w:rFonts w:ascii="宋体" w:hAnsi="宋体" w:cs="宋体"/>
          <w:szCs w:val="21"/>
          <w:highlight w:val="none"/>
        </w:rPr>
        <w:t>的安排</w:t>
      </w:r>
      <w:r>
        <w:rPr>
          <w:rFonts w:hint="eastAsia" w:ascii="宋体" w:hAnsi="宋体"/>
          <w:szCs w:val="21"/>
          <w:highlight w:val="none"/>
        </w:rPr>
        <w:t>。</w:t>
      </w:r>
    </w:p>
    <w:p>
      <w:pPr>
        <w:autoSpaceDE w:val="0"/>
        <w:autoSpaceDN w:val="0"/>
        <w:spacing w:line="360" w:lineRule="auto"/>
        <w:ind w:firstLine="422" w:firstLineChars="200"/>
        <w:rPr>
          <w:rFonts w:ascii="宋体"/>
          <w:b/>
          <w:szCs w:val="21"/>
          <w:highlight w:val="none"/>
        </w:rPr>
      </w:pPr>
      <w:r>
        <w:rPr>
          <w:rFonts w:hint="eastAsia" w:ascii="宋体"/>
          <w:b/>
          <w:szCs w:val="21"/>
          <w:highlight w:val="none"/>
        </w:rPr>
        <w:t>三</w:t>
      </w:r>
      <w:r>
        <w:rPr>
          <w:rFonts w:ascii="宋体"/>
          <w:b/>
          <w:szCs w:val="21"/>
          <w:highlight w:val="none"/>
        </w:rPr>
        <w:t>、技术要求</w:t>
      </w:r>
    </w:p>
    <w:p>
      <w:pPr>
        <w:autoSpaceDE w:val="0"/>
        <w:autoSpaceDN w:val="0"/>
        <w:spacing w:line="360" w:lineRule="auto"/>
        <w:ind w:firstLine="420" w:firstLineChars="200"/>
        <w:rPr>
          <w:rFonts w:hint="eastAsia" w:ascii="宋体"/>
          <w:szCs w:val="21"/>
          <w:highlight w:val="none"/>
        </w:rPr>
      </w:pPr>
      <w:r>
        <w:rPr>
          <w:rFonts w:hint="eastAsia" w:ascii="宋体"/>
          <w:szCs w:val="21"/>
          <w:highlight w:val="none"/>
        </w:rPr>
        <w:t>1、乙方必须保证足够的技术力量，拟派参与评估项目的注册估价师不少于三个。</w:t>
      </w:r>
    </w:p>
    <w:p>
      <w:pPr>
        <w:autoSpaceDE w:val="0"/>
        <w:autoSpaceDN w:val="0"/>
        <w:spacing w:line="360" w:lineRule="auto"/>
        <w:ind w:firstLine="420" w:firstLineChars="200"/>
        <w:rPr>
          <w:rFonts w:hint="eastAsia" w:ascii="宋体"/>
          <w:szCs w:val="21"/>
          <w:highlight w:val="none"/>
        </w:rPr>
      </w:pPr>
      <w:r>
        <w:rPr>
          <w:rFonts w:hint="eastAsia" w:ascii="宋体"/>
          <w:szCs w:val="21"/>
          <w:highlight w:val="none"/>
        </w:rPr>
        <w:t>2、乙方必须按照甲方的委托事项进行评估。</w:t>
      </w:r>
    </w:p>
    <w:p>
      <w:pPr>
        <w:autoSpaceDE w:val="0"/>
        <w:autoSpaceDN w:val="0"/>
        <w:spacing w:line="360" w:lineRule="auto"/>
        <w:ind w:firstLine="420" w:firstLineChars="200"/>
        <w:rPr>
          <w:rFonts w:hint="eastAsia" w:ascii="宋体"/>
          <w:szCs w:val="21"/>
          <w:highlight w:val="none"/>
        </w:rPr>
      </w:pPr>
      <w:r>
        <w:rPr>
          <w:rFonts w:hint="eastAsia" w:ascii="宋体"/>
          <w:szCs w:val="21"/>
          <w:highlight w:val="none"/>
        </w:rPr>
        <w:t>3、要求乙方严格遵守法律、法规，本着“客观、真实、公正”的原则， 根据甲方要求，按国家规定的土地估价技术规范要求进行评估，并对出具的土地估价报告(含技术报告)和土地估价结果独立承担法律责任。廉洁公正、诚实守信，不徇私舞弊，保证评估价格客观、公正、合理。</w:t>
      </w:r>
    </w:p>
    <w:p>
      <w:pPr>
        <w:autoSpaceDE w:val="0"/>
        <w:autoSpaceDN w:val="0"/>
        <w:spacing w:line="360" w:lineRule="auto"/>
        <w:ind w:firstLine="420" w:firstLineChars="200"/>
        <w:rPr>
          <w:rFonts w:hint="eastAsia" w:ascii="宋体"/>
          <w:szCs w:val="21"/>
          <w:highlight w:val="none"/>
        </w:rPr>
      </w:pPr>
      <w:r>
        <w:rPr>
          <w:rFonts w:hint="eastAsia" w:ascii="宋体"/>
          <w:szCs w:val="21"/>
          <w:highlight w:val="none"/>
        </w:rPr>
        <w:t>4、乙方对出具的报告的真实性、合法性和公正性负法律责任和经济责任，并对报告负有保密责任。</w:t>
      </w:r>
    </w:p>
    <w:p>
      <w:pPr>
        <w:autoSpaceDE w:val="0"/>
        <w:autoSpaceDN w:val="0"/>
        <w:spacing w:line="360" w:lineRule="auto"/>
        <w:ind w:firstLine="420" w:firstLineChars="200"/>
        <w:rPr>
          <w:rFonts w:hint="eastAsia" w:ascii="宋体"/>
          <w:szCs w:val="21"/>
          <w:highlight w:val="none"/>
        </w:rPr>
      </w:pPr>
      <w:r>
        <w:rPr>
          <w:rFonts w:hint="eastAsia" w:ascii="宋体"/>
          <w:szCs w:val="21"/>
          <w:highlight w:val="none"/>
        </w:rPr>
        <w:t>5、乙方必须严格按照《城镇土地估价规程》、《国有建设用地使用权出让地价评估技术规范（试行）》的工作标准执行，进行拍照，存档等工作，所获数据真实可靠。</w:t>
      </w:r>
    </w:p>
    <w:p>
      <w:pPr>
        <w:autoSpaceDE w:val="0"/>
        <w:autoSpaceDN w:val="0"/>
        <w:spacing w:line="360" w:lineRule="auto"/>
        <w:ind w:firstLine="420" w:firstLineChars="200"/>
        <w:rPr>
          <w:rFonts w:ascii="宋体"/>
          <w:szCs w:val="21"/>
          <w:highlight w:val="none"/>
        </w:rPr>
      </w:pPr>
      <w:r>
        <w:rPr>
          <w:rFonts w:hint="eastAsia" w:ascii="宋体"/>
          <w:szCs w:val="21"/>
          <w:highlight w:val="none"/>
        </w:rPr>
        <w:t>6、不允许转包和分包项目。</w:t>
      </w:r>
    </w:p>
    <w:p>
      <w:pPr>
        <w:autoSpaceDE w:val="0"/>
        <w:autoSpaceDN w:val="0"/>
        <w:spacing w:line="360" w:lineRule="auto"/>
        <w:ind w:firstLine="420"/>
        <w:rPr>
          <w:rFonts w:ascii="宋体"/>
          <w:b/>
          <w:szCs w:val="21"/>
          <w:highlight w:val="none"/>
        </w:rPr>
      </w:pPr>
      <w:r>
        <w:rPr>
          <w:rFonts w:hint="eastAsia" w:ascii="宋体"/>
          <w:b/>
          <w:szCs w:val="21"/>
          <w:highlight w:val="none"/>
        </w:rPr>
        <w:t>四</w:t>
      </w:r>
      <w:r>
        <w:rPr>
          <w:rFonts w:ascii="宋体"/>
          <w:b/>
          <w:szCs w:val="21"/>
          <w:highlight w:val="none"/>
        </w:rPr>
        <w:t>、</w:t>
      </w:r>
      <w:r>
        <w:rPr>
          <w:rFonts w:hint="eastAsia" w:ascii="宋体"/>
          <w:b/>
          <w:szCs w:val="21"/>
          <w:highlight w:val="none"/>
        </w:rPr>
        <w:t xml:space="preserve">评估费用及支付方式 </w:t>
      </w:r>
    </w:p>
    <w:p>
      <w:pPr>
        <w:spacing w:line="360" w:lineRule="auto"/>
        <w:ind w:firstLine="420" w:firstLineChars="200"/>
        <w:rPr>
          <w:rFonts w:hint="eastAsia" w:ascii="宋体"/>
          <w:color w:val="auto"/>
          <w:szCs w:val="21"/>
          <w:highlight w:val="none"/>
        </w:rPr>
      </w:pPr>
      <w:r>
        <w:rPr>
          <w:rFonts w:ascii="宋体"/>
          <w:szCs w:val="21"/>
          <w:highlight w:val="none"/>
        </w:rPr>
        <w:t>1</w:t>
      </w:r>
      <w:r>
        <w:rPr>
          <w:rFonts w:hint="eastAsia" w:ascii="宋体"/>
          <w:szCs w:val="21"/>
          <w:highlight w:val="none"/>
        </w:rPr>
        <w:t>、评估</w:t>
      </w:r>
      <w:r>
        <w:rPr>
          <w:rFonts w:ascii="宋体"/>
          <w:szCs w:val="21"/>
          <w:highlight w:val="none"/>
        </w:rPr>
        <w:t>费为</w:t>
      </w:r>
      <w:r>
        <w:rPr>
          <w:rFonts w:hint="eastAsia" w:ascii="宋体"/>
          <w:szCs w:val="21"/>
          <w:highlight w:val="none"/>
        </w:rPr>
        <w:t>浙江省物价局浙价服〔2005〕6号文件规定的收费标准的____%（大写：百分</w:t>
      </w:r>
      <w:r>
        <w:rPr>
          <w:rFonts w:hint="eastAsia" w:ascii="宋体"/>
          <w:color w:val="auto"/>
          <w:szCs w:val="21"/>
          <w:highlight w:val="none"/>
        </w:rPr>
        <w:t>之       ）。</w:t>
      </w:r>
    </w:p>
    <w:p>
      <w:pPr>
        <w:spacing w:line="360" w:lineRule="auto"/>
        <w:ind w:firstLine="420" w:firstLineChars="200"/>
        <w:rPr>
          <w:rFonts w:hint="eastAsia" w:ascii="宋体"/>
          <w:color w:val="auto"/>
          <w:szCs w:val="21"/>
          <w:highlight w:val="none"/>
        </w:rPr>
      </w:pPr>
      <w:r>
        <w:rPr>
          <w:rFonts w:ascii="宋体"/>
          <w:color w:val="auto"/>
          <w:szCs w:val="21"/>
          <w:highlight w:val="none"/>
        </w:rPr>
        <w:t>2</w:t>
      </w:r>
      <w:r>
        <w:rPr>
          <w:rFonts w:hint="eastAsia" w:ascii="宋体"/>
          <w:color w:val="auto"/>
          <w:szCs w:val="21"/>
          <w:highlight w:val="none"/>
        </w:rPr>
        <w:t>、合同生效以及具备实施条件后7个工作日内，</w:t>
      </w:r>
      <w:r>
        <w:rPr>
          <w:rFonts w:hint="eastAsia" w:ascii="宋体"/>
          <w:color w:val="auto"/>
          <w:szCs w:val="21"/>
          <w:highlight w:val="none"/>
          <w:lang w:eastAsia="zh-CN"/>
        </w:rPr>
        <w:t>甲方</w:t>
      </w:r>
      <w:r>
        <w:rPr>
          <w:rFonts w:hint="eastAsia" w:ascii="宋体"/>
          <w:color w:val="auto"/>
          <w:szCs w:val="21"/>
          <w:highlight w:val="none"/>
        </w:rPr>
        <w:t>支付合同金额</w:t>
      </w:r>
      <w:r>
        <w:rPr>
          <w:rFonts w:hint="eastAsia" w:ascii="宋体"/>
          <w:color w:val="auto"/>
          <w:szCs w:val="21"/>
          <w:highlight w:val="none"/>
          <w:lang w:eastAsia="zh-CN"/>
        </w:rPr>
        <w:t>（</w:t>
      </w:r>
      <w:r>
        <w:rPr>
          <w:rFonts w:hint="eastAsia" w:ascii="宋体"/>
          <w:color w:val="auto"/>
          <w:szCs w:val="21"/>
          <w:highlight w:val="none"/>
          <w:lang w:val="en-US" w:eastAsia="zh-CN"/>
        </w:rPr>
        <w:t>即该年度预算金额</w:t>
      </w:r>
      <w:r>
        <w:rPr>
          <w:rFonts w:hint="eastAsia" w:ascii="宋体"/>
          <w:color w:val="auto"/>
          <w:szCs w:val="21"/>
          <w:highlight w:val="none"/>
          <w:lang w:eastAsia="zh-CN"/>
        </w:rPr>
        <w:t>）</w:t>
      </w:r>
      <w:r>
        <w:rPr>
          <w:rFonts w:hint="eastAsia" w:ascii="宋体"/>
          <w:color w:val="auto"/>
          <w:szCs w:val="21"/>
          <w:highlight w:val="none"/>
        </w:rPr>
        <w:t>的40%。如</w:t>
      </w:r>
      <w:r>
        <w:rPr>
          <w:rFonts w:hint="eastAsia" w:ascii="宋体"/>
          <w:color w:val="auto"/>
          <w:szCs w:val="21"/>
          <w:highlight w:val="none"/>
          <w:lang w:eastAsia="zh-CN"/>
        </w:rPr>
        <w:t>乙方</w:t>
      </w:r>
      <w:r>
        <w:rPr>
          <w:rFonts w:hint="eastAsia" w:ascii="宋体"/>
          <w:color w:val="auto"/>
          <w:szCs w:val="21"/>
          <w:highlight w:val="none"/>
        </w:rPr>
        <w:t>为非中小企业，或在签订合同时，</w:t>
      </w:r>
      <w:r>
        <w:rPr>
          <w:rFonts w:hint="eastAsia" w:ascii="宋体"/>
          <w:color w:val="auto"/>
          <w:szCs w:val="21"/>
          <w:highlight w:val="none"/>
          <w:lang w:eastAsia="zh-CN"/>
        </w:rPr>
        <w:t>乙方</w:t>
      </w:r>
      <w:r>
        <w:rPr>
          <w:rFonts w:hint="eastAsia" w:ascii="宋体"/>
          <w:color w:val="auto"/>
          <w:szCs w:val="21"/>
          <w:highlight w:val="none"/>
        </w:rPr>
        <w:t>明确表示无需预付款的，可不预付合同款；如</w:t>
      </w:r>
      <w:r>
        <w:rPr>
          <w:rFonts w:hint="eastAsia" w:ascii="宋体"/>
          <w:color w:val="auto"/>
          <w:szCs w:val="21"/>
          <w:highlight w:val="none"/>
          <w:lang w:eastAsia="zh-CN"/>
        </w:rPr>
        <w:t>乙方</w:t>
      </w:r>
      <w:r>
        <w:rPr>
          <w:rFonts w:hint="eastAsia" w:ascii="宋体"/>
          <w:color w:val="auto"/>
          <w:szCs w:val="21"/>
          <w:highlight w:val="none"/>
        </w:rPr>
        <w:t>主动要求降低预付款比例的，可降低预付款比例。</w:t>
      </w:r>
    </w:p>
    <w:p>
      <w:pPr>
        <w:spacing w:line="360" w:lineRule="auto"/>
        <w:ind w:firstLine="420" w:firstLineChars="200"/>
        <w:rPr>
          <w:rFonts w:hint="eastAsia" w:ascii="宋体" w:cs="Times New Roman"/>
          <w:color w:val="auto"/>
          <w:szCs w:val="21"/>
          <w:highlight w:val="none"/>
          <w:lang w:val="en-US" w:eastAsia="zh-CN"/>
        </w:rPr>
      </w:pPr>
      <w:r>
        <w:rPr>
          <w:rFonts w:hint="eastAsia" w:ascii="宋体" w:cs="Times New Roman"/>
          <w:color w:val="auto"/>
          <w:szCs w:val="21"/>
          <w:highlight w:val="none"/>
          <w:lang w:val="en-US" w:eastAsia="zh-CN"/>
        </w:rPr>
        <w:t>3、余款在确认中标方有效履行当年度合同后据实结算，自收到发票后7个工作日内付清。</w:t>
      </w:r>
    </w:p>
    <w:p>
      <w:pPr>
        <w:spacing w:line="360" w:lineRule="auto"/>
        <w:ind w:firstLine="420" w:firstLineChars="200"/>
        <w:rPr>
          <w:rFonts w:hint="eastAsia" w:ascii="宋体" w:cs="Times New Roman"/>
          <w:color w:val="FF0000"/>
          <w:szCs w:val="21"/>
          <w:highlight w:val="none"/>
          <w:lang w:val="en-US" w:eastAsia="zh-CN"/>
        </w:rPr>
      </w:pPr>
      <w:r>
        <w:rPr>
          <w:rFonts w:hint="eastAsia" w:ascii="宋体" w:cs="Times New Roman"/>
          <w:color w:val="auto"/>
          <w:szCs w:val="21"/>
          <w:highlight w:val="none"/>
          <w:lang w:val="en-US" w:eastAsia="zh-CN"/>
        </w:rPr>
        <w:t>4、项目评估报告上报不被上级部门批准或未经委托方会审通过不计付评估费。</w:t>
      </w:r>
    </w:p>
    <w:p>
      <w:pPr>
        <w:autoSpaceDE w:val="0"/>
        <w:autoSpaceDN w:val="0"/>
        <w:spacing w:line="360" w:lineRule="auto"/>
        <w:ind w:firstLine="422" w:firstLineChars="200"/>
        <w:rPr>
          <w:rFonts w:hint="eastAsia" w:ascii="宋体"/>
          <w:b/>
          <w:szCs w:val="21"/>
          <w:highlight w:val="none"/>
        </w:rPr>
      </w:pPr>
      <w:r>
        <w:rPr>
          <w:rFonts w:hint="eastAsia" w:ascii="宋体"/>
          <w:b/>
          <w:szCs w:val="21"/>
          <w:highlight w:val="none"/>
        </w:rPr>
        <w:t>六</w:t>
      </w:r>
      <w:r>
        <w:rPr>
          <w:rFonts w:ascii="宋体"/>
          <w:b/>
          <w:szCs w:val="21"/>
          <w:highlight w:val="none"/>
        </w:rPr>
        <w:t>、</w:t>
      </w:r>
      <w:r>
        <w:rPr>
          <w:rFonts w:hint="eastAsia" w:ascii="宋体"/>
          <w:b/>
          <w:szCs w:val="21"/>
          <w:highlight w:val="none"/>
        </w:rPr>
        <w:t xml:space="preserve">甲方的义务 </w:t>
      </w:r>
    </w:p>
    <w:p>
      <w:pPr>
        <w:numPr>
          <w:ilvl w:val="0"/>
          <w:numId w:val="7"/>
        </w:numPr>
        <w:autoSpaceDE w:val="0"/>
        <w:autoSpaceDN w:val="0"/>
        <w:spacing w:line="360" w:lineRule="auto"/>
        <w:ind w:firstLine="420" w:firstLineChars="200"/>
        <w:rPr>
          <w:rFonts w:ascii="宋体"/>
          <w:szCs w:val="21"/>
          <w:highlight w:val="none"/>
        </w:rPr>
      </w:pPr>
      <w:r>
        <w:rPr>
          <w:rFonts w:hint="eastAsia" w:ascii="宋体"/>
          <w:szCs w:val="21"/>
          <w:highlight w:val="none"/>
        </w:rPr>
        <w:t xml:space="preserve">甲方应根据乙方的评估需要，如实提供评估对象的利用现状、规划方案、控制文本等有关证件资料； </w:t>
      </w:r>
    </w:p>
    <w:p>
      <w:pPr>
        <w:autoSpaceDE w:val="0"/>
        <w:autoSpaceDN w:val="0"/>
        <w:spacing w:line="360" w:lineRule="auto"/>
        <w:ind w:firstLine="420" w:firstLineChars="200"/>
        <w:rPr>
          <w:rFonts w:ascii="宋体"/>
          <w:szCs w:val="21"/>
          <w:highlight w:val="none"/>
        </w:rPr>
      </w:pPr>
      <w:r>
        <w:rPr>
          <w:rFonts w:hint="eastAsia" w:ascii="宋体"/>
          <w:szCs w:val="21"/>
          <w:highlight w:val="none"/>
        </w:rPr>
        <w:t xml:space="preserve">2、乙方在估价期间需要到现场勘测，了解有关情况的，甲方应及时派出熟悉项目情况的人员配合乙方评估工作； </w:t>
      </w:r>
    </w:p>
    <w:p>
      <w:pPr>
        <w:autoSpaceDE w:val="0"/>
        <w:autoSpaceDN w:val="0"/>
        <w:spacing w:line="360" w:lineRule="auto"/>
        <w:ind w:firstLine="420" w:firstLineChars="200"/>
        <w:rPr>
          <w:rFonts w:hint="eastAsia" w:ascii="宋体"/>
          <w:szCs w:val="21"/>
          <w:highlight w:val="none"/>
        </w:rPr>
      </w:pPr>
      <w:r>
        <w:rPr>
          <w:rFonts w:hint="eastAsia" w:ascii="宋体"/>
          <w:szCs w:val="21"/>
          <w:highlight w:val="none"/>
        </w:rPr>
        <w:t>3、乙方按规定要求完成评估项目后，甲方按第三条支付评估费。</w:t>
      </w:r>
    </w:p>
    <w:p>
      <w:pPr>
        <w:autoSpaceDE w:val="0"/>
        <w:autoSpaceDN w:val="0"/>
        <w:spacing w:line="360" w:lineRule="auto"/>
        <w:ind w:firstLine="422" w:firstLineChars="200"/>
        <w:rPr>
          <w:rFonts w:hint="eastAsia" w:ascii="宋体"/>
          <w:b/>
          <w:szCs w:val="21"/>
          <w:highlight w:val="none"/>
        </w:rPr>
      </w:pPr>
      <w:r>
        <w:rPr>
          <w:rFonts w:hint="eastAsia" w:ascii="宋体"/>
          <w:b/>
          <w:szCs w:val="21"/>
          <w:highlight w:val="none"/>
        </w:rPr>
        <w:t>七</w:t>
      </w:r>
      <w:r>
        <w:rPr>
          <w:rFonts w:ascii="宋体"/>
          <w:b/>
          <w:szCs w:val="21"/>
          <w:highlight w:val="none"/>
        </w:rPr>
        <w:t>、</w:t>
      </w:r>
      <w:r>
        <w:rPr>
          <w:rFonts w:hint="eastAsia" w:ascii="宋体"/>
          <w:b/>
          <w:szCs w:val="21"/>
          <w:highlight w:val="none"/>
        </w:rPr>
        <w:t xml:space="preserve">乙方的义务 </w:t>
      </w:r>
    </w:p>
    <w:p>
      <w:pPr>
        <w:autoSpaceDE w:val="0"/>
        <w:autoSpaceDN w:val="0"/>
        <w:spacing w:line="360" w:lineRule="auto"/>
        <w:ind w:firstLine="420" w:firstLineChars="200"/>
        <w:rPr>
          <w:rFonts w:ascii="宋体"/>
          <w:szCs w:val="21"/>
          <w:highlight w:val="none"/>
        </w:rPr>
      </w:pPr>
      <w:r>
        <w:rPr>
          <w:rFonts w:ascii="宋体"/>
          <w:szCs w:val="21"/>
          <w:highlight w:val="none"/>
        </w:rPr>
        <w:t>1</w:t>
      </w:r>
      <w:r>
        <w:rPr>
          <w:rFonts w:hint="eastAsia" w:ascii="宋体"/>
          <w:szCs w:val="21"/>
          <w:highlight w:val="none"/>
        </w:rPr>
        <w:t xml:space="preserve">、乙方保证按法律法规和国土资源部门的有关评估要求，在甲方指定的时间内及时出具评估报告，满足甲方工作需要，并保证评估报告的质量。如评估报告上报未被上级部门批准或未经甲方会审通过，甲方不支付评估费或乙方重新评估。 </w:t>
      </w:r>
    </w:p>
    <w:p>
      <w:pPr>
        <w:autoSpaceDE w:val="0"/>
        <w:autoSpaceDN w:val="0"/>
        <w:spacing w:line="360" w:lineRule="auto"/>
        <w:ind w:firstLine="420" w:firstLineChars="200"/>
        <w:rPr>
          <w:rFonts w:ascii="宋体"/>
          <w:szCs w:val="21"/>
          <w:highlight w:val="none"/>
        </w:rPr>
      </w:pPr>
      <w:r>
        <w:rPr>
          <w:rFonts w:ascii="宋体"/>
          <w:szCs w:val="21"/>
          <w:highlight w:val="none"/>
        </w:rPr>
        <w:t>2</w:t>
      </w:r>
      <w:r>
        <w:rPr>
          <w:rFonts w:hint="eastAsia" w:ascii="宋体"/>
          <w:szCs w:val="21"/>
          <w:highlight w:val="none"/>
        </w:rPr>
        <w:t>、乙方对甲方提供的有关甲方的情况资料，仅供乙方在评估过程中使用，未经甲方同意，不得以任何方式向任何第三方泄露上述资料情况和估价结果。</w:t>
      </w:r>
    </w:p>
    <w:p>
      <w:pPr>
        <w:autoSpaceDE w:val="0"/>
        <w:autoSpaceDN w:val="0"/>
        <w:spacing w:line="360" w:lineRule="auto"/>
        <w:ind w:firstLine="420" w:firstLineChars="200"/>
        <w:rPr>
          <w:rFonts w:ascii="宋体"/>
          <w:szCs w:val="21"/>
          <w:highlight w:val="none"/>
        </w:rPr>
      </w:pPr>
      <w:r>
        <w:rPr>
          <w:rFonts w:ascii="宋体"/>
          <w:szCs w:val="21"/>
          <w:highlight w:val="none"/>
        </w:rPr>
        <w:t>3</w:t>
      </w:r>
      <w:r>
        <w:rPr>
          <w:rFonts w:hint="eastAsia" w:ascii="宋体"/>
          <w:szCs w:val="21"/>
          <w:highlight w:val="none"/>
        </w:rPr>
        <w:t xml:space="preserve">、乙方根据甲方的约定和国家规定的土地估价技术规范要求，对有关土地进行评估，并对出具的土地估价报告(含技术报告）和土地估价结果独立承担法律责任。 </w:t>
      </w:r>
    </w:p>
    <w:p>
      <w:pPr>
        <w:autoSpaceDE w:val="0"/>
        <w:autoSpaceDN w:val="0"/>
        <w:spacing w:line="360" w:lineRule="auto"/>
        <w:ind w:firstLine="420" w:firstLineChars="200"/>
        <w:rPr>
          <w:rFonts w:ascii="宋体"/>
          <w:szCs w:val="21"/>
          <w:highlight w:val="none"/>
        </w:rPr>
      </w:pPr>
      <w:r>
        <w:rPr>
          <w:rFonts w:hint="eastAsia" w:ascii="宋体"/>
          <w:szCs w:val="21"/>
          <w:highlight w:val="none"/>
        </w:rPr>
        <w:t xml:space="preserve">4、乙方确保评估工作廉洁诚信。 </w:t>
      </w:r>
    </w:p>
    <w:p>
      <w:pPr>
        <w:autoSpaceDE w:val="0"/>
        <w:autoSpaceDN w:val="0"/>
        <w:spacing w:line="360" w:lineRule="auto"/>
        <w:ind w:firstLine="420" w:firstLineChars="200"/>
        <w:rPr>
          <w:rFonts w:ascii="宋体"/>
          <w:szCs w:val="21"/>
          <w:highlight w:val="none"/>
        </w:rPr>
      </w:pPr>
      <w:r>
        <w:rPr>
          <w:rFonts w:ascii="宋体"/>
          <w:szCs w:val="21"/>
          <w:highlight w:val="none"/>
        </w:rPr>
        <w:t>5</w:t>
      </w:r>
      <w:r>
        <w:rPr>
          <w:rFonts w:hint="eastAsia" w:ascii="宋体"/>
          <w:szCs w:val="21"/>
          <w:highlight w:val="none"/>
        </w:rPr>
        <w:t>、如遇</w:t>
      </w:r>
      <w:r>
        <w:rPr>
          <w:rFonts w:ascii="宋体"/>
          <w:szCs w:val="21"/>
          <w:highlight w:val="none"/>
        </w:rPr>
        <w:t>政策调整或上级要求导致评估范围有调整的，</w:t>
      </w:r>
      <w:r>
        <w:rPr>
          <w:rFonts w:hint="eastAsia" w:ascii="宋体"/>
          <w:szCs w:val="21"/>
          <w:highlight w:val="none"/>
        </w:rPr>
        <w:t>乙方</w:t>
      </w:r>
      <w:r>
        <w:rPr>
          <w:rFonts w:ascii="宋体"/>
          <w:szCs w:val="21"/>
          <w:highlight w:val="none"/>
        </w:rPr>
        <w:t>须无条件服从</w:t>
      </w:r>
      <w:r>
        <w:rPr>
          <w:rFonts w:hint="eastAsia" w:ascii="宋体"/>
          <w:szCs w:val="21"/>
          <w:highlight w:val="none"/>
        </w:rPr>
        <w:t>甲方</w:t>
      </w:r>
      <w:r>
        <w:rPr>
          <w:rFonts w:ascii="宋体"/>
          <w:szCs w:val="21"/>
          <w:highlight w:val="none"/>
        </w:rPr>
        <w:t>的安排</w:t>
      </w:r>
      <w:r>
        <w:rPr>
          <w:rFonts w:hint="eastAsia" w:ascii="宋体"/>
          <w:szCs w:val="21"/>
          <w:highlight w:val="none"/>
        </w:rPr>
        <w:t>。</w:t>
      </w:r>
    </w:p>
    <w:p>
      <w:pPr>
        <w:autoSpaceDE w:val="0"/>
        <w:autoSpaceDN w:val="0"/>
        <w:spacing w:line="360" w:lineRule="auto"/>
        <w:ind w:firstLine="420"/>
        <w:rPr>
          <w:rFonts w:hint="eastAsia" w:ascii="宋体"/>
          <w:b/>
          <w:szCs w:val="21"/>
          <w:highlight w:val="none"/>
        </w:rPr>
      </w:pPr>
      <w:r>
        <w:rPr>
          <w:rFonts w:hint="eastAsia" w:ascii="宋体"/>
          <w:b/>
          <w:szCs w:val="21"/>
          <w:highlight w:val="none"/>
        </w:rPr>
        <w:t>八</w:t>
      </w:r>
      <w:r>
        <w:rPr>
          <w:rFonts w:ascii="宋体"/>
          <w:b/>
          <w:szCs w:val="21"/>
          <w:highlight w:val="none"/>
        </w:rPr>
        <w:t>、</w:t>
      </w:r>
      <w:r>
        <w:rPr>
          <w:rFonts w:hint="eastAsia" w:ascii="宋体"/>
          <w:b/>
          <w:szCs w:val="21"/>
          <w:highlight w:val="none"/>
        </w:rPr>
        <w:t>违约责任</w:t>
      </w:r>
    </w:p>
    <w:p>
      <w:pPr>
        <w:autoSpaceDE w:val="0"/>
        <w:autoSpaceDN w:val="0"/>
        <w:spacing w:line="360" w:lineRule="auto"/>
        <w:ind w:firstLine="420" w:firstLineChars="200"/>
        <w:rPr>
          <w:rFonts w:hint="eastAsia" w:ascii="宋体"/>
          <w:color w:val="auto"/>
          <w:szCs w:val="21"/>
          <w:highlight w:val="none"/>
        </w:rPr>
      </w:pPr>
      <w:r>
        <w:rPr>
          <w:rFonts w:ascii="宋体"/>
          <w:color w:val="auto"/>
          <w:szCs w:val="21"/>
          <w:highlight w:val="none"/>
        </w:rPr>
        <w:t>1</w:t>
      </w:r>
      <w:r>
        <w:rPr>
          <w:rFonts w:hint="eastAsia" w:ascii="宋体"/>
          <w:color w:val="auto"/>
          <w:szCs w:val="21"/>
          <w:highlight w:val="none"/>
        </w:rPr>
        <w:t>、</w:t>
      </w:r>
      <w:r>
        <w:rPr>
          <w:rFonts w:hint="eastAsia" w:ascii="宋体"/>
          <w:bCs/>
          <w:color w:val="auto"/>
          <w:szCs w:val="21"/>
          <w:highlight w:val="none"/>
        </w:rPr>
        <w:t>乙方需确保评估工作认真负责，廉洁诚信，若发生评估报告质量屡屡不高或者有不廉洁诚信行为，如出具虚假或严重失实报告、高额回扣商业贿赂等违法行为的，甲方有权终止委托合同，并将合同期内总评估服务费用的15%作为违约金，不予支付。</w:t>
      </w:r>
    </w:p>
    <w:p>
      <w:pPr>
        <w:autoSpaceDE w:val="0"/>
        <w:autoSpaceDN w:val="0"/>
        <w:spacing w:line="360" w:lineRule="auto"/>
        <w:ind w:firstLine="420" w:firstLineChars="200"/>
        <w:rPr>
          <w:rFonts w:ascii="宋体"/>
          <w:color w:val="auto"/>
          <w:szCs w:val="21"/>
          <w:highlight w:val="none"/>
        </w:rPr>
      </w:pPr>
      <w:r>
        <w:rPr>
          <w:rFonts w:ascii="宋体"/>
          <w:color w:val="auto"/>
          <w:szCs w:val="21"/>
          <w:highlight w:val="none"/>
        </w:rPr>
        <w:t>2</w:t>
      </w:r>
      <w:r>
        <w:rPr>
          <w:rFonts w:hint="eastAsia" w:ascii="宋体"/>
          <w:color w:val="auto"/>
          <w:szCs w:val="21"/>
          <w:highlight w:val="none"/>
        </w:rPr>
        <w:t>、本合同签订后，任何一方单方面解除或不履行本合同全部或部分条款从而造成对方的任何直接经济损失，均应由违约方承担。但乙方评估工作中发生不廉洁诚信行为，甲方有权终止合同，对乙方的损失不予赔偿。</w:t>
      </w:r>
    </w:p>
    <w:p>
      <w:pPr>
        <w:autoSpaceDE w:val="0"/>
        <w:autoSpaceDN w:val="0"/>
        <w:spacing w:line="360" w:lineRule="auto"/>
        <w:ind w:firstLine="420" w:firstLineChars="200"/>
        <w:rPr>
          <w:rFonts w:hint="eastAsia" w:ascii="宋体"/>
          <w:color w:val="auto"/>
          <w:szCs w:val="21"/>
          <w:highlight w:val="none"/>
        </w:rPr>
      </w:pPr>
      <w:r>
        <w:rPr>
          <w:rFonts w:ascii="宋体"/>
          <w:color w:val="auto"/>
          <w:szCs w:val="21"/>
          <w:highlight w:val="none"/>
        </w:rPr>
        <w:t>3</w:t>
      </w:r>
      <w:r>
        <w:rPr>
          <w:rFonts w:hint="eastAsia" w:ascii="宋体"/>
          <w:color w:val="auto"/>
          <w:szCs w:val="21"/>
          <w:highlight w:val="none"/>
        </w:rPr>
        <w:t>、乙方不能按约定及时提供评估报告，甲方有权解除合同，给甲方造成损失的应予赔偿。</w:t>
      </w:r>
    </w:p>
    <w:p>
      <w:pPr>
        <w:autoSpaceDE w:val="0"/>
        <w:autoSpaceDN w:val="0"/>
        <w:spacing w:line="360" w:lineRule="auto"/>
        <w:ind w:firstLine="422" w:firstLineChars="200"/>
        <w:rPr>
          <w:rFonts w:hint="eastAsia" w:ascii="宋体"/>
          <w:b/>
          <w:color w:val="auto"/>
          <w:szCs w:val="21"/>
          <w:highlight w:val="none"/>
        </w:rPr>
      </w:pPr>
      <w:r>
        <w:rPr>
          <w:rFonts w:hint="eastAsia" w:ascii="宋体"/>
          <w:b/>
          <w:color w:val="auto"/>
          <w:szCs w:val="21"/>
          <w:highlight w:val="none"/>
        </w:rPr>
        <w:t>九</w:t>
      </w:r>
      <w:r>
        <w:rPr>
          <w:rFonts w:ascii="宋体"/>
          <w:b/>
          <w:color w:val="auto"/>
          <w:szCs w:val="21"/>
          <w:highlight w:val="none"/>
        </w:rPr>
        <w:t>、</w:t>
      </w:r>
      <w:r>
        <w:rPr>
          <w:rFonts w:hint="eastAsia" w:ascii="宋体"/>
          <w:b/>
          <w:color w:val="auto"/>
          <w:szCs w:val="21"/>
          <w:highlight w:val="none"/>
        </w:rPr>
        <w:t>知识产权</w:t>
      </w:r>
    </w:p>
    <w:p>
      <w:pPr>
        <w:autoSpaceDE w:val="0"/>
        <w:autoSpaceDN w:val="0"/>
        <w:spacing w:line="360" w:lineRule="auto"/>
        <w:ind w:firstLine="420" w:firstLineChars="200"/>
        <w:rPr>
          <w:rFonts w:hint="eastAsia" w:ascii="宋体"/>
          <w:color w:val="auto"/>
          <w:szCs w:val="21"/>
          <w:highlight w:val="none"/>
        </w:rPr>
      </w:pPr>
      <w:r>
        <w:rPr>
          <w:rFonts w:hint="eastAsia" w:ascii="宋体"/>
          <w:color w:val="auto"/>
          <w:szCs w:val="21"/>
          <w:highlight w:val="none"/>
        </w:rPr>
        <w:t>乙方应保证提供服务过程中不会侵犯任何第三方的知识产权，如果任何第三方提出侵权指控，乙方须与第三方交涉并承担可能发生的一切法律责任和费用。</w:t>
      </w:r>
    </w:p>
    <w:p>
      <w:pPr>
        <w:autoSpaceDE w:val="0"/>
        <w:autoSpaceDN w:val="0"/>
        <w:spacing w:line="360" w:lineRule="auto"/>
        <w:ind w:firstLine="422" w:firstLineChars="200"/>
        <w:rPr>
          <w:rFonts w:hint="eastAsia" w:ascii="宋体"/>
          <w:color w:val="auto"/>
          <w:szCs w:val="21"/>
          <w:highlight w:val="none"/>
        </w:rPr>
      </w:pPr>
      <w:r>
        <w:rPr>
          <w:rFonts w:hint="eastAsia" w:ascii="宋体"/>
          <w:b/>
          <w:color w:val="auto"/>
          <w:szCs w:val="21"/>
          <w:highlight w:val="none"/>
        </w:rPr>
        <w:t>十、不可抗力</w:t>
      </w:r>
    </w:p>
    <w:p>
      <w:pPr>
        <w:autoSpaceDE w:val="0"/>
        <w:autoSpaceDN w:val="0"/>
        <w:spacing w:line="360" w:lineRule="auto"/>
        <w:ind w:firstLine="420" w:firstLineChars="200"/>
        <w:rPr>
          <w:rFonts w:hint="eastAsia" w:ascii="宋体"/>
          <w:szCs w:val="21"/>
          <w:highlight w:val="none"/>
        </w:rPr>
      </w:pPr>
      <w:r>
        <w:rPr>
          <w:rFonts w:ascii="宋体"/>
          <w:color w:val="auto"/>
          <w:szCs w:val="21"/>
          <w:highlight w:val="none"/>
        </w:rPr>
        <w:t>1</w:t>
      </w:r>
      <w:r>
        <w:rPr>
          <w:rFonts w:hint="eastAsia" w:ascii="宋体"/>
          <w:color w:val="auto"/>
          <w:szCs w:val="21"/>
          <w:highlight w:val="none"/>
        </w:rPr>
        <w:t>、如果双方中任何一方由于战争、严重火</w:t>
      </w:r>
      <w:r>
        <w:rPr>
          <w:rFonts w:hint="eastAsia" w:ascii="宋体"/>
          <w:szCs w:val="21"/>
          <w:highlight w:val="none"/>
        </w:rPr>
        <w:t>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autoSpaceDE w:val="0"/>
        <w:autoSpaceDN w:val="0"/>
        <w:spacing w:line="360" w:lineRule="auto"/>
        <w:ind w:firstLine="420" w:firstLineChars="200"/>
        <w:rPr>
          <w:rFonts w:hint="eastAsia" w:ascii="宋体"/>
          <w:szCs w:val="21"/>
          <w:highlight w:val="none"/>
        </w:rPr>
      </w:pPr>
      <w:r>
        <w:rPr>
          <w:rFonts w:ascii="宋体"/>
          <w:szCs w:val="21"/>
          <w:highlight w:val="none"/>
        </w:rPr>
        <w:t>2</w:t>
      </w:r>
      <w:r>
        <w:rPr>
          <w:rFonts w:hint="eastAsia" w:ascii="宋体"/>
          <w:szCs w:val="21"/>
          <w:highlight w:val="none"/>
        </w:rPr>
        <w:t>、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autoSpaceDE w:val="0"/>
        <w:autoSpaceDN w:val="0"/>
        <w:spacing w:line="360" w:lineRule="auto"/>
        <w:ind w:firstLine="422" w:firstLineChars="200"/>
        <w:rPr>
          <w:rFonts w:hint="eastAsia" w:ascii="宋体"/>
          <w:szCs w:val="21"/>
          <w:highlight w:val="none"/>
        </w:rPr>
      </w:pPr>
      <w:r>
        <w:rPr>
          <w:rFonts w:hint="eastAsia" w:ascii="宋体"/>
          <w:b/>
          <w:szCs w:val="21"/>
          <w:highlight w:val="none"/>
        </w:rPr>
        <w:t>十一、税费</w:t>
      </w:r>
    </w:p>
    <w:p>
      <w:pPr>
        <w:autoSpaceDE w:val="0"/>
        <w:autoSpaceDN w:val="0"/>
        <w:spacing w:line="360" w:lineRule="auto"/>
        <w:ind w:firstLine="420" w:firstLineChars="200"/>
        <w:rPr>
          <w:rFonts w:hint="eastAsia" w:ascii="宋体"/>
          <w:szCs w:val="21"/>
          <w:highlight w:val="none"/>
        </w:rPr>
      </w:pPr>
      <w:r>
        <w:rPr>
          <w:rFonts w:ascii="宋体"/>
          <w:szCs w:val="21"/>
          <w:highlight w:val="none"/>
        </w:rPr>
        <w:t>1</w:t>
      </w:r>
      <w:r>
        <w:rPr>
          <w:rFonts w:hint="eastAsia" w:ascii="宋体"/>
          <w:szCs w:val="21"/>
          <w:highlight w:val="none"/>
        </w:rPr>
        <w:t>、根据国家现行税法对甲方征收的与合同有关的一切税费均由甲方负担。</w:t>
      </w:r>
    </w:p>
    <w:p>
      <w:pPr>
        <w:autoSpaceDE w:val="0"/>
        <w:autoSpaceDN w:val="0"/>
        <w:spacing w:line="360" w:lineRule="auto"/>
        <w:ind w:firstLine="420" w:firstLineChars="200"/>
        <w:rPr>
          <w:rFonts w:hint="eastAsia" w:ascii="宋体"/>
          <w:szCs w:val="21"/>
          <w:highlight w:val="none"/>
        </w:rPr>
      </w:pPr>
      <w:r>
        <w:rPr>
          <w:rFonts w:ascii="宋体"/>
          <w:szCs w:val="21"/>
          <w:highlight w:val="none"/>
        </w:rPr>
        <w:t>2</w:t>
      </w:r>
      <w:r>
        <w:rPr>
          <w:rFonts w:hint="eastAsia" w:ascii="宋体"/>
          <w:szCs w:val="21"/>
          <w:highlight w:val="none"/>
        </w:rPr>
        <w:t>、根据国家现行税法对乙方征收的与合同有关的一切税费均由乙方负担。</w:t>
      </w:r>
    </w:p>
    <w:p>
      <w:pPr>
        <w:autoSpaceDE w:val="0"/>
        <w:autoSpaceDN w:val="0"/>
        <w:spacing w:line="360" w:lineRule="auto"/>
        <w:ind w:firstLine="420"/>
        <w:rPr>
          <w:rFonts w:ascii="宋体"/>
          <w:b/>
          <w:szCs w:val="21"/>
          <w:highlight w:val="none"/>
        </w:rPr>
      </w:pPr>
      <w:r>
        <w:rPr>
          <w:rFonts w:hint="eastAsia" w:ascii="宋体"/>
          <w:b/>
          <w:szCs w:val="21"/>
          <w:highlight w:val="none"/>
        </w:rPr>
        <w:t>十二</w:t>
      </w:r>
      <w:r>
        <w:rPr>
          <w:rFonts w:ascii="宋体"/>
          <w:b/>
          <w:szCs w:val="21"/>
          <w:highlight w:val="none"/>
        </w:rPr>
        <w:t>、</w:t>
      </w:r>
      <w:r>
        <w:rPr>
          <w:rFonts w:hint="eastAsia" w:ascii="宋体"/>
          <w:b/>
          <w:szCs w:val="21"/>
          <w:highlight w:val="none"/>
        </w:rPr>
        <w:t xml:space="preserve">其它 </w:t>
      </w:r>
    </w:p>
    <w:p>
      <w:pPr>
        <w:autoSpaceDE w:val="0"/>
        <w:autoSpaceDN w:val="0"/>
        <w:spacing w:line="360" w:lineRule="auto"/>
        <w:ind w:firstLine="420" w:firstLineChars="200"/>
        <w:rPr>
          <w:rFonts w:ascii="宋体"/>
          <w:szCs w:val="21"/>
          <w:highlight w:val="none"/>
        </w:rPr>
      </w:pPr>
      <w:r>
        <w:rPr>
          <w:rFonts w:ascii="宋体"/>
          <w:szCs w:val="21"/>
          <w:highlight w:val="none"/>
        </w:rPr>
        <w:t>1</w:t>
      </w:r>
      <w:r>
        <w:rPr>
          <w:rFonts w:hint="eastAsia" w:ascii="宋体"/>
          <w:szCs w:val="21"/>
          <w:highlight w:val="none"/>
        </w:rPr>
        <w:t xml:space="preserve">、本合同在执行过程中，如双方发生纠纷，则双方应及时协商解决，协商不成的，可向北仑区人民法院起诉。 </w:t>
      </w:r>
    </w:p>
    <w:p>
      <w:pPr>
        <w:autoSpaceDE w:val="0"/>
        <w:autoSpaceDN w:val="0"/>
        <w:spacing w:line="360" w:lineRule="auto"/>
        <w:ind w:firstLine="420" w:firstLineChars="200"/>
        <w:rPr>
          <w:rFonts w:ascii="宋体"/>
          <w:szCs w:val="21"/>
          <w:highlight w:val="none"/>
        </w:rPr>
      </w:pPr>
      <w:r>
        <w:rPr>
          <w:rFonts w:ascii="宋体"/>
          <w:szCs w:val="21"/>
          <w:highlight w:val="none"/>
        </w:rPr>
        <w:t>2</w:t>
      </w:r>
      <w:r>
        <w:rPr>
          <w:rFonts w:hint="eastAsia" w:ascii="宋体"/>
          <w:szCs w:val="21"/>
          <w:highlight w:val="none"/>
        </w:rPr>
        <w:t xml:space="preserve">、本合同自双方代表签字盖章之日起生效。 </w:t>
      </w:r>
    </w:p>
    <w:p>
      <w:pPr>
        <w:autoSpaceDE w:val="0"/>
        <w:autoSpaceDN w:val="0"/>
        <w:spacing w:line="360" w:lineRule="auto"/>
        <w:ind w:firstLine="420" w:firstLineChars="200"/>
        <w:rPr>
          <w:rFonts w:ascii="宋体"/>
          <w:szCs w:val="21"/>
          <w:highlight w:val="none"/>
        </w:rPr>
      </w:pPr>
      <w:r>
        <w:rPr>
          <w:rFonts w:ascii="宋体"/>
          <w:szCs w:val="21"/>
          <w:highlight w:val="none"/>
        </w:rPr>
        <w:t>3</w:t>
      </w:r>
      <w:r>
        <w:rPr>
          <w:rFonts w:hint="eastAsia" w:ascii="宋体"/>
          <w:szCs w:val="21"/>
          <w:highlight w:val="none"/>
        </w:rPr>
        <w:t xml:space="preserve">、本合同正本一式伍份，签订后甲乙双方各执壹份，报区财政局壹份，区招投标中心贰份，并具同等法律效力；副本肆份，备用。 </w:t>
      </w:r>
    </w:p>
    <w:p>
      <w:pPr>
        <w:autoSpaceDE w:val="0"/>
        <w:autoSpaceDN w:val="0"/>
        <w:spacing w:line="360" w:lineRule="auto"/>
        <w:ind w:firstLine="420" w:firstLineChars="200"/>
        <w:rPr>
          <w:rFonts w:ascii="宋体"/>
          <w:szCs w:val="21"/>
          <w:highlight w:val="none"/>
        </w:rPr>
      </w:pPr>
      <w:r>
        <w:rPr>
          <w:rFonts w:ascii="宋体"/>
          <w:szCs w:val="21"/>
          <w:highlight w:val="none"/>
        </w:rPr>
        <w:t>4</w:t>
      </w:r>
      <w:r>
        <w:rPr>
          <w:rFonts w:hint="eastAsia" w:ascii="宋体"/>
          <w:szCs w:val="21"/>
          <w:highlight w:val="none"/>
        </w:rPr>
        <w:t>、本合同于二〇    年   月   日在宁波市北仑区签订。</w:t>
      </w:r>
    </w:p>
    <w:p>
      <w:pPr>
        <w:autoSpaceDE w:val="0"/>
        <w:autoSpaceDN w:val="0"/>
        <w:spacing w:line="360" w:lineRule="auto"/>
        <w:rPr>
          <w:rFonts w:hint="eastAsia" w:ascii="宋体"/>
          <w:szCs w:val="21"/>
          <w:highlight w:val="none"/>
        </w:rPr>
      </w:pPr>
    </w:p>
    <w:p>
      <w:pPr>
        <w:autoSpaceDE w:val="0"/>
        <w:autoSpaceDN w:val="0"/>
        <w:spacing w:line="360" w:lineRule="auto"/>
        <w:rPr>
          <w:rFonts w:ascii="宋体"/>
          <w:szCs w:val="21"/>
          <w:highlight w:val="none"/>
        </w:rPr>
      </w:pPr>
      <w:r>
        <w:rPr>
          <w:rFonts w:hint="eastAsia" w:ascii="宋体"/>
          <w:szCs w:val="21"/>
          <w:highlight w:val="none"/>
        </w:rPr>
        <w:t>法人代表：                                 法人代表：</w:t>
      </w:r>
    </w:p>
    <w:p>
      <w:pPr>
        <w:autoSpaceDE w:val="0"/>
        <w:autoSpaceDN w:val="0"/>
        <w:spacing w:line="360" w:lineRule="auto"/>
        <w:rPr>
          <w:rFonts w:ascii="宋体"/>
          <w:szCs w:val="21"/>
          <w:highlight w:val="none"/>
        </w:rPr>
      </w:pPr>
    </w:p>
    <w:p>
      <w:pPr>
        <w:autoSpaceDE w:val="0"/>
        <w:autoSpaceDN w:val="0"/>
        <w:spacing w:line="360" w:lineRule="auto"/>
        <w:rPr>
          <w:rFonts w:ascii="宋体"/>
          <w:szCs w:val="21"/>
          <w:highlight w:val="none"/>
        </w:rPr>
      </w:pPr>
      <w:r>
        <w:rPr>
          <w:rFonts w:hint="eastAsia" w:ascii="宋体"/>
          <w:szCs w:val="21"/>
          <w:highlight w:val="none"/>
        </w:rPr>
        <w:t xml:space="preserve">全权代表人（签字）：                       全权代表人（签字）： </w:t>
      </w:r>
    </w:p>
    <w:p>
      <w:pPr>
        <w:autoSpaceDE w:val="0"/>
        <w:autoSpaceDN w:val="0"/>
        <w:spacing w:line="360" w:lineRule="auto"/>
        <w:rPr>
          <w:rFonts w:ascii="宋体"/>
          <w:szCs w:val="21"/>
          <w:highlight w:val="none"/>
        </w:rPr>
      </w:pPr>
    </w:p>
    <w:p>
      <w:pPr>
        <w:autoSpaceDE w:val="0"/>
        <w:autoSpaceDN w:val="0"/>
        <w:spacing w:line="360" w:lineRule="auto"/>
        <w:rPr>
          <w:rFonts w:ascii="宋体"/>
          <w:szCs w:val="21"/>
          <w:highlight w:val="none"/>
        </w:rPr>
      </w:pPr>
      <w:r>
        <w:rPr>
          <w:rFonts w:hint="eastAsia" w:ascii="宋体"/>
          <w:szCs w:val="21"/>
          <w:highlight w:val="none"/>
        </w:rPr>
        <w:t xml:space="preserve">地址：                                     地址： </w:t>
      </w:r>
    </w:p>
    <w:p>
      <w:pPr>
        <w:autoSpaceDE w:val="0"/>
        <w:autoSpaceDN w:val="0"/>
        <w:spacing w:line="360" w:lineRule="auto"/>
        <w:rPr>
          <w:rFonts w:ascii="宋体"/>
          <w:szCs w:val="21"/>
          <w:highlight w:val="none"/>
        </w:rPr>
      </w:pPr>
    </w:p>
    <w:p>
      <w:pPr>
        <w:autoSpaceDE w:val="0"/>
        <w:autoSpaceDN w:val="0"/>
        <w:spacing w:line="360" w:lineRule="auto"/>
        <w:rPr>
          <w:rFonts w:ascii="宋体"/>
          <w:szCs w:val="21"/>
          <w:highlight w:val="none"/>
        </w:rPr>
      </w:pPr>
      <w:r>
        <w:rPr>
          <w:rFonts w:hint="eastAsia" w:ascii="宋体"/>
          <w:szCs w:val="21"/>
          <w:highlight w:val="none"/>
        </w:rPr>
        <w:t xml:space="preserve">邮编：315800                               邮编： </w:t>
      </w:r>
    </w:p>
    <w:p>
      <w:pPr>
        <w:autoSpaceDE w:val="0"/>
        <w:autoSpaceDN w:val="0"/>
        <w:spacing w:line="360" w:lineRule="auto"/>
        <w:rPr>
          <w:rFonts w:ascii="宋体"/>
          <w:szCs w:val="21"/>
          <w:highlight w:val="none"/>
        </w:rPr>
      </w:pPr>
    </w:p>
    <w:p>
      <w:pPr>
        <w:pStyle w:val="11"/>
        <w:spacing w:line="360" w:lineRule="auto"/>
        <w:ind w:firstLine="0"/>
        <w:rPr>
          <w:rFonts w:hint="eastAsia" w:hAnsi="宋体"/>
          <w:sz w:val="21"/>
          <w:szCs w:val="21"/>
          <w:highlight w:val="none"/>
        </w:rPr>
      </w:pPr>
      <w:r>
        <w:rPr>
          <w:rFonts w:hint="eastAsia"/>
          <w:sz w:val="21"/>
          <w:szCs w:val="21"/>
          <w:highlight w:val="none"/>
        </w:rPr>
        <w:t>电话：                                        电话：</w:t>
      </w:r>
      <w:r>
        <w:rPr>
          <w:rFonts w:hint="eastAsia" w:hAnsi="宋体"/>
          <w:sz w:val="21"/>
          <w:szCs w:val="21"/>
          <w:highlight w:val="none"/>
        </w:rPr>
        <w:t xml:space="preserve"> </w:t>
      </w:r>
    </w:p>
    <w:p>
      <w:pPr>
        <w:pStyle w:val="26"/>
        <w:ind w:left="0" w:leftChars="0" w:firstLine="0" w:firstLineChars="0"/>
        <w:rPr>
          <w:rFonts w:hint="eastAsia"/>
          <w:color w:val="auto"/>
          <w:highlight w:val="none"/>
        </w:rPr>
      </w:pPr>
    </w:p>
    <w:p>
      <w:pPr>
        <w:pageBreakBefore w:val="0"/>
        <w:widowControl w:val="0"/>
        <w:kinsoku/>
        <w:wordWrap/>
        <w:overflowPunct/>
        <w:topLinePunct w:val="0"/>
        <w:autoSpaceDE/>
        <w:autoSpaceDN/>
        <w:bidi w:val="0"/>
        <w:spacing w:line="400" w:lineRule="exact"/>
        <w:ind w:left="0" w:leftChars="0" w:right="0" w:rightChars="0"/>
        <w:jc w:val="center"/>
        <w:outlineLvl w:val="0"/>
        <w:rPr>
          <w:rFonts w:hint="eastAsia" w:ascii="宋体" w:hAnsi="宋体" w:eastAsia="宋体" w:cs="宋体"/>
          <w:b/>
          <w:color w:val="auto"/>
          <w:sz w:val="28"/>
          <w:szCs w:val="28"/>
          <w:highlight w:val="none"/>
        </w:rPr>
      </w:pPr>
      <w:r>
        <w:rPr>
          <w:rFonts w:hint="eastAsia" w:ascii="宋体" w:hAnsi="宋体" w:eastAsia="宋体" w:cs="宋体"/>
          <w:color w:val="auto"/>
          <w:spacing w:val="-4"/>
          <w:szCs w:val="21"/>
          <w:highlight w:val="none"/>
        </w:rPr>
        <w:br w:type="page"/>
      </w:r>
      <w:bookmarkStart w:id="36" w:name="_Toc29084"/>
      <w:r>
        <w:rPr>
          <w:rFonts w:hint="eastAsia" w:ascii="宋体" w:hAnsi="宋体" w:eastAsia="宋体" w:cs="宋体"/>
          <w:b/>
          <w:color w:val="auto"/>
          <w:sz w:val="28"/>
          <w:szCs w:val="28"/>
          <w:highlight w:val="none"/>
        </w:rPr>
        <w:t>第六章  投标文件格式</w:t>
      </w:r>
      <w:bookmarkEnd w:id="34"/>
      <w:bookmarkEnd w:id="35"/>
      <w:bookmarkEnd w:id="36"/>
    </w:p>
    <w:p>
      <w:pPr>
        <w:pageBreakBefore w:val="0"/>
        <w:widowControl w:val="0"/>
        <w:kinsoku/>
        <w:wordWrap/>
        <w:overflowPunct/>
        <w:topLinePunct w:val="0"/>
        <w:autoSpaceDE/>
        <w:autoSpaceDN/>
        <w:bidi w:val="0"/>
        <w:spacing w:line="360" w:lineRule="auto"/>
        <w:ind w:left="0" w:leftChars="0" w:right="0" w:rightChars="0"/>
        <w:rPr>
          <w:rFonts w:hint="eastAsia" w:ascii="宋体" w:hAnsi="宋体" w:eastAsia="宋体" w:cs="宋体"/>
          <w:color w:val="auto"/>
          <w:highlight w:val="none"/>
        </w:rPr>
      </w:pPr>
    </w:p>
    <w:p>
      <w:pPr>
        <w:pageBreakBefore w:val="0"/>
        <w:widowControl w:val="0"/>
        <w:kinsoku/>
        <w:wordWrap/>
        <w:overflowPunct/>
        <w:topLinePunct w:val="0"/>
        <w:autoSpaceDE/>
        <w:autoSpaceDN/>
        <w:bidi w:val="0"/>
        <w:snapToGrid w:val="0"/>
        <w:spacing w:before="120" w:beforeLines="50" w:after="50" w:line="360" w:lineRule="auto"/>
        <w:ind w:left="0" w:leftChars="0"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1.投标文件的外包装封面及投标文件封面格式</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firstLine="207" w:firstLineChars="98"/>
        <w:rPr>
          <w:rFonts w:hint="eastAsia" w:ascii="宋体" w:hAnsi="宋体" w:eastAsia="宋体" w:cs="宋体"/>
          <w:b/>
          <w:bCs/>
          <w:color w:val="auto"/>
          <w:szCs w:val="21"/>
          <w:highlight w:val="none"/>
        </w:rPr>
      </w:pPr>
    </w:p>
    <w:p>
      <w:pPr>
        <w:pageBreakBefore w:val="0"/>
        <w:widowControl w:val="0"/>
        <w:kinsoku/>
        <w:wordWrap/>
        <w:overflowPunct/>
        <w:topLinePunct w:val="0"/>
        <w:autoSpaceDE/>
        <w:autoSpaceDN/>
        <w:bidi w:val="0"/>
        <w:snapToGrid w:val="0"/>
        <w:spacing w:before="120" w:beforeLines="50" w:after="50" w:line="360" w:lineRule="auto"/>
        <w:ind w:left="0" w:leftChars="0" w:right="0" w:rightChars="0" w:firstLine="207" w:firstLineChars="98"/>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外包装格式：</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资格证明文件/商务技术文件</w:t>
      </w:r>
      <w:r>
        <w:rPr>
          <w:rFonts w:hint="eastAsia" w:ascii="宋体" w:hAnsi="宋体" w:eastAsia="宋体" w:cs="宋体"/>
          <w:bCs/>
          <w:color w:val="auto"/>
          <w:szCs w:val="21"/>
          <w:highlight w:val="none"/>
        </w:rPr>
        <w:t>/报价文件</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项目名称：</w:t>
      </w:r>
      <w:r>
        <w:rPr>
          <w:rFonts w:hint="eastAsia" w:ascii="宋体" w:hAnsi="宋体" w:eastAsia="宋体" w:cs="宋体"/>
          <w:color w:val="auto"/>
          <w:szCs w:val="21"/>
          <w:highlight w:val="none"/>
          <w:u w:val="single"/>
        </w:rPr>
        <w:t xml:space="preserve">                                               </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项目编号：</w:t>
      </w:r>
      <w:r>
        <w:rPr>
          <w:rFonts w:hint="eastAsia" w:ascii="宋体" w:hAnsi="宋体" w:eastAsia="宋体" w:cs="宋体"/>
          <w:color w:val="auto"/>
          <w:szCs w:val="21"/>
          <w:highlight w:val="none"/>
          <w:u w:val="single"/>
        </w:rPr>
        <w:t xml:space="preserve">                                               </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品 目 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投标人名称（加盖公章）：</w:t>
      </w:r>
      <w:r>
        <w:rPr>
          <w:rFonts w:hint="eastAsia" w:ascii="宋体" w:hAnsi="宋体" w:eastAsia="宋体" w:cs="宋体"/>
          <w:color w:val="auto"/>
          <w:szCs w:val="21"/>
          <w:highlight w:val="none"/>
          <w:u w:val="single"/>
        </w:rPr>
        <w:t xml:space="preserve">                                 </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r>
        <w:rPr>
          <w:rFonts w:hint="eastAsia" w:ascii="宋体" w:hAnsi="宋体" w:eastAsia="宋体" w:cs="宋体"/>
          <w:color w:val="auto"/>
          <w:szCs w:val="21"/>
          <w:highlight w:val="none"/>
          <w:u w:val="single"/>
        </w:rPr>
        <w:t xml:space="preserve">                                             </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投标文件于    年  月  日  :  （北京时间）前不得启封</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年  月  日</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Cs/>
          <w:color w:val="auto"/>
          <w:szCs w:val="21"/>
          <w:highlight w:val="none"/>
        </w:rPr>
      </w:pPr>
    </w:p>
    <w:p>
      <w:pPr>
        <w:pageBreakBefore w:val="0"/>
        <w:widowControl w:val="0"/>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Cs/>
          <w:color w:val="auto"/>
          <w:szCs w:val="21"/>
          <w:highlight w:val="none"/>
        </w:rPr>
      </w:pPr>
    </w:p>
    <w:p>
      <w:pPr>
        <w:pageBreakBefore w:val="0"/>
        <w:widowControl w:val="0"/>
        <w:kinsoku/>
        <w:wordWrap/>
        <w:overflowPunct/>
        <w:topLinePunct w:val="0"/>
        <w:autoSpaceDE/>
        <w:autoSpaceDN/>
        <w:bidi w:val="0"/>
        <w:snapToGrid w:val="0"/>
        <w:spacing w:before="120" w:beforeLines="50" w:after="50" w:line="360" w:lineRule="auto"/>
        <w:ind w:left="0" w:leftChars="0" w:right="0" w:rightChars="0" w:firstLine="207" w:firstLineChars="98"/>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封面格式：</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 xml:space="preserve">                                            正本/或副本</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资格证明文件/商务技术文件</w:t>
      </w:r>
      <w:r>
        <w:rPr>
          <w:rFonts w:hint="eastAsia" w:ascii="宋体" w:hAnsi="宋体" w:eastAsia="宋体" w:cs="宋体"/>
          <w:bCs/>
          <w:color w:val="auto"/>
          <w:szCs w:val="21"/>
          <w:highlight w:val="none"/>
        </w:rPr>
        <w:t>/报价文件</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firstLine="6054" w:firstLineChars="2883"/>
        <w:rPr>
          <w:rFonts w:hint="eastAsia" w:ascii="宋体" w:hAnsi="宋体" w:eastAsia="宋体" w:cs="宋体"/>
          <w:bCs/>
          <w:color w:val="auto"/>
          <w:szCs w:val="21"/>
          <w:highlight w:val="none"/>
        </w:rPr>
      </w:pPr>
    </w:p>
    <w:p>
      <w:pPr>
        <w:pageBreakBefore w:val="0"/>
        <w:widowControl w:val="0"/>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项目名称：</w:t>
      </w:r>
      <w:r>
        <w:rPr>
          <w:rFonts w:hint="eastAsia" w:ascii="宋体" w:hAnsi="宋体" w:eastAsia="宋体" w:cs="宋体"/>
          <w:color w:val="auto"/>
          <w:szCs w:val="21"/>
          <w:highlight w:val="none"/>
          <w:u w:val="single"/>
        </w:rPr>
        <w:t xml:space="preserve">                                               </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项目编号：</w:t>
      </w:r>
      <w:r>
        <w:rPr>
          <w:rFonts w:hint="eastAsia" w:ascii="宋体" w:hAnsi="宋体" w:eastAsia="宋体" w:cs="宋体"/>
          <w:color w:val="auto"/>
          <w:szCs w:val="21"/>
          <w:highlight w:val="none"/>
          <w:u w:val="single"/>
        </w:rPr>
        <w:t xml:space="preserve">                                               </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品 目 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投标人名称（加盖公章）：</w:t>
      </w:r>
      <w:r>
        <w:rPr>
          <w:rFonts w:hint="eastAsia" w:ascii="宋体" w:hAnsi="宋体" w:eastAsia="宋体" w:cs="宋体"/>
          <w:color w:val="auto"/>
          <w:szCs w:val="21"/>
          <w:highlight w:val="none"/>
          <w:u w:val="single"/>
        </w:rPr>
        <w:t xml:space="preserve">                                 </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firstLine="945" w:firstLineChars="4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r>
        <w:rPr>
          <w:rFonts w:hint="eastAsia" w:ascii="宋体" w:hAnsi="宋体" w:eastAsia="宋体" w:cs="宋体"/>
          <w:color w:val="auto"/>
          <w:szCs w:val="21"/>
          <w:highlight w:val="none"/>
          <w:u w:val="single"/>
        </w:rPr>
        <w:t xml:space="preserve">                                             </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年  月  日</w:t>
      </w:r>
    </w:p>
    <w:p>
      <w:pPr>
        <w:pageBreakBefore w:val="0"/>
        <w:widowControl w:val="0"/>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2.投标函格式</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 标 函</w:t>
      </w:r>
    </w:p>
    <w:p>
      <w:pPr>
        <w:pageBreakBefore w:val="0"/>
        <w:widowControl w:val="0"/>
        <w:kinsoku/>
        <w:wordWrap/>
        <w:overflowPunct/>
        <w:topLinePunct w:val="0"/>
        <w:autoSpaceDE/>
        <w:autoSpaceDN/>
        <w:bidi w:val="0"/>
        <w:snapToGrid w:val="0"/>
        <w:spacing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（招标采购单位名称）：</w:t>
      </w:r>
    </w:p>
    <w:p>
      <w:pPr>
        <w:pageBreakBefore w:val="0"/>
        <w:widowControl w:val="0"/>
        <w:kinsoku/>
        <w:wordWrap/>
        <w:overflowPunct/>
        <w:topLinePunct w:val="0"/>
        <w:autoSpaceDE/>
        <w:autoSpaceDN/>
        <w:bidi w:val="0"/>
        <w:snapToGrid w:val="0"/>
        <w:spacing w:line="360" w:lineRule="auto"/>
        <w:ind w:left="0" w:leftChars="0" w:right="0" w:rightChars="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项目的招标公告/投标邀请书</w:t>
      </w:r>
    </w:p>
    <w:p>
      <w:pPr>
        <w:pageBreakBefore w:val="0"/>
        <w:widowControl w:val="0"/>
        <w:kinsoku/>
        <w:wordWrap/>
        <w:overflowPunct/>
        <w:topLinePunct w:val="0"/>
        <w:autoSpaceDE/>
        <w:autoSpaceDN/>
        <w:bidi w:val="0"/>
        <w:snapToGrid w:val="0"/>
        <w:spacing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（项目编号：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（全名）经正式授权并代表投标人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（投标人名称）提交电子投标文件</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份、备份电子投标文件</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份、备份纸质投标文件（包含报价文件、资格证明文件及商务技术文件）正本各</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份、副本各</w:t>
      </w:r>
      <w:r>
        <w:rPr>
          <w:rFonts w:hint="eastAsia" w:ascii="宋体" w:hAnsi="宋体" w:eastAsia="宋体" w:cs="宋体"/>
          <w:color w:val="auto"/>
          <w:szCs w:val="21"/>
          <w:highlight w:val="none"/>
          <w:u w:val="single"/>
        </w:rPr>
        <w:t xml:space="preserve"> 1</w:t>
      </w:r>
      <w:r>
        <w:rPr>
          <w:rFonts w:hint="eastAsia" w:ascii="宋体" w:hAnsi="宋体" w:eastAsia="宋体" w:cs="宋体"/>
          <w:color w:val="auto"/>
          <w:szCs w:val="21"/>
          <w:highlight w:val="none"/>
        </w:rPr>
        <w:t>份。</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据此函，签字代表宣布同意如下：</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1.投标人已详细审查全部“采购文件”，包括修改文件（如有的话）以及全部参考资料和有关附件，已经了解我方对于采购文件、采购过程、采购结果有依法进行询问、质疑、投诉的权利及相关渠道和要求。</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2.投标人在投标之前已经与贵方进行了充分的沟通，完全理解并接受采购文件的各项规定和要求，对采购文件的合理性、合法性不再有异议。</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3.本投标有效期自开标日起</w:t>
      </w:r>
      <w:r>
        <w:rPr>
          <w:rFonts w:hint="eastAsia" w:ascii="宋体" w:hAnsi="宋体" w:eastAsia="宋体" w:cs="宋体"/>
          <w:color w:val="auto"/>
          <w:szCs w:val="21"/>
          <w:highlight w:val="none"/>
          <w:u w:val="single"/>
        </w:rPr>
        <w:t xml:space="preserve"> 90 </w:t>
      </w:r>
      <w:r>
        <w:rPr>
          <w:rFonts w:hint="eastAsia" w:ascii="宋体" w:hAnsi="宋体" w:eastAsia="宋体" w:cs="宋体"/>
          <w:color w:val="auto"/>
          <w:szCs w:val="21"/>
          <w:highlight w:val="none"/>
        </w:rPr>
        <w:t>个日历日。</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4.如中标，本投标文件至本项目合同履行完毕止均保持有效，本投标人将按“采购文件”及政府采购法律、法规的规定履行合同责任和义务。</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5.投标人同意按照贵方要求提供与投标有关的一切数据或资料。</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6.与本投标有关的一切正式往来信函请寄：</w:t>
      </w:r>
    </w:p>
    <w:p>
      <w:pPr>
        <w:pageBreakBefore w:val="0"/>
        <w:widowControl w:val="0"/>
        <w:kinsoku/>
        <w:wordWrap/>
        <w:overflowPunct/>
        <w:topLinePunct w:val="0"/>
        <w:autoSpaceDE/>
        <w:autoSpaceDN/>
        <w:bidi w:val="0"/>
        <w:snapToGrid w:val="0"/>
        <w:spacing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pPr>
        <w:pageBreakBefore w:val="0"/>
        <w:widowControl w:val="0"/>
        <w:kinsoku/>
        <w:wordWrap/>
        <w:overflowPunct/>
        <w:topLinePunct w:val="0"/>
        <w:autoSpaceDE/>
        <w:autoSpaceDN/>
        <w:bidi w:val="0"/>
        <w:snapToGrid w:val="0"/>
        <w:spacing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投标人代表姓名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pPr>
        <w:pageBreakBefore w:val="0"/>
        <w:widowControl w:val="0"/>
        <w:kinsoku/>
        <w:wordWrap/>
        <w:overflowPunct/>
        <w:topLinePunct w:val="0"/>
        <w:autoSpaceDE/>
        <w:autoSpaceDN/>
        <w:bidi w:val="0"/>
        <w:snapToGrid w:val="0"/>
        <w:spacing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投标人名称(公章):</w:t>
      </w:r>
      <w:r>
        <w:rPr>
          <w:rFonts w:hint="eastAsia" w:ascii="宋体" w:hAnsi="宋体" w:eastAsia="宋体" w:cs="宋体"/>
          <w:color w:val="auto"/>
          <w:szCs w:val="21"/>
          <w:highlight w:val="none"/>
          <w:u w:val="single"/>
        </w:rPr>
        <w:t xml:space="preserve">              </w:t>
      </w:r>
    </w:p>
    <w:p>
      <w:pPr>
        <w:pageBreakBefore w:val="0"/>
        <w:widowControl w:val="0"/>
        <w:kinsoku/>
        <w:wordWrap/>
        <w:overflowPunct/>
        <w:topLinePunct w:val="0"/>
        <w:autoSpaceDE/>
        <w:autoSpaceDN/>
        <w:bidi w:val="0"/>
        <w:snapToGrid w:val="0"/>
        <w:spacing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银行帐号：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pageBreakBefore w:val="0"/>
        <w:widowControl w:val="0"/>
        <w:kinsoku/>
        <w:wordWrap/>
        <w:overflowPunct/>
        <w:topLinePunct w:val="0"/>
        <w:autoSpaceDE/>
        <w:autoSpaceDN/>
        <w:bidi w:val="0"/>
        <w:snapToGrid w:val="0"/>
        <w:spacing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ageBreakBefore w:val="0"/>
        <w:widowControl w:val="0"/>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3.开标一览表格式</w:t>
      </w:r>
    </w:p>
    <w:p>
      <w:pPr>
        <w:pageBreakBefore w:val="0"/>
        <w:widowControl w:val="0"/>
        <w:kinsoku/>
        <w:wordWrap/>
        <w:overflowPunct/>
        <w:topLinePunct w:val="0"/>
        <w:autoSpaceDE/>
        <w:autoSpaceDN/>
        <w:bidi w:val="0"/>
        <w:snapToGrid w:val="0"/>
        <w:spacing w:before="50" w:after="50" w:line="360" w:lineRule="auto"/>
        <w:ind w:left="0" w:leftChars="0" w:right="0"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开标一览表</w:t>
      </w:r>
    </w:p>
    <w:p>
      <w:pPr>
        <w:pageBreakBefore w:val="0"/>
        <w:widowControl w:val="0"/>
        <w:kinsoku/>
        <w:wordWrap/>
        <w:overflowPunct/>
        <w:topLinePunct w:val="0"/>
        <w:autoSpaceDE/>
        <w:autoSpaceDN/>
        <w:bidi w:val="0"/>
        <w:snapToGrid w:val="0"/>
        <w:spacing w:before="50" w:after="50" w:line="360" w:lineRule="auto"/>
        <w:ind w:left="0" w:leftChars="0" w:right="0" w:rightChars="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pPr>
        <w:pageBreakBefore w:val="0"/>
        <w:widowControl w:val="0"/>
        <w:kinsoku/>
        <w:wordWrap/>
        <w:overflowPunct/>
        <w:topLinePunct w:val="0"/>
        <w:autoSpaceDE/>
        <w:autoSpaceDN/>
        <w:bidi w:val="0"/>
        <w:snapToGrid w:val="0"/>
        <w:spacing w:before="50" w:after="50" w:line="360" w:lineRule="auto"/>
        <w:ind w:left="0" w:leftChars="0" w:right="0" w:rightChars="0"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bl>
      <w:tblPr>
        <w:tblStyle w:val="20"/>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1"/>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094" w:type="dxa"/>
            <w:gridSpan w:val="2"/>
            <w:noWrap w:val="0"/>
            <w:vAlign w:val="center"/>
          </w:tcPr>
          <w:p>
            <w:pPr>
              <w:spacing w:line="360" w:lineRule="auto"/>
              <w:jc w:val="center"/>
              <w:rPr>
                <w:rFonts w:hint="eastAsia" w:ascii="宋体"/>
                <w:b/>
                <w:szCs w:val="21"/>
                <w:highlight w:val="none"/>
              </w:rPr>
            </w:pPr>
            <w:r>
              <w:rPr>
                <w:rFonts w:hint="eastAsia" w:ascii="宋体"/>
                <w:b/>
                <w:szCs w:val="21"/>
                <w:highlight w:val="none"/>
                <w:lang w:eastAsia="zh-CN"/>
              </w:rPr>
              <w:t>2023-2025</w:t>
            </w:r>
            <w:r>
              <w:rPr>
                <w:rFonts w:hint="eastAsia" w:ascii="宋体"/>
                <w:b/>
                <w:szCs w:val="21"/>
                <w:highlight w:val="none"/>
              </w:rPr>
              <w:t>年北仑区土地使用权出让地价委托评估项目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3961" w:type="dxa"/>
            <w:noWrap w:val="0"/>
            <w:vAlign w:val="center"/>
          </w:tcPr>
          <w:p>
            <w:pPr>
              <w:snapToGrid w:val="0"/>
              <w:spacing w:line="360" w:lineRule="auto"/>
              <w:ind w:firstLine="211" w:firstLineChars="100"/>
              <w:jc w:val="center"/>
              <w:rPr>
                <w:rFonts w:hint="eastAsia" w:ascii="宋体" w:hAnsi="宋体"/>
                <w:b/>
                <w:szCs w:val="21"/>
                <w:highlight w:val="none"/>
              </w:rPr>
            </w:pPr>
            <w:r>
              <w:rPr>
                <w:rFonts w:hint="eastAsia" w:ascii="宋体" w:hAnsi="宋体"/>
                <w:b/>
                <w:szCs w:val="21"/>
                <w:highlight w:val="none"/>
              </w:rPr>
              <w:t>投标报价</w:t>
            </w:r>
          </w:p>
        </w:tc>
        <w:tc>
          <w:tcPr>
            <w:tcW w:w="5133" w:type="dxa"/>
            <w:noWrap w:val="0"/>
            <w:vAlign w:val="center"/>
          </w:tcPr>
          <w:p>
            <w:pPr>
              <w:spacing w:line="360" w:lineRule="auto"/>
              <w:rPr>
                <w:rFonts w:hint="eastAsia" w:ascii="宋体" w:hAnsi="宋体"/>
                <w:szCs w:val="21"/>
                <w:highlight w:val="none"/>
              </w:rPr>
            </w:pPr>
            <w:r>
              <w:rPr>
                <w:rFonts w:hint="eastAsia" w:ascii="宋体"/>
                <w:szCs w:val="21"/>
                <w:highlight w:val="none"/>
              </w:rPr>
              <w:t>按浙江省物价局浙价服〔2005〕6号文件规定的收费标准的____%</w:t>
            </w:r>
            <w:r>
              <w:rPr>
                <w:rFonts w:hint="eastAsia" w:ascii="宋体" w:hAnsi="宋体"/>
                <w:bCs/>
                <w:highlight w:val="none"/>
              </w:rPr>
              <w:t>（大写：百分之</w:t>
            </w:r>
            <w:r>
              <w:rPr>
                <w:rFonts w:hint="eastAsia" w:ascii="宋体" w:hAnsi="宋体"/>
                <w:bCs/>
                <w:highlight w:val="none"/>
                <w:u w:val="single"/>
              </w:rPr>
              <w:t xml:space="preserve">       </w:t>
            </w:r>
            <w:r>
              <w:rPr>
                <w:rFonts w:hint="eastAsia" w:ascii="宋体" w:hAnsi="宋体"/>
                <w:bCs/>
                <w:highlight w:val="none"/>
              </w:rPr>
              <w:t>）</w:t>
            </w:r>
            <w:r>
              <w:rPr>
                <w:rFonts w:hint="eastAsia" w:ascii="宋体"/>
                <w:szCs w:val="21"/>
                <w:highlight w:val="none"/>
              </w:rPr>
              <w:t>收取评估费。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3961" w:type="dxa"/>
            <w:noWrap w:val="0"/>
            <w:vAlign w:val="center"/>
          </w:tcPr>
          <w:p>
            <w:pPr>
              <w:snapToGrid w:val="0"/>
              <w:spacing w:line="360" w:lineRule="auto"/>
              <w:ind w:firstLine="211" w:firstLineChars="100"/>
              <w:jc w:val="center"/>
              <w:rPr>
                <w:rFonts w:hint="eastAsia" w:ascii="宋体" w:hAnsi="宋体"/>
                <w:b/>
                <w:szCs w:val="21"/>
                <w:highlight w:val="none"/>
              </w:rPr>
            </w:pPr>
            <w:r>
              <w:rPr>
                <w:rFonts w:hint="eastAsia" w:ascii="宋体" w:hAnsi="宋体"/>
                <w:b/>
                <w:szCs w:val="21"/>
                <w:highlight w:val="none"/>
              </w:rPr>
              <w:t>服务期限</w:t>
            </w:r>
          </w:p>
        </w:tc>
        <w:tc>
          <w:tcPr>
            <w:tcW w:w="5133" w:type="dxa"/>
            <w:noWrap w:val="0"/>
            <w:vAlign w:val="center"/>
          </w:tcPr>
          <w:p>
            <w:pPr>
              <w:spacing w:line="360" w:lineRule="auto"/>
              <w:rPr>
                <w:rFonts w:hint="eastAsia" w:ascii="宋体"/>
                <w:szCs w:val="21"/>
                <w:highlight w:val="none"/>
              </w:rPr>
            </w:pPr>
            <w:r>
              <w:rPr>
                <w:rFonts w:hint="eastAsia" w:ascii="宋体"/>
                <w:szCs w:val="21"/>
                <w:highlight w:val="none"/>
              </w:rPr>
              <w:t>3年；合同1年1签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094" w:type="dxa"/>
            <w:gridSpan w:val="2"/>
            <w:tcBorders>
              <w:bottom w:val="single" w:color="auto" w:sz="4" w:space="0"/>
            </w:tcBorders>
            <w:noWrap w:val="0"/>
            <w:vAlign w:val="center"/>
          </w:tcPr>
          <w:p>
            <w:pPr>
              <w:spacing w:line="360" w:lineRule="auto"/>
              <w:rPr>
                <w:rFonts w:hint="eastAsia" w:ascii="宋体" w:hAnsi="宋体"/>
                <w:szCs w:val="21"/>
                <w:highlight w:val="none"/>
              </w:rPr>
            </w:pPr>
            <w:r>
              <w:rPr>
                <w:rFonts w:hint="eastAsia" w:ascii="宋体" w:hAnsi="宋体"/>
                <w:szCs w:val="21"/>
                <w:highlight w:val="none"/>
              </w:rPr>
              <w:t xml:space="preserve">报价说明： </w:t>
            </w:r>
          </w:p>
        </w:tc>
      </w:tr>
    </w:tbl>
    <w:p>
      <w:pPr>
        <w:pageBreakBefore w:val="0"/>
        <w:widowControl w:val="0"/>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注:1、报价一经涂改，应在涂改处加盖单位公章或者由法定代表人或授权委托人签名或盖章，否则其投标作无效标处理。</w:t>
      </w:r>
    </w:p>
    <w:p>
      <w:pPr>
        <w:pageBreakBefore w:val="0"/>
        <w:widowControl w:val="0"/>
        <w:kinsoku/>
        <w:wordWrap/>
        <w:overflowPunct/>
        <w:topLinePunct w:val="0"/>
        <w:autoSpaceDE/>
        <w:autoSpaceDN/>
        <w:bidi w:val="0"/>
        <w:snapToGrid w:val="0"/>
        <w:spacing w:before="50" w:after="50" w:line="360" w:lineRule="auto"/>
        <w:ind w:left="130" w:leftChars="0" w:right="0" w:rightChars="0" w:hanging="130" w:hangingChars="62"/>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4.投标声明书格式：</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投标声明书</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（招标采购单位名称）：</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（投标人名称）系中华人民共和国合法企业，经营地址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firstLine="64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我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（投标人名称）的法定代表人，我方愿意参加贵方组织的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项目的投标，为便于贵方公正、择优地确定中标人及其投标产品和服务，我方就本次投标有关事项郑重声明如下：</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1.我方向贵方提交的所有投标文件、资料都是准确的和真实的。</w:t>
      </w:r>
    </w:p>
    <w:p>
      <w:pPr>
        <w:pageBreakBefore w:val="0"/>
        <w:widowControl w:val="0"/>
        <w:kinsoku/>
        <w:wordWrap/>
        <w:overflowPunct/>
        <w:topLinePunct w:val="0"/>
        <w:autoSpaceDE/>
        <w:autoSpaceDN/>
        <w:bidi w:val="0"/>
        <w:snapToGrid w:val="0"/>
        <w:spacing w:before="120" w:beforeLines="5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2.我方不是采购单位的附属机构；在获知本项目采购信息后，与采购单位聘请的为此项目提供咨询服务的公司及其附属机构没有任何联系。</w:t>
      </w:r>
    </w:p>
    <w:p>
      <w:pPr>
        <w:pageBreakBefore w:val="0"/>
        <w:widowControl w:val="0"/>
        <w:kinsoku/>
        <w:wordWrap/>
        <w:overflowPunct/>
        <w:topLinePunct w:val="0"/>
        <w:autoSpaceDE/>
        <w:autoSpaceDN/>
        <w:bidi w:val="0"/>
        <w:snapToGrid w:val="0"/>
        <w:spacing w:before="120" w:beforeLines="5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3.我方满足《中华人民共和国政府采购法》第二十二条规定的供应商条件。</w:t>
      </w:r>
    </w:p>
    <w:p>
      <w:pPr>
        <w:pStyle w:val="11"/>
        <w:pageBreakBefore w:val="0"/>
        <w:widowControl w:val="0"/>
        <w:kinsoku/>
        <w:wordWrap/>
        <w:overflowPunct/>
        <w:topLinePunct w:val="0"/>
        <w:autoSpaceDE/>
        <w:autoSpaceDN/>
        <w:bidi w:val="0"/>
        <w:snapToGrid w:val="0"/>
        <w:spacing w:line="360" w:lineRule="auto"/>
        <w:ind w:left="0" w:leftChars="0" w:right="0" w:rightChars="0" w:firstLine="404" w:firstLineChars="200"/>
        <w:rPr>
          <w:rFonts w:hint="eastAsia" w:hAnsi="宋体" w:cs="宋体"/>
          <w:color w:val="auto"/>
          <w:sz w:val="21"/>
          <w:szCs w:val="21"/>
          <w:highlight w:val="none"/>
        </w:rPr>
      </w:pPr>
      <w:r>
        <w:rPr>
          <w:rFonts w:hint="eastAsia" w:hAnsi="宋体" w:cs="宋体"/>
          <w:color w:val="auto"/>
          <w:sz w:val="21"/>
          <w:szCs w:val="21"/>
          <w:highlight w:val="none"/>
        </w:rPr>
        <w:t>4.我方及由本人担任法定代表人的其他机构最近三年内被通报或者被处罚的违法行为有：</w:t>
      </w:r>
    </w:p>
    <w:p>
      <w:pPr>
        <w:pageBreakBefore w:val="0"/>
        <w:widowControl w:val="0"/>
        <w:kinsoku/>
        <w:wordWrap/>
        <w:overflowPunct/>
        <w:topLinePunct w:val="0"/>
        <w:autoSpaceDE/>
        <w:autoSpaceDN/>
        <w:bidi w:val="0"/>
        <w:snapToGrid w:val="0"/>
        <w:spacing w:before="120" w:beforeLines="50" w:line="360" w:lineRule="auto"/>
        <w:ind w:left="0" w:leftChars="0" w:right="0" w:rightChars="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w:t>
      </w:r>
    </w:p>
    <w:p>
      <w:pPr>
        <w:pageBreakBefore w:val="0"/>
        <w:widowControl w:val="0"/>
        <w:kinsoku/>
        <w:wordWrap/>
        <w:overflowPunct/>
        <w:topLinePunct w:val="0"/>
        <w:autoSpaceDE/>
        <w:autoSpaceDN/>
        <w:bidi w:val="0"/>
        <w:snapToGrid w:val="0"/>
        <w:spacing w:before="120" w:beforeLines="50" w:line="360" w:lineRule="auto"/>
        <w:ind w:left="0" w:leftChars="0" w:right="0" w:rightChars="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w:t>
      </w:r>
    </w:p>
    <w:p>
      <w:pPr>
        <w:pageBreakBefore w:val="0"/>
        <w:widowControl w:val="0"/>
        <w:kinsoku/>
        <w:wordWrap/>
        <w:overflowPunct/>
        <w:topLinePunct w:val="0"/>
        <w:autoSpaceDE/>
        <w:autoSpaceDN/>
        <w:bidi w:val="0"/>
        <w:snapToGrid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5.以上事项如有虚假或隐瞒，我方愿意承担一切后果，并不再寻求任何旨在减轻或免除法律责任的辩解。</w:t>
      </w:r>
    </w:p>
    <w:p>
      <w:pPr>
        <w:pStyle w:val="12"/>
        <w:pageBreakBefore w:val="0"/>
        <w:widowControl w:val="0"/>
        <w:tabs>
          <w:tab w:val="left" w:pos="939"/>
        </w:tabs>
        <w:kinsoku/>
        <w:wordWrap/>
        <w:overflowPunct/>
        <w:topLinePunct w:val="0"/>
        <w:autoSpaceDE/>
        <w:autoSpaceDN/>
        <w:bidi w:val="0"/>
        <w:snapToGrid w:val="0"/>
        <w:spacing w:line="360" w:lineRule="auto"/>
        <w:ind w:left="401" w:leftChars="0" w:right="0" w:rightChars="0" w:hanging="401" w:hangingChars="191"/>
        <w:rPr>
          <w:rFonts w:hint="eastAsia" w:ascii="宋体" w:hAnsi="宋体" w:cs="宋体"/>
          <w:color w:val="auto"/>
          <w:sz w:val="21"/>
          <w:szCs w:val="21"/>
          <w:highlight w:val="none"/>
        </w:rPr>
      </w:pPr>
    </w:p>
    <w:p>
      <w:pPr>
        <w:pStyle w:val="31"/>
        <w:pageBreakBefore w:val="0"/>
        <w:widowControl w:val="0"/>
        <w:kinsoku/>
        <w:wordWrap/>
        <w:overflowPunct/>
        <w:topLinePunct w:val="0"/>
        <w:autoSpaceDE/>
        <w:autoSpaceDN/>
        <w:bidi w:val="0"/>
        <w:snapToGrid w:val="0"/>
        <w:spacing w:before="120" w:beforeLines="50" w:line="360" w:lineRule="auto"/>
        <w:ind w:left="0" w:leftChars="0" w:right="0" w:rightChars="0" w:firstLine="200"/>
        <w:rPr>
          <w:rFonts w:hint="eastAsia" w:ascii="宋体" w:hAnsi="宋体" w:cs="宋体"/>
          <w:color w:val="auto"/>
          <w:sz w:val="21"/>
          <w:szCs w:val="21"/>
          <w:highlight w:val="none"/>
        </w:rPr>
      </w:pPr>
    </w:p>
    <w:p>
      <w:pPr>
        <w:pageBreakBefore w:val="0"/>
        <w:widowControl w:val="0"/>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投标人名称（盖章）：</w:t>
      </w:r>
    </w:p>
    <w:p>
      <w:pPr>
        <w:pageBreakBefore w:val="0"/>
        <w:widowControl w:val="0"/>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法定代表人或授权代表（签字或盖章）：</w:t>
      </w:r>
    </w:p>
    <w:p>
      <w:pPr>
        <w:pageBreakBefore w:val="0"/>
        <w:widowControl w:val="0"/>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rPr>
        <w:t>日期：    年   月   日</w:t>
      </w:r>
    </w:p>
    <w:p>
      <w:pPr>
        <w:keepNext w:val="0"/>
        <w:keepLines w:val="0"/>
        <w:widowControl/>
        <w:numPr>
          <w:ilvl w:val="0"/>
          <w:numId w:val="0"/>
        </w:numPr>
        <w:suppressLineNumbers w:val="0"/>
        <w:jc w:val="left"/>
        <w:rPr>
          <w:rFonts w:hint="eastAsia" w:ascii="宋体" w:hAnsi="宋体" w:eastAsia="宋体" w:cs="宋体"/>
          <w:b/>
          <w:bCs/>
          <w:color w:val="auto"/>
          <w:kern w:val="0"/>
          <w:sz w:val="20"/>
          <w:szCs w:val="20"/>
          <w:highlight w:val="none"/>
          <w:lang w:val="en-US" w:eastAsia="zh-CN" w:bidi="ar"/>
        </w:rPr>
      </w:pPr>
      <w:r>
        <w:rPr>
          <w:rFonts w:hint="eastAsia" w:ascii="宋体" w:hAnsi="宋体" w:eastAsia="宋体" w:cs="宋体"/>
          <w:b/>
          <w:bCs/>
          <w:color w:val="auto"/>
          <w:szCs w:val="21"/>
          <w:highlight w:val="none"/>
        </w:rPr>
        <w:br w:type="page"/>
      </w:r>
      <w:r>
        <w:rPr>
          <w:rFonts w:hint="eastAsia" w:ascii="宋体" w:hAnsi="宋体" w:cs="宋体"/>
          <w:b/>
          <w:bCs/>
          <w:color w:val="auto"/>
          <w:szCs w:val="21"/>
          <w:highlight w:val="none"/>
          <w:lang w:val="en-US" w:eastAsia="zh-CN"/>
        </w:rPr>
        <w:t>5.</w:t>
      </w:r>
      <w:r>
        <w:rPr>
          <w:rFonts w:hint="eastAsia" w:ascii="宋体" w:hAnsi="宋体" w:eastAsia="宋体" w:cs="宋体"/>
          <w:b/>
          <w:bCs/>
          <w:color w:val="auto"/>
          <w:kern w:val="0"/>
          <w:sz w:val="20"/>
          <w:szCs w:val="20"/>
          <w:highlight w:val="none"/>
          <w:lang w:val="en-US" w:eastAsia="zh-CN" w:bidi="ar"/>
        </w:rPr>
        <w:t>联合体协议格式</w:t>
      </w:r>
    </w:p>
    <w:p>
      <w:pPr>
        <w:keepNext w:val="0"/>
        <w:keepLines w:val="0"/>
        <w:widowControl/>
        <w:numPr>
          <w:ilvl w:val="0"/>
          <w:numId w:val="0"/>
        </w:numPr>
        <w:suppressLineNumbers w:val="0"/>
        <w:ind w:leftChars="200"/>
        <w:jc w:val="center"/>
        <w:rPr>
          <w:color w:val="auto"/>
          <w:highlight w:val="none"/>
        </w:rPr>
      </w:pPr>
      <w:r>
        <w:rPr>
          <w:rFonts w:hint="eastAsia" w:ascii="宋体" w:hAnsi="宋体" w:eastAsia="宋体" w:cs="宋体"/>
          <w:b/>
          <w:bCs/>
          <w:color w:val="auto"/>
          <w:kern w:val="0"/>
          <w:sz w:val="20"/>
          <w:szCs w:val="20"/>
          <w:highlight w:val="none"/>
          <w:lang w:val="en-US" w:eastAsia="zh-CN" w:bidi="ar"/>
        </w:rPr>
        <w:t>联合体协议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主体（牵头人）名称：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法定代表人：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法定住所：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成员名称：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法定代表人：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法定住所：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为响应贵方的项目的招标活动，上述各成员单位经过友好协商，自愿组成联合体，共同参加本项目投标。现就联合投标事宜订立如下协议：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一、各方一致决定，以（某成员单位名称）为牵头人进行投标，</w:t>
      </w:r>
      <w:r>
        <w:rPr>
          <w:rFonts w:hint="eastAsia" w:ascii="宋体" w:hAnsi="宋体" w:eastAsia="宋体" w:cs="宋体"/>
          <w:b/>
          <w:bCs/>
          <w:color w:val="auto"/>
          <w:kern w:val="0"/>
          <w:sz w:val="21"/>
          <w:szCs w:val="21"/>
          <w:highlight w:val="none"/>
          <w:lang w:val="en-US" w:eastAsia="zh-CN" w:bidi="ar"/>
        </w:rPr>
        <w:t>并按照采购文件的规定分别提交要求的资格证明文件。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二、在本项目招标投标过程中，联合体其他成员授权联合体牵头人办理本项目的投标事宜，联合体牵头人合法代表联合体各成员负责本项目投标文件的编制，代表联合体提交和接受相关的资料、信息及指示，处理与之有关的一切事务，并负责合同实施阶段的主办、组织和协调工作。联合体牵头人的法定代表人或经其正式授权代表根据采购文件规定及投标内容而对采购人所做的任何合法承诺，包括投标文件、书面澄清及承诺等响应资料的签署等均对联合体各方产生约束力。如果中标并签订合同，则联合投标各方将共同履行对采购人所负有的全部义务并就采购合同约定的事项对采购人承担连带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三、联合投标其余各方保证对牵头人为响应本次招标而提供的服务提供全部质量保证及售后服务支持。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四、本次联合投标中，联合体各成员单位内部的职责分工如下：</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按照本条上述分工，联合体成员单位各自所承担的合同工作如下：（各自所占工作量的百分比</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），上述百分比即是本项目合同金额的分配比例。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五、投标工作以及联合体在中标后项目实施过程中的有关费用按各自承担的工作量分摊；联合体牵头人与采购人结算。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六、本协议提交后，联合投标各方不得以任何形式对上述实质内容进行修改或撤销。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七、本协议书一式</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份，联合体成员各执</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份，一份作为投标文件的组成部分提交。</w:t>
      </w:r>
    </w:p>
    <w:p>
      <w:pPr>
        <w:keepNext w:val="0"/>
        <w:keepLines w:val="0"/>
        <w:pageBreakBefore w:val="0"/>
        <w:widowControl/>
        <w:suppressLineNumbers w:val="0"/>
        <w:kinsoku/>
        <w:wordWrap w:val="0"/>
        <w:overflowPunct/>
        <w:topLinePunct w:val="0"/>
        <w:autoSpaceDE/>
        <w:autoSpaceDN/>
        <w:bidi w:val="0"/>
        <w:adjustRightInd/>
        <w:snapToGrid/>
        <w:spacing w:line="360" w:lineRule="auto"/>
        <w:jc w:val="righ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主体（牵头人）名称：</w:t>
      </w:r>
      <w:r>
        <w:rPr>
          <w:rFonts w:hint="eastAsia" w:ascii="宋体" w:hAnsi="宋体" w:eastAsia="宋体" w:cs="宋体"/>
          <w:color w:val="auto"/>
          <w:kern w:val="0"/>
          <w:sz w:val="21"/>
          <w:szCs w:val="21"/>
          <w:highlight w:val="none"/>
          <w:u w:val="single"/>
          <w:lang w:val="en-US" w:eastAsia="zh-CN" w:bidi="ar"/>
        </w:rPr>
        <w:t xml:space="preserve">    （盖单位章）    </w:t>
      </w:r>
    </w:p>
    <w:p>
      <w:pPr>
        <w:keepNext w:val="0"/>
        <w:keepLines w:val="0"/>
        <w:pageBreakBefore w:val="0"/>
        <w:widowControl/>
        <w:suppressLineNumbers w:val="0"/>
        <w:kinsoku/>
        <w:wordWrap w:val="0"/>
        <w:overflowPunct/>
        <w:topLinePunct w:val="0"/>
        <w:autoSpaceDE/>
        <w:autoSpaceDN/>
        <w:bidi w:val="0"/>
        <w:adjustRightInd/>
        <w:snapToGrid/>
        <w:spacing w:line="360" w:lineRule="auto"/>
        <w:jc w:val="righ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法定代表人或其委托代理人：</w:t>
      </w:r>
      <w:r>
        <w:rPr>
          <w:rFonts w:hint="eastAsia" w:ascii="宋体" w:hAnsi="宋体" w:eastAsia="宋体" w:cs="宋体"/>
          <w:color w:val="auto"/>
          <w:kern w:val="0"/>
          <w:sz w:val="21"/>
          <w:szCs w:val="21"/>
          <w:highlight w:val="none"/>
          <w:u w:val="single"/>
          <w:lang w:val="en-US" w:eastAsia="zh-CN" w:bidi="ar"/>
        </w:rPr>
        <w:t xml:space="preserve">   （签字或盖章）   </w:t>
      </w:r>
    </w:p>
    <w:p>
      <w:pPr>
        <w:keepNext w:val="0"/>
        <w:keepLines w:val="0"/>
        <w:pageBreakBefore w:val="0"/>
        <w:widowControl/>
        <w:suppressLineNumbers w:val="0"/>
        <w:kinsoku/>
        <w:wordWrap w:val="0"/>
        <w:overflowPunct/>
        <w:topLinePunct w:val="0"/>
        <w:autoSpaceDE/>
        <w:autoSpaceDN/>
        <w:bidi w:val="0"/>
        <w:adjustRightInd/>
        <w:snapToGrid/>
        <w:spacing w:line="360" w:lineRule="auto"/>
        <w:jc w:val="righ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成员名称：</w:t>
      </w:r>
      <w:r>
        <w:rPr>
          <w:rFonts w:hint="eastAsia" w:ascii="宋体" w:hAnsi="宋体" w:eastAsia="宋体" w:cs="宋体"/>
          <w:color w:val="auto"/>
          <w:kern w:val="0"/>
          <w:sz w:val="21"/>
          <w:szCs w:val="21"/>
          <w:highlight w:val="none"/>
          <w:u w:val="single"/>
          <w:lang w:val="en-US" w:eastAsia="zh-CN" w:bidi="ar"/>
        </w:rPr>
        <w:t xml:space="preserve">    （盖单位章）    </w:t>
      </w:r>
    </w:p>
    <w:p>
      <w:pPr>
        <w:keepNext w:val="0"/>
        <w:keepLines w:val="0"/>
        <w:pageBreakBefore w:val="0"/>
        <w:widowControl/>
        <w:suppressLineNumbers w:val="0"/>
        <w:kinsoku/>
        <w:wordWrap w:val="0"/>
        <w:overflowPunct/>
        <w:topLinePunct w:val="0"/>
        <w:autoSpaceDE/>
        <w:autoSpaceDN/>
        <w:bidi w:val="0"/>
        <w:adjustRightInd/>
        <w:snapToGrid/>
        <w:spacing w:line="360" w:lineRule="auto"/>
        <w:jc w:val="right"/>
        <w:textAlignment w:val="auto"/>
        <w:rPr>
          <w:rFonts w:hint="default" w:ascii="宋体" w:hAnsi="宋体" w:eastAsia="宋体" w:cs="宋体"/>
          <w:color w:val="auto"/>
          <w:sz w:val="21"/>
          <w:szCs w:val="21"/>
          <w:highlight w:val="none"/>
          <w:u w:val="single"/>
          <w:lang w:val="en-US"/>
        </w:rPr>
      </w:pPr>
      <w:r>
        <w:rPr>
          <w:rFonts w:hint="eastAsia" w:ascii="宋体" w:hAnsi="宋体" w:eastAsia="宋体" w:cs="宋体"/>
          <w:color w:val="auto"/>
          <w:kern w:val="0"/>
          <w:sz w:val="21"/>
          <w:szCs w:val="21"/>
          <w:highlight w:val="none"/>
          <w:lang w:val="en-US" w:eastAsia="zh-CN" w:bidi="ar"/>
        </w:rPr>
        <w:t>法定代表人或其委托代理人：</w:t>
      </w:r>
      <w:r>
        <w:rPr>
          <w:rFonts w:hint="eastAsia" w:ascii="宋体" w:hAnsi="宋体" w:eastAsia="宋体" w:cs="宋体"/>
          <w:color w:val="auto"/>
          <w:kern w:val="0"/>
          <w:sz w:val="21"/>
          <w:szCs w:val="21"/>
          <w:highlight w:val="none"/>
          <w:u w:val="single"/>
          <w:lang w:val="en-US" w:eastAsia="zh-CN" w:bidi="ar"/>
        </w:rPr>
        <w:t xml:space="preserve">   （签字或盖章）   </w:t>
      </w:r>
    </w:p>
    <w:p>
      <w:pPr>
        <w:keepNext w:val="0"/>
        <w:keepLines w:val="0"/>
        <w:pageBreakBefore w:val="0"/>
        <w:widowControl/>
        <w:suppressLineNumbers w:val="0"/>
        <w:kinsoku/>
        <w:overflowPunct/>
        <w:topLinePunct w:val="0"/>
        <w:autoSpaceDE/>
        <w:autoSpaceDN/>
        <w:bidi w:val="0"/>
        <w:adjustRightInd/>
        <w:snapToGrid/>
        <w:spacing w:line="360" w:lineRule="auto"/>
        <w:jc w:val="right"/>
        <w:textAlignment w:val="auto"/>
        <w:rPr>
          <w:color w:val="auto"/>
          <w:highlight w:val="none"/>
        </w:rPr>
      </w:pPr>
      <w:r>
        <w:rPr>
          <w:rFonts w:hint="eastAsia" w:ascii="宋体" w:hAnsi="宋体" w:eastAsia="宋体" w:cs="宋体"/>
          <w:color w:val="auto"/>
          <w:kern w:val="0"/>
          <w:sz w:val="21"/>
          <w:szCs w:val="21"/>
          <w:highlight w:val="none"/>
          <w:u w:val="single"/>
          <w:lang w:val="en-US" w:eastAsia="zh-CN" w:bidi="ar"/>
        </w:rPr>
        <w:t xml:space="preserve">  年  月  日</w:t>
      </w:r>
    </w:p>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pPr>
        <w:pageBreakBefore w:val="0"/>
        <w:widowControl w:val="0"/>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.法定代表人资格证明格式</w:t>
      </w:r>
    </w:p>
    <w:p>
      <w:pPr>
        <w:pageBreakBefore w:val="0"/>
        <w:widowControl w:val="0"/>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p>
    <w:p>
      <w:pPr>
        <w:pageBreakBefore w:val="0"/>
        <w:widowControl w:val="0"/>
        <w:kinsoku/>
        <w:wordWrap/>
        <w:overflowPunct/>
        <w:topLinePunct w:val="0"/>
        <w:autoSpaceDE/>
        <w:autoSpaceDN/>
        <w:bidi w:val="0"/>
        <w:snapToGrid w:val="0"/>
        <w:spacing w:before="50" w:after="50" w:line="360" w:lineRule="auto"/>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法定代表人资格证明</w:t>
      </w:r>
    </w:p>
    <w:p>
      <w:pPr>
        <w:pageBreakBefore w:val="0"/>
        <w:widowControl w:val="0"/>
        <w:kinsoku/>
        <w:wordWrap/>
        <w:overflowPunct/>
        <w:topLinePunct w:val="0"/>
        <w:autoSpaceDE/>
        <w:autoSpaceDN/>
        <w:bidi w:val="0"/>
        <w:spacing w:line="360" w:lineRule="auto"/>
        <w:ind w:left="0" w:leftChars="0" w:right="0" w:rightChars="0"/>
        <w:rPr>
          <w:rFonts w:hint="eastAsia" w:ascii="宋体" w:hAnsi="宋体" w:eastAsia="宋体" w:cs="宋体"/>
          <w:color w:val="auto"/>
          <w:sz w:val="24"/>
          <w:szCs w:val="21"/>
          <w:highlight w:val="none"/>
        </w:rPr>
      </w:pPr>
    </w:p>
    <w:p>
      <w:pPr>
        <w:pageBreakBefore w:val="0"/>
        <w:widowControl w:val="0"/>
        <w:kinsoku/>
        <w:wordWrap/>
        <w:overflowPunct/>
        <w:topLinePunct w:val="0"/>
        <w:autoSpaceDE/>
        <w:autoSpaceDN/>
        <w:bidi w:val="0"/>
        <w:spacing w:line="48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r>
        <w:rPr>
          <w:rFonts w:hint="eastAsia" w:ascii="宋体" w:hAnsi="宋体" w:eastAsia="宋体" w:cs="宋体"/>
          <w:color w:val="auto"/>
          <w:szCs w:val="21"/>
          <w:highlight w:val="none"/>
          <w:u w:val="single"/>
        </w:rPr>
        <w:t xml:space="preserve">                                                          </w:t>
      </w:r>
    </w:p>
    <w:p>
      <w:pPr>
        <w:pageBreakBefore w:val="0"/>
        <w:widowControl w:val="0"/>
        <w:kinsoku/>
        <w:wordWrap/>
        <w:overflowPunct/>
        <w:topLinePunct w:val="0"/>
        <w:autoSpaceDE/>
        <w:autoSpaceDN/>
        <w:bidi w:val="0"/>
        <w:spacing w:line="480" w:lineRule="auto"/>
        <w:ind w:left="0" w:leftChars="0" w:right="0" w:right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pPr>
        <w:pageBreakBefore w:val="0"/>
        <w:widowControl w:val="0"/>
        <w:kinsoku/>
        <w:wordWrap/>
        <w:overflowPunct/>
        <w:topLinePunct w:val="0"/>
        <w:autoSpaceDE/>
        <w:autoSpaceDN/>
        <w:bidi w:val="0"/>
        <w:spacing w:line="48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    别：</w:t>
      </w:r>
      <w:r>
        <w:rPr>
          <w:rFonts w:hint="eastAsia" w:ascii="宋体" w:hAnsi="宋体" w:eastAsia="宋体" w:cs="宋体"/>
          <w:color w:val="auto"/>
          <w:szCs w:val="21"/>
          <w:highlight w:val="none"/>
          <w:u w:val="single"/>
        </w:rPr>
        <w:t xml:space="preserve">                        </w:t>
      </w:r>
    </w:p>
    <w:p>
      <w:pPr>
        <w:pageBreakBefore w:val="0"/>
        <w:widowControl w:val="0"/>
        <w:kinsoku/>
        <w:wordWrap/>
        <w:overflowPunct/>
        <w:topLinePunct w:val="0"/>
        <w:autoSpaceDE/>
        <w:autoSpaceDN/>
        <w:bidi w:val="0"/>
        <w:spacing w:line="48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    务：</w:t>
      </w:r>
      <w:r>
        <w:rPr>
          <w:rFonts w:hint="eastAsia" w:ascii="宋体" w:hAnsi="宋体" w:eastAsia="宋体" w:cs="宋体"/>
          <w:color w:val="auto"/>
          <w:szCs w:val="21"/>
          <w:highlight w:val="none"/>
          <w:u w:val="single"/>
        </w:rPr>
        <w:t xml:space="preserve">                        </w:t>
      </w:r>
    </w:p>
    <w:p>
      <w:pPr>
        <w:pageBreakBefore w:val="0"/>
        <w:widowControl w:val="0"/>
        <w:kinsoku/>
        <w:wordWrap/>
        <w:overflowPunct/>
        <w:topLinePunct w:val="0"/>
        <w:autoSpaceDE/>
        <w:autoSpaceDN/>
        <w:bidi w:val="0"/>
        <w:spacing w:line="48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w:t>
      </w:r>
    </w:p>
    <w:p>
      <w:pPr>
        <w:pageBreakBefore w:val="0"/>
        <w:widowControl w:val="0"/>
        <w:kinsoku/>
        <w:wordWrap/>
        <w:overflowPunct/>
        <w:topLinePunct w:val="0"/>
        <w:autoSpaceDE/>
        <w:autoSpaceDN/>
        <w:bidi w:val="0"/>
        <w:spacing w:line="48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pageBreakBefore w:val="0"/>
        <w:widowControl w:val="0"/>
        <w:kinsoku/>
        <w:wordWrap/>
        <w:overflowPunct/>
        <w:topLinePunct w:val="0"/>
        <w:autoSpaceDE/>
        <w:autoSpaceDN/>
        <w:bidi w:val="0"/>
        <w:spacing w:line="480" w:lineRule="auto"/>
        <w:ind w:left="0" w:leftChars="0" w:right="0" w:rightChars="0"/>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pacing w:line="48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后附法定代表人身份证正反面复印件，加盖公章。</w:t>
      </w:r>
    </w:p>
    <w:p>
      <w:pPr>
        <w:pageBreakBefore w:val="0"/>
        <w:widowControl w:val="0"/>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b w:val="0"/>
          <w:bCs w:val="0"/>
          <w:color w:val="auto"/>
          <w:szCs w:val="21"/>
          <w:highlight w:val="none"/>
          <w:lang w:eastAsia="zh-CN"/>
        </w:rPr>
      </w:pPr>
    </w:p>
    <w:p>
      <w:pPr>
        <w:pageBreakBefore w:val="0"/>
        <w:widowControl w:val="0"/>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投标人名称（盖章）：</w:t>
      </w:r>
    </w:p>
    <w:p>
      <w:pPr>
        <w:pageBreakBefore w:val="0"/>
        <w:widowControl w:val="0"/>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法定代表人或授权代表（签字或盖章）：</w:t>
      </w:r>
    </w:p>
    <w:p>
      <w:pPr>
        <w:pageBreakBefore w:val="0"/>
        <w:widowControl w:val="0"/>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日期：    年   月   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rPr>
        <w:t>.法定代表人授权委托书格式</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法定代表人授权委托书</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textAlignment w:val="auto"/>
        <w:rPr>
          <w:rFonts w:hint="eastAsia" w:ascii="宋体" w:hAnsi="宋体" w:eastAsia="宋体" w:cs="宋体"/>
          <w:bCs/>
          <w:color w:val="auto"/>
          <w:szCs w:val="21"/>
          <w:highlight w:val="none"/>
        </w:rPr>
      </w:pPr>
    </w:p>
    <w:p>
      <w:pPr>
        <w:pageBreakBefore w:val="0"/>
        <w:widowControl w:val="0"/>
        <w:kinsoku/>
        <w:wordWrap/>
        <w:overflowPunct/>
        <w:topLinePunct w:val="0"/>
        <w:autoSpaceDE/>
        <w:autoSpaceDN/>
        <w:bidi w:val="0"/>
        <w:snapToGrid w:val="0"/>
        <w:spacing w:before="120" w:beforeLines="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（招标采购单位名称）：</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（投标人名称）的法定代表人，现授权委托本单位在职职工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（姓名）以我方的名义参加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项目的投标活动，并代表我方全权办理针对上述项目的投标、开标、评标、签约等具体事务和签署相关文件。</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我方对被授权人的签名事项负全部责任。</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在撤销授权的书面通知以前，本授权书一直有效。</w:t>
      </w:r>
      <w:r>
        <w:rPr>
          <w:rFonts w:hint="eastAsia" w:ascii="宋体" w:hAnsi="宋体" w:eastAsia="宋体" w:cs="宋体"/>
          <w:color w:val="auto"/>
          <w:szCs w:val="21"/>
          <w:highlight w:val="none"/>
        </w:rPr>
        <w:t>被授权人在授权书有效期内签署的所有文件不因授权的撤销而失效。</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被授权人无转委托权，特此委托。</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firstLine="480"/>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napToGrid w:val="0"/>
        <w:spacing w:before="120" w:beforeLines="50" w:after="50" w:line="60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被授权人签名：                           法定代表人签名：          </w:t>
      </w:r>
    </w:p>
    <w:p>
      <w:pPr>
        <w:pageBreakBefore w:val="0"/>
        <w:widowControl w:val="0"/>
        <w:kinsoku/>
        <w:wordWrap/>
        <w:overflowPunct/>
        <w:topLinePunct w:val="0"/>
        <w:autoSpaceDE/>
        <w:autoSpaceDN/>
        <w:bidi w:val="0"/>
        <w:snapToGrid w:val="0"/>
        <w:spacing w:before="120" w:beforeLines="50" w:after="50" w:line="600" w:lineRule="auto"/>
        <w:ind w:left="0" w:leftChars="0" w:right="0" w:rightChars="0"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职务：                                     职务：           </w:t>
      </w:r>
    </w:p>
    <w:p>
      <w:pPr>
        <w:pageBreakBefore w:val="0"/>
        <w:widowControl w:val="0"/>
        <w:kinsoku/>
        <w:wordWrap/>
        <w:overflowPunct/>
        <w:topLinePunct w:val="0"/>
        <w:autoSpaceDE/>
        <w:autoSpaceDN/>
        <w:bidi w:val="0"/>
        <w:snapToGrid w:val="0"/>
        <w:spacing w:before="120" w:beforeLines="50" w:after="50" w:line="60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被授权人身份证号码：                              </w:t>
      </w:r>
    </w:p>
    <w:p>
      <w:pPr>
        <w:pageBreakBefore w:val="0"/>
        <w:widowControl w:val="0"/>
        <w:kinsoku/>
        <w:wordWrap/>
        <w:overflowPunct/>
        <w:topLinePunct w:val="0"/>
        <w:autoSpaceDE/>
        <w:autoSpaceDN/>
        <w:bidi w:val="0"/>
        <w:snapToGrid w:val="0"/>
        <w:spacing w:before="50" w:after="50" w:line="600" w:lineRule="auto"/>
        <w:ind w:left="0" w:leftChars="0" w:right="0" w:right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pPr>
        <w:pageBreakBefore w:val="0"/>
        <w:widowControl w:val="0"/>
        <w:kinsoku/>
        <w:wordWrap/>
        <w:overflowPunct/>
        <w:topLinePunct w:val="0"/>
        <w:autoSpaceDE/>
        <w:autoSpaceDN/>
        <w:bidi w:val="0"/>
        <w:snapToGrid w:val="0"/>
        <w:spacing w:before="50" w:after="50" w:line="600" w:lineRule="auto"/>
        <w:ind w:left="25" w:leftChars="0" w:right="0" w:rightChars="0" w:hanging="25" w:hangingChars="1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ageBreakBefore w:val="0"/>
        <w:widowControl w:val="0"/>
        <w:kinsoku/>
        <w:wordWrap/>
        <w:overflowPunct/>
        <w:topLinePunct w:val="0"/>
        <w:autoSpaceDE/>
        <w:autoSpaceDN/>
        <w:bidi w:val="0"/>
        <w:snapToGrid w:val="0"/>
        <w:spacing w:before="120" w:beforeLines="50" w:after="50"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附：法定代表人和被授权代表身份证复印件加盖公章</w:t>
      </w:r>
    </w:p>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br w:type="page"/>
      </w:r>
      <w:r>
        <w:rPr>
          <w:rFonts w:hint="eastAsia" w:ascii="宋体" w:hAnsi="宋体" w:cs="宋体"/>
          <w:b/>
          <w:color w:val="auto"/>
          <w:szCs w:val="21"/>
          <w:highlight w:val="none"/>
          <w:lang w:val="en-US" w:eastAsia="zh-CN"/>
        </w:rPr>
        <w:t>8</w:t>
      </w:r>
      <w:r>
        <w:rPr>
          <w:rFonts w:hint="eastAsia" w:ascii="宋体" w:hAnsi="宋体" w:eastAsia="宋体" w:cs="宋体"/>
          <w:b/>
          <w:color w:val="auto"/>
          <w:szCs w:val="21"/>
          <w:highlight w:val="none"/>
        </w:rPr>
        <w:t>.书面声明格式</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书面声明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pacing w:line="360" w:lineRule="auto"/>
        <w:ind w:left="0" w:leftChars="0" w:right="0" w:rightChars="0"/>
        <w:jc w:val="left"/>
        <w:rPr>
          <w:rFonts w:hint="eastAsia" w:ascii="宋体" w:hAnsi="宋体" w:eastAsia="宋体" w:cs="宋体"/>
          <w:b/>
          <w:bCs/>
          <w:color w:val="auto"/>
          <w:szCs w:val="16"/>
          <w:highlight w:val="none"/>
          <w:lang w:bidi="ar"/>
        </w:rPr>
      </w:pPr>
      <w:r>
        <w:rPr>
          <w:rFonts w:hint="eastAsia" w:ascii="宋体" w:hAnsi="宋体" w:eastAsia="宋体" w:cs="宋体"/>
          <w:b/>
          <w:bCs/>
          <w:color w:val="auto"/>
          <w:szCs w:val="16"/>
          <w:highlight w:val="none"/>
          <w:lang w:bidi="ar"/>
        </w:rPr>
        <w:t>我方郑重承诺：</w:t>
      </w:r>
    </w:p>
    <w:p>
      <w:pPr>
        <w:pageBreakBefore w:val="0"/>
        <w:widowControl w:val="0"/>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1、我公司（单位）具有良好的商业信誉和健全的财务会计制度；</w:t>
      </w:r>
    </w:p>
    <w:p>
      <w:pPr>
        <w:pageBreakBefore w:val="0"/>
        <w:widowControl w:val="0"/>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2、我公司（单位）具有履行合同所必需的设备和专业技术能力；</w:t>
      </w:r>
    </w:p>
    <w:p>
      <w:pPr>
        <w:pageBreakBefore w:val="0"/>
        <w:widowControl w:val="0"/>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3、我公司（单位）有依法缴纳税收和社会保障资金的良好记录；</w:t>
      </w:r>
    </w:p>
    <w:p>
      <w:pPr>
        <w:pageBreakBefore w:val="0"/>
        <w:widowControl w:val="0"/>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4、我公司（单位）参加政府采购活动前三年内，在经营活动中没有重大违法记录；</w:t>
      </w:r>
    </w:p>
    <w:p>
      <w:pPr>
        <w:pageBreakBefore w:val="0"/>
        <w:widowControl w:val="0"/>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5、我公司（单位）具有法律、行政法规规定的其他条件。</w:t>
      </w:r>
    </w:p>
    <w:p>
      <w:pPr>
        <w:pageBreakBefore w:val="0"/>
        <w:widowControl w:val="0"/>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pageBreakBefore w:val="0"/>
        <w:widowControl w:val="0"/>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特此承诺！</w:t>
      </w:r>
    </w:p>
    <w:p>
      <w:pPr>
        <w:pageBreakBefore w:val="0"/>
        <w:widowControl w:val="0"/>
        <w:kinsoku/>
        <w:wordWrap/>
        <w:overflowPunct/>
        <w:topLinePunct w:val="0"/>
        <w:autoSpaceDE/>
        <w:autoSpaceDN/>
        <w:bidi w:val="0"/>
        <w:spacing w:before="240" w:line="360" w:lineRule="auto"/>
        <w:ind w:left="0" w:leftChars="0" w:right="0" w:rightChars="0" w:firstLine="420" w:firstLineChars="200"/>
        <w:jc w:val="left"/>
        <w:rPr>
          <w:rFonts w:hint="eastAsia" w:ascii="宋体" w:hAnsi="宋体" w:eastAsia="宋体" w:cs="宋体"/>
          <w:color w:val="auto"/>
          <w:kern w:val="0"/>
          <w:szCs w:val="21"/>
          <w:highlight w:val="none"/>
        </w:rPr>
      </w:pPr>
    </w:p>
    <w:p>
      <w:pPr>
        <w:pageBreakBefore w:val="0"/>
        <w:widowControl w:val="0"/>
        <w:kinsoku/>
        <w:wordWrap/>
        <w:overflowPunct/>
        <w:topLinePunct w:val="0"/>
        <w:autoSpaceDE/>
        <w:autoSpaceDN/>
        <w:bidi w:val="0"/>
        <w:spacing w:line="360" w:lineRule="auto"/>
        <w:ind w:left="0" w:leftChars="0" w:right="0" w:rightChars="0" w:firstLine="420" w:firstLineChars="200"/>
        <w:jc w:val="left"/>
        <w:rPr>
          <w:rFonts w:hint="eastAsia" w:ascii="宋体" w:hAnsi="宋体" w:eastAsia="宋体" w:cs="宋体"/>
          <w:color w:val="auto"/>
          <w:kern w:val="0"/>
          <w:szCs w:val="21"/>
          <w:highlight w:val="none"/>
        </w:rPr>
      </w:pP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ageBreakBefore w:val="0"/>
        <w:widowControl w:val="0"/>
        <w:kinsoku/>
        <w:wordWrap/>
        <w:overflowPunct/>
        <w:topLinePunct w:val="0"/>
        <w:autoSpaceDE/>
        <w:autoSpaceDN/>
        <w:bidi w:val="0"/>
        <w:spacing w:line="360" w:lineRule="auto"/>
        <w:ind w:left="0" w:leftChars="0" w:right="0" w:rightChars="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cs="宋体"/>
          <w:b/>
          <w:color w:val="auto"/>
          <w:szCs w:val="21"/>
          <w:highlight w:val="none"/>
          <w:lang w:val="en-US" w:eastAsia="zh-CN"/>
        </w:rPr>
        <w:t>9</w:t>
      </w:r>
      <w:r>
        <w:rPr>
          <w:rFonts w:hint="eastAsia" w:ascii="宋体" w:hAnsi="宋体" w:eastAsia="宋体" w:cs="宋体"/>
          <w:b/>
          <w:color w:val="auto"/>
          <w:szCs w:val="21"/>
          <w:highlight w:val="none"/>
        </w:rPr>
        <w:t>.资格条件自查表格式</w:t>
      </w:r>
    </w:p>
    <w:p>
      <w:pPr>
        <w:pageBreakBefore w:val="0"/>
        <w:widowControl w:val="0"/>
        <w:kinsoku/>
        <w:wordWrap/>
        <w:overflowPunct/>
        <w:topLinePunct w:val="0"/>
        <w:autoSpaceDE/>
        <w:autoSpaceDN/>
        <w:bidi w:val="0"/>
        <w:spacing w:line="360" w:lineRule="auto"/>
        <w:ind w:left="0" w:leftChars="0" w:right="0" w:rightChars="0"/>
        <w:rPr>
          <w:rFonts w:hint="eastAsia" w:ascii="宋体" w:hAnsi="宋体" w:eastAsia="宋体" w:cs="宋体"/>
          <w:b/>
          <w:color w:val="auto"/>
          <w:szCs w:val="21"/>
          <w:highlight w:val="none"/>
        </w:rPr>
      </w:pPr>
    </w:p>
    <w:p>
      <w:pPr>
        <w:pageBreakBefore w:val="0"/>
        <w:widowControl w:val="0"/>
        <w:kinsoku/>
        <w:wordWrap/>
        <w:overflowPunct/>
        <w:topLinePunct w:val="0"/>
        <w:autoSpaceDE/>
        <w:autoSpaceDN/>
        <w:bidi w:val="0"/>
        <w:adjustRightInd w:val="0"/>
        <w:snapToGrid w:val="0"/>
        <w:spacing w:line="360" w:lineRule="auto"/>
        <w:ind w:left="0" w:leftChars="0" w:right="0"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资格条件自查表</w:t>
      </w:r>
    </w:p>
    <w:tbl>
      <w:tblPr>
        <w:tblStyle w:val="20"/>
        <w:tblW w:w="99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6236"/>
        <w:gridCol w:w="1247"/>
        <w:gridCol w:w="12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noWrap w:val="0"/>
            <w:vAlign w:val="center"/>
          </w:tcPr>
          <w:p>
            <w:pPr>
              <w:pageBreakBefore w:val="0"/>
              <w:widowControl w:val="0"/>
              <w:kinsoku/>
              <w:wordWrap/>
              <w:overflowPunct/>
              <w:topLinePunct w:val="0"/>
              <w:autoSpaceDE/>
              <w:autoSpaceDN/>
              <w:bidi w:val="0"/>
              <w:ind w:left="0" w:leftChars="0" w:right="0" w:right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评审内容</w:t>
            </w:r>
          </w:p>
        </w:tc>
        <w:tc>
          <w:tcPr>
            <w:tcW w:w="6236" w:type="dxa"/>
            <w:noWrap w:val="0"/>
            <w:vAlign w:val="center"/>
          </w:tcPr>
          <w:p>
            <w:pPr>
              <w:pageBreakBefore w:val="0"/>
              <w:widowControl w:val="0"/>
              <w:kinsoku/>
              <w:wordWrap/>
              <w:overflowPunct/>
              <w:topLinePunct w:val="0"/>
              <w:autoSpaceDE/>
              <w:autoSpaceDN/>
              <w:bidi w:val="0"/>
              <w:ind w:left="0" w:leftChars="0" w:right="0" w:rightChars="0"/>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采购文件要求</w:t>
            </w:r>
          </w:p>
        </w:tc>
        <w:tc>
          <w:tcPr>
            <w:tcW w:w="1247" w:type="dxa"/>
            <w:noWrap w:val="0"/>
            <w:vAlign w:val="center"/>
          </w:tcPr>
          <w:p>
            <w:pPr>
              <w:pageBreakBefore w:val="0"/>
              <w:widowControl w:val="0"/>
              <w:kinsoku/>
              <w:wordWrap/>
              <w:overflowPunct/>
              <w:topLinePunct w:val="0"/>
              <w:autoSpaceDE/>
              <w:autoSpaceDN/>
              <w:bidi w:val="0"/>
              <w:ind w:left="0" w:leftChars="0" w:right="0" w:rightChars="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自查结论</w:t>
            </w:r>
          </w:p>
        </w:tc>
        <w:tc>
          <w:tcPr>
            <w:tcW w:w="1247" w:type="dxa"/>
            <w:noWrap w:val="0"/>
            <w:vAlign w:val="center"/>
          </w:tcPr>
          <w:p>
            <w:pPr>
              <w:pageBreakBefore w:val="0"/>
              <w:widowControl w:val="0"/>
              <w:kinsoku/>
              <w:wordWrap/>
              <w:overflowPunct/>
              <w:topLinePunct w:val="0"/>
              <w:autoSpaceDE/>
              <w:autoSpaceDN/>
              <w:bidi w:val="0"/>
              <w:ind w:left="0" w:leftChars="0" w:right="0" w:rightChars="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证明资料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Merge w:val="restart"/>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w:t>
            </w:r>
          </w:p>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w:t>
            </w:r>
          </w:p>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w:t>
            </w:r>
          </w:p>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p>
        </w:tc>
        <w:tc>
          <w:tcPr>
            <w:tcW w:w="6236" w:type="dxa"/>
            <w:noWrap w:val="0"/>
            <w:vAlign w:val="center"/>
          </w:tcPr>
          <w:p>
            <w:pPr>
              <w:keepNext w:val="0"/>
              <w:keepLines w:val="0"/>
              <w:pageBreakBefore w:val="0"/>
              <w:widowControl w:val="0"/>
              <w:suppressLineNumbers w:val="0"/>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1、投标人的营业执照副本复印件</w:t>
            </w:r>
          </w:p>
        </w:tc>
        <w:tc>
          <w:tcPr>
            <w:tcW w:w="1247" w:type="dxa"/>
            <w:noWrap w:val="0"/>
            <w:vAlign w:val="center"/>
          </w:tcPr>
          <w:p>
            <w:pPr>
              <w:pageBreakBefore w:val="0"/>
              <w:widowControl w:val="0"/>
              <w:kinsoku/>
              <w:wordWrap/>
              <w:overflowPunct/>
              <w:topLinePunct w:val="0"/>
              <w:autoSpaceDE/>
              <w:autoSpaceDN/>
              <w:bidi w:val="0"/>
              <w:ind w:left="0" w:leftChars="0" w:right="0" w:rightChars="0"/>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□通过</w:t>
            </w:r>
          </w:p>
          <w:p>
            <w:pPr>
              <w:pageBreakBefore w:val="0"/>
              <w:widowControl w:val="0"/>
              <w:kinsoku/>
              <w:wordWrap/>
              <w:overflowPunct/>
              <w:topLinePunct w:val="0"/>
              <w:autoSpaceDE/>
              <w:autoSpaceDN/>
              <w:bidi w:val="0"/>
              <w:ind w:left="0" w:leftChars="0" w:right="0" w:rightChars="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□不通过</w:t>
            </w:r>
          </w:p>
        </w:tc>
        <w:tc>
          <w:tcPr>
            <w:tcW w:w="1247" w:type="dxa"/>
            <w:noWrap w:val="0"/>
            <w:vAlign w:val="center"/>
          </w:tcPr>
          <w:p>
            <w:pPr>
              <w:pageBreakBefore w:val="0"/>
              <w:widowControl w:val="0"/>
              <w:kinsoku/>
              <w:wordWrap/>
              <w:overflowPunct/>
              <w:topLinePunct w:val="0"/>
              <w:autoSpaceDE/>
              <w:autoSpaceDN/>
              <w:bidi w:val="0"/>
              <w:ind w:left="0" w:leftChars="0" w:right="0" w:rightChars="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Merge w:val="continue"/>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6236" w:type="dxa"/>
            <w:noWrap w:val="0"/>
            <w:vAlign w:val="center"/>
          </w:tcPr>
          <w:p>
            <w:pPr>
              <w:keepNext w:val="0"/>
              <w:keepLines w:val="0"/>
              <w:pageBreakBefore w:val="0"/>
              <w:widowControl w:val="0"/>
              <w:suppressLineNumbers w:val="0"/>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rPr>
            </w:pPr>
            <w:r>
              <w:rPr>
                <w:rFonts w:hint="eastAsia" w:ascii="宋体" w:hAnsi="宋体" w:eastAsia="宋体" w:cs="宋体"/>
                <w:i w:val="0"/>
                <w:color w:val="auto"/>
                <w:kern w:val="0"/>
                <w:sz w:val="21"/>
                <w:szCs w:val="21"/>
                <w:highlight w:val="none"/>
                <w:u w:val="none"/>
                <w:lang w:val="en-US" w:eastAsia="zh-CN" w:bidi="ar"/>
              </w:rPr>
              <w:t>2、书面声明（参考投标文件格式相关内容）</w:t>
            </w:r>
          </w:p>
        </w:tc>
        <w:tc>
          <w:tcPr>
            <w:tcW w:w="1247" w:type="dxa"/>
            <w:noWrap w:val="0"/>
            <w:vAlign w:val="center"/>
          </w:tcPr>
          <w:p>
            <w:pPr>
              <w:pageBreakBefore w:val="0"/>
              <w:widowControl w:val="0"/>
              <w:kinsoku/>
              <w:wordWrap/>
              <w:overflowPunct/>
              <w:topLinePunct w:val="0"/>
              <w:autoSpaceDE/>
              <w:autoSpaceDN/>
              <w:bidi w:val="0"/>
              <w:ind w:left="0" w:leftChars="0" w:right="0" w:rightChars="0"/>
              <w:jc w:val="left"/>
              <w:textAlignment w:val="center"/>
              <w:rPr>
                <w:rFonts w:hint="eastAsia"/>
                <w:color w:val="auto"/>
                <w:highlight w:val="none"/>
              </w:rPr>
            </w:pPr>
            <w:r>
              <w:rPr>
                <w:rFonts w:hint="eastAsia"/>
                <w:color w:val="auto"/>
                <w:highlight w:val="none"/>
              </w:rPr>
              <w:t>□通过</w:t>
            </w:r>
          </w:p>
          <w:p>
            <w:pPr>
              <w:pageBreakBefore w:val="0"/>
              <w:widowControl w:val="0"/>
              <w:kinsoku/>
              <w:wordWrap/>
              <w:overflowPunct/>
              <w:topLinePunct w:val="0"/>
              <w:autoSpaceDE/>
              <w:autoSpaceDN/>
              <w:bidi w:val="0"/>
              <w:ind w:left="0" w:leftChars="0" w:right="0" w:rightChars="0"/>
              <w:jc w:val="left"/>
              <w:textAlignment w:val="center"/>
              <w:rPr>
                <w:rFonts w:hint="eastAsia" w:ascii="宋体" w:hAnsi="宋体" w:eastAsia="宋体" w:cs="宋体"/>
                <w:color w:val="auto"/>
                <w:kern w:val="0"/>
                <w:szCs w:val="21"/>
                <w:highlight w:val="none"/>
                <w:lang w:bidi="ar"/>
              </w:rPr>
            </w:pPr>
            <w:r>
              <w:rPr>
                <w:rFonts w:hint="eastAsia"/>
                <w:color w:val="auto"/>
                <w:highlight w:val="none"/>
              </w:rPr>
              <w:t>□不通过</w:t>
            </w:r>
          </w:p>
        </w:tc>
        <w:tc>
          <w:tcPr>
            <w:tcW w:w="1247" w:type="dxa"/>
            <w:noWrap w:val="0"/>
            <w:vAlign w:val="center"/>
          </w:tcPr>
          <w:p>
            <w:pPr>
              <w:pageBreakBefore w:val="0"/>
              <w:widowControl w:val="0"/>
              <w:kinsoku/>
              <w:wordWrap/>
              <w:overflowPunct/>
              <w:topLinePunct w:val="0"/>
              <w:autoSpaceDE/>
              <w:autoSpaceDN/>
              <w:bidi w:val="0"/>
              <w:ind w:left="0" w:leftChars="0" w:right="0" w:rightChars="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Merge w:val="continue"/>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6236" w:type="dxa"/>
            <w:noWrap w:val="0"/>
            <w:vAlign w:val="center"/>
          </w:tcPr>
          <w:p>
            <w:pPr>
              <w:pageBreakBefore w:val="0"/>
              <w:widowControl w:val="0"/>
              <w:kinsoku/>
              <w:wordWrap/>
              <w:overflowPunct/>
              <w:topLinePunct w:val="0"/>
              <w:autoSpaceDE/>
              <w:autoSpaceDN/>
              <w:bidi w:val="0"/>
              <w:ind w:left="0" w:leftChars="0" w:right="0" w:rightChars="0"/>
              <w:jc w:val="left"/>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color w:val="auto"/>
                <w:kern w:val="0"/>
                <w:szCs w:val="21"/>
                <w:highlight w:val="none"/>
                <w:lang w:val="en-US" w:eastAsia="zh-CN" w:bidi="ar"/>
              </w:rPr>
              <w:t>3、</w:t>
            </w:r>
            <w:r>
              <w:rPr>
                <w:rFonts w:hint="eastAsia" w:ascii="宋体" w:hAnsi="宋体" w:cs="宋体"/>
                <w:szCs w:val="21"/>
                <w:highlight w:val="none"/>
              </w:rPr>
              <w:t>具有省级自然资源主管部门出具的土地估价机构备案证明且在有效期内。</w:t>
            </w:r>
          </w:p>
        </w:tc>
        <w:tc>
          <w:tcPr>
            <w:tcW w:w="1247" w:type="dxa"/>
            <w:noWrap w:val="0"/>
            <w:vAlign w:val="center"/>
          </w:tcPr>
          <w:p>
            <w:pPr>
              <w:pageBreakBefore w:val="0"/>
              <w:widowControl w:val="0"/>
              <w:kinsoku/>
              <w:wordWrap/>
              <w:overflowPunct/>
              <w:topLinePunct w:val="0"/>
              <w:autoSpaceDE/>
              <w:autoSpaceDN/>
              <w:bidi w:val="0"/>
              <w:ind w:left="0" w:leftChars="0" w:right="0" w:rightChars="0"/>
              <w:jc w:val="left"/>
              <w:textAlignment w:val="center"/>
              <w:rPr>
                <w:rFonts w:hint="eastAsia"/>
                <w:color w:val="auto"/>
                <w:highlight w:val="none"/>
              </w:rPr>
            </w:pPr>
          </w:p>
        </w:tc>
        <w:tc>
          <w:tcPr>
            <w:tcW w:w="1247" w:type="dxa"/>
            <w:noWrap w:val="0"/>
            <w:vAlign w:val="center"/>
          </w:tcPr>
          <w:p>
            <w:pPr>
              <w:pageBreakBefore w:val="0"/>
              <w:widowControl w:val="0"/>
              <w:kinsoku/>
              <w:wordWrap/>
              <w:overflowPunct/>
              <w:topLinePunct w:val="0"/>
              <w:autoSpaceDE/>
              <w:autoSpaceDN/>
              <w:bidi w:val="0"/>
              <w:ind w:left="0" w:leftChars="0" w:right="0" w:rightChars="0"/>
              <w:jc w:val="center"/>
              <w:textAlignment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Merge w:val="continue"/>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6236" w:type="dxa"/>
            <w:noWrap w:val="0"/>
            <w:vAlign w:val="center"/>
          </w:tcPr>
          <w:p>
            <w:pPr>
              <w:widowControl/>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4、①中小企业声明函（如是，请提供。格式见附件）；</w:t>
            </w:r>
          </w:p>
          <w:p>
            <w:pPr>
              <w:widowControl/>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或②供应商为监狱企业的证明文件：省级以上监狱管理局、戒毒管理局（含新疆生产建设兵团）出具（如是，请提供。格式自拟）；</w:t>
            </w:r>
          </w:p>
          <w:p>
            <w:pPr>
              <w:pageBreakBefore w:val="0"/>
              <w:widowControl w:val="0"/>
              <w:kinsoku/>
              <w:wordWrap/>
              <w:overflowPunct/>
              <w:topLinePunct w:val="0"/>
              <w:autoSpaceDE/>
              <w:autoSpaceDN/>
              <w:bidi w:val="0"/>
              <w:ind w:left="0" w:leftChars="0" w:right="0" w:rightChars="0"/>
              <w:jc w:val="left"/>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color w:val="000000"/>
                <w:kern w:val="0"/>
                <w:szCs w:val="21"/>
                <w:highlight w:val="none"/>
                <w:lang w:val="en-US" w:eastAsia="zh-CN" w:bidi="ar"/>
              </w:rPr>
              <w:t>或③残疾人福利性单位声明函（如是，请提供。格式见附件）。</w:t>
            </w:r>
          </w:p>
        </w:tc>
        <w:tc>
          <w:tcPr>
            <w:tcW w:w="1247" w:type="dxa"/>
            <w:noWrap w:val="0"/>
            <w:vAlign w:val="center"/>
          </w:tcPr>
          <w:p>
            <w:pPr>
              <w:pageBreakBefore w:val="0"/>
              <w:widowControl w:val="0"/>
              <w:kinsoku/>
              <w:wordWrap/>
              <w:overflowPunct/>
              <w:topLinePunct w:val="0"/>
              <w:autoSpaceDE/>
              <w:autoSpaceDN/>
              <w:bidi w:val="0"/>
              <w:ind w:left="0" w:leftChars="0" w:right="0" w:rightChars="0"/>
              <w:jc w:val="left"/>
              <w:textAlignment w:val="center"/>
              <w:rPr>
                <w:rFonts w:hint="eastAsia"/>
                <w:color w:val="auto"/>
                <w:highlight w:val="none"/>
              </w:rPr>
            </w:pPr>
          </w:p>
        </w:tc>
        <w:tc>
          <w:tcPr>
            <w:tcW w:w="1247" w:type="dxa"/>
            <w:noWrap w:val="0"/>
            <w:vAlign w:val="center"/>
          </w:tcPr>
          <w:p>
            <w:pPr>
              <w:pageBreakBefore w:val="0"/>
              <w:widowControl w:val="0"/>
              <w:kinsoku/>
              <w:wordWrap/>
              <w:overflowPunct/>
              <w:topLinePunct w:val="0"/>
              <w:autoSpaceDE/>
              <w:autoSpaceDN/>
              <w:bidi w:val="0"/>
              <w:ind w:left="0" w:leftChars="0" w:right="0" w:rightChars="0"/>
              <w:jc w:val="center"/>
              <w:textAlignment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Merge w:val="continue"/>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6236" w:type="dxa"/>
            <w:noWrap w:val="0"/>
            <w:vAlign w:val="center"/>
          </w:tcPr>
          <w:p>
            <w:pPr>
              <w:pageBreakBefore w:val="0"/>
              <w:widowControl w:val="0"/>
              <w:kinsoku/>
              <w:wordWrap/>
              <w:overflowPunct/>
              <w:topLinePunct w:val="0"/>
              <w:autoSpaceDE/>
              <w:autoSpaceDN/>
              <w:bidi w:val="0"/>
              <w:ind w:left="0" w:leftChars="0" w:right="0" w:rightChars="0"/>
              <w:jc w:val="left"/>
              <w:textAlignment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投标人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247" w:type="dxa"/>
            <w:noWrap w:val="0"/>
            <w:vAlign w:val="center"/>
          </w:tcPr>
          <w:p>
            <w:pPr>
              <w:pageBreakBefore w:val="0"/>
              <w:widowControl w:val="0"/>
              <w:kinsoku/>
              <w:wordWrap/>
              <w:overflowPunct/>
              <w:topLinePunct w:val="0"/>
              <w:autoSpaceDE/>
              <w:autoSpaceDN/>
              <w:bidi w:val="0"/>
              <w:ind w:left="0" w:leftChars="0" w:right="0" w:rightChars="0"/>
              <w:jc w:val="left"/>
              <w:textAlignment w:val="center"/>
              <w:rPr>
                <w:rFonts w:hint="eastAsia"/>
                <w:color w:val="auto"/>
                <w:highlight w:val="none"/>
              </w:rPr>
            </w:pPr>
            <w:r>
              <w:rPr>
                <w:rFonts w:hint="eastAsia"/>
                <w:color w:val="auto"/>
                <w:highlight w:val="none"/>
              </w:rPr>
              <w:t>□通过</w:t>
            </w:r>
          </w:p>
          <w:p>
            <w:pPr>
              <w:pageBreakBefore w:val="0"/>
              <w:widowControl w:val="0"/>
              <w:kinsoku/>
              <w:wordWrap/>
              <w:overflowPunct/>
              <w:topLinePunct w:val="0"/>
              <w:autoSpaceDE/>
              <w:autoSpaceDN/>
              <w:bidi w:val="0"/>
              <w:ind w:left="0" w:leftChars="0" w:right="0" w:rightChars="0"/>
              <w:jc w:val="left"/>
              <w:textAlignment w:val="center"/>
              <w:rPr>
                <w:rFonts w:hint="eastAsia" w:ascii="宋体" w:hAnsi="宋体" w:eastAsia="宋体" w:cs="宋体"/>
                <w:color w:val="auto"/>
                <w:kern w:val="0"/>
                <w:szCs w:val="21"/>
                <w:highlight w:val="none"/>
                <w:lang w:bidi="ar"/>
              </w:rPr>
            </w:pPr>
            <w:r>
              <w:rPr>
                <w:rFonts w:hint="eastAsia"/>
                <w:color w:val="auto"/>
                <w:highlight w:val="none"/>
              </w:rPr>
              <w:t>□不通过</w:t>
            </w:r>
          </w:p>
        </w:tc>
        <w:tc>
          <w:tcPr>
            <w:tcW w:w="1247" w:type="dxa"/>
            <w:noWrap w:val="0"/>
            <w:vAlign w:val="center"/>
          </w:tcPr>
          <w:p>
            <w:pPr>
              <w:pageBreakBefore w:val="0"/>
              <w:widowControl w:val="0"/>
              <w:kinsoku/>
              <w:wordWrap/>
              <w:overflowPunct/>
              <w:topLinePunct w:val="0"/>
              <w:autoSpaceDE/>
              <w:autoSpaceDN/>
              <w:bidi w:val="0"/>
              <w:ind w:left="0" w:leftChars="0" w:right="0" w:rightChars="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Merge w:val="continue"/>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6236" w:type="dxa"/>
            <w:noWrap w:val="0"/>
            <w:vAlign w:val="center"/>
          </w:tcPr>
          <w:p>
            <w:pPr>
              <w:pageBreakBefore w:val="0"/>
              <w:widowControl w:val="0"/>
              <w:kinsoku/>
              <w:wordWrap/>
              <w:overflowPunct/>
              <w:topLinePunct w:val="0"/>
              <w:autoSpaceDE/>
              <w:autoSpaceDN/>
              <w:bidi w:val="0"/>
              <w:ind w:left="0" w:leftChars="0" w:right="0" w:rightChars="0"/>
              <w:jc w:val="left"/>
              <w:textAlignment w:val="center"/>
              <w:rPr>
                <w:rFonts w:hint="eastAsia" w:ascii="宋体" w:hAnsi="宋体" w:eastAsia="宋体" w:cs="宋体"/>
                <w:color w:val="auto"/>
                <w:kern w:val="0"/>
                <w:szCs w:val="21"/>
                <w:highlight w:val="none"/>
                <w:lang w:bidi="ar"/>
              </w:rPr>
            </w:pPr>
            <w:r>
              <w:rPr>
                <w:rFonts w:hint="eastAsia" w:ascii="宋体" w:hAnsi="宋体" w:cs="宋体"/>
                <w:color w:val="auto"/>
                <w:kern w:val="0"/>
                <w:szCs w:val="21"/>
                <w:highlight w:val="none"/>
                <w:lang w:val="en-US" w:eastAsia="zh-CN" w:bidi="ar"/>
              </w:rPr>
              <w:t>6</w:t>
            </w:r>
            <w:r>
              <w:rPr>
                <w:rFonts w:hint="eastAsia" w:ascii="宋体" w:hAnsi="宋体" w:eastAsia="宋体" w:cs="宋体"/>
                <w:color w:val="auto"/>
                <w:kern w:val="0"/>
                <w:szCs w:val="21"/>
                <w:highlight w:val="none"/>
                <w:lang w:bidi="ar"/>
              </w:rPr>
              <w:t>、本项目接受联合体投标，实行资格后审</w:t>
            </w:r>
          </w:p>
        </w:tc>
        <w:tc>
          <w:tcPr>
            <w:tcW w:w="1247" w:type="dxa"/>
            <w:noWrap w:val="0"/>
            <w:vAlign w:val="center"/>
          </w:tcPr>
          <w:p>
            <w:pPr>
              <w:pageBreakBefore w:val="0"/>
              <w:widowControl w:val="0"/>
              <w:kinsoku/>
              <w:wordWrap/>
              <w:overflowPunct/>
              <w:topLinePunct w:val="0"/>
              <w:autoSpaceDE/>
              <w:autoSpaceDN/>
              <w:bidi w:val="0"/>
              <w:ind w:left="0" w:leftChars="0" w:right="0" w:rightChars="0"/>
              <w:jc w:val="left"/>
              <w:textAlignment w:val="center"/>
              <w:rPr>
                <w:rFonts w:hint="eastAsia"/>
                <w:color w:val="auto"/>
                <w:highlight w:val="none"/>
              </w:rPr>
            </w:pPr>
            <w:r>
              <w:rPr>
                <w:rFonts w:hint="eastAsia"/>
                <w:color w:val="auto"/>
                <w:highlight w:val="none"/>
              </w:rPr>
              <w:t>□通过</w:t>
            </w:r>
          </w:p>
          <w:p>
            <w:pPr>
              <w:pageBreakBefore w:val="0"/>
              <w:widowControl w:val="0"/>
              <w:kinsoku/>
              <w:wordWrap/>
              <w:overflowPunct/>
              <w:topLinePunct w:val="0"/>
              <w:autoSpaceDE/>
              <w:autoSpaceDN/>
              <w:bidi w:val="0"/>
              <w:ind w:left="0" w:leftChars="0" w:right="0" w:rightChars="0"/>
              <w:jc w:val="left"/>
              <w:textAlignment w:val="center"/>
              <w:rPr>
                <w:rFonts w:hint="eastAsia" w:ascii="宋体" w:hAnsi="宋体" w:eastAsia="宋体" w:cs="宋体"/>
                <w:color w:val="auto"/>
                <w:highlight w:val="none"/>
              </w:rPr>
            </w:pPr>
            <w:r>
              <w:rPr>
                <w:rFonts w:hint="eastAsia"/>
                <w:color w:val="auto"/>
                <w:highlight w:val="none"/>
              </w:rPr>
              <w:t>□不通过</w:t>
            </w:r>
          </w:p>
        </w:tc>
        <w:tc>
          <w:tcPr>
            <w:tcW w:w="1247" w:type="dxa"/>
            <w:noWrap w:val="0"/>
            <w:vAlign w:val="center"/>
          </w:tcPr>
          <w:p>
            <w:pPr>
              <w:pageBreakBefore w:val="0"/>
              <w:widowControl w:val="0"/>
              <w:kinsoku/>
              <w:wordWrap/>
              <w:overflowPunct/>
              <w:topLinePunct w:val="0"/>
              <w:autoSpaceDE/>
              <w:autoSpaceDN/>
              <w:bidi w:val="0"/>
              <w:ind w:left="0" w:leftChars="0" w:right="0" w:rightChars="0"/>
              <w:jc w:val="center"/>
              <w:textAlignment w:val="center"/>
              <w:rPr>
                <w:rFonts w:hint="eastAsia" w:ascii="宋体" w:hAnsi="宋体" w:eastAsia="宋体" w:cs="宋体"/>
                <w:color w:val="auto"/>
                <w:highlight w:val="none"/>
              </w:rPr>
            </w:pPr>
            <w:r>
              <w:rPr>
                <w:rFonts w:hint="eastAsia" w:ascii="Calibri" w:hAnsi="Calibri" w:eastAsia="宋体" w:cs="Times New Roman"/>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vMerge w:val="continue"/>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6236" w:type="dxa"/>
            <w:noWrap w:val="0"/>
            <w:vAlign w:val="center"/>
          </w:tcPr>
          <w:p>
            <w:pPr>
              <w:pageBreakBefore w:val="0"/>
              <w:widowControl w:val="0"/>
              <w:kinsoku/>
              <w:wordWrap/>
              <w:overflowPunct/>
              <w:topLinePunct w:val="0"/>
              <w:autoSpaceDE/>
              <w:autoSpaceDN/>
              <w:bidi w:val="0"/>
              <w:ind w:left="0" w:leftChars="0" w:right="0" w:rightChars="0"/>
              <w:jc w:val="left"/>
              <w:textAlignment w:val="center"/>
              <w:rPr>
                <w:rFonts w:hint="eastAsia" w:ascii="宋体" w:hAnsi="宋体" w:eastAsia="宋体" w:cs="宋体"/>
                <w:color w:val="auto"/>
                <w:kern w:val="0"/>
                <w:szCs w:val="21"/>
                <w:highlight w:val="none"/>
                <w:lang w:bidi="ar"/>
              </w:rPr>
            </w:pPr>
            <w:r>
              <w:rPr>
                <w:rFonts w:hint="eastAsia" w:ascii="宋体" w:hAnsi="宋体" w:cs="宋体"/>
                <w:color w:val="auto"/>
                <w:kern w:val="0"/>
                <w:szCs w:val="21"/>
                <w:highlight w:val="none"/>
                <w:lang w:val="en-US" w:eastAsia="zh-CN" w:bidi="ar"/>
              </w:rPr>
              <w:t>7</w:t>
            </w:r>
            <w:r>
              <w:rPr>
                <w:rFonts w:hint="eastAsia" w:ascii="宋体" w:hAnsi="宋体" w:eastAsia="宋体" w:cs="宋体"/>
                <w:color w:val="auto"/>
                <w:kern w:val="0"/>
                <w:szCs w:val="21"/>
                <w:highlight w:val="none"/>
                <w:lang w:bidi="ar"/>
              </w:rPr>
              <w:t>、招标文件规定的其他资格条件（如有）</w:t>
            </w:r>
          </w:p>
        </w:tc>
        <w:tc>
          <w:tcPr>
            <w:tcW w:w="1247" w:type="dxa"/>
            <w:noWrap w:val="0"/>
            <w:vAlign w:val="center"/>
          </w:tcPr>
          <w:p>
            <w:pPr>
              <w:pageBreakBefore w:val="0"/>
              <w:widowControl w:val="0"/>
              <w:kinsoku/>
              <w:wordWrap/>
              <w:overflowPunct/>
              <w:topLinePunct w:val="0"/>
              <w:autoSpaceDE/>
              <w:autoSpaceDN/>
              <w:bidi w:val="0"/>
              <w:ind w:left="0" w:leftChars="0" w:right="0" w:rightChars="0"/>
              <w:jc w:val="left"/>
              <w:textAlignment w:val="center"/>
              <w:rPr>
                <w:rFonts w:hint="eastAsia"/>
                <w:color w:val="auto"/>
                <w:highlight w:val="none"/>
              </w:rPr>
            </w:pPr>
            <w:r>
              <w:rPr>
                <w:rFonts w:hint="eastAsia"/>
                <w:color w:val="auto"/>
                <w:highlight w:val="none"/>
              </w:rPr>
              <w:t>□通过</w:t>
            </w:r>
          </w:p>
          <w:p>
            <w:pPr>
              <w:pageBreakBefore w:val="0"/>
              <w:widowControl w:val="0"/>
              <w:kinsoku/>
              <w:wordWrap/>
              <w:overflowPunct/>
              <w:topLinePunct w:val="0"/>
              <w:autoSpaceDE/>
              <w:autoSpaceDN/>
              <w:bidi w:val="0"/>
              <w:ind w:left="0" w:leftChars="0" w:right="0" w:rightChars="0"/>
              <w:jc w:val="left"/>
              <w:textAlignment w:val="center"/>
              <w:rPr>
                <w:rFonts w:hint="eastAsia" w:ascii="宋体" w:hAnsi="宋体" w:eastAsia="宋体" w:cs="宋体"/>
                <w:color w:val="auto"/>
                <w:highlight w:val="none"/>
              </w:rPr>
            </w:pPr>
            <w:r>
              <w:rPr>
                <w:rFonts w:hint="eastAsia"/>
                <w:color w:val="auto"/>
                <w:highlight w:val="none"/>
              </w:rPr>
              <w:t>□不通过</w:t>
            </w:r>
          </w:p>
        </w:tc>
        <w:tc>
          <w:tcPr>
            <w:tcW w:w="1247" w:type="dxa"/>
            <w:noWrap w:val="0"/>
            <w:vAlign w:val="center"/>
          </w:tcPr>
          <w:p>
            <w:pPr>
              <w:pageBreakBefore w:val="0"/>
              <w:widowControl w:val="0"/>
              <w:kinsoku/>
              <w:wordWrap/>
              <w:overflowPunct/>
              <w:topLinePunct w:val="0"/>
              <w:autoSpaceDE/>
              <w:autoSpaceDN/>
              <w:bidi w:val="0"/>
              <w:ind w:left="0" w:leftChars="0" w:right="0" w:rightChars="0"/>
              <w:jc w:val="center"/>
              <w:textAlignment w:val="center"/>
              <w:rPr>
                <w:rFonts w:hint="eastAsia" w:ascii="宋体" w:hAnsi="宋体" w:eastAsia="宋体" w:cs="宋体"/>
                <w:color w:val="auto"/>
                <w:highlight w:val="none"/>
              </w:rPr>
            </w:pPr>
            <w:r>
              <w:rPr>
                <w:rFonts w:hint="eastAsia" w:ascii="Calibri" w:hAnsi="Calibri" w:eastAsia="宋体" w:cs="Times New Roman"/>
                <w:color w:val="auto"/>
                <w:highlight w:val="none"/>
              </w:rPr>
              <w:t>第（ ）页</w:t>
            </w:r>
          </w:p>
        </w:tc>
      </w:tr>
    </w:tbl>
    <w:p>
      <w:pPr>
        <w:pStyle w:val="2"/>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pPr>
        <w:pageBreakBefore w:val="0"/>
        <w:widowControl w:val="0"/>
        <w:kinsoku/>
        <w:wordWrap/>
        <w:overflowPunct/>
        <w:topLinePunct w:val="0"/>
        <w:autoSpaceDE/>
        <w:autoSpaceDN/>
        <w:bidi w:val="0"/>
        <w:snapToGrid w:val="0"/>
        <w:spacing w:before="50" w:after="50" w:line="360" w:lineRule="auto"/>
        <w:ind w:left="130" w:leftChars="0" w:right="0" w:rightChars="0" w:hanging="130" w:hangingChars="62"/>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日期：    年   月   日</w:t>
      </w:r>
      <w:r>
        <w:rPr>
          <w:rFonts w:hint="eastAsia" w:ascii="宋体" w:hAnsi="宋体" w:eastAsia="宋体" w:cs="宋体"/>
          <w:b/>
          <w:color w:val="auto"/>
          <w:szCs w:val="21"/>
          <w:highlight w:val="none"/>
        </w:rPr>
        <w:br w:type="page"/>
      </w:r>
      <w:r>
        <w:rPr>
          <w:rFonts w:hint="eastAsia" w:ascii="宋体" w:hAnsi="宋体" w:cs="宋体"/>
          <w:b/>
          <w:color w:val="auto"/>
          <w:szCs w:val="21"/>
          <w:highlight w:val="none"/>
          <w:lang w:val="en-US" w:eastAsia="zh-CN"/>
        </w:rPr>
        <w:t>10</w:t>
      </w:r>
      <w:r>
        <w:rPr>
          <w:rFonts w:hint="eastAsia" w:ascii="宋体" w:hAnsi="宋体" w:eastAsia="宋体" w:cs="宋体"/>
          <w:b/>
          <w:color w:val="auto"/>
          <w:szCs w:val="21"/>
          <w:highlight w:val="none"/>
        </w:rPr>
        <w:t>.符合性自查表格式</w:t>
      </w:r>
    </w:p>
    <w:p>
      <w:pPr>
        <w:pStyle w:val="26"/>
        <w:spacing w:line="360" w:lineRule="auto"/>
        <w:ind w:left="0" w:leftChars="0" w:firstLine="0" w:firstLineChars="0"/>
        <w:rPr>
          <w:rFonts w:hint="eastAsia"/>
          <w:color w:val="auto"/>
          <w:highlight w:val="none"/>
        </w:rPr>
      </w:pPr>
    </w:p>
    <w:p>
      <w:pPr>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highlight w:val="none"/>
        </w:rPr>
      </w:pPr>
      <w:r>
        <w:rPr>
          <w:rFonts w:hint="eastAsia" w:ascii="宋体" w:hAnsi="宋体" w:eastAsia="宋体" w:cs="宋体"/>
          <w:b/>
          <w:color w:val="auto"/>
          <w:highlight w:val="none"/>
        </w:rPr>
        <w:t>符合性自查表</w:t>
      </w:r>
    </w:p>
    <w:tbl>
      <w:tblPr>
        <w:tblStyle w:val="20"/>
        <w:tblW w:w="98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526"/>
        <w:gridCol w:w="5736"/>
        <w:gridCol w:w="1181"/>
        <w:gridCol w:w="1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800" w:type="dxa"/>
            <w:gridSpan w:val="2"/>
            <w:noWrap w:val="0"/>
            <w:vAlign w:val="center"/>
          </w:tcPr>
          <w:p>
            <w:pPr>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审查类别</w:t>
            </w:r>
          </w:p>
        </w:tc>
        <w:tc>
          <w:tcPr>
            <w:tcW w:w="5736" w:type="dxa"/>
            <w:noWrap w:val="0"/>
            <w:vAlign w:val="center"/>
          </w:tcPr>
          <w:p>
            <w:pPr>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审查内容</w:t>
            </w:r>
          </w:p>
        </w:tc>
        <w:tc>
          <w:tcPr>
            <w:tcW w:w="1181" w:type="dxa"/>
            <w:noWrap w:val="0"/>
            <w:vAlign w:val="center"/>
          </w:tcPr>
          <w:p>
            <w:pPr>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color w:val="auto"/>
                <w:kern w:val="0"/>
                <w:szCs w:val="21"/>
                <w:highlight w:val="none"/>
                <w:lang w:bidi="ar"/>
              </w:rPr>
              <w:t>自查结论</w:t>
            </w:r>
          </w:p>
        </w:tc>
        <w:tc>
          <w:tcPr>
            <w:tcW w:w="1182" w:type="dxa"/>
            <w:noWrap w:val="0"/>
            <w:vAlign w:val="center"/>
          </w:tcPr>
          <w:p>
            <w:pPr>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color w:val="auto"/>
                <w:kern w:val="0"/>
                <w:szCs w:val="21"/>
                <w:highlight w:val="none"/>
                <w:lang w:bidi="ar"/>
              </w:rPr>
              <w:t>证明资料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restart"/>
            <w:noWrap w:val="0"/>
            <w:vAlign w:val="center"/>
          </w:tcPr>
          <w:p>
            <w:pPr>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符</w:t>
            </w:r>
          </w:p>
          <w:p>
            <w:pPr>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合</w:t>
            </w:r>
          </w:p>
          <w:p>
            <w:pPr>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性</w:t>
            </w:r>
          </w:p>
          <w:p>
            <w:pPr>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审</w:t>
            </w:r>
          </w:p>
          <w:p>
            <w:pPr>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查</w:t>
            </w:r>
          </w:p>
        </w:tc>
        <w:tc>
          <w:tcPr>
            <w:tcW w:w="526" w:type="dxa"/>
            <w:vMerge w:val="restart"/>
            <w:noWrap w:val="0"/>
            <w:vAlign w:val="center"/>
          </w:tcPr>
          <w:p>
            <w:pP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商务资信</w:t>
            </w:r>
          </w:p>
        </w:tc>
        <w:tc>
          <w:tcPr>
            <w:tcW w:w="5736" w:type="dxa"/>
            <w:noWrap w:val="0"/>
            <w:vAlign w:val="center"/>
          </w:tcPr>
          <w:p>
            <w:pPr>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按照招标文件规定要求签署、盖章</w:t>
            </w:r>
            <w:r>
              <w:rPr>
                <w:rFonts w:hint="eastAsia" w:ascii="宋体" w:hAnsi="宋体" w:eastAsia="宋体" w:cs="宋体"/>
                <w:color w:val="auto"/>
                <w:kern w:val="0"/>
                <w:szCs w:val="21"/>
                <w:highlight w:val="none"/>
                <w:lang w:eastAsia="zh-CN" w:bidi="ar"/>
              </w:rPr>
              <w:t>并</w:t>
            </w:r>
            <w:r>
              <w:rPr>
                <w:rFonts w:hint="eastAsia" w:ascii="宋体" w:hAnsi="宋体" w:eastAsia="宋体" w:cs="宋体"/>
                <w:color w:val="auto"/>
                <w:kern w:val="0"/>
                <w:szCs w:val="21"/>
                <w:highlight w:val="none"/>
                <w:lang w:bidi="ar"/>
              </w:rPr>
              <w:t>提供法定代表人资格证明/法定代表人授权委托书</w:t>
            </w:r>
            <w:r>
              <w:rPr>
                <w:rFonts w:hint="eastAsia" w:ascii="宋体" w:hAnsi="宋体" w:eastAsia="宋体" w:cs="宋体"/>
                <w:bCs/>
                <w:color w:val="auto"/>
                <w:kern w:val="0"/>
                <w:szCs w:val="21"/>
                <w:highlight w:val="none"/>
              </w:rPr>
              <w:t>、投标声明书</w:t>
            </w:r>
            <w:r>
              <w:rPr>
                <w:rFonts w:hint="eastAsia" w:ascii="宋体" w:hAnsi="宋体" w:eastAsia="宋体" w:cs="宋体"/>
                <w:bCs/>
                <w:color w:val="auto"/>
                <w:kern w:val="0"/>
                <w:szCs w:val="21"/>
                <w:highlight w:val="none"/>
                <w:lang w:eastAsia="zh-CN"/>
              </w:rPr>
              <w:t>且</w:t>
            </w:r>
            <w:r>
              <w:rPr>
                <w:rFonts w:hint="eastAsia" w:ascii="宋体" w:hAnsi="宋体" w:eastAsia="宋体" w:cs="宋体"/>
                <w:bCs/>
                <w:color w:val="auto"/>
                <w:kern w:val="0"/>
                <w:szCs w:val="21"/>
                <w:highlight w:val="none"/>
              </w:rPr>
              <w:t>填写项目齐全</w:t>
            </w:r>
          </w:p>
        </w:tc>
        <w:tc>
          <w:tcPr>
            <w:tcW w:w="1181" w:type="dxa"/>
            <w:noWrap w:val="0"/>
            <w:vAlign w:val="center"/>
          </w:tcPr>
          <w:p>
            <w:pPr>
              <w:rPr>
                <w:rFonts w:ascii="Calibri" w:hAnsi="Calibri" w:eastAsia="宋体" w:cs="Times New Roman"/>
                <w:color w:val="auto"/>
                <w:highlight w:val="none"/>
              </w:rPr>
            </w:pPr>
            <w:r>
              <w:rPr>
                <w:rFonts w:hint="eastAsia" w:ascii="Calibri" w:hAnsi="Calibri" w:eastAsia="宋体" w:cs="Times New Roman"/>
                <w:color w:val="auto"/>
                <w:highlight w:val="none"/>
              </w:rPr>
              <w:t>□通过</w:t>
            </w:r>
          </w:p>
          <w:p>
            <w:pPr>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pPr>
              <w:jc w:val="center"/>
              <w:rPr>
                <w:rFonts w:hint="eastAsia" w:ascii="宋体" w:hAnsi="宋体" w:eastAsia="宋体" w:cs="宋体"/>
                <w:bCs/>
                <w:color w:val="auto"/>
                <w:szCs w:val="21"/>
                <w:highlight w:val="none"/>
              </w:rPr>
            </w:pPr>
          </w:p>
        </w:tc>
        <w:tc>
          <w:tcPr>
            <w:tcW w:w="526" w:type="dxa"/>
            <w:vMerge w:val="continue"/>
            <w:noWrap w:val="0"/>
            <w:vAlign w:val="center"/>
          </w:tcPr>
          <w:p>
            <w:pPr>
              <w:textAlignment w:val="center"/>
              <w:rPr>
                <w:rFonts w:hint="eastAsia" w:ascii="宋体" w:hAnsi="宋体" w:eastAsia="宋体" w:cs="宋体"/>
                <w:color w:val="auto"/>
                <w:kern w:val="0"/>
                <w:szCs w:val="21"/>
                <w:highlight w:val="none"/>
                <w:lang w:val="en-US" w:eastAsia="zh-CN" w:bidi="ar"/>
              </w:rPr>
            </w:pPr>
          </w:p>
        </w:tc>
        <w:tc>
          <w:tcPr>
            <w:tcW w:w="5736" w:type="dxa"/>
            <w:noWrap w:val="0"/>
            <w:vAlign w:val="center"/>
          </w:tcPr>
          <w:p>
            <w:pP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szCs w:val="21"/>
                <w:highlight w:val="none"/>
              </w:rPr>
              <w:t>投标代表人出具身份证明</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与法定代表人授权委托人身份</w:t>
            </w:r>
            <w:r>
              <w:rPr>
                <w:rFonts w:hint="eastAsia" w:ascii="宋体" w:hAnsi="宋体" w:eastAsia="宋体" w:cs="宋体"/>
                <w:color w:val="auto"/>
                <w:szCs w:val="21"/>
                <w:highlight w:val="none"/>
                <w:lang w:eastAsia="zh-CN"/>
              </w:rPr>
              <w:t>相符</w:t>
            </w:r>
          </w:p>
        </w:tc>
        <w:tc>
          <w:tcPr>
            <w:tcW w:w="1181" w:type="dxa"/>
            <w:noWrap w:val="0"/>
            <w:vAlign w:val="center"/>
          </w:tcPr>
          <w:p>
            <w:pPr>
              <w:rPr>
                <w:rFonts w:ascii="Calibri" w:hAnsi="Calibri" w:eastAsia="宋体" w:cs="Times New Roman"/>
                <w:color w:val="auto"/>
                <w:highlight w:val="none"/>
              </w:rPr>
            </w:pPr>
            <w:r>
              <w:rPr>
                <w:rFonts w:hint="eastAsia" w:ascii="Calibri" w:hAnsi="Calibri" w:eastAsia="宋体" w:cs="Times New Roman"/>
                <w:color w:val="auto"/>
                <w:highlight w:val="none"/>
              </w:rPr>
              <w:t>□通过</w:t>
            </w:r>
          </w:p>
          <w:p>
            <w:pPr>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pPr>
              <w:jc w:val="center"/>
              <w:rPr>
                <w:rFonts w:hint="eastAsia" w:ascii="宋体" w:hAnsi="宋体" w:eastAsia="宋体" w:cs="宋体"/>
                <w:bCs/>
                <w:color w:val="auto"/>
                <w:szCs w:val="21"/>
                <w:highlight w:val="none"/>
              </w:rPr>
            </w:pPr>
          </w:p>
        </w:tc>
        <w:tc>
          <w:tcPr>
            <w:tcW w:w="526" w:type="dxa"/>
            <w:vMerge w:val="continue"/>
            <w:noWrap w:val="0"/>
            <w:vAlign w:val="center"/>
          </w:tcPr>
          <w:p>
            <w:pPr>
              <w:textAlignment w:val="center"/>
              <w:rPr>
                <w:rFonts w:hint="eastAsia" w:ascii="宋体" w:hAnsi="宋体" w:eastAsia="宋体" w:cs="宋体"/>
                <w:color w:val="auto"/>
                <w:kern w:val="0"/>
                <w:szCs w:val="21"/>
                <w:highlight w:val="none"/>
                <w:lang w:val="en-US" w:eastAsia="zh-CN" w:bidi="ar"/>
              </w:rPr>
            </w:pPr>
          </w:p>
        </w:tc>
        <w:tc>
          <w:tcPr>
            <w:tcW w:w="5736" w:type="dxa"/>
            <w:noWrap w:val="0"/>
            <w:vAlign w:val="center"/>
          </w:tcPr>
          <w:p>
            <w:pP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w:t>
            </w:r>
            <w:r>
              <w:rPr>
                <w:rFonts w:hint="eastAsia" w:ascii="Calibri" w:hAnsi="宋体" w:eastAsia="宋体" w:cs="宋体"/>
                <w:color w:val="auto"/>
                <w:sz w:val="21"/>
                <w:szCs w:val="21"/>
                <w:highlight w:val="none"/>
              </w:rPr>
              <w:t>投标文件格式规范、项目齐全</w:t>
            </w:r>
            <w:r>
              <w:rPr>
                <w:rFonts w:hint="eastAsia" w:ascii="Calibri" w:hAnsi="宋体" w:eastAsia="宋体" w:cs="宋体"/>
                <w:color w:val="auto"/>
                <w:sz w:val="21"/>
                <w:szCs w:val="21"/>
                <w:highlight w:val="none"/>
                <w:lang w:eastAsia="zh-CN"/>
              </w:rPr>
              <w:t>且不存在</w:t>
            </w:r>
            <w:r>
              <w:rPr>
                <w:rFonts w:hint="eastAsia" w:ascii="Calibri" w:hAnsi="宋体" w:eastAsia="宋体" w:cs="宋体"/>
                <w:color w:val="auto"/>
                <w:sz w:val="21"/>
                <w:szCs w:val="21"/>
                <w:highlight w:val="none"/>
              </w:rPr>
              <w:t>内容</w:t>
            </w:r>
            <w:r>
              <w:rPr>
                <w:rFonts w:hint="eastAsia" w:ascii="Calibri" w:hAnsi="宋体" w:eastAsia="宋体" w:cs="宋体"/>
                <w:color w:val="auto"/>
                <w:sz w:val="21"/>
                <w:szCs w:val="21"/>
                <w:highlight w:val="none"/>
                <w:lang w:eastAsia="zh-CN"/>
              </w:rPr>
              <w:t>虚假</w:t>
            </w:r>
          </w:p>
        </w:tc>
        <w:tc>
          <w:tcPr>
            <w:tcW w:w="1181" w:type="dxa"/>
            <w:noWrap w:val="0"/>
            <w:vAlign w:val="center"/>
          </w:tcPr>
          <w:p>
            <w:pPr>
              <w:rPr>
                <w:rFonts w:ascii="Calibri" w:hAnsi="Calibri" w:eastAsia="宋体" w:cs="Times New Roman"/>
                <w:color w:val="auto"/>
                <w:highlight w:val="none"/>
              </w:rPr>
            </w:pPr>
            <w:r>
              <w:rPr>
                <w:rFonts w:hint="eastAsia" w:ascii="Calibri" w:hAnsi="Calibri" w:eastAsia="宋体" w:cs="Times New Roman"/>
                <w:color w:val="auto"/>
                <w:highlight w:val="none"/>
              </w:rPr>
              <w:t>□通过</w:t>
            </w:r>
          </w:p>
          <w:p>
            <w:pPr>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pPr>
              <w:jc w:val="center"/>
              <w:rPr>
                <w:rFonts w:hint="eastAsia" w:ascii="宋体" w:hAnsi="宋体" w:eastAsia="宋体" w:cs="宋体"/>
                <w:bCs/>
                <w:color w:val="auto"/>
                <w:szCs w:val="21"/>
                <w:highlight w:val="none"/>
              </w:rPr>
            </w:pPr>
          </w:p>
        </w:tc>
        <w:tc>
          <w:tcPr>
            <w:tcW w:w="526" w:type="dxa"/>
            <w:vMerge w:val="continue"/>
            <w:noWrap w:val="0"/>
            <w:vAlign w:val="center"/>
          </w:tcPr>
          <w:p>
            <w:pPr>
              <w:textAlignment w:val="center"/>
              <w:rPr>
                <w:rFonts w:hint="eastAsia" w:ascii="宋体" w:hAnsi="宋体" w:eastAsia="宋体" w:cs="宋体"/>
                <w:color w:val="auto"/>
                <w:kern w:val="0"/>
                <w:szCs w:val="21"/>
                <w:highlight w:val="none"/>
                <w:lang w:val="en-US" w:eastAsia="zh-CN" w:bidi="ar"/>
              </w:rPr>
            </w:pPr>
          </w:p>
        </w:tc>
        <w:tc>
          <w:tcPr>
            <w:tcW w:w="5736" w:type="dxa"/>
            <w:noWrap w:val="0"/>
            <w:vAlign w:val="center"/>
          </w:tcPr>
          <w:p>
            <w:pP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w:t>
            </w:r>
            <w:r>
              <w:rPr>
                <w:rFonts w:hint="eastAsia" w:ascii="Calibri" w:hAnsi="宋体" w:eastAsia="宋体" w:cs="宋体"/>
                <w:color w:val="auto"/>
                <w:sz w:val="21"/>
                <w:szCs w:val="21"/>
                <w:highlight w:val="none"/>
              </w:rPr>
              <w:t>投标文件的实质性内容使用中文表述、意思表述明确、</w:t>
            </w:r>
            <w:r>
              <w:rPr>
                <w:rFonts w:hint="eastAsia" w:ascii="Calibri" w:hAnsi="宋体" w:eastAsia="宋体" w:cs="宋体"/>
                <w:color w:val="auto"/>
                <w:sz w:val="21"/>
                <w:szCs w:val="21"/>
                <w:highlight w:val="none"/>
                <w:lang w:eastAsia="zh-CN"/>
              </w:rPr>
              <w:t>无</w:t>
            </w:r>
            <w:r>
              <w:rPr>
                <w:rFonts w:hint="eastAsia" w:ascii="Calibri" w:hAnsi="宋体" w:eastAsia="宋体" w:cs="宋体"/>
                <w:color w:val="auto"/>
                <w:sz w:val="21"/>
                <w:szCs w:val="21"/>
                <w:highlight w:val="none"/>
              </w:rPr>
              <w:t>前后矛盾</w:t>
            </w:r>
            <w:r>
              <w:rPr>
                <w:rFonts w:hint="eastAsia" w:ascii="Calibri" w:hAnsi="宋体" w:eastAsia="宋体" w:cs="宋体"/>
                <w:color w:val="auto"/>
                <w:sz w:val="21"/>
                <w:szCs w:val="21"/>
                <w:highlight w:val="none"/>
                <w:lang w:eastAsia="zh-CN"/>
              </w:rPr>
              <w:t>且</w:t>
            </w:r>
            <w:r>
              <w:rPr>
                <w:rFonts w:hint="eastAsia" w:ascii="Calibri" w:hAnsi="宋体" w:eastAsia="宋体" w:cs="宋体"/>
                <w:color w:val="auto"/>
                <w:sz w:val="21"/>
                <w:szCs w:val="21"/>
                <w:highlight w:val="none"/>
              </w:rPr>
              <w:t>使用计量单位符合采购文件要求</w:t>
            </w:r>
          </w:p>
        </w:tc>
        <w:tc>
          <w:tcPr>
            <w:tcW w:w="1181" w:type="dxa"/>
            <w:noWrap w:val="0"/>
            <w:vAlign w:val="center"/>
          </w:tcPr>
          <w:p>
            <w:pPr>
              <w:rPr>
                <w:rFonts w:ascii="Calibri" w:hAnsi="Calibri" w:eastAsia="宋体" w:cs="Times New Roman"/>
                <w:color w:val="auto"/>
                <w:highlight w:val="none"/>
              </w:rPr>
            </w:pPr>
            <w:r>
              <w:rPr>
                <w:rFonts w:hint="eastAsia" w:ascii="Calibri" w:hAnsi="Calibri" w:eastAsia="宋体" w:cs="Times New Roman"/>
                <w:color w:val="auto"/>
                <w:highlight w:val="none"/>
              </w:rPr>
              <w:t>□通过</w:t>
            </w:r>
          </w:p>
          <w:p>
            <w:pPr>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pPr>
              <w:jc w:val="center"/>
              <w:rPr>
                <w:rFonts w:hint="eastAsia" w:ascii="宋体" w:hAnsi="宋体" w:eastAsia="宋体" w:cs="宋体"/>
                <w:bCs/>
                <w:color w:val="auto"/>
                <w:szCs w:val="21"/>
                <w:highlight w:val="none"/>
              </w:rPr>
            </w:pPr>
          </w:p>
        </w:tc>
        <w:tc>
          <w:tcPr>
            <w:tcW w:w="526" w:type="dxa"/>
            <w:vMerge w:val="continue"/>
            <w:noWrap w:val="0"/>
            <w:vAlign w:val="center"/>
          </w:tcPr>
          <w:p>
            <w:pPr>
              <w:textAlignment w:val="center"/>
              <w:rPr>
                <w:rFonts w:hint="eastAsia" w:ascii="宋体" w:hAnsi="宋体" w:eastAsia="宋体" w:cs="宋体"/>
                <w:color w:val="auto"/>
                <w:kern w:val="0"/>
                <w:szCs w:val="21"/>
                <w:highlight w:val="none"/>
                <w:lang w:val="en-US" w:eastAsia="zh-CN" w:bidi="ar"/>
              </w:rPr>
            </w:pPr>
          </w:p>
        </w:tc>
        <w:tc>
          <w:tcPr>
            <w:tcW w:w="5736" w:type="dxa"/>
            <w:noWrap w:val="0"/>
            <w:vAlign w:val="center"/>
          </w:tcPr>
          <w:p>
            <w:pP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w:t>
            </w:r>
            <w:r>
              <w:rPr>
                <w:rFonts w:hint="eastAsia" w:ascii="Calibri" w:hAnsi="宋体" w:eastAsia="宋体" w:cs="宋体"/>
                <w:snapToGrid w:val="0"/>
                <w:color w:val="auto"/>
                <w:sz w:val="21"/>
                <w:szCs w:val="21"/>
                <w:highlight w:val="none"/>
              </w:rPr>
              <w:t>投标有效期、质保期等打*的商务条款满足采购文件要求</w:t>
            </w:r>
          </w:p>
        </w:tc>
        <w:tc>
          <w:tcPr>
            <w:tcW w:w="1181" w:type="dxa"/>
            <w:noWrap w:val="0"/>
            <w:vAlign w:val="center"/>
          </w:tcPr>
          <w:p>
            <w:pPr>
              <w:rPr>
                <w:rFonts w:ascii="Calibri" w:hAnsi="Calibri" w:eastAsia="宋体" w:cs="Times New Roman"/>
                <w:color w:val="auto"/>
                <w:highlight w:val="none"/>
              </w:rPr>
            </w:pPr>
            <w:r>
              <w:rPr>
                <w:rFonts w:hint="eastAsia" w:ascii="Calibri" w:hAnsi="Calibri" w:eastAsia="宋体" w:cs="Times New Roman"/>
                <w:color w:val="auto"/>
                <w:highlight w:val="none"/>
              </w:rPr>
              <w:t>□通过</w:t>
            </w:r>
          </w:p>
          <w:p>
            <w:pPr>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pPr>
              <w:jc w:val="center"/>
              <w:rPr>
                <w:rFonts w:hint="eastAsia" w:ascii="宋体" w:hAnsi="宋体" w:eastAsia="宋体" w:cs="宋体"/>
                <w:bCs/>
                <w:color w:val="auto"/>
                <w:szCs w:val="21"/>
                <w:highlight w:val="none"/>
              </w:rPr>
            </w:pPr>
          </w:p>
        </w:tc>
        <w:tc>
          <w:tcPr>
            <w:tcW w:w="526" w:type="dxa"/>
            <w:vMerge w:val="continue"/>
            <w:noWrap w:val="0"/>
            <w:vAlign w:val="center"/>
          </w:tcPr>
          <w:p>
            <w:pPr>
              <w:textAlignment w:val="center"/>
              <w:rPr>
                <w:rFonts w:hint="eastAsia" w:ascii="宋体" w:hAnsi="宋体" w:eastAsia="宋体" w:cs="宋体"/>
                <w:color w:val="auto"/>
                <w:kern w:val="0"/>
                <w:szCs w:val="21"/>
                <w:highlight w:val="none"/>
                <w:lang w:val="en-US" w:eastAsia="zh-CN" w:bidi="ar"/>
              </w:rPr>
            </w:pPr>
          </w:p>
        </w:tc>
        <w:tc>
          <w:tcPr>
            <w:tcW w:w="5736" w:type="dxa"/>
            <w:noWrap w:val="0"/>
            <w:vAlign w:val="center"/>
          </w:tcPr>
          <w:p>
            <w:pP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6、</w:t>
            </w:r>
            <w:r>
              <w:rPr>
                <w:rFonts w:hint="eastAsia" w:ascii="宋体" w:hAnsi="宋体" w:eastAsia="宋体" w:cs="宋体"/>
                <w:color w:val="auto"/>
                <w:szCs w:val="21"/>
                <w:highlight w:val="none"/>
              </w:rPr>
              <w:t>带“*”的条款满足采购文件要求、实质性响应采购文件要求</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投标文件</w:t>
            </w:r>
            <w:r>
              <w:rPr>
                <w:rFonts w:hint="eastAsia" w:ascii="宋体" w:hAnsi="宋体" w:eastAsia="宋体" w:cs="宋体"/>
                <w:color w:val="auto"/>
                <w:szCs w:val="21"/>
                <w:highlight w:val="none"/>
                <w:lang w:eastAsia="zh-CN"/>
              </w:rPr>
              <w:t>没</w:t>
            </w:r>
            <w:r>
              <w:rPr>
                <w:rFonts w:hint="eastAsia" w:ascii="宋体" w:hAnsi="宋体" w:eastAsia="宋体" w:cs="宋体"/>
                <w:color w:val="auto"/>
                <w:szCs w:val="21"/>
                <w:highlight w:val="none"/>
              </w:rPr>
              <w:t>有采购方不能接受的附加条件</w:t>
            </w:r>
          </w:p>
        </w:tc>
        <w:tc>
          <w:tcPr>
            <w:tcW w:w="1181" w:type="dxa"/>
            <w:noWrap w:val="0"/>
            <w:vAlign w:val="center"/>
          </w:tcPr>
          <w:p>
            <w:pPr>
              <w:rPr>
                <w:rFonts w:ascii="Calibri" w:hAnsi="Calibri" w:eastAsia="宋体" w:cs="Times New Roman"/>
                <w:color w:val="auto"/>
                <w:highlight w:val="none"/>
              </w:rPr>
            </w:pPr>
            <w:r>
              <w:rPr>
                <w:rFonts w:hint="eastAsia" w:ascii="Calibri" w:hAnsi="Calibri" w:eastAsia="宋体" w:cs="Times New Roman"/>
                <w:color w:val="auto"/>
                <w:highlight w:val="none"/>
              </w:rPr>
              <w:t>□通过</w:t>
            </w:r>
          </w:p>
          <w:p>
            <w:pPr>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pPr>
              <w:jc w:val="center"/>
              <w:rPr>
                <w:rFonts w:hint="eastAsia" w:ascii="宋体" w:hAnsi="宋体" w:eastAsia="宋体" w:cs="宋体"/>
                <w:bCs/>
                <w:color w:val="auto"/>
                <w:szCs w:val="21"/>
                <w:highlight w:val="none"/>
              </w:rPr>
            </w:pPr>
          </w:p>
        </w:tc>
        <w:tc>
          <w:tcPr>
            <w:tcW w:w="526" w:type="dxa"/>
            <w:vMerge w:val="continue"/>
            <w:noWrap w:val="0"/>
            <w:vAlign w:val="center"/>
          </w:tcPr>
          <w:p>
            <w:pPr>
              <w:textAlignment w:val="center"/>
              <w:rPr>
                <w:rFonts w:hint="eastAsia" w:ascii="宋体" w:hAnsi="宋体" w:eastAsia="宋体" w:cs="宋体"/>
                <w:color w:val="auto"/>
                <w:kern w:val="0"/>
                <w:szCs w:val="21"/>
                <w:highlight w:val="none"/>
                <w:lang w:val="en-US" w:eastAsia="zh-CN" w:bidi="ar"/>
              </w:rPr>
            </w:pPr>
          </w:p>
        </w:tc>
        <w:tc>
          <w:tcPr>
            <w:tcW w:w="5736" w:type="dxa"/>
            <w:noWrap w:val="0"/>
            <w:vAlign w:val="center"/>
          </w:tcPr>
          <w:p>
            <w:pP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7、</w:t>
            </w:r>
            <w:r>
              <w:rPr>
                <w:rFonts w:hint="eastAsia" w:ascii="宋体" w:hAnsi="宋体" w:eastAsia="宋体" w:cs="宋体"/>
                <w:color w:val="auto"/>
                <w:szCs w:val="21"/>
                <w:highlight w:val="none"/>
              </w:rPr>
              <w:t>投标文件的关键内容字迹</w:t>
            </w:r>
            <w:r>
              <w:rPr>
                <w:rFonts w:hint="eastAsia" w:ascii="宋体" w:hAnsi="宋体" w:eastAsia="宋体" w:cs="宋体"/>
                <w:color w:val="auto"/>
                <w:szCs w:val="21"/>
                <w:highlight w:val="none"/>
                <w:lang w:eastAsia="zh-CN"/>
              </w:rPr>
              <w:t>清晰可</w:t>
            </w:r>
            <w:r>
              <w:rPr>
                <w:rFonts w:hint="eastAsia" w:ascii="宋体" w:hAnsi="宋体" w:eastAsia="宋体" w:cs="宋体"/>
                <w:color w:val="auto"/>
                <w:szCs w:val="21"/>
                <w:highlight w:val="none"/>
              </w:rPr>
              <w:t>辨认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投标文件中经修正的内容字迹</w:t>
            </w:r>
            <w:r>
              <w:rPr>
                <w:rFonts w:hint="eastAsia" w:ascii="宋体" w:hAnsi="宋体" w:eastAsia="宋体" w:cs="宋体"/>
                <w:color w:val="auto"/>
                <w:szCs w:val="21"/>
                <w:highlight w:val="none"/>
                <w:lang w:eastAsia="zh-CN"/>
              </w:rPr>
              <w:t>清晰可辨认且</w:t>
            </w:r>
            <w:r>
              <w:rPr>
                <w:rFonts w:hint="eastAsia" w:ascii="宋体" w:hAnsi="宋体" w:eastAsia="宋体" w:cs="宋体"/>
                <w:color w:val="auto"/>
                <w:szCs w:val="21"/>
                <w:highlight w:val="none"/>
              </w:rPr>
              <w:t>修改处按规定签署、盖章</w:t>
            </w:r>
          </w:p>
        </w:tc>
        <w:tc>
          <w:tcPr>
            <w:tcW w:w="1181" w:type="dxa"/>
            <w:noWrap w:val="0"/>
            <w:vAlign w:val="center"/>
          </w:tcPr>
          <w:p>
            <w:pPr>
              <w:rPr>
                <w:rFonts w:ascii="Calibri" w:hAnsi="Calibri" w:eastAsia="宋体" w:cs="Times New Roman"/>
                <w:color w:val="auto"/>
                <w:highlight w:val="none"/>
              </w:rPr>
            </w:pPr>
            <w:r>
              <w:rPr>
                <w:rFonts w:hint="eastAsia" w:ascii="Calibri" w:hAnsi="Calibri" w:eastAsia="宋体" w:cs="Times New Roman"/>
                <w:color w:val="auto"/>
                <w:highlight w:val="none"/>
              </w:rPr>
              <w:t>□通过</w:t>
            </w:r>
          </w:p>
          <w:p>
            <w:pPr>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pPr>
              <w:jc w:val="center"/>
              <w:rPr>
                <w:rFonts w:hint="eastAsia" w:ascii="宋体" w:hAnsi="宋体" w:eastAsia="宋体" w:cs="宋体"/>
                <w:bCs/>
                <w:color w:val="auto"/>
                <w:szCs w:val="21"/>
                <w:highlight w:val="none"/>
              </w:rPr>
            </w:pPr>
          </w:p>
        </w:tc>
        <w:tc>
          <w:tcPr>
            <w:tcW w:w="526" w:type="dxa"/>
            <w:vMerge w:val="continue"/>
            <w:noWrap w:val="0"/>
            <w:vAlign w:val="center"/>
          </w:tcPr>
          <w:p>
            <w:pPr>
              <w:textAlignment w:val="center"/>
              <w:rPr>
                <w:rFonts w:hint="eastAsia" w:ascii="宋体" w:hAnsi="宋体" w:eastAsia="宋体" w:cs="宋体"/>
                <w:color w:val="auto"/>
                <w:kern w:val="0"/>
                <w:szCs w:val="21"/>
                <w:highlight w:val="none"/>
                <w:lang w:val="en-US" w:eastAsia="zh-CN" w:bidi="ar"/>
              </w:rPr>
            </w:pPr>
          </w:p>
        </w:tc>
        <w:tc>
          <w:tcPr>
            <w:tcW w:w="5736" w:type="dxa"/>
            <w:noWrap w:val="0"/>
            <w:vAlign w:val="center"/>
          </w:tcPr>
          <w:p>
            <w:pP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8、不存在</w:t>
            </w:r>
            <w:r>
              <w:rPr>
                <w:rFonts w:hint="eastAsia" w:ascii="宋体" w:hAnsi="宋体" w:eastAsia="宋体" w:cs="宋体"/>
                <w:color w:val="auto"/>
                <w:szCs w:val="21"/>
                <w:highlight w:val="none"/>
              </w:rPr>
              <w:t>法律、法规和采购文件规定的其他无效情形</w:t>
            </w:r>
          </w:p>
        </w:tc>
        <w:tc>
          <w:tcPr>
            <w:tcW w:w="1181" w:type="dxa"/>
            <w:noWrap w:val="0"/>
            <w:vAlign w:val="center"/>
          </w:tcPr>
          <w:p>
            <w:pPr>
              <w:rPr>
                <w:rFonts w:ascii="Calibri" w:hAnsi="Calibri" w:eastAsia="宋体" w:cs="Times New Roman"/>
                <w:color w:val="auto"/>
                <w:highlight w:val="none"/>
              </w:rPr>
            </w:pPr>
            <w:r>
              <w:rPr>
                <w:rFonts w:hint="eastAsia" w:ascii="Calibri" w:hAnsi="Calibri" w:eastAsia="宋体" w:cs="Times New Roman"/>
                <w:color w:val="auto"/>
                <w:highlight w:val="none"/>
              </w:rPr>
              <w:t>□通过</w:t>
            </w:r>
          </w:p>
          <w:p>
            <w:pPr>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pPr>
              <w:jc w:val="center"/>
              <w:rPr>
                <w:rFonts w:hint="eastAsia" w:ascii="宋体" w:hAnsi="宋体" w:eastAsia="宋体" w:cs="宋体"/>
                <w:bCs/>
                <w:color w:val="auto"/>
                <w:szCs w:val="21"/>
                <w:highlight w:val="none"/>
              </w:rPr>
            </w:pPr>
          </w:p>
        </w:tc>
        <w:tc>
          <w:tcPr>
            <w:tcW w:w="526" w:type="dxa"/>
            <w:vMerge w:val="restart"/>
            <w:noWrap w:val="0"/>
            <w:vAlign w:val="center"/>
          </w:tcPr>
          <w:p>
            <w:pP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技术</w:t>
            </w:r>
          </w:p>
        </w:tc>
        <w:tc>
          <w:tcPr>
            <w:tcW w:w="5736" w:type="dxa"/>
            <w:noWrap w:val="0"/>
            <w:vAlign w:val="center"/>
          </w:tcPr>
          <w:p>
            <w:pP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9、</w:t>
            </w:r>
            <w:r>
              <w:rPr>
                <w:rFonts w:hint="eastAsia" w:ascii="Calibri" w:hAnsi="宋体" w:eastAsia="宋体" w:cs="宋体"/>
                <w:color w:val="auto"/>
                <w:sz w:val="21"/>
                <w:szCs w:val="21"/>
                <w:highlight w:val="none"/>
              </w:rPr>
              <w:t>如实提供投标货物的技术参数，</w:t>
            </w:r>
            <w:r>
              <w:rPr>
                <w:rFonts w:hint="eastAsia" w:ascii="Calibri" w:hAnsi="宋体" w:eastAsia="宋体" w:cs="宋体"/>
                <w:color w:val="auto"/>
                <w:sz w:val="21"/>
                <w:szCs w:val="21"/>
                <w:highlight w:val="none"/>
                <w:lang w:eastAsia="zh-CN"/>
              </w:rPr>
              <w:t>且</w:t>
            </w:r>
            <w:r>
              <w:rPr>
                <w:rFonts w:hint="eastAsia" w:ascii="Calibri" w:hAnsi="宋体" w:eastAsia="宋体" w:cs="宋体"/>
                <w:color w:val="auto"/>
                <w:sz w:val="21"/>
                <w:szCs w:val="21"/>
                <w:highlight w:val="none"/>
              </w:rPr>
              <w:t>投标文件标明的响应或偏离与事实</w:t>
            </w:r>
            <w:r>
              <w:rPr>
                <w:rFonts w:hint="eastAsia" w:ascii="Calibri" w:hAnsi="宋体" w:eastAsia="宋体" w:cs="宋体"/>
                <w:color w:val="auto"/>
                <w:sz w:val="21"/>
                <w:szCs w:val="21"/>
                <w:highlight w:val="none"/>
                <w:lang w:eastAsia="zh-CN"/>
              </w:rPr>
              <w:t>相符，不存在</w:t>
            </w:r>
            <w:r>
              <w:rPr>
                <w:rFonts w:hint="eastAsia" w:ascii="Calibri" w:hAnsi="宋体" w:eastAsia="宋体" w:cs="宋体"/>
                <w:color w:val="auto"/>
                <w:sz w:val="21"/>
                <w:szCs w:val="21"/>
                <w:highlight w:val="none"/>
              </w:rPr>
              <w:t>虚假投标</w:t>
            </w:r>
          </w:p>
        </w:tc>
        <w:tc>
          <w:tcPr>
            <w:tcW w:w="1181" w:type="dxa"/>
            <w:noWrap w:val="0"/>
            <w:vAlign w:val="center"/>
          </w:tcPr>
          <w:p>
            <w:pPr>
              <w:rPr>
                <w:rFonts w:ascii="Calibri" w:hAnsi="Calibri" w:eastAsia="宋体" w:cs="Times New Roman"/>
                <w:color w:val="auto"/>
                <w:highlight w:val="none"/>
              </w:rPr>
            </w:pPr>
            <w:r>
              <w:rPr>
                <w:rFonts w:hint="eastAsia" w:ascii="Calibri" w:hAnsi="Calibri" w:eastAsia="宋体" w:cs="Times New Roman"/>
                <w:color w:val="auto"/>
                <w:highlight w:val="none"/>
              </w:rPr>
              <w:t>□通过</w:t>
            </w:r>
          </w:p>
          <w:p>
            <w:pPr>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pPr>
              <w:jc w:val="center"/>
              <w:rPr>
                <w:rFonts w:hint="eastAsia" w:ascii="宋体" w:hAnsi="宋体" w:eastAsia="宋体" w:cs="宋体"/>
                <w:bCs/>
                <w:color w:val="auto"/>
                <w:szCs w:val="21"/>
                <w:highlight w:val="none"/>
              </w:rPr>
            </w:pPr>
          </w:p>
        </w:tc>
        <w:tc>
          <w:tcPr>
            <w:tcW w:w="526" w:type="dxa"/>
            <w:vMerge w:val="continue"/>
            <w:noWrap w:val="0"/>
            <w:vAlign w:val="center"/>
          </w:tcPr>
          <w:p>
            <w:pPr>
              <w:textAlignment w:val="center"/>
              <w:rPr>
                <w:rFonts w:hint="eastAsia" w:ascii="宋体" w:hAnsi="宋体" w:eastAsia="宋体" w:cs="宋体"/>
                <w:color w:val="auto"/>
                <w:kern w:val="0"/>
                <w:szCs w:val="21"/>
                <w:highlight w:val="none"/>
                <w:lang w:val="en-US" w:eastAsia="zh-CN" w:bidi="ar"/>
              </w:rPr>
            </w:pPr>
          </w:p>
        </w:tc>
        <w:tc>
          <w:tcPr>
            <w:tcW w:w="5736" w:type="dxa"/>
            <w:noWrap w:val="0"/>
            <w:vAlign w:val="center"/>
          </w:tcPr>
          <w:p>
            <w:pP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10、</w:t>
            </w:r>
            <w:r>
              <w:rPr>
                <w:rFonts w:hint="eastAsia" w:ascii="Calibri" w:hAnsi="宋体" w:eastAsia="宋体" w:cs="宋体"/>
                <w:snapToGrid w:val="0"/>
                <w:color w:val="auto"/>
                <w:sz w:val="21"/>
                <w:szCs w:val="21"/>
                <w:highlight w:val="none"/>
              </w:rPr>
              <w:t>符合采购文件要求的规格型号、质量标准，</w:t>
            </w:r>
            <w:r>
              <w:rPr>
                <w:rFonts w:hint="eastAsia" w:ascii="Calibri" w:hAnsi="宋体" w:eastAsia="宋体" w:cs="宋体"/>
                <w:snapToGrid w:val="0"/>
                <w:color w:val="auto"/>
                <w:sz w:val="21"/>
                <w:szCs w:val="21"/>
                <w:highlight w:val="none"/>
                <w:lang w:eastAsia="zh-CN"/>
              </w:rPr>
              <w:t>且</w:t>
            </w:r>
            <w:r>
              <w:rPr>
                <w:rFonts w:hint="eastAsia" w:ascii="Calibri" w:hAnsi="宋体" w:eastAsia="宋体" w:cs="宋体"/>
                <w:snapToGrid w:val="0"/>
                <w:color w:val="auto"/>
                <w:sz w:val="21"/>
                <w:szCs w:val="21"/>
                <w:highlight w:val="none"/>
              </w:rPr>
              <w:t>与</w:t>
            </w:r>
            <w:r>
              <w:rPr>
                <w:rFonts w:hint="eastAsia" w:ascii="Calibri" w:hAnsi="宋体" w:eastAsia="宋体" w:cs="宋体"/>
                <w:color w:val="auto"/>
                <w:sz w:val="21"/>
                <w:szCs w:val="21"/>
                <w:highlight w:val="none"/>
              </w:rPr>
              <w:t>采购文件中标“*”的技术指标、主要功能项目</w:t>
            </w:r>
            <w:r>
              <w:rPr>
                <w:rFonts w:hint="eastAsia" w:ascii="Calibri" w:hAnsi="宋体" w:eastAsia="宋体" w:cs="宋体"/>
                <w:color w:val="auto"/>
                <w:sz w:val="21"/>
                <w:szCs w:val="21"/>
                <w:highlight w:val="none"/>
                <w:lang w:eastAsia="zh-CN"/>
              </w:rPr>
              <w:t>无</w:t>
            </w:r>
            <w:r>
              <w:rPr>
                <w:rFonts w:hint="eastAsia" w:ascii="Calibri" w:hAnsi="宋体" w:eastAsia="宋体" w:cs="宋体"/>
                <w:color w:val="auto"/>
                <w:sz w:val="21"/>
                <w:szCs w:val="21"/>
                <w:highlight w:val="none"/>
              </w:rPr>
              <w:t>实质性偏离</w:t>
            </w:r>
          </w:p>
        </w:tc>
        <w:tc>
          <w:tcPr>
            <w:tcW w:w="1181" w:type="dxa"/>
            <w:noWrap w:val="0"/>
            <w:vAlign w:val="center"/>
          </w:tcPr>
          <w:p>
            <w:pPr>
              <w:rPr>
                <w:rFonts w:ascii="Calibri" w:hAnsi="Calibri" w:eastAsia="宋体" w:cs="Times New Roman"/>
                <w:color w:val="auto"/>
                <w:highlight w:val="none"/>
              </w:rPr>
            </w:pPr>
            <w:r>
              <w:rPr>
                <w:rFonts w:hint="eastAsia" w:ascii="Calibri" w:hAnsi="Calibri" w:eastAsia="宋体" w:cs="Times New Roman"/>
                <w:color w:val="auto"/>
                <w:highlight w:val="none"/>
              </w:rPr>
              <w:t>□通过</w:t>
            </w:r>
          </w:p>
          <w:p>
            <w:pPr>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pPr>
              <w:jc w:val="center"/>
              <w:rPr>
                <w:rFonts w:hint="eastAsia" w:ascii="宋体" w:hAnsi="宋体" w:eastAsia="宋体" w:cs="宋体"/>
                <w:bCs/>
                <w:color w:val="auto"/>
                <w:szCs w:val="21"/>
                <w:highlight w:val="none"/>
              </w:rPr>
            </w:pPr>
          </w:p>
        </w:tc>
        <w:tc>
          <w:tcPr>
            <w:tcW w:w="526" w:type="dxa"/>
            <w:vMerge w:val="continue"/>
            <w:noWrap w:val="0"/>
            <w:vAlign w:val="center"/>
          </w:tcPr>
          <w:p>
            <w:pPr>
              <w:textAlignment w:val="center"/>
              <w:rPr>
                <w:rFonts w:hint="eastAsia" w:ascii="宋体" w:hAnsi="宋体" w:eastAsia="宋体" w:cs="宋体"/>
                <w:color w:val="auto"/>
                <w:kern w:val="0"/>
                <w:szCs w:val="21"/>
                <w:highlight w:val="none"/>
                <w:lang w:val="en-US" w:eastAsia="zh-CN" w:bidi="ar"/>
              </w:rPr>
            </w:pPr>
          </w:p>
        </w:tc>
        <w:tc>
          <w:tcPr>
            <w:tcW w:w="5736" w:type="dxa"/>
            <w:noWrap w:val="0"/>
            <w:vAlign w:val="center"/>
          </w:tcPr>
          <w:p>
            <w:pP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11、</w:t>
            </w:r>
            <w:r>
              <w:rPr>
                <w:rFonts w:hint="eastAsia" w:ascii="Calibri" w:hAnsi="宋体" w:eastAsia="宋体" w:cs="宋体"/>
                <w:color w:val="auto"/>
                <w:sz w:val="21"/>
                <w:szCs w:val="21"/>
                <w:highlight w:val="none"/>
              </w:rPr>
              <w:t>投标技术方案明确，</w:t>
            </w:r>
            <w:r>
              <w:rPr>
                <w:rFonts w:hint="eastAsia" w:ascii="Calibri" w:hAnsi="宋体" w:eastAsia="宋体" w:cs="宋体"/>
                <w:color w:val="auto"/>
                <w:sz w:val="21"/>
                <w:szCs w:val="21"/>
                <w:highlight w:val="none"/>
                <w:lang w:eastAsia="zh-CN"/>
              </w:rPr>
              <w:t>不存在</w:t>
            </w:r>
            <w:r>
              <w:rPr>
                <w:rFonts w:hint="eastAsia" w:ascii="Calibri" w:hAnsi="宋体" w:eastAsia="宋体" w:cs="宋体"/>
                <w:color w:val="auto"/>
                <w:sz w:val="21"/>
                <w:szCs w:val="21"/>
                <w:highlight w:val="none"/>
              </w:rPr>
              <w:t>一个或一个以上备选（替代）投标方案</w:t>
            </w:r>
          </w:p>
        </w:tc>
        <w:tc>
          <w:tcPr>
            <w:tcW w:w="1181" w:type="dxa"/>
            <w:noWrap w:val="0"/>
            <w:vAlign w:val="center"/>
          </w:tcPr>
          <w:p>
            <w:pPr>
              <w:rPr>
                <w:rFonts w:ascii="Calibri" w:hAnsi="Calibri" w:eastAsia="宋体" w:cs="Times New Roman"/>
                <w:color w:val="auto"/>
                <w:highlight w:val="none"/>
              </w:rPr>
            </w:pPr>
            <w:r>
              <w:rPr>
                <w:rFonts w:hint="eastAsia" w:ascii="Calibri" w:hAnsi="Calibri" w:eastAsia="宋体" w:cs="Times New Roman"/>
                <w:color w:val="auto"/>
                <w:highlight w:val="none"/>
              </w:rPr>
              <w:t>□通过</w:t>
            </w:r>
          </w:p>
          <w:p>
            <w:pPr>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pPr>
              <w:jc w:val="center"/>
              <w:rPr>
                <w:rFonts w:hint="eastAsia" w:ascii="宋体" w:hAnsi="宋体" w:eastAsia="宋体" w:cs="宋体"/>
                <w:bCs/>
                <w:color w:val="auto"/>
                <w:szCs w:val="21"/>
                <w:highlight w:val="none"/>
              </w:rPr>
            </w:pPr>
          </w:p>
        </w:tc>
        <w:tc>
          <w:tcPr>
            <w:tcW w:w="526" w:type="dxa"/>
            <w:vMerge w:val="continue"/>
            <w:noWrap w:val="0"/>
            <w:vAlign w:val="center"/>
          </w:tcPr>
          <w:p>
            <w:pPr>
              <w:textAlignment w:val="center"/>
              <w:rPr>
                <w:rFonts w:hint="eastAsia" w:ascii="宋体" w:hAnsi="宋体" w:eastAsia="宋体" w:cs="宋体"/>
                <w:color w:val="auto"/>
                <w:kern w:val="0"/>
                <w:szCs w:val="21"/>
                <w:highlight w:val="none"/>
                <w:lang w:val="en-US" w:eastAsia="zh-CN" w:bidi="ar"/>
              </w:rPr>
            </w:pPr>
          </w:p>
        </w:tc>
        <w:tc>
          <w:tcPr>
            <w:tcW w:w="5736" w:type="dxa"/>
            <w:noWrap w:val="0"/>
            <w:vAlign w:val="center"/>
          </w:tcPr>
          <w:p>
            <w:pP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12、不存在</w:t>
            </w:r>
            <w:r>
              <w:rPr>
                <w:rFonts w:hint="eastAsia" w:ascii="Calibri" w:hAnsi="宋体" w:eastAsia="宋体" w:cs="宋体"/>
                <w:color w:val="auto"/>
                <w:sz w:val="21"/>
                <w:szCs w:val="21"/>
                <w:highlight w:val="none"/>
              </w:rPr>
              <w:t>与其他参加本次投标供应商的投标文件（技术文件）的文字表述内容相同连续20行以上或者差错相同2处以上</w:t>
            </w:r>
          </w:p>
        </w:tc>
        <w:tc>
          <w:tcPr>
            <w:tcW w:w="1181" w:type="dxa"/>
            <w:noWrap w:val="0"/>
            <w:vAlign w:val="center"/>
          </w:tcPr>
          <w:p>
            <w:pPr>
              <w:rPr>
                <w:rFonts w:ascii="Calibri" w:hAnsi="Calibri" w:eastAsia="宋体" w:cs="Times New Roman"/>
                <w:color w:val="auto"/>
                <w:highlight w:val="none"/>
              </w:rPr>
            </w:pPr>
            <w:r>
              <w:rPr>
                <w:rFonts w:hint="eastAsia" w:ascii="Calibri" w:hAnsi="Calibri" w:eastAsia="宋体" w:cs="Times New Roman"/>
                <w:color w:val="auto"/>
                <w:highlight w:val="none"/>
              </w:rPr>
              <w:t>□通过</w:t>
            </w:r>
          </w:p>
          <w:p>
            <w:pPr>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pPr>
              <w:jc w:val="center"/>
              <w:rPr>
                <w:rFonts w:hint="eastAsia" w:ascii="宋体" w:hAnsi="宋体" w:eastAsia="宋体" w:cs="宋体"/>
                <w:bCs/>
                <w:color w:val="auto"/>
                <w:szCs w:val="21"/>
                <w:highlight w:val="none"/>
              </w:rPr>
            </w:pPr>
          </w:p>
        </w:tc>
        <w:tc>
          <w:tcPr>
            <w:tcW w:w="526" w:type="dxa"/>
            <w:vMerge w:val="continue"/>
            <w:noWrap w:val="0"/>
            <w:vAlign w:val="center"/>
          </w:tcPr>
          <w:p>
            <w:pPr>
              <w:textAlignment w:val="center"/>
              <w:rPr>
                <w:rFonts w:hint="eastAsia" w:ascii="宋体" w:hAnsi="宋体" w:eastAsia="宋体" w:cs="宋体"/>
                <w:color w:val="auto"/>
                <w:kern w:val="0"/>
                <w:szCs w:val="21"/>
                <w:highlight w:val="none"/>
                <w:lang w:val="en-US" w:eastAsia="zh-CN" w:bidi="ar"/>
              </w:rPr>
            </w:pPr>
          </w:p>
        </w:tc>
        <w:tc>
          <w:tcPr>
            <w:tcW w:w="5736" w:type="dxa"/>
            <w:noWrap w:val="0"/>
            <w:vAlign w:val="center"/>
          </w:tcPr>
          <w:p>
            <w:pP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13、报价文件单独密</w:t>
            </w:r>
            <w:r>
              <w:rPr>
                <w:rFonts w:hint="eastAsia" w:ascii="宋体" w:hAnsi="宋体" w:eastAsia="宋体" w:cs="宋体"/>
                <w:color w:val="auto"/>
                <w:szCs w:val="21"/>
                <w:highlight w:val="none"/>
              </w:rPr>
              <w:t>封封装</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资格证明文件或商务技术文件中</w:t>
            </w:r>
            <w:r>
              <w:rPr>
                <w:rFonts w:hint="eastAsia" w:ascii="宋体" w:hAnsi="宋体" w:eastAsia="宋体" w:cs="宋体"/>
                <w:color w:val="auto"/>
                <w:szCs w:val="21"/>
                <w:highlight w:val="none"/>
                <w:lang w:eastAsia="zh-CN"/>
              </w:rPr>
              <w:t>未</w:t>
            </w:r>
            <w:r>
              <w:rPr>
                <w:rFonts w:hint="eastAsia" w:ascii="宋体" w:hAnsi="宋体" w:eastAsia="宋体" w:cs="宋体"/>
                <w:color w:val="auto"/>
                <w:szCs w:val="21"/>
                <w:highlight w:val="none"/>
              </w:rPr>
              <w:t>出现报价（或单价）</w:t>
            </w:r>
          </w:p>
        </w:tc>
        <w:tc>
          <w:tcPr>
            <w:tcW w:w="1181" w:type="dxa"/>
            <w:noWrap w:val="0"/>
            <w:vAlign w:val="center"/>
          </w:tcPr>
          <w:p>
            <w:pPr>
              <w:rPr>
                <w:rFonts w:ascii="Calibri" w:hAnsi="Calibri" w:eastAsia="宋体" w:cs="Times New Roman"/>
                <w:color w:val="auto"/>
                <w:highlight w:val="none"/>
              </w:rPr>
            </w:pPr>
            <w:r>
              <w:rPr>
                <w:rFonts w:hint="eastAsia" w:ascii="Calibri" w:hAnsi="Calibri" w:eastAsia="宋体" w:cs="Times New Roman"/>
                <w:color w:val="auto"/>
                <w:highlight w:val="none"/>
              </w:rPr>
              <w:t>□通过</w:t>
            </w:r>
          </w:p>
          <w:p>
            <w:pPr>
              <w:rPr>
                <w:rFonts w:hint="eastAsia" w:ascii="宋体" w:hAnsi="宋体" w:eastAsia="宋体" w:cs="宋体"/>
                <w:color w:val="auto"/>
                <w:kern w:val="0"/>
                <w:szCs w:val="21"/>
                <w:highlight w:val="none"/>
                <w:lang w:val="en-US" w:eastAsia="zh-CN" w:bidi="ar"/>
              </w:rPr>
            </w:pPr>
            <w:r>
              <w:rPr>
                <w:rFonts w:hint="eastAsia" w:ascii="Calibri" w:hAnsi="Calibri" w:eastAsia="宋体" w:cs="Times New Roman"/>
                <w:color w:val="auto"/>
                <w:highlight w:val="none"/>
              </w:rPr>
              <w:t>□不通过</w:t>
            </w:r>
          </w:p>
        </w:tc>
        <w:tc>
          <w:tcPr>
            <w:tcW w:w="1182" w:type="dxa"/>
            <w:noWrap w:val="0"/>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pPr>
              <w:jc w:val="center"/>
              <w:rPr>
                <w:rFonts w:ascii="宋体" w:hAnsi="宋体" w:eastAsia="宋体" w:cs="宋体"/>
                <w:bCs/>
                <w:color w:val="auto"/>
                <w:szCs w:val="21"/>
                <w:highlight w:val="none"/>
              </w:rPr>
            </w:pPr>
          </w:p>
        </w:tc>
        <w:tc>
          <w:tcPr>
            <w:tcW w:w="526" w:type="dxa"/>
            <w:vMerge w:val="restart"/>
            <w:noWrap w:val="0"/>
            <w:vAlign w:val="center"/>
          </w:tcPr>
          <w:p>
            <w:pPr>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报价</w:t>
            </w:r>
          </w:p>
        </w:tc>
        <w:tc>
          <w:tcPr>
            <w:tcW w:w="5736" w:type="dxa"/>
            <w:noWrap w:val="0"/>
            <w:vAlign w:val="center"/>
          </w:tcPr>
          <w:p>
            <w:pPr>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14、</w:t>
            </w:r>
            <w:r>
              <w:rPr>
                <w:rFonts w:hint="eastAsia" w:ascii="Calibri" w:hAnsi="宋体" w:eastAsia="宋体" w:cs="宋体"/>
                <w:bCs/>
                <w:color w:val="auto"/>
                <w:sz w:val="21"/>
                <w:szCs w:val="21"/>
                <w:highlight w:val="none"/>
              </w:rPr>
              <w:t>采用人民币报价</w:t>
            </w:r>
            <w:r>
              <w:rPr>
                <w:rFonts w:hint="eastAsia" w:ascii="Calibri" w:hAnsi="宋体" w:eastAsia="宋体" w:cs="宋体"/>
                <w:bCs/>
                <w:color w:val="auto"/>
                <w:sz w:val="21"/>
                <w:szCs w:val="21"/>
                <w:highlight w:val="none"/>
                <w:lang w:eastAsia="zh-CN"/>
              </w:rPr>
              <w:t>且</w:t>
            </w:r>
            <w:r>
              <w:rPr>
                <w:rFonts w:hint="eastAsia" w:ascii="Calibri" w:hAnsi="宋体" w:eastAsia="宋体" w:cs="宋体"/>
                <w:bCs/>
                <w:color w:val="auto"/>
                <w:sz w:val="21"/>
                <w:szCs w:val="21"/>
                <w:highlight w:val="none"/>
              </w:rPr>
              <w:t>按照采购文件标明的币种报价的</w:t>
            </w:r>
          </w:p>
        </w:tc>
        <w:tc>
          <w:tcPr>
            <w:tcW w:w="1181" w:type="dxa"/>
            <w:noWrap w:val="0"/>
            <w:vAlign w:val="center"/>
          </w:tcPr>
          <w:p>
            <w:pPr>
              <w:rPr>
                <w:rFonts w:ascii="Calibri" w:hAnsi="Calibri" w:eastAsia="宋体" w:cs="Times New Roman"/>
                <w:color w:val="auto"/>
                <w:highlight w:val="none"/>
              </w:rPr>
            </w:pPr>
            <w:r>
              <w:rPr>
                <w:rFonts w:hint="eastAsia" w:ascii="Calibri" w:hAnsi="Calibri" w:eastAsia="宋体" w:cs="Times New Roman"/>
                <w:color w:val="auto"/>
                <w:highlight w:val="none"/>
              </w:rPr>
              <w:t>□通过</w:t>
            </w:r>
          </w:p>
          <w:p>
            <w:pPr>
              <w:rPr>
                <w:rFonts w:hint="eastAsia" w:ascii="宋体" w:hAnsi="宋体" w:eastAsia="宋体" w:cs="宋体"/>
                <w:bCs/>
                <w:color w:val="auto"/>
                <w:szCs w:val="21"/>
                <w:highlight w:val="none"/>
                <w:lang w:val="en-US" w:eastAsia="zh-CN"/>
              </w:rPr>
            </w:pPr>
            <w:r>
              <w:rPr>
                <w:rFonts w:hint="eastAsia" w:ascii="Calibri" w:hAnsi="Calibri" w:eastAsia="宋体" w:cs="Times New Roman"/>
                <w:color w:val="auto"/>
                <w:highlight w:val="none"/>
              </w:rPr>
              <w:t>□不通过</w:t>
            </w:r>
          </w:p>
        </w:tc>
        <w:tc>
          <w:tcPr>
            <w:tcW w:w="1182" w:type="dxa"/>
            <w:noWrap w:val="0"/>
            <w:vAlign w:val="center"/>
          </w:tcPr>
          <w:p>
            <w:pPr>
              <w:jc w:val="center"/>
              <w:rPr>
                <w:rFonts w:hint="eastAsia" w:ascii="宋体" w:hAnsi="宋体" w:eastAsia="宋体" w:cs="宋体"/>
                <w:bCs/>
                <w:color w:val="auto"/>
                <w:szCs w:val="21"/>
                <w:highlight w:val="none"/>
                <w:lang w:val="en-US" w:eastAsia="zh-CN"/>
              </w:rPr>
            </w:pPr>
            <w:r>
              <w:rPr>
                <w:rFonts w:hint="eastAsia" w:ascii="宋体" w:hAnsi="宋体" w:eastAsia="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pPr>
              <w:rPr>
                <w:rFonts w:ascii="宋体" w:hAnsi="宋体" w:eastAsia="宋体" w:cs="宋体"/>
                <w:bCs/>
                <w:color w:val="auto"/>
                <w:szCs w:val="21"/>
                <w:highlight w:val="none"/>
              </w:rPr>
            </w:pPr>
          </w:p>
        </w:tc>
        <w:tc>
          <w:tcPr>
            <w:tcW w:w="526" w:type="dxa"/>
            <w:vMerge w:val="continue"/>
            <w:noWrap w:val="0"/>
            <w:vAlign w:val="center"/>
          </w:tcPr>
          <w:p>
            <w:pPr>
              <w:textAlignment w:val="center"/>
              <w:rPr>
                <w:rFonts w:hint="eastAsia" w:ascii="宋体" w:hAnsi="宋体" w:eastAsia="宋体" w:cs="宋体"/>
                <w:bCs/>
                <w:color w:val="auto"/>
                <w:szCs w:val="21"/>
                <w:highlight w:val="none"/>
                <w:lang w:val="en-US" w:eastAsia="zh-CN"/>
              </w:rPr>
            </w:pPr>
          </w:p>
        </w:tc>
        <w:tc>
          <w:tcPr>
            <w:tcW w:w="5736" w:type="dxa"/>
            <w:noWrap w:val="0"/>
            <w:vAlign w:val="center"/>
          </w:tcPr>
          <w:p>
            <w:pPr>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15、</w:t>
            </w:r>
            <w:r>
              <w:rPr>
                <w:rFonts w:hint="eastAsia" w:ascii="Calibri" w:hAnsi="宋体" w:eastAsia="宋体" w:cs="宋体"/>
                <w:bCs/>
                <w:color w:val="auto"/>
                <w:sz w:val="21"/>
                <w:szCs w:val="21"/>
                <w:highlight w:val="none"/>
              </w:rPr>
              <w:t>报价</w:t>
            </w:r>
            <w:r>
              <w:rPr>
                <w:rFonts w:hint="eastAsia" w:ascii="Calibri" w:hAnsi="宋体" w:eastAsia="宋体" w:cs="宋体"/>
                <w:bCs/>
                <w:color w:val="auto"/>
                <w:sz w:val="21"/>
                <w:szCs w:val="21"/>
                <w:highlight w:val="none"/>
                <w:lang w:eastAsia="zh-CN"/>
              </w:rPr>
              <w:t>未</w:t>
            </w:r>
            <w:r>
              <w:rPr>
                <w:rFonts w:hint="eastAsia" w:ascii="Calibri" w:hAnsi="宋体" w:eastAsia="宋体" w:cs="宋体"/>
                <w:bCs/>
                <w:color w:val="auto"/>
                <w:sz w:val="21"/>
                <w:szCs w:val="21"/>
                <w:highlight w:val="none"/>
              </w:rPr>
              <w:t>超出最高限价，</w:t>
            </w:r>
            <w:r>
              <w:rPr>
                <w:rFonts w:hint="eastAsia" w:ascii="Calibri" w:hAnsi="宋体" w:eastAsia="宋体" w:cs="宋体"/>
                <w:bCs/>
                <w:color w:val="auto"/>
                <w:sz w:val="21"/>
                <w:szCs w:val="21"/>
                <w:highlight w:val="none"/>
                <w:lang w:eastAsia="zh-CN"/>
              </w:rPr>
              <w:t>且未</w:t>
            </w:r>
            <w:r>
              <w:rPr>
                <w:rFonts w:hint="eastAsia" w:ascii="Calibri" w:hAnsi="宋体" w:eastAsia="宋体" w:cs="宋体"/>
                <w:bCs/>
                <w:color w:val="auto"/>
                <w:sz w:val="21"/>
                <w:szCs w:val="21"/>
                <w:highlight w:val="none"/>
              </w:rPr>
              <w:t>超出采购预算金额(自主创新产品除外)</w:t>
            </w:r>
          </w:p>
        </w:tc>
        <w:tc>
          <w:tcPr>
            <w:tcW w:w="1181" w:type="dxa"/>
            <w:noWrap w:val="0"/>
            <w:vAlign w:val="center"/>
          </w:tcPr>
          <w:p>
            <w:pPr>
              <w:rPr>
                <w:rFonts w:ascii="Calibri" w:hAnsi="Calibri" w:eastAsia="宋体" w:cs="Times New Roman"/>
                <w:color w:val="auto"/>
                <w:highlight w:val="none"/>
              </w:rPr>
            </w:pPr>
            <w:r>
              <w:rPr>
                <w:rFonts w:hint="eastAsia" w:ascii="Calibri" w:hAnsi="Calibri" w:eastAsia="宋体" w:cs="Times New Roman"/>
                <w:color w:val="auto"/>
                <w:highlight w:val="none"/>
              </w:rPr>
              <w:t>□通过</w:t>
            </w:r>
          </w:p>
          <w:p>
            <w:pPr>
              <w:rPr>
                <w:rFonts w:hint="eastAsia" w:ascii="宋体" w:hAnsi="宋体" w:eastAsia="宋体" w:cs="宋体"/>
                <w:bCs/>
                <w:color w:val="auto"/>
                <w:szCs w:val="21"/>
                <w:highlight w:val="none"/>
                <w:lang w:val="en-US" w:eastAsia="zh-CN"/>
              </w:rPr>
            </w:pPr>
            <w:r>
              <w:rPr>
                <w:rFonts w:hint="eastAsia" w:ascii="Calibri" w:hAnsi="Calibri" w:eastAsia="宋体" w:cs="Times New Roman"/>
                <w:color w:val="auto"/>
                <w:highlight w:val="none"/>
              </w:rPr>
              <w:t>□不通过</w:t>
            </w:r>
          </w:p>
        </w:tc>
        <w:tc>
          <w:tcPr>
            <w:tcW w:w="1182" w:type="dxa"/>
            <w:noWrap w:val="0"/>
            <w:vAlign w:val="center"/>
          </w:tcPr>
          <w:p>
            <w:pPr>
              <w:jc w:val="center"/>
              <w:rPr>
                <w:rFonts w:hint="eastAsia" w:ascii="宋体" w:hAnsi="宋体" w:eastAsia="宋体" w:cs="宋体"/>
                <w:bCs/>
                <w:color w:val="auto"/>
                <w:szCs w:val="21"/>
                <w:highlight w:val="none"/>
                <w:lang w:val="en-US" w:eastAsia="zh-CN"/>
              </w:rPr>
            </w:pPr>
            <w:r>
              <w:rPr>
                <w:rFonts w:hint="eastAsia" w:ascii="宋体" w:hAnsi="宋体" w:eastAsia="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pPr>
              <w:rPr>
                <w:rFonts w:ascii="宋体" w:hAnsi="宋体" w:eastAsia="宋体" w:cs="宋体"/>
                <w:bCs/>
                <w:color w:val="auto"/>
                <w:szCs w:val="21"/>
                <w:highlight w:val="none"/>
              </w:rPr>
            </w:pPr>
          </w:p>
        </w:tc>
        <w:tc>
          <w:tcPr>
            <w:tcW w:w="526" w:type="dxa"/>
            <w:vMerge w:val="continue"/>
            <w:noWrap w:val="0"/>
            <w:vAlign w:val="center"/>
          </w:tcPr>
          <w:p>
            <w:pPr>
              <w:textAlignment w:val="center"/>
              <w:rPr>
                <w:rFonts w:hint="eastAsia" w:ascii="宋体" w:hAnsi="宋体" w:eastAsia="宋体" w:cs="宋体"/>
                <w:bCs/>
                <w:color w:val="auto"/>
                <w:szCs w:val="21"/>
                <w:highlight w:val="none"/>
                <w:lang w:val="en-US" w:eastAsia="zh-CN"/>
              </w:rPr>
            </w:pPr>
          </w:p>
        </w:tc>
        <w:tc>
          <w:tcPr>
            <w:tcW w:w="5736" w:type="dxa"/>
            <w:noWrap w:val="0"/>
            <w:vAlign w:val="center"/>
          </w:tcPr>
          <w:p>
            <w:pPr>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16、</w:t>
            </w:r>
            <w:r>
              <w:rPr>
                <w:rFonts w:hint="eastAsia" w:ascii="Calibri" w:hAnsi="宋体" w:eastAsia="宋体" w:cs="宋体"/>
                <w:bCs/>
                <w:color w:val="auto"/>
                <w:sz w:val="21"/>
                <w:szCs w:val="21"/>
                <w:highlight w:val="none"/>
              </w:rPr>
              <w:t>采用投标文件要求的报价形式报价</w:t>
            </w:r>
          </w:p>
        </w:tc>
        <w:tc>
          <w:tcPr>
            <w:tcW w:w="1181" w:type="dxa"/>
            <w:noWrap w:val="0"/>
            <w:vAlign w:val="center"/>
          </w:tcPr>
          <w:p>
            <w:pPr>
              <w:rPr>
                <w:rFonts w:ascii="Calibri" w:hAnsi="Calibri" w:eastAsia="宋体" w:cs="Times New Roman"/>
                <w:color w:val="auto"/>
                <w:highlight w:val="none"/>
              </w:rPr>
            </w:pPr>
            <w:r>
              <w:rPr>
                <w:rFonts w:hint="eastAsia" w:ascii="Calibri" w:hAnsi="Calibri" w:eastAsia="宋体" w:cs="Times New Roman"/>
                <w:color w:val="auto"/>
                <w:highlight w:val="none"/>
              </w:rPr>
              <w:t>□通过</w:t>
            </w:r>
          </w:p>
          <w:p>
            <w:pPr>
              <w:rPr>
                <w:rFonts w:hint="eastAsia" w:ascii="宋体" w:hAnsi="宋体" w:eastAsia="宋体" w:cs="宋体"/>
                <w:bCs/>
                <w:color w:val="auto"/>
                <w:szCs w:val="21"/>
                <w:highlight w:val="none"/>
                <w:lang w:val="en-US" w:eastAsia="zh-CN"/>
              </w:rPr>
            </w:pPr>
            <w:r>
              <w:rPr>
                <w:rFonts w:hint="eastAsia" w:ascii="Calibri" w:hAnsi="Calibri" w:eastAsia="宋体" w:cs="Times New Roman"/>
                <w:color w:val="auto"/>
                <w:highlight w:val="none"/>
              </w:rPr>
              <w:t>□不通过</w:t>
            </w:r>
          </w:p>
        </w:tc>
        <w:tc>
          <w:tcPr>
            <w:tcW w:w="1182" w:type="dxa"/>
            <w:noWrap w:val="0"/>
            <w:vAlign w:val="center"/>
          </w:tcPr>
          <w:p>
            <w:pPr>
              <w:jc w:val="center"/>
              <w:rPr>
                <w:rFonts w:hint="eastAsia" w:ascii="宋体" w:hAnsi="宋体" w:eastAsia="宋体" w:cs="宋体"/>
                <w:bCs/>
                <w:color w:val="auto"/>
                <w:szCs w:val="21"/>
                <w:highlight w:val="none"/>
                <w:lang w:val="en-US" w:eastAsia="zh-CN"/>
              </w:rPr>
            </w:pPr>
            <w:r>
              <w:rPr>
                <w:rFonts w:hint="eastAsia" w:ascii="宋体" w:hAnsi="宋体" w:eastAsia="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pPr>
              <w:rPr>
                <w:rFonts w:ascii="宋体" w:hAnsi="宋体" w:eastAsia="宋体" w:cs="宋体"/>
                <w:bCs/>
                <w:color w:val="auto"/>
                <w:szCs w:val="21"/>
                <w:highlight w:val="none"/>
              </w:rPr>
            </w:pPr>
          </w:p>
        </w:tc>
        <w:tc>
          <w:tcPr>
            <w:tcW w:w="526" w:type="dxa"/>
            <w:vMerge w:val="continue"/>
            <w:noWrap w:val="0"/>
            <w:vAlign w:val="center"/>
          </w:tcPr>
          <w:p>
            <w:pPr>
              <w:textAlignment w:val="center"/>
              <w:rPr>
                <w:rFonts w:hint="eastAsia" w:ascii="宋体" w:hAnsi="宋体" w:eastAsia="宋体" w:cs="宋体"/>
                <w:bCs/>
                <w:color w:val="auto"/>
                <w:szCs w:val="21"/>
                <w:highlight w:val="none"/>
                <w:lang w:val="en-US" w:eastAsia="zh-CN"/>
              </w:rPr>
            </w:pPr>
          </w:p>
        </w:tc>
        <w:tc>
          <w:tcPr>
            <w:tcW w:w="5736" w:type="dxa"/>
            <w:noWrap w:val="0"/>
            <w:vAlign w:val="center"/>
          </w:tcPr>
          <w:p>
            <w:pPr>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17、</w:t>
            </w:r>
            <w:r>
              <w:rPr>
                <w:rFonts w:hint="eastAsia" w:ascii="Calibri" w:hAnsi="宋体" w:eastAsia="宋体" w:cs="宋体"/>
                <w:bCs/>
                <w:color w:val="auto"/>
                <w:sz w:val="21"/>
                <w:szCs w:val="21"/>
                <w:highlight w:val="none"/>
              </w:rPr>
              <w:t>投标报价</w:t>
            </w:r>
            <w:r>
              <w:rPr>
                <w:rFonts w:hint="eastAsia" w:ascii="Calibri" w:hAnsi="宋体" w:eastAsia="宋体" w:cs="宋体"/>
                <w:bCs/>
                <w:color w:val="auto"/>
                <w:sz w:val="21"/>
                <w:szCs w:val="21"/>
                <w:highlight w:val="none"/>
                <w:lang w:eastAsia="zh-CN"/>
              </w:rPr>
              <w:t>唯一且</w:t>
            </w:r>
            <w:r>
              <w:rPr>
                <w:rFonts w:hint="eastAsia" w:ascii="Calibri" w:hAnsi="宋体" w:eastAsia="宋体" w:cs="宋体"/>
                <w:bCs/>
                <w:color w:val="auto"/>
                <w:sz w:val="21"/>
                <w:szCs w:val="21"/>
                <w:highlight w:val="none"/>
              </w:rPr>
              <w:t>开标价格与投标文件承诺的优惠（折扣）价格一致的</w:t>
            </w:r>
          </w:p>
        </w:tc>
        <w:tc>
          <w:tcPr>
            <w:tcW w:w="1181" w:type="dxa"/>
            <w:noWrap w:val="0"/>
            <w:vAlign w:val="center"/>
          </w:tcPr>
          <w:p>
            <w:pPr>
              <w:rPr>
                <w:rFonts w:ascii="Calibri" w:hAnsi="Calibri" w:eastAsia="宋体" w:cs="Times New Roman"/>
                <w:color w:val="auto"/>
                <w:highlight w:val="none"/>
              </w:rPr>
            </w:pPr>
            <w:r>
              <w:rPr>
                <w:rFonts w:hint="eastAsia" w:ascii="Calibri" w:hAnsi="Calibri" w:eastAsia="宋体" w:cs="Times New Roman"/>
                <w:color w:val="auto"/>
                <w:highlight w:val="none"/>
              </w:rPr>
              <w:t>□通过</w:t>
            </w:r>
          </w:p>
          <w:p>
            <w:pPr>
              <w:rPr>
                <w:rFonts w:hint="eastAsia" w:ascii="宋体" w:hAnsi="宋体" w:eastAsia="宋体" w:cs="宋体"/>
                <w:bCs/>
                <w:color w:val="auto"/>
                <w:szCs w:val="21"/>
                <w:highlight w:val="none"/>
                <w:lang w:val="en-US" w:eastAsia="zh-CN"/>
              </w:rPr>
            </w:pPr>
            <w:r>
              <w:rPr>
                <w:rFonts w:hint="eastAsia" w:ascii="Calibri" w:hAnsi="Calibri" w:eastAsia="宋体" w:cs="Times New Roman"/>
                <w:color w:val="auto"/>
                <w:highlight w:val="none"/>
              </w:rPr>
              <w:t>□不通过</w:t>
            </w:r>
          </w:p>
        </w:tc>
        <w:tc>
          <w:tcPr>
            <w:tcW w:w="1182" w:type="dxa"/>
            <w:noWrap w:val="0"/>
            <w:vAlign w:val="center"/>
          </w:tcPr>
          <w:p>
            <w:pPr>
              <w:jc w:val="center"/>
              <w:rPr>
                <w:rFonts w:hint="eastAsia" w:ascii="宋体" w:hAnsi="宋体" w:eastAsia="宋体" w:cs="宋体"/>
                <w:bCs/>
                <w:color w:val="auto"/>
                <w:szCs w:val="21"/>
                <w:highlight w:val="none"/>
                <w:lang w:val="en-US" w:eastAsia="zh-CN"/>
              </w:rPr>
            </w:pPr>
            <w:r>
              <w:rPr>
                <w:rFonts w:hint="eastAsia" w:ascii="宋体" w:hAnsi="宋体" w:eastAsia="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pPr>
              <w:rPr>
                <w:rFonts w:ascii="宋体" w:hAnsi="宋体" w:eastAsia="宋体" w:cs="宋体"/>
                <w:bCs/>
                <w:color w:val="auto"/>
                <w:szCs w:val="21"/>
                <w:highlight w:val="none"/>
              </w:rPr>
            </w:pPr>
          </w:p>
        </w:tc>
        <w:tc>
          <w:tcPr>
            <w:tcW w:w="526" w:type="dxa"/>
            <w:vMerge w:val="continue"/>
            <w:noWrap w:val="0"/>
            <w:vAlign w:val="center"/>
          </w:tcPr>
          <w:p>
            <w:pPr>
              <w:textAlignment w:val="center"/>
              <w:rPr>
                <w:rFonts w:hint="eastAsia" w:ascii="宋体" w:hAnsi="宋体" w:eastAsia="宋体" w:cs="宋体"/>
                <w:bCs/>
                <w:color w:val="auto"/>
                <w:szCs w:val="21"/>
                <w:highlight w:val="none"/>
                <w:lang w:val="en-US" w:eastAsia="zh-CN"/>
              </w:rPr>
            </w:pPr>
          </w:p>
        </w:tc>
        <w:tc>
          <w:tcPr>
            <w:tcW w:w="5736" w:type="dxa"/>
            <w:noWrap w:val="0"/>
            <w:vAlign w:val="center"/>
          </w:tcPr>
          <w:p>
            <w:pPr>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18、</w:t>
            </w:r>
            <w:r>
              <w:rPr>
                <w:rFonts w:hint="eastAsia" w:ascii="Calibri" w:hAnsi="宋体" w:eastAsia="宋体" w:cs="宋体"/>
                <w:bCs/>
                <w:color w:val="auto"/>
                <w:sz w:val="21"/>
                <w:szCs w:val="21"/>
                <w:highlight w:val="none"/>
              </w:rPr>
              <w:t>报价合理</w:t>
            </w:r>
            <w:r>
              <w:rPr>
                <w:rFonts w:hint="eastAsia" w:ascii="Calibri" w:hAnsi="宋体" w:eastAsia="宋体" w:cs="宋体"/>
                <w:bCs/>
                <w:color w:val="auto"/>
                <w:sz w:val="21"/>
                <w:szCs w:val="21"/>
                <w:highlight w:val="none"/>
                <w:lang w:eastAsia="zh-CN"/>
              </w:rPr>
              <w:t>，不存在</w:t>
            </w:r>
            <w:r>
              <w:rPr>
                <w:rFonts w:hint="eastAsia" w:ascii="Calibri" w:hAnsi="宋体" w:eastAsia="宋体" w:cs="宋体"/>
                <w:bCs/>
                <w:color w:val="auto"/>
                <w:sz w:val="21"/>
                <w:szCs w:val="21"/>
                <w:highlight w:val="none"/>
              </w:rPr>
              <w:t>不平衡报价</w:t>
            </w:r>
          </w:p>
        </w:tc>
        <w:tc>
          <w:tcPr>
            <w:tcW w:w="1181" w:type="dxa"/>
            <w:noWrap w:val="0"/>
            <w:vAlign w:val="center"/>
          </w:tcPr>
          <w:p>
            <w:pPr>
              <w:rPr>
                <w:rFonts w:ascii="Calibri" w:hAnsi="Calibri" w:eastAsia="宋体" w:cs="Times New Roman"/>
                <w:color w:val="auto"/>
                <w:highlight w:val="none"/>
              </w:rPr>
            </w:pPr>
            <w:r>
              <w:rPr>
                <w:rFonts w:hint="eastAsia" w:ascii="Calibri" w:hAnsi="Calibri" w:eastAsia="宋体" w:cs="Times New Roman"/>
                <w:color w:val="auto"/>
                <w:highlight w:val="none"/>
              </w:rPr>
              <w:t>□通过</w:t>
            </w:r>
          </w:p>
          <w:p>
            <w:pPr>
              <w:rPr>
                <w:rFonts w:hint="eastAsia" w:ascii="宋体" w:hAnsi="宋体" w:eastAsia="宋体" w:cs="宋体"/>
                <w:bCs/>
                <w:color w:val="auto"/>
                <w:szCs w:val="21"/>
                <w:highlight w:val="none"/>
                <w:lang w:val="en-US" w:eastAsia="zh-CN"/>
              </w:rPr>
            </w:pPr>
            <w:r>
              <w:rPr>
                <w:rFonts w:hint="eastAsia" w:ascii="Calibri" w:hAnsi="Calibri" w:eastAsia="宋体" w:cs="Times New Roman"/>
                <w:color w:val="auto"/>
                <w:highlight w:val="none"/>
              </w:rPr>
              <w:t>□不通过</w:t>
            </w:r>
          </w:p>
        </w:tc>
        <w:tc>
          <w:tcPr>
            <w:tcW w:w="1182" w:type="dxa"/>
            <w:noWrap w:val="0"/>
            <w:vAlign w:val="center"/>
          </w:tcPr>
          <w:p>
            <w:pPr>
              <w:jc w:val="center"/>
              <w:rPr>
                <w:rFonts w:hint="eastAsia" w:ascii="宋体" w:hAnsi="宋体" w:eastAsia="宋体" w:cs="宋体"/>
                <w:bCs/>
                <w:color w:val="auto"/>
                <w:szCs w:val="21"/>
                <w:highlight w:val="none"/>
                <w:lang w:val="en-US" w:eastAsia="zh-CN"/>
              </w:rPr>
            </w:pPr>
            <w:r>
              <w:rPr>
                <w:rFonts w:hint="eastAsia" w:ascii="宋体" w:hAnsi="宋体" w:eastAsia="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pPr>
              <w:rPr>
                <w:rFonts w:ascii="宋体" w:hAnsi="宋体" w:eastAsia="宋体" w:cs="宋体"/>
                <w:bCs/>
                <w:color w:val="auto"/>
                <w:szCs w:val="21"/>
                <w:highlight w:val="none"/>
              </w:rPr>
            </w:pPr>
          </w:p>
        </w:tc>
        <w:tc>
          <w:tcPr>
            <w:tcW w:w="526" w:type="dxa"/>
            <w:vMerge w:val="continue"/>
            <w:noWrap w:val="0"/>
            <w:vAlign w:val="center"/>
          </w:tcPr>
          <w:p>
            <w:pPr>
              <w:textAlignment w:val="center"/>
              <w:rPr>
                <w:rFonts w:hint="eastAsia" w:ascii="宋体" w:hAnsi="宋体" w:eastAsia="宋体" w:cs="宋体"/>
                <w:bCs/>
                <w:color w:val="auto"/>
                <w:szCs w:val="21"/>
                <w:highlight w:val="none"/>
                <w:lang w:val="en-US" w:eastAsia="zh-CN"/>
              </w:rPr>
            </w:pPr>
          </w:p>
        </w:tc>
        <w:tc>
          <w:tcPr>
            <w:tcW w:w="5736" w:type="dxa"/>
            <w:noWrap w:val="0"/>
            <w:vAlign w:val="center"/>
          </w:tcPr>
          <w:p>
            <w:pPr>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19、</w:t>
            </w:r>
            <w:r>
              <w:rPr>
                <w:rFonts w:hint="eastAsia" w:ascii="Calibri" w:hAnsi="宋体" w:eastAsia="宋体" w:cs="宋体"/>
                <w:bCs/>
                <w:color w:val="auto"/>
                <w:sz w:val="21"/>
                <w:szCs w:val="21"/>
                <w:highlight w:val="none"/>
              </w:rPr>
              <w:t>投标报价中</w:t>
            </w:r>
            <w:r>
              <w:rPr>
                <w:rFonts w:hint="eastAsia" w:ascii="Calibri" w:hAnsi="宋体" w:eastAsia="宋体" w:cs="宋体"/>
                <w:bCs/>
                <w:color w:val="auto"/>
                <w:sz w:val="21"/>
                <w:szCs w:val="21"/>
                <w:highlight w:val="none"/>
                <w:lang w:eastAsia="zh-CN"/>
              </w:rPr>
              <w:t>未</w:t>
            </w:r>
            <w:r>
              <w:rPr>
                <w:rFonts w:hint="eastAsia" w:ascii="Calibri" w:hAnsi="宋体" w:eastAsia="宋体" w:cs="宋体"/>
                <w:bCs/>
                <w:color w:val="auto"/>
                <w:sz w:val="21"/>
                <w:szCs w:val="21"/>
                <w:highlight w:val="none"/>
              </w:rPr>
              <w:t>出现重大缺项、漏项</w:t>
            </w:r>
          </w:p>
        </w:tc>
        <w:tc>
          <w:tcPr>
            <w:tcW w:w="1181" w:type="dxa"/>
            <w:noWrap w:val="0"/>
            <w:vAlign w:val="center"/>
          </w:tcPr>
          <w:p>
            <w:pPr>
              <w:rPr>
                <w:rFonts w:ascii="Calibri" w:hAnsi="Calibri" w:eastAsia="宋体" w:cs="Times New Roman"/>
                <w:color w:val="auto"/>
                <w:highlight w:val="none"/>
              </w:rPr>
            </w:pPr>
            <w:r>
              <w:rPr>
                <w:rFonts w:hint="eastAsia" w:ascii="Calibri" w:hAnsi="Calibri" w:eastAsia="宋体" w:cs="Times New Roman"/>
                <w:color w:val="auto"/>
                <w:highlight w:val="none"/>
              </w:rPr>
              <w:t>□通过</w:t>
            </w:r>
          </w:p>
          <w:p>
            <w:pPr>
              <w:rPr>
                <w:rFonts w:hint="eastAsia" w:ascii="宋体" w:hAnsi="宋体" w:eastAsia="宋体" w:cs="宋体"/>
                <w:bCs/>
                <w:color w:val="auto"/>
                <w:szCs w:val="21"/>
                <w:highlight w:val="none"/>
                <w:lang w:val="en-US" w:eastAsia="zh-CN"/>
              </w:rPr>
            </w:pPr>
            <w:r>
              <w:rPr>
                <w:rFonts w:hint="eastAsia" w:ascii="Calibri" w:hAnsi="Calibri" w:eastAsia="宋体" w:cs="Times New Roman"/>
                <w:color w:val="auto"/>
                <w:highlight w:val="none"/>
              </w:rPr>
              <w:t>□不通过</w:t>
            </w:r>
          </w:p>
        </w:tc>
        <w:tc>
          <w:tcPr>
            <w:tcW w:w="1182" w:type="dxa"/>
            <w:noWrap w:val="0"/>
            <w:vAlign w:val="center"/>
          </w:tcPr>
          <w:p>
            <w:pPr>
              <w:jc w:val="center"/>
              <w:rPr>
                <w:rFonts w:hint="eastAsia" w:ascii="宋体" w:hAnsi="宋体" w:eastAsia="宋体" w:cs="宋体"/>
                <w:bCs/>
                <w:color w:val="auto"/>
                <w:szCs w:val="21"/>
                <w:highlight w:val="none"/>
                <w:lang w:val="en-US" w:eastAsia="zh-CN"/>
              </w:rPr>
            </w:pPr>
            <w:r>
              <w:rPr>
                <w:rFonts w:hint="eastAsia" w:ascii="宋体" w:hAnsi="宋体" w:eastAsia="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4" w:type="dxa"/>
            <w:vMerge w:val="continue"/>
            <w:noWrap w:val="0"/>
            <w:vAlign w:val="center"/>
          </w:tcPr>
          <w:p>
            <w:pPr>
              <w:rPr>
                <w:rFonts w:ascii="宋体" w:hAnsi="宋体" w:eastAsia="宋体" w:cs="宋体"/>
                <w:bCs/>
                <w:color w:val="auto"/>
                <w:szCs w:val="21"/>
                <w:highlight w:val="none"/>
              </w:rPr>
            </w:pPr>
          </w:p>
        </w:tc>
        <w:tc>
          <w:tcPr>
            <w:tcW w:w="526" w:type="dxa"/>
            <w:vMerge w:val="continue"/>
            <w:noWrap w:val="0"/>
            <w:vAlign w:val="center"/>
          </w:tcPr>
          <w:p>
            <w:pPr>
              <w:textAlignment w:val="center"/>
              <w:rPr>
                <w:rFonts w:hint="eastAsia" w:ascii="宋体" w:hAnsi="宋体" w:eastAsia="宋体" w:cs="宋体"/>
                <w:bCs/>
                <w:color w:val="auto"/>
                <w:szCs w:val="21"/>
                <w:highlight w:val="none"/>
                <w:lang w:val="en-US" w:eastAsia="zh-CN"/>
              </w:rPr>
            </w:pPr>
          </w:p>
        </w:tc>
        <w:tc>
          <w:tcPr>
            <w:tcW w:w="5736" w:type="dxa"/>
            <w:noWrap w:val="0"/>
            <w:vAlign w:val="center"/>
          </w:tcPr>
          <w:p>
            <w:pPr>
              <w:textAlignment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20、</w:t>
            </w:r>
            <w:r>
              <w:rPr>
                <w:rFonts w:hint="eastAsia" w:ascii="Calibri" w:hAnsi="宋体" w:eastAsia="宋体" w:cs="宋体"/>
                <w:bCs/>
                <w:color w:val="auto"/>
                <w:sz w:val="21"/>
                <w:szCs w:val="21"/>
                <w:highlight w:val="none"/>
              </w:rPr>
              <w:t>投标人的报价</w:t>
            </w:r>
            <w:r>
              <w:rPr>
                <w:rFonts w:hint="eastAsia" w:ascii="Calibri" w:hAnsi="宋体" w:eastAsia="宋体" w:cs="宋体"/>
                <w:bCs/>
                <w:color w:val="auto"/>
                <w:sz w:val="21"/>
                <w:szCs w:val="21"/>
                <w:highlight w:val="none"/>
                <w:lang w:eastAsia="zh-CN"/>
              </w:rPr>
              <w:t>未</w:t>
            </w:r>
            <w:r>
              <w:rPr>
                <w:rFonts w:hint="eastAsia" w:ascii="Calibri" w:hAnsi="宋体" w:eastAsia="宋体" w:cs="宋体"/>
                <w:bCs/>
                <w:color w:val="auto"/>
                <w:sz w:val="21"/>
                <w:szCs w:val="21"/>
                <w:highlight w:val="none"/>
              </w:rPr>
              <w:t>明显低于其他通过符合性审查投标人的报价，</w:t>
            </w:r>
            <w:r>
              <w:rPr>
                <w:rFonts w:hint="eastAsia" w:ascii="Calibri" w:hAnsi="宋体" w:eastAsia="宋体" w:cs="宋体"/>
                <w:bCs/>
                <w:color w:val="auto"/>
                <w:sz w:val="21"/>
                <w:szCs w:val="21"/>
                <w:highlight w:val="none"/>
                <w:lang w:eastAsia="zh-CN"/>
              </w:rPr>
              <w:t>如</w:t>
            </w:r>
            <w:r>
              <w:rPr>
                <w:rFonts w:hint="eastAsia" w:ascii="Calibri" w:hAnsi="宋体" w:eastAsia="宋体" w:cs="宋体"/>
                <w:bCs/>
                <w:color w:val="auto"/>
                <w:sz w:val="21"/>
                <w:szCs w:val="21"/>
                <w:highlight w:val="none"/>
              </w:rPr>
              <w:t>有可能影响产品质量或者不能诚信履约的，在评标现场合理时间内提供相关证明材料说明其报价合理</w:t>
            </w:r>
          </w:p>
        </w:tc>
        <w:tc>
          <w:tcPr>
            <w:tcW w:w="1181" w:type="dxa"/>
            <w:noWrap w:val="0"/>
            <w:vAlign w:val="center"/>
          </w:tcPr>
          <w:p>
            <w:pPr>
              <w:rPr>
                <w:rFonts w:ascii="Calibri" w:hAnsi="Calibri" w:eastAsia="宋体" w:cs="Times New Roman"/>
                <w:color w:val="auto"/>
                <w:highlight w:val="none"/>
              </w:rPr>
            </w:pPr>
            <w:r>
              <w:rPr>
                <w:rFonts w:hint="eastAsia" w:ascii="Calibri" w:hAnsi="Calibri" w:eastAsia="宋体" w:cs="Times New Roman"/>
                <w:color w:val="auto"/>
                <w:highlight w:val="none"/>
              </w:rPr>
              <w:t>□通过</w:t>
            </w:r>
          </w:p>
          <w:p>
            <w:pPr>
              <w:rPr>
                <w:rFonts w:hint="eastAsia" w:ascii="宋体" w:hAnsi="宋体" w:eastAsia="宋体" w:cs="宋体"/>
                <w:bCs/>
                <w:color w:val="auto"/>
                <w:szCs w:val="21"/>
                <w:highlight w:val="none"/>
                <w:lang w:val="en-US" w:eastAsia="zh-CN"/>
              </w:rPr>
            </w:pPr>
            <w:r>
              <w:rPr>
                <w:rFonts w:hint="eastAsia" w:ascii="Calibri" w:hAnsi="Calibri" w:eastAsia="宋体" w:cs="Times New Roman"/>
                <w:color w:val="auto"/>
                <w:highlight w:val="none"/>
              </w:rPr>
              <w:t>□不通过</w:t>
            </w:r>
          </w:p>
        </w:tc>
        <w:tc>
          <w:tcPr>
            <w:tcW w:w="1182" w:type="dxa"/>
            <w:noWrap w:val="0"/>
            <w:vAlign w:val="center"/>
          </w:tcPr>
          <w:p>
            <w:pPr>
              <w:jc w:val="center"/>
              <w:rPr>
                <w:rFonts w:hint="eastAsia" w:ascii="宋体" w:hAnsi="宋体" w:eastAsia="宋体" w:cs="宋体"/>
                <w:bCs/>
                <w:color w:val="auto"/>
                <w:szCs w:val="21"/>
                <w:highlight w:val="none"/>
                <w:lang w:val="en-US" w:eastAsia="zh-CN"/>
              </w:rPr>
            </w:pPr>
            <w:r>
              <w:rPr>
                <w:rFonts w:hint="eastAsia" w:ascii="宋体" w:hAnsi="宋体" w:eastAsia="宋体" w:cs="宋体"/>
                <w:color w:val="auto"/>
                <w:highlight w:val="none"/>
              </w:rPr>
              <w:t>第（ ）页</w:t>
            </w:r>
          </w:p>
        </w:tc>
      </w:tr>
    </w:tbl>
    <w:p>
      <w:pPr>
        <w:pageBreakBefore w:val="0"/>
        <w:widowControl w:val="0"/>
        <w:kinsoku/>
        <w:wordWrap/>
        <w:overflowPunct/>
        <w:topLinePunct w:val="0"/>
        <w:autoSpaceDE/>
        <w:autoSpaceDN/>
        <w:bidi w:val="0"/>
        <w:spacing w:before="240" w:line="360" w:lineRule="auto"/>
        <w:ind w:left="0" w:leftChars="0"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备注：投标人自查表将作为投标投标人有效性审查的重要内容之一，投标投标人必须严格按照其内容及序列要求在投标文件中对应如实提供。</w:t>
      </w:r>
    </w:p>
    <w:p>
      <w:pPr>
        <w:pageBreakBefore w:val="0"/>
        <w:widowControl w:val="0"/>
        <w:kinsoku/>
        <w:wordWrap/>
        <w:overflowPunct/>
        <w:topLinePunct w:val="0"/>
        <w:autoSpaceDE/>
        <w:autoSpaceDN/>
        <w:bidi w:val="0"/>
        <w:snapToGrid w:val="0"/>
        <w:spacing w:line="360" w:lineRule="auto"/>
        <w:ind w:left="0" w:leftChars="0" w:right="0" w:rightChars="0"/>
        <w:jc w:val="left"/>
        <w:rPr>
          <w:rFonts w:hint="eastAsia" w:ascii="宋体" w:hAnsi="宋体" w:eastAsia="宋体" w:cs="宋体"/>
          <w:b/>
          <w:bCs/>
          <w:color w:val="auto"/>
          <w:szCs w:val="21"/>
          <w:highlight w:val="none"/>
        </w:rPr>
      </w:pPr>
    </w:p>
    <w:p>
      <w:pPr>
        <w:pageBreakBefore w:val="0"/>
        <w:widowControl w:val="0"/>
        <w:kinsoku/>
        <w:wordWrap/>
        <w:overflowPunct/>
        <w:topLinePunct w:val="0"/>
        <w:autoSpaceDE/>
        <w:autoSpaceDN/>
        <w:bidi w:val="0"/>
        <w:snapToGrid w:val="0"/>
        <w:spacing w:line="360" w:lineRule="auto"/>
        <w:ind w:left="0" w:leftChars="0" w:right="0" w:rightChars="0"/>
        <w:jc w:val="left"/>
        <w:rPr>
          <w:rFonts w:hint="eastAsia" w:ascii="宋体" w:hAnsi="宋体" w:eastAsia="宋体" w:cs="宋体"/>
          <w:b/>
          <w:bCs/>
          <w:color w:val="auto"/>
          <w:szCs w:val="21"/>
          <w:highlight w:val="none"/>
        </w:rPr>
      </w:pP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ageBreakBefore w:val="0"/>
        <w:widowControl w:val="0"/>
        <w:kinsoku/>
        <w:wordWrap/>
        <w:overflowPunct/>
        <w:topLinePunct w:val="0"/>
        <w:autoSpaceDE/>
        <w:autoSpaceDN/>
        <w:bidi w:val="0"/>
        <w:snapToGrid w:val="0"/>
        <w:spacing w:line="360" w:lineRule="auto"/>
        <w:ind w:left="0" w:leftChars="0" w:right="0" w:rightChars="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1</w:t>
      </w: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.投标人基本情况表格式</w:t>
      </w:r>
    </w:p>
    <w:p>
      <w:pPr>
        <w:pageBreakBefore w:val="0"/>
        <w:widowControl w:val="0"/>
        <w:kinsoku/>
        <w:wordWrap/>
        <w:overflowPunct/>
        <w:topLinePunct w:val="0"/>
        <w:autoSpaceDE/>
        <w:autoSpaceDN/>
        <w:bidi w:val="0"/>
        <w:snapToGrid w:val="0"/>
        <w:spacing w:before="50" w:after="50" w:line="360" w:lineRule="auto"/>
        <w:ind w:left="0" w:leftChars="0" w:right="0" w:rightChars="0"/>
        <w:jc w:val="center"/>
        <w:rPr>
          <w:rFonts w:hint="eastAsia" w:ascii="宋体" w:hAnsi="宋体" w:eastAsia="宋体" w:cs="宋体"/>
          <w:b/>
          <w:bCs/>
          <w:color w:val="auto"/>
          <w:szCs w:val="21"/>
          <w:highlight w:val="none"/>
        </w:rPr>
      </w:pPr>
    </w:p>
    <w:p>
      <w:pPr>
        <w:pageBreakBefore w:val="0"/>
        <w:widowControl w:val="0"/>
        <w:kinsoku/>
        <w:wordWrap/>
        <w:overflowPunct/>
        <w:topLinePunct w:val="0"/>
        <w:autoSpaceDE/>
        <w:autoSpaceDN/>
        <w:bidi w:val="0"/>
        <w:snapToGrid w:val="0"/>
        <w:spacing w:before="50" w:after="50" w:line="360" w:lineRule="auto"/>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投标人基本情况表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035"/>
        <w:gridCol w:w="328"/>
        <w:gridCol w:w="1437"/>
        <w:gridCol w:w="1076"/>
        <w:gridCol w:w="370"/>
        <w:gridCol w:w="1142"/>
        <w:gridCol w:w="191"/>
        <w:gridCol w:w="374"/>
        <w:gridCol w:w="30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申请人名称</w:t>
            </w:r>
          </w:p>
        </w:tc>
        <w:tc>
          <w:tcPr>
            <w:tcW w:w="7759" w:type="dxa"/>
            <w:gridSpan w:val="10"/>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876" w:type="dxa"/>
            <w:gridSpan w:val="4"/>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03" w:type="dxa"/>
            <w:gridSpan w:val="3"/>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180" w:type="dxa"/>
            <w:gridSpan w:val="3"/>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vMerge w:val="restart"/>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1363" w:type="dxa"/>
            <w:gridSpan w:val="2"/>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513" w:type="dxa"/>
            <w:gridSpan w:val="2"/>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03" w:type="dxa"/>
            <w:gridSpan w:val="3"/>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2180" w:type="dxa"/>
            <w:gridSpan w:val="3"/>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vMerge w:val="continue"/>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363" w:type="dxa"/>
            <w:gridSpan w:val="2"/>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2513" w:type="dxa"/>
            <w:gridSpan w:val="2"/>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03" w:type="dxa"/>
            <w:gridSpan w:val="3"/>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网址</w:t>
            </w:r>
          </w:p>
        </w:tc>
        <w:tc>
          <w:tcPr>
            <w:tcW w:w="2180" w:type="dxa"/>
            <w:gridSpan w:val="3"/>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组织结构</w:t>
            </w:r>
          </w:p>
        </w:tc>
        <w:tc>
          <w:tcPr>
            <w:tcW w:w="7759" w:type="dxa"/>
            <w:gridSpan w:val="10"/>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1035" w:type="dxa"/>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765" w:type="dxa"/>
            <w:gridSpan w:val="2"/>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446" w:type="dxa"/>
            <w:gridSpan w:val="2"/>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142" w:type="dxa"/>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868" w:type="dxa"/>
            <w:gridSpan w:val="3"/>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503" w:type="dxa"/>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035" w:type="dxa"/>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765" w:type="dxa"/>
            <w:gridSpan w:val="2"/>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446" w:type="dxa"/>
            <w:gridSpan w:val="2"/>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142" w:type="dxa"/>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868" w:type="dxa"/>
            <w:gridSpan w:val="3"/>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503" w:type="dxa"/>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2800" w:type="dxa"/>
            <w:gridSpan w:val="3"/>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4959" w:type="dxa"/>
            <w:gridSpan w:val="7"/>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企业资质等级</w:t>
            </w:r>
          </w:p>
        </w:tc>
        <w:tc>
          <w:tcPr>
            <w:tcW w:w="2800" w:type="dxa"/>
            <w:gridSpan w:val="3"/>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076" w:type="dxa"/>
            <w:vMerge w:val="restart"/>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2077" w:type="dxa"/>
            <w:gridSpan w:val="4"/>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高级职称人员</w:t>
            </w:r>
          </w:p>
        </w:tc>
        <w:tc>
          <w:tcPr>
            <w:tcW w:w="1806" w:type="dxa"/>
            <w:gridSpan w:val="2"/>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营业执照号</w:t>
            </w:r>
          </w:p>
        </w:tc>
        <w:tc>
          <w:tcPr>
            <w:tcW w:w="2800" w:type="dxa"/>
            <w:gridSpan w:val="3"/>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076" w:type="dxa"/>
            <w:vMerge w:val="continue"/>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77" w:type="dxa"/>
            <w:gridSpan w:val="4"/>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中级职称人员</w:t>
            </w:r>
          </w:p>
        </w:tc>
        <w:tc>
          <w:tcPr>
            <w:tcW w:w="1806" w:type="dxa"/>
            <w:gridSpan w:val="2"/>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2800" w:type="dxa"/>
            <w:gridSpan w:val="3"/>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076" w:type="dxa"/>
            <w:vMerge w:val="continue"/>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77" w:type="dxa"/>
            <w:gridSpan w:val="4"/>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初级职称人员</w:t>
            </w:r>
          </w:p>
        </w:tc>
        <w:tc>
          <w:tcPr>
            <w:tcW w:w="1806" w:type="dxa"/>
            <w:gridSpan w:val="2"/>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2800" w:type="dxa"/>
            <w:gridSpan w:val="3"/>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076" w:type="dxa"/>
            <w:vMerge w:val="continue"/>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77" w:type="dxa"/>
            <w:gridSpan w:val="4"/>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806" w:type="dxa"/>
            <w:gridSpan w:val="2"/>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0" w:type="dxa"/>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2800" w:type="dxa"/>
            <w:gridSpan w:val="3"/>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076" w:type="dxa"/>
            <w:vMerge w:val="continue"/>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77" w:type="dxa"/>
            <w:gridSpan w:val="4"/>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806" w:type="dxa"/>
            <w:gridSpan w:val="2"/>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1880" w:type="dxa"/>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7759" w:type="dxa"/>
            <w:gridSpan w:val="10"/>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880" w:type="dxa"/>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759" w:type="dxa"/>
            <w:gridSpan w:val="10"/>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bl>
    <w:p>
      <w:pPr>
        <w:pageBreakBefore w:val="0"/>
        <w:widowControl w:val="0"/>
        <w:kinsoku/>
        <w:wordWrap/>
        <w:overflowPunct/>
        <w:topLinePunct w:val="0"/>
        <w:autoSpaceDE/>
        <w:autoSpaceDN/>
        <w:bidi w:val="0"/>
        <w:snapToGrid w:val="0"/>
        <w:spacing w:before="50" w:after="120" w:afterLines="50" w:line="360" w:lineRule="auto"/>
        <w:ind w:left="0" w:leftChars="0" w:right="0" w:rightChars="0"/>
        <w:jc w:val="left"/>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napToGrid w:val="0"/>
        <w:spacing w:before="50" w:after="120" w:afterLines="50" w:line="360" w:lineRule="auto"/>
        <w:ind w:left="0" w:leftChars="0" w:right="0" w:rightChars="0"/>
        <w:jc w:val="left"/>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pPr>
        <w:pageBreakBefore w:val="0"/>
        <w:widowControl w:val="0"/>
        <w:kinsoku/>
        <w:wordWrap/>
        <w:overflowPunct/>
        <w:topLinePunct w:val="0"/>
        <w:autoSpaceDE/>
        <w:autoSpaceDN/>
        <w:bidi w:val="0"/>
        <w:snapToGrid w:val="0"/>
        <w:spacing w:before="50" w:after="50" w:line="360" w:lineRule="auto"/>
        <w:ind w:left="130" w:leftChars="0" w:right="0" w:rightChars="0" w:hanging="130" w:hangingChars="62"/>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日期：    年   月   日</w:t>
      </w: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.商务响应表格式</w:t>
      </w:r>
    </w:p>
    <w:p>
      <w:pPr>
        <w:pageBreakBefore w:val="0"/>
        <w:widowControl w:val="0"/>
        <w:kinsoku/>
        <w:wordWrap/>
        <w:overflowPunct/>
        <w:topLinePunct w:val="0"/>
        <w:autoSpaceDE/>
        <w:autoSpaceDN/>
        <w:bidi w:val="0"/>
        <w:snapToGrid w:val="0"/>
        <w:spacing w:before="50" w:after="50" w:line="360" w:lineRule="auto"/>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商务响应表</w:t>
      </w:r>
    </w:p>
    <w:p>
      <w:pPr>
        <w:pageBreakBefore w:val="0"/>
        <w:widowControl w:val="0"/>
        <w:kinsoku/>
        <w:wordWrap/>
        <w:overflowPunct/>
        <w:topLinePunct w:val="0"/>
        <w:autoSpaceDE/>
        <w:autoSpaceDN/>
        <w:bidi w:val="0"/>
        <w:snapToGrid w:val="0"/>
        <w:spacing w:before="50" w:after="50" w:line="360" w:lineRule="auto"/>
        <w:ind w:left="0" w:leftChars="0" w:right="0" w:rightChars="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p>
      <w:pPr>
        <w:pageBreakBefore w:val="0"/>
        <w:widowControl w:val="0"/>
        <w:kinsoku/>
        <w:wordWrap/>
        <w:overflowPunct/>
        <w:topLinePunct w:val="0"/>
        <w:autoSpaceDE/>
        <w:autoSpaceDN/>
        <w:bidi w:val="0"/>
        <w:snapToGrid w:val="0"/>
        <w:spacing w:before="50" w:after="50" w:line="360" w:lineRule="auto"/>
        <w:ind w:left="0" w:leftChars="0" w:right="0" w:rightChars="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bl>
      <w:tblPr>
        <w:tblStyle w:val="2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867"/>
        <w:gridCol w:w="3218"/>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center"/>
          </w:tcPr>
          <w:p>
            <w:pPr>
              <w:pStyle w:val="2"/>
              <w:pageBreakBefore w:val="0"/>
              <w:widowControl w:val="0"/>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rPr>
            </w:pPr>
            <w:r>
              <w:rPr>
                <w:rFonts w:hint="eastAsia" w:hAnsi="宋体" w:eastAsia="宋体" w:cs="宋体"/>
                <w:b/>
                <w:color w:val="auto"/>
                <w:sz w:val="21"/>
                <w:szCs w:val="21"/>
                <w:highlight w:val="none"/>
              </w:rPr>
              <w:t>序号</w:t>
            </w:r>
          </w:p>
        </w:tc>
        <w:tc>
          <w:tcPr>
            <w:tcW w:w="2867" w:type="dxa"/>
            <w:noWrap w:val="0"/>
            <w:vAlign w:val="center"/>
          </w:tcPr>
          <w:p>
            <w:pPr>
              <w:pStyle w:val="2"/>
              <w:pageBreakBefore w:val="0"/>
              <w:widowControl w:val="0"/>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rPr>
            </w:pPr>
            <w:r>
              <w:rPr>
                <w:rFonts w:hint="eastAsia" w:hAnsi="宋体" w:eastAsia="宋体" w:cs="宋体"/>
                <w:b/>
                <w:color w:val="auto"/>
                <w:sz w:val="21"/>
                <w:szCs w:val="21"/>
                <w:highlight w:val="none"/>
              </w:rPr>
              <w:t>采购文件的商务条款</w:t>
            </w:r>
          </w:p>
        </w:tc>
        <w:tc>
          <w:tcPr>
            <w:tcW w:w="3218" w:type="dxa"/>
            <w:noWrap w:val="0"/>
            <w:vAlign w:val="center"/>
          </w:tcPr>
          <w:p>
            <w:pPr>
              <w:pStyle w:val="2"/>
              <w:pageBreakBefore w:val="0"/>
              <w:widowControl w:val="0"/>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rPr>
            </w:pPr>
            <w:r>
              <w:rPr>
                <w:rFonts w:hint="eastAsia" w:hAnsi="宋体" w:eastAsia="宋体" w:cs="宋体"/>
                <w:b/>
                <w:color w:val="auto"/>
                <w:sz w:val="21"/>
                <w:szCs w:val="21"/>
                <w:highlight w:val="none"/>
              </w:rPr>
              <w:t>投标文件的商务条款</w:t>
            </w:r>
          </w:p>
        </w:tc>
        <w:tc>
          <w:tcPr>
            <w:tcW w:w="2543" w:type="dxa"/>
            <w:noWrap w:val="0"/>
            <w:vAlign w:val="center"/>
          </w:tcPr>
          <w:p>
            <w:pPr>
              <w:pStyle w:val="2"/>
              <w:pageBreakBefore w:val="0"/>
              <w:widowControl w:val="0"/>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rPr>
            </w:pPr>
            <w:r>
              <w:rPr>
                <w:rFonts w:hint="eastAsia" w:hAnsi="宋体" w:eastAsia="宋体" w:cs="宋体"/>
                <w:b/>
                <w:color w:val="auto"/>
                <w:sz w:val="21"/>
                <w:szCs w:val="21"/>
                <w:highlight w:val="none"/>
              </w:rPr>
              <w:t>说明（填写：正偏离/负偏离/响应）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867"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3218"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543"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867"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3218"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543"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867"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3218"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543"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867"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3218"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543"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867"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3218"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543"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867"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3218"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543"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867"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3218"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543"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867"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3218"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543"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867"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3218"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c>
          <w:tcPr>
            <w:tcW w:w="2543"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highlight w:val="none"/>
                <w:u w:val="single"/>
              </w:rPr>
            </w:pPr>
          </w:p>
        </w:tc>
      </w:tr>
    </w:tbl>
    <w:p>
      <w:pPr>
        <w:pageBreakBefore w:val="0"/>
        <w:widowControl w:val="0"/>
        <w:kinsoku/>
        <w:wordWrap/>
        <w:overflowPunct/>
        <w:topLinePunct w:val="0"/>
        <w:autoSpaceDE/>
        <w:autoSpaceDN/>
        <w:bidi w:val="0"/>
        <w:snapToGrid w:val="0"/>
        <w:spacing w:before="50" w:after="120" w:afterLines="50" w:line="360" w:lineRule="auto"/>
        <w:ind w:left="0" w:leftChars="0" w:right="0" w:right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w:t>
      </w:r>
      <w:r>
        <w:rPr>
          <w:rFonts w:hint="eastAsia" w:ascii="宋体" w:hAnsi="宋体" w:eastAsia="宋体" w:cs="宋体"/>
          <w:color w:val="auto"/>
          <w:highlight w:val="none"/>
          <w:lang w:val="zh-CN"/>
        </w:rPr>
        <w:t>投标人根据本采购文件</w:t>
      </w:r>
      <w:r>
        <w:rPr>
          <w:rFonts w:hint="eastAsia" w:ascii="宋体" w:hAnsi="宋体" w:eastAsia="宋体" w:cs="宋体"/>
          <w:b/>
          <w:color w:val="auto"/>
          <w:highlight w:val="none"/>
          <w:lang w:val="zh-CN"/>
        </w:rPr>
        <w:t xml:space="preserve"> 第二章 招标需求 商务要求表和第三章 投标人须知</w:t>
      </w:r>
      <w:r>
        <w:rPr>
          <w:rFonts w:hint="eastAsia" w:ascii="宋体" w:hAnsi="宋体" w:eastAsia="宋体" w:cs="宋体"/>
          <w:color w:val="auto"/>
          <w:highlight w:val="none"/>
          <w:lang w:val="zh-CN"/>
        </w:rPr>
        <w:t>的相关条款填写</w:t>
      </w:r>
      <w:r>
        <w:rPr>
          <w:rFonts w:hint="eastAsia" w:ascii="宋体" w:hAnsi="宋体" w:eastAsia="宋体" w:cs="宋体"/>
          <w:color w:val="auto"/>
          <w:szCs w:val="21"/>
          <w:highlight w:val="none"/>
        </w:rPr>
        <w:t>；</w:t>
      </w:r>
    </w:p>
    <w:p>
      <w:pPr>
        <w:pageBreakBefore w:val="0"/>
        <w:widowControl w:val="0"/>
        <w:kinsoku/>
        <w:wordWrap/>
        <w:overflowPunct/>
        <w:topLinePunct w:val="0"/>
        <w:autoSpaceDE/>
        <w:autoSpaceDN/>
        <w:bidi w:val="0"/>
        <w:snapToGrid w:val="0"/>
        <w:spacing w:before="50" w:after="120" w:afterLines="50"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2、若无偏离应在本表空白处醒目地注明“商务条款全部响应，无偏离”的字样。</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ageBreakBefore w:val="0"/>
        <w:widowControl w:val="0"/>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1</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.技术响应表格式</w:t>
      </w:r>
    </w:p>
    <w:p>
      <w:pPr>
        <w:pageBreakBefore w:val="0"/>
        <w:widowControl w:val="0"/>
        <w:kinsoku/>
        <w:wordWrap/>
        <w:overflowPunct/>
        <w:topLinePunct w:val="0"/>
        <w:autoSpaceDE/>
        <w:autoSpaceDN/>
        <w:bidi w:val="0"/>
        <w:snapToGrid w:val="0"/>
        <w:spacing w:before="50" w:after="50" w:line="360" w:lineRule="auto"/>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技术响应表</w:t>
      </w:r>
    </w:p>
    <w:p>
      <w:pPr>
        <w:pageBreakBefore w:val="0"/>
        <w:widowControl w:val="0"/>
        <w:kinsoku/>
        <w:wordWrap/>
        <w:overflowPunct/>
        <w:topLinePunct w:val="0"/>
        <w:autoSpaceDE/>
        <w:autoSpaceDN/>
        <w:bidi w:val="0"/>
        <w:snapToGrid w:val="0"/>
        <w:spacing w:before="50" w:after="50" w:line="360" w:lineRule="auto"/>
        <w:ind w:left="0" w:leftChars="0" w:right="0" w:rightChars="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p>
      <w:pPr>
        <w:pageBreakBefore w:val="0"/>
        <w:widowControl w:val="0"/>
        <w:kinsoku/>
        <w:wordWrap/>
        <w:overflowPunct/>
        <w:topLinePunct w:val="0"/>
        <w:autoSpaceDE/>
        <w:autoSpaceDN/>
        <w:bidi w:val="0"/>
        <w:snapToGrid w:val="0"/>
        <w:spacing w:before="50" w:after="50" w:line="360" w:lineRule="auto"/>
        <w:ind w:left="0" w:leftChars="0" w:right="0" w:rightChars="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bl>
      <w:tblPr>
        <w:tblStyle w:val="2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867"/>
        <w:gridCol w:w="3218"/>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center"/>
          </w:tcPr>
          <w:p>
            <w:pPr>
              <w:pStyle w:val="2"/>
              <w:pageBreakBefore w:val="0"/>
              <w:widowControl w:val="0"/>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rPr>
            </w:pPr>
            <w:r>
              <w:rPr>
                <w:rFonts w:hint="eastAsia" w:hAnsi="宋体" w:eastAsia="宋体" w:cs="宋体"/>
                <w:b/>
                <w:color w:val="auto"/>
                <w:sz w:val="21"/>
                <w:szCs w:val="21"/>
                <w:highlight w:val="none"/>
              </w:rPr>
              <w:t>序号</w:t>
            </w:r>
          </w:p>
        </w:tc>
        <w:tc>
          <w:tcPr>
            <w:tcW w:w="2867" w:type="dxa"/>
            <w:noWrap w:val="0"/>
            <w:vAlign w:val="center"/>
          </w:tcPr>
          <w:p>
            <w:pPr>
              <w:pStyle w:val="2"/>
              <w:pageBreakBefore w:val="0"/>
              <w:widowControl w:val="0"/>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rPr>
            </w:pPr>
            <w:r>
              <w:rPr>
                <w:rFonts w:hint="eastAsia" w:hAnsi="宋体" w:eastAsia="宋体" w:cs="宋体"/>
                <w:b/>
                <w:color w:val="auto"/>
                <w:sz w:val="21"/>
                <w:szCs w:val="21"/>
                <w:highlight w:val="none"/>
              </w:rPr>
              <w:t>采购文件的技术需求</w:t>
            </w:r>
          </w:p>
        </w:tc>
        <w:tc>
          <w:tcPr>
            <w:tcW w:w="3218" w:type="dxa"/>
            <w:noWrap w:val="0"/>
            <w:vAlign w:val="center"/>
          </w:tcPr>
          <w:p>
            <w:pPr>
              <w:pStyle w:val="2"/>
              <w:pageBreakBefore w:val="0"/>
              <w:widowControl w:val="0"/>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rPr>
            </w:pPr>
            <w:r>
              <w:rPr>
                <w:rFonts w:hint="eastAsia" w:hAnsi="宋体" w:eastAsia="宋体" w:cs="宋体"/>
                <w:b/>
                <w:color w:val="auto"/>
                <w:sz w:val="21"/>
                <w:szCs w:val="21"/>
                <w:highlight w:val="none"/>
              </w:rPr>
              <w:t>投标文件的技术需求</w:t>
            </w:r>
          </w:p>
        </w:tc>
        <w:tc>
          <w:tcPr>
            <w:tcW w:w="2543" w:type="dxa"/>
            <w:noWrap w:val="0"/>
            <w:vAlign w:val="center"/>
          </w:tcPr>
          <w:p>
            <w:pPr>
              <w:pStyle w:val="2"/>
              <w:pageBreakBefore w:val="0"/>
              <w:widowControl w:val="0"/>
              <w:kinsoku/>
              <w:wordWrap/>
              <w:overflowPunct/>
              <w:topLinePunct w:val="0"/>
              <w:autoSpaceDE/>
              <w:autoSpaceDN/>
              <w:bidi w:val="0"/>
              <w:spacing w:before="120" w:after="120" w:line="240" w:lineRule="auto"/>
              <w:ind w:left="0" w:leftChars="0" w:right="0" w:rightChars="0"/>
              <w:jc w:val="center"/>
              <w:rPr>
                <w:rFonts w:hint="eastAsia" w:hAnsi="宋体" w:eastAsia="宋体" w:cs="宋体"/>
                <w:b/>
                <w:color w:val="auto"/>
                <w:sz w:val="21"/>
                <w:szCs w:val="21"/>
                <w:highlight w:val="none"/>
              </w:rPr>
            </w:pPr>
            <w:r>
              <w:rPr>
                <w:rFonts w:hint="eastAsia" w:hAnsi="宋体" w:eastAsia="宋体" w:cs="宋体"/>
                <w:b/>
                <w:color w:val="auto"/>
                <w:sz w:val="21"/>
                <w:szCs w:val="21"/>
                <w:highlight w:val="none"/>
              </w:rPr>
              <w:t>说明（填写：正偏离/负偏离/响应）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867"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3218"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543"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867"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3218"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543"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867"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3218"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543"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867"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3218"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543"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867"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3218"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543"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867"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3218"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543"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867"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3218"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543"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11"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867"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3218"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543"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11"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867"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3218"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c>
          <w:tcPr>
            <w:tcW w:w="2543" w:type="dxa"/>
            <w:noWrap w:val="0"/>
            <w:vAlign w:val="top"/>
          </w:tcPr>
          <w:p>
            <w:pPr>
              <w:pStyle w:val="2"/>
              <w:pageBreakBefore w:val="0"/>
              <w:widowControl w:val="0"/>
              <w:kinsoku/>
              <w:wordWrap/>
              <w:overflowPunct/>
              <w:topLinePunct w:val="0"/>
              <w:autoSpaceDE/>
              <w:autoSpaceDN/>
              <w:bidi w:val="0"/>
              <w:snapToGrid w:val="0"/>
              <w:spacing w:before="120" w:after="120"/>
              <w:ind w:left="0" w:leftChars="0" w:right="0" w:rightChars="0"/>
              <w:rPr>
                <w:rFonts w:hint="eastAsia" w:hAnsi="宋体" w:eastAsia="宋体" w:cs="宋体"/>
                <w:color w:val="auto"/>
                <w:sz w:val="21"/>
                <w:szCs w:val="21"/>
                <w:highlight w:val="none"/>
                <w:u w:val="single"/>
              </w:rPr>
            </w:pPr>
          </w:p>
        </w:tc>
      </w:tr>
    </w:tbl>
    <w:p>
      <w:pPr>
        <w:pageBreakBefore w:val="0"/>
        <w:widowControl w:val="0"/>
        <w:kinsoku/>
        <w:wordWrap/>
        <w:overflowPunct/>
        <w:topLinePunct w:val="0"/>
        <w:autoSpaceDE/>
        <w:autoSpaceDN/>
        <w:bidi w:val="0"/>
        <w:snapToGrid w:val="0"/>
        <w:spacing w:before="50" w:after="120" w:afterLines="50" w:line="360" w:lineRule="auto"/>
        <w:ind w:left="0" w:leftChars="0" w:right="0" w:right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w:t>
      </w:r>
      <w:r>
        <w:rPr>
          <w:rFonts w:hint="eastAsia" w:ascii="宋体" w:hAnsi="宋体" w:eastAsia="宋体" w:cs="宋体"/>
          <w:color w:val="auto"/>
          <w:highlight w:val="none"/>
          <w:lang w:val="zh-CN"/>
        </w:rPr>
        <w:t>投标人根据本采购文件</w:t>
      </w:r>
      <w:r>
        <w:rPr>
          <w:rFonts w:hint="eastAsia" w:ascii="宋体" w:hAnsi="宋体" w:eastAsia="宋体" w:cs="宋体"/>
          <w:b/>
          <w:color w:val="auto"/>
          <w:highlight w:val="none"/>
          <w:lang w:val="zh-CN"/>
        </w:rPr>
        <w:t xml:space="preserve"> 第二章 招标需求</w:t>
      </w:r>
      <w:r>
        <w:rPr>
          <w:rFonts w:hint="eastAsia" w:ascii="宋体" w:hAnsi="宋体" w:eastAsia="宋体" w:cs="宋体"/>
          <w:color w:val="auto"/>
          <w:highlight w:val="none"/>
          <w:lang w:val="zh-CN"/>
        </w:rPr>
        <w:t>的相关条款填写；</w:t>
      </w:r>
    </w:p>
    <w:p>
      <w:pPr>
        <w:pageBreakBefore w:val="0"/>
        <w:widowControl w:val="0"/>
        <w:kinsoku/>
        <w:wordWrap/>
        <w:overflowPunct/>
        <w:topLinePunct w:val="0"/>
        <w:autoSpaceDE/>
        <w:autoSpaceDN/>
        <w:bidi w:val="0"/>
        <w:snapToGrid w:val="0"/>
        <w:spacing w:before="50" w:after="120" w:afterLines="50"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2、若无偏离应在本表空白处醒目地注明“技术条款全部响应，无偏离”的字样。</w:t>
      </w:r>
    </w:p>
    <w:p>
      <w:pPr>
        <w:pageBreakBefore w:val="0"/>
        <w:widowControl w:val="0"/>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color w:val="auto"/>
          <w:szCs w:val="21"/>
          <w:highlight w:val="none"/>
        </w:rPr>
      </w:pPr>
    </w:p>
    <w:p>
      <w:pPr>
        <w:pStyle w:val="26"/>
        <w:rPr>
          <w:rFonts w:hint="eastAsia"/>
          <w:color w:val="auto"/>
          <w:highlight w:val="none"/>
        </w:rPr>
      </w:pP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ageBreakBefore w:val="0"/>
        <w:widowControl w:val="0"/>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1</w:t>
      </w: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rPr>
        <w:t>.政府采购统计基础信息表格式</w:t>
      </w:r>
    </w:p>
    <w:p>
      <w:pPr>
        <w:pageBreakBefore w:val="0"/>
        <w:widowControl w:val="0"/>
        <w:kinsoku/>
        <w:wordWrap/>
        <w:overflowPunct/>
        <w:topLinePunct w:val="0"/>
        <w:autoSpaceDE/>
        <w:autoSpaceDN/>
        <w:bidi w:val="0"/>
        <w:spacing w:after="240"/>
        <w:ind w:left="0" w:leftChars="0" w:right="0" w:rightChars="0"/>
        <w:jc w:val="center"/>
        <w:rPr>
          <w:rFonts w:hint="eastAsia" w:ascii="宋体" w:hAnsi="宋体" w:eastAsia="宋体" w:cs="宋体"/>
          <w:b/>
          <w:color w:val="auto"/>
          <w:spacing w:val="6"/>
          <w:szCs w:val="21"/>
          <w:highlight w:val="none"/>
        </w:rPr>
      </w:pPr>
    </w:p>
    <w:p>
      <w:pPr>
        <w:pageBreakBefore w:val="0"/>
        <w:widowControl w:val="0"/>
        <w:kinsoku/>
        <w:wordWrap/>
        <w:overflowPunct/>
        <w:topLinePunct w:val="0"/>
        <w:autoSpaceDE/>
        <w:autoSpaceDN/>
        <w:bidi w:val="0"/>
        <w:spacing w:after="240"/>
        <w:ind w:left="0" w:leftChars="0" w:right="0" w:rightChars="0"/>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政府采购统计基础信息表</w:t>
      </w:r>
    </w:p>
    <w:tbl>
      <w:tblPr>
        <w:tblStyle w:val="20"/>
        <w:tblW w:w="0" w:type="auto"/>
        <w:jc w:val="center"/>
        <w:tblLayout w:type="fixed"/>
        <w:tblCellMar>
          <w:top w:w="0" w:type="dxa"/>
          <w:left w:w="108" w:type="dxa"/>
          <w:bottom w:w="0" w:type="dxa"/>
          <w:right w:w="108" w:type="dxa"/>
        </w:tblCellMar>
      </w:tblPr>
      <w:tblGrid>
        <w:gridCol w:w="5102"/>
        <w:gridCol w:w="3968"/>
      </w:tblGrid>
      <w:tr>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auto"/>
                <w:spacing w:val="6"/>
                <w:szCs w:val="21"/>
                <w:highlight w:val="none"/>
              </w:rPr>
            </w:pPr>
            <w:r>
              <w:rPr>
                <w:rFonts w:hint="eastAsia" w:ascii="宋体" w:hAnsi="宋体"/>
                <w:color w:val="auto"/>
                <w:spacing w:val="6"/>
                <w:szCs w:val="21"/>
                <w:highlight w:val="none"/>
              </w:rPr>
              <w:t>采购单位及采购项目名称</w:t>
            </w:r>
          </w:p>
        </w:tc>
        <w:tc>
          <w:tcPr>
            <w:tcW w:w="3968" w:type="dxa"/>
            <w:tcBorders>
              <w:top w:val="single" w:color="000000" w:sz="4" w:space="0"/>
              <w:left w:val="nil"/>
              <w:bottom w:val="single" w:color="000000" w:sz="4" w:space="0"/>
              <w:right w:val="single" w:color="000000" w:sz="4" w:space="0"/>
            </w:tcBorders>
            <w:noWrap w:val="0"/>
            <w:vAlign w:val="center"/>
          </w:tcPr>
          <w:p>
            <w:pPr>
              <w:ind w:firstLine="444" w:firstLineChars="200"/>
              <w:jc w:val="center"/>
              <w:rPr>
                <w:rFonts w:ascii="宋体" w:hAnsi="宋体"/>
                <w:color w:val="auto"/>
                <w:spacing w:val="6"/>
                <w:szCs w:val="21"/>
                <w:highlight w:val="none"/>
              </w:rPr>
            </w:pPr>
          </w:p>
        </w:tc>
      </w:tr>
      <w:tr>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auto"/>
                <w:spacing w:val="6"/>
                <w:szCs w:val="21"/>
                <w:highlight w:val="none"/>
              </w:rPr>
            </w:pPr>
            <w:r>
              <w:rPr>
                <w:rFonts w:hint="eastAsia" w:ascii="宋体" w:hAnsi="宋体"/>
                <w:color w:val="auto"/>
                <w:spacing w:val="6"/>
                <w:szCs w:val="21"/>
                <w:highlight w:val="none"/>
              </w:rPr>
              <w:t>投（中）标单位名称</w:t>
            </w:r>
          </w:p>
        </w:tc>
        <w:tc>
          <w:tcPr>
            <w:tcW w:w="3968" w:type="dxa"/>
            <w:tcBorders>
              <w:top w:val="single" w:color="000000" w:sz="4" w:space="0"/>
              <w:left w:val="nil"/>
              <w:bottom w:val="single" w:color="000000" w:sz="4" w:space="0"/>
              <w:right w:val="single" w:color="000000" w:sz="4" w:space="0"/>
            </w:tcBorders>
            <w:noWrap w:val="0"/>
            <w:vAlign w:val="center"/>
          </w:tcPr>
          <w:p>
            <w:pPr>
              <w:ind w:firstLine="444" w:firstLineChars="200"/>
              <w:jc w:val="center"/>
              <w:rPr>
                <w:rFonts w:ascii="宋体" w:hAnsi="宋体"/>
                <w:color w:val="auto"/>
                <w:spacing w:val="6"/>
                <w:szCs w:val="21"/>
                <w:highlight w:val="none"/>
              </w:rPr>
            </w:pPr>
          </w:p>
        </w:tc>
      </w:tr>
      <w:tr>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auto"/>
                <w:spacing w:val="6"/>
                <w:szCs w:val="21"/>
                <w:highlight w:val="none"/>
              </w:rPr>
            </w:pPr>
            <w:r>
              <w:rPr>
                <w:rFonts w:hint="eastAsia" w:ascii="宋体" w:hAnsi="宋体"/>
                <w:color w:val="auto"/>
                <w:spacing w:val="6"/>
                <w:szCs w:val="21"/>
                <w:highlight w:val="none"/>
              </w:rPr>
              <w:t>是否国内企业</w:t>
            </w:r>
          </w:p>
        </w:tc>
        <w:tc>
          <w:tcPr>
            <w:tcW w:w="3968" w:type="dxa"/>
            <w:tcBorders>
              <w:top w:val="single" w:color="000000" w:sz="4" w:space="0"/>
              <w:left w:val="nil"/>
              <w:bottom w:val="single" w:color="000000" w:sz="4" w:space="0"/>
              <w:right w:val="single" w:color="000000" w:sz="4" w:space="0"/>
            </w:tcBorders>
            <w:noWrap w:val="0"/>
            <w:vAlign w:val="center"/>
          </w:tcPr>
          <w:p>
            <w:pPr>
              <w:ind w:firstLine="444" w:firstLineChars="200"/>
              <w:jc w:val="center"/>
              <w:rPr>
                <w:rFonts w:ascii="宋体" w:hAnsi="宋体"/>
                <w:color w:val="auto"/>
                <w:spacing w:val="6"/>
                <w:szCs w:val="21"/>
                <w:highlight w:val="none"/>
              </w:rPr>
            </w:pPr>
          </w:p>
        </w:tc>
      </w:tr>
      <w:tr>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auto"/>
                <w:spacing w:val="6"/>
                <w:szCs w:val="21"/>
                <w:highlight w:val="none"/>
              </w:rPr>
            </w:pPr>
            <w:r>
              <w:rPr>
                <w:rFonts w:hint="eastAsia" w:ascii="宋体" w:hAnsi="宋体"/>
                <w:color w:val="auto"/>
                <w:spacing w:val="6"/>
                <w:szCs w:val="21"/>
                <w:highlight w:val="none"/>
              </w:rPr>
              <w:t>是否宁波企业</w:t>
            </w:r>
          </w:p>
        </w:tc>
        <w:tc>
          <w:tcPr>
            <w:tcW w:w="3968" w:type="dxa"/>
            <w:tcBorders>
              <w:top w:val="single" w:color="000000" w:sz="4" w:space="0"/>
              <w:left w:val="nil"/>
              <w:bottom w:val="single" w:color="000000" w:sz="4" w:space="0"/>
              <w:right w:val="single" w:color="000000" w:sz="4" w:space="0"/>
            </w:tcBorders>
            <w:noWrap w:val="0"/>
            <w:vAlign w:val="center"/>
          </w:tcPr>
          <w:p>
            <w:pPr>
              <w:ind w:firstLine="444" w:firstLineChars="200"/>
              <w:jc w:val="center"/>
              <w:rPr>
                <w:rFonts w:ascii="宋体" w:hAnsi="宋体"/>
                <w:color w:val="auto"/>
                <w:spacing w:val="6"/>
                <w:szCs w:val="21"/>
                <w:highlight w:val="none"/>
              </w:rPr>
            </w:pPr>
          </w:p>
        </w:tc>
      </w:tr>
      <w:tr>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auto"/>
                <w:spacing w:val="6"/>
                <w:szCs w:val="21"/>
                <w:highlight w:val="none"/>
              </w:rPr>
            </w:pPr>
            <w:r>
              <w:rPr>
                <w:rFonts w:hint="eastAsia" w:ascii="宋体" w:hAnsi="宋体"/>
                <w:color w:val="auto"/>
                <w:spacing w:val="6"/>
                <w:szCs w:val="21"/>
                <w:highlight w:val="none"/>
              </w:rPr>
              <w:t>企业划分标准类型（大型、中型、小型、微型）</w:t>
            </w:r>
          </w:p>
        </w:tc>
        <w:tc>
          <w:tcPr>
            <w:tcW w:w="3968" w:type="dxa"/>
            <w:tcBorders>
              <w:top w:val="single" w:color="000000" w:sz="4" w:space="0"/>
              <w:left w:val="nil"/>
              <w:bottom w:val="single" w:color="000000" w:sz="4" w:space="0"/>
              <w:right w:val="single" w:color="000000" w:sz="4" w:space="0"/>
            </w:tcBorders>
            <w:noWrap w:val="0"/>
            <w:vAlign w:val="center"/>
          </w:tcPr>
          <w:p>
            <w:pPr>
              <w:ind w:firstLine="444" w:firstLineChars="200"/>
              <w:jc w:val="center"/>
              <w:rPr>
                <w:rFonts w:ascii="宋体" w:hAnsi="宋体"/>
                <w:color w:val="auto"/>
                <w:spacing w:val="6"/>
                <w:szCs w:val="21"/>
                <w:highlight w:val="none"/>
              </w:rPr>
            </w:pPr>
          </w:p>
        </w:tc>
      </w:tr>
      <w:tr>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auto"/>
                <w:spacing w:val="6"/>
                <w:szCs w:val="21"/>
                <w:highlight w:val="none"/>
              </w:rPr>
            </w:pPr>
            <w:r>
              <w:rPr>
                <w:rFonts w:hint="eastAsia" w:ascii="宋体" w:hAnsi="宋体"/>
                <w:color w:val="auto"/>
                <w:spacing w:val="6"/>
                <w:szCs w:val="21"/>
                <w:highlight w:val="none"/>
              </w:rPr>
              <w:t>提供的货物是否本企业制造</w:t>
            </w:r>
          </w:p>
        </w:tc>
        <w:tc>
          <w:tcPr>
            <w:tcW w:w="3968" w:type="dxa"/>
            <w:tcBorders>
              <w:top w:val="single" w:color="000000" w:sz="4" w:space="0"/>
              <w:left w:val="nil"/>
              <w:bottom w:val="single" w:color="000000" w:sz="4" w:space="0"/>
              <w:right w:val="single" w:color="000000" w:sz="4" w:space="0"/>
            </w:tcBorders>
            <w:noWrap w:val="0"/>
            <w:vAlign w:val="center"/>
          </w:tcPr>
          <w:p>
            <w:pPr>
              <w:ind w:firstLine="420" w:firstLineChars="200"/>
              <w:jc w:val="center"/>
              <w:rPr>
                <w:rFonts w:ascii="宋体" w:hAnsi="宋体"/>
                <w:color w:val="auto"/>
                <w:spacing w:val="6"/>
                <w:szCs w:val="21"/>
                <w:highlight w:val="none"/>
              </w:rPr>
            </w:pPr>
            <w:r>
              <w:rPr>
                <w:rFonts w:hint="eastAsia" w:ascii="Times New Roman" w:hAnsi="Times New Roman"/>
                <w:color w:val="auto"/>
                <w:highlight w:val="none"/>
              </w:rPr>
              <w:t>/</w:t>
            </w:r>
          </w:p>
        </w:tc>
      </w:tr>
      <w:tr>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auto"/>
                <w:spacing w:val="6"/>
                <w:szCs w:val="21"/>
                <w:highlight w:val="none"/>
              </w:rPr>
            </w:pPr>
            <w:r>
              <w:rPr>
                <w:rFonts w:hint="eastAsia" w:ascii="宋体" w:hAnsi="宋体"/>
                <w:color w:val="auto"/>
                <w:spacing w:val="6"/>
                <w:szCs w:val="21"/>
                <w:highlight w:val="none"/>
              </w:rPr>
              <w:t>货物原产地是否是中国境内</w:t>
            </w:r>
          </w:p>
        </w:tc>
        <w:tc>
          <w:tcPr>
            <w:tcW w:w="3968" w:type="dxa"/>
            <w:tcBorders>
              <w:top w:val="single" w:color="000000" w:sz="4" w:space="0"/>
              <w:left w:val="nil"/>
              <w:bottom w:val="single" w:color="000000" w:sz="4" w:space="0"/>
              <w:right w:val="single" w:color="000000" w:sz="4" w:space="0"/>
            </w:tcBorders>
            <w:noWrap w:val="0"/>
            <w:vAlign w:val="center"/>
          </w:tcPr>
          <w:p>
            <w:pPr>
              <w:ind w:firstLine="444" w:firstLineChars="200"/>
              <w:jc w:val="center"/>
              <w:rPr>
                <w:rFonts w:ascii="宋体" w:hAnsi="宋体"/>
                <w:color w:val="auto"/>
                <w:spacing w:val="6"/>
                <w:szCs w:val="21"/>
                <w:highlight w:val="none"/>
              </w:rPr>
            </w:pPr>
          </w:p>
        </w:tc>
      </w:tr>
      <w:tr>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auto"/>
                <w:spacing w:val="6"/>
                <w:szCs w:val="21"/>
                <w:highlight w:val="none"/>
              </w:rPr>
            </w:pPr>
            <w:r>
              <w:rPr>
                <w:rFonts w:hint="eastAsia" w:ascii="宋体" w:hAnsi="宋体"/>
                <w:color w:val="auto"/>
                <w:spacing w:val="6"/>
                <w:szCs w:val="21"/>
                <w:highlight w:val="none"/>
              </w:rPr>
              <w:t>货物原产地是否是宁波</w:t>
            </w:r>
          </w:p>
        </w:tc>
        <w:tc>
          <w:tcPr>
            <w:tcW w:w="3968" w:type="dxa"/>
            <w:tcBorders>
              <w:top w:val="single" w:color="000000" w:sz="4" w:space="0"/>
              <w:left w:val="nil"/>
              <w:bottom w:val="single" w:color="000000" w:sz="4" w:space="0"/>
              <w:right w:val="single" w:color="000000" w:sz="4" w:space="0"/>
            </w:tcBorders>
            <w:noWrap w:val="0"/>
            <w:vAlign w:val="center"/>
          </w:tcPr>
          <w:p>
            <w:pPr>
              <w:ind w:firstLine="420" w:firstLineChars="200"/>
              <w:jc w:val="center"/>
              <w:rPr>
                <w:rFonts w:ascii="宋体" w:hAnsi="宋体"/>
                <w:color w:val="auto"/>
                <w:spacing w:val="6"/>
                <w:szCs w:val="21"/>
                <w:highlight w:val="none"/>
              </w:rPr>
            </w:pPr>
            <w:r>
              <w:rPr>
                <w:rFonts w:hint="eastAsia" w:ascii="Times New Roman" w:hAnsi="Times New Roman"/>
                <w:color w:val="auto"/>
                <w:highlight w:val="none"/>
              </w:rPr>
              <w:t>/</w:t>
            </w:r>
          </w:p>
        </w:tc>
      </w:tr>
      <w:tr>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auto"/>
                <w:spacing w:val="6"/>
                <w:szCs w:val="21"/>
                <w:highlight w:val="none"/>
              </w:rPr>
            </w:pPr>
            <w:r>
              <w:rPr>
                <w:rFonts w:hint="eastAsia" w:ascii="宋体" w:hAnsi="宋体"/>
                <w:color w:val="auto"/>
                <w:spacing w:val="6"/>
                <w:szCs w:val="21"/>
                <w:highlight w:val="none"/>
              </w:rPr>
              <w:t>是节能清单产品</w:t>
            </w:r>
          </w:p>
        </w:tc>
        <w:tc>
          <w:tcPr>
            <w:tcW w:w="3968" w:type="dxa"/>
            <w:tcBorders>
              <w:top w:val="single" w:color="000000" w:sz="4" w:space="0"/>
              <w:left w:val="nil"/>
              <w:bottom w:val="single" w:color="000000" w:sz="4" w:space="0"/>
              <w:right w:val="single" w:color="000000" w:sz="4" w:space="0"/>
            </w:tcBorders>
            <w:noWrap w:val="0"/>
            <w:vAlign w:val="center"/>
          </w:tcPr>
          <w:p>
            <w:pPr>
              <w:ind w:firstLine="420" w:firstLineChars="200"/>
              <w:jc w:val="center"/>
              <w:rPr>
                <w:rFonts w:ascii="宋体" w:hAnsi="宋体"/>
                <w:color w:val="auto"/>
                <w:spacing w:val="6"/>
                <w:szCs w:val="21"/>
                <w:highlight w:val="none"/>
              </w:rPr>
            </w:pPr>
            <w:r>
              <w:rPr>
                <w:rFonts w:hint="eastAsia" w:ascii="Times New Roman" w:hAnsi="Times New Roman"/>
                <w:color w:val="auto"/>
                <w:highlight w:val="none"/>
              </w:rPr>
              <w:t>/</w:t>
            </w:r>
          </w:p>
        </w:tc>
      </w:tr>
      <w:tr>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auto"/>
                <w:spacing w:val="6"/>
                <w:szCs w:val="21"/>
                <w:highlight w:val="none"/>
              </w:rPr>
            </w:pPr>
            <w:r>
              <w:rPr>
                <w:rFonts w:hint="eastAsia" w:ascii="宋体" w:hAnsi="宋体"/>
                <w:color w:val="auto"/>
                <w:spacing w:val="6"/>
                <w:szCs w:val="21"/>
                <w:highlight w:val="none"/>
              </w:rPr>
              <w:t>提供的货物是否是环境标志清单产品</w:t>
            </w:r>
          </w:p>
        </w:tc>
        <w:tc>
          <w:tcPr>
            <w:tcW w:w="3968" w:type="dxa"/>
            <w:tcBorders>
              <w:top w:val="single" w:color="000000" w:sz="4" w:space="0"/>
              <w:left w:val="nil"/>
              <w:bottom w:val="single" w:color="000000" w:sz="4" w:space="0"/>
              <w:right w:val="single" w:color="000000" w:sz="4" w:space="0"/>
            </w:tcBorders>
            <w:noWrap w:val="0"/>
            <w:vAlign w:val="center"/>
          </w:tcPr>
          <w:p>
            <w:pPr>
              <w:ind w:firstLine="420" w:firstLineChars="200"/>
              <w:jc w:val="center"/>
              <w:rPr>
                <w:rFonts w:ascii="宋体" w:hAnsi="宋体"/>
                <w:color w:val="auto"/>
                <w:spacing w:val="6"/>
                <w:szCs w:val="21"/>
                <w:highlight w:val="none"/>
              </w:rPr>
            </w:pPr>
            <w:r>
              <w:rPr>
                <w:rFonts w:hint="eastAsia" w:ascii="Times New Roman" w:hAnsi="Times New Roman"/>
                <w:color w:val="auto"/>
                <w:highlight w:val="none"/>
              </w:rPr>
              <w:t>/</w:t>
            </w:r>
          </w:p>
        </w:tc>
      </w:tr>
      <w:tr>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auto"/>
                <w:spacing w:val="6"/>
                <w:szCs w:val="21"/>
                <w:highlight w:val="none"/>
              </w:rPr>
            </w:pPr>
            <w:r>
              <w:rPr>
                <w:rFonts w:hint="eastAsia" w:ascii="宋体" w:hAnsi="宋体"/>
                <w:color w:val="auto"/>
                <w:spacing w:val="6"/>
                <w:szCs w:val="21"/>
                <w:highlight w:val="none"/>
              </w:rPr>
              <w:t>承担的工程或服务是否本企业提供</w:t>
            </w:r>
          </w:p>
        </w:tc>
        <w:tc>
          <w:tcPr>
            <w:tcW w:w="3968" w:type="dxa"/>
            <w:tcBorders>
              <w:top w:val="single" w:color="000000" w:sz="4" w:space="0"/>
              <w:left w:val="nil"/>
              <w:bottom w:val="single" w:color="000000" w:sz="4" w:space="0"/>
              <w:right w:val="single" w:color="000000" w:sz="4" w:space="0"/>
            </w:tcBorders>
            <w:noWrap w:val="0"/>
            <w:vAlign w:val="center"/>
          </w:tcPr>
          <w:p>
            <w:pPr>
              <w:ind w:firstLine="444" w:firstLineChars="200"/>
              <w:jc w:val="center"/>
              <w:rPr>
                <w:rFonts w:ascii="宋体" w:hAnsi="宋体"/>
                <w:color w:val="auto"/>
                <w:spacing w:val="6"/>
                <w:szCs w:val="21"/>
                <w:highlight w:val="none"/>
              </w:rPr>
            </w:pPr>
          </w:p>
        </w:tc>
      </w:tr>
      <w:tr>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auto"/>
                <w:spacing w:val="6"/>
                <w:szCs w:val="21"/>
                <w:highlight w:val="none"/>
              </w:rPr>
            </w:pPr>
            <w:r>
              <w:rPr>
                <w:rFonts w:hint="eastAsia" w:ascii="宋体" w:hAnsi="宋体"/>
                <w:color w:val="auto"/>
                <w:spacing w:val="6"/>
                <w:szCs w:val="21"/>
                <w:highlight w:val="none"/>
              </w:rPr>
              <w:t>本项目预算</w:t>
            </w:r>
          </w:p>
        </w:tc>
        <w:tc>
          <w:tcPr>
            <w:tcW w:w="3968" w:type="dxa"/>
            <w:tcBorders>
              <w:top w:val="single" w:color="000000" w:sz="4" w:space="0"/>
              <w:left w:val="nil"/>
              <w:bottom w:val="single" w:color="000000" w:sz="4" w:space="0"/>
              <w:right w:val="single" w:color="000000" w:sz="4" w:space="0"/>
            </w:tcBorders>
            <w:noWrap w:val="0"/>
            <w:vAlign w:val="center"/>
          </w:tcPr>
          <w:p>
            <w:pPr>
              <w:ind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w:t>
            </w:r>
          </w:p>
        </w:tc>
      </w:tr>
      <w:tr>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auto"/>
                <w:spacing w:val="6"/>
                <w:szCs w:val="21"/>
                <w:highlight w:val="none"/>
              </w:rPr>
            </w:pPr>
            <w:r>
              <w:rPr>
                <w:rFonts w:hint="eastAsia" w:ascii="宋体" w:hAnsi="宋体"/>
                <w:color w:val="auto"/>
                <w:spacing w:val="6"/>
                <w:szCs w:val="21"/>
                <w:highlight w:val="none"/>
              </w:rPr>
              <w:t>本项目是否专门面向中小企业采购</w:t>
            </w:r>
          </w:p>
        </w:tc>
        <w:tc>
          <w:tcPr>
            <w:tcW w:w="3968" w:type="dxa"/>
            <w:tcBorders>
              <w:top w:val="single" w:color="000000" w:sz="4" w:space="0"/>
              <w:left w:val="nil"/>
              <w:bottom w:val="single" w:color="000000" w:sz="4" w:space="0"/>
              <w:right w:val="single" w:color="000000" w:sz="4" w:space="0"/>
            </w:tcBorders>
            <w:noWrap w:val="0"/>
            <w:vAlign w:val="center"/>
          </w:tcPr>
          <w:p>
            <w:pPr>
              <w:ind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w:t>
            </w:r>
          </w:p>
        </w:tc>
      </w:tr>
      <w:tr>
        <w:tblPrEx>
          <w:tblCellMar>
            <w:top w:w="0" w:type="dxa"/>
            <w:left w:w="108" w:type="dxa"/>
            <w:bottom w:w="0" w:type="dxa"/>
            <w:right w:w="108" w:type="dxa"/>
          </w:tblCellMar>
        </w:tblPrEx>
        <w:trPr>
          <w:trHeight w:val="567" w:hRule="atLeast"/>
          <w:jc w:val="center"/>
        </w:trPr>
        <w:tc>
          <w:tcPr>
            <w:tcW w:w="510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auto"/>
                <w:spacing w:val="6"/>
                <w:szCs w:val="21"/>
                <w:highlight w:val="none"/>
              </w:rPr>
            </w:pPr>
            <w:r>
              <w:rPr>
                <w:rFonts w:hint="eastAsia" w:ascii="宋体" w:hAnsi="宋体"/>
                <w:color w:val="auto"/>
                <w:spacing w:val="6"/>
                <w:szCs w:val="21"/>
                <w:highlight w:val="none"/>
              </w:rPr>
              <w:t>投（中）标金额（万元）</w:t>
            </w:r>
          </w:p>
        </w:tc>
        <w:tc>
          <w:tcPr>
            <w:tcW w:w="3968" w:type="dxa"/>
            <w:tcBorders>
              <w:top w:val="single" w:color="000000" w:sz="4" w:space="0"/>
              <w:left w:val="nil"/>
              <w:bottom w:val="single" w:color="000000" w:sz="4" w:space="0"/>
              <w:right w:val="single" w:color="000000" w:sz="4" w:space="0"/>
            </w:tcBorders>
            <w:noWrap w:val="0"/>
            <w:vAlign w:val="center"/>
          </w:tcPr>
          <w:p>
            <w:pPr>
              <w:ind w:firstLine="446" w:firstLineChars="200"/>
              <w:jc w:val="center"/>
              <w:rPr>
                <w:rFonts w:hint="eastAsia" w:ascii="宋体" w:hAnsi="宋体"/>
                <w:color w:val="auto"/>
                <w:spacing w:val="6"/>
                <w:szCs w:val="21"/>
                <w:highlight w:val="none"/>
              </w:rPr>
            </w:pPr>
            <w:r>
              <w:rPr>
                <w:rFonts w:hint="eastAsia" w:ascii="宋体" w:hAnsi="宋体"/>
                <w:b/>
                <w:bCs/>
                <w:color w:val="auto"/>
                <w:spacing w:val="6"/>
                <w:szCs w:val="21"/>
                <w:highlight w:val="none"/>
              </w:rPr>
              <w:t>无需填写</w:t>
            </w:r>
          </w:p>
        </w:tc>
      </w:tr>
    </w:tbl>
    <w:p>
      <w:pPr>
        <w:pStyle w:val="2"/>
        <w:pageBreakBefore w:val="0"/>
        <w:widowControl w:val="0"/>
        <w:tabs>
          <w:tab w:val="left" w:pos="2472"/>
        </w:tabs>
        <w:kinsoku/>
        <w:wordWrap/>
        <w:overflowPunct/>
        <w:topLinePunct w:val="0"/>
        <w:autoSpaceDE/>
        <w:autoSpaceDN/>
        <w:bidi w:val="0"/>
        <w:snapToGrid w:val="0"/>
        <w:spacing w:before="0" w:beforeLines="0" w:after="0" w:afterLines="0" w:line="240" w:lineRule="auto"/>
        <w:ind w:left="0" w:leftChars="0" w:right="0" w:rightChars="0"/>
        <w:rPr>
          <w:rFonts w:hint="eastAsia" w:hAnsi="宋体" w:eastAsia="宋体" w:cs="宋体"/>
          <w:color w:val="auto"/>
          <w:sz w:val="21"/>
          <w:szCs w:val="21"/>
          <w:highlight w:val="none"/>
        </w:rPr>
      </w:pPr>
      <w:r>
        <w:rPr>
          <w:rFonts w:hint="eastAsia" w:hAnsi="宋体" w:eastAsia="宋体" w:cs="宋体"/>
          <w:color w:val="auto"/>
          <w:spacing w:val="6"/>
          <w:sz w:val="21"/>
          <w:szCs w:val="21"/>
          <w:highlight w:val="none"/>
        </w:rPr>
        <w:t>备注：请各投标人务必填写此表作为投标文件的组成部分</w:t>
      </w:r>
    </w:p>
    <w:p>
      <w:pPr>
        <w:pageBreakBefore w:val="0"/>
        <w:widowControl w:val="0"/>
        <w:kinsoku/>
        <w:wordWrap/>
        <w:overflowPunct/>
        <w:topLinePunct w:val="0"/>
        <w:autoSpaceDE/>
        <w:autoSpaceDN/>
        <w:bidi w:val="0"/>
        <w:snapToGrid w:val="0"/>
        <w:spacing w:before="50" w:after="120" w:afterLines="50"/>
        <w:ind w:left="0" w:leftChars="0" w:right="0" w:rightChars="0"/>
        <w:jc w:val="left"/>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napToGrid w:val="0"/>
        <w:spacing w:before="50" w:after="120" w:afterLines="50"/>
        <w:ind w:left="0" w:leftChars="0" w:right="0" w:rightChars="0"/>
        <w:jc w:val="left"/>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ageBreakBefore w:val="0"/>
        <w:widowControl w:val="0"/>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1</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.中小企业声明函格式</w:t>
      </w:r>
    </w:p>
    <w:p>
      <w:pPr>
        <w:pageBreakBefore w:val="0"/>
        <w:widowControl w:val="0"/>
        <w:kinsoku/>
        <w:wordWrap/>
        <w:overflowPunct/>
        <w:topLinePunct w:val="0"/>
        <w:autoSpaceDE/>
        <w:autoSpaceDN/>
        <w:bidi w:val="0"/>
        <w:spacing w:line="360" w:lineRule="auto"/>
        <w:ind w:left="0" w:leftChars="0" w:right="0" w:rightChars="0" w:firstLine="446" w:firstLineChars="200"/>
        <w:jc w:val="center"/>
        <w:rPr>
          <w:rFonts w:hint="eastAsia" w:ascii="宋体" w:hAnsi="宋体" w:eastAsia="宋体" w:cs="宋体"/>
          <w:b/>
          <w:color w:val="auto"/>
          <w:spacing w:val="6"/>
          <w:szCs w:val="21"/>
          <w:highlight w:val="none"/>
        </w:rPr>
      </w:pPr>
    </w:p>
    <w:p>
      <w:pPr>
        <w:keepNext w:val="0"/>
        <w:keepLines w:val="0"/>
        <w:pageBreakBefore w:val="0"/>
        <w:widowControl w:val="0"/>
        <w:kinsoku/>
        <w:wordWrap/>
        <w:overflowPunct/>
        <w:topLinePunct w:val="0"/>
        <w:autoSpaceDE/>
        <w:autoSpaceDN/>
        <w:bidi w:val="0"/>
        <w:spacing w:line="360" w:lineRule="auto"/>
        <w:ind w:left="0" w:leftChars="0" w:right="0" w:rightChars="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本公司郑重声明，根据《政府采购促进中小企业发展管理办法》（财库[2020]46号）的规定，本公司参加</w:t>
      </w:r>
      <w:r>
        <w:rPr>
          <w:rFonts w:hint="eastAsia" w:ascii="宋体" w:hAnsi="宋体" w:eastAsia="宋体" w:cs="宋体"/>
          <w:color w:val="auto"/>
          <w:kern w:val="0"/>
          <w:szCs w:val="21"/>
          <w:highlight w:val="none"/>
          <w:u w:val="single"/>
        </w:rPr>
        <w:t>宁波市自然资源和规划局</w:t>
      </w:r>
      <w:r>
        <w:rPr>
          <w:rFonts w:hint="eastAsia" w:ascii="宋体" w:hAnsi="宋体" w:cs="宋体"/>
          <w:color w:val="auto"/>
          <w:kern w:val="0"/>
          <w:szCs w:val="21"/>
          <w:highlight w:val="none"/>
          <w:u w:val="single"/>
          <w:lang w:eastAsia="zh-CN"/>
        </w:rPr>
        <w:t>北仑分局</w:t>
      </w:r>
      <w:r>
        <w:rPr>
          <w:rFonts w:hint="eastAsia" w:ascii="宋体" w:hAnsi="宋体" w:eastAsia="宋体" w:cs="宋体"/>
          <w:color w:val="auto"/>
          <w:kern w:val="0"/>
          <w:szCs w:val="21"/>
          <w:highlight w:val="none"/>
        </w:rPr>
        <w:t>的</w:t>
      </w:r>
      <w:r>
        <w:rPr>
          <w:rFonts w:hint="eastAsia" w:ascii="宋体" w:hAnsi="宋体" w:cs="宋体"/>
          <w:color w:val="auto"/>
          <w:kern w:val="0"/>
          <w:szCs w:val="21"/>
          <w:highlight w:val="none"/>
          <w:u w:val="single"/>
          <w:lang w:eastAsia="zh-CN"/>
        </w:rPr>
        <w:t>2023-2025年北仑区土地使用权出让地价委托评估项目</w:t>
      </w:r>
      <w:r>
        <w:rPr>
          <w:rFonts w:hint="eastAsia" w:ascii="宋体" w:hAnsi="宋体" w:eastAsia="宋体" w:cs="宋体"/>
          <w:color w:val="auto"/>
          <w:kern w:val="0"/>
          <w:szCs w:val="21"/>
          <w:highlight w:val="none"/>
        </w:rPr>
        <w:t>采购活动，服务全部由符合政策要求的中小企业承接。相关企业（含签订分包意向协议的中小企业）的具体情况如下：</w:t>
      </w:r>
    </w:p>
    <w:p>
      <w:pPr>
        <w:keepNext w:val="0"/>
        <w:keepLines w:val="0"/>
        <w:pageBreakBefore w:val="0"/>
        <w:widowControl w:val="0"/>
        <w:numPr>
          <w:ilvl w:val="0"/>
          <w:numId w:val="8"/>
        </w:numPr>
        <w:kinsoku/>
        <w:wordWrap/>
        <w:overflowPunct/>
        <w:topLinePunct w:val="0"/>
        <w:autoSpaceDE/>
        <w:autoSpaceDN/>
        <w:bidi w:val="0"/>
        <w:spacing w:after="0" w:afterLines="0" w:line="360" w:lineRule="auto"/>
        <w:ind w:left="0" w:leftChars="0" w:right="0" w:rightChars="0" w:firstLine="420" w:firstLineChars="200"/>
        <w:contextualSpacing/>
        <w:jc w:val="both"/>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u w:val="single"/>
          <w:lang w:val="en-US" w:eastAsia="zh-CN" w:bidi="ar-SA"/>
        </w:rPr>
        <w:t xml:space="preserve"> </w:t>
      </w:r>
      <w:r>
        <w:rPr>
          <w:rFonts w:hint="eastAsia" w:ascii="宋体" w:hAnsi="宋体" w:cs="宋体"/>
          <w:color w:val="auto"/>
          <w:kern w:val="0"/>
          <w:szCs w:val="21"/>
          <w:highlight w:val="none"/>
          <w:u w:val="single"/>
          <w:lang w:eastAsia="zh-CN"/>
        </w:rPr>
        <w:t>土地使用权出让地价委托评估项目</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属于</w:t>
      </w:r>
      <w:r>
        <w:rPr>
          <w:rFonts w:hint="eastAsia" w:ascii="Times New Roman" w:hAnsi="Times New Roman" w:eastAsia="宋体" w:cs="Times New Roman"/>
          <w:color w:val="auto"/>
          <w:kern w:val="2"/>
          <w:sz w:val="21"/>
          <w:szCs w:val="21"/>
          <w:highlight w:val="none"/>
          <w:u w:val="single"/>
          <w:lang w:val="en-US" w:eastAsia="zh-CN" w:bidi="ar-SA"/>
        </w:rPr>
        <w:t>（</w:t>
      </w:r>
      <w:r>
        <w:rPr>
          <w:rFonts w:hint="eastAsia" w:ascii="宋体" w:hAnsi="宋体" w:eastAsia="宋体" w:cs="Times New Roman"/>
          <w:b/>
          <w:bCs/>
          <w:color w:val="auto"/>
          <w:kern w:val="2"/>
          <w:sz w:val="21"/>
          <w:szCs w:val="21"/>
          <w:highlight w:val="none"/>
          <w:u w:val="single"/>
          <w:lang w:val="en-US" w:eastAsia="zh-CN" w:bidi="ar"/>
        </w:rPr>
        <w:t>其他未列明行业</w:t>
      </w:r>
      <w:r>
        <w:rPr>
          <w:rFonts w:hint="eastAsia" w:ascii="Times New Roman" w:hAnsi="Times New Roman" w:eastAsia="宋体" w:cs="Times New Roman"/>
          <w:color w:val="auto"/>
          <w:kern w:val="2"/>
          <w:sz w:val="21"/>
          <w:szCs w:val="21"/>
          <w:highlight w:val="none"/>
          <w:u w:val="single"/>
          <w:lang w:val="en-US" w:eastAsia="zh-CN" w:bidi="ar-SA"/>
        </w:rPr>
        <w:t>）</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
        </w:rPr>
        <w:t>承接</w:t>
      </w:r>
      <w:r>
        <w:rPr>
          <w:rFonts w:hint="eastAsia" w:ascii="宋体" w:hAnsi="宋体" w:eastAsia="宋体" w:cs="宋体"/>
          <w:color w:val="auto"/>
          <w:kern w:val="0"/>
          <w:sz w:val="21"/>
          <w:szCs w:val="21"/>
          <w:highlight w:val="none"/>
          <w:lang w:val="en-US" w:eastAsia="zh-CN" w:bidi="ar-SA"/>
        </w:rPr>
        <w:t>企业为</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，从业人员</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人，营业收入为</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万元，资产总额为</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万元，属于</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（中型企业、小型企业、微型企业）；</w:t>
      </w:r>
    </w:p>
    <w:p>
      <w:pPr>
        <w:keepNext w:val="0"/>
        <w:keepLines w:val="0"/>
        <w:pageBreakBefore w:val="0"/>
        <w:widowControl w:val="0"/>
        <w:kinsoku/>
        <w:wordWrap/>
        <w:overflowPunct/>
        <w:topLinePunct w:val="0"/>
        <w:autoSpaceDE/>
        <w:autoSpaceDN/>
        <w:bidi w:val="0"/>
        <w:spacing w:after="0" w:afterLines="0" w:line="360" w:lineRule="auto"/>
        <w:ind w:left="0" w:leftChars="0" w:right="0" w:rightChars="0" w:firstLine="420" w:firstLineChars="200"/>
        <w:contextualSpacing/>
        <w:jc w:val="both"/>
        <w:rPr>
          <w:rFonts w:ascii="宋体" w:hAnsi="宋体" w:eastAsia="宋体" w:cs="宋体"/>
          <w:color w:val="auto"/>
          <w:kern w:val="0"/>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属于</w:t>
      </w:r>
      <w:r>
        <w:rPr>
          <w:rFonts w:hint="eastAsia" w:ascii="Times New Roman" w:hAnsi="Times New Roman" w:eastAsia="宋体" w:cs="Times New Roman"/>
          <w:color w:val="auto"/>
          <w:kern w:val="2"/>
          <w:sz w:val="21"/>
          <w:szCs w:val="21"/>
          <w:highlight w:val="none"/>
          <w:u w:val="single"/>
          <w:lang w:val="en-US" w:eastAsia="zh-CN" w:bidi="ar-SA"/>
        </w:rPr>
        <w:t>（</w:t>
      </w:r>
      <w:r>
        <w:rPr>
          <w:rFonts w:hint="eastAsia" w:ascii="宋体" w:hAnsi="宋体" w:eastAsia="宋体" w:cs="Times New Roman"/>
          <w:b/>
          <w:bCs/>
          <w:color w:val="auto"/>
          <w:kern w:val="2"/>
          <w:sz w:val="21"/>
          <w:szCs w:val="21"/>
          <w:highlight w:val="none"/>
          <w:u w:val="single"/>
          <w:lang w:val="en-US" w:eastAsia="zh-CN" w:bidi="ar"/>
        </w:rPr>
        <w:t>其他未列明行业</w:t>
      </w:r>
      <w:r>
        <w:rPr>
          <w:rFonts w:hint="eastAsia" w:ascii="Times New Roman" w:hAnsi="Times New Roman" w:eastAsia="宋体" w:cs="Times New Roman"/>
          <w:color w:val="auto"/>
          <w:kern w:val="2"/>
          <w:sz w:val="21"/>
          <w:szCs w:val="21"/>
          <w:highlight w:val="none"/>
          <w:u w:val="single"/>
          <w:lang w:val="en-US" w:eastAsia="zh-CN" w:bidi="ar-SA"/>
        </w:rPr>
        <w:t>）</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
        </w:rPr>
        <w:t>承接</w:t>
      </w:r>
      <w:r>
        <w:rPr>
          <w:rFonts w:hint="eastAsia" w:ascii="宋体" w:hAnsi="宋体" w:eastAsia="宋体" w:cs="宋体"/>
          <w:color w:val="auto"/>
          <w:kern w:val="0"/>
          <w:sz w:val="21"/>
          <w:szCs w:val="21"/>
          <w:highlight w:val="none"/>
          <w:lang w:val="en-US" w:eastAsia="zh-CN" w:bidi="ar-SA"/>
        </w:rPr>
        <w:t>企业为</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，从业人员</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人，营业收入为</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万元，资产总额为</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万元，属于</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（中型企业、小型企业、微型企业）；</w:t>
      </w:r>
    </w:p>
    <w:p>
      <w:pPr>
        <w:keepNext w:val="0"/>
        <w:keepLines w:val="0"/>
        <w:pageBreakBefore w:val="0"/>
        <w:widowControl w:val="0"/>
        <w:kinsoku/>
        <w:wordWrap/>
        <w:overflowPunct/>
        <w:topLinePunct w:val="0"/>
        <w:autoSpaceDE/>
        <w:autoSpaceDN/>
        <w:bidi w:val="0"/>
        <w:spacing w:after="0" w:afterLines="0" w:line="360" w:lineRule="auto"/>
        <w:ind w:left="0" w:leftChars="0" w:right="0" w:rightChars="0" w:firstLine="422" w:firstLineChars="200"/>
        <w:contextualSpacing/>
        <w:jc w:val="both"/>
        <w:rPr>
          <w:rFonts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spacing w:after="0" w:afterLines="0" w:line="360" w:lineRule="auto"/>
        <w:ind w:left="0" w:leftChars="0" w:right="0" w:rightChars="0" w:firstLine="420" w:firstLineChars="200"/>
        <w:contextualSpacing/>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spacing w:after="0" w:afterLines="0" w:line="360" w:lineRule="auto"/>
        <w:ind w:left="0" w:leftChars="0" w:right="0" w:rightChars="0" w:firstLine="210" w:firstLineChars="100"/>
        <w:contextualSpacing/>
        <w:jc w:val="both"/>
        <w:rPr>
          <w:rFonts w:ascii="宋体" w:hAnsi="宋体" w:eastAsia="宋体" w:cs="宋体"/>
          <w:color w:val="auto"/>
          <w:kern w:val="0"/>
          <w:sz w:val="21"/>
          <w:szCs w:val="21"/>
          <w:highlight w:val="none"/>
          <w:lang w:val="en-US" w:eastAsia="zh-CN" w:bidi="ar-SA"/>
        </w:rPr>
      </w:pPr>
    </w:p>
    <w:p>
      <w:pPr>
        <w:keepNext w:val="0"/>
        <w:keepLines w:val="0"/>
        <w:pageBreakBefore w:val="0"/>
        <w:widowControl w:val="0"/>
        <w:kinsoku/>
        <w:wordWrap/>
        <w:overflowPunct/>
        <w:topLinePunct w:val="0"/>
        <w:autoSpaceDE/>
        <w:autoSpaceDN/>
        <w:bidi w:val="0"/>
        <w:spacing w:after="0" w:afterLines="0" w:line="360" w:lineRule="auto"/>
        <w:ind w:left="0" w:leftChars="0" w:right="0" w:rightChars="0" w:firstLine="210" w:firstLineChars="100"/>
        <w:contextualSpacing/>
        <w:jc w:val="both"/>
        <w:rPr>
          <w:rFonts w:ascii="宋体" w:hAnsi="宋体" w:eastAsia="宋体" w:cs="宋体"/>
          <w:color w:val="auto"/>
          <w:kern w:val="0"/>
          <w:sz w:val="21"/>
          <w:szCs w:val="21"/>
          <w:highlight w:val="none"/>
          <w:lang w:val="en-US" w:eastAsia="zh-CN" w:bidi="ar-SA"/>
        </w:rPr>
      </w:pPr>
    </w:p>
    <w:p>
      <w:pPr>
        <w:keepNext w:val="0"/>
        <w:keepLines w:val="0"/>
        <w:pageBreakBefore w:val="0"/>
        <w:widowControl w:val="0"/>
        <w:kinsoku/>
        <w:wordWrap/>
        <w:overflowPunct/>
        <w:topLinePunct w:val="0"/>
        <w:autoSpaceDE/>
        <w:autoSpaceDN/>
        <w:bidi w:val="0"/>
        <w:spacing w:after="0" w:afterLines="0" w:line="360" w:lineRule="auto"/>
        <w:ind w:left="0" w:leftChars="0" w:right="0" w:rightChars="0" w:firstLine="210" w:firstLineChars="100"/>
        <w:contextualSpacing/>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企业名称（盖章）：</w:t>
      </w:r>
    </w:p>
    <w:p>
      <w:pPr>
        <w:keepNext w:val="0"/>
        <w:keepLines w:val="0"/>
        <w:pageBreakBefore w:val="0"/>
        <w:widowControl w:val="0"/>
        <w:kinsoku/>
        <w:wordWrap/>
        <w:overflowPunct/>
        <w:topLinePunct w:val="0"/>
        <w:autoSpaceDE/>
        <w:autoSpaceDN/>
        <w:bidi w:val="0"/>
        <w:spacing w:after="0" w:afterLines="0" w:line="360" w:lineRule="auto"/>
        <w:ind w:left="0" w:leftChars="0" w:right="0" w:rightChars="0" w:firstLine="210" w:firstLineChars="100"/>
        <w:contextualSpacing/>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日期：</w:t>
      </w:r>
    </w:p>
    <w:p>
      <w:pPr>
        <w:keepNext w:val="0"/>
        <w:keepLines w:val="0"/>
        <w:pageBreakBefore w:val="0"/>
        <w:widowControl w:val="0"/>
        <w:kinsoku/>
        <w:wordWrap/>
        <w:overflowPunct/>
        <w:topLinePunct w:val="0"/>
        <w:autoSpaceDE/>
        <w:autoSpaceDN/>
        <w:bidi w:val="0"/>
        <w:spacing w:after="0" w:afterLines="0" w:line="360" w:lineRule="auto"/>
        <w:ind w:left="0" w:leftChars="0" w:right="0" w:rightChars="0" w:firstLine="210" w:firstLineChars="100"/>
        <w:contextualSpacing/>
        <w:jc w:val="both"/>
        <w:rPr>
          <w:rFonts w:ascii="宋体" w:hAnsi="宋体" w:eastAsia="宋体" w:cs="宋体"/>
          <w:color w:val="auto"/>
          <w:kern w:val="0"/>
          <w:sz w:val="21"/>
          <w:szCs w:val="21"/>
          <w:highlight w:val="none"/>
          <w:lang w:val="en-US" w:eastAsia="zh-CN" w:bidi="ar-SA"/>
        </w:rPr>
      </w:pPr>
    </w:p>
    <w:p>
      <w:pPr>
        <w:keepNext w:val="0"/>
        <w:keepLines w:val="0"/>
        <w:pageBreakBefore w:val="0"/>
        <w:widowControl w:val="0"/>
        <w:kinsoku/>
        <w:wordWrap/>
        <w:overflowPunct/>
        <w:topLinePunct w:val="0"/>
        <w:autoSpaceDE/>
        <w:autoSpaceDN/>
        <w:bidi w:val="0"/>
        <w:spacing w:after="0" w:afterLines="0" w:line="360" w:lineRule="auto"/>
        <w:ind w:left="0" w:leftChars="0" w:right="0" w:rightChars="0" w:firstLine="210" w:firstLineChars="100"/>
        <w:contextualSpacing/>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spacing w:line="440" w:lineRule="exact"/>
        <w:ind w:left="0" w:leftChars="0" w:right="0" w:rightChars="0"/>
        <w:outlineLvl w:val="1"/>
        <w:rPr>
          <w:rFonts w:ascii="宋体" w:hAnsi="宋体" w:eastAsia="宋体"/>
          <w:b/>
          <w:bCs/>
          <w:color w:val="auto"/>
          <w:sz w:val="18"/>
          <w:szCs w:val="18"/>
          <w:highlight w:val="none"/>
        </w:rPr>
      </w:pPr>
      <w:r>
        <w:rPr>
          <w:rFonts w:hint="eastAsia" w:ascii="宋体" w:hAnsi="宋体" w:eastAsia="宋体"/>
          <w:b/>
          <w:bCs/>
          <w:color w:val="auto"/>
          <w:sz w:val="18"/>
          <w:szCs w:val="18"/>
          <w:highlight w:val="none"/>
        </w:rPr>
        <w:t>风险提示：</w:t>
      </w:r>
    </w:p>
    <w:p>
      <w:pPr>
        <w:keepNext w:val="0"/>
        <w:keepLines w:val="0"/>
        <w:pageBreakBefore w:val="0"/>
        <w:widowControl w:val="0"/>
        <w:kinsoku/>
        <w:wordWrap/>
        <w:overflowPunct/>
        <w:topLinePunct w:val="0"/>
        <w:autoSpaceDE/>
        <w:autoSpaceDN/>
        <w:bidi w:val="0"/>
        <w:spacing w:line="440" w:lineRule="exact"/>
        <w:ind w:left="0" w:leftChars="0" w:right="0" w:rightChars="0" w:firstLine="361" w:firstLineChars="200"/>
        <w:outlineLvl w:val="1"/>
        <w:rPr>
          <w:rFonts w:ascii="宋体" w:hAnsi="宋体" w:eastAsia="宋体"/>
          <w:b/>
          <w:bCs/>
          <w:color w:val="auto"/>
          <w:sz w:val="18"/>
          <w:szCs w:val="18"/>
          <w:highlight w:val="none"/>
        </w:rPr>
      </w:pPr>
      <w:r>
        <w:rPr>
          <w:rFonts w:hint="eastAsia" w:ascii="宋体" w:hAnsi="宋体" w:eastAsia="宋体"/>
          <w:b/>
          <w:bCs/>
          <w:color w:val="auto"/>
          <w:sz w:val="18"/>
          <w:szCs w:val="18"/>
          <w:highlight w:val="none"/>
        </w:rPr>
        <w:t>1、《中小企业声明函》由参加投标的供应商提交并对其真实性负责。</w:t>
      </w:r>
    </w:p>
    <w:p>
      <w:pPr>
        <w:keepNext w:val="0"/>
        <w:keepLines w:val="0"/>
        <w:pageBreakBefore w:val="0"/>
        <w:widowControl w:val="0"/>
        <w:kinsoku/>
        <w:wordWrap/>
        <w:overflowPunct/>
        <w:topLinePunct w:val="0"/>
        <w:autoSpaceDE/>
        <w:autoSpaceDN/>
        <w:bidi w:val="0"/>
        <w:spacing w:line="440" w:lineRule="exact"/>
        <w:ind w:left="0" w:leftChars="0" w:right="0" w:rightChars="0" w:firstLine="361" w:firstLineChars="200"/>
        <w:outlineLvl w:val="1"/>
        <w:rPr>
          <w:rFonts w:ascii="宋体" w:hAnsi="宋体" w:eastAsia="宋体"/>
          <w:b/>
          <w:bCs/>
          <w:color w:val="auto"/>
          <w:sz w:val="18"/>
          <w:szCs w:val="18"/>
          <w:highlight w:val="none"/>
        </w:rPr>
      </w:pPr>
      <w:r>
        <w:rPr>
          <w:rFonts w:hint="eastAsia" w:ascii="宋体" w:hAnsi="宋体" w:eastAsia="宋体"/>
          <w:b/>
          <w:bCs/>
          <w:color w:val="auto"/>
          <w:sz w:val="18"/>
          <w:szCs w:val="18"/>
          <w:highlight w:val="none"/>
        </w:rPr>
        <w:t>2、中标、成交供应商享受《政府采购促进中小企业发展管理办法》（财库[2020]46号）规定的中小企业扶持政策的，采购人、采购代理机构应当随中标、成交结果公开中标、成交供应商的《中小企业声明函》。</w:t>
      </w:r>
    </w:p>
    <w:p>
      <w:pPr>
        <w:keepNext w:val="0"/>
        <w:keepLines w:val="0"/>
        <w:pageBreakBefore w:val="0"/>
        <w:widowControl w:val="0"/>
        <w:kinsoku/>
        <w:wordWrap/>
        <w:overflowPunct/>
        <w:topLinePunct w:val="0"/>
        <w:autoSpaceDE/>
        <w:autoSpaceDN/>
        <w:bidi w:val="0"/>
        <w:spacing w:line="440" w:lineRule="exact"/>
        <w:ind w:left="0" w:leftChars="0" w:right="0" w:rightChars="0" w:firstLine="361" w:firstLineChars="200"/>
        <w:outlineLvl w:val="1"/>
        <w:rPr>
          <w:rFonts w:hint="eastAsia" w:ascii="宋体" w:hAnsi="宋体" w:eastAsia="宋体"/>
          <w:b/>
          <w:bCs/>
          <w:color w:val="auto"/>
          <w:sz w:val="18"/>
          <w:szCs w:val="18"/>
          <w:highlight w:val="none"/>
        </w:rPr>
      </w:pPr>
      <w:r>
        <w:rPr>
          <w:rFonts w:hint="eastAsia" w:ascii="宋体" w:hAnsi="宋体" w:eastAsia="宋体"/>
          <w:b/>
          <w:bCs/>
          <w:color w:val="auto"/>
          <w:sz w:val="18"/>
          <w:szCs w:val="18"/>
          <w:highlight w:val="none"/>
        </w:rPr>
        <w:t>3、供应商按照《政府采购促进中小企业发展管理办法》（财库[2020]46号）规定提供声明函内容不实的，属于提供虚假材料谋取中标、成交，依照《中华人民共和国政府采购法》等国家有关规定追究相应责任。</w:t>
      </w:r>
    </w:p>
    <w:p>
      <w:pPr>
        <w:pageBreakBefore w:val="0"/>
        <w:widowControl w:val="0"/>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1</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.拟派驻本项目管理负责人简历表格式</w:t>
      </w:r>
    </w:p>
    <w:p>
      <w:pPr>
        <w:pageBreakBefore w:val="0"/>
        <w:widowControl w:val="0"/>
        <w:kinsoku/>
        <w:wordWrap/>
        <w:overflowPunct/>
        <w:topLinePunct w:val="0"/>
        <w:autoSpaceDE/>
        <w:autoSpaceDN/>
        <w:bidi w:val="0"/>
        <w:spacing w:line="360" w:lineRule="auto"/>
        <w:ind w:left="0" w:leftChars="0" w:right="0" w:rightChars="0"/>
        <w:jc w:val="left"/>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拟派驻本项目管理负责人简历表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3"/>
        <w:gridCol w:w="1031"/>
        <w:gridCol w:w="508"/>
        <w:gridCol w:w="720"/>
        <w:gridCol w:w="193"/>
        <w:gridCol w:w="1420"/>
        <w:gridCol w:w="1420"/>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1" w:type="dxa"/>
            <w:gridSpan w:val="2"/>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31" w:type="dxa"/>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p>
        </w:tc>
        <w:tc>
          <w:tcPr>
            <w:tcW w:w="1421" w:type="dxa"/>
            <w:gridSpan w:val="3"/>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   别</w:t>
            </w:r>
          </w:p>
        </w:tc>
        <w:tc>
          <w:tcPr>
            <w:tcW w:w="1420" w:type="dxa"/>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p>
        </w:tc>
        <w:tc>
          <w:tcPr>
            <w:tcW w:w="1420" w:type="dxa"/>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出生年月</w:t>
            </w:r>
          </w:p>
        </w:tc>
        <w:tc>
          <w:tcPr>
            <w:tcW w:w="1796" w:type="dxa"/>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1" w:type="dxa"/>
            <w:gridSpan w:val="2"/>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    业</w:t>
            </w:r>
          </w:p>
        </w:tc>
        <w:tc>
          <w:tcPr>
            <w:tcW w:w="1031" w:type="dxa"/>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p>
        </w:tc>
        <w:tc>
          <w:tcPr>
            <w:tcW w:w="1421" w:type="dxa"/>
            <w:gridSpan w:val="3"/>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1420" w:type="dxa"/>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p>
        </w:tc>
        <w:tc>
          <w:tcPr>
            <w:tcW w:w="1420" w:type="dxa"/>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796" w:type="dxa"/>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1" w:type="dxa"/>
            <w:gridSpan w:val="2"/>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何时参加工作</w:t>
            </w:r>
          </w:p>
        </w:tc>
        <w:tc>
          <w:tcPr>
            <w:tcW w:w="7088" w:type="dxa"/>
            <w:gridSpan w:val="7"/>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1" w:type="dxa"/>
            <w:gridSpan w:val="2"/>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何时进入公司</w:t>
            </w:r>
          </w:p>
        </w:tc>
        <w:tc>
          <w:tcPr>
            <w:tcW w:w="7088" w:type="dxa"/>
            <w:gridSpan w:val="7"/>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1" w:type="dxa"/>
            <w:gridSpan w:val="2"/>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从事项目年限</w:t>
            </w:r>
          </w:p>
        </w:tc>
        <w:tc>
          <w:tcPr>
            <w:tcW w:w="7088" w:type="dxa"/>
            <w:gridSpan w:val="7"/>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789" w:type="dxa"/>
            <w:gridSpan w:val="9"/>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业主单位</w:t>
            </w:r>
          </w:p>
        </w:tc>
        <w:tc>
          <w:tcPr>
            <w:tcW w:w="1822" w:type="dxa"/>
            <w:gridSpan w:val="3"/>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20" w:type="dxa"/>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规模</w:t>
            </w:r>
          </w:p>
        </w:tc>
        <w:tc>
          <w:tcPr>
            <w:tcW w:w="1613" w:type="dxa"/>
            <w:gridSpan w:val="2"/>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合同时间</w:t>
            </w:r>
          </w:p>
        </w:tc>
        <w:tc>
          <w:tcPr>
            <w:tcW w:w="3216" w:type="dxa"/>
            <w:gridSpan w:val="2"/>
            <w:noWrap w:val="0"/>
            <w:vAlign w:val="top"/>
          </w:tcPr>
          <w:p>
            <w:pPr>
              <w:pageBreakBefore w:val="0"/>
              <w:widowControl w:val="0"/>
              <w:kinsoku/>
              <w:wordWrap/>
              <w:overflowPunct/>
              <w:topLinePunct w:val="0"/>
              <w:autoSpaceDE/>
              <w:autoSpaceDN/>
              <w:bidi w:val="0"/>
              <w:spacing w:line="5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pPr>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rPr>
            </w:pPr>
          </w:p>
        </w:tc>
        <w:tc>
          <w:tcPr>
            <w:tcW w:w="1822" w:type="dxa"/>
            <w:gridSpan w:val="3"/>
            <w:noWrap w:val="0"/>
            <w:vAlign w:val="top"/>
          </w:tcPr>
          <w:p>
            <w:pPr>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rPr>
            </w:pPr>
          </w:p>
        </w:tc>
        <w:tc>
          <w:tcPr>
            <w:tcW w:w="720" w:type="dxa"/>
            <w:noWrap w:val="0"/>
            <w:vAlign w:val="top"/>
          </w:tcPr>
          <w:p>
            <w:pPr>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rPr>
            </w:pPr>
          </w:p>
        </w:tc>
        <w:tc>
          <w:tcPr>
            <w:tcW w:w="1613" w:type="dxa"/>
            <w:gridSpan w:val="2"/>
            <w:noWrap w:val="0"/>
            <w:vAlign w:val="top"/>
          </w:tcPr>
          <w:p>
            <w:pPr>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rPr>
            </w:pPr>
          </w:p>
        </w:tc>
        <w:tc>
          <w:tcPr>
            <w:tcW w:w="3216" w:type="dxa"/>
            <w:gridSpan w:val="2"/>
            <w:noWrap w:val="0"/>
            <w:vAlign w:val="top"/>
          </w:tcPr>
          <w:p>
            <w:pPr>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rPr>
            </w:pPr>
          </w:p>
        </w:tc>
        <w:tc>
          <w:tcPr>
            <w:tcW w:w="1822" w:type="dxa"/>
            <w:gridSpan w:val="3"/>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rPr>
            </w:pPr>
          </w:p>
        </w:tc>
        <w:tc>
          <w:tcPr>
            <w:tcW w:w="720" w:type="dxa"/>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rPr>
            </w:pPr>
          </w:p>
        </w:tc>
        <w:tc>
          <w:tcPr>
            <w:tcW w:w="1613" w:type="dxa"/>
            <w:gridSpan w:val="2"/>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rPr>
            </w:pPr>
          </w:p>
        </w:tc>
        <w:tc>
          <w:tcPr>
            <w:tcW w:w="3216" w:type="dxa"/>
            <w:gridSpan w:val="2"/>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rPr>
            </w:pPr>
          </w:p>
        </w:tc>
        <w:tc>
          <w:tcPr>
            <w:tcW w:w="1822" w:type="dxa"/>
            <w:gridSpan w:val="3"/>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rPr>
            </w:pPr>
          </w:p>
        </w:tc>
        <w:tc>
          <w:tcPr>
            <w:tcW w:w="720" w:type="dxa"/>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rPr>
            </w:pPr>
          </w:p>
        </w:tc>
        <w:tc>
          <w:tcPr>
            <w:tcW w:w="1613" w:type="dxa"/>
            <w:gridSpan w:val="2"/>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rPr>
            </w:pPr>
          </w:p>
        </w:tc>
        <w:tc>
          <w:tcPr>
            <w:tcW w:w="3216" w:type="dxa"/>
            <w:gridSpan w:val="2"/>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1822" w:type="dxa"/>
            <w:gridSpan w:val="3"/>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720" w:type="dxa"/>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1613" w:type="dxa"/>
            <w:gridSpan w:val="2"/>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3216" w:type="dxa"/>
            <w:gridSpan w:val="2"/>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1822" w:type="dxa"/>
            <w:gridSpan w:val="3"/>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720" w:type="dxa"/>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1613" w:type="dxa"/>
            <w:gridSpan w:val="2"/>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3216" w:type="dxa"/>
            <w:gridSpan w:val="2"/>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1822" w:type="dxa"/>
            <w:gridSpan w:val="3"/>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720" w:type="dxa"/>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1613" w:type="dxa"/>
            <w:gridSpan w:val="2"/>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3216" w:type="dxa"/>
            <w:gridSpan w:val="2"/>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8" w:type="dxa"/>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1822" w:type="dxa"/>
            <w:gridSpan w:val="3"/>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720" w:type="dxa"/>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1613" w:type="dxa"/>
            <w:gridSpan w:val="2"/>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c>
          <w:tcPr>
            <w:tcW w:w="3216" w:type="dxa"/>
            <w:gridSpan w:val="2"/>
            <w:noWrap w:val="0"/>
            <w:vAlign w:val="top"/>
          </w:tcPr>
          <w:p>
            <w:pPr>
              <w:pageBreakBefore w:val="0"/>
              <w:widowControl w:val="0"/>
              <w:kinsoku/>
              <w:wordWrap/>
              <w:overflowPunct/>
              <w:topLinePunct w:val="0"/>
              <w:autoSpaceDE/>
              <w:autoSpaceDN/>
              <w:bidi w:val="0"/>
              <w:spacing w:line="580" w:lineRule="exact"/>
              <w:ind w:left="0" w:leftChars="0" w:right="0" w:rightChars="0"/>
              <w:jc w:val="center"/>
              <w:rPr>
                <w:rFonts w:hint="eastAsia" w:ascii="宋体" w:hAnsi="宋体" w:eastAsia="宋体" w:cs="宋体"/>
                <w:b/>
                <w:color w:val="auto"/>
                <w:sz w:val="24"/>
                <w:highlight w:val="none"/>
              </w:rPr>
            </w:pPr>
          </w:p>
        </w:tc>
      </w:tr>
    </w:tbl>
    <w:p>
      <w:pPr>
        <w:pageBreakBefore w:val="0"/>
        <w:widowControl w:val="0"/>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1</w:t>
      </w:r>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rPr>
        <w:t>.项目实施人员情况一览表格式</w:t>
      </w:r>
    </w:p>
    <w:p>
      <w:pPr>
        <w:pageBreakBefore w:val="0"/>
        <w:widowControl w:val="0"/>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项目实施人员（主要从业人员及其技术资格）一览表</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7"/>
        <w:gridCol w:w="1068"/>
        <w:gridCol w:w="1768"/>
        <w:gridCol w:w="1340"/>
        <w:gridCol w:w="1723"/>
        <w:gridCol w:w="21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本项目中岗位</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专业技术资格</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证书编号</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参加本单位工作时间</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szCs w:val="21"/>
                <w:highlight w:val="none"/>
              </w:rPr>
            </w:pPr>
          </w:p>
        </w:tc>
      </w:tr>
    </w:tbl>
    <w:p>
      <w:pPr>
        <w:pageBreakBefore w:val="0"/>
        <w:widowControl w:val="0"/>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注：在填写时，如本表格不适合投标人的实际情况，可根据本表格式自行划表填写。</w:t>
      </w:r>
    </w:p>
    <w:p>
      <w:pPr>
        <w:pageBreakBefore w:val="0"/>
        <w:widowControl w:val="0"/>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ageBreakBefore w:val="0"/>
        <w:widowControl w:val="0"/>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1</w:t>
      </w:r>
      <w:r>
        <w:rPr>
          <w:rFonts w:hint="eastAsia" w:ascii="宋体" w:hAnsi="宋体" w:cs="宋体"/>
          <w:b/>
          <w:bCs/>
          <w:color w:val="auto"/>
          <w:szCs w:val="21"/>
          <w:highlight w:val="none"/>
          <w:lang w:val="en-US" w:eastAsia="zh-CN"/>
        </w:rPr>
        <w:t>8</w:t>
      </w:r>
      <w:r>
        <w:rPr>
          <w:rFonts w:hint="eastAsia" w:ascii="宋体" w:hAnsi="宋体" w:eastAsia="宋体" w:cs="宋体"/>
          <w:b/>
          <w:bCs/>
          <w:color w:val="auto"/>
          <w:szCs w:val="21"/>
          <w:highlight w:val="none"/>
        </w:rPr>
        <w:t>.投标人业绩一览表格式</w:t>
      </w:r>
    </w:p>
    <w:p>
      <w:pPr>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rPr>
      </w:pPr>
    </w:p>
    <w:p>
      <w:pPr>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投标人业绩一览表</w:t>
      </w:r>
    </w:p>
    <w:tbl>
      <w:tblPr>
        <w:tblStyle w:val="20"/>
        <w:tblW w:w="928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58"/>
        <w:gridCol w:w="1981"/>
        <w:gridCol w:w="2080"/>
        <w:gridCol w:w="1172"/>
        <w:gridCol w:w="1744"/>
        <w:gridCol w:w="16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658" w:type="dxa"/>
            <w:tcBorders>
              <w:top w:val="single" w:color="auto" w:sz="4" w:space="0"/>
              <w:bottom w:val="single" w:color="auto" w:sz="4" w:space="0"/>
            </w:tcBorders>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81" w:type="dxa"/>
            <w:tcBorders>
              <w:top w:val="single" w:color="auto" w:sz="4" w:space="0"/>
              <w:bottom w:val="single" w:color="auto" w:sz="4" w:space="0"/>
            </w:tcBorders>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2080" w:type="dxa"/>
            <w:tcBorders>
              <w:top w:val="single" w:color="auto" w:sz="4" w:space="0"/>
              <w:bottom w:val="single" w:color="auto" w:sz="4" w:space="0"/>
            </w:tcBorders>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业主名称</w:t>
            </w:r>
          </w:p>
        </w:tc>
        <w:tc>
          <w:tcPr>
            <w:tcW w:w="1172" w:type="dxa"/>
            <w:tcBorders>
              <w:top w:val="single" w:color="auto" w:sz="4" w:space="0"/>
              <w:bottom w:val="single" w:color="auto" w:sz="4" w:space="0"/>
            </w:tcBorders>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w:t>
            </w:r>
          </w:p>
        </w:tc>
        <w:tc>
          <w:tcPr>
            <w:tcW w:w="1744" w:type="dxa"/>
            <w:tcBorders>
              <w:top w:val="single" w:color="auto" w:sz="4" w:space="0"/>
              <w:bottom w:val="single" w:color="auto" w:sz="4" w:space="0"/>
            </w:tcBorders>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合同签订时间</w:t>
            </w:r>
          </w:p>
        </w:tc>
        <w:tc>
          <w:tcPr>
            <w:tcW w:w="1652" w:type="dxa"/>
            <w:tcBorders>
              <w:top w:val="single" w:color="auto" w:sz="4" w:space="0"/>
              <w:bottom w:val="single" w:color="auto" w:sz="4" w:space="0"/>
            </w:tcBorders>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tcBorders>
              <w:top w:val="single" w:color="auto" w:sz="4" w:space="0"/>
            </w:tcBorders>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981" w:type="dxa"/>
            <w:tcBorders>
              <w:top w:val="single" w:color="auto" w:sz="4" w:space="0"/>
            </w:tcBorders>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80" w:type="dxa"/>
            <w:tcBorders>
              <w:top w:val="single" w:color="auto" w:sz="4" w:space="0"/>
            </w:tcBorders>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172" w:type="dxa"/>
            <w:tcBorders>
              <w:top w:val="single" w:color="auto" w:sz="4" w:space="0"/>
            </w:tcBorders>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44" w:type="dxa"/>
            <w:tcBorders>
              <w:top w:val="single" w:color="auto" w:sz="4" w:space="0"/>
            </w:tcBorders>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652" w:type="dxa"/>
            <w:tcBorders>
              <w:top w:val="single" w:color="auto" w:sz="4" w:space="0"/>
            </w:tcBorders>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981"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80"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172"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44"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652"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981"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80"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172"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44"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652"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981"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80"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172"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44"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652"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981"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80"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172"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44"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652"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981"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80"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172"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44"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652"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981"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80"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172"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44"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652"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981"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80"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172"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44"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652"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58"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981"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2080"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172"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744"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c>
          <w:tcPr>
            <w:tcW w:w="1652" w:type="dxa"/>
            <w:noWrap w:val="0"/>
            <w:tcMar>
              <w:left w:w="0" w:type="dxa"/>
              <w:right w:w="0" w:type="dxa"/>
            </w:tcMar>
            <w:vAlign w:val="center"/>
          </w:tcPr>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tc>
      </w:tr>
    </w:tbl>
    <w:p>
      <w:pPr>
        <w:pageBreakBefore w:val="0"/>
        <w:widowControl w:val="0"/>
        <w:kinsoku/>
        <w:wordWrap/>
        <w:overflowPunct/>
        <w:topLinePunct w:val="0"/>
        <w:autoSpaceDE/>
        <w:autoSpaceDN/>
        <w:bidi w:val="0"/>
        <w:spacing w:before="240" w:line="360" w:lineRule="auto"/>
        <w:ind w:left="0" w:leftChars="0"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注：在填写时，如本表格不适合投标人的实际情况，可根据本表格式自行划表填写。</w:t>
      </w:r>
    </w:p>
    <w:p>
      <w:pPr>
        <w:pageBreakBefore w:val="0"/>
        <w:widowControl w:val="0"/>
        <w:kinsoku/>
        <w:wordWrap/>
        <w:overflowPunct/>
        <w:topLinePunct w:val="0"/>
        <w:autoSpaceDE/>
        <w:autoSpaceDN/>
        <w:bidi w:val="0"/>
        <w:ind w:left="0" w:leftChars="0" w:right="0" w:rightChars="0"/>
        <w:jc w:val="both"/>
        <w:rPr>
          <w:rFonts w:hint="eastAsia" w:ascii="宋体" w:hAnsi="宋体" w:eastAsia="宋体" w:cs="宋体"/>
          <w:color w:val="auto"/>
          <w:szCs w:val="21"/>
          <w:highlight w:val="none"/>
        </w:rPr>
      </w:pPr>
    </w:p>
    <w:p>
      <w:pPr>
        <w:pStyle w:val="26"/>
        <w:ind w:left="0" w:leftChars="0" w:firstLine="0" w:firstLineChars="0"/>
        <w:rPr>
          <w:rFonts w:hint="eastAsia"/>
          <w:color w:val="auto"/>
          <w:highlight w:val="none"/>
        </w:rPr>
      </w:pPr>
    </w:p>
    <w:p>
      <w:pPr>
        <w:pageBreakBefore w:val="0"/>
        <w:widowControl w:val="0"/>
        <w:kinsoku/>
        <w:wordWrap/>
        <w:overflowPunct/>
        <w:topLinePunct w:val="0"/>
        <w:autoSpaceDE/>
        <w:autoSpaceDN/>
        <w:bidi w:val="0"/>
        <w:ind w:left="0" w:leftChars="0" w:right="0" w:rightChars="0"/>
        <w:jc w:val="center"/>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ageBreakBefore w:val="0"/>
        <w:widowControl w:val="0"/>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1</w:t>
      </w:r>
      <w:r>
        <w:rPr>
          <w:rFonts w:hint="eastAsia" w:ascii="宋体" w:hAnsi="宋体" w:cs="宋体"/>
          <w:b/>
          <w:bCs/>
          <w:color w:val="auto"/>
          <w:szCs w:val="21"/>
          <w:highlight w:val="none"/>
          <w:lang w:val="en-US" w:eastAsia="zh-CN"/>
        </w:rPr>
        <w:t>9</w:t>
      </w:r>
      <w:r>
        <w:rPr>
          <w:rFonts w:hint="eastAsia" w:ascii="宋体" w:hAnsi="宋体" w:eastAsia="宋体" w:cs="宋体"/>
          <w:b/>
          <w:bCs/>
          <w:color w:val="auto"/>
          <w:szCs w:val="21"/>
          <w:highlight w:val="none"/>
        </w:rPr>
        <w:t>.商业贿赂行为承诺书格式</w:t>
      </w:r>
    </w:p>
    <w:p>
      <w:pPr>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b/>
          <w:bCs/>
          <w:color w:val="auto"/>
          <w:szCs w:val="21"/>
          <w:highlight w:val="none"/>
        </w:rPr>
      </w:pPr>
    </w:p>
    <w:p>
      <w:pPr>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供应商自觉抵制政府采购领域</w:t>
      </w:r>
    </w:p>
    <w:p>
      <w:pPr>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商业贿赂行为承诺书</w:t>
      </w:r>
    </w:p>
    <w:p>
      <w:pPr>
        <w:pageBreakBefore w:val="0"/>
        <w:widowControl w:val="0"/>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pacing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致：宁波之新招标咨询有限公司</w:t>
      </w:r>
    </w:p>
    <w:p>
      <w:pPr>
        <w:pageBreakBefore w:val="0"/>
        <w:widowControl w:val="0"/>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lang w:eastAsia="zh-TW"/>
        </w:rPr>
      </w:pPr>
      <w:r>
        <w:rPr>
          <w:rFonts w:hint="eastAsia" w:ascii="宋体" w:hAnsi="宋体" w:eastAsia="宋体" w:cs="宋体"/>
          <w:color w:val="auto"/>
          <w:szCs w:val="21"/>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集中采购机构组织的政府采购活动中，我方庄重承诺：</w:t>
      </w:r>
    </w:p>
    <w:p>
      <w:pPr>
        <w:pageBreakBefore w:val="0"/>
        <w:widowControl w:val="0"/>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一、依法参与政府采购活动，遵纪守法，诚信经营，公平竞争。</w:t>
      </w:r>
    </w:p>
    <w:p>
      <w:pPr>
        <w:pageBreakBefore w:val="0"/>
        <w:widowControl w:val="0"/>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二、不向采购单位、集中采购机构和政府采购评审专家提供任何形式的商业贿赂；对索取或接受商业贿赂的单位和个人，及时向财政部门和纪检监察机关举报。</w:t>
      </w:r>
    </w:p>
    <w:p>
      <w:pPr>
        <w:pageBreakBefore w:val="0"/>
        <w:widowControl w:val="0"/>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三、不以提供虚假资质文件等形式参与政府采购活动，不以虚假材料谋取中标。</w:t>
      </w:r>
    </w:p>
    <w:p>
      <w:pPr>
        <w:pageBreakBefore w:val="0"/>
        <w:widowControl w:val="0"/>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四、不采取不正当手段诋毁、排挤其他供应商，与其他参与政府采购活动供应商保持良性的竞争关系。</w:t>
      </w:r>
    </w:p>
    <w:p>
      <w:pPr>
        <w:pageBreakBefore w:val="0"/>
        <w:widowControl w:val="0"/>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五、不与采购单位、集中采购机构和政府采购评审专家恶意串通，自觉维护政府采购公平竞争的市场秩序。</w:t>
      </w:r>
    </w:p>
    <w:p>
      <w:pPr>
        <w:pageBreakBefore w:val="0"/>
        <w:widowControl w:val="0"/>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六、不与其他供应商串通采取围标、陪标等商业欺诈手段谋取中标，积极维护国家利益、社会公共利益和采购单位的合法权益。</w:t>
      </w:r>
    </w:p>
    <w:p>
      <w:pPr>
        <w:pageBreakBefore w:val="0"/>
        <w:widowControl w:val="0"/>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七、严格履行政府采购合同约定义务，不在政府采购合同执行过程中采取降低质量或标准、减少数量、拖延交付时间等方式损害采购单位的利益，并自觉承担违约责任。</w:t>
      </w:r>
    </w:p>
    <w:p>
      <w:pPr>
        <w:pageBreakBefore w:val="0"/>
        <w:widowControl w:val="0"/>
        <w:kinsoku/>
        <w:wordWrap/>
        <w:overflowPunct/>
        <w:topLinePunct w:val="0"/>
        <w:autoSpaceDE/>
        <w:autoSpaceDN/>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八、自觉接受并积极配合财政部门和纪检监察机关依法实施的监督检查，如实反映情况，及时提供有关证明材料。</w:t>
      </w:r>
    </w:p>
    <w:p>
      <w:pPr>
        <w:pageBreakBefore w:val="0"/>
        <w:widowControl w:val="0"/>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pacing w:line="360" w:lineRule="auto"/>
        <w:ind w:left="0" w:leftChars="0" w:right="0" w:rightChars="0"/>
        <w:rPr>
          <w:rFonts w:hint="eastAsia" w:ascii="宋体" w:hAnsi="宋体" w:eastAsia="宋体" w:cs="宋体"/>
          <w:color w:val="auto"/>
          <w:szCs w:val="21"/>
          <w:highlight w:val="none"/>
        </w:rPr>
      </w:pP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ageBreakBefore w:val="0"/>
        <w:widowControl w:val="0"/>
        <w:kinsoku/>
        <w:wordWrap/>
        <w:overflowPunct/>
        <w:topLinePunct w:val="0"/>
        <w:autoSpaceDE/>
        <w:autoSpaceDN/>
        <w:bidi w:val="0"/>
        <w:snapToGrid w:val="0"/>
        <w:spacing w:before="50" w:after="50" w:line="360" w:lineRule="auto"/>
        <w:ind w:left="0" w:leftChars="0" w:right="0" w:rightChars="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cs="宋体"/>
          <w:b/>
          <w:bCs/>
          <w:color w:val="auto"/>
          <w:szCs w:val="21"/>
          <w:highlight w:val="none"/>
          <w:lang w:val="en-US" w:eastAsia="zh-CN"/>
        </w:rPr>
        <w:t>20</w:t>
      </w:r>
      <w:r>
        <w:rPr>
          <w:rFonts w:hint="eastAsia" w:ascii="宋体" w:hAnsi="宋体" w:eastAsia="宋体" w:cs="宋体"/>
          <w:b/>
          <w:bCs/>
          <w:color w:val="auto"/>
          <w:szCs w:val="21"/>
          <w:highlight w:val="none"/>
        </w:rPr>
        <w:t>.残疾人福利性单位声明函格式</w:t>
      </w:r>
    </w:p>
    <w:p>
      <w:pPr>
        <w:pageBreakBefore w:val="0"/>
        <w:widowControl w:val="0"/>
        <w:kinsoku/>
        <w:wordWrap/>
        <w:overflowPunct/>
        <w:topLinePunct w:val="0"/>
        <w:autoSpaceDE/>
        <w:autoSpaceDN/>
        <w:bidi w:val="0"/>
        <w:ind w:left="0" w:leftChars="0" w:right="0" w:rightChars="0"/>
        <w:rPr>
          <w:rFonts w:hint="eastAsia" w:ascii="宋体" w:hAnsi="宋体" w:eastAsia="宋体" w:cs="宋体"/>
          <w:color w:val="auto"/>
          <w:highlight w:val="none"/>
        </w:rPr>
      </w:pPr>
    </w:p>
    <w:p>
      <w:pPr>
        <w:pageBreakBefore w:val="0"/>
        <w:widowControl w:val="0"/>
        <w:kinsoku/>
        <w:wordWrap/>
        <w:overflowPunct/>
        <w:topLinePunct w:val="0"/>
        <w:autoSpaceDE/>
        <w:autoSpaceDN/>
        <w:bidi w:val="0"/>
        <w:spacing w:line="360" w:lineRule="auto"/>
        <w:ind w:left="0" w:leftChars="0" w:right="0" w:rightChars="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残疾人福利性单位声明函</w:t>
      </w:r>
    </w:p>
    <w:p>
      <w:pPr>
        <w:pStyle w:val="11"/>
        <w:pageBreakBefore w:val="0"/>
        <w:widowControl w:val="0"/>
        <w:kinsoku/>
        <w:wordWrap/>
        <w:overflowPunct/>
        <w:topLinePunct w:val="0"/>
        <w:autoSpaceDE/>
        <w:autoSpaceDN/>
        <w:bidi w:val="0"/>
        <w:spacing w:line="360" w:lineRule="auto"/>
        <w:ind w:left="0" w:leftChars="0" w:right="0" w:rightChars="0" w:firstLine="0"/>
        <w:jc w:val="center"/>
        <w:rPr>
          <w:rFonts w:hint="eastAsia" w:hAnsi="宋体" w:cs="宋体"/>
          <w:b/>
          <w:color w:val="auto"/>
          <w:sz w:val="28"/>
          <w:szCs w:val="28"/>
          <w:highlight w:val="none"/>
        </w:rPr>
      </w:pPr>
    </w:p>
    <w:p>
      <w:pPr>
        <w:pageBreakBefore w:val="0"/>
        <w:widowControl w:val="0"/>
        <w:kinsoku/>
        <w:wordWrap/>
        <w:overflowPunct/>
        <w:topLinePunct w:val="0"/>
        <w:autoSpaceDE/>
        <w:autoSpaceDN/>
        <w:bidi w:val="0"/>
        <w:spacing w:line="360" w:lineRule="auto"/>
        <w:ind w:left="0" w:leftChars="0" w:right="0" w:righ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ageBreakBefore w:val="0"/>
        <w:widowControl w:val="0"/>
        <w:kinsoku/>
        <w:wordWrap/>
        <w:overflowPunct/>
        <w:topLinePunct w:val="0"/>
        <w:autoSpaceDE/>
        <w:autoSpaceDN/>
        <w:bidi w:val="0"/>
        <w:spacing w:line="360" w:lineRule="auto"/>
        <w:ind w:left="0" w:leftChars="0" w:right="0" w:righ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pPr>
        <w:pageBreakBefore w:val="0"/>
        <w:widowControl w:val="0"/>
        <w:kinsoku/>
        <w:wordWrap/>
        <w:overflowPunct/>
        <w:topLinePunct w:val="0"/>
        <w:autoSpaceDE/>
        <w:autoSpaceDN/>
        <w:bidi w:val="0"/>
        <w:spacing w:line="360" w:lineRule="auto"/>
        <w:ind w:left="0" w:leftChars="0" w:right="0" w:rightChars="0" w:firstLine="420" w:firstLineChars="200"/>
        <w:contextualSpacing/>
        <w:rPr>
          <w:rFonts w:hint="eastAsia" w:ascii="宋体" w:hAnsi="宋体" w:eastAsia="宋体" w:cs="宋体"/>
          <w:color w:val="auto"/>
          <w:highlight w:val="none"/>
        </w:rPr>
      </w:pPr>
    </w:p>
    <w:p>
      <w:pPr>
        <w:pageBreakBefore w:val="0"/>
        <w:widowControl w:val="0"/>
        <w:kinsoku/>
        <w:wordWrap/>
        <w:overflowPunct/>
        <w:topLinePunct w:val="0"/>
        <w:autoSpaceDE/>
        <w:autoSpaceDN/>
        <w:bidi w:val="0"/>
        <w:spacing w:line="360" w:lineRule="auto"/>
        <w:ind w:left="0" w:leftChars="0" w:right="0" w:rightChars="0" w:firstLine="420" w:firstLineChars="200"/>
        <w:contextualSpacing/>
        <w:rPr>
          <w:rFonts w:hint="eastAsia" w:ascii="宋体" w:hAnsi="宋体" w:eastAsia="宋体" w:cs="宋体"/>
          <w:color w:val="auto"/>
          <w:highlight w:val="none"/>
        </w:rPr>
      </w:pP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投标人名称（盖章）：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法定代表人或授权代表（签字或盖章）：</w:t>
      </w:r>
    </w:p>
    <w:p>
      <w:pPr>
        <w:pageBreakBefore w:val="0"/>
        <w:widowControl w:val="0"/>
        <w:kinsoku/>
        <w:wordWrap/>
        <w:overflowPunct/>
        <w:topLinePunct w:val="0"/>
        <w:autoSpaceDE/>
        <w:autoSpaceDN/>
        <w:bidi w:val="0"/>
        <w:snapToGrid w:val="0"/>
        <w:spacing w:before="50" w:after="50" w:line="600" w:lineRule="auto"/>
        <w:ind w:left="130" w:leftChars="0" w:right="0" w:rightChars="0" w:hanging="130"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rPr>
          <w:color w:val="auto"/>
          <w:highlight w:val="none"/>
        </w:rPr>
      </w:pPr>
    </w:p>
    <w:p>
      <w:pPr>
        <w:keepNext w:val="0"/>
        <w:keepLines w:val="0"/>
        <w:pageBreakBefore w:val="0"/>
        <w:widowControl w:val="0"/>
        <w:kinsoku/>
        <w:overflowPunct/>
        <w:topLinePunct w:val="0"/>
        <w:autoSpaceDE/>
        <w:autoSpaceDN/>
        <w:bidi w:val="0"/>
        <w:jc w:val="both"/>
        <w:rPr>
          <w:rFonts w:hint="eastAsia"/>
          <w:color w:val="auto"/>
          <w:highlight w:val="none"/>
        </w:rPr>
        <w:sectPr>
          <w:headerReference r:id="rId9" w:type="default"/>
          <w:footerReference r:id="rId10" w:type="default"/>
          <w:pgSz w:w="11906" w:h="16838"/>
          <w:pgMar w:top="1440" w:right="1800" w:bottom="1440" w:left="1800" w:header="851" w:footer="680" w:gutter="0"/>
          <w:pgBorders>
            <w:top w:val="none" w:sz="0" w:space="0"/>
            <w:left w:val="none" w:sz="0" w:space="0"/>
            <w:bottom w:val="none" w:sz="0" w:space="0"/>
            <w:right w:val="none" w:sz="0" w:space="0"/>
          </w:pgBorders>
          <w:pgNumType w:fmt="decimal"/>
          <w:cols w:space="720" w:num="1"/>
          <w:titlePg/>
          <w:rtlGutter w:val="0"/>
          <w:docGrid w:linePitch="312" w:charSpace="0"/>
        </w:sectPr>
      </w:pPr>
    </w:p>
    <w:tbl>
      <w:tblPr>
        <w:tblStyle w:val="20"/>
        <w:tblpPr w:leftFromText="180" w:rightFromText="180" w:vertAnchor="page" w:horzAnchor="margin" w:tblpXSpec="center" w:tblpY="886"/>
        <w:tblW w:w="15318" w:type="dxa"/>
        <w:tblInd w:w="0" w:type="dxa"/>
        <w:tblLayout w:type="fixed"/>
        <w:tblCellMar>
          <w:top w:w="0" w:type="dxa"/>
          <w:left w:w="108" w:type="dxa"/>
          <w:bottom w:w="0" w:type="dxa"/>
          <w:right w:w="108" w:type="dxa"/>
        </w:tblCellMar>
      </w:tblPr>
      <w:tblGrid>
        <w:gridCol w:w="2376"/>
        <w:gridCol w:w="1498"/>
        <w:gridCol w:w="1763"/>
        <w:gridCol w:w="1660"/>
        <w:gridCol w:w="1240"/>
        <w:gridCol w:w="1480"/>
        <w:gridCol w:w="1520"/>
        <w:gridCol w:w="1285"/>
        <w:gridCol w:w="1275"/>
        <w:gridCol w:w="1221"/>
      </w:tblGrid>
      <w:tr>
        <w:tblPrEx>
          <w:tblCellMar>
            <w:top w:w="0" w:type="dxa"/>
            <w:left w:w="108" w:type="dxa"/>
            <w:bottom w:w="0" w:type="dxa"/>
            <w:right w:w="108" w:type="dxa"/>
          </w:tblCellMar>
        </w:tblPrEx>
        <w:trPr>
          <w:trHeight w:val="420" w:hRule="atLeast"/>
        </w:trPr>
        <w:tc>
          <w:tcPr>
            <w:tcW w:w="15318" w:type="dxa"/>
            <w:gridSpan w:val="10"/>
            <w:tcBorders>
              <w:top w:val="nil"/>
              <w:left w:val="nil"/>
              <w:bottom w:val="nil"/>
              <w:right w:val="nil"/>
            </w:tcBorders>
            <w:noWrap w:val="0"/>
            <w:vAlign w:val="bottom"/>
          </w:tcPr>
          <w:p>
            <w:pPr>
              <w:keepNext w:val="0"/>
              <w:keepLines w:val="0"/>
              <w:pageBreakBefore w:val="0"/>
              <w:widowControl w:val="0"/>
              <w:kinsoku/>
              <w:overflowPunct/>
              <w:topLinePunct w:val="0"/>
              <w:autoSpaceDE/>
              <w:autoSpaceDN/>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微行业划型标准规定（根据工信部联企业〔2011〕300号制定）【以文件规定为准】</w:t>
            </w:r>
          </w:p>
        </w:tc>
      </w:tr>
      <w:tr>
        <w:tblPrEx>
          <w:tblCellMar>
            <w:top w:w="0" w:type="dxa"/>
            <w:left w:w="108" w:type="dxa"/>
            <w:bottom w:w="0" w:type="dxa"/>
            <w:right w:w="108" w:type="dxa"/>
          </w:tblCellMar>
        </w:tblPrEx>
        <w:trPr>
          <w:trHeight w:val="465" w:hRule="atLeast"/>
        </w:trPr>
        <w:tc>
          <w:tcPr>
            <w:tcW w:w="2376" w:type="dxa"/>
            <w:vMerge w:val="restart"/>
            <w:tcBorders>
              <w:top w:val="single" w:color="auto" w:sz="8" w:space="0"/>
              <w:left w:val="single" w:color="auto" w:sz="8" w:space="0"/>
              <w:bottom w:val="single" w:color="000000" w:sz="4" w:space="0"/>
              <w:right w:val="single" w:color="auto" w:sz="8" w:space="0"/>
            </w:tcBorders>
            <w:noWrap w:val="0"/>
            <w:vAlign w:val="center"/>
          </w:tcPr>
          <w:p>
            <w:pPr>
              <w:keepNext w:val="0"/>
              <w:keepLines w:val="0"/>
              <w:pageBreakBefore w:val="0"/>
              <w:widowControl w:val="0"/>
              <w:kinsoku/>
              <w:overflowPunct/>
              <w:topLinePunct w:val="0"/>
              <w:autoSpaceDE/>
              <w:autoSpaceDN/>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val="0"/>
              <w:kinsoku/>
              <w:overflowPunct/>
              <w:topLinePunct w:val="0"/>
              <w:autoSpaceDE/>
              <w:autoSpaceDN/>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中型企业</w:t>
            </w:r>
          </w:p>
        </w:tc>
        <w:tc>
          <w:tcPr>
            <w:tcW w:w="4240" w:type="dxa"/>
            <w:gridSpan w:val="3"/>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val="0"/>
              <w:kinsoku/>
              <w:overflowPunct/>
              <w:topLinePunct w:val="0"/>
              <w:autoSpaceDE/>
              <w:autoSpaceDN/>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val="0"/>
              <w:kinsoku/>
              <w:overflowPunct/>
              <w:topLinePunct w:val="0"/>
              <w:autoSpaceDE/>
              <w:autoSpaceDN/>
              <w:bidi w:val="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微型企业</w:t>
            </w:r>
          </w:p>
        </w:tc>
      </w:tr>
      <w:tr>
        <w:tblPrEx>
          <w:tblCellMar>
            <w:top w:w="0" w:type="dxa"/>
            <w:left w:w="108" w:type="dxa"/>
            <w:bottom w:w="0" w:type="dxa"/>
            <w:right w:w="108" w:type="dxa"/>
          </w:tblCellMar>
        </w:tblPrEx>
        <w:trPr>
          <w:trHeight w:val="525" w:hRule="atLeast"/>
        </w:trPr>
        <w:tc>
          <w:tcPr>
            <w:tcW w:w="2376" w:type="dxa"/>
            <w:vMerge w:val="continue"/>
            <w:tcBorders>
              <w:top w:val="single" w:color="auto" w:sz="8" w:space="0"/>
              <w:left w:val="single" w:color="auto" w:sz="8" w:space="0"/>
              <w:bottom w:val="single" w:color="000000" w:sz="4" w:space="0"/>
              <w:right w:val="single" w:color="auto" w:sz="8" w:space="0"/>
            </w:tcBorders>
            <w:noWrap w:val="0"/>
            <w:vAlign w:val="center"/>
          </w:tcPr>
          <w:p>
            <w:pPr>
              <w:keepNext w:val="0"/>
              <w:keepLines w:val="0"/>
              <w:pageBreakBefore w:val="0"/>
              <w:widowControl w:val="0"/>
              <w:kinsoku/>
              <w:overflowPunct/>
              <w:topLinePunct w:val="0"/>
              <w:autoSpaceDE/>
              <w:autoSpaceDN/>
              <w:bidi w:val="0"/>
              <w:jc w:val="left"/>
              <w:rPr>
                <w:rFonts w:hint="eastAsia" w:ascii="宋体" w:hAnsi="宋体" w:eastAsia="宋体" w:cs="宋体"/>
                <w:b/>
                <w:bCs/>
                <w:color w:val="auto"/>
                <w:kern w:val="0"/>
                <w:sz w:val="18"/>
                <w:szCs w:val="18"/>
                <w:highlight w:val="none"/>
              </w:rPr>
            </w:pPr>
          </w:p>
        </w:tc>
        <w:tc>
          <w:tcPr>
            <w:tcW w:w="1498"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763"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p>
            <w:pPr>
              <w:keepNext w:val="0"/>
              <w:keepLines w:val="0"/>
              <w:pageBreakBefore w:val="0"/>
              <w:widowControl w:val="0"/>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6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p>
            <w:pPr>
              <w:keepNext w:val="0"/>
              <w:keepLines w:val="0"/>
              <w:pageBreakBefore w:val="0"/>
              <w:widowControl w:val="0"/>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24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48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p>
            <w:pPr>
              <w:keepNext w:val="0"/>
              <w:keepLines w:val="0"/>
              <w:pageBreakBefore w:val="0"/>
              <w:widowControl w:val="0"/>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52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p>
            <w:pPr>
              <w:keepNext w:val="0"/>
              <w:keepLines w:val="0"/>
              <w:pageBreakBefore w:val="0"/>
              <w:widowControl w:val="0"/>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27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营业收入Y（万元）</w:t>
            </w:r>
          </w:p>
        </w:tc>
        <w:tc>
          <w:tcPr>
            <w:tcW w:w="1221"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资产总额Z（万元）</w:t>
            </w:r>
          </w:p>
        </w:tc>
      </w:tr>
      <w:tr>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1、农林牧渔业</w:t>
            </w:r>
          </w:p>
        </w:tc>
        <w:tc>
          <w:tcPr>
            <w:tcW w:w="1498"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763"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48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52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7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c>
          <w:tcPr>
            <w:tcW w:w="1221"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2、工业</w:t>
            </w:r>
          </w:p>
        </w:tc>
        <w:tc>
          <w:tcPr>
            <w:tcW w:w="1498"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2000≤Y＜40000</w:t>
            </w:r>
          </w:p>
        </w:tc>
        <w:tc>
          <w:tcPr>
            <w:tcW w:w="166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b w:val="0"/>
                <w:bCs w:val="0"/>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20≤X＜300</w:t>
            </w:r>
          </w:p>
        </w:tc>
        <w:tc>
          <w:tcPr>
            <w:tcW w:w="148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300≤Y＜2000</w:t>
            </w:r>
          </w:p>
        </w:tc>
        <w:tc>
          <w:tcPr>
            <w:tcW w:w="152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b w:val="0"/>
                <w:bCs w:val="0"/>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Y＜300</w:t>
            </w:r>
          </w:p>
        </w:tc>
        <w:tc>
          <w:tcPr>
            <w:tcW w:w="1221"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b w:val="0"/>
                <w:bCs w:val="0"/>
                <w:color w:val="auto"/>
                <w:kern w:val="0"/>
                <w:sz w:val="18"/>
                <w:szCs w:val="18"/>
                <w:highlight w:val="none"/>
              </w:rPr>
            </w:pPr>
          </w:p>
        </w:tc>
      </w:tr>
      <w:tr>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3、建筑业</w:t>
            </w:r>
          </w:p>
        </w:tc>
        <w:tc>
          <w:tcPr>
            <w:tcW w:w="1498"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763"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66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24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48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52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7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c>
          <w:tcPr>
            <w:tcW w:w="1221"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4、批发业</w:t>
            </w:r>
          </w:p>
        </w:tc>
        <w:tc>
          <w:tcPr>
            <w:tcW w:w="1498"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63"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66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48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52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c>
          <w:tcPr>
            <w:tcW w:w="127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c>
          <w:tcPr>
            <w:tcW w:w="1221"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5、零售业</w:t>
            </w:r>
          </w:p>
        </w:tc>
        <w:tc>
          <w:tcPr>
            <w:tcW w:w="1498"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63"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48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52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6、交通运输业</w:t>
            </w:r>
          </w:p>
        </w:tc>
        <w:tc>
          <w:tcPr>
            <w:tcW w:w="1498"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66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52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V＜200</w:t>
            </w:r>
          </w:p>
        </w:tc>
        <w:tc>
          <w:tcPr>
            <w:tcW w:w="1221"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7、仓储业</w:t>
            </w:r>
          </w:p>
        </w:tc>
        <w:tc>
          <w:tcPr>
            <w:tcW w:w="1498"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63"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66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48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8、邮政业</w:t>
            </w:r>
          </w:p>
        </w:tc>
        <w:tc>
          <w:tcPr>
            <w:tcW w:w="1498"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66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9、住宿业</w:t>
            </w:r>
          </w:p>
        </w:tc>
        <w:tc>
          <w:tcPr>
            <w:tcW w:w="1498"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10、餐饮业</w:t>
            </w:r>
          </w:p>
        </w:tc>
        <w:tc>
          <w:tcPr>
            <w:tcW w:w="1498"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V＜100</w:t>
            </w:r>
          </w:p>
        </w:tc>
        <w:tc>
          <w:tcPr>
            <w:tcW w:w="1221"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11、信息传输业</w:t>
            </w:r>
          </w:p>
        </w:tc>
        <w:tc>
          <w:tcPr>
            <w:tcW w:w="1498"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63"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66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12、软件和信息技术服务业</w:t>
            </w:r>
          </w:p>
        </w:tc>
        <w:tc>
          <w:tcPr>
            <w:tcW w:w="1498"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66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52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c>
          <w:tcPr>
            <w:tcW w:w="1221"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13、房地产开发经营</w:t>
            </w:r>
          </w:p>
        </w:tc>
        <w:tc>
          <w:tcPr>
            <w:tcW w:w="1498"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763"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66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24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48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7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14、物业管理</w:t>
            </w:r>
          </w:p>
        </w:tc>
        <w:tc>
          <w:tcPr>
            <w:tcW w:w="1498"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66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8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52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c>
          <w:tcPr>
            <w:tcW w:w="127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c>
          <w:tcPr>
            <w:tcW w:w="1221"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r>
      <w:tr>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15、租赁和商务服务业</w:t>
            </w:r>
          </w:p>
        </w:tc>
        <w:tc>
          <w:tcPr>
            <w:tcW w:w="1498"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66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24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520"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p>
        </w:tc>
        <w:tc>
          <w:tcPr>
            <w:tcW w:w="1221" w:type="dxa"/>
            <w:tcBorders>
              <w:top w:val="nil"/>
              <w:left w:val="nil"/>
              <w:bottom w:val="single" w:color="auto" w:sz="4"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8"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16、其他未列明行业</w:t>
            </w:r>
          </w:p>
        </w:tc>
        <w:tc>
          <w:tcPr>
            <w:tcW w:w="1498" w:type="dxa"/>
            <w:tcBorders>
              <w:top w:val="nil"/>
              <w:left w:val="nil"/>
              <w:bottom w:val="single" w:color="auto" w:sz="8"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100≤X＜300</w:t>
            </w:r>
          </w:p>
        </w:tc>
        <w:tc>
          <w:tcPr>
            <w:tcW w:w="1763" w:type="dxa"/>
            <w:tcBorders>
              <w:top w:val="nil"/>
              <w:left w:val="nil"/>
              <w:bottom w:val="single" w:color="auto" w:sz="8"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b/>
                <w:bCs/>
                <w:color w:val="auto"/>
                <w:kern w:val="0"/>
                <w:sz w:val="18"/>
                <w:szCs w:val="18"/>
                <w:highlight w:val="none"/>
              </w:rPr>
            </w:pPr>
          </w:p>
        </w:tc>
        <w:tc>
          <w:tcPr>
            <w:tcW w:w="1660" w:type="dxa"/>
            <w:tcBorders>
              <w:top w:val="nil"/>
              <w:left w:val="nil"/>
              <w:bottom w:val="single" w:color="auto" w:sz="8"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b/>
                <w:bCs/>
                <w:color w:val="auto"/>
                <w:kern w:val="0"/>
                <w:sz w:val="18"/>
                <w:szCs w:val="18"/>
                <w:highlight w:val="none"/>
              </w:rPr>
            </w:pPr>
          </w:p>
        </w:tc>
        <w:tc>
          <w:tcPr>
            <w:tcW w:w="1240" w:type="dxa"/>
            <w:tcBorders>
              <w:top w:val="nil"/>
              <w:left w:val="nil"/>
              <w:bottom w:val="single" w:color="auto" w:sz="8"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10≤X＜100</w:t>
            </w:r>
          </w:p>
        </w:tc>
        <w:tc>
          <w:tcPr>
            <w:tcW w:w="1480" w:type="dxa"/>
            <w:tcBorders>
              <w:top w:val="nil"/>
              <w:left w:val="nil"/>
              <w:bottom w:val="single" w:color="auto" w:sz="8"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b/>
                <w:bCs/>
                <w:color w:val="auto"/>
                <w:kern w:val="0"/>
                <w:sz w:val="18"/>
                <w:szCs w:val="18"/>
                <w:highlight w:val="none"/>
              </w:rPr>
            </w:pPr>
          </w:p>
        </w:tc>
        <w:tc>
          <w:tcPr>
            <w:tcW w:w="1520" w:type="dxa"/>
            <w:tcBorders>
              <w:top w:val="nil"/>
              <w:left w:val="nil"/>
              <w:bottom w:val="single" w:color="auto" w:sz="8"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b/>
                <w:bCs/>
                <w:color w:val="auto"/>
                <w:kern w:val="0"/>
                <w:sz w:val="18"/>
                <w:szCs w:val="18"/>
                <w:highlight w:val="none"/>
              </w:rPr>
            </w:pPr>
          </w:p>
        </w:tc>
        <w:tc>
          <w:tcPr>
            <w:tcW w:w="1285" w:type="dxa"/>
            <w:tcBorders>
              <w:top w:val="nil"/>
              <w:left w:val="nil"/>
              <w:bottom w:val="single" w:color="auto" w:sz="8"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X＜10</w:t>
            </w:r>
          </w:p>
        </w:tc>
        <w:tc>
          <w:tcPr>
            <w:tcW w:w="1275" w:type="dxa"/>
            <w:tcBorders>
              <w:top w:val="nil"/>
              <w:left w:val="nil"/>
              <w:bottom w:val="single" w:color="auto" w:sz="8" w:space="0"/>
              <w:right w:val="single" w:color="auto" w:sz="4"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b/>
                <w:bCs/>
                <w:color w:val="auto"/>
                <w:kern w:val="0"/>
                <w:sz w:val="18"/>
                <w:szCs w:val="18"/>
                <w:highlight w:val="none"/>
              </w:rPr>
            </w:pPr>
          </w:p>
        </w:tc>
        <w:tc>
          <w:tcPr>
            <w:tcW w:w="1221" w:type="dxa"/>
            <w:tcBorders>
              <w:top w:val="nil"/>
              <w:left w:val="nil"/>
              <w:bottom w:val="single" w:color="auto" w:sz="8" w:space="0"/>
              <w:right w:val="single" w:color="auto" w:sz="8" w:space="0"/>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b/>
                <w:bCs/>
                <w:color w:val="auto"/>
                <w:kern w:val="0"/>
                <w:sz w:val="18"/>
                <w:szCs w:val="18"/>
                <w:highlight w:val="none"/>
              </w:rPr>
            </w:pPr>
          </w:p>
        </w:tc>
      </w:tr>
      <w:tr>
        <w:tblPrEx>
          <w:tblCellMar>
            <w:top w:w="0" w:type="dxa"/>
            <w:left w:w="108" w:type="dxa"/>
            <w:bottom w:w="0" w:type="dxa"/>
            <w:right w:w="108" w:type="dxa"/>
          </w:tblCellMar>
        </w:tblPrEx>
        <w:trPr>
          <w:trHeight w:val="285" w:hRule="atLeast"/>
        </w:trPr>
        <w:tc>
          <w:tcPr>
            <w:tcW w:w="15318" w:type="dxa"/>
            <w:gridSpan w:val="10"/>
            <w:tcBorders>
              <w:top w:val="nil"/>
              <w:left w:val="nil"/>
              <w:bottom w:val="nil"/>
              <w:right w:val="nil"/>
            </w:tcBorders>
            <w:noWrap w:val="0"/>
            <w:vAlign w:val="bottom"/>
          </w:tcPr>
          <w:p>
            <w:pPr>
              <w:keepNext w:val="0"/>
              <w:keepLines w:val="0"/>
              <w:pageBreakBefore w:val="0"/>
              <w:widowControl w:val="0"/>
              <w:kinsoku/>
              <w:overflowPunct/>
              <w:topLinePunct w:val="0"/>
              <w:autoSpaceDE/>
              <w:autoSpaceDN/>
              <w:bidi w:val="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说明：1、企业类型的划分以统计部门的统计数据为依据。</w:t>
            </w:r>
          </w:p>
          <w:p>
            <w:pPr>
              <w:keepNext w:val="0"/>
              <w:keepLines w:val="0"/>
              <w:pageBreakBefore w:val="0"/>
              <w:widowControl w:val="0"/>
              <w:kinsoku/>
              <w:overflowPunct/>
              <w:topLinePunct w:val="0"/>
              <w:autoSpaceDE/>
              <w:autoSpaceDN/>
              <w:bidi w:val="0"/>
              <w:ind w:firstLine="540" w:firstLineChars="3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2、个体工商户和本规定以外的行业，参照本规定进行划型。</w:t>
            </w:r>
          </w:p>
          <w:p>
            <w:pPr>
              <w:keepNext w:val="0"/>
              <w:keepLines w:val="0"/>
              <w:pageBreakBefore w:val="0"/>
              <w:widowControl w:val="0"/>
              <w:kinsoku/>
              <w:overflowPunct/>
              <w:topLinePunct w:val="0"/>
              <w:autoSpaceDE/>
              <w:autoSpaceDN/>
              <w:bidi w:val="0"/>
              <w:ind w:firstLine="540" w:firstLineChars="3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3、本规定的中型企业标准上限即为大型企业标准的下限。</w:t>
            </w:r>
          </w:p>
          <w:p>
            <w:pPr>
              <w:pStyle w:val="10"/>
              <w:keepNext w:val="0"/>
              <w:keepLines w:val="0"/>
              <w:pageBreakBefore w:val="0"/>
              <w:widowControl w:val="0"/>
              <w:kinsoku/>
              <w:overflowPunct/>
              <w:topLinePunct w:val="0"/>
              <w:autoSpaceDE/>
              <w:autoSpaceDN/>
              <w:bidi w:val="0"/>
              <w:ind w:firstLine="542" w:firstLineChars="300"/>
              <w:rPr>
                <w:rFonts w:hint="eastAsia" w:ascii="宋体" w:hAnsi="宋体" w:eastAsia="宋体" w:cs="宋体"/>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4、《关于印发中小企业划型标准规定的通知(工信部联企业〔2011〕300号)》全文链接：http://zfcg.changzhou.gov.cn/print.php?fid=191352060146258</w:t>
            </w:r>
          </w:p>
        </w:tc>
      </w:tr>
    </w:tbl>
    <w:p>
      <w:pPr>
        <w:pStyle w:val="7"/>
        <w:rPr>
          <w:rFonts w:hint="eastAsia" w:ascii="Times New Roman" w:hAnsi="Times New Roman" w:eastAsia="宋体" w:cs="Times New Roman"/>
          <w:color w:val="auto"/>
          <w:highlight w:val="none"/>
        </w:rPr>
      </w:pPr>
    </w:p>
    <w:p>
      <w:pPr>
        <w:pStyle w:val="25"/>
        <w:rPr>
          <w:color w:val="auto"/>
          <w:highlight w:val="none"/>
        </w:rPr>
      </w:pPr>
    </w:p>
    <w:sectPr>
      <w:pgSz w:w="16838" w:h="11906" w:orient="landscape"/>
      <w:pgMar w:top="1587" w:right="1440" w:bottom="1587"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ﾮﾋ￤ﾽﾓ">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eastAsia="宋体" w:cs="Times New Roman"/>
      </w:rPr>
    </w:pPr>
  </w:p>
  <w:p>
    <w:pPr>
      <w:pStyle w:val="15"/>
      <w:rPr>
        <w:rFonts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Fonts w:eastAsia="宋体" w:cs="Times New Roman"/>
      </w:rPr>
    </w:pPr>
    <w:r>
      <w:rPr>
        <w:rFonts w:eastAsia="宋体" w:cs="Times New Roman"/>
      </w:rPr>
      <w:fldChar w:fldCharType="begin"/>
    </w:r>
    <w:r>
      <w:rPr>
        <w:rStyle w:val="24"/>
      </w:rPr>
      <w:instrText xml:space="preserve">PAGE  </w:instrText>
    </w:r>
    <w:r>
      <w:rPr>
        <w:rFonts w:eastAsia="宋体" w:cs="Times New Roman"/>
      </w:rPr>
      <w:fldChar w:fldCharType="separate"/>
    </w:r>
    <w:r>
      <w:rPr>
        <w:rStyle w:val="24"/>
      </w:rPr>
      <w:t>19</w:t>
    </w:r>
    <w:r>
      <w:rPr>
        <w:rFonts w:eastAsia="宋体" w:cs="Times New Roman"/>
      </w:rPr>
      <w:fldChar w:fldCharType="end"/>
    </w:r>
  </w:p>
  <w:p>
    <w:pPr>
      <w:pStyle w:val="15"/>
      <w:ind w:right="360" w:firstLine="360"/>
      <w:rPr>
        <w:rFonts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Fonts w:eastAsia="宋体" w:cs="Times New Roman"/>
      </w:rPr>
    </w:pPr>
    <w:r>
      <w:rPr>
        <w:rFonts w:eastAsia="宋体" w:cs="Times New Roman"/>
      </w:rPr>
      <w:fldChar w:fldCharType="begin"/>
    </w:r>
    <w:r>
      <w:rPr>
        <w:rStyle w:val="24"/>
      </w:rPr>
      <w:instrText xml:space="preserve">PAGE  </w:instrText>
    </w:r>
    <w:r>
      <w:rPr>
        <w:rFonts w:eastAsia="宋体" w:cs="Times New Roman"/>
      </w:rPr>
      <w:fldChar w:fldCharType="separate"/>
    </w:r>
    <w:r>
      <w:rPr>
        <w:rStyle w:val="24"/>
      </w:rPr>
      <w:t>3</w:t>
    </w:r>
    <w:r>
      <w:rPr>
        <w:rFonts w:eastAsia="宋体" w:cs="Times New Roman"/>
      </w:rPr>
      <w:fldChar w:fldCharType="end"/>
    </w:r>
  </w:p>
  <w:p>
    <w:pPr>
      <w:pStyle w:val="15"/>
      <w:ind w:right="360" w:firstLine="360"/>
      <w:rPr>
        <w:rFonts w:eastAsia="宋体"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eastAsia="宋体" w:cs="Times New Roman"/>
      </w:rPr>
    </w:pPr>
    <w:r>
      <w:rPr>
        <w:rFonts w:eastAsia="宋体" w:cs="Times New Roman"/>
      </w:rPr>
      <w:fldChar w:fldCharType="begin"/>
    </w:r>
    <w:r>
      <w:rPr>
        <w:rFonts w:eastAsia="宋体" w:cs="Times New Roman"/>
      </w:rPr>
      <w:instrText xml:space="preserve"> PAGE   \* MERGEFORMAT </w:instrText>
    </w:r>
    <w:r>
      <w:rPr>
        <w:rFonts w:eastAsia="宋体" w:cs="Times New Roman"/>
      </w:rPr>
      <w:fldChar w:fldCharType="separate"/>
    </w:r>
    <w:r>
      <w:rPr>
        <w:rFonts w:eastAsia="宋体" w:cs="Times New Roman"/>
        <w:lang w:val="zh-CN"/>
      </w:rPr>
      <w:t>5</w:t>
    </w:r>
    <w:r>
      <w:rPr>
        <w:rFonts w:eastAsia="宋体" w:cs="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黑体" w:cs="Times New Roman"/>
        <w:snapToGrid w:val="0"/>
        <w:kern w:val="2"/>
        <w:sz w:val="18"/>
        <w:szCs w:val="18"/>
        <w:lang w:val="en-US" w:eastAsia="zh-CN" w:bidi="ar-SA"/>
      </w:rPr>
    </w:pPr>
    <w:r>
      <w:rPr>
        <w:rFonts w:ascii="Times New Roman" w:hAnsi="Times New Roman" w:eastAsia="黑体" w:cs="Times New Roman"/>
        <w:snapToGrid w:val="0"/>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jc w:val="left"/>
                            <w:rPr>
                              <w:rFonts w:hint="eastAsia" w:ascii="Times New Roman" w:hAnsi="Times New Roman" w:eastAsia="宋体" w:cs="Times New Roman"/>
                              <w:snapToGrid w:val="0"/>
                              <w:kern w:val="2"/>
                              <w:sz w:val="18"/>
                              <w:szCs w:val="18"/>
                              <w:lang w:val="en-US" w:eastAsia="zh-CN" w:bidi="ar-SA"/>
                            </w:rPr>
                          </w:pPr>
                          <w:r>
                            <w:rPr>
                              <w:rFonts w:hint="eastAsia" w:ascii="Times New Roman" w:hAnsi="Times New Roman" w:eastAsia="黑体" w:cs="Times New Roman"/>
                              <w:snapToGrid w:val="0"/>
                              <w:kern w:val="2"/>
                              <w:sz w:val="18"/>
                              <w:szCs w:val="18"/>
                              <w:lang w:val="en-US" w:eastAsia="zh-CN" w:bidi="ar-SA"/>
                            </w:rPr>
                            <w:fldChar w:fldCharType="begin"/>
                          </w:r>
                          <w:r>
                            <w:rPr>
                              <w:rFonts w:hint="eastAsia" w:ascii="Times New Roman" w:hAnsi="Times New Roman" w:eastAsia="黑体" w:cs="Times New Roman"/>
                              <w:snapToGrid w:val="0"/>
                              <w:kern w:val="2"/>
                              <w:sz w:val="18"/>
                              <w:szCs w:val="18"/>
                              <w:lang w:val="en-US" w:eastAsia="zh-CN" w:bidi="ar-SA"/>
                            </w:rPr>
                            <w:instrText xml:space="preserve"> PAGE  \* MERGEFORMAT </w:instrText>
                          </w:r>
                          <w:r>
                            <w:rPr>
                              <w:rFonts w:hint="eastAsia" w:ascii="Times New Roman" w:hAnsi="Times New Roman" w:eastAsia="黑体" w:cs="Times New Roman"/>
                              <w:snapToGrid w:val="0"/>
                              <w:kern w:val="2"/>
                              <w:sz w:val="18"/>
                              <w:szCs w:val="18"/>
                              <w:lang w:val="en-US" w:eastAsia="zh-CN" w:bidi="ar-SA"/>
                            </w:rPr>
                            <w:fldChar w:fldCharType="separate"/>
                          </w:r>
                          <w:r>
                            <w:rPr>
                              <w:rFonts w:hint="eastAsia" w:ascii="Times New Roman" w:hAnsi="Times New Roman" w:eastAsia="黑体" w:cs="Times New Roman"/>
                              <w:snapToGrid w:val="0"/>
                              <w:kern w:val="2"/>
                              <w:sz w:val="18"/>
                              <w:szCs w:val="18"/>
                              <w:lang w:val="en-US" w:eastAsia="zh-CN" w:bidi="ar-SA"/>
                            </w:rPr>
                            <w:t>34</w:t>
                          </w:r>
                          <w:r>
                            <w:rPr>
                              <w:rFonts w:hint="eastAsia" w:ascii="Times New Roman" w:hAnsi="Times New Roman" w:eastAsia="黑体" w:cs="Times New Roman"/>
                              <w:snapToGrid w:val="0"/>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widowControl w:val="0"/>
                      <w:snapToGrid w:val="0"/>
                      <w:jc w:val="left"/>
                      <w:rPr>
                        <w:rFonts w:hint="eastAsia" w:ascii="Times New Roman" w:hAnsi="Times New Roman" w:eastAsia="宋体" w:cs="Times New Roman"/>
                        <w:snapToGrid w:val="0"/>
                        <w:kern w:val="2"/>
                        <w:sz w:val="18"/>
                        <w:szCs w:val="18"/>
                        <w:lang w:val="en-US" w:eastAsia="zh-CN" w:bidi="ar-SA"/>
                      </w:rPr>
                    </w:pPr>
                    <w:r>
                      <w:rPr>
                        <w:rFonts w:hint="eastAsia" w:ascii="Times New Roman" w:hAnsi="Times New Roman" w:eastAsia="黑体" w:cs="Times New Roman"/>
                        <w:snapToGrid w:val="0"/>
                        <w:kern w:val="2"/>
                        <w:sz w:val="18"/>
                        <w:szCs w:val="18"/>
                        <w:lang w:val="en-US" w:eastAsia="zh-CN" w:bidi="ar-SA"/>
                      </w:rPr>
                      <w:fldChar w:fldCharType="begin"/>
                    </w:r>
                    <w:r>
                      <w:rPr>
                        <w:rFonts w:hint="eastAsia" w:ascii="Times New Roman" w:hAnsi="Times New Roman" w:eastAsia="黑体" w:cs="Times New Roman"/>
                        <w:snapToGrid w:val="0"/>
                        <w:kern w:val="2"/>
                        <w:sz w:val="18"/>
                        <w:szCs w:val="18"/>
                        <w:lang w:val="en-US" w:eastAsia="zh-CN" w:bidi="ar-SA"/>
                      </w:rPr>
                      <w:instrText xml:space="preserve"> PAGE  \* MERGEFORMAT </w:instrText>
                    </w:r>
                    <w:r>
                      <w:rPr>
                        <w:rFonts w:hint="eastAsia" w:ascii="Times New Roman" w:hAnsi="Times New Roman" w:eastAsia="黑体" w:cs="Times New Roman"/>
                        <w:snapToGrid w:val="0"/>
                        <w:kern w:val="2"/>
                        <w:sz w:val="18"/>
                        <w:szCs w:val="18"/>
                        <w:lang w:val="en-US" w:eastAsia="zh-CN" w:bidi="ar-SA"/>
                      </w:rPr>
                      <w:fldChar w:fldCharType="separate"/>
                    </w:r>
                    <w:r>
                      <w:rPr>
                        <w:rFonts w:hint="eastAsia" w:ascii="Times New Roman" w:hAnsi="Times New Roman" w:eastAsia="黑体" w:cs="Times New Roman"/>
                        <w:snapToGrid w:val="0"/>
                        <w:kern w:val="2"/>
                        <w:sz w:val="18"/>
                        <w:szCs w:val="18"/>
                        <w:lang w:val="en-US" w:eastAsia="zh-CN" w:bidi="ar-SA"/>
                      </w:rPr>
                      <w:t>34</w:t>
                    </w:r>
                    <w:r>
                      <w:rPr>
                        <w:rFonts w:hint="eastAsia" w:ascii="Times New Roman" w:hAnsi="Times New Roman" w:eastAsia="黑体" w:cs="Times New Roman"/>
                        <w:snapToGrid w:val="0"/>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rFonts w:hint="eastAsia"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Fonts w:eastAsia="宋体" w:cs="Times New Roman"/>
      </w:rPr>
    </w:pPr>
    <w:r>
      <w:rPr>
        <w:rFonts w:eastAsia="宋体" w:cs="Times New Roman"/>
      </w:rPr>
      <w:fldChar w:fldCharType="begin"/>
    </w:r>
    <w:r>
      <w:rPr>
        <w:rStyle w:val="24"/>
      </w:rPr>
      <w:instrText xml:space="preserve">PAGE  </w:instrText>
    </w:r>
    <w:r>
      <w:rPr>
        <w:rFonts w:eastAsia="宋体" w:cs="Times New Roman"/>
      </w:rPr>
      <w:fldChar w:fldCharType="separate"/>
    </w:r>
    <w:r>
      <w:rPr>
        <w:rStyle w:val="24"/>
      </w:rPr>
      <w:t>86</w:t>
    </w:r>
    <w:r>
      <w:rPr>
        <w:rFonts w:eastAsia="宋体" w:cs="Times New Roman"/>
      </w:rPr>
      <w:fldChar w:fldCharType="end"/>
    </w:r>
  </w:p>
  <w:p>
    <w:pPr>
      <w:pStyle w:val="16"/>
      <w:rPr>
        <w:rFonts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both"/>
      <w:rPr>
        <w:rFonts w:hint="eastAsia" w:ascii="Times New Roman" w:hAnsi="Times New Roman" w:eastAsia="仿宋_GB2312" w:cs="Times New Roman"/>
        <w:kern w:val="2"/>
        <w:sz w:val="18"/>
        <w:szCs w:val="20"/>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6DFD9"/>
    <w:multiLevelType w:val="singleLevel"/>
    <w:tmpl w:val="80A6DFD9"/>
    <w:lvl w:ilvl="0" w:tentative="0">
      <w:start w:val="1"/>
      <w:numFmt w:val="chineseCounting"/>
      <w:suff w:val="nothing"/>
      <w:lvlText w:val="%1、"/>
      <w:lvlJc w:val="left"/>
      <w:rPr>
        <w:rFonts w:hint="eastAsia"/>
      </w:rPr>
    </w:lvl>
  </w:abstractNum>
  <w:abstractNum w:abstractNumId="1">
    <w:nsid w:val="EF102244"/>
    <w:multiLevelType w:val="singleLevel"/>
    <w:tmpl w:val="EF102244"/>
    <w:lvl w:ilvl="0" w:tentative="0">
      <w:start w:val="5"/>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A"/>
    <w:multiLevelType w:val="singleLevel"/>
    <w:tmpl w:val="0000000A"/>
    <w:lvl w:ilvl="0" w:tentative="0">
      <w:start w:val="1"/>
      <w:numFmt w:val="decimal"/>
      <w:suff w:val="nothing"/>
      <w:lvlText w:val="%1、"/>
      <w:lvlJc w:val="left"/>
      <w:pPr>
        <w:tabs>
          <w:tab w:val="left" w:pos="0"/>
        </w:tabs>
        <w:ind w:left="0" w:firstLine="0"/>
      </w:pPr>
    </w:lvl>
  </w:abstractNum>
  <w:abstractNum w:abstractNumId="4">
    <w:nsid w:val="0000000B"/>
    <w:multiLevelType w:val="singleLevel"/>
    <w:tmpl w:val="0000000B"/>
    <w:lvl w:ilvl="0" w:tentative="0">
      <w:start w:val="3"/>
      <w:numFmt w:val="decimal"/>
      <w:suff w:val="nothing"/>
      <w:lvlText w:val="%1."/>
      <w:lvlJc w:val="left"/>
    </w:lvl>
  </w:abstractNum>
  <w:abstractNum w:abstractNumId="5">
    <w:nsid w:val="0000000D"/>
    <w:multiLevelType w:val="multilevel"/>
    <w:tmpl w:val="0000000D"/>
    <w:lvl w:ilvl="0" w:tentative="0">
      <w:start w:val="2"/>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B301C5A"/>
    <w:multiLevelType w:val="singleLevel"/>
    <w:tmpl w:val="1B301C5A"/>
    <w:lvl w:ilvl="0" w:tentative="0">
      <w:start w:val="1"/>
      <w:numFmt w:val="decimal"/>
      <w:suff w:val="space"/>
      <w:lvlText w:val="%1、"/>
      <w:lvlJc w:val="left"/>
    </w:lvl>
  </w:abstractNum>
  <w:abstractNum w:abstractNumId="7">
    <w:nsid w:val="71E2A64A"/>
    <w:multiLevelType w:val="singleLevel"/>
    <w:tmpl w:val="71E2A64A"/>
    <w:lvl w:ilvl="0" w:tentative="0">
      <w:start w:val="1"/>
      <w:numFmt w:val="decimal"/>
      <w:pStyle w:val="6"/>
      <w:lvlText w:val="%1."/>
      <w:lvlJc w:val="left"/>
      <w:pPr>
        <w:tabs>
          <w:tab w:val="left" w:pos="360"/>
        </w:tabs>
        <w:ind w:left="360" w:hanging="360"/>
      </w:pPr>
    </w:lvl>
  </w:abstractNum>
  <w:num w:numId="1">
    <w:abstractNumId w:val="7"/>
  </w:num>
  <w:num w:numId="2">
    <w:abstractNumId w:val="0"/>
  </w:num>
  <w:num w:numId="3">
    <w:abstractNumId w:val="5"/>
  </w:num>
  <w:num w:numId="4">
    <w:abstractNumId w:val="1"/>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YWEyY2Y0NTg0M2VkMTcxMTI3ODQ1ZjhjOTMwNDIifQ=="/>
  </w:docVars>
  <w:rsids>
    <w:rsidRoot w:val="79765E96"/>
    <w:rsid w:val="0024583A"/>
    <w:rsid w:val="00287951"/>
    <w:rsid w:val="002F269F"/>
    <w:rsid w:val="00651D8F"/>
    <w:rsid w:val="006B5E9C"/>
    <w:rsid w:val="006B6BB4"/>
    <w:rsid w:val="007159AB"/>
    <w:rsid w:val="008567C5"/>
    <w:rsid w:val="008B2B05"/>
    <w:rsid w:val="008E3720"/>
    <w:rsid w:val="00955DFF"/>
    <w:rsid w:val="009D7C03"/>
    <w:rsid w:val="00B05F1E"/>
    <w:rsid w:val="00B472CF"/>
    <w:rsid w:val="00E11699"/>
    <w:rsid w:val="01030695"/>
    <w:rsid w:val="01206E82"/>
    <w:rsid w:val="01215F1C"/>
    <w:rsid w:val="012A3A91"/>
    <w:rsid w:val="01522C87"/>
    <w:rsid w:val="01634D4D"/>
    <w:rsid w:val="01674CBA"/>
    <w:rsid w:val="01751F09"/>
    <w:rsid w:val="017751D3"/>
    <w:rsid w:val="017E2C15"/>
    <w:rsid w:val="01D53470"/>
    <w:rsid w:val="01D651D4"/>
    <w:rsid w:val="01E47B62"/>
    <w:rsid w:val="01F712D1"/>
    <w:rsid w:val="021468B9"/>
    <w:rsid w:val="02281CF0"/>
    <w:rsid w:val="02311AE9"/>
    <w:rsid w:val="023515B5"/>
    <w:rsid w:val="023D5985"/>
    <w:rsid w:val="0245390F"/>
    <w:rsid w:val="0246330A"/>
    <w:rsid w:val="02486A02"/>
    <w:rsid w:val="024E50F3"/>
    <w:rsid w:val="026B6345"/>
    <w:rsid w:val="026D1841"/>
    <w:rsid w:val="02AA541A"/>
    <w:rsid w:val="02B15FC6"/>
    <w:rsid w:val="02B20937"/>
    <w:rsid w:val="02BA3EAE"/>
    <w:rsid w:val="02C9565B"/>
    <w:rsid w:val="02DA662C"/>
    <w:rsid w:val="02F51D87"/>
    <w:rsid w:val="03145F4C"/>
    <w:rsid w:val="031B6A5C"/>
    <w:rsid w:val="03234228"/>
    <w:rsid w:val="033B6DFF"/>
    <w:rsid w:val="034230B5"/>
    <w:rsid w:val="03435435"/>
    <w:rsid w:val="03505CC6"/>
    <w:rsid w:val="036D3F73"/>
    <w:rsid w:val="03780CB5"/>
    <w:rsid w:val="03792DB2"/>
    <w:rsid w:val="03A673FE"/>
    <w:rsid w:val="03AB2ABC"/>
    <w:rsid w:val="03CA5BBC"/>
    <w:rsid w:val="03D1359A"/>
    <w:rsid w:val="03D36EB7"/>
    <w:rsid w:val="03D91B89"/>
    <w:rsid w:val="03F22D12"/>
    <w:rsid w:val="03F9491A"/>
    <w:rsid w:val="041A1D00"/>
    <w:rsid w:val="042458C1"/>
    <w:rsid w:val="042A09E5"/>
    <w:rsid w:val="04323850"/>
    <w:rsid w:val="043C4484"/>
    <w:rsid w:val="04457DAD"/>
    <w:rsid w:val="044B5251"/>
    <w:rsid w:val="046A1CB3"/>
    <w:rsid w:val="0476795B"/>
    <w:rsid w:val="048A11AD"/>
    <w:rsid w:val="048C3A52"/>
    <w:rsid w:val="049227EA"/>
    <w:rsid w:val="04AA6BD9"/>
    <w:rsid w:val="04B36099"/>
    <w:rsid w:val="04D92AB0"/>
    <w:rsid w:val="04EB4FA3"/>
    <w:rsid w:val="05395432"/>
    <w:rsid w:val="0550738A"/>
    <w:rsid w:val="055B33F3"/>
    <w:rsid w:val="0561315A"/>
    <w:rsid w:val="056571B7"/>
    <w:rsid w:val="056712BF"/>
    <w:rsid w:val="05725248"/>
    <w:rsid w:val="057F64E0"/>
    <w:rsid w:val="0582647F"/>
    <w:rsid w:val="05841949"/>
    <w:rsid w:val="058619F4"/>
    <w:rsid w:val="05A1304F"/>
    <w:rsid w:val="05AF40F1"/>
    <w:rsid w:val="05B5000A"/>
    <w:rsid w:val="05BD2F55"/>
    <w:rsid w:val="05E81DC2"/>
    <w:rsid w:val="05F95B21"/>
    <w:rsid w:val="0603514A"/>
    <w:rsid w:val="061D7790"/>
    <w:rsid w:val="062E3417"/>
    <w:rsid w:val="063C3C9F"/>
    <w:rsid w:val="06406282"/>
    <w:rsid w:val="065A5317"/>
    <w:rsid w:val="065D6DBD"/>
    <w:rsid w:val="065D7B62"/>
    <w:rsid w:val="06624D61"/>
    <w:rsid w:val="06752A3B"/>
    <w:rsid w:val="0685174C"/>
    <w:rsid w:val="06966793"/>
    <w:rsid w:val="06AE3787"/>
    <w:rsid w:val="06BA2141"/>
    <w:rsid w:val="06BF7EFA"/>
    <w:rsid w:val="06D0583D"/>
    <w:rsid w:val="06D557D5"/>
    <w:rsid w:val="06D94809"/>
    <w:rsid w:val="06DF4E5D"/>
    <w:rsid w:val="06E03134"/>
    <w:rsid w:val="06E84F4D"/>
    <w:rsid w:val="06E95CE2"/>
    <w:rsid w:val="06F0551E"/>
    <w:rsid w:val="06F15C5F"/>
    <w:rsid w:val="06F2751E"/>
    <w:rsid w:val="06FF0E40"/>
    <w:rsid w:val="07147767"/>
    <w:rsid w:val="07224235"/>
    <w:rsid w:val="072761AB"/>
    <w:rsid w:val="072F232F"/>
    <w:rsid w:val="07393687"/>
    <w:rsid w:val="073A7C6D"/>
    <w:rsid w:val="073E5065"/>
    <w:rsid w:val="07440771"/>
    <w:rsid w:val="07660EDD"/>
    <w:rsid w:val="07784F62"/>
    <w:rsid w:val="077E353C"/>
    <w:rsid w:val="079940AB"/>
    <w:rsid w:val="07D81B35"/>
    <w:rsid w:val="07FE5E2D"/>
    <w:rsid w:val="08030DEF"/>
    <w:rsid w:val="08126B35"/>
    <w:rsid w:val="082D2532"/>
    <w:rsid w:val="0831565D"/>
    <w:rsid w:val="0838580A"/>
    <w:rsid w:val="083F30A3"/>
    <w:rsid w:val="0854006E"/>
    <w:rsid w:val="08563EB9"/>
    <w:rsid w:val="08595843"/>
    <w:rsid w:val="085B1C1A"/>
    <w:rsid w:val="085B46FD"/>
    <w:rsid w:val="089F6EA4"/>
    <w:rsid w:val="08A62743"/>
    <w:rsid w:val="08AE774B"/>
    <w:rsid w:val="08C3028C"/>
    <w:rsid w:val="08CF3050"/>
    <w:rsid w:val="08D12448"/>
    <w:rsid w:val="08E353ED"/>
    <w:rsid w:val="08EA7D38"/>
    <w:rsid w:val="08ED7043"/>
    <w:rsid w:val="08F916EE"/>
    <w:rsid w:val="09110CB6"/>
    <w:rsid w:val="091636CB"/>
    <w:rsid w:val="091649BC"/>
    <w:rsid w:val="09183714"/>
    <w:rsid w:val="09291740"/>
    <w:rsid w:val="092A2FCA"/>
    <w:rsid w:val="092A6D8A"/>
    <w:rsid w:val="092D4D92"/>
    <w:rsid w:val="09330975"/>
    <w:rsid w:val="093A3758"/>
    <w:rsid w:val="093E16AA"/>
    <w:rsid w:val="09591B6C"/>
    <w:rsid w:val="09711C26"/>
    <w:rsid w:val="0979036F"/>
    <w:rsid w:val="0983140D"/>
    <w:rsid w:val="0990607E"/>
    <w:rsid w:val="09917F99"/>
    <w:rsid w:val="09937C6E"/>
    <w:rsid w:val="09984C23"/>
    <w:rsid w:val="099C20E5"/>
    <w:rsid w:val="09A60F18"/>
    <w:rsid w:val="09AF6A0A"/>
    <w:rsid w:val="09B431CB"/>
    <w:rsid w:val="09B54551"/>
    <w:rsid w:val="09BE5AA4"/>
    <w:rsid w:val="09D43E66"/>
    <w:rsid w:val="09EE20D2"/>
    <w:rsid w:val="0A061084"/>
    <w:rsid w:val="0A1F0A5A"/>
    <w:rsid w:val="0A296DAA"/>
    <w:rsid w:val="0A2B2406"/>
    <w:rsid w:val="0A365CBD"/>
    <w:rsid w:val="0A37513A"/>
    <w:rsid w:val="0A3A684A"/>
    <w:rsid w:val="0A4F1C76"/>
    <w:rsid w:val="0A505F05"/>
    <w:rsid w:val="0A585646"/>
    <w:rsid w:val="0A591446"/>
    <w:rsid w:val="0A671F20"/>
    <w:rsid w:val="0A6C0E80"/>
    <w:rsid w:val="0A8321C0"/>
    <w:rsid w:val="0A8A0824"/>
    <w:rsid w:val="0A8E3615"/>
    <w:rsid w:val="0AA00A6D"/>
    <w:rsid w:val="0AA0416C"/>
    <w:rsid w:val="0AAB4046"/>
    <w:rsid w:val="0AAE63B6"/>
    <w:rsid w:val="0AB10B1B"/>
    <w:rsid w:val="0AB63847"/>
    <w:rsid w:val="0AC057FE"/>
    <w:rsid w:val="0AE93068"/>
    <w:rsid w:val="0AF63D3D"/>
    <w:rsid w:val="0B0849CB"/>
    <w:rsid w:val="0B1B2841"/>
    <w:rsid w:val="0B3013AF"/>
    <w:rsid w:val="0B3D0B5E"/>
    <w:rsid w:val="0B466F6F"/>
    <w:rsid w:val="0B6543B4"/>
    <w:rsid w:val="0B7A7DF2"/>
    <w:rsid w:val="0B820303"/>
    <w:rsid w:val="0B8524DF"/>
    <w:rsid w:val="0B921D89"/>
    <w:rsid w:val="0B9721FD"/>
    <w:rsid w:val="0B9E3AB8"/>
    <w:rsid w:val="0BC92ACB"/>
    <w:rsid w:val="0BDD3DA2"/>
    <w:rsid w:val="0BDE36D9"/>
    <w:rsid w:val="0C20213C"/>
    <w:rsid w:val="0C2105F1"/>
    <w:rsid w:val="0C2545D5"/>
    <w:rsid w:val="0C261463"/>
    <w:rsid w:val="0C26511E"/>
    <w:rsid w:val="0C2C277A"/>
    <w:rsid w:val="0C333522"/>
    <w:rsid w:val="0C483B08"/>
    <w:rsid w:val="0C5C60AC"/>
    <w:rsid w:val="0C7B0700"/>
    <w:rsid w:val="0C832195"/>
    <w:rsid w:val="0C855A89"/>
    <w:rsid w:val="0CB31C35"/>
    <w:rsid w:val="0CC51F19"/>
    <w:rsid w:val="0CCC4ECD"/>
    <w:rsid w:val="0CD018DF"/>
    <w:rsid w:val="0CE434FC"/>
    <w:rsid w:val="0CEA23D9"/>
    <w:rsid w:val="0CF71609"/>
    <w:rsid w:val="0CFD3570"/>
    <w:rsid w:val="0D0E4642"/>
    <w:rsid w:val="0D236DEE"/>
    <w:rsid w:val="0D2C3DDC"/>
    <w:rsid w:val="0D32035F"/>
    <w:rsid w:val="0D396A99"/>
    <w:rsid w:val="0D601875"/>
    <w:rsid w:val="0D9129E8"/>
    <w:rsid w:val="0DA42708"/>
    <w:rsid w:val="0DB54D52"/>
    <w:rsid w:val="0DB653F2"/>
    <w:rsid w:val="0DC5725D"/>
    <w:rsid w:val="0DD16959"/>
    <w:rsid w:val="0DD73DA9"/>
    <w:rsid w:val="0DE25518"/>
    <w:rsid w:val="0DF90060"/>
    <w:rsid w:val="0DFC7E34"/>
    <w:rsid w:val="0E156335"/>
    <w:rsid w:val="0E2E06DF"/>
    <w:rsid w:val="0E537E48"/>
    <w:rsid w:val="0E60387F"/>
    <w:rsid w:val="0E7115AE"/>
    <w:rsid w:val="0E740D0C"/>
    <w:rsid w:val="0E7A7A21"/>
    <w:rsid w:val="0E7E7F4D"/>
    <w:rsid w:val="0E974D61"/>
    <w:rsid w:val="0E991B54"/>
    <w:rsid w:val="0EB03874"/>
    <w:rsid w:val="0EC217C1"/>
    <w:rsid w:val="0ED5055A"/>
    <w:rsid w:val="0EDB5D23"/>
    <w:rsid w:val="0EFC3725"/>
    <w:rsid w:val="0F0332AB"/>
    <w:rsid w:val="0F0F1692"/>
    <w:rsid w:val="0F110C4B"/>
    <w:rsid w:val="0F1F54EB"/>
    <w:rsid w:val="0F2428FF"/>
    <w:rsid w:val="0F2528C9"/>
    <w:rsid w:val="0F4A57F6"/>
    <w:rsid w:val="0F523260"/>
    <w:rsid w:val="0F580D0D"/>
    <w:rsid w:val="0F5D5608"/>
    <w:rsid w:val="0F5F2C77"/>
    <w:rsid w:val="0F7B08A5"/>
    <w:rsid w:val="0FAE07F7"/>
    <w:rsid w:val="0FBD5980"/>
    <w:rsid w:val="0FC52523"/>
    <w:rsid w:val="0FE976CB"/>
    <w:rsid w:val="0FF37D93"/>
    <w:rsid w:val="0FFE60E8"/>
    <w:rsid w:val="10030C3F"/>
    <w:rsid w:val="10181334"/>
    <w:rsid w:val="10496DCF"/>
    <w:rsid w:val="104F7C92"/>
    <w:rsid w:val="106602B7"/>
    <w:rsid w:val="106E15A8"/>
    <w:rsid w:val="10803CD0"/>
    <w:rsid w:val="109B3849"/>
    <w:rsid w:val="109E26BF"/>
    <w:rsid w:val="10A77997"/>
    <w:rsid w:val="10C677D1"/>
    <w:rsid w:val="10CE5A2E"/>
    <w:rsid w:val="10DE6E2C"/>
    <w:rsid w:val="10FF03D7"/>
    <w:rsid w:val="111105BB"/>
    <w:rsid w:val="11123180"/>
    <w:rsid w:val="11167A43"/>
    <w:rsid w:val="112F104F"/>
    <w:rsid w:val="113F5BA4"/>
    <w:rsid w:val="1141517E"/>
    <w:rsid w:val="11434954"/>
    <w:rsid w:val="114C51DC"/>
    <w:rsid w:val="114E171C"/>
    <w:rsid w:val="115D3CC3"/>
    <w:rsid w:val="116A4EA1"/>
    <w:rsid w:val="117F4D32"/>
    <w:rsid w:val="11876DEC"/>
    <w:rsid w:val="11960F54"/>
    <w:rsid w:val="11B81F67"/>
    <w:rsid w:val="11BC290A"/>
    <w:rsid w:val="11CA4496"/>
    <w:rsid w:val="11CE6C4C"/>
    <w:rsid w:val="11E016D4"/>
    <w:rsid w:val="11E7685C"/>
    <w:rsid w:val="12051DE9"/>
    <w:rsid w:val="12355F49"/>
    <w:rsid w:val="125C5C53"/>
    <w:rsid w:val="125F3FFB"/>
    <w:rsid w:val="126A1623"/>
    <w:rsid w:val="12702688"/>
    <w:rsid w:val="12A146D4"/>
    <w:rsid w:val="12B968B5"/>
    <w:rsid w:val="12C43028"/>
    <w:rsid w:val="12D64A74"/>
    <w:rsid w:val="12D92A3D"/>
    <w:rsid w:val="12D92C48"/>
    <w:rsid w:val="12D94918"/>
    <w:rsid w:val="1325488B"/>
    <w:rsid w:val="132A6C26"/>
    <w:rsid w:val="1344091C"/>
    <w:rsid w:val="13693E2B"/>
    <w:rsid w:val="137310C4"/>
    <w:rsid w:val="14052412"/>
    <w:rsid w:val="14053388"/>
    <w:rsid w:val="14261DB9"/>
    <w:rsid w:val="14264216"/>
    <w:rsid w:val="14434F48"/>
    <w:rsid w:val="144362B5"/>
    <w:rsid w:val="14482D15"/>
    <w:rsid w:val="145C3E22"/>
    <w:rsid w:val="14844073"/>
    <w:rsid w:val="148B0217"/>
    <w:rsid w:val="148D595D"/>
    <w:rsid w:val="14967671"/>
    <w:rsid w:val="14986147"/>
    <w:rsid w:val="14A17917"/>
    <w:rsid w:val="14AB1026"/>
    <w:rsid w:val="14B75CB9"/>
    <w:rsid w:val="14B812C4"/>
    <w:rsid w:val="14D12E76"/>
    <w:rsid w:val="14D27762"/>
    <w:rsid w:val="14DD42A3"/>
    <w:rsid w:val="14DE567C"/>
    <w:rsid w:val="14DE72EC"/>
    <w:rsid w:val="14E62C56"/>
    <w:rsid w:val="1522217B"/>
    <w:rsid w:val="15240E2F"/>
    <w:rsid w:val="15283C4E"/>
    <w:rsid w:val="152927C2"/>
    <w:rsid w:val="15395704"/>
    <w:rsid w:val="1544078A"/>
    <w:rsid w:val="154B156A"/>
    <w:rsid w:val="15590BEA"/>
    <w:rsid w:val="15623AA3"/>
    <w:rsid w:val="15663F19"/>
    <w:rsid w:val="15767AD3"/>
    <w:rsid w:val="157D6E0C"/>
    <w:rsid w:val="158532DA"/>
    <w:rsid w:val="159A49B8"/>
    <w:rsid w:val="15A372AB"/>
    <w:rsid w:val="15A50FA3"/>
    <w:rsid w:val="15B73C97"/>
    <w:rsid w:val="15BF2560"/>
    <w:rsid w:val="15CD553C"/>
    <w:rsid w:val="16002FF1"/>
    <w:rsid w:val="16044B0C"/>
    <w:rsid w:val="163313A6"/>
    <w:rsid w:val="16413ADB"/>
    <w:rsid w:val="164F5E38"/>
    <w:rsid w:val="16567C87"/>
    <w:rsid w:val="165A2499"/>
    <w:rsid w:val="166709E0"/>
    <w:rsid w:val="167655B5"/>
    <w:rsid w:val="16796A6D"/>
    <w:rsid w:val="1696214E"/>
    <w:rsid w:val="16D053C7"/>
    <w:rsid w:val="16E400BC"/>
    <w:rsid w:val="16E87BC8"/>
    <w:rsid w:val="16FC3D44"/>
    <w:rsid w:val="171B0523"/>
    <w:rsid w:val="1722119E"/>
    <w:rsid w:val="172A2EC3"/>
    <w:rsid w:val="173151C3"/>
    <w:rsid w:val="17391FE5"/>
    <w:rsid w:val="17486B4A"/>
    <w:rsid w:val="174A6880"/>
    <w:rsid w:val="175A6264"/>
    <w:rsid w:val="17616111"/>
    <w:rsid w:val="17676FC5"/>
    <w:rsid w:val="17701020"/>
    <w:rsid w:val="177D5907"/>
    <w:rsid w:val="178442D2"/>
    <w:rsid w:val="17883ECD"/>
    <w:rsid w:val="17A07109"/>
    <w:rsid w:val="17A2411A"/>
    <w:rsid w:val="17A63D43"/>
    <w:rsid w:val="17AD382C"/>
    <w:rsid w:val="17AF1DFA"/>
    <w:rsid w:val="17B12C02"/>
    <w:rsid w:val="17D665FC"/>
    <w:rsid w:val="17DB55E9"/>
    <w:rsid w:val="180208F9"/>
    <w:rsid w:val="181560D4"/>
    <w:rsid w:val="18255D77"/>
    <w:rsid w:val="183B6731"/>
    <w:rsid w:val="1848023D"/>
    <w:rsid w:val="1875389B"/>
    <w:rsid w:val="18807FCD"/>
    <w:rsid w:val="188C4D25"/>
    <w:rsid w:val="189A5216"/>
    <w:rsid w:val="18B5433A"/>
    <w:rsid w:val="18BF3C78"/>
    <w:rsid w:val="18E066CA"/>
    <w:rsid w:val="18EF6E16"/>
    <w:rsid w:val="18F73A2B"/>
    <w:rsid w:val="190912D3"/>
    <w:rsid w:val="1914777E"/>
    <w:rsid w:val="191D1967"/>
    <w:rsid w:val="193E0060"/>
    <w:rsid w:val="19475575"/>
    <w:rsid w:val="194D5DDB"/>
    <w:rsid w:val="19516DA2"/>
    <w:rsid w:val="195E4686"/>
    <w:rsid w:val="19625F2D"/>
    <w:rsid w:val="196611A1"/>
    <w:rsid w:val="19731A7A"/>
    <w:rsid w:val="197A4A20"/>
    <w:rsid w:val="197F257C"/>
    <w:rsid w:val="19903028"/>
    <w:rsid w:val="199C1475"/>
    <w:rsid w:val="19B87687"/>
    <w:rsid w:val="19DC69A1"/>
    <w:rsid w:val="19E25053"/>
    <w:rsid w:val="19F23111"/>
    <w:rsid w:val="1A081548"/>
    <w:rsid w:val="1A225BEB"/>
    <w:rsid w:val="1A364F27"/>
    <w:rsid w:val="1A7B42E5"/>
    <w:rsid w:val="1A8E78B5"/>
    <w:rsid w:val="1A905B3B"/>
    <w:rsid w:val="1A9A3C2A"/>
    <w:rsid w:val="1A9A7266"/>
    <w:rsid w:val="1AA61313"/>
    <w:rsid w:val="1AA94E2D"/>
    <w:rsid w:val="1ABC02A7"/>
    <w:rsid w:val="1AED0F39"/>
    <w:rsid w:val="1AED4A5B"/>
    <w:rsid w:val="1AF01819"/>
    <w:rsid w:val="1B0926DF"/>
    <w:rsid w:val="1B0A7194"/>
    <w:rsid w:val="1B1F5C46"/>
    <w:rsid w:val="1B246CA9"/>
    <w:rsid w:val="1B4C4B9D"/>
    <w:rsid w:val="1B674A91"/>
    <w:rsid w:val="1B9D7182"/>
    <w:rsid w:val="1BB44399"/>
    <w:rsid w:val="1BBB20F2"/>
    <w:rsid w:val="1BC60304"/>
    <w:rsid w:val="1BC85552"/>
    <w:rsid w:val="1BEB3B4D"/>
    <w:rsid w:val="1BF347D0"/>
    <w:rsid w:val="1C0D46C5"/>
    <w:rsid w:val="1C174978"/>
    <w:rsid w:val="1C2304F0"/>
    <w:rsid w:val="1C30182C"/>
    <w:rsid w:val="1C30509B"/>
    <w:rsid w:val="1C364E9F"/>
    <w:rsid w:val="1C365F60"/>
    <w:rsid w:val="1C38493C"/>
    <w:rsid w:val="1C3D31DE"/>
    <w:rsid w:val="1C4E09E7"/>
    <w:rsid w:val="1C4F46A1"/>
    <w:rsid w:val="1C536CE9"/>
    <w:rsid w:val="1C5A7714"/>
    <w:rsid w:val="1C7354AF"/>
    <w:rsid w:val="1C8820FF"/>
    <w:rsid w:val="1C9247B1"/>
    <w:rsid w:val="1C93247B"/>
    <w:rsid w:val="1CB5201E"/>
    <w:rsid w:val="1CBF74A9"/>
    <w:rsid w:val="1CC462DF"/>
    <w:rsid w:val="1CDE25B9"/>
    <w:rsid w:val="1CF679A3"/>
    <w:rsid w:val="1D0422D3"/>
    <w:rsid w:val="1D060D8F"/>
    <w:rsid w:val="1D192A7B"/>
    <w:rsid w:val="1D2A6DE3"/>
    <w:rsid w:val="1D330E05"/>
    <w:rsid w:val="1D3E41BA"/>
    <w:rsid w:val="1D4D69FB"/>
    <w:rsid w:val="1D4F1870"/>
    <w:rsid w:val="1D683AB6"/>
    <w:rsid w:val="1D78599B"/>
    <w:rsid w:val="1D8A10D4"/>
    <w:rsid w:val="1DA81605"/>
    <w:rsid w:val="1DAE596F"/>
    <w:rsid w:val="1DB02034"/>
    <w:rsid w:val="1DB85ABB"/>
    <w:rsid w:val="1DC13910"/>
    <w:rsid w:val="1DC3332D"/>
    <w:rsid w:val="1DC76A79"/>
    <w:rsid w:val="1DCD31D7"/>
    <w:rsid w:val="1DE737A2"/>
    <w:rsid w:val="1DE962D6"/>
    <w:rsid w:val="1DEC027C"/>
    <w:rsid w:val="1DF272C5"/>
    <w:rsid w:val="1DF323CA"/>
    <w:rsid w:val="1DF510FC"/>
    <w:rsid w:val="1DFC04D2"/>
    <w:rsid w:val="1E370EE7"/>
    <w:rsid w:val="1E403248"/>
    <w:rsid w:val="1E43118D"/>
    <w:rsid w:val="1E453870"/>
    <w:rsid w:val="1E4D3A78"/>
    <w:rsid w:val="1E5560A1"/>
    <w:rsid w:val="1E570C81"/>
    <w:rsid w:val="1E583654"/>
    <w:rsid w:val="1E874819"/>
    <w:rsid w:val="1E8F1450"/>
    <w:rsid w:val="1EA878AF"/>
    <w:rsid w:val="1EA97A57"/>
    <w:rsid w:val="1EA97CCF"/>
    <w:rsid w:val="1EAF5B15"/>
    <w:rsid w:val="1EBA106F"/>
    <w:rsid w:val="1EBB0F6C"/>
    <w:rsid w:val="1ECC4893"/>
    <w:rsid w:val="1EE25467"/>
    <w:rsid w:val="1EEC702F"/>
    <w:rsid w:val="1EFB5E05"/>
    <w:rsid w:val="1F1B6E3A"/>
    <w:rsid w:val="1F1E7F39"/>
    <w:rsid w:val="1F402BCE"/>
    <w:rsid w:val="1F6F138D"/>
    <w:rsid w:val="1F7C3ADF"/>
    <w:rsid w:val="1F8A37DD"/>
    <w:rsid w:val="1F8A5597"/>
    <w:rsid w:val="1F8D06DE"/>
    <w:rsid w:val="1FA57FB9"/>
    <w:rsid w:val="1FEC06C0"/>
    <w:rsid w:val="200D55F1"/>
    <w:rsid w:val="20106C58"/>
    <w:rsid w:val="20360ED6"/>
    <w:rsid w:val="203B4F31"/>
    <w:rsid w:val="20645EA5"/>
    <w:rsid w:val="20744660"/>
    <w:rsid w:val="207A5761"/>
    <w:rsid w:val="20803D6C"/>
    <w:rsid w:val="20874BE4"/>
    <w:rsid w:val="209535B2"/>
    <w:rsid w:val="20A63996"/>
    <w:rsid w:val="20A63CE6"/>
    <w:rsid w:val="20AA1767"/>
    <w:rsid w:val="20BA1774"/>
    <w:rsid w:val="20BB34E2"/>
    <w:rsid w:val="20C80CDE"/>
    <w:rsid w:val="20D84D41"/>
    <w:rsid w:val="20DD320C"/>
    <w:rsid w:val="20DE471A"/>
    <w:rsid w:val="20E31744"/>
    <w:rsid w:val="21086506"/>
    <w:rsid w:val="21143625"/>
    <w:rsid w:val="2118773A"/>
    <w:rsid w:val="212D31F2"/>
    <w:rsid w:val="212F3F21"/>
    <w:rsid w:val="2141714B"/>
    <w:rsid w:val="2146182D"/>
    <w:rsid w:val="21657039"/>
    <w:rsid w:val="21706368"/>
    <w:rsid w:val="218E059B"/>
    <w:rsid w:val="21A1056A"/>
    <w:rsid w:val="21AC494B"/>
    <w:rsid w:val="21C7189C"/>
    <w:rsid w:val="21D14467"/>
    <w:rsid w:val="21E202D1"/>
    <w:rsid w:val="21F40FCB"/>
    <w:rsid w:val="21F510AE"/>
    <w:rsid w:val="221D022B"/>
    <w:rsid w:val="221D54EA"/>
    <w:rsid w:val="2230136A"/>
    <w:rsid w:val="224F3493"/>
    <w:rsid w:val="225150BE"/>
    <w:rsid w:val="225B09EA"/>
    <w:rsid w:val="22627A85"/>
    <w:rsid w:val="22660BDE"/>
    <w:rsid w:val="227759EA"/>
    <w:rsid w:val="22841464"/>
    <w:rsid w:val="22941EA5"/>
    <w:rsid w:val="22957E24"/>
    <w:rsid w:val="229B05F9"/>
    <w:rsid w:val="22A41E74"/>
    <w:rsid w:val="22A9334D"/>
    <w:rsid w:val="22B83255"/>
    <w:rsid w:val="22C6232D"/>
    <w:rsid w:val="22D567FB"/>
    <w:rsid w:val="22D70A48"/>
    <w:rsid w:val="22D93926"/>
    <w:rsid w:val="22EA5DAD"/>
    <w:rsid w:val="22EB7F30"/>
    <w:rsid w:val="22F32BF8"/>
    <w:rsid w:val="230069C9"/>
    <w:rsid w:val="23106A25"/>
    <w:rsid w:val="23154B61"/>
    <w:rsid w:val="232201B7"/>
    <w:rsid w:val="233B7073"/>
    <w:rsid w:val="23562AFB"/>
    <w:rsid w:val="23672AFB"/>
    <w:rsid w:val="236C0D51"/>
    <w:rsid w:val="2381206B"/>
    <w:rsid w:val="238E1F19"/>
    <w:rsid w:val="23A07D9A"/>
    <w:rsid w:val="23BB19D8"/>
    <w:rsid w:val="23BF163D"/>
    <w:rsid w:val="23CE4B5E"/>
    <w:rsid w:val="23DF28B1"/>
    <w:rsid w:val="23EE74A8"/>
    <w:rsid w:val="23F22E21"/>
    <w:rsid w:val="2406231C"/>
    <w:rsid w:val="241547BF"/>
    <w:rsid w:val="24161A9B"/>
    <w:rsid w:val="241D0AFF"/>
    <w:rsid w:val="242454AD"/>
    <w:rsid w:val="243A393C"/>
    <w:rsid w:val="244A1821"/>
    <w:rsid w:val="245166D3"/>
    <w:rsid w:val="245930BC"/>
    <w:rsid w:val="245C13D3"/>
    <w:rsid w:val="247F252C"/>
    <w:rsid w:val="249B4144"/>
    <w:rsid w:val="249E46A0"/>
    <w:rsid w:val="24AB178E"/>
    <w:rsid w:val="24BB1001"/>
    <w:rsid w:val="24C341AA"/>
    <w:rsid w:val="24CC0F57"/>
    <w:rsid w:val="24DA6701"/>
    <w:rsid w:val="24DE581E"/>
    <w:rsid w:val="24E711F8"/>
    <w:rsid w:val="24F96D58"/>
    <w:rsid w:val="24FA33A2"/>
    <w:rsid w:val="25146E1F"/>
    <w:rsid w:val="25290B45"/>
    <w:rsid w:val="252C50BB"/>
    <w:rsid w:val="253572CC"/>
    <w:rsid w:val="254B5341"/>
    <w:rsid w:val="254E2FEF"/>
    <w:rsid w:val="254F3101"/>
    <w:rsid w:val="25512112"/>
    <w:rsid w:val="25534B7D"/>
    <w:rsid w:val="2565102F"/>
    <w:rsid w:val="256669F0"/>
    <w:rsid w:val="256F682E"/>
    <w:rsid w:val="2575786F"/>
    <w:rsid w:val="2578132E"/>
    <w:rsid w:val="258C6D3F"/>
    <w:rsid w:val="259612DD"/>
    <w:rsid w:val="25B22DB0"/>
    <w:rsid w:val="25B57752"/>
    <w:rsid w:val="25BC68FB"/>
    <w:rsid w:val="25BF6007"/>
    <w:rsid w:val="25C8357D"/>
    <w:rsid w:val="26090DE6"/>
    <w:rsid w:val="260F58BF"/>
    <w:rsid w:val="26263A0C"/>
    <w:rsid w:val="26336C02"/>
    <w:rsid w:val="26400ACE"/>
    <w:rsid w:val="26541E23"/>
    <w:rsid w:val="265768B8"/>
    <w:rsid w:val="266D5598"/>
    <w:rsid w:val="26763267"/>
    <w:rsid w:val="26863036"/>
    <w:rsid w:val="268E25FF"/>
    <w:rsid w:val="269111F2"/>
    <w:rsid w:val="26A203DD"/>
    <w:rsid w:val="26A92B4F"/>
    <w:rsid w:val="26C16E27"/>
    <w:rsid w:val="26E00CEE"/>
    <w:rsid w:val="26E2366E"/>
    <w:rsid w:val="26FE377F"/>
    <w:rsid w:val="26FE77B6"/>
    <w:rsid w:val="270069E7"/>
    <w:rsid w:val="27206FAD"/>
    <w:rsid w:val="27262A29"/>
    <w:rsid w:val="27321208"/>
    <w:rsid w:val="2735231E"/>
    <w:rsid w:val="273D295E"/>
    <w:rsid w:val="275A5D1F"/>
    <w:rsid w:val="277422BD"/>
    <w:rsid w:val="279150E5"/>
    <w:rsid w:val="279634A7"/>
    <w:rsid w:val="279B16FA"/>
    <w:rsid w:val="27B336D5"/>
    <w:rsid w:val="27C5075B"/>
    <w:rsid w:val="27D77AC8"/>
    <w:rsid w:val="27DA7CCB"/>
    <w:rsid w:val="27DB01B1"/>
    <w:rsid w:val="27DF2353"/>
    <w:rsid w:val="27E474AD"/>
    <w:rsid w:val="27F57393"/>
    <w:rsid w:val="28074E3D"/>
    <w:rsid w:val="28137AED"/>
    <w:rsid w:val="282C6B0E"/>
    <w:rsid w:val="283C0948"/>
    <w:rsid w:val="284D4D38"/>
    <w:rsid w:val="28516824"/>
    <w:rsid w:val="28562FCE"/>
    <w:rsid w:val="28622C71"/>
    <w:rsid w:val="286E7015"/>
    <w:rsid w:val="28762A00"/>
    <w:rsid w:val="28807D24"/>
    <w:rsid w:val="288265F7"/>
    <w:rsid w:val="288E6B79"/>
    <w:rsid w:val="28BB1361"/>
    <w:rsid w:val="28C41933"/>
    <w:rsid w:val="28CB6926"/>
    <w:rsid w:val="28CC5E55"/>
    <w:rsid w:val="28E503A7"/>
    <w:rsid w:val="28EA54FA"/>
    <w:rsid w:val="28ED15C2"/>
    <w:rsid w:val="28F9561B"/>
    <w:rsid w:val="290805D2"/>
    <w:rsid w:val="29161947"/>
    <w:rsid w:val="29164FFA"/>
    <w:rsid w:val="292C153C"/>
    <w:rsid w:val="293358A4"/>
    <w:rsid w:val="293925B0"/>
    <w:rsid w:val="293F252D"/>
    <w:rsid w:val="29524009"/>
    <w:rsid w:val="295A22E7"/>
    <w:rsid w:val="295D3348"/>
    <w:rsid w:val="29663E8D"/>
    <w:rsid w:val="29677BA8"/>
    <w:rsid w:val="2982610D"/>
    <w:rsid w:val="29A13703"/>
    <w:rsid w:val="29AA7098"/>
    <w:rsid w:val="29AC678A"/>
    <w:rsid w:val="29C47B68"/>
    <w:rsid w:val="29C83F78"/>
    <w:rsid w:val="29D03427"/>
    <w:rsid w:val="29E912B1"/>
    <w:rsid w:val="2A137921"/>
    <w:rsid w:val="2A596DD6"/>
    <w:rsid w:val="2A5A4E93"/>
    <w:rsid w:val="2A616589"/>
    <w:rsid w:val="2A6937CE"/>
    <w:rsid w:val="2A774414"/>
    <w:rsid w:val="2A7D36B0"/>
    <w:rsid w:val="2A861D45"/>
    <w:rsid w:val="2A9027DC"/>
    <w:rsid w:val="2AA21228"/>
    <w:rsid w:val="2AA22E26"/>
    <w:rsid w:val="2AB20D57"/>
    <w:rsid w:val="2ADA78BB"/>
    <w:rsid w:val="2ADB31BB"/>
    <w:rsid w:val="2AEA6867"/>
    <w:rsid w:val="2AFB0C06"/>
    <w:rsid w:val="2B0F79AB"/>
    <w:rsid w:val="2B1606F5"/>
    <w:rsid w:val="2B1C449C"/>
    <w:rsid w:val="2B3E5E0F"/>
    <w:rsid w:val="2B4E5F83"/>
    <w:rsid w:val="2B612E27"/>
    <w:rsid w:val="2B6B1A80"/>
    <w:rsid w:val="2B6B296A"/>
    <w:rsid w:val="2B715916"/>
    <w:rsid w:val="2B726943"/>
    <w:rsid w:val="2B7E49E9"/>
    <w:rsid w:val="2B7E6104"/>
    <w:rsid w:val="2B8F1C32"/>
    <w:rsid w:val="2B937850"/>
    <w:rsid w:val="2B9542BC"/>
    <w:rsid w:val="2BA90877"/>
    <w:rsid w:val="2BB55870"/>
    <w:rsid w:val="2BB75748"/>
    <w:rsid w:val="2BCB1FE1"/>
    <w:rsid w:val="2BD22F42"/>
    <w:rsid w:val="2BD82B7B"/>
    <w:rsid w:val="2BDA70F0"/>
    <w:rsid w:val="2BEF2A23"/>
    <w:rsid w:val="2C0C2D91"/>
    <w:rsid w:val="2C1805AA"/>
    <w:rsid w:val="2C1E564B"/>
    <w:rsid w:val="2C5978B8"/>
    <w:rsid w:val="2C696557"/>
    <w:rsid w:val="2C8E1BE1"/>
    <w:rsid w:val="2CA14334"/>
    <w:rsid w:val="2CB11367"/>
    <w:rsid w:val="2CC03FBA"/>
    <w:rsid w:val="2CD24405"/>
    <w:rsid w:val="2CE32B1C"/>
    <w:rsid w:val="2CE60C59"/>
    <w:rsid w:val="2D1A45F6"/>
    <w:rsid w:val="2D2401A0"/>
    <w:rsid w:val="2D2855D1"/>
    <w:rsid w:val="2D2F3C1C"/>
    <w:rsid w:val="2D3567C3"/>
    <w:rsid w:val="2D393C98"/>
    <w:rsid w:val="2D467EAD"/>
    <w:rsid w:val="2D470B0E"/>
    <w:rsid w:val="2D4B0FE5"/>
    <w:rsid w:val="2D597A82"/>
    <w:rsid w:val="2D6F387C"/>
    <w:rsid w:val="2D740979"/>
    <w:rsid w:val="2D7F1367"/>
    <w:rsid w:val="2D8524CD"/>
    <w:rsid w:val="2D9975F4"/>
    <w:rsid w:val="2DAD4EB8"/>
    <w:rsid w:val="2DBD4C4C"/>
    <w:rsid w:val="2DCE3244"/>
    <w:rsid w:val="2DD74009"/>
    <w:rsid w:val="2DE526CC"/>
    <w:rsid w:val="2E02407D"/>
    <w:rsid w:val="2E05465C"/>
    <w:rsid w:val="2E147C29"/>
    <w:rsid w:val="2E2A7278"/>
    <w:rsid w:val="2E353906"/>
    <w:rsid w:val="2E38245D"/>
    <w:rsid w:val="2E414196"/>
    <w:rsid w:val="2E467B71"/>
    <w:rsid w:val="2E723AA5"/>
    <w:rsid w:val="2E8239F7"/>
    <w:rsid w:val="2E91723D"/>
    <w:rsid w:val="2E9906F5"/>
    <w:rsid w:val="2EC86D22"/>
    <w:rsid w:val="2ED83872"/>
    <w:rsid w:val="2EDF0171"/>
    <w:rsid w:val="2EED7AB9"/>
    <w:rsid w:val="2EF541BF"/>
    <w:rsid w:val="2EFA5EEE"/>
    <w:rsid w:val="2F1A271C"/>
    <w:rsid w:val="2F2C6234"/>
    <w:rsid w:val="2F35603A"/>
    <w:rsid w:val="2F3A4EF6"/>
    <w:rsid w:val="2F405C81"/>
    <w:rsid w:val="2F4B6219"/>
    <w:rsid w:val="2F4C1E26"/>
    <w:rsid w:val="2F5D5BEF"/>
    <w:rsid w:val="2F81758A"/>
    <w:rsid w:val="2F8375CD"/>
    <w:rsid w:val="2F972034"/>
    <w:rsid w:val="2F9C131F"/>
    <w:rsid w:val="2FA01D7B"/>
    <w:rsid w:val="2FA26D12"/>
    <w:rsid w:val="2FB56DB9"/>
    <w:rsid w:val="2FCA5EC6"/>
    <w:rsid w:val="2FCE3CD2"/>
    <w:rsid w:val="2FDA535F"/>
    <w:rsid w:val="2FDB6A14"/>
    <w:rsid w:val="2FDC447A"/>
    <w:rsid w:val="2FFC59FC"/>
    <w:rsid w:val="30232298"/>
    <w:rsid w:val="302560E6"/>
    <w:rsid w:val="302A74B0"/>
    <w:rsid w:val="304B54C6"/>
    <w:rsid w:val="307408E5"/>
    <w:rsid w:val="308C7893"/>
    <w:rsid w:val="30A648BC"/>
    <w:rsid w:val="30A935F9"/>
    <w:rsid w:val="30A94F81"/>
    <w:rsid w:val="30BD16E5"/>
    <w:rsid w:val="30D0237F"/>
    <w:rsid w:val="30DD63A4"/>
    <w:rsid w:val="30E4082B"/>
    <w:rsid w:val="31213431"/>
    <w:rsid w:val="31217B37"/>
    <w:rsid w:val="312216F1"/>
    <w:rsid w:val="312E2689"/>
    <w:rsid w:val="31404F59"/>
    <w:rsid w:val="314838FE"/>
    <w:rsid w:val="315929DE"/>
    <w:rsid w:val="316E2826"/>
    <w:rsid w:val="31745D2D"/>
    <w:rsid w:val="317D3640"/>
    <w:rsid w:val="3180367F"/>
    <w:rsid w:val="31BD3F5B"/>
    <w:rsid w:val="31C51B6F"/>
    <w:rsid w:val="31CE2812"/>
    <w:rsid w:val="31E2452B"/>
    <w:rsid w:val="31E72826"/>
    <w:rsid w:val="31E848F3"/>
    <w:rsid w:val="31FE2BD1"/>
    <w:rsid w:val="32032D42"/>
    <w:rsid w:val="321E08B6"/>
    <w:rsid w:val="3229052E"/>
    <w:rsid w:val="32436068"/>
    <w:rsid w:val="324758AE"/>
    <w:rsid w:val="325767BC"/>
    <w:rsid w:val="325C5135"/>
    <w:rsid w:val="329D7FD4"/>
    <w:rsid w:val="32A27E30"/>
    <w:rsid w:val="32A42DB1"/>
    <w:rsid w:val="32AE737A"/>
    <w:rsid w:val="32B22FF4"/>
    <w:rsid w:val="330F693E"/>
    <w:rsid w:val="33104E24"/>
    <w:rsid w:val="33164BE1"/>
    <w:rsid w:val="33191AE7"/>
    <w:rsid w:val="33204A1A"/>
    <w:rsid w:val="33465578"/>
    <w:rsid w:val="33467376"/>
    <w:rsid w:val="335D7340"/>
    <w:rsid w:val="336423C7"/>
    <w:rsid w:val="33770DAE"/>
    <w:rsid w:val="33815A4F"/>
    <w:rsid w:val="33BF722A"/>
    <w:rsid w:val="33CB57ED"/>
    <w:rsid w:val="33CE6344"/>
    <w:rsid w:val="33E15B4A"/>
    <w:rsid w:val="33EE23B8"/>
    <w:rsid w:val="33FE5434"/>
    <w:rsid w:val="34046FEE"/>
    <w:rsid w:val="34087A40"/>
    <w:rsid w:val="34370E0C"/>
    <w:rsid w:val="34371A6B"/>
    <w:rsid w:val="343A351D"/>
    <w:rsid w:val="344057CB"/>
    <w:rsid w:val="344C0F23"/>
    <w:rsid w:val="34592068"/>
    <w:rsid w:val="345D12C3"/>
    <w:rsid w:val="34646E96"/>
    <w:rsid w:val="3481122E"/>
    <w:rsid w:val="3492553F"/>
    <w:rsid w:val="34A303B3"/>
    <w:rsid w:val="34B266FC"/>
    <w:rsid w:val="34BE6C86"/>
    <w:rsid w:val="34C53AC9"/>
    <w:rsid w:val="34E74CD2"/>
    <w:rsid w:val="34F01D30"/>
    <w:rsid w:val="35216E86"/>
    <w:rsid w:val="3531495D"/>
    <w:rsid w:val="35447505"/>
    <w:rsid w:val="35451590"/>
    <w:rsid w:val="356626CD"/>
    <w:rsid w:val="3577034D"/>
    <w:rsid w:val="35894DF2"/>
    <w:rsid w:val="3591509A"/>
    <w:rsid w:val="35A72991"/>
    <w:rsid w:val="35AA7A1C"/>
    <w:rsid w:val="35B26F90"/>
    <w:rsid w:val="35CE5B43"/>
    <w:rsid w:val="35D32484"/>
    <w:rsid w:val="35D70D02"/>
    <w:rsid w:val="35DD3F7C"/>
    <w:rsid w:val="35FF6195"/>
    <w:rsid w:val="36077DF4"/>
    <w:rsid w:val="360C14D4"/>
    <w:rsid w:val="364231DA"/>
    <w:rsid w:val="3657338C"/>
    <w:rsid w:val="366B3E3D"/>
    <w:rsid w:val="366F7978"/>
    <w:rsid w:val="368F2D28"/>
    <w:rsid w:val="36AA2587"/>
    <w:rsid w:val="36BD3B2B"/>
    <w:rsid w:val="36C525B8"/>
    <w:rsid w:val="36CF5CDC"/>
    <w:rsid w:val="36E0001B"/>
    <w:rsid w:val="37010D7F"/>
    <w:rsid w:val="37072709"/>
    <w:rsid w:val="372D7574"/>
    <w:rsid w:val="374539E5"/>
    <w:rsid w:val="375506B6"/>
    <w:rsid w:val="37760C6E"/>
    <w:rsid w:val="37925587"/>
    <w:rsid w:val="379468A9"/>
    <w:rsid w:val="379976B7"/>
    <w:rsid w:val="37A04AAF"/>
    <w:rsid w:val="37A37080"/>
    <w:rsid w:val="37B2068D"/>
    <w:rsid w:val="37CB0D3F"/>
    <w:rsid w:val="37D01FE7"/>
    <w:rsid w:val="37DA2C90"/>
    <w:rsid w:val="37E93254"/>
    <w:rsid w:val="37EC354A"/>
    <w:rsid w:val="37EE0ABC"/>
    <w:rsid w:val="37F821BF"/>
    <w:rsid w:val="38071A68"/>
    <w:rsid w:val="380B2DEC"/>
    <w:rsid w:val="38141DF5"/>
    <w:rsid w:val="3826266E"/>
    <w:rsid w:val="382A660D"/>
    <w:rsid w:val="384356CE"/>
    <w:rsid w:val="38551A31"/>
    <w:rsid w:val="385772A7"/>
    <w:rsid w:val="386925BE"/>
    <w:rsid w:val="38721AC2"/>
    <w:rsid w:val="38763295"/>
    <w:rsid w:val="388056E2"/>
    <w:rsid w:val="3887386D"/>
    <w:rsid w:val="38A65D5B"/>
    <w:rsid w:val="38D13CC9"/>
    <w:rsid w:val="38D51150"/>
    <w:rsid w:val="38DA6F5C"/>
    <w:rsid w:val="390C79B3"/>
    <w:rsid w:val="39187723"/>
    <w:rsid w:val="391E4218"/>
    <w:rsid w:val="39297DBF"/>
    <w:rsid w:val="393B74AD"/>
    <w:rsid w:val="3965675E"/>
    <w:rsid w:val="3992310C"/>
    <w:rsid w:val="399476BC"/>
    <w:rsid w:val="39A338D7"/>
    <w:rsid w:val="39A41DE1"/>
    <w:rsid w:val="39B918F7"/>
    <w:rsid w:val="39BC1743"/>
    <w:rsid w:val="39C04147"/>
    <w:rsid w:val="39CA3E63"/>
    <w:rsid w:val="39CB1632"/>
    <w:rsid w:val="39D12798"/>
    <w:rsid w:val="39DD2F93"/>
    <w:rsid w:val="39F77852"/>
    <w:rsid w:val="3A0273C7"/>
    <w:rsid w:val="3A0370F1"/>
    <w:rsid w:val="3A252D37"/>
    <w:rsid w:val="3A2E43E2"/>
    <w:rsid w:val="3A382D1F"/>
    <w:rsid w:val="3A527C9B"/>
    <w:rsid w:val="3A5D60B2"/>
    <w:rsid w:val="3A614CB1"/>
    <w:rsid w:val="3A95208A"/>
    <w:rsid w:val="3AE91A3A"/>
    <w:rsid w:val="3AF527FD"/>
    <w:rsid w:val="3AF6119B"/>
    <w:rsid w:val="3AF84B56"/>
    <w:rsid w:val="3B030610"/>
    <w:rsid w:val="3B276FF5"/>
    <w:rsid w:val="3B3701AC"/>
    <w:rsid w:val="3B5234DD"/>
    <w:rsid w:val="3B5C4FFD"/>
    <w:rsid w:val="3B783868"/>
    <w:rsid w:val="3BA015CE"/>
    <w:rsid w:val="3BA64702"/>
    <w:rsid w:val="3BBB4A7D"/>
    <w:rsid w:val="3C037A81"/>
    <w:rsid w:val="3C0F534B"/>
    <w:rsid w:val="3C1805AA"/>
    <w:rsid w:val="3C294B58"/>
    <w:rsid w:val="3C2B0846"/>
    <w:rsid w:val="3C42079F"/>
    <w:rsid w:val="3C457584"/>
    <w:rsid w:val="3C502380"/>
    <w:rsid w:val="3C6624E7"/>
    <w:rsid w:val="3C911591"/>
    <w:rsid w:val="3C9B363C"/>
    <w:rsid w:val="3CA030E9"/>
    <w:rsid w:val="3CA15177"/>
    <w:rsid w:val="3CAD4ED1"/>
    <w:rsid w:val="3CB301C7"/>
    <w:rsid w:val="3CC04DFB"/>
    <w:rsid w:val="3CCD0C48"/>
    <w:rsid w:val="3CD31424"/>
    <w:rsid w:val="3CDC0139"/>
    <w:rsid w:val="3CDD7B38"/>
    <w:rsid w:val="3CE46977"/>
    <w:rsid w:val="3CF95DFC"/>
    <w:rsid w:val="3D186F58"/>
    <w:rsid w:val="3D1D2A26"/>
    <w:rsid w:val="3D3207BC"/>
    <w:rsid w:val="3D62754D"/>
    <w:rsid w:val="3D7226C2"/>
    <w:rsid w:val="3D777EE4"/>
    <w:rsid w:val="3D7A40CF"/>
    <w:rsid w:val="3D810C1E"/>
    <w:rsid w:val="3DA45B0D"/>
    <w:rsid w:val="3DC72784"/>
    <w:rsid w:val="3DDE40E4"/>
    <w:rsid w:val="3DEE2F9F"/>
    <w:rsid w:val="3DF95438"/>
    <w:rsid w:val="3DFD34CB"/>
    <w:rsid w:val="3DFD3DD7"/>
    <w:rsid w:val="3DFF54BF"/>
    <w:rsid w:val="3E206CAA"/>
    <w:rsid w:val="3E3E0CC6"/>
    <w:rsid w:val="3E3F6F48"/>
    <w:rsid w:val="3E497EE5"/>
    <w:rsid w:val="3E505AAF"/>
    <w:rsid w:val="3E5D0E68"/>
    <w:rsid w:val="3E65169B"/>
    <w:rsid w:val="3E8343D8"/>
    <w:rsid w:val="3E85431A"/>
    <w:rsid w:val="3E8760CC"/>
    <w:rsid w:val="3E89411D"/>
    <w:rsid w:val="3E89500D"/>
    <w:rsid w:val="3E952E8E"/>
    <w:rsid w:val="3EA91379"/>
    <w:rsid w:val="3EAE113B"/>
    <w:rsid w:val="3EBD0179"/>
    <w:rsid w:val="3ECE2925"/>
    <w:rsid w:val="3ED91814"/>
    <w:rsid w:val="3EFF5B1D"/>
    <w:rsid w:val="3F00334D"/>
    <w:rsid w:val="3F015958"/>
    <w:rsid w:val="3F02465B"/>
    <w:rsid w:val="3F0976ED"/>
    <w:rsid w:val="3F0C3B0E"/>
    <w:rsid w:val="3F110CE6"/>
    <w:rsid w:val="3F3A72E1"/>
    <w:rsid w:val="3F420D1F"/>
    <w:rsid w:val="3F4C1713"/>
    <w:rsid w:val="3F575C2B"/>
    <w:rsid w:val="3F592A13"/>
    <w:rsid w:val="3F67263A"/>
    <w:rsid w:val="3F677F3B"/>
    <w:rsid w:val="3F8242A8"/>
    <w:rsid w:val="3FAB12CD"/>
    <w:rsid w:val="3FDB62BB"/>
    <w:rsid w:val="3FEB2C5E"/>
    <w:rsid w:val="3FEC177F"/>
    <w:rsid w:val="3FEE56CB"/>
    <w:rsid w:val="400B79BE"/>
    <w:rsid w:val="400D28F0"/>
    <w:rsid w:val="404A11AE"/>
    <w:rsid w:val="405502DB"/>
    <w:rsid w:val="405C183F"/>
    <w:rsid w:val="4062370B"/>
    <w:rsid w:val="406A07CC"/>
    <w:rsid w:val="406B34D6"/>
    <w:rsid w:val="406D1A4E"/>
    <w:rsid w:val="40870A32"/>
    <w:rsid w:val="40914D65"/>
    <w:rsid w:val="409257D7"/>
    <w:rsid w:val="40A526B3"/>
    <w:rsid w:val="40A62EB9"/>
    <w:rsid w:val="40CB30B9"/>
    <w:rsid w:val="40E22D7A"/>
    <w:rsid w:val="40F7468E"/>
    <w:rsid w:val="411909CA"/>
    <w:rsid w:val="412958BA"/>
    <w:rsid w:val="4138493C"/>
    <w:rsid w:val="414A44E6"/>
    <w:rsid w:val="414D3D12"/>
    <w:rsid w:val="416B1888"/>
    <w:rsid w:val="418272C9"/>
    <w:rsid w:val="41860824"/>
    <w:rsid w:val="418761FE"/>
    <w:rsid w:val="418845F0"/>
    <w:rsid w:val="418A521A"/>
    <w:rsid w:val="418D456D"/>
    <w:rsid w:val="419278F3"/>
    <w:rsid w:val="41A306D7"/>
    <w:rsid w:val="41C53367"/>
    <w:rsid w:val="41D81D66"/>
    <w:rsid w:val="41DD4741"/>
    <w:rsid w:val="41DF5B03"/>
    <w:rsid w:val="41F109F9"/>
    <w:rsid w:val="41F23A34"/>
    <w:rsid w:val="42012FB7"/>
    <w:rsid w:val="4209322B"/>
    <w:rsid w:val="420E4B13"/>
    <w:rsid w:val="42375D16"/>
    <w:rsid w:val="423A5EDD"/>
    <w:rsid w:val="423D114E"/>
    <w:rsid w:val="424C3940"/>
    <w:rsid w:val="42505313"/>
    <w:rsid w:val="425B1E59"/>
    <w:rsid w:val="425C4303"/>
    <w:rsid w:val="427500C7"/>
    <w:rsid w:val="427710B1"/>
    <w:rsid w:val="428A1191"/>
    <w:rsid w:val="42953416"/>
    <w:rsid w:val="429926CD"/>
    <w:rsid w:val="429A7733"/>
    <w:rsid w:val="429B2EC8"/>
    <w:rsid w:val="429D2735"/>
    <w:rsid w:val="42A50149"/>
    <w:rsid w:val="42AA1B4F"/>
    <w:rsid w:val="42AB5561"/>
    <w:rsid w:val="42AE610D"/>
    <w:rsid w:val="42B3462B"/>
    <w:rsid w:val="42C35D37"/>
    <w:rsid w:val="42CB5F40"/>
    <w:rsid w:val="42D62626"/>
    <w:rsid w:val="42ED26B5"/>
    <w:rsid w:val="43141502"/>
    <w:rsid w:val="43163A56"/>
    <w:rsid w:val="431D263D"/>
    <w:rsid w:val="431D55EC"/>
    <w:rsid w:val="431F3A41"/>
    <w:rsid w:val="4323700E"/>
    <w:rsid w:val="43290D73"/>
    <w:rsid w:val="433E2DDA"/>
    <w:rsid w:val="433E4C41"/>
    <w:rsid w:val="434F0D38"/>
    <w:rsid w:val="435B2558"/>
    <w:rsid w:val="435E3600"/>
    <w:rsid w:val="43795A47"/>
    <w:rsid w:val="439B6A7E"/>
    <w:rsid w:val="439D508C"/>
    <w:rsid w:val="439D7670"/>
    <w:rsid w:val="43A6575D"/>
    <w:rsid w:val="43BB3E44"/>
    <w:rsid w:val="43BE6F7D"/>
    <w:rsid w:val="43F10D71"/>
    <w:rsid w:val="43F247E6"/>
    <w:rsid w:val="441C6B87"/>
    <w:rsid w:val="44222411"/>
    <w:rsid w:val="442A1CCD"/>
    <w:rsid w:val="443B0039"/>
    <w:rsid w:val="444A180A"/>
    <w:rsid w:val="4450214A"/>
    <w:rsid w:val="445C1AF0"/>
    <w:rsid w:val="44680BCB"/>
    <w:rsid w:val="446A2CA9"/>
    <w:rsid w:val="446F5DB9"/>
    <w:rsid w:val="44952049"/>
    <w:rsid w:val="44A621D9"/>
    <w:rsid w:val="44BD53FC"/>
    <w:rsid w:val="44E10BAB"/>
    <w:rsid w:val="44E474BF"/>
    <w:rsid w:val="44E82228"/>
    <w:rsid w:val="44E90D90"/>
    <w:rsid w:val="44EC67B7"/>
    <w:rsid w:val="44FA3CB5"/>
    <w:rsid w:val="44FF2994"/>
    <w:rsid w:val="452D275C"/>
    <w:rsid w:val="45342953"/>
    <w:rsid w:val="45665ACF"/>
    <w:rsid w:val="45794612"/>
    <w:rsid w:val="45894E6C"/>
    <w:rsid w:val="45A26833"/>
    <w:rsid w:val="45A54B71"/>
    <w:rsid w:val="45AE4C04"/>
    <w:rsid w:val="45B50386"/>
    <w:rsid w:val="45C70313"/>
    <w:rsid w:val="45D012A0"/>
    <w:rsid w:val="45E433D6"/>
    <w:rsid w:val="45F627E4"/>
    <w:rsid w:val="46032FD4"/>
    <w:rsid w:val="460B0BCE"/>
    <w:rsid w:val="460F6FBC"/>
    <w:rsid w:val="46135CE7"/>
    <w:rsid w:val="463172F8"/>
    <w:rsid w:val="463A7D4F"/>
    <w:rsid w:val="46665D8D"/>
    <w:rsid w:val="46687506"/>
    <w:rsid w:val="466E4992"/>
    <w:rsid w:val="467E6009"/>
    <w:rsid w:val="46896C81"/>
    <w:rsid w:val="469413F2"/>
    <w:rsid w:val="46BB5616"/>
    <w:rsid w:val="46CF55A2"/>
    <w:rsid w:val="46D21C2A"/>
    <w:rsid w:val="46D409FB"/>
    <w:rsid w:val="46D8692A"/>
    <w:rsid w:val="46EA31FD"/>
    <w:rsid w:val="46F71977"/>
    <w:rsid w:val="46FC4948"/>
    <w:rsid w:val="4704120A"/>
    <w:rsid w:val="470756F5"/>
    <w:rsid w:val="471A6CE6"/>
    <w:rsid w:val="4720585D"/>
    <w:rsid w:val="472752FC"/>
    <w:rsid w:val="472B1335"/>
    <w:rsid w:val="4737764A"/>
    <w:rsid w:val="474544E5"/>
    <w:rsid w:val="47610016"/>
    <w:rsid w:val="476B177D"/>
    <w:rsid w:val="47735892"/>
    <w:rsid w:val="477E0FE3"/>
    <w:rsid w:val="47904868"/>
    <w:rsid w:val="47965E69"/>
    <w:rsid w:val="47A746B5"/>
    <w:rsid w:val="47AA545E"/>
    <w:rsid w:val="47B457B3"/>
    <w:rsid w:val="47BA34F2"/>
    <w:rsid w:val="47BF2979"/>
    <w:rsid w:val="47D640ED"/>
    <w:rsid w:val="47DB78B4"/>
    <w:rsid w:val="47E97C2E"/>
    <w:rsid w:val="47F544AF"/>
    <w:rsid w:val="47FB148C"/>
    <w:rsid w:val="484F6746"/>
    <w:rsid w:val="485257FA"/>
    <w:rsid w:val="485863B4"/>
    <w:rsid w:val="485A0ADE"/>
    <w:rsid w:val="485D6AEF"/>
    <w:rsid w:val="487C2D39"/>
    <w:rsid w:val="488D3E0F"/>
    <w:rsid w:val="48956E38"/>
    <w:rsid w:val="48957E00"/>
    <w:rsid w:val="489909DE"/>
    <w:rsid w:val="4899500E"/>
    <w:rsid w:val="48BC2BD5"/>
    <w:rsid w:val="48CB24F1"/>
    <w:rsid w:val="48DD3C52"/>
    <w:rsid w:val="48DF1104"/>
    <w:rsid w:val="48E44379"/>
    <w:rsid w:val="48E82DFB"/>
    <w:rsid w:val="48F023B9"/>
    <w:rsid w:val="48F7437E"/>
    <w:rsid w:val="48FF3E84"/>
    <w:rsid w:val="49185298"/>
    <w:rsid w:val="49190470"/>
    <w:rsid w:val="493C119A"/>
    <w:rsid w:val="493C2CD0"/>
    <w:rsid w:val="494C627D"/>
    <w:rsid w:val="495525B9"/>
    <w:rsid w:val="495B0983"/>
    <w:rsid w:val="496323E4"/>
    <w:rsid w:val="496C65E3"/>
    <w:rsid w:val="49824514"/>
    <w:rsid w:val="498F1BEE"/>
    <w:rsid w:val="49922B5E"/>
    <w:rsid w:val="49952B0E"/>
    <w:rsid w:val="499570BE"/>
    <w:rsid w:val="499E09E8"/>
    <w:rsid w:val="49A54DD1"/>
    <w:rsid w:val="49C23368"/>
    <w:rsid w:val="49DF5415"/>
    <w:rsid w:val="49E20615"/>
    <w:rsid w:val="49F40794"/>
    <w:rsid w:val="4A000D93"/>
    <w:rsid w:val="4A0D1A19"/>
    <w:rsid w:val="4A1568EC"/>
    <w:rsid w:val="4A1A618C"/>
    <w:rsid w:val="4A217792"/>
    <w:rsid w:val="4A2918D5"/>
    <w:rsid w:val="4A3A3782"/>
    <w:rsid w:val="4A4B2B47"/>
    <w:rsid w:val="4A5D2CC3"/>
    <w:rsid w:val="4A69442C"/>
    <w:rsid w:val="4A712169"/>
    <w:rsid w:val="4A7C5A37"/>
    <w:rsid w:val="4A8B6824"/>
    <w:rsid w:val="4AA50548"/>
    <w:rsid w:val="4ABD6E91"/>
    <w:rsid w:val="4ABE7303"/>
    <w:rsid w:val="4AC017BE"/>
    <w:rsid w:val="4ADD29C7"/>
    <w:rsid w:val="4AE7095E"/>
    <w:rsid w:val="4B0D185B"/>
    <w:rsid w:val="4B0E5353"/>
    <w:rsid w:val="4B1A0E97"/>
    <w:rsid w:val="4B23446E"/>
    <w:rsid w:val="4B317937"/>
    <w:rsid w:val="4B557F53"/>
    <w:rsid w:val="4B5A46EE"/>
    <w:rsid w:val="4B622533"/>
    <w:rsid w:val="4B8177EF"/>
    <w:rsid w:val="4B917600"/>
    <w:rsid w:val="4BA07167"/>
    <w:rsid w:val="4BA60317"/>
    <w:rsid w:val="4BA8261B"/>
    <w:rsid w:val="4BDF3547"/>
    <w:rsid w:val="4BE34078"/>
    <w:rsid w:val="4BEE5544"/>
    <w:rsid w:val="4C1844AF"/>
    <w:rsid w:val="4C234929"/>
    <w:rsid w:val="4C255784"/>
    <w:rsid w:val="4C2F18FD"/>
    <w:rsid w:val="4C3144C3"/>
    <w:rsid w:val="4C394765"/>
    <w:rsid w:val="4C3B6041"/>
    <w:rsid w:val="4C4501ED"/>
    <w:rsid w:val="4C747D06"/>
    <w:rsid w:val="4C7D5F65"/>
    <w:rsid w:val="4C8A4CFE"/>
    <w:rsid w:val="4C984FBF"/>
    <w:rsid w:val="4CA01E30"/>
    <w:rsid w:val="4CBC4E4C"/>
    <w:rsid w:val="4CC5639B"/>
    <w:rsid w:val="4CC8181A"/>
    <w:rsid w:val="4CCF4E59"/>
    <w:rsid w:val="4CD73E04"/>
    <w:rsid w:val="4CEB7D6E"/>
    <w:rsid w:val="4D4247BC"/>
    <w:rsid w:val="4D42536E"/>
    <w:rsid w:val="4D755957"/>
    <w:rsid w:val="4D8320D2"/>
    <w:rsid w:val="4DB271BB"/>
    <w:rsid w:val="4DBC76C3"/>
    <w:rsid w:val="4DCE7DFB"/>
    <w:rsid w:val="4DD5433A"/>
    <w:rsid w:val="4DDF07AE"/>
    <w:rsid w:val="4DF8256A"/>
    <w:rsid w:val="4E0724DE"/>
    <w:rsid w:val="4E095D63"/>
    <w:rsid w:val="4E1A1086"/>
    <w:rsid w:val="4E246EA9"/>
    <w:rsid w:val="4E2978A7"/>
    <w:rsid w:val="4E316FBA"/>
    <w:rsid w:val="4E3B096A"/>
    <w:rsid w:val="4E3E115A"/>
    <w:rsid w:val="4E6841E8"/>
    <w:rsid w:val="4E7A4422"/>
    <w:rsid w:val="4E7F655E"/>
    <w:rsid w:val="4E893C4A"/>
    <w:rsid w:val="4E8C340D"/>
    <w:rsid w:val="4E9A6BAB"/>
    <w:rsid w:val="4EB80612"/>
    <w:rsid w:val="4EC44E37"/>
    <w:rsid w:val="4EE30424"/>
    <w:rsid w:val="4EE975B4"/>
    <w:rsid w:val="4EF92B81"/>
    <w:rsid w:val="4F047D04"/>
    <w:rsid w:val="4F061F82"/>
    <w:rsid w:val="4F0E4B77"/>
    <w:rsid w:val="4F137646"/>
    <w:rsid w:val="4F17687F"/>
    <w:rsid w:val="4F1E1D61"/>
    <w:rsid w:val="4F3365ED"/>
    <w:rsid w:val="4F365E05"/>
    <w:rsid w:val="4F550046"/>
    <w:rsid w:val="4F5907B8"/>
    <w:rsid w:val="4F7706C7"/>
    <w:rsid w:val="4F84026C"/>
    <w:rsid w:val="4F8804C8"/>
    <w:rsid w:val="4FA57277"/>
    <w:rsid w:val="4FAD4665"/>
    <w:rsid w:val="4FAF0F49"/>
    <w:rsid w:val="4FDA0DA8"/>
    <w:rsid w:val="500E6FCA"/>
    <w:rsid w:val="501801BC"/>
    <w:rsid w:val="50401263"/>
    <w:rsid w:val="5045782E"/>
    <w:rsid w:val="505210D6"/>
    <w:rsid w:val="507120B7"/>
    <w:rsid w:val="507F418D"/>
    <w:rsid w:val="5087040A"/>
    <w:rsid w:val="509E41D3"/>
    <w:rsid w:val="50AF1CAB"/>
    <w:rsid w:val="50B62326"/>
    <w:rsid w:val="50BE3769"/>
    <w:rsid w:val="50BF2EB8"/>
    <w:rsid w:val="50C53487"/>
    <w:rsid w:val="50C54EB3"/>
    <w:rsid w:val="50CE6E3E"/>
    <w:rsid w:val="50CE7462"/>
    <w:rsid w:val="50DF5DE3"/>
    <w:rsid w:val="50ED22C3"/>
    <w:rsid w:val="50F97ABC"/>
    <w:rsid w:val="50FA030C"/>
    <w:rsid w:val="50FA4C4F"/>
    <w:rsid w:val="510652FC"/>
    <w:rsid w:val="510E16E8"/>
    <w:rsid w:val="51155309"/>
    <w:rsid w:val="511732D2"/>
    <w:rsid w:val="51233129"/>
    <w:rsid w:val="5137738F"/>
    <w:rsid w:val="513C52E6"/>
    <w:rsid w:val="514E6FEF"/>
    <w:rsid w:val="515557FA"/>
    <w:rsid w:val="515925AC"/>
    <w:rsid w:val="5167737D"/>
    <w:rsid w:val="516B6C11"/>
    <w:rsid w:val="517507DA"/>
    <w:rsid w:val="51990A58"/>
    <w:rsid w:val="51AB53A1"/>
    <w:rsid w:val="51B800FD"/>
    <w:rsid w:val="51DA6292"/>
    <w:rsid w:val="51E20570"/>
    <w:rsid w:val="51E42430"/>
    <w:rsid w:val="51ED0838"/>
    <w:rsid w:val="51F66A5B"/>
    <w:rsid w:val="51FA1DD4"/>
    <w:rsid w:val="521A63F2"/>
    <w:rsid w:val="52346BE5"/>
    <w:rsid w:val="52377F5C"/>
    <w:rsid w:val="523935C7"/>
    <w:rsid w:val="523F07DE"/>
    <w:rsid w:val="524F78CE"/>
    <w:rsid w:val="52500457"/>
    <w:rsid w:val="5253650B"/>
    <w:rsid w:val="5280227F"/>
    <w:rsid w:val="528255B5"/>
    <w:rsid w:val="5285563B"/>
    <w:rsid w:val="529F5C66"/>
    <w:rsid w:val="52AB7D04"/>
    <w:rsid w:val="52AF6872"/>
    <w:rsid w:val="52B46AD3"/>
    <w:rsid w:val="52CC190D"/>
    <w:rsid w:val="52D04C1F"/>
    <w:rsid w:val="52D648EB"/>
    <w:rsid w:val="52E64860"/>
    <w:rsid w:val="52E671F0"/>
    <w:rsid w:val="52F53506"/>
    <w:rsid w:val="53006F67"/>
    <w:rsid w:val="53090C3E"/>
    <w:rsid w:val="530C683A"/>
    <w:rsid w:val="532C6309"/>
    <w:rsid w:val="53333990"/>
    <w:rsid w:val="5348533C"/>
    <w:rsid w:val="5372647E"/>
    <w:rsid w:val="537D638F"/>
    <w:rsid w:val="538F7A16"/>
    <w:rsid w:val="53910013"/>
    <w:rsid w:val="53AB0DEE"/>
    <w:rsid w:val="53B548A0"/>
    <w:rsid w:val="53DD429E"/>
    <w:rsid w:val="53E40C8A"/>
    <w:rsid w:val="53EE6970"/>
    <w:rsid w:val="53F776A4"/>
    <w:rsid w:val="53FB46D0"/>
    <w:rsid w:val="54180B72"/>
    <w:rsid w:val="541D247A"/>
    <w:rsid w:val="542D5B03"/>
    <w:rsid w:val="54446D8A"/>
    <w:rsid w:val="545153CE"/>
    <w:rsid w:val="546711AC"/>
    <w:rsid w:val="546C196E"/>
    <w:rsid w:val="546D403E"/>
    <w:rsid w:val="547A6DF1"/>
    <w:rsid w:val="547D77C7"/>
    <w:rsid w:val="5496565E"/>
    <w:rsid w:val="549862B2"/>
    <w:rsid w:val="54B567A0"/>
    <w:rsid w:val="54B962E5"/>
    <w:rsid w:val="54E73C63"/>
    <w:rsid w:val="54F22020"/>
    <w:rsid w:val="54F64BD7"/>
    <w:rsid w:val="55021FF0"/>
    <w:rsid w:val="551046C9"/>
    <w:rsid w:val="55161CFF"/>
    <w:rsid w:val="554462B4"/>
    <w:rsid w:val="554A63C1"/>
    <w:rsid w:val="55695D36"/>
    <w:rsid w:val="556B1FBF"/>
    <w:rsid w:val="556F0CA3"/>
    <w:rsid w:val="55883306"/>
    <w:rsid w:val="55BC20D1"/>
    <w:rsid w:val="55CC4335"/>
    <w:rsid w:val="55DA479E"/>
    <w:rsid w:val="55DB7E0C"/>
    <w:rsid w:val="55DC76DE"/>
    <w:rsid w:val="5616141B"/>
    <w:rsid w:val="563D5FAA"/>
    <w:rsid w:val="56454DA8"/>
    <w:rsid w:val="56492C74"/>
    <w:rsid w:val="56505A5E"/>
    <w:rsid w:val="56572D7F"/>
    <w:rsid w:val="565F2A6A"/>
    <w:rsid w:val="567E1B44"/>
    <w:rsid w:val="56825BEA"/>
    <w:rsid w:val="568C1E8C"/>
    <w:rsid w:val="568C65E8"/>
    <w:rsid w:val="568C7DF4"/>
    <w:rsid w:val="56AD74D1"/>
    <w:rsid w:val="56B84020"/>
    <w:rsid w:val="56BC657E"/>
    <w:rsid w:val="56CB2F06"/>
    <w:rsid w:val="56DE7A12"/>
    <w:rsid w:val="56E67C43"/>
    <w:rsid w:val="56E73C4A"/>
    <w:rsid w:val="56E8764D"/>
    <w:rsid w:val="56F5037B"/>
    <w:rsid w:val="56F5224F"/>
    <w:rsid w:val="56F5475F"/>
    <w:rsid w:val="56F95351"/>
    <w:rsid w:val="57020CBB"/>
    <w:rsid w:val="570E3904"/>
    <w:rsid w:val="572E4FCA"/>
    <w:rsid w:val="573217AA"/>
    <w:rsid w:val="576A4D72"/>
    <w:rsid w:val="576E0B3B"/>
    <w:rsid w:val="57741244"/>
    <w:rsid w:val="5775107B"/>
    <w:rsid w:val="579931D4"/>
    <w:rsid w:val="57B16814"/>
    <w:rsid w:val="57B74A22"/>
    <w:rsid w:val="57CF7E8D"/>
    <w:rsid w:val="57DC4ECE"/>
    <w:rsid w:val="57E77FE3"/>
    <w:rsid w:val="57E855BC"/>
    <w:rsid w:val="57ED5F88"/>
    <w:rsid w:val="57F03231"/>
    <w:rsid w:val="57F25D27"/>
    <w:rsid w:val="57F537FA"/>
    <w:rsid w:val="58011328"/>
    <w:rsid w:val="580746B9"/>
    <w:rsid w:val="580B1900"/>
    <w:rsid w:val="580D12D3"/>
    <w:rsid w:val="58276DA8"/>
    <w:rsid w:val="58325366"/>
    <w:rsid w:val="58446761"/>
    <w:rsid w:val="58471A7B"/>
    <w:rsid w:val="58484B52"/>
    <w:rsid w:val="584B17A6"/>
    <w:rsid w:val="584F266C"/>
    <w:rsid w:val="587B2A28"/>
    <w:rsid w:val="58A501FE"/>
    <w:rsid w:val="58AC3516"/>
    <w:rsid w:val="58B47678"/>
    <w:rsid w:val="58C932E1"/>
    <w:rsid w:val="58DC1344"/>
    <w:rsid w:val="58E5155C"/>
    <w:rsid w:val="5916530B"/>
    <w:rsid w:val="59186CEA"/>
    <w:rsid w:val="591D3199"/>
    <w:rsid w:val="59203BBF"/>
    <w:rsid w:val="59484084"/>
    <w:rsid w:val="5959226B"/>
    <w:rsid w:val="5982370C"/>
    <w:rsid w:val="59905F08"/>
    <w:rsid w:val="59936108"/>
    <w:rsid w:val="59A229C8"/>
    <w:rsid w:val="59BD14EF"/>
    <w:rsid w:val="59BD2641"/>
    <w:rsid w:val="59BE4BCF"/>
    <w:rsid w:val="59D12655"/>
    <w:rsid w:val="59E7075A"/>
    <w:rsid w:val="59FB59DF"/>
    <w:rsid w:val="5A0473B9"/>
    <w:rsid w:val="5A0B11D8"/>
    <w:rsid w:val="5A0E5658"/>
    <w:rsid w:val="5A221F4F"/>
    <w:rsid w:val="5A2F6684"/>
    <w:rsid w:val="5A4A21AE"/>
    <w:rsid w:val="5A527CFC"/>
    <w:rsid w:val="5A5911CD"/>
    <w:rsid w:val="5A5A49A0"/>
    <w:rsid w:val="5A601851"/>
    <w:rsid w:val="5A632D81"/>
    <w:rsid w:val="5A7171AB"/>
    <w:rsid w:val="5A82305E"/>
    <w:rsid w:val="5A850F31"/>
    <w:rsid w:val="5A87579C"/>
    <w:rsid w:val="5A8A2579"/>
    <w:rsid w:val="5A963606"/>
    <w:rsid w:val="5AA70C0A"/>
    <w:rsid w:val="5AB77282"/>
    <w:rsid w:val="5AB824A2"/>
    <w:rsid w:val="5AE32267"/>
    <w:rsid w:val="5AEB4383"/>
    <w:rsid w:val="5AFA08CC"/>
    <w:rsid w:val="5B171504"/>
    <w:rsid w:val="5B18157A"/>
    <w:rsid w:val="5B1D2DE5"/>
    <w:rsid w:val="5B27735A"/>
    <w:rsid w:val="5B2E3B93"/>
    <w:rsid w:val="5B3B36D8"/>
    <w:rsid w:val="5B6A4E9D"/>
    <w:rsid w:val="5B6B4B09"/>
    <w:rsid w:val="5B762E56"/>
    <w:rsid w:val="5B7C7415"/>
    <w:rsid w:val="5B7F39EB"/>
    <w:rsid w:val="5B811F0A"/>
    <w:rsid w:val="5B8E0B22"/>
    <w:rsid w:val="5B9F0107"/>
    <w:rsid w:val="5BAA14DE"/>
    <w:rsid w:val="5BAA56B4"/>
    <w:rsid w:val="5BAC5EBA"/>
    <w:rsid w:val="5BCF5DE4"/>
    <w:rsid w:val="5BD61E28"/>
    <w:rsid w:val="5C023C2C"/>
    <w:rsid w:val="5C1136F5"/>
    <w:rsid w:val="5C15356B"/>
    <w:rsid w:val="5C15752F"/>
    <w:rsid w:val="5C1C100A"/>
    <w:rsid w:val="5C1E6AFA"/>
    <w:rsid w:val="5C5B64DA"/>
    <w:rsid w:val="5C9B7BEF"/>
    <w:rsid w:val="5CA946A6"/>
    <w:rsid w:val="5CB20687"/>
    <w:rsid w:val="5CB814EB"/>
    <w:rsid w:val="5CC67AFA"/>
    <w:rsid w:val="5CC83A23"/>
    <w:rsid w:val="5CCD2EA6"/>
    <w:rsid w:val="5CCD686A"/>
    <w:rsid w:val="5CD92F76"/>
    <w:rsid w:val="5CE31E9A"/>
    <w:rsid w:val="5CF5017E"/>
    <w:rsid w:val="5CFB1783"/>
    <w:rsid w:val="5D357BA4"/>
    <w:rsid w:val="5D3E0992"/>
    <w:rsid w:val="5D414A44"/>
    <w:rsid w:val="5D4F5EAE"/>
    <w:rsid w:val="5D7F73C0"/>
    <w:rsid w:val="5D8A1B12"/>
    <w:rsid w:val="5D8F33C0"/>
    <w:rsid w:val="5D9D4E4B"/>
    <w:rsid w:val="5DC70421"/>
    <w:rsid w:val="5DD55410"/>
    <w:rsid w:val="5E0F4138"/>
    <w:rsid w:val="5E1069B2"/>
    <w:rsid w:val="5E4D334F"/>
    <w:rsid w:val="5E7E55B9"/>
    <w:rsid w:val="5E9A2146"/>
    <w:rsid w:val="5E9D702E"/>
    <w:rsid w:val="5EA7601C"/>
    <w:rsid w:val="5EF9574A"/>
    <w:rsid w:val="5F1300E9"/>
    <w:rsid w:val="5F147B55"/>
    <w:rsid w:val="5F2665C1"/>
    <w:rsid w:val="5F45585E"/>
    <w:rsid w:val="5F487EBB"/>
    <w:rsid w:val="5F603E52"/>
    <w:rsid w:val="5F627E4A"/>
    <w:rsid w:val="5F7D1A43"/>
    <w:rsid w:val="5F7F5DCE"/>
    <w:rsid w:val="5F8255C1"/>
    <w:rsid w:val="5F96194D"/>
    <w:rsid w:val="5F9E6E0F"/>
    <w:rsid w:val="5FB90BBB"/>
    <w:rsid w:val="5FCB31AB"/>
    <w:rsid w:val="5FD62359"/>
    <w:rsid w:val="5FF32B08"/>
    <w:rsid w:val="5FFA3B14"/>
    <w:rsid w:val="5FFD3C18"/>
    <w:rsid w:val="60003562"/>
    <w:rsid w:val="60277523"/>
    <w:rsid w:val="602A3155"/>
    <w:rsid w:val="606E046F"/>
    <w:rsid w:val="60A42C35"/>
    <w:rsid w:val="60B44E44"/>
    <w:rsid w:val="60E87083"/>
    <w:rsid w:val="60EB6CE0"/>
    <w:rsid w:val="610078B2"/>
    <w:rsid w:val="61074DE4"/>
    <w:rsid w:val="61355FB9"/>
    <w:rsid w:val="613E00B8"/>
    <w:rsid w:val="615769A0"/>
    <w:rsid w:val="61853287"/>
    <w:rsid w:val="61882F24"/>
    <w:rsid w:val="61B51633"/>
    <w:rsid w:val="61C6032B"/>
    <w:rsid w:val="61DC714C"/>
    <w:rsid w:val="61E83A32"/>
    <w:rsid w:val="61FF0517"/>
    <w:rsid w:val="621666F1"/>
    <w:rsid w:val="62282C29"/>
    <w:rsid w:val="62286C94"/>
    <w:rsid w:val="623315FA"/>
    <w:rsid w:val="62483869"/>
    <w:rsid w:val="625D64F7"/>
    <w:rsid w:val="62661124"/>
    <w:rsid w:val="626C2CC4"/>
    <w:rsid w:val="626D40CC"/>
    <w:rsid w:val="62853A9C"/>
    <w:rsid w:val="6288019A"/>
    <w:rsid w:val="628B0158"/>
    <w:rsid w:val="628B7EB9"/>
    <w:rsid w:val="62962722"/>
    <w:rsid w:val="62C73C46"/>
    <w:rsid w:val="62DF506C"/>
    <w:rsid w:val="62ED4EE1"/>
    <w:rsid w:val="63021495"/>
    <w:rsid w:val="630B0E02"/>
    <w:rsid w:val="630E0F73"/>
    <w:rsid w:val="63253E73"/>
    <w:rsid w:val="632D0DE4"/>
    <w:rsid w:val="63401F13"/>
    <w:rsid w:val="634227ED"/>
    <w:rsid w:val="63480A37"/>
    <w:rsid w:val="634A59C4"/>
    <w:rsid w:val="634B32F3"/>
    <w:rsid w:val="634F1EFA"/>
    <w:rsid w:val="63664D50"/>
    <w:rsid w:val="63796CE0"/>
    <w:rsid w:val="638317C4"/>
    <w:rsid w:val="639702EA"/>
    <w:rsid w:val="639D298C"/>
    <w:rsid w:val="639F0E8D"/>
    <w:rsid w:val="63A04096"/>
    <w:rsid w:val="63A57678"/>
    <w:rsid w:val="63B81AB8"/>
    <w:rsid w:val="63C43F5D"/>
    <w:rsid w:val="63DE018D"/>
    <w:rsid w:val="63E736B1"/>
    <w:rsid w:val="63FA12D8"/>
    <w:rsid w:val="63FB284C"/>
    <w:rsid w:val="64011DCE"/>
    <w:rsid w:val="641E6E45"/>
    <w:rsid w:val="64335ADE"/>
    <w:rsid w:val="643D6001"/>
    <w:rsid w:val="644C0D88"/>
    <w:rsid w:val="645100D3"/>
    <w:rsid w:val="64563461"/>
    <w:rsid w:val="647A0030"/>
    <w:rsid w:val="647F38EF"/>
    <w:rsid w:val="648E6419"/>
    <w:rsid w:val="649033BB"/>
    <w:rsid w:val="64A373CB"/>
    <w:rsid w:val="64AC322E"/>
    <w:rsid w:val="64B5422F"/>
    <w:rsid w:val="64DB4EEE"/>
    <w:rsid w:val="64E47837"/>
    <w:rsid w:val="65083814"/>
    <w:rsid w:val="650C3C12"/>
    <w:rsid w:val="65155BF2"/>
    <w:rsid w:val="65213107"/>
    <w:rsid w:val="6534677B"/>
    <w:rsid w:val="654B11C4"/>
    <w:rsid w:val="659C367B"/>
    <w:rsid w:val="65A113E8"/>
    <w:rsid w:val="65B16220"/>
    <w:rsid w:val="65B20ED6"/>
    <w:rsid w:val="65B941AE"/>
    <w:rsid w:val="65BA2858"/>
    <w:rsid w:val="65CE45E9"/>
    <w:rsid w:val="65DB402E"/>
    <w:rsid w:val="660751D3"/>
    <w:rsid w:val="660E79C5"/>
    <w:rsid w:val="661248D0"/>
    <w:rsid w:val="661636CA"/>
    <w:rsid w:val="661D339F"/>
    <w:rsid w:val="66306711"/>
    <w:rsid w:val="66347953"/>
    <w:rsid w:val="66396C99"/>
    <w:rsid w:val="663F2A04"/>
    <w:rsid w:val="66544FB8"/>
    <w:rsid w:val="66612ABB"/>
    <w:rsid w:val="666B4FD4"/>
    <w:rsid w:val="667E0069"/>
    <w:rsid w:val="66937109"/>
    <w:rsid w:val="66A17C26"/>
    <w:rsid w:val="66A5224A"/>
    <w:rsid w:val="66AF2339"/>
    <w:rsid w:val="66B9171C"/>
    <w:rsid w:val="66C813D6"/>
    <w:rsid w:val="66CC0733"/>
    <w:rsid w:val="66CF4347"/>
    <w:rsid w:val="66D84BAB"/>
    <w:rsid w:val="66E4467A"/>
    <w:rsid w:val="66F8323A"/>
    <w:rsid w:val="6700002A"/>
    <w:rsid w:val="67051E65"/>
    <w:rsid w:val="67057AEB"/>
    <w:rsid w:val="67060414"/>
    <w:rsid w:val="67082237"/>
    <w:rsid w:val="67155C9E"/>
    <w:rsid w:val="67183136"/>
    <w:rsid w:val="671D753F"/>
    <w:rsid w:val="674E2C68"/>
    <w:rsid w:val="67721984"/>
    <w:rsid w:val="67743A78"/>
    <w:rsid w:val="6789091D"/>
    <w:rsid w:val="67963DDB"/>
    <w:rsid w:val="67BE1A64"/>
    <w:rsid w:val="67D02F3F"/>
    <w:rsid w:val="67D32B67"/>
    <w:rsid w:val="680816B4"/>
    <w:rsid w:val="68227C90"/>
    <w:rsid w:val="6825711D"/>
    <w:rsid w:val="68292382"/>
    <w:rsid w:val="682958C2"/>
    <w:rsid w:val="683E518F"/>
    <w:rsid w:val="68431132"/>
    <w:rsid w:val="68471748"/>
    <w:rsid w:val="684D3C54"/>
    <w:rsid w:val="68531325"/>
    <w:rsid w:val="68594A72"/>
    <w:rsid w:val="6866021B"/>
    <w:rsid w:val="68677DFA"/>
    <w:rsid w:val="686F427B"/>
    <w:rsid w:val="687A544A"/>
    <w:rsid w:val="687B7D8D"/>
    <w:rsid w:val="687C1136"/>
    <w:rsid w:val="68875F74"/>
    <w:rsid w:val="688B1C17"/>
    <w:rsid w:val="68A05705"/>
    <w:rsid w:val="68B50AFA"/>
    <w:rsid w:val="68B8595B"/>
    <w:rsid w:val="68B85D0D"/>
    <w:rsid w:val="68BA16DE"/>
    <w:rsid w:val="68C158C8"/>
    <w:rsid w:val="68D04573"/>
    <w:rsid w:val="68D110C0"/>
    <w:rsid w:val="68E01576"/>
    <w:rsid w:val="690319B8"/>
    <w:rsid w:val="692A0D31"/>
    <w:rsid w:val="69346781"/>
    <w:rsid w:val="693D1ACB"/>
    <w:rsid w:val="696B37DD"/>
    <w:rsid w:val="696E6E92"/>
    <w:rsid w:val="69761589"/>
    <w:rsid w:val="698014C7"/>
    <w:rsid w:val="698045FE"/>
    <w:rsid w:val="698516EE"/>
    <w:rsid w:val="69967AA3"/>
    <w:rsid w:val="69AE1E57"/>
    <w:rsid w:val="69D24E68"/>
    <w:rsid w:val="69E55269"/>
    <w:rsid w:val="69F10915"/>
    <w:rsid w:val="69FC33DC"/>
    <w:rsid w:val="6A060DD8"/>
    <w:rsid w:val="6A071D68"/>
    <w:rsid w:val="6A0732C2"/>
    <w:rsid w:val="6A282811"/>
    <w:rsid w:val="6A3060B4"/>
    <w:rsid w:val="6A3531F5"/>
    <w:rsid w:val="6A36407D"/>
    <w:rsid w:val="6A6C4BA1"/>
    <w:rsid w:val="6A6D16FE"/>
    <w:rsid w:val="6A8726CD"/>
    <w:rsid w:val="6A9561BD"/>
    <w:rsid w:val="6A9700DA"/>
    <w:rsid w:val="6A9E4B97"/>
    <w:rsid w:val="6AA52983"/>
    <w:rsid w:val="6ABC5D7F"/>
    <w:rsid w:val="6ABE32DC"/>
    <w:rsid w:val="6AC022DD"/>
    <w:rsid w:val="6AE53FC8"/>
    <w:rsid w:val="6AE85FFF"/>
    <w:rsid w:val="6AED2FC4"/>
    <w:rsid w:val="6AF74C7B"/>
    <w:rsid w:val="6AFE7F72"/>
    <w:rsid w:val="6B0256D3"/>
    <w:rsid w:val="6B122470"/>
    <w:rsid w:val="6B1525A0"/>
    <w:rsid w:val="6B3A3EA5"/>
    <w:rsid w:val="6B5771F5"/>
    <w:rsid w:val="6B652B49"/>
    <w:rsid w:val="6B805BD6"/>
    <w:rsid w:val="6B812816"/>
    <w:rsid w:val="6B8435EC"/>
    <w:rsid w:val="6B901870"/>
    <w:rsid w:val="6B916240"/>
    <w:rsid w:val="6BAD6C0D"/>
    <w:rsid w:val="6BB82FD9"/>
    <w:rsid w:val="6BC26A50"/>
    <w:rsid w:val="6BF212E8"/>
    <w:rsid w:val="6C163CC8"/>
    <w:rsid w:val="6C355DD5"/>
    <w:rsid w:val="6C450EE6"/>
    <w:rsid w:val="6C503A8C"/>
    <w:rsid w:val="6C630703"/>
    <w:rsid w:val="6C67169E"/>
    <w:rsid w:val="6C8C1A63"/>
    <w:rsid w:val="6C955258"/>
    <w:rsid w:val="6CA06851"/>
    <w:rsid w:val="6CC618A4"/>
    <w:rsid w:val="6CCF3D23"/>
    <w:rsid w:val="6CDB2E05"/>
    <w:rsid w:val="6CE160C7"/>
    <w:rsid w:val="6CE34E6A"/>
    <w:rsid w:val="6CEF1125"/>
    <w:rsid w:val="6CFE6530"/>
    <w:rsid w:val="6D07706A"/>
    <w:rsid w:val="6D0F0F0C"/>
    <w:rsid w:val="6D143AB4"/>
    <w:rsid w:val="6D2B677A"/>
    <w:rsid w:val="6D3C2C83"/>
    <w:rsid w:val="6D5021EA"/>
    <w:rsid w:val="6D56563C"/>
    <w:rsid w:val="6D607F7E"/>
    <w:rsid w:val="6D6B069A"/>
    <w:rsid w:val="6D706387"/>
    <w:rsid w:val="6D7E0C79"/>
    <w:rsid w:val="6D7F64F7"/>
    <w:rsid w:val="6D8A7777"/>
    <w:rsid w:val="6D8F4C98"/>
    <w:rsid w:val="6D9D518C"/>
    <w:rsid w:val="6DB442EA"/>
    <w:rsid w:val="6DBA2EB7"/>
    <w:rsid w:val="6DC20B49"/>
    <w:rsid w:val="6DD41DD0"/>
    <w:rsid w:val="6DF8050D"/>
    <w:rsid w:val="6DFD3C83"/>
    <w:rsid w:val="6E105FFF"/>
    <w:rsid w:val="6E2A5B4B"/>
    <w:rsid w:val="6E367D7F"/>
    <w:rsid w:val="6E4A57F0"/>
    <w:rsid w:val="6E4A7B25"/>
    <w:rsid w:val="6E5D1F31"/>
    <w:rsid w:val="6E8042B4"/>
    <w:rsid w:val="6E8356B9"/>
    <w:rsid w:val="6EA86223"/>
    <w:rsid w:val="6EAA2B50"/>
    <w:rsid w:val="6EC32199"/>
    <w:rsid w:val="6EC6605E"/>
    <w:rsid w:val="6EC873C6"/>
    <w:rsid w:val="6F100364"/>
    <w:rsid w:val="6F2056EF"/>
    <w:rsid w:val="6F233938"/>
    <w:rsid w:val="6F513DDE"/>
    <w:rsid w:val="6F795174"/>
    <w:rsid w:val="6F853EB0"/>
    <w:rsid w:val="6F997977"/>
    <w:rsid w:val="6FA47425"/>
    <w:rsid w:val="6FBD7BE4"/>
    <w:rsid w:val="6FC17503"/>
    <w:rsid w:val="6FD208B9"/>
    <w:rsid w:val="6FE87700"/>
    <w:rsid w:val="6FE96A60"/>
    <w:rsid w:val="6FED5DBD"/>
    <w:rsid w:val="700933E5"/>
    <w:rsid w:val="700E25EE"/>
    <w:rsid w:val="701906CB"/>
    <w:rsid w:val="703232AB"/>
    <w:rsid w:val="704459EE"/>
    <w:rsid w:val="705C2DB5"/>
    <w:rsid w:val="706160C4"/>
    <w:rsid w:val="70685751"/>
    <w:rsid w:val="708E3C86"/>
    <w:rsid w:val="70A0733B"/>
    <w:rsid w:val="70A56D0B"/>
    <w:rsid w:val="70B32728"/>
    <w:rsid w:val="70B87212"/>
    <w:rsid w:val="70C04180"/>
    <w:rsid w:val="70C4793C"/>
    <w:rsid w:val="70EC500F"/>
    <w:rsid w:val="711A18D8"/>
    <w:rsid w:val="711F6387"/>
    <w:rsid w:val="71245BA7"/>
    <w:rsid w:val="71260B48"/>
    <w:rsid w:val="712C4C19"/>
    <w:rsid w:val="71387BF0"/>
    <w:rsid w:val="7148071F"/>
    <w:rsid w:val="71512D7A"/>
    <w:rsid w:val="715C54BA"/>
    <w:rsid w:val="716138E2"/>
    <w:rsid w:val="716E0EA9"/>
    <w:rsid w:val="7170095C"/>
    <w:rsid w:val="71756F0A"/>
    <w:rsid w:val="71872B28"/>
    <w:rsid w:val="71966071"/>
    <w:rsid w:val="71990902"/>
    <w:rsid w:val="71A77348"/>
    <w:rsid w:val="723711DE"/>
    <w:rsid w:val="72550398"/>
    <w:rsid w:val="727249CD"/>
    <w:rsid w:val="72783F33"/>
    <w:rsid w:val="72842890"/>
    <w:rsid w:val="728F42EF"/>
    <w:rsid w:val="729B18D8"/>
    <w:rsid w:val="72A13C6B"/>
    <w:rsid w:val="72A33A58"/>
    <w:rsid w:val="72A46F26"/>
    <w:rsid w:val="72AF4CF5"/>
    <w:rsid w:val="72B7538E"/>
    <w:rsid w:val="72CE0C3A"/>
    <w:rsid w:val="72D16C01"/>
    <w:rsid w:val="72E345A1"/>
    <w:rsid w:val="73000241"/>
    <w:rsid w:val="73031463"/>
    <w:rsid w:val="731E1568"/>
    <w:rsid w:val="732D7E6A"/>
    <w:rsid w:val="733A01AC"/>
    <w:rsid w:val="73614458"/>
    <w:rsid w:val="736C5C61"/>
    <w:rsid w:val="73757D5C"/>
    <w:rsid w:val="73862281"/>
    <w:rsid w:val="73B14DCF"/>
    <w:rsid w:val="73BC2378"/>
    <w:rsid w:val="73C0576F"/>
    <w:rsid w:val="73C97D90"/>
    <w:rsid w:val="73D32DF5"/>
    <w:rsid w:val="73DB6A96"/>
    <w:rsid w:val="73E56BBA"/>
    <w:rsid w:val="73E80CCA"/>
    <w:rsid w:val="74007E83"/>
    <w:rsid w:val="741A2103"/>
    <w:rsid w:val="742B4F65"/>
    <w:rsid w:val="742E7B9D"/>
    <w:rsid w:val="74316464"/>
    <w:rsid w:val="743821A0"/>
    <w:rsid w:val="744A7464"/>
    <w:rsid w:val="74535598"/>
    <w:rsid w:val="747D0A04"/>
    <w:rsid w:val="749E32AF"/>
    <w:rsid w:val="74AB3F01"/>
    <w:rsid w:val="74B54FE6"/>
    <w:rsid w:val="74B75FB6"/>
    <w:rsid w:val="74C91B9F"/>
    <w:rsid w:val="74C95593"/>
    <w:rsid w:val="74CB3DC6"/>
    <w:rsid w:val="74CF00BE"/>
    <w:rsid w:val="74D70B94"/>
    <w:rsid w:val="74E02B6B"/>
    <w:rsid w:val="74F76771"/>
    <w:rsid w:val="74FD4DA4"/>
    <w:rsid w:val="751C4F33"/>
    <w:rsid w:val="752B2708"/>
    <w:rsid w:val="75370433"/>
    <w:rsid w:val="754B2F29"/>
    <w:rsid w:val="754D26B3"/>
    <w:rsid w:val="755240D5"/>
    <w:rsid w:val="75573E9F"/>
    <w:rsid w:val="755C4C49"/>
    <w:rsid w:val="75763321"/>
    <w:rsid w:val="758248E9"/>
    <w:rsid w:val="75870D2E"/>
    <w:rsid w:val="758D0B53"/>
    <w:rsid w:val="75AE20C8"/>
    <w:rsid w:val="75BE34C4"/>
    <w:rsid w:val="75DB0C05"/>
    <w:rsid w:val="75EF3B28"/>
    <w:rsid w:val="761B3B3A"/>
    <w:rsid w:val="761C0FB8"/>
    <w:rsid w:val="76203D31"/>
    <w:rsid w:val="76281DAE"/>
    <w:rsid w:val="762D252D"/>
    <w:rsid w:val="762D47BE"/>
    <w:rsid w:val="7631032C"/>
    <w:rsid w:val="76527E32"/>
    <w:rsid w:val="76545CB9"/>
    <w:rsid w:val="766738C5"/>
    <w:rsid w:val="766857B5"/>
    <w:rsid w:val="766E30CD"/>
    <w:rsid w:val="76701279"/>
    <w:rsid w:val="76A42503"/>
    <w:rsid w:val="76A51A4E"/>
    <w:rsid w:val="76B33572"/>
    <w:rsid w:val="76BA5D6C"/>
    <w:rsid w:val="76BB1D2C"/>
    <w:rsid w:val="76BF377D"/>
    <w:rsid w:val="76D01C2A"/>
    <w:rsid w:val="76DB3A83"/>
    <w:rsid w:val="76F05453"/>
    <w:rsid w:val="76F9478F"/>
    <w:rsid w:val="76F96BA4"/>
    <w:rsid w:val="77140197"/>
    <w:rsid w:val="773F47C6"/>
    <w:rsid w:val="77447C24"/>
    <w:rsid w:val="77760DE0"/>
    <w:rsid w:val="778623D1"/>
    <w:rsid w:val="778871B0"/>
    <w:rsid w:val="779A39DB"/>
    <w:rsid w:val="77A260E1"/>
    <w:rsid w:val="77AE56EC"/>
    <w:rsid w:val="77B03A21"/>
    <w:rsid w:val="77B877E3"/>
    <w:rsid w:val="77E61C34"/>
    <w:rsid w:val="77E752A7"/>
    <w:rsid w:val="77F11387"/>
    <w:rsid w:val="7811383D"/>
    <w:rsid w:val="78147614"/>
    <w:rsid w:val="78236879"/>
    <w:rsid w:val="782B07CC"/>
    <w:rsid w:val="78342730"/>
    <w:rsid w:val="78483E6E"/>
    <w:rsid w:val="784E7F9E"/>
    <w:rsid w:val="785602E9"/>
    <w:rsid w:val="785A0D4B"/>
    <w:rsid w:val="78730F19"/>
    <w:rsid w:val="787574E0"/>
    <w:rsid w:val="78797FCD"/>
    <w:rsid w:val="78927736"/>
    <w:rsid w:val="78C42C87"/>
    <w:rsid w:val="78D541FA"/>
    <w:rsid w:val="78E94540"/>
    <w:rsid w:val="78F258C3"/>
    <w:rsid w:val="7910321E"/>
    <w:rsid w:val="79103E9D"/>
    <w:rsid w:val="79125EE2"/>
    <w:rsid w:val="793F5476"/>
    <w:rsid w:val="79441879"/>
    <w:rsid w:val="79730FB5"/>
    <w:rsid w:val="79765E96"/>
    <w:rsid w:val="79771166"/>
    <w:rsid w:val="79783646"/>
    <w:rsid w:val="797956A1"/>
    <w:rsid w:val="797E3B39"/>
    <w:rsid w:val="798947F8"/>
    <w:rsid w:val="798C63D1"/>
    <w:rsid w:val="79926334"/>
    <w:rsid w:val="79936330"/>
    <w:rsid w:val="79AD0158"/>
    <w:rsid w:val="79B509B6"/>
    <w:rsid w:val="79C55449"/>
    <w:rsid w:val="79CC0BFC"/>
    <w:rsid w:val="79DB6508"/>
    <w:rsid w:val="79F266D9"/>
    <w:rsid w:val="7A051099"/>
    <w:rsid w:val="7A0A17D2"/>
    <w:rsid w:val="7A0F39F0"/>
    <w:rsid w:val="7A256736"/>
    <w:rsid w:val="7A2A15E5"/>
    <w:rsid w:val="7A2C1051"/>
    <w:rsid w:val="7A354D67"/>
    <w:rsid w:val="7A396226"/>
    <w:rsid w:val="7A3B3A9A"/>
    <w:rsid w:val="7A467BC3"/>
    <w:rsid w:val="7A487641"/>
    <w:rsid w:val="7A5F1220"/>
    <w:rsid w:val="7A600AE8"/>
    <w:rsid w:val="7AA4405C"/>
    <w:rsid w:val="7AB3638E"/>
    <w:rsid w:val="7AD0436C"/>
    <w:rsid w:val="7AE9439D"/>
    <w:rsid w:val="7B1573BA"/>
    <w:rsid w:val="7B215AF6"/>
    <w:rsid w:val="7B2440D2"/>
    <w:rsid w:val="7B340E49"/>
    <w:rsid w:val="7B901A09"/>
    <w:rsid w:val="7BA10C81"/>
    <w:rsid w:val="7BA25741"/>
    <w:rsid w:val="7BC03E45"/>
    <w:rsid w:val="7BC7399A"/>
    <w:rsid w:val="7BD4461B"/>
    <w:rsid w:val="7BE6110B"/>
    <w:rsid w:val="7BE80F2F"/>
    <w:rsid w:val="7BFB3DCE"/>
    <w:rsid w:val="7C0E4863"/>
    <w:rsid w:val="7C130482"/>
    <w:rsid w:val="7C143477"/>
    <w:rsid w:val="7C25647C"/>
    <w:rsid w:val="7C2A23E4"/>
    <w:rsid w:val="7C2F79FF"/>
    <w:rsid w:val="7C4845FC"/>
    <w:rsid w:val="7C5634A8"/>
    <w:rsid w:val="7C6A5566"/>
    <w:rsid w:val="7C6C5743"/>
    <w:rsid w:val="7C750D16"/>
    <w:rsid w:val="7C902304"/>
    <w:rsid w:val="7CA206F5"/>
    <w:rsid w:val="7CA440B3"/>
    <w:rsid w:val="7CAF11BB"/>
    <w:rsid w:val="7CD04CDC"/>
    <w:rsid w:val="7CF17456"/>
    <w:rsid w:val="7CF649C2"/>
    <w:rsid w:val="7D0270DA"/>
    <w:rsid w:val="7D1C1E3E"/>
    <w:rsid w:val="7D2304DF"/>
    <w:rsid w:val="7D286A5E"/>
    <w:rsid w:val="7D291066"/>
    <w:rsid w:val="7D2C19DF"/>
    <w:rsid w:val="7D3F196C"/>
    <w:rsid w:val="7D3F59C6"/>
    <w:rsid w:val="7D50763A"/>
    <w:rsid w:val="7D5E595B"/>
    <w:rsid w:val="7D643BE7"/>
    <w:rsid w:val="7D8D0984"/>
    <w:rsid w:val="7D8D60A9"/>
    <w:rsid w:val="7DA04C05"/>
    <w:rsid w:val="7DB6022C"/>
    <w:rsid w:val="7DC02B07"/>
    <w:rsid w:val="7DCB5F98"/>
    <w:rsid w:val="7DD05723"/>
    <w:rsid w:val="7DDA52CA"/>
    <w:rsid w:val="7DE50E46"/>
    <w:rsid w:val="7DF41C6E"/>
    <w:rsid w:val="7E02237D"/>
    <w:rsid w:val="7E1F21A6"/>
    <w:rsid w:val="7E3021A8"/>
    <w:rsid w:val="7E3D639E"/>
    <w:rsid w:val="7E970624"/>
    <w:rsid w:val="7E9F3EB5"/>
    <w:rsid w:val="7EA9285C"/>
    <w:rsid w:val="7EAA399C"/>
    <w:rsid w:val="7EAB5728"/>
    <w:rsid w:val="7EBF6F25"/>
    <w:rsid w:val="7EE10D2C"/>
    <w:rsid w:val="7EE22106"/>
    <w:rsid w:val="7EEB167C"/>
    <w:rsid w:val="7EF534A1"/>
    <w:rsid w:val="7F095F27"/>
    <w:rsid w:val="7F174F25"/>
    <w:rsid w:val="7F2163B6"/>
    <w:rsid w:val="7F287364"/>
    <w:rsid w:val="7F345DA2"/>
    <w:rsid w:val="7F413020"/>
    <w:rsid w:val="7F742272"/>
    <w:rsid w:val="7F9C7411"/>
    <w:rsid w:val="7F9C7C62"/>
    <w:rsid w:val="7F9F289F"/>
    <w:rsid w:val="7FAE1167"/>
    <w:rsid w:val="7FDD15E1"/>
    <w:rsid w:val="7FEB1A54"/>
    <w:rsid w:val="7FF115E6"/>
    <w:rsid w:val="7FF55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spacing w:before="340" w:beforeLines="0" w:after="330" w:afterLines="0" w:line="576" w:lineRule="auto"/>
      <w:jc w:val="both"/>
      <w:outlineLvl w:val="0"/>
    </w:pPr>
    <w:rPr>
      <w:rFonts w:ascii="Calibri" w:hAnsi="Calibri" w:eastAsia="宋体" w:cs="Times New Roman"/>
      <w:b/>
      <w:bCs/>
      <w:kern w:val="44"/>
      <w:sz w:val="44"/>
      <w:szCs w:val="44"/>
      <w:lang w:val="en-US" w:eastAsia="zh-CN" w:bidi="ar-SA"/>
    </w:rPr>
  </w:style>
  <w:style w:type="paragraph" w:styleId="4">
    <w:name w:val="heading 2"/>
    <w:next w:val="1"/>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next w:val="1"/>
    <w:qFormat/>
    <w:uiPriority w:val="9"/>
    <w:pPr>
      <w:widowControl w:val="0"/>
      <w:autoSpaceDE w:val="0"/>
      <w:autoSpaceDN w:val="0"/>
      <w:spacing w:beforeLines="0" w:afterLines="0"/>
      <w:ind w:firstLine="0" w:firstLineChars="0"/>
      <w:jc w:val="both"/>
      <w:outlineLvl w:val="2"/>
    </w:pPr>
    <w:rPr>
      <w:rFonts w:hint="default" w:ascii="Calibri" w:hAnsi="Calibri" w:eastAsia="￥ﾮﾋ￤ﾽﾓ" w:cs="Times New Roman"/>
      <w:b/>
      <w:kern w:val="2"/>
      <w:sz w:val="30"/>
      <w:szCs w:val="20"/>
      <w:lang w:val="en-US" w:eastAsia="zh-CN"/>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spacing w:before="156" w:beforeLines="50" w:after="156" w:afterLines="50" w:line="400" w:lineRule="exact"/>
      <w:jc w:val="both"/>
    </w:pPr>
    <w:rPr>
      <w:rFonts w:ascii="宋体" w:hAnsi="Courier New" w:eastAsia="宋体" w:cs="Times New Roman"/>
      <w:kern w:val="2"/>
      <w:sz w:val="24"/>
      <w:szCs w:val="24"/>
      <w:lang w:val="en-US" w:eastAsia="zh-CN" w:bidi="ar-SA"/>
    </w:rPr>
  </w:style>
  <w:style w:type="paragraph" w:styleId="6">
    <w:name w:val="List Number"/>
    <w:basedOn w:val="1"/>
    <w:qFormat/>
    <w:uiPriority w:val="0"/>
    <w:pPr>
      <w:numPr>
        <w:ilvl w:val="0"/>
        <w:numId w:val="1"/>
      </w:numPr>
    </w:pPr>
  </w:style>
  <w:style w:type="paragraph" w:styleId="7">
    <w:name w:val="Normal Indent"/>
    <w:next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annotation text"/>
    <w:basedOn w:val="1"/>
    <w:qFormat/>
    <w:uiPriority w:val="0"/>
    <w:pPr>
      <w:jc w:val="left"/>
    </w:pPr>
  </w:style>
  <w:style w:type="paragraph" w:styleId="9">
    <w:name w:val="Body Text"/>
    <w:basedOn w:val="1"/>
    <w:next w:val="10"/>
    <w:qFormat/>
    <w:uiPriority w:val="0"/>
    <w:pPr>
      <w:widowControl w:val="0"/>
      <w:spacing w:after="120" w:afterLines="0"/>
      <w:jc w:val="both"/>
    </w:pPr>
    <w:rPr>
      <w:rFonts w:ascii="Times New Roman" w:hAnsi="Times New Roman" w:eastAsia="宋体" w:cs="Times New Roman"/>
      <w:kern w:val="2"/>
      <w:sz w:val="28"/>
      <w:szCs w:val="24"/>
      <w:lang w:val="en-US" w:eastAsia="zh-CN" w:bidi="ar-SA"/>
    </w:rPr>
  </w:style>
  <w:style w:type="paragraph" w:styleId="10">
    <w:name w:val="Body Text First Indent"/>
    <w:next w:val="1"/>
    <w:qFormat/>
    <w:uiPriority w:val="0"/>
    <w:pPr>
      <w:widowControl w:val="0"/>
      <w:spacing w:after="120" w:afterLines="0"/>
      <w:ind w:firstLine="420" w:firstLineChars="100"/>
      <w:jc w:val="both"/>
    </w:pPr>
    <w:rPr>
      <w:rFonts w:ascii="Times New Roman" w:hAnsi="Times New Roman" w:eastAsia="宋体" w:cs="Times New Roman"/>
      <w:kern w:val="2"/>
      <w:sz w:val="28"/>
      <w:szCs w:val="24"/>
      <w:lang w:val="en-US" w:eastAsia="zh-CN" w:bidi="ar-SA"/>
    </w:rPr>
  </w:style>
  <w:style w:type="paragraph" w:styleId="11">
    <w:name w:val="Body Text Indent"/>
    <w:basedOn w:val="1"/>
    <w:next w:val="1"/>
    <w:qFormat/>
    <w:uiPriority w:val="0"/>
    <w:pPr>
      <w:widowControl w:val="0"/>
      <w:spacing w:after="0" w:line="200" w:lineRule="atLeast"/>
      <w:ind w:firstLine="300"/>
      <w:jc w:val="both"/>
    </w:pPr>
    <w:rPr>
      <w:rFonts w:ascii="宋体" w:hAnsi="Courier New" w:eastAsia="宋体" w:cs="Times New Roman"/>
      <w:spacing w:val="-4"/>
      <w:kern w:val="2"/>
      <w:sz w:val="18"/>
      <w:szCs w:val="20"/>
      <w:lang w:val="en-US" w:eastAsia="zh-CN" w:bidi="ar-SA"/>
    </w:rPr>
  </w:style>
  <w:style w:type="paragraph" w:styleId="12">
    <w:name w:val="List 2"/>
    <w:qFormat/>
    <w:uiPriority w:val="0"/>
    <w:pPr>
      <w:widowControl w:val="0"/>
      <w:spacing w:before="0" w:after="0"/>
      <w:ind w:left="100" w:leftChars="200" w:right="0" w:hanging="200" w:hangingChars="200"/>
      <w:jc w:val="both"/>
    </w:pPr>
    <w:rPr>
      <w:rFonts w:ascii="Calibri" w:hAnsi="Calibri" w:eastAsia="宋体" w:cs="Times New Roman"/>
      <w:kern w:val="2"/>
      <w:sz w:val="28"/>
      <w:szCs w:val="24"/>
      <w:lang w:val="en-US" w:eastAsia="zh-CN" w:bidi="ar-SA"/>
    </w:rPr>
  </w:style>
  <w:style w:type="paragraph" w:styleId="13">
    <w:name w:val="Date"/>
    <w:next w:val="1"/>
    <w:qFormat/>
    <w:uiPriority w:val="0"/>
    <w:pPr>
      <w:widowControl w:val="0"/>
      <w:ind w:left="2500" w:leftChars="2500"/>
      <w:jc w:val="both"/>
    </w:pPr>
    <w:rPr>
      <w:rFonts w:ascii="Times New Roman" w:hAnsi="Times New Roman" w:eastAsia="楷体_GB2312" w:cs="Times New Roman"/>
      <w:kern w:val="2"/>
      <w:sz w:val="32"/>
      <w:szCs w:val="20"/>
      <w:lang w:val="en-US" w:eastAsia="zh-CN" w:bidi="ar-SA"/>
    </w:rPr>
  </w:style>
  <w:style w:type="paragraph" w:styleId="14">
    <w:name w:val="Body Text Indent 2"/>
    <w:qFormat/>
    <w:uiPriority w:val="0"/>
    <w:pPr>
      <w:widowControl w:val="0"/>
      <w:snapToGrid w:val="0"/>
      <w:spacing w:after="0"/>
      <w:ind w:firstLine="540" w:firstLineChars="225"/>
      <w:jc w:val="both"/>
    </w:pPr>
    <w:rPr>
      <w:rFonts w:ascii="仿宋_GB2312" w:hAnsi="宋体" w:eastAsia="宋体" w:cs="Arial"/>
      <w:b/>
      <w:bCs/>
      <w:color w:val="000000"/>
      <w:kern w:val="2"/>
      <w:sz w:val="24"/>
      <w:szCs w:val="24"/>
      <w:lang w:val="en-US" w:eastAsia="zh-CN" w:bidi="ar-SA"/>
    </w:rPr>
  </w:style>
  <w:style w:type="paragraph" w:styleId="15">
    <w:name w:val="footer"/>
    <w:qFormat/>
    <w:uiPriority w:val="0"/>
    <w:pPr>
      <w:widowControl w:val="0"/>
      <w:tabs>
        <w:tab w:val="center" w:pos="4153"/>
        <w:tab w:val="right" w:pos="8306"/>
      </w:tabs>
      <w:snapToGrid w:val="0"/>
      <w:jc w:val="left"/>
    </w:pPr>
    <w:rPr>
      <w:rFonts w:ascii="宋体" w:hAnsi="宋体" w:eastAsia="宋体" w:cs="Times New Roman"/>
      <w:kern w:val="2"/>
      <w:sz w:val="18"/>
      <w:szCs w:val="20"/>
      <w:lang w:val="en-US" w:eastAsia="zh-CN" w:bidi="ar-SA"/>
    </w:rPr>
  </w:style>
  <w:style w:type="paragraph" w:styleId="16">
    <w:name w:val="header"/>
    <w:qFormat/>
    <w:uiPriority w:val="0"/>
    <w:pPr>
      <w:widowControl w:val="0"/>
      <w:pBdr>
        <w:bottom w:val="single" w:color="auto" w:sz="6" w:space="1"/>
      </w:pBdr>
      <w:tabs>
        <w:tab w:val="center" w:pos="4153"/>
        <w:tab w:val="right" w:pos="8306"/>
      </w:tabs>
      <w:snapToGrid w:val="0"/>
      <w:jc w:val="center"/>
    </w:pPr>
    <w:rPr>
      <w:rFonts w:ascii="宋体" w:hAnsi="宋体" w:eastAsia="宋体" w:cs="Times New Roman"/>
      <w:kern w:val="2"/>
      <w:sz w:val="18"/>
      <w:szCs w:val="20"/>
      <w:lang w:val="en-US" w:eastAsia="zh-CN" w:bidi="ar-SA"/>
    </w:rPr>
  </w:style>
  <w:style w:type="paragraph" w:styleId="17">
    <w:name w:val="Body Text Indent 3"/>
    <w:qFormat/>
    <w:uiPriority w:val="0"/>
    <w:pPr>
      <w:widowControl w:val="0"/>
      <w:snapToGrid w:val="0"/>
      <w:spacing w:after="0"/>
      <w:ind w:firstLine="480" w:firstLineChars="200"/>
      <w:jc w:val="left"/>
    </w:pPr>
    <w:rPr>
      <w:rFonts w:ascii="仿宋_GB2312" w:hAnsi="宋体" w:eastAsia="仿宋_GB2312" w:cs="Times New Roman"/>
      <w:color w:val="000000"/>
      <w:kern w:val="2"/>
      <w:sz w:val="24"/>
      <w:szCs w:val="24"/>
      <w:lang w:val="en-US" w:eastAsia="zh-CN" w:bidi="ar-SA"/>
    </w:rPr>
  </w:style>
  <w:style w:type="paragraph" w:styleId="18">
    <w:name w:val="Body Text 2"/>
    <w:qFormat/>
    <w:uiPriority w:val="0"/>
    <w:pPr>
      <w:widowControl/>
      <w:snapToGrid w:val="0"/>
      <w:spacing w:before="50" w:after="156" w:afterLines="50" w:line="400" w:lineRule="atLeast"/>
      <w:ind w:left="0" w:right="0"/>
      <w:jc w:val="left"/>
    </w:pPr>
    <w:rPr>
      <w:rFonts w:ascii="宋体" w:hAnsi="宋体" w:eastAsia="宋体" w:cs="Times New Roman"/>
      <w:color w:val="000000"/>
      <w:kern w:val="2"/>
      <w:sz w:val="24"/>
      <w:szCs w:val="24"/>
      <w:lang w:val="en-US" w:eastAsia="zh-CN" w:bidi="ar-SA"/>
    </w:rPr>
  </w:style>
  <w:style w:type="paragraph" w:styleId="19">
    <w:name w:val="Body Text First Indent 2"/>
    <w:unhideWhenUsed/>
    <w:qFormat/>
    <w:uiPriority w:val="99"/>
    <w:pPr>
      <w:widowControl w:val="0"/>
      <w:spacing w:after="120" w:line="240" w:lineRule="auto"/>
      <w:ind w:left="420" w:leftChars="200" w:firstLine="420"/>
      <w:jc w:val="both"/>
    </w:pPr>
    <w:rPr>
      <w:rFonts w:ascii="宋体" w:hAnsi="Courier New" w:cs="宋体" w:eastAsiaTheme="minorEastAsia"/>
      <w:spacing w:val="-4"/>
      <w:kern w:val="2"/>
      <w:sz w:val="21"/>
      <w:szCs w:val="21"/>
      <w:lang w:val="en-US" w:eastAsia="zh-CN" w:bidi="ar-SA"/>
    </w:rPr>
  </w:style>
  <w:style w:type="table" w:styleId="2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qFormat/>
    <w:uiPriority w:val="0"/>
    <w:rPr>
      <w:rFonts w:ascii="Calibri" w:hAnsi="Calibri" w:eastAsia="宋体" w:cs="Times New Roman"/>
    </w:rPr>
  </w:style>
  <w:style w:type="paragraph" w:customStyle="1" w:styleId="25">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26">
    <w:name w:val="Normal Indent"/>
    <w:qFormat/>
    <w:uiPriority w:val="0"/>
    <w:pPr>
      <w:widowControl/>
      <w:ind w:firstLine="420"/>
      <w:jc w:val="left"/>
    </w:pPr>
    <w:rPr>
      <w:rFonts w:ascii="Times New Roman" w:hAnsi="Times New Roman" w:eastAsiaTheme="minorEastAsia" w:cstheme="minorBidi"/>
      <w:kern w:val="0"/>
      <w:sz w:val="21"/>
      <w:szCs w:val="20"/>
      <w:lang w:val="en-US" w:eastAsia="zh-CN" w:bidi="ar-SA"/>
    </w:rPr>
  </w:style>
  <w:style w:type="paragraph" w:customStyle="1" w:styleId="27">
    <w:name w:val="样式1"/>
    <w:basedOn w:val="1"/>
    <w:next w:val="1"/>
    <w:qFormat/>
    <w:uiPriority w:val="0"/>
    <w:rPr>
      <w:rFonts w:asciiTheme="minorAscii" w:hAnsiTheme="minorAscii" w:eastAsiaTheme="minorEastAsia" w:cstheme="minorBidi"/>
      <w:kern w:val="2"/>
      <w:sz w:val="18"/>
      <w:szCs w:val="22"/>
    </w:rPr>
  </w:style>
  <w:style w:type="paragraph" w:customStyle="1" w:styleId="28">
    <w:name w:val="Normal Indent1"/>
    <w:qFormat/>
    <w:uiPriority w:val="0"/>
    <w:pPr>
      <w:widowControl w:val="0"/>
      <w:ind w:firstLine="420"/>
      <w:jc w:val="both"/>
    </w:pPr>
    <w:rPr>
      <w:rFonts w:ascii="宋体" w:hAnsi="宋体" w:eastAsia="宋体" w:cs="Times New Roman"/>
      <w:kern w:val="2"/>
      <w:sz w:val="21"/>
      <w:szCs w:val="24"/>
      <w:lang w:val="en-US" w:eastAsia="zh-CN" w:bidi="ar-SA"/>
    </w:rPr>
  </w:style>
  <w:style w:type="paragraph" w:customStyle="1" w:styleId="29">
    <w:name w:val="WPSOffice手动目录 1"/>
    <w:qFormat/>
    <w:uiPriority w:val="0"/>
    <w:pPr>
      <w:ind w:leftChars="0"/>
    </w:pPr>
    <w:rPr>
      <w:rFonts w:ascii="Calibri" w:hAnsi="Calibri" w:eastAsia="宋体" w:cs="Times New Roman"/>
      <w:sz w:val="20"/>
      <w:szCs w:val="20"/>
    </w:rPr>
  </w:style>
  <w:style w:type="paragraph" w:customStyle="1" w:styleId="30">
    <w:name w:val="Plain Text"/>
    <w:qFormat/>
    <w:uiPriority w:val="0"/>
    <w:pPr>
      <w:widowControl w:val="0"/>
      <w:adjustRightInd w:val="0"/>
      <w:jc w:val="both"/>
    </w:pPr>
    <w:rPr>
      <w:rFonts w:hint="eastAsia" w:ascii="宋体" w:hAnsi="Courier New" w:eastAsia="楷体_GB2312" w:cs="Times New Roman"/>
      <w:kern w:val="2"/>
      <w:sz w:val="28"/>
      <w:szCs w:val="20"/>
      <w:lang w:val="en-US" w:eastAsia="zh-CN" w:bidi="ar-SA"/>
    </w:rPr>
  </w:style>
  <w:style w:type="paragraph" w:customStyle="1" w:styleId="31">
    <w:name w:val="默认段落字体 Para Char Char Char Char Char Char Char Char Char1 Char Char Char Char"/>
    <w:qFormat/>
    <w:uiPriority w:val="0"/>
    <w:pPr>
      <w:widowControl w:val="0"/>
      <w:jc w:val="both"/>
    </w:pPr>
    <w:rPr>
      <w:rFonts w:ascii="Tahoma" w:hAnsi="Tahoma" w:eastAsia="宋体" w:cs="Times New Roman"/>
      <w:kern w:val="2"/>
      <w:sz w:val="24"/>
      <w:szCs w:val="20"/>
      <w:lang w:val="en-US" w:eastAsia="zh-CN" w:bidi="ar-SA"/>
    </w:rPr>
  </w:style>
  <w:style w:type="paragraph" w:customStyle="1" w:styleId="32">
    <w:name w:val="正文缩进1"/>
    <w:qFormat/>
    <w:uiPriority w:val="0"/>
    <w:pPr>
      <w:ind w:firstLine="420"/>
    </w:pPr>
    <w:rPr>
      <w:rFonts w:ascii="Times New Roman" w:hAnsi="Times New Roman" w:eastAsiaTheme="minorEastAsia" w:cstheme="minorBidi"/>
      <w:sz w:val="21"/>
      <w:lang w:val="en-US" w:eastAsia="zh-CN" w:bidi="ar-SA"/>
    </w:rPr>
  </w:style>
  <w:style w:type="paragraph" w:styleId="33">
    <w:name w:val="List Paragraph"/>
    <w:qFormat/>
    <w:uiPriority w:val="99"/>
    <w:pPr>
      <w:widowControl w:val="0"/>
      <w:ind w:firstLine="420" w:firstLineChars="20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33669</Words>
  <Characters>35585</Characters>
  <Lines>0</Lines>
  <Paragraphs>0</Paragraphs>
  <TotalTime>8</TotalTime>
  <ScaleCrop>false</ScaleCrop>
  <LinksUpToDate>false</LinksUpToDate>
  <CharactersWithSpaces>37834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2020-11-08T13:40:00Z</dcterms:created>
  <dc:creator>鲤鱼</dc:creator>
  <cp:lastModifiedBy>宁波之新-李玉娇</cp:lastModifiedBy>
  <cp:lastPrinted>2022-10-11T04:45:00Z</cp:lastPrinted>
  <dcterms:modified xsi:type="dcterms:W3CDTF">2023-03-10T01:00:27Z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E120D93A834E4366BFC5BB8DDEC48A4A</vt:lpwstr>
  </property>
</Properties>
</file>